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E07BE">
      <w:pPr>
        <w:pStyle w:val="10"/>
        <w:spacing w:before="99" w:line="354" w:lineRule="exact"/>
        <w:rPr>
          <w:rFonts w:hint="eastAsia" w:ascii="宋体" w:hAnsi="宋体" w:cs="宋体"/>
          <w:b/>
          <w:bCs/>
          <w:color w:val="auto"/>
          <w:kern w:val="0"/>
          <w:sz w:val="32"/>
          <w:szCs w:val="32"/>
          <w:highlight w:val="none"/>
          <w:lang w:val="en-US" w:eastAsia="zh-CN"/>
        </w:rPr>
      </w:pPr>
    </w:p>
    <w:p w14:paraId="6E5FACF2">
      <w:pPr>
        <w:pStyle w:val="10"/>
        <w:spacing w:line="260" w:lineRule="auto"/>
        <w:rPr>
          <w:color w:val="auto"/>
          <w:highlight w:val="none"/>
        </w:rPr>
      </w:pPr>
      <w:r>
        <w:rPr>
          <w:rFonts w:hint="eastAsia" w:ascii="宋体" w:hAnsi="宋体" w:cs="宋体"/>
          <w:b/>
          <w:bCs/>
          <w:color w:val="auto"/>
          <w:kern w:val="0"/>
          <w:sz w:val="32"/>
          <w:szCs w:val="32"/>
          <w:highlight w:val="none"/>
          <w:lang w:val="en-US" w:eastAsia="zh-CN"/>
        </w:rPr>
        <w:t xml:space="preserve">项目编号: HX-2025-018 </w:t>
      </w:r>
    </w:p>
    <w:p w14:paraId="5C33BD23">
      <w:pPr>
        <w:pStyle w:val="10"/>
        <w:spacing w:line="260" w:lineRule="auto"/>
        <w:rPr>
          <w:color w:val="auto"/>
          <w:highlight w:val="none"/>
        </w:rPr>
      </w:pPr>
    </w:p>
    <w:p w14:paraId="0DECE6CF">
      <w:pPr>
        <w:pStyle w:val="10"/>
        <w:spacing w:line="260" w:lineRule="auto"/>
        <w:rPr>
          <w:color w:val="auto"/>
          <w:highlight w:val="none"/>
        </w:rPr>
      </w:pPr>
    </w:p>
    <w:p w14:paraId="47DBBAF9">
      <w:pPr>
        <w:pStyle w:val="10"/>
        <w:spacing w:line="260" w:lineRule="auto"/>
        <w:rPr>
          <w:color w:val="auto"/>
          <w:highlight w:val="none"/>
        </w:rPr>
      </w:pPr>
    </w:p>
    <w:p w14:paraId="36179AA6">
      <w:pPr>
        <w:pStyle w:val="10"/>
        <w:spacing w:line="260" w:lineRule="auto"/>
        <w:rPr>
          <w:color w:val="auto"/>
          <w:highlight w:val="none"/>
        </w:rPr>
      </w:pPr>
    </w:p>
    <w:p w14:paraId="06FDDA23">
      <w:pPr>
        <w:pStyle w:val="10"/>
        <w:spacing w:line="261" w:lineRule="auto"/>
        <w:rPr>
          <w:color w:val="auto"/>
          <w:highlight w:val="none"/>
        </w:rPr>
      </w:pPr>
    </w:p>
    <w:p w14:paraId="36EE8811">
      <w:pPr>
        <w:pStyle w:val="10"/>
        <w:spacing w:line="261" w:lineRule="auto"/>
        <w:rPr>
          <w:color w:val="auto"/>
          <w:highlight w:val="none"/>
        </w:rPr>
      </w:pPr>
    </w:p>
    <w:p w14:paraId="4085BE43">
      <w:pPr>
        <w:pStyle w:val="10"/>
        <w:spacing w:line="268" w:lineRule="auto"/>
        <w:jc w:val="center"/>
        <w:rPr>
          <w:rFonts w:hint="default"/>
          <w:color w:val="auto"/>
          <w:sz w:val="52"/>
          <w:szCs w:val="52"/>
          <w:highlight w:val="none"/>
          <w:lang w:val="en-US"/>
        </w:rPr>
      </w:pPr>
      <w:r>
        <w:rPr>
          <w:rFonts w:hint="eastAsia" w:eastAsia="宋体"/>
          <w:color w:val="auto"/>
          <w:sz w:val="52"/>
          <w:szCs w:val="52"/>
          <w:highlight w:val="none"/>
          <w:lang w:val="en-US" w:eastAsia="zh-CN"/>
        </w:rPr>
        <w:t>咸阳高新区区域性气候可行性论证报告编制采购项目</w:t>
      </w:r>
    </w:p>
    <w:p w14:paraId="6DD7754A">
      <w:pPr>
        <w:pStyle w:val="10"/>
        <w:spacing w:line="268" w:lineRule="auto"/>
        <w:rPr>
          <w:color w:val="auto"/>
          <w:highlight w:val="none"/>
        </w:rPr>
      </w:pPr>
    </w:p>
    <w:p w14:paraId="2BD405F1">
      <w:pPr>
        <w:pStyle w:val="10"/>
        <w:spacing w:line="268" w:lineRule="auto"/>
        <w:rPr>
          <w:color w:val="auto"/>
          <w:highlight w:val="none"/>
        </w:rPr>
      </w:pPr>
    </w:p>
    <w:p w14:paraId="388A8C29">
      <w:pPr>
        <w:pStyle w:val="10"/>
        <w:spacing w:line="269" w:lineRule="auto"/>
        <w:rPr>
          <w:color w:val="auto"/>
          <w:highlight w:val="none"/>
        </w:rPr>
      </w:pPr>
    </w:p>
    <w:p w14:paraId="41194DBF">
      <w:pPr>
        <w:pStyle w:val="10"/>
        <w:spacing w:line="269" w:lineRule="auto"/>
        <w:rPr>
          <w:color w:val="auto"/>
          <w:highlight w:val="none"/>
        </w:rPr>
      </w:pPr>
    </w:p>
    <w:p w14:paraId="773758B8">
      <w:pPr>
        <w:spacing w:before="309" w:line="727" w:lineRule="exact"/>
        <w:jc w:val="center"/>
        <w:outlineLvl w:val="0"/>
        <w:rPr>
          <w:rFonts w:hint="eastAsia" w:asciiTheme="minorEastAsia" w:hAnsiTheme="minorEastAsia" w:eastAsiaTheme="minorEastAsia" w:cstheme="minorEastAsia"/>
          <w:b/>
          <w:bCs/>
          <w:color w:val="auto"/>
          <w:sz w:val="72"/>
          <w:szCs w:val="72"/>
          <w:highlight w:val="none"/>
        </w:rPr>
      </w:pPr>
      <w:bookmarkStart w:id="0" w:name="_Toc26205"/>
      <w:bookmarkStart w:id="1" w:name="_Toc24959"/>
      <w:bookmarkStart w:id="2" w:name="_Toc26587"/>
      <w:r>
        <w:rPr>
          <w:rFonts w:hint="eastAsia" w:asciiTheme="minorEastAsia" w:hAnsiTheme="minorEastAsia" w:eastAsiaTheme="minorEastAsia" w:cstheme="minorEastAsia"/>
          <w:b/>
          <w:bCs/>
          <w:color w:val="auto"/>
          <w:spacing w:val="1"/>
          <w:position w:val="-4"/>
          <w:sz w:val="72"/>
          <w:szCs w:val="72"/>
          <w:highlight w:val="none"/>
        </w:rPr>
        <w:t>竞争性磋商文件</w:t>
      </w:r>
      <w:bookmarkEnd w:id="0"/>
      <w:bookmarkEnd w:id="1"/>
      <w:bookmarkEnd w:id="2"/>
    </w:p>
    <w:p w14:paraId="17312FF0">
      <w:pPr>
        <w:pStyle w:val="10"/>
        <w:spacing w:line="246" w:lineRule="auto"/>
        <w:rPr>
          <w:color w:val="auto"/>
          <w:highlight w:val="none"/>
        </w:rPr>
      </w:pPr>
    </w:p>
    <w:p w14:paraId="27FB075F">
      <w:pPr>
        <w:pStyle w:val="10"/>
        <w:spacing w:line="246" w:lineRule="auto"/>
        <w:rPr>
          <w:color w:val="auto"/>
          <w:highlight w:val="none"/>
        </w:rPr>
      </w:pPr>
    </w:p>
    <w:p w14:paraId="44018F86">
      <w:pPr>
        <w:pStyle w:val="10"/>
        <w:spacing w:line="246" w:lineRule="auto"/>
        <w:rPr>
          <w:color w:val="auto"/>
          <w:highlight w:val="none"/>
        </w:rPr>
      </w:pPr>
    </w:p>
    <w:p w14:paraId="2D8C7A9E">
      <w:pPr>
        <w:pStyle w:val="10"/>
        <w:spacing w:line="246" w:lineRule="auto"/>
        <w:rPr>
          <w:color w:val="auto"/>
          <w:highlight w:val="none"/>
        </w:rPr>
      </w:pPr>
    </w:p>
    <w:p w14:paraId="3D75527B">
      <w:pPr>
        <w:pStyle w:val="10"/>
        <w:spacing w:line="246" w:lineRule="auto"/>
        <w:rPr>
          <w:color w:val="auto"/>
          <w:highlight w:val="none"/>
        </w:rPr>
      </w:pPr>
    </w:p>
    <w:p w14:paraId="7EB5C4C8">
      <w:pPr>
        <w:pStyle w:val="10"/>
        <w:spacing w:line="246" w:lineRule="auto"/>
        <w:rPr>
          <w:color w:val="auto"/>
          <w:highlight w:val="none"/>
        </w:rPr>
      </w:pPr>
    </w:p>
    <w:p w14:paraId="42EE1648">
      <w:pPr>
        <w:pStyle w:val="10"/>
        <w:spacing w:line="246" w:lineRule="auto"/>
        <w:rPr>
          <w:color w:val="auto"/>
          <w:highlight w:val="none"/>
        </w:rPr>
      </w:pPr>
    </w:p>
    <w:p w14:paraId="3B016CAF">
      <w:pPr>
        <w:pStyle w:val="10"/>
        <w:spacing w:line="246" w:lineRule="auto"/>
        <w:rPr>
          <w:color w:val="auto"/>
          <w:highlight w:val="none"/>
        </w:rPr>
      </w:pPr>
    </w:p>
    <w:p w14:paraId="59C3770F">
      <w:pPr>
        <w:pStyle w:val="10"/>
        <w:spacing w:line="246" w:lineRule="auto"/>
        <w:rPr>
          <w:color w:val="auto"/>
          <w:highlight w:val="none"/>
        </w:rPr>
      </w:pPr>
    </w:p>
    <w:p w14:paraId="596958BA">
      <w:pPr>
        <w:pStyle w:val="10"/>
        <w:spacing w:line="246" w:lineRule="auto"/>
        <w:rPr>
          <w:color w:val="auto"/>
          <w:highlight w:val="none"/>
        </w:rPr>
      </w:pPr>
    </w:p>
    <w:p w14:paraId="03A3505A">
      <w:pPr>
        <w:pStyle w:val="10"/>
        <w:spacing w:line="246" w:lineRule="auto"/>
        <w:rPr>
          <w:color w:val="auto"/>
          <w:highlight w:val="none"/>
        </w:rPr>
      </w:pPr>
    </w:p>
    <w:p w14:paraId="65F46DAE">
      <w:pPr>
        <w:pStyle w:val="10"/>
        <w:spacing w:line="247" w:lineRule="auto"/>
        <w:rPr>
          <w:color w:val="auto"/>
          <w:highlight w:val="none"/>
        </w:rPr>
      </w:pPr>
    </w:p>
    <w:p w14:paraId="79904834">
      <w:pPr>
        <w:pStyle w:val="10"/>
        <w:spacing w:line="247" w:lineRule="auto"/>
        <w:rPr>
          <w:color w:val="auto"/>
          <w:highlight w:val="none"/>
        </w:rPr>
      </w:pPr>
    </w:p>
    <w:p w14:paraId="641EBE6B">
      <w:pPr>
        <w:spacing w:before="91" w:line="219" w:lineRule="auto"/>
        <w:ind w:firstLine="807" w:firstLineChars="300"/>
        <w:jc w:val="left"/>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采购人名称：</w:t>
      </w:r>
      <w:r>
        <w:rPr>
          <w:rFonts w:hint="eastAsia" w:ascii="宋体" w:hAnsi="宋体" w:eastAsia="宋体" w:cs="宋体"/>
          <w:b/>
          <w:bCs/>
          <w:color w:val="auto"/>
          <w:spacing w:val="-6"/>
          <w:sz w:val="28"/>
          <w:szCs w:val="28"/>
          <w:highlight w:val="none"/>
          <w:u w:val="single" w:color="auto"/>
          <w:lang w:eastAsia="zh-CN"/>
        </w:rPr>
        <w:t>咸阳高新技术产业开发区管理委员会</w:t>
      </w:r>
      <w:r>
        <w:rPr>
          <w:rFonts w:ascii="宋体" w:hAnsi="宋体" w:eastAsia="宋体" w:cs="宋体"/>
          <w:b/>
          <w:bCs/>
          <w:color w:val="auto"/>
          <w:spacing w:val="-7"/>
          <w:sz w:val="28"/>
          <w:szCs w:val="28"/>
          <w:highlight w:val="none"/>
          <w:u w:val="single" w:color="auto"/>
        </w:rPr>
        <w:t>（盖章</w:t>
      </w:r>
      <w:r>
        <w:rPr>
          <w:rFonts w:ascii="宋体" w:hAnsi="宋体" w:eastAsia="宋体" w:cs="宋体"/>
          <w:b/>
          <w:bCs/>
          <w:color w:val="auto"/>
          <w:spacing w:val="-7"/>
          <w:sz w:val="28"/>
          <w:szCs w:val="28"/>
          <w:highlight w:val="none"/>
        </w:rPr>
        <w:t>）</w:t>
      </w:r>
    </w:p>
    <w:p w14:paraId="7B7FAEAD">
      <w:pPr>
        <w:pStyle w:val="10"/>
        <w:spacing w:line="330" w:lineRule="auto"/>
        <w:jc w:val="left"/>
        <w:rPr>
          <w:color w:val="auto"/>
          <w:highlight w:val="none"/>
        </w:rPr>
      </w:pPr>
    </w:p>
    <w:p w14:paraId="60C04D77">
      <w:pPr>
        <w:rPr>
          <w:color w:val="auto"/>
          <w:highlight w:val="none"/>
        </w:rPr>
      </w:pPr>
    </w:p>
    <w:p w14:paraId="5A699A02">
      <w:pPr>
        <w:spacing w:before="91" w:line="219" w:lineRule="auto"/>
        <w:ind w:firstLine="825" w:firstLineChars="300"/>
        <w:jc w:val="left"/>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采购代理机构：</w:t>
      </w:r>
      <w:r>
        <w:rPr>
          <w:rFonts w:hint="eastAsia" w:ascii="宋体" w:hAnsi="宋体" w:eastAsia="宋体" w:cs="宋体"/>
          <w:b/>
          <w:bCs/>
          <w:color w:val="auto"/>
          <w:spacing w:val="-3"/>
          <w:sz w:val="28"/>
          <w:szCs w:val="28"/>
          <w:highlight w:val="none"/>
          <w:u w:val="single"/>
          <w:lang w:val="en-US" w:eastAsia="zh-CN"/>
        </w:rPr>
        <w:t>红昕国际项目管理有限公司</w:t>
      </w:r>
      <w:r>
        <w:rPr>
          <w:rFonts w:ascii="宋体" w:hAnsi="宋体" w:eastAsia="宋体" w:cs="宋体"/>
          <w:b/>
          <w:bCs/>
          <w:color w:val="auto"/>
          <w:spacing w:val="-3"/>
          <w:sz w:val="28"/>
          <w:szCs w:val="28"/>
          <w:highlight w:val="none"/>
          <w:u w:val="single" w:color="auto"/>
        </w:rPr>
        <w:t>（盖章）</w:t>
      </w:r>
    </w:p>
    <w:p w14:paraId="050FC398">
      <w:pPr>
        <w:pStyle w:val="10"/>
        <w:spacing w:line="332" w:lineRule="auto"/>
        <w:jc w:val="left"/>
        <w:rPr>
          <w:color w:val="auto"/>
          <w:highlight w:val="none"/>
        </w:rPr>
      </w:pPr>
    </w:p>
    <w:p w14:paraId="607C0407">
      <w:pPr>
        <w:rPr>
          <w:color w:val="auto"/>
          <w:highlight w:val="none"/>
        </w:rPr>
      </w:pPr>
    </w:p>
    <w:p w14:paraId="0B5771BF">
      <w:pPr>
        <w:spacing w:before="91" w:line="219" w:lineRule="auto"/>
        <w:ind w:firstLine="825" w:firstLineChars="300"/>
        <w:jc w:val="left"/>
        <w:rPr>
          <w:rFonts w:ascii="宋体" w:hAnsi="宋体" w:eastAsia="宋体" w:cs="宋体"/>
          <w:color w:val="auto"/>
          <w:sz w:val="28"/>
          <w:szCs w:val="28"/>
          <w:highlight w:val="none"/>
        </w:rPr>
        <w:sectPr>
          <w:pgSz w:w="11906" w:h="16839"/>
          <w:pgMar w:top="1431" w:right="1540" w:bottom="0" w:left="1779" w:header="0" w:footer="0" w:gutter="0"/>
          <w:cols w:space="720" w:num="1"/>
        </w:sectPr>
      </w:pPr>
      <w:r>
        <w:rPr>
          <w:rFonts w:hint="eastAsia" w:ascii="宋体" w:hAnsi="宋体" w:eastAsia="宋体" w:cs="宋体"/>
          <w:b/>
          <w:bCs/>
          <w:color w:val="auto"/>
          <w:spacing w:val="-3"/>
          <w:sz w:val="28"/>
          <w:szCs w:val="28"/>
          <w:highlight w:val="none"/>
        </w:rPr>
        <w:t>日</w:t>
      </w:r>
      <w:r>
        <w:rPr>
          <w:rFonts w:ascii="宋体" w:hAnsi="宋体" w:eastAsia="宋体" w:cs="宋体"/>
          <w:b/>
          <w:bCs/>
          <w:color w:val="auto"/>
          <w:spacing w:val="-3"/>
          <w:sz w:val="28"/>
          <w:szCs w:val="28"/>
          <w:highlight w:val="none"/>
        </w:rPr>
        <w:t xml:space="preserve">        </w:t>
      </w:r>
      <w:r>
        <w:rPr>
          <w:rFonts w:hint="eastAsia" w:ascii="宋体" w:hAnsi="宋体" w:eastAsia="宋体" w:cs="宋体"/>
          <w:b/>
          <w:bCs/>
          <w:color w:val="auto"/>
          <w:spacing w:val="-3"/>
          <w:sz w:val="28"/>
          <w:szCs w:val="28"/>
          <w:highlight w:val="none"/>
        </w:rPr>
        <w:t>期：</w:t>
      </w:r>
      <w:r>
        <w:rPr>
          <w:rFonts w:hint="eastAsia" w:ascii="宋体" w:hAnsi="宋体" w:eastAsia="宋体" w:cs="宋体"/>
          <w:b/>
          <w:bCs/>
          <w:color w:val="auto"/>
          <w:spacing w:val="-3"/>
          <w:sz w:val="28"/>
          <w:szCs w:val="28"/>
          <w:highlight w:val="none"/>
          <w:u w:val="none"/>
        </w:rPr>
        <w:t>二零二</w:t>
      </w:r>
      <w:r>
        <w:rPr>
          <w:rFonts w:hint="eastAsia" w:ascii="宋体" w:hAnsi="宋体" w:eastAsia="宋体" w:cs="宋体"/>
          <w:b/>
          <w:bCs/>
          <w:color w:val="auto"/>
          <w:spacing w:val="-3"/>
          <w:sz w:val="28"/>
          <w:szCs w:val="28"/>
          <w:highlight w:val="none"/>
          <w:u w:val="none"/>
          <w:lang w:val="en-US" w:eastAsia="zh-CN"/>
        </w:rPr>
        <w:t>五</w:t>
      </w:r>
      <w:r>
        <w:rPr>
          <w:rFonts w:hint="eastAsia" w:ascii="宋体" w:hAnsi="宋体" w:eastAsia="宋体" w:cs="宋体"/>
          <w:b/>
          <w:bCs/>
          <w:color w:val="auto"/>
          <w:spacing w:val="-3"/>
          <w:sz w:val="28"/>
          <w:szCs w:val="28"/>
          <w:highlight w:val="none"/>
          <w:u w:val="none"/>
        </w:rPr>
        <w:t>年</w:t>
      </w:r>
      <w:r>
        <w:rPr>
          <w:rFonts w:hint="eastAsia" w:ascii="宋体" w:hAnsi="宋体" w:eastAsia="宋体" w:cs="宋体"/>
          <w:b/>
          <w:bCs/>
          <w:color w:val="auto"/>
          <w:spacing w:val="-3"/>
          <w:sz w:val="28"/>
          <w:szCs w:val="28"/>
          <w:highlight w:val="none"/>
          <w:u w:val="none"/>
          <w:lang w:val="en-US" w:eastAsia="zh-CN"/>
        </w:rPr>
        <w:t>九</w:t>
      </w:r>
      <w:r>
        <w:rPr>
          <w:rFonts w:hint="eastAsia" w:ascii="宋体" w:hAnsi="宋体" w:eastAsia="宋体" w:cs="宋体"/>
          <w:b/>
          <w:bCs/>
          <w:color w:val="auto"/>
          <w:spacing w:val="-3"/>
          <w:sz w:val="28"/>
          <w:szCs w:val="28"/>
          <w:highlight w:val="none"/>
          <w:u w:val="none"/>
        </w:rPr>
        <w:t>月</w:t>
      </w:r>
    </w:p>
    <w:p w14:paraId="01E9EE0F">
      <w:pPr>
        <w:spacing w:before="424" w:line="446" w:lineRule="exact"/>
        <w:jc w:val="center"/>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54"/>
          <w:position w:val="-1"/>
          <w:sz w:val="44"/>
          <w:szCs w:val="44"/>
          <w:highlight w:val="none"/>
        </w:rPr>
        <w:t>目</w:t>
      </w:r>
      <w:r>
        <w:rPr>
          <w:rFonts w:ascii="微软雅黑" w:hAnsi="微软雅黑" w:eastAsia="微软雅黑" w:cs="微软雅黑"/>
          <w:color w:val="auto"/>
          <w:spacing w:val="33"/>
          <w:position w:val="-1"/>
          <w:sz w:val="44"/>
          <w:szCs w:val="44"/>
          <w:highlight w:val="none"/>
        </w:rPr>
        <w:t xml:space="preserve"> </w:t>
      </w:r>
      <w:r>
        <w:rPr>
          <w:rFonts w:ascii="微软雅黑" w:hAnsi="微软雅黑" w:eastAsia="微软雅黑" w:cs="微软雅黑"/>
          <w:color w:val="auto"/>
          <w:spacing w:val="-54"/>
          <w:position w:val="-1"/>
          <w:sz w:val="44"/>
          <w:szCs w:val="44"/>
          <w:highlight w:val="none"/>
        </w:rPr>
        <w:t>录</w:t>
      </w:r>
    </w:p>
    <w:sdt>
      <w:sdtPr>
        <w:rPr>
          <w:rFonts w:ascii="宋体" w:hAnsi="宋体" w:eastAsia="宋体" w:cs="宋体"/>
          <w:color w:val="auto"/>
          <w:sz w:val="28"/>
          <w:szCs w:val="28"/>
          <w:highlight w:val="none"/>
        </w:rPr>
        <w:id w:val="147481593"/>
        <w:docPartObj>
          <w:docPartGallery w:val="Table of Contents"/>
          <w:docPartUnique/>
        </w:docPartObj>
      </w:sdtPr>
      <w:sdtEndPr>
        <w:rPr>
          <w:rFonts w:ascii="宋体" w:hAnsi="宋体" w:eastAsia="宋体" w:cs="宋体"/>
          <w:color w:val="auto"/>
          <w:sz w:val="28"/>
          <w:szCs w:val="28"/>
          <w:highlight w:val="none"/>
        </w:rPr>
      </w:sdtEndPr>
      <w:sdtContent>
        <w:p w14:paraId="5CBA11DE">
          <w:pPr>
            <w:tabs>
              <w:tab w:val="right" w:leader="dot" w:pos="8759"/>
            </w:tabs>
            <w:spacing w:before="291" w:line="219" w:lineRule="auto"/>
            <w:rPr>
              <w:rFonts w:ascii="宋体" w:hAnsi="宋体" w:eastAsia="宋体" w:cs="宋体"/>
              <w:color w:val="auto"/>
              <w:sz w:val="28"/>
              <w:szCs w:val="28"/>
              <w:highlight w:val="none"/>
            </w:rPr>
          </w:pPr>
          <w:bookmarkStart w:id="3" w:name="bookmark7"/>
          <w:bookmarkEnd w:id="3"/>
          <w:bookmarkStart w:id="4" w:name="bookmark3"/>
          <w:bookmarkEnd w:id="4"/>
          <w:bookmarkStart w:id="5" w:name="bookmark5"/>
          <w:bookmarkEnd w:id="5"/>
          <w:bookmarkStart w:id="6" w:name="bookmark1"/>
          <w:bookmarkEnd w:id="6"/>
        </w:p>
      </w:sdtContent>
    </w:sdt>
    <w:p w14:paraId="3FF3AAA7">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_Toc2639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12"/>
          <w:position w:val="-2"/>
          <w:sz w:val="28"/>
          <w:szCs w:val="28"/>
          <w:highlight w:val="none"/>
        </w:rPr>
        <w:t>第一章   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_Toc2639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A5DF395">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_Toc8971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pacing w:val="-4"/>
          <w:position w:val="-2"/>
          <w:sz w:val="28"/>
          <w:szCs w:val="28"/>
          <w:highlight w:val="none"/>
        </w:rPr>
        <w:t>第二章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_Toc8971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B3D0CB0">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_Toc12544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2"/>
          <w:position w:val="-2"/>
          <w:sz w:val="28"/>
          <w:szCs w:val="28"/>
          <w:highlight w:val="none"/>
        </w:rPr>
        <w:t xml:space="preserve">第三章  </w:t>
      </w:r>
      <w:r>
        <w:rPr>
          <w:rFonts w:hint="eastAsia" w:asciiTheme="minorEastAsia" w:hAnsiTheme="minorEastAsia" w:eastAsiaTheme="minorEastAsia" w:cstheme="minorEastAsia"/>
          <w:bCs/>
          <w:color w:val="auto"/>
          <w:spacing w:val="-2"/>
          <w:position w:val="-2"/>
          <w:sz w:val="28"/>
          <w:szCs w:val="28"/>
          <w:highlight w:val="none"/>
          <w:lang w:val="en-US" w:eastAsia="zh-CN"/>
        </w:rPr>
        <w:t xml:space="preserve"> </w:t>
      </w:r>
      <w:r>
        <w:rPr>
          <w:rFonts w:hint="eastAsia" w:asciiTheme="minorEastAsia" w:hAnsiTheme="minorEastAsia" w:eastAsiaTheme="minorEastAsia" w:cstheme="minorEastAsia"/>
          <w:bCs/>
          <w:color w:val="auto"/>
          <w:spacing w:val="-2"/>
          <w:position w:val="-2"/>
          <w:sz w:val="28"/>
          <w:szCs w:val="28"/>
          <w:highlight w:val="none"/>
        </w:rPr>
        <w:t>评审方法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_Toc12544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4A74FFE">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_Toc22402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pacing w:val="-18"/>
          <w:position w:val="-2"/>
          <w:sz w:val="28"/>
          <w:szCs w:val="28"/>
          <w:highlight w:val="none"/>
        </w:rPr>
        <w:t>第四章</w:t>
      </w:r>
      <w:r>
        <w:rPr>
          <w:rFonts w:hint="eastAsia" w:asciiTheme="minorEastAsia" w:hAnsiTheme="minorEastAsia" w:eastAsiaTheme="minorEastAsia" w:cstheme="minorEastAsia"/>
          <w:color w:val="auto"/>
          <w:spacing w:val="10"/>
          <w:position w:val="-2"/>
          <w:sz w:val="28"/>
          <w:szCs w:val="28"/>
          <w:highlight w:val="none"/>
        </w:rPr>
        <w:t xml:space="preserve">   </w:t>
      </w:r>
      <w:r>
        <w:rPr>
          <w:rFonts w:hint="eastAsia" w:asciiTheme="minorEastAsia" w:hAnsiTheme="minorEastAsia" w:eastAsiaTheme="minorEastAsia" w:cstheme="minorEastAsia"/>
          <w:color w:val="auto"/>
          <w:spacing w:val="-18"/>
          <w:position w:val="-2"/>
          <w:sz w:val="28"/>
          <w:szCs w:val="28"/>
          <w:highlight w:val="none"/>
        </w:rPr>
        <w:t>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_Toc22402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E6DA62F">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_Toc30089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pacing w:val="-7"/>
          <w:position w:val="-2"/>
          <w:sz w:val="28"/>
          <w:szCs w:val="28"/>
          <w:highlight w:val="none"/>
        </w:rPr>
        <w:t>第五章</w:t>
      </w:r>
      <w:r>
        <w:rPr>
          <w:rFonts w:hint="eastAsia" w:asciiTheme="minorEastAsia" w:hAnsiTheme="minorEastAsia" w:eastAsiaTheme="minorEastAsia" w:cstheme="minorEastAsia"/>
          <w:color w:val="auto"/>
          <w:spacing w:val="17"/>
          <w:position w:val="-2"/>
          <w:sz w:val="28"/>
          <w:szCs w:val="28"/>
          <w:highlight w:val="none"/>
        </w:rPr>
        <w:t xml:space="preserve">  </w:t>
      </w:r>
      <w:r>
        <w:rPr>
          <w:rFonts w:hint="eastAsia" w:asciiTheme="minorEastAsia" w:hAnsiTheme="minorEastAsia" w:eastAsiaTheme="minorEastAsia" w:cstheme="minorEastAsia"/>
          <w:color w:val="auto"/>
          <w:spacing w:val="17"/>
          <w:position w:val="-2"/>
          <w:sz w:val="28"/>
          <w:szCs w:val="28"/>
          <w:highlight w:val="none"/>
          <w:lang w:val="en-US" w:eastAsia="zh-CN"/>
        </w:rPr>
        <w:t xml:space="preserve"> 服务</w:t>
      </w:r>
      <w:r>
        <w:rPr>
          <w:rFonts w:hint="eastAsia" w:asciiTheme="minorEastAsia" w:hAnsiTheme="minorEastAsia" w:eastAsiaTheme="minorEastAsia" w:cstheme="minorEastAsia"/>
          <w:color w:val="auto"/>
          <w:spacing w:val="-7"/>
          <w:position w:val="-2"/>
          <w:sz w:val="28"/>
          <w:szCs w:val="28"/>
          <w:highlight w:val="none"/>
        </w:rPr>
        <w:t>内容及要求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_Toc30089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D739D9F">
      <w:pPr>
        <w:pStyle w:val="16"/>
        <w:tabs>
          <w:tab w:val="right" w:leader="dot" w:pos="877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_Toc7869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pacing w:val="-12"/>
          <w:position w:val="-2"/>
          <w:sz w:val="28"/>
          <w:szCs w:val="28"/>
          <w:highlight w:val="none"/>
        </w:rPr>
        <w:t xml:space="preserve">第六章   </w:t>
      </w:r>
      <w:r>
        <w:rPr>
          <w:rFonts w:hint="eastAsia" w:asciiTheme="minorEastAsia" w:hAnsiTheme="minorEastAsia" w:eastAsiaTheme="minorEastAsia" w:cstheme="minorEastAsia"/>
          <w:color w:val="auto"/>
          <w:spacing w:val="-12"/>
          <w:position w:val="-2"/>
          <w:sz w:val="28"/>
          <w:szCs w:val="28"/>
          <w:highlight w:val="none"/>
          <w:lang w:val="en-US" w:eastAsia="zh-CN"/>
        </w:rPr>
        <w:t xml:space="preserve"> </w:t>
      </w:r>
      <w:r>
        <w:rPr>
          <w:rFonts w:hint="eastAsia" w:asciiTheme="minorEastAsia" w:hAnsiTheme="minorEastAsia" w:eastAsiaTheme="minorEastAsia" w:cstheme="minorEastAsia"/>
          <w:color w:val="auto"/>
          <w:spacing w:val="-12"/>
          <w:position w:val="-2"/>
          <w:sz w:val="28"/>
          <w:szCs w:val="28"/>
          <w:highlight w:val="none"/>
        </w:rPr>
        <w:t>竞争性磋商响应文件格式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_Toc7869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149E168">
      <w:pPr>
        <w:spacing w:line="600" w:lineRule="auto"/>
        <w:outlineLvl w:val="0"/>
        <w:rPr>
          <w:rFonts w:ascii="宋体" w:hAnsi="宋体" w:eastAsia="宋体" w:cs="宋体"/>
          <w:color w:val="auto"/>
          <w:sz w:val="28"/>
          <w:szCs w:val="28"/>
          <w:highlight w:val="none"/>
        </w:rPr>
        <w:sectPr>
          <w:pgSz w:w="11906" w:h="16840"/>
          <w:pgMar w:top="1431" w:right="1414" w:bottom="0" w:left="1722" w:header="0" w:footer="0" w:gutter="0"/>
          <w:cols w:space="720" w:num="1"/>
        </w:sectPr>
      </w:pPr>
      <w:r>
        <w:rPr>
          <w:rFonts w:hint="eastAsia" w:asciiTheme="minorEastAsia" w:hAnsiTheme="minorEastAsia" w:eastAsiaTheme="minorEastAsia" w:cstheme="minorEastAsia"/>
          <w:color w:val="auto"/>
          <w:sz w:val="28"/>
          <w:szCs w:val="28"/>
          <w:highlight w:val="none"/>
        </w:rPr>
        <w:fldChar w:fldCharType="end"/>
      </w:r>
    </w:p>
    <w:p w14:paraId="3D6E3A42">
      <w:pPr>
        <w:spacing w:before="241" w:line="391" w:lineRule="exact"/>
        <w:ind w:firstLine="1838" w:firstLineChars="500"/>
        <w:outlineLvl w:val="0"/>
        <w:rPr>
          <w:rFonts w:hint="eastAsia" w:ascii="宋体" w:hAnsi="宋体" w:eastAsia="宋体" w:cs="宋体"/>
          <w:b/>
          <w:bCs/>
          <w:color w:val="auto"/>
          <w:sz w:val="39"/>
          <w:szCs w:val="39"/>
          <w:highlight w:val="none"/>
        </w:rPr>
      </w:pPr>
      <w:bookmarkStart w:id="7" w:name="bookmark1"/>
      <w:bookmarkEnd w:id="7"/>
      <w:bookmarkStart w:id="8" w:name="bookmark4"/>
      <w:bookmarkEnd w:id="8"/>
      <w:bookmarkStart w:id="9" w:name="bookmark2"/>
      <w:bookmarkEnd w:id="9"/>
      <w:bookmarkStart w:id="10" w:name="_Toc16061"/>
      <w:bookmarkStart w:id="11" w:name="_Toc2639"/>
      <w:r>
        <w:rPr>
          <w:rFonts w:hint="eastAsia" w:ascii="宋体" w:hAnsi="宋体" w:eastAsia="宋体" w:cs="宋体"/>
          <w:b/>
          <w:bCs/>
          <w:color w:val="auto"/>
          <w:spacing w:val="-12"/>
          <w:position w:val="-2"/>
          <w:sz w:val="39"/>
          <w:szCs w:val="39"/>
          <w:highlight w:val="none"/>
        </w:rPr>
        <w:t>第一章   竞争性磋商公告</w:t>
      </w:r>
      <w:bookmarkEnd w:id="10"/>
      <w:bookmarkEnd w:id="11"/>
    </w:p>
    <w:p w14:paraId="13273BA3">
      <w:pPr>
        <w:spacing w:before="77" w:line="389" w:lineRule="exact"/>
        <w:outlineLvl w:val="0"/>
        <w:rPr>
          <w:rFonts w:ascii="微软雅黑" w:hAnsi="微软雅黑" w:eastAsia="微软雅黑" w:cs="微软雅黑"/>
          <w:color w:val="auto"/>
          <w:spacing w:val="-4"/>
          <w:position w:val="-2"/>
          <w:sz w:val="38"/>
          <w:szCs w:val="38"/>
          <w:highlight w:val="none"/>
        </w:rPr>
      </w:pPr>
      <w:bookmarkStart w:id="12" w:name="bookmark3"/>
      <w:bookmarkEnd w:id="12"/>
      <w:bookmarkStart w:id="13" w:name="_Toc22344"/>
      <w:bookmarkStart w:id="14" w:name="_Toc8971"/>
    </w:p>
    <w:p w14:paraId="1CAF6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40" w:lineRule="exact"/>
        <w:ind w:left="0" w:right="0" w:firstLine="0"/>
        <w:jc w:val="center"/>
        <w:textAlignment w:val="baseline"/>
        <w:rPr>
          <w:rFonts w:hint="default" w:ascii="Helvetica" w:hAnsi="Helvetica" w:eastAsia="Helvetica" w:cs="Helvetica"/>
          <w:b/>
          <w:bCs/>
          <w:i w:val="0"/>
          <w:iCs w:val="0"/>
          <w:caps w:val="0"/>
          <w:color w:val="333333"/>
          <w:spacing w:val="0"/>
          <w:sz w:val="30"/>
          <w:szCs w:val="30"/>
          <w:shd w:val="clear" w:fill="FFFFFF"/>
          <w:vertAlign w:val="baseline"/>
        </w:rPr>
      </w:pPr>
      <w:r>
        <w:rPr>
          <w:rFonts w:hint="default" w:ascii="Helvetica" w:hAnsi="Helvetica" w:eastAsia="Helvetica" w:cs="Helvetica"/>
          <w:b/>
          <w:bCs/>
          <w:i w:val="0"/>
          <w:iCs w:val="0"/>
          <w:caps w:val="0"/>
          <w:color w:val="333333"/>
          <w:spacing w:val="0"/>
          <w:sz w:val="30"/>
          <w:szCs w:val="30"/>
          <w:shd w:val="clear" w:fill="FFFFFF"/>
          <w:vertAlign w:val="baseline"/>
        </w:rPr>
        <w:t>咸阳高新区区域性气候可行性论证报告编制采购项目</w:t>
      </w:r>
    </w:p>
    <w:p w14:paraId="211E2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40" w:lineRule="exact"/>
        <w:ind w:left="0" w:right="0" w:firstLine="0"/>
        <w:jc w:val="center"/>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竞争性磋商公告</w:t>
      </w:r>
    </w:p>
    <w:p w14:paraId="2075AC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项目概况</w:t>
      </w:r>
    </w:p>
    <w:p w14:paraId="768426E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咸阳高新区区域性气候可行性论证报告编制采购项目</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采购项目的潜在供应商应在陕西省西安市雁塔区高新区科技七路以北万达西安one项目综合体1幢2单元19层21938获取采购文件，并于 2025年09月23日 15时00分 （北京时间）前提交响应文件。</w:t>
      </w:r>
    </w:p>
    <w:p w14:paraId="51CDCF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一、项目基本情况</w:t>
      </w:r>
    </w:p>
    <w:p w14:paraId="6B93C0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项目编号：HX-2025-018</w:t>
      </w:r>
    </w:p>
    <w:p w14:paraId="14208A9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项目名称：咸阳高新区区域性气候可行性论证报告编制采购项目</w:t>
      </w:r>
    </w:p>
    <w:p w14:paraId="0B10C91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1A0BE83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预算金额：400,000.00元</w:t>
      </w:r>
    </w:p>
    <w:p w14:paraId="5862F83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2B2C3F0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合同包1(咸阳高新区区域性气候可行性论证报告编制采购项目):</w:t>
      </w:r>
    </w:p>
    <w:p w14:paraId="4D2863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合同包预算金额：400,000.00元</w:t>
      </w:r>
    </w:p>
    <w:p w14:paraId="7CEC4D0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合同包最高限价：400,000.00元</w:t>
      </w:r>
    </w:p>
    <w:tbl>
      <w:tblPr>
        <w:tblStyle w:val="22"/>
        <w:tblW w:w="54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4"/>
        <w:gridCol w:w="2388"/>
        <w:gridCol w:w="2390"/>
        <w:gridCol w:w="824"/>
        <w:gridCol w:w="1621"/>
        <w:gridCol w:w="1399"/>
      </w:tblGrid>
      <w:tr w14:paraId="6C25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C99E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品目号</w:t>
            </w:r>
          </w:p>
        </w:tc>
        <w:tc>
          <w:tcPr>
            <w:tcW w:w="12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15BF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品目名称</w:t>
            </w:r>
          </w:p>
        </w:tc>
        <w:tc>
          <w:tcPr>
            <w:tcW w:w="12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134C4">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采购标的</w:t>
            </w:r>
          </w:p>
        </w:tc>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1FB4C">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数量（单位）</w:t>
            </w:r>
          </w:p>
        </w:tc>
        <w:tc>
          <w:tcPr>
            <w:tcW w:w="8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4CB5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9AE2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snapToGrid w:val="0"/>
                <w:color w:val="000000"/>
                <w:kern w:val="0"/>
                <w:sz w:val="21"/>
                <w:szCs w:val="21"/>
                <w:lang w:val="en-US" w:eastAsia="zh-CN" w:bidi="ar"/>
              </w:rPr>
              <w:t>品目预算(元)</w:t>
            </w:r>
          </w:p>
        </w:tc>
      </w:tr>
      <w:tr w14:paraId="361D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83FB0E">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snapToGrid w:val="0"/>
                <w:color w:val="000000"/>
                <w:kern w:val="0"/>
                <w:sz w:val="21"/>
                <w:szCs w:val="21"/>
                <w:lang w:val="en-US" w:eastAsia="zh-CN" w:bidi="ar"/>
              </w:rPr>
              <w:t>1-1</w:t>
            </w:r>
          </w:p>
        </w:tc>
        <w:tc>
          <w:tcPr>
            <w:tcW w:w="12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0F1DD">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snapToGrid w:val="0"/>
                <w:color w:val="000000"/>
                <w:kern w:val="0"/>
                <w:sz w:val="21"/>
                <w:szCs w:val="21"/>
                <w:lang w:val="en-US" w:eastAsia="zh-CN" w:bidi="ar"/>
              </w:rPr>
              <w:t>其他咨询服务</w:t>
            </w:r>
          </w:p>
        </w:tc>
        <w:tc>
          <w:tcPr>
            <w:tcW w:w="12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B19651">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snapToGrid w:val="0"/>
                <w:color w:val="000000"/>
                <w:kern w:val="0"/>
                <w:sz w:val="21"/>
                <w:szCs w:val="21"/>
                <w:lang w:val="en-US" w:eastAsia="zh-CN" w:bidi="ar"/>
              </w:rPr>
              <w:t>可行性论证</w:t>
            </w:r>
          </w:p>
        </w:tc>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D743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snapToGrid w:val="0"/>
                <w:color w:val="000000"/>
                <w:kern w:val="0"/>
                <w:sz w:val="21"/>
                <w:szCs w:val="21"/>
                <w:lang w:val="en-US" w:eastAsia="zh-CN" w:bidi="ar"/>
              </w:rPr>
              <w:t>1(项)</w:t>
            </w:r>
          </w:p>
        </w:tc>
        <w:tc>
          <w:tcPr>
            <w:tcW w:w="8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77C22">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snapToGrid w:val="0"/>
                <w:color w:val="000000"/>
                <w:kern w:val="0"/>
                <w:sz w:val="21"/>
                <w:szCs w:val="21"/>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84EC24">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snapToGrid w:val="0"/>
                <w:color w:val="000000"/>
                <w:kern w:val="0"/>
                <w:sz w:val="21"/>
                <w:szCs w:val="21"/>
                <w:vertAlign w:val="baseline"/>
                <w:lang w:val="en-US" w:eastAsia="zh-CN" w:bidi="ar"/>
              </w:rPr>
              <w:t>400,000.00</w:t>
            </w:r>
          </w:p>
        </w:tc>
      </w:tr>
    </w:tbl>
    <w:p w14:paraId="6F8B238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67D31FF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合同履行期限：自合同签订之日起120日历天</w:t>
      </w:r>
    </w:p>
    <w:p w14:paraId="424ED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二、申请人的资格要求：</w:t>
      </w:r>
    </w:p>
    <w:p w14:paraId="31AA67E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4117A8F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7F16542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合同包1(咸阳高新区区域性气候可行性论证报告编制采购项目)落实政府采购政策需满足的资格要求如下:</w:t>
      </w:r>
    </w:p>
    <w:p w14:paraId="6061CC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依据《中华人民共和国政府采购法》和《中华人民共和国政府采购法实施条例》的有关规定，落实政府采购政策，包含但不限于以下政策：</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（1）财政部、国家发展和改革委员会关于印发《节能产品政府采购实施意见》的通知（财库[2004]185号）；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（2）财政部、国家环保总局联合印发《关于环境标志产品政府采购实施的意见》(财库[2006]90号)；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（3）国务院办公厅关于建立政府强制采购节能产品制度的通知 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（12）陕西省财政厅关于落实政府采购支持中小企业政策有关事项的通知（陕财办采函〔2022〕10号）；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（13）《财政部关于进一步加大政府采购支持中小企业力度的通知》（财库〔2022〕19号）；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（14）《关于政府采购优先购买福利性企业产品和服务的意见》（陕民发（2015）1号）；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（15)财政部 农业农村部 国家乡村振兴局关于运用政府采购政策支持乡村产业振兴的通知；</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（16）《关于印发环境标志产品政府采购品目清单的通知》（财库〔2019〕18号）；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（17）《关于印发节能产品政府采购品目清单的通知》（财库〔2019〕19号）；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（18）《陕西省财政厅关于加快推进我省中小企业政府采购信用融资工作的通知》（陕财办采〔2020〕15号）。若享受以上政策优惠的企业，提供相应声明函或品目范围内产品有效认证证书；</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（19）如有最新颁布的政府采购政策，按最新的文件执行；</w:t>
      </w:r>
    </w:p>
    <w:p w14:paraId="53022B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04FA50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合同包1(咸阳高新区区域性气候可行性论证报告编制采购项目)特定资格要求如下:</w:t>
      </w:r>
    </w:p>
    <w:p w14:paraId="17BA31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（2）法定代表人授权书（附法定代表人、被授权人身份证复印件）及被授权人身份证（法定代表人直接参加投标会议，须提供法定代表人身份证明及身份证原件及复印件）；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（3）项目负责人需具备中级及以上气象类职称；</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（4）财务状况报告：提供投标人2024年度经审计的财务报告或在开标日期前6个月内其基本开户银行出具的资信证明和开户行许可证或基本存款账户信息；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税收缴纳证明：投标人提供近一年内已缴纳的至少一个月的纳税证明或完税证明（任意税种），纳税证明或完税证明上应有代收机构或税务机关的公章或业务专用章；（依法不需要缴纳税收的供应商应提供相关证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（6）社会保障资金缴纳证明：投标人提供近一年内已缴纳的至少一个月的社会保障资金缴存单据或社保机构开具的社会保险参保缴费情况证明，依法不需要缴纳社会保障资金的单位应提供相关证明材料；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（7）投标人具备履行合同所必需的设备及专业技术能力的承诺；</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（8）参加本次投标前3年内，在经营活动中没有重大违法记录的书面声明；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（9）法定代表人（负责人）为同一人或者存在直接控股、管理关系的不同投标人，不得同时参加本采购项目投标；</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（11）本项目非专门面向中小企业。</w:t>
      </w:r>
    </w:p>
    <w:p w14:paraId="56A9A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三、获取采购文件</w:t>
      </w:r>
    </w:p>
    <w:p w14:paraId="13DD7D1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2025年09月12日 至 2025年09月18日 ，每天上午 08:30:00 至 12:00:00 ，下午 14:00:00 至 18:00:00 （北京时间）</w:t>
      </w:r>
    </w:p>
    <w:p w14:paraId="5E9145A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途径：陕西省西安市雁塔区高新区科技七路以北万达西安one项目综合体1幢2单元19层21938</w:t>
      </w:r>
    </w:p>
    <w:p w14:paraId="3783F3A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082395C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35822A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四、响应文件提交</w:t>
      </w:r>
    </w:p>
    <w:p w14:paraId="6DC0588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2025年09月23日 15时00分00秒 （北京时间）</w:t>
      </w:r>
    </w:p>
    <w:p w14:paraId="5822CD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地点：详见竞争性磋商文件</w:t>
      </w:r>
    </w:p>
    <w:p w14:paraId="61E22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五、开启</w:t>
      </w:r>
    </w:p>
    <w:p w14:paraId="4423ABE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2025年09月23日 15时00分00秒 （北京时间）</w:t>
      </w:r>
    </w:p>
    <w:p w14:paraId="044F06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地点：详见竞争性磋商文件</w:t>
      </w:r>
    </w:p>
    <w:p w14:paraId="7EDB5A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六、公告期限</w:t>
      </w:r>
    </w:p>
    <w:p w14:paraId="22BA250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0F9564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七、其他补充事宜</w:t>
      </w:r>
    </w:p>
    <w:p w14:paraId="5293CB8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textAlignment w:val="baseline"/>
        <w:rPr>
          <w:sz w:val="21"/>
          <w:szCs w:val="21"/>
        </w:rPr>
      </w:pPr>
      <w:r>
        <w:rPr>
          <w:rStyle w:val="25"/>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1）供应商须于文件发售时间内携带：单位介绍信、经办人身份证原件及加盖单位鲜章的复印件一套；（谢绝邮寄，原件阅后退还)节假日除外。（2）供应商须按照陕西省财政厅《关于政府采购供应商注册登记有关事项的通知》中的要求，通过陕西省政府采购网（http://www.ccgp-shaanxi.gov.cn/）注册登记加入陕西省政府采购供应商库。</w:t>
      </w:r>
    </w:p>
    <w:p w14:paraId="5E9F75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Autospacing="0" w:line="480" w:lineRule="exact"/>
        <w:ind w:left="0" w:right="0"/>
        <w:jc w:val="left"/>
        <w:textAlignment w:val="baseline"/>
        <w:rPr>
          <w:b w:val="0"/>
          <w:bCs w:val="0"/>
          <w:sz w:val="21"/>
          <w:szCs w:val="21"/>
        </w:rPr>
      </w:pPr>
      <w:r>
        <w:rPr>
          <w:rStyle w:val="25"/>
          <w:b/>
          <w:bCs/>
          <w:i w:val="0"/>
          <w:iCs w:val="0"/>
          <w:caps w:val="0"/>
          <w:color w:val="333333"/>
          <w:spacing w:val="0"/>
          <w:sz w:val="21"/>
          <w:szCs w:val="21"/>
          <w:shd w:val="clear" w:fill="FFFFFF"/>
          <w:vertAlign w:val="baseline"/>
        </w:rPr>
        <w:t>八、对本次招标提出询问，请按以下方式联系。</w:t>
      </w:r>
    </w:p>
    <w:p w14:paraId="577DF9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018043B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名称：咸阳高新技术产业开发区管理委员会</w:t>
      </w:r>
    </w:p>
    <w:p w14:paraId="4E595CC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地址：咸阳市高科三路创业大厦</w:t>
      </w:r>
    </w:p>
    <w:p w14:paraId="01E62C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联系方式：029-38013688</w:t>
      </w:r>
    </w:p>
    <w:p w14:paraId="0A62FE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55B337A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名称：红昕国际项目管理有限公司</w:t>
      </w:r>
    </w:p>
    <w:p w14:paraId="11833D4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地址：陕西省西安市雁塔区高新区科技七路以北万达西安one项目综合体1幢2单元19层21938</w:t>
      </w:r>
    </w:p>
    <w:p w14:paraId="2E8C62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联系方式：18082209457</w:t>
      </w:r>
    </w:p>
    <w:p w14:paraId="3D33C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4336998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项目联系人：杜瑞泽</w:t>
      </w:r>
    </w:p>
    <w:p w14:paraId="044AA49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电话：18082209457</w:t>
      </w:r>
    </w:p>
    <w:p w14:paraId="7AD90240">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红昕国际项目管理有限公司</w:t>
      </w:r>
    </w:p>
    <w:p w14:paraId="74D8C03D">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2025年09月11日</w:t>
      </w:r>
    </w:p>
    <w:p w14:paraId="61D91B2A">
      <w:pPr>
        <w:pStyle w:val="26"/>
        <w:rPr>
          <w:rFonts w:ascii="微软雅黑" w:hAnsi="微软雅黑" w:eastAsia="微软雅黑" w:cs="微软雅黑"/>
          <w:color w:val="auto"/>
          <w:spacing w:val="-4"/>
          <w:position w:val="-2"/>
          <w:sz w:val="38"/>
          <w:szCs w:val="38"/>
          <w:highlight w:val="none"/>
        </w:rPr>
      </w:pPr>
    </w:p>
    <w:p w14:paraId="1D39C837">
      <w:pPr>
        <w:pStyle w:val="26"/>
        <w:rPr>
          <w:rFonts w:ascii="微软雅黑" w:hAnsi="微软雅黑" w:eastAsia="微软雅黑" w:cs="微软雅黑"/>
          <w:color w:val="auto"/>
          <w:spacing w:val="-4"/>
          <w:position w:val="-2"/>
          <w:sz w:val="38"/>
          <w:szCs w:val="38"/>
          <w:highlight w:val="none"/>
        </w:rPr>
      </w:pPr>
    </w:p>
    <w:p w14:paraId="6C7F0139">
      <w:pPr>
        <w:pStyle w:val="26"/>
        <w:rPr>
          <w:rFonts w:ascii="微软雅黑" w:hAnsi="微软雅黑" w:eastAsia="微软雅黑" w:cs="微软雅黑"/>
          <w:color w:val="auto"/>
          <w:spacing w:val="-4"/>
          <w:position w:val="-2"/>
          <w:sz w:val="38"/>
          <w:szCs w:val="38"/>
          <w:highlight w:val="none"/>
        </w:rPr>
      </w:pPr>
    </w:p>
    <w:p w14:paraId="1A32FB01">
      <w:pPr>
        <w:pStyle w:val="26"/>
        <w:rPr>
          <w:rFonts w:ascii="微软雅黑" w:hAnsi="微软雅黑" w:eastAsia="微软雅黑" w:cs="微软雅黑"/>
          <w:color w:val="auto"/>
          <w:spacing w:val="-4"/>
          <w:position w:val="-2"/>
          <w:sz w:val="38"/>
          <w:szCs w:val="38"/>
          <w:highlight w:val="none"/>
        </w:rPr>
      </w:pPr>
    </w:p>
    <w:p w14:paraId="4C88E59D">
      <w:pPr>
        <w:pStyle w:val="26"/>
        <w:rPr>
          <w:rFonts w:ascii="微软雅黑" w:hAnsi="微软雅黑" w:eastAsia="微软雅黑" w:cs="微软雅黑"/>
          <w:color w:val="auto"/>
          <w:spacing w:val="-4"/>
          <w:position w:val="-2"/>
          <w:sz w:val="38"/>
          <w:szCs w:val="38"/>
          <w:highlight w:val="none"/>
        </w:rPr>
      </w:pPr>
    </w:p>
    <w:p w14:paraId="2D825A5C">
      <w:pPr>
        <w:pStyle w:val="26"/>
        <w:rPr>
          <w:rFonts w:ascii="微软雅黑" w:hAnsi="微软雅黑" w:eastAsia="微软雅黑" w:cs="微软雅黑"/>
          <w:color w:val="auto"/>
          <w:spacing w:val="-4"/>
          <w:position w:val="-2"/>
          <w:sz w:val="38"/>
          <w:szCs w:val="38"/>
          <w:highlight w:val="none"/>
        </w:rPr>
      </w:pPr>
    </w:p>
    <w:p w14:paraId="3C76B23B">
      <w:pPr>
        <w:pStyle w:val="26"/>
        <w:rPr>
          <w:rFonts w:ascii="微软雅黑" w:hAnsi="微软雅黑" w:eastAsia="微软雅黑" w:cs="微软雅黑"/>
          <w:color w:val="auto"/>
          <w:spacing w:val="-4"/>
          <w:position w:val="-2"/>
          <w:sz w:val="38"/>
          <w:szCs w:val="38"/>
          <w:highlight w:val="none"/>
        </w:rPr>
      </w:pPr>
    </w:p>
    <w:p w14:paraId="2A263E6C">
      <w:pPr>
        <w:pStyle w:val="26"/>
        <w:rPr>
          <w:rFonts w:ascii="微软雅黑" w:hAnsi="微软雅黑" w:eastAsia="微软雅黑" w:cs="微软雅黑"/>
          <w:color w:val="auto"/>
          <w:spacing w:val="-4"/>
          <w:position w:val="-2"/>
          <w:sz w:val="38"/>
          <w:szCs w:val="38"/>
          <w:highlight w:val="none"/>
        </w:rPr>
      </w:pPr>
    </w:p>
    <w:p w14:paraId="4104FCCE">
      <w:pPr>
        <w:pStyle w:val="26"/>
        <w:rPr>
          <w:rFonts w:hint="eastAsia" w:ascii="微软雅黑" w:hAnsi="微软雅黑" w:eastAsia="微软雅黑" w:cs="微软雅黑"/>
          <w:color w:val="auto"/>
          <w:spacing w:val="-4"/>
          <w:position w:val="-2"/>
          <w:sz w:val="38"/>
          <w:szCs w:val="38"/>
          <w:highlight w:val="none"/>
          <w:lang w:eastAsia="zh-CN"/>
        </w:rPr>
      </w:pPr>
    </w:p>
    <w:p w14:paraId="2618F5A7">
      <w:pPr>
        <w:pStyle w:val="26"/>
        <w:rPr>
          <w:rFonts w:hint="eastAsia" w:ascii="微软雅黑" w:hAnsi="微软雅黑" w:eastAsia="微软雅黑" w:cs="微软雅黑"/>
          <w:color w:val="auto"/>
          <w:spacing w:val="-4"/>
          <w:position w:val="-2"/>
          <w:sz w:val="38"/>
          <w:szCs w:val="38"/>
          <w:highlight w:val="none"/>
          <w:lang w:eastAsia="zh-CN"/>
        </w:rPr>
      </w:pPr>
    </w:p>
    <w:p w14:paraId="3DF13D1B">
      <w:pPr>
        <w:pStyle w:val="26"/>
        <w:rPr>
          <w:rFonts w:hint="eastAsia" w:ascii="微软雅黑" w:hAnsi="微软雅黑" w:eastAsia="微软雅黑" w:cs="微软雅黑"/>
          <w:color w:val="auto"/>
          <w:spacing w:val="-4"/>
          <w:position w:val="-2"/>
          <w:sz w:val="38"/>
          <w:szCs w:val="38"/>
          <w:highlight w:val="none"/>
          <w:lang w:eastAsia="zh-CN"/>
        </w:rPr>
      </w:pPr>
    </w:p>
    <w:p w14:paraId="132955D8">
      <w:pPr>
        <w:pStyle w:val="26"/>
        <w:rPr>
          <w:rFonts w:hint="eastAsia" w:ascii="微软雅黑" w:hAnsi="微软雅黑" w:eastAsia="微软雅黑" w:cs="微软雅黑"/>
          <w:color w:val="auto"/>
          <w:spacing w:val="-4"/>
          <w:position w:val="-2"/>
          <w:sz w:val="38"/>
          <w:szCs w:val="38"/>
          <w:highlight w:val="none"/>
          <w:lang w:eastAsia="zh-CN"/>
        </w:rPr>
      </w:pPr>
    </w:p>
    <w:p w14:paraId="21FBE51C">
      <w:pPr>
        <w:pStyle w:val="26"/>
        <w:rPr>
          <w:rFonts w:hint="eastAsia" w:ascii="微软雅黑" w:hAnsi="微软雅黑" w:eastAsia="微软雅黑" w:cs="微软雅黑"/>
          <w:color w:val="auto"/>
          <w:spacing w:val="-4"/>
          <w:position w:val="-2"/>
          <w:sz w:val="38"/>
          <w:szCs w:val="38"/>
          <w:highlight w:val="none"/>
          <w:lang w:eastAsia="zh-CN"/>
        </w:rPr>
      </w:pPr>
    </w:p>
    <w:p w14:paraId="4E021106">
      <w:pPr>
        <w:spacing w:before="77" w:line="389" w:lineRule="exact"/>
        <w:ind w:left="2758" w:firstLine="372" w:firstLineChars="100"/>
        <w:outlineLvl w:val="0"/>
        <w:rPr>
          <w:rFonts w:ascii="微软雅黑" w:hAnsi="微软雅黑" w:eastAsia="微软雅黑" w:cs="微软雅黑"/>
          <w:color w:val="auto"/>
          <w:spacing w:val="-4"/>
          <w:position w:val="-2"/>
          <w:sz w:val="38"/>
          <w:szCs w:val="38"/>
          <w:highlight w:val="none"/>
        </w:rPr>
      </w:pPr>
    </w:p>
    <w:p w14:paraId="18E62654">
      <w:pPr>
        <w:spacing w:before="77" w:line="389" w:lineRule="exact"/>
        <w:ind w:left="2758" w:firstLine="372" w:firstLineChars="100"/>
        <w:outlineLvl w:val="0"/>
        <w:rPr>
          <w:rFonts w:ascii="微软雅黑" w:hAnsi="微软雅黑" w:eastAsia="微软雅黑" w:cs="微软雅黑"/>
          <w:color w:val="auto"/>
          <w:sz w:val="38"/>
          <w:szCs w:val="38"/>
          <w:highlight w:val="none"/>
        </w:rPr>
      </w:pPr>
      <w:r>
        <w:rPr>
          <w:rFonts w:ascii="微软雅黑" w:hAnsi="微软雅黑" w:eastAsia="微软雅黑" w:cs="微软雅黑"/>
          <w:color w:val="auto"/>
          <w:spacing w:val="-4"/>
          <w:position w:val="-2"/>
          <w:sz w:val="38"/>
          <w:szCs w:val="38"/>
          <w:highlight w:val="none"/>
        </w:rPr>
        <w:t>第二章   供应商须知</w:t>
      </w:r>
      <w:bookmarkEnd w:id="13"/>
      <w:bookmarkEnd w:id="14"/>
    </w:p>
    <w:p w14:paraId="5D6836DC">
      <w:pPr>
        <w:spacing w:before="175" w:line="352" w:lineRule="exact"/>
        <w:ind w:left="3315"/>
        <w:outlineLvl w:val="1"/>
        <w:rPr>
          <w:rFonts w:ascii="微软雅黑" w:hAnsi="微软雅黑" w:eastAsia="微软雅黑" w:cs="微软雅黑"/>
          <w:color w:val="auto"/>
          <w:sz w:val="35"/>
          <w:szCs w:val="35"/>
          <w:highlight w:val="none"/>
        </w:rPr>
      </w:pPr>
      <w:r>
        <w:rPr>
          <w:rFonts w:ascii="微软雅黑" w:hAnsi="微软雅黑" w:eastAsia="微软雅黑" w:cs="微软雅黑"/>
          <w:color w:val="auto"/>
          <w:spacing w:val="-7"/>
          <w:w w:val="97"/>
          <w:position w:val="-2"/>
          <w:sz w:val="35"/>
          <w:szCs w:val="35"/>
          <w:highlight w:val="none"/>
        </w:rPr>
        <w:t>供应商须知前附表</w:t>
      </w:r>
    </w:p>
    <w:p w14:paraId="52538173">
      <w:pPr>
        <w:spacing w:line="29" w:lineRule="exact"/>
        <w:rPr>
          <w:color w:val="auto"/>
          <w:highlight w:val="none"/>
        </w:rPr>
      </w:pPr>
    </w:p>
    <w:tbl>
      <w:tblPr>
        <w:tblStyle w:val="27"/>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2138"/>
        <w:gridCol w:w="6581"/>
      </w:tblGrid>
      <w:tr w14:paraId="404D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6" w:type="dxa"/>
            <w:vAlign w:val="top"/>
          </w:tcPr>
          <w:p w14:paraId="08078676">
            <w:pPr>
              <w:spacing w:before="280" w:line="360" w:lineRule="auto"/>
              <w:ind w:left="36"/>
              <w:rPr>
                <w:rFonts w:hint="eastAsia" w:ascii="宋体" w:hAnsi="宋体" w:eastAsia="宋体" w:cs="宋体"/>
                <w:color w:val="auto"/>
                <w:sz w:val="24"/>
                <w:szCs w:val="24"/>
                <w:highlight w:val="none"/>
              </w:rPr>
            </w:pPr>
            <w:r>
              <w:rPr>
                <w:rFonts w:hint="eastAsia" w:ascii="宋体" w:hAnsi="宋体" w:eastAsia="宋体" w:cs="宋体"/>
                <w:color w:val="auto"/>
                <w:spacing w:val="-6"/>
                <w:w w:val="99"/>
                <w:position w:val="-1"/>
                <w:sz w:val="24"/>
                <w:szCs w:val="24"/>
                <w:highlight w:val="none"/>
              </w:rPr>
              <w:t>序号</w:t>
            </w:r>
          </w:p>
        </w:tc>
        <w:tc>
          <w:tcPr>
            <w:tcW w:w="2138" w:type="dxa"/>
            <w:vAlign w:val="top"/>
          </w:tcPr>
          <w:p w14:paraId="095E8080">
            <w:pPr>
              <w:spacing w:before="295" w:line="360"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15"/>
                <w:position w:val="-1"/>
                <w:sz w:val="24"/>
                <w:szCs w:val="24"/>
                <w:highlight w:val="none"/>
              </w:rPr>
              <w:t>条款内容</w:t>
            </w:r>
          </w:p>
        </w:tc>
        <w:tc>
          <w:tcPr>
            <w:tcW w:w="6581" w:type="dxa"/>
            <w:vAlign w:val="top"/>
          </w:tcPr>
          <w:p w14:paraId="13CB4904">
            <w:pPr>
              <w:spacing w:before="279"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rPr>
              <w:t>编</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11"/>
                <w:position w:val="-1"/>
                <w:sz w:val="24"/>
                <w:szCs w:val="24"/>
                <w:highlight w:val="none"/>
              </w:rPr>
              <w:t>列  内</w:t>
            </w:r>
            <w:r>
              <w:rPr>
                <w:rFonts w:hint="eastAsia" w:ascii="宋体" w:hAnsi="宋体" w:eastAsia="宋体" w:cs="宋体"/>
                <w:color w:val="auto"/>
                <w:spacing w:val="36"/>
                <w:w w:val="101"/>
                <w:position w:val="-1"/>
                <w:sz w:val="24"/>
                <w:szCs w:val="24"/>
                <w:highlight w:val="none"/>
              </w:rPr>
              <w:t xml:space="preserve"> </w:t>
            </w:r>
            <w:r>
              <w:rPr>
                <w:rFonts w:hint="eastAsia" w:ascii="宋体" w:hAnsi="宋体" w:eastAsia="宋体" w:cs="宋体"/>
                <w:color w:val="auto"/>
                <w:spacing w:val="-11"/>
                <w:position w:val="-1"/>
                <w:sz w:val="24"/>
                <w:szCs w:val="24"/>
                <w:highlight w:val="none"/>
              </w:rPr>
              <w:t>容</w:t>
            </w:r>
          </w:p>
        </w:tc>
      </w:tr>
      <w:tr w14:paraId="6937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816" w:type="dxa"/>
            <w:vAlign w:val="center"/>
          </w:tcPr>
          <w:p w14:paraId="3F2E3D5C">
            <w:pPr>
              <w:pStyle w:val="28"/>
              <w:spacing w:before="71" w:line="360" w:lineRule="auto"/>
              <w:ind w:left="3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38" w:type="dxa"/>
            <w:vAlign w:val="center"/>
          </w:tcPr>
          <w:p w14:paraId="1E86DD3C">
            <w:pPr>
              <w:pStyle w:val="28"/>
              <w:spacing w:before="34"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采购人</w:t>
            </w:r>
          </w:p>
        </w:tc>
        <w:tc>
          <w:tcPr>
            <w:tcW w:w="6581" w:type="dxa"/>
            <w:vAlign w:val="top"/>
          </w:tcPr>
          <w:p w14:paraId="469403C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咸阳高新技术产业开发区管理委员会</w:t>
            </w:r>
          </w:p>
          <w:p w14:paraId="4BD96A0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咸阳市高科三路创业大厦</w:t>
            </w:r>
          </w:p>
          <w:p w14:paraId="034310C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张富</w:t>
            </w:r>
          </w:p>
          <w:p w14:paraId="5FF040A0">
            <w:pPr>
              <w:pStyle w:val="28"/>
              <w:spacing w:before="35" w:line="360" w:lineRule="auto"/>
              <w:ind w:left="1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话：029-38013688</w:t>
            </w:r>
          </w:p>
        </w:tc>
      </w:tr>
      <w:tr w14:paraId="26CA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16" w:type="dxa"/>
            <w:vAlign w:val="center"/>
          </w:tcPr>
          <w:p w14:paraId="3022CE88">
            <w:pPr>
              <w:pStyle w:val="28"/>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38" w:type="dxa"/>
            <w:vAlign w:val="center"/>
          </w:tcPr>
          <w:p w14:paraId="486D7D5A">
            <w:pPr>
              <w:pStyle w:val="28"/>
              <w:spacing w:before="7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采购代理机构</w:t>
            </w:r>
          </w:p>
        </w:tc>
        <w:tc>
          <w:tcPr>
            <w:tcW w:w="6581" w:type="dxa"/>
            <w:vAlign w:val="top"/>
          </w:tcPr>
          <w:p w14:paraId="1C047A10">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名称： 红昕国际项目管理有限公司</w:t>
            </w:r>
          </w:p>
          <w:p w14:paraId="21A967FE">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地址：陕西省西安市高新区科技七路以北万达西安one项目综合体1 幢 2 单元 19 层 21938</w:t>
            </w:r>
          </w:p>
          <w:p w14:paraId="793A2A9D">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联系人：</w:t>
            </w:r>
            <w:r>
              <w:rPr>
                <w:rFonts w:hint="eastAsia" w:cs="宋体"/>
                <w:color w:val="auto"/>
                <w:spacing w:val="-4"/>
                <w:sz w:val="24"/>
                <w:szCs w:val="24"/>
                <w:highlight w:val="none"/>
                <w:lang w:val="en-US" w:eastAsia="zh-CN"/>
              </w:rPr>
              <w:t>杜瑞泽</w:t>
            </w:r>
          </w:p>
          <w:p w14:paraId="0F6BBAAC">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电  话：</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18082209457</w:t>
            </w:r>
          </w:p>
        </w:tc>
      </w:tr>
      <w:tr w14:paraId="024E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6" w:type="dxa"/>
            <w:vAlign w:val="center"/>
          </w:tcPr>
          <w:p w14:paraId="02927028">
            <w:pPr>
              <w:pStyle w:val="28"/>
              <w:spacing w:before="143" w:line="360" w:lineRule="auto"/>
              <w:ind w:left="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38" w:type="dxa"/>
            <w:vAlign w:val="center"/>
          </w:tcPr>
          <w:p w14:paraId="0DCCC9FA">
            <w:pPr>
              <w:pStyle w:val="28"/>
              <w:spacing w:before="106" w:line="360" w:lineRule="auto"/>
              <w:ind w:left="53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项目名称</w:t>
            </w:r>
          </w:p>
        </w:tc>
        <w:tc>
          <w:tcPr>
            <w:tcW w:w="6581" w:type="dxa"/>
            <w:vAlign w:val="top"/>
          </w:tcPr>
          <w:p w14:paraId="02FED783">
            <w:pPr>
              <w:pStyle w:val="28"/>
              <w:spacing w:before="156" w:line="360" w:lineRule="auto"/>
              <w:ind w:left="4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咸阳高新区区域性气候可行性论证报告编制采购项目</w:t>
            </w:r>
          </w:p>
        </w:tc>
      </w:tr>
      <w:tr w14:paraId="6EC1B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16" w:type="dxa"/>
            <w:vAlign w:val="center"/>
          </w:tcPr>
          <w:p w14:paraId="603677CC">
            <w:pPr>
              <w:pStyle w:val="28"/>
              <w:spacing w:before="144" w:line="360" w:lineRule="auto"/>
              <w:ind w:left="35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38" w:type="dxa"/>
            <w:vAlign w:val="center"/>
          </w:tcPr>
          <w:p w14:paraId="6574651F">
            <w:pPr>
              <w:pStyle w:val="28"/>
              <w:spacing w:before="107" w:line="360" w:lineRule="auto"/>
              <w:ind w:left="53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项目编号</w:t>
            </w:r>
          </w:p>
        </w:tc>
        <w:tc>
          <w:tcPr>
            <w:tcW w:w="6581" w:type="dxa"/>
            <w:vAlign w:val="top"/>
          </w:tcPr>
          <w:p w14:paraId="55719181">
            <w:pPr>
              <w:pStyle w:val="28"/>
              <w:spacing w:before="191" w:line="360" w:lineRule="auto"/>
              <w:ind w:left="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HX-2025-018</w:t>
            </w:r>
            <w:r>
              <w:rPr>
                <w:rFonts w:hint="eastAsia" w:ascii="宋体" w:hAnsi="宋体" w:eastAsia="宋体" w:cs="宋体"/>
                <w:color w:val="auto"/>
                <w:sz w:val="24"/>
                <w:szCs w:val="24"/>
                <w:highlight w:val="none"/>
              </w:rPr>
              <w:t xml:space="preserve">   </w:t>
            </w:r>
          </w:p>
        </w:tc>
      </w:tr>
      <w:tr w14:paraId="58D3E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16" w:type="dxa"/>
            <w:vAlign w:val="center"/>
          </w:tcPr>
          <w:p w14:paraId="6F06E75D">
            <w:pPr>
              <w:pStyle w:val="28"/>
              <w:spacing w:before="106" w:line="360" w:lineRule="auto"/>
              <w:ind w:left="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38" w:type="dxa"/>
            <w:vAlign w:val="center"/>
          </w:tcPr>
          <w:p w14:paraId="23999DF5">
            <w:pPr>
              <w:pStyle w:val="28"/>
              <w:spacing w:before="66" w:line="360" w:lineRule="auto"/>
              <w:ind w:left="292"/>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项目实施地点</w:t>
            </w:r>
          </w:p>
        </w:tc>
        <w:tc>
          <w:tcPr>
            <w:tcW w:w="6581" w:type="dxa"/>
            <w:vAlign w:val="top"/>
          </w:tcPr>
          <w:p w14:paraId="404DE5F5">
            <w:pPr>
              <w:pStyle w:val="28"/>
              <w:spacing w:before="66" w:line="360" w:lineRule="auto"/>
              <w:ind w:lef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咸阳高新区</w:t>
            </w:r>
          </w:p>
        </w:tc>
      </w:tr>
      <w:tr w14:paraId="66FE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16" w:type="dxa"/>
            <w:vAlign w:val="center"/>
          </w:tcPr>
          <w:p w14:paraId="5D920D01">
            <w:pPr>
              <w:pStyle w:val="28"/>
              <w:spacing w:before="306" w:line="360" w:lineRule="auto"/>
              <w:ind w:left="35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38" w:type="dxa"/>
            <w:vAlign w:val="center"/>
          </w:tcPr>
          <w:p w14:paraId="44FCF5B8">
            <w:pPr>
              <w:pStyle w:val="28"/>
              <w:spacing w:before="36" w:line="360" w:lineRule="auto"/>
              <w:ind w:left="770" w:right="165" w:hanging="591"/>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资金来源</w:t>
            </w:r>
          </w:p>
        </w:tc>
        <w:tc>
          <w:tcPr>
            <w:tcW w:w="6581" w:type="dxa"/>
            <w:vAlign w:val="center"/>
          </w:tcPr>
          <w:p w14:paraId="2D00CE97">
            <w:pPr>
              <w:pStyle w:val="28"/>
              <w:spacing w:before="36" w:line="360" w:lineRule="auto"/>
              <w:ind w:left="22"/>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资金来源：财政资金</w:t>
            </w:r>
          </w:p>
        </w:tc>
      </w:tr>
      <w:tr w14:paraId="387D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16" w:type="dxa"/>
            <w:vAlign w:val="center"/>
          </w:tcPr>
          <w:p w14:paraId="23D08962">
            <w:pPr>
              <w:pStyle w:val="28"/>
              <w:spacing w:before="306" w:line="360" w:lineRule="auto"/>
              <w:ind w:left="35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138" w:type="dxa"/>
            <w:vAlign w:val="center"/>
          </w:tcPr>
          <w:p w14:paraId="05B51DCF">
            <w:pPr>
              <w:pStyle w:val="28"/>
              <w:spacing w:before="36" w:line="360" w:lineRule="auto"/>
              <w:ind w:left="770" w:right="165" w:hanging="591"/>
              <w:jc w:val="center"/>
              <w:rPr>
                <w:rFonts w:hint="eastAsia" w:cs="宋体"/>
                <w:color w:val="auto"/>
                <w:spacing w:val="-6"/>
                <w:sz w:val="24"/>
                <w:szCs w:val="24"/>
                <w:highlight w:val="none"/>
                <w:lang w:eastAsia="zh-CN"/>
              </w:rPr>
            </w:pPr>
            <w:r>
              <w:rPr>
                <w:rFonts w:hint="eastAsia" w:ascii="宋体" w:hAnsi="宋体" w:eastAsia="宋体" w:cs="宋体"/>
                <w:color w:val="auto"/>
                <w:spacing w:val="-3"/>
                <w:sz w:val="24"/>
                <w:szCs w:val="24"/>
                <w:highlight w:val="none"/>
              </w:rPr>
              <w:t>采购</w:t>
            </w:r>
            <w:r>
              <w:rPr>
                <w:rFonts w:hint="eastAsia" w:ascii="宋体" w:hAnsi="宋体" w:eastAsia="宋体" w:cs="宋体"/>
                <w:color w:val="auto"/>
                <w:spacing w:val="-6"/>
                <w:sz w:val="24"/>
                <w:szCs w:val="24"/>
                <w:highlight w:val="none"/>
              </w:rPr>
              <w:t>预算</w:t>
            </w:r>
            <w:r>
              <w:rPr>
                <w:rFonts w:hint="eastAsia" w:cs="宋体"/>
                <w:color w:val="auto"/>
                <w:spacing w:val="-6"/>
                <w:sz w:val="24"/>
                <w:szCs w:val="24"/>
                <w:highlight w:val="none"/>
                <w:lang w:eastAsia="zh-CN"/>
              </w:rPr>
              <w:t>及</w:t>
            </w:r>
          </w:p>
          <w:p w14:paraId="1176DE27">
            <w:pPr>
              <w:pStyle w:val="28"/>
              <w:spacing w:before="36" w:line="360" w:lineRule="auto"/>
              <w:ind w:left="770" w:right="165" w:hanging="591"/>
              <w:jc w:val="center"/>
              <w:rPr>
                <w:rFonts w:hint="eastAsia" w:ascii="宋体" w:hAnsi="宋体" w:eastAsia="宋体" w:cs="宋体"/>
                <w:color w:val="auto"/>
                <w:spacing w:val="-3"/>
                <w:sz w:val="24"/>
                <w:szCs w:val="24"/>
                <w:highlight w:val="none"/>
                <w:lang w:eastAsia="zh-CN"/>
              </w:rPr>
            </w:pPr>
            <w:r>
              <w:rPr>
                <w:rFonts w:hint="eastAsia" w:cs="宋体"/>
                <w:color w:val="auto"/>
                <w:spacing w:val="-6"/>
                <w:sz w:val="24"/>
                <w:szCs w:val="24"/>
                <w:highlight w:val="none"/>
                <w:lang w:eastAsia="zh-CN"/>
              </w:rPr>
              <w:t>最高限价</w:t>
            </w:r>
          </w:p>
        </w:tc>
        <w:tc>
          <w:tcPr>
            <w:tcW w:w="6581" w:type="dxa"/>
            <w:vAlign w:val="top"/>
          </w:tcPr>
          <w:p w14:paraId="1EE784D2">
            <w:pPr>
              <w:pStyle w:val="28"/>
              <w:spacing w:before="179" w:line="360" w:lineRule="auto"/>
              <w:ind w:left="1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采购预算：</w:t>
            </w:r>
            <w:r>
              <w:rPr>
                <w:rFonts w:hint="eastAsia" w:cs="宋体"/>
                <w:color w:val="auto"/>
                <w:spacing w:val="-1"/>
                <w:sz w:val="24"/>
                <w:szCs w:val="24"/>
                <w:highlight w:val="none"/>
                <w:lang w:val="en-US" w:eastAsia="zh-CN"/>
              </w:rPr>
              <w:t>400000.00</w:t>
            </w:r>
            <w:r>
              <w:rPr>
                <w:rFonts w:hint="eastAsia" w:ascii="宋体" w:hAnsi="宋体" w:eastAsia="宋体" w:cs="宋体"/>
                <w:color w:val="auto"/>
                <w:spacing w:val="-1"/>
                <w:sz w:val="24"/>
                <w:szCs w:val="24"/>
                <w:highlight w:val="none"/>
              </w:rPr>
              <w:t>元</w:t>
            </w:r>
          </w:p>
          <w:p w14:paraId="66EEBDBF">
            <w:pPr>
              <w:pStyle w:val="28"/>
              <w:spacing w:before="179" w:line="360" w:lineRule="auto"/>
              <w:ind w:left="10"/>
              <w:rPr>
                <w:rFonts w:hint="default" w:ascii="宋体" w:hAnsi="宋体" w:eastAsia="宋体" w:cs="宋体"/>
                <w:color w:val="auto"/>
                <w:spacing w:val="-1"/>
                <w:sz w:val="24"/>
                <w:szCs w:val="24"/>
                <w:highlight w:val="none"/>
                <w:lang w:val="en-US" w:eastAsia="zh-CN"/>
              </w:rPr>
            </w:pPr>
            <w:r>
              <w:rPr>
                <w:rFonts w:hint="eastAsia" w:cs="宋体"/>
                <w:color w:val="auto"/>
                <w:spacing w:val="-1"/>
                <w:sz w:val="24"/>
                <w:szCs w:val="24"/>
                <w:highlight w:val="none"/>
                <w:lang w:eastAsia="zh-CN"/>
              </w:rPr>
              <w:t>最高限价：</w:t>
            </w:r>
            <w:r>
              <w:rPr>
                <w:rFonts w:hint="eastAsia" w:cs="宋体"/>
                <w:color w:val="auto"/>
                <w:spacing w:val="-1"/>
                <w:sz w:val="24"/>
                <w:szCs w:val="24"/>
                <w:highlight w:val="none"/>
                <w:lang w:val="en-US" w:eastAsia="zh-CN"/>
              </w:rPr>
              <w:t>400000.00元</w:t>
            </w:r>
          </w:p>
        </w:tc>
      </w:tr>
      <w:tr w14:paraId="7E15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816" w:type="dxa"/>
            <w:vAlign w:val="center"/>
          </w:tcPr>
          <w:p w14:paraId="300D87DE">
            <w:pPr>
              <w:pStyle w:val="28"/>
              <w:spacing w:before="78"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138" w:type="dxa"/>
            <w:vAlign w:val="center"/>
          </w:tcPr>
          <w:p w14:paraId="6C49FD87">
            <w:pPr>
              <w:pStyle w:val="28"/>
              <w:spacing w:before="179" w:line="360" w:lineRule="auto"/>
              <w:ind w:left="1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tc>
        <w:tc>
          <w:tcPr>
            <w:tcW w:w="6581" w:type="dxa"/>
            <w:vAlign w:val="top"/>
          </w:tcPr>
          <w:p w14:paraId="07FA377D">
            <w:pPr>
              <w:keepNext w:val="0"/>
              <w:keepLines w:val="0"/>
              <w:widowControl/>
              <w:suppressLineNumbers w:val="0"/>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辖区气候进行区域性可行性论证并编制报告;主要功能或目标:用科学的气候数据和分析，为区域发展规划与建设项目的决策提供关键依据，明确区域当前气候背景与未来变化趋势下的适宜性、潜在气候风险与资源机遇，并提出适应性策略，从而保障区域发展建立在安全、可持续且具备气候韧性的基础之上;需满足的要求:确保论证过程科学可靠、结论实用有效，能够真正支撑区域规划和项目的气候适应性决策，规避风险。利用机遇，保障安全与可持续发展。</w:t>
            </w:r>
          </w:p>
        </w:tc>
      </w:tr>
      <w:tr w14:paraId="112D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16" w:type="dxa"/>
            <w:vAlign w:val="center"/>
          </w:tcPr>
          <w:p w14:paraId="00044B89">
            <w:pPr>
              <w:pStyle w:val="28"/>
              <w:spacing w:before="135" w:line="360" w:lineRule="auto"/>
              <w:ind w:left="3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138" w:type="dxa"/>
            <w:vAlign w:val="center"/>
          </w:tcPr>
          <w:p w14:paraId="11C8FC47">
            <w:pPr>
              <w:pStyle w:val="28"/>
              <w:spacing w:before="98" w:line="360" w:lineRule="auto"/>
              <w:jc w:val="center"/>
              <w:rPr>
                <w:rFonts w:hint="eastAsia"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服务期</w:t>
            </w:r>
            <w:r>
              <w:rPr>
                <w:rFonts w:hint="eastAsia" w:ascii="宋体" w:hAnsi="宋体" w:eastAsia="宋体" w:cs="宋体"/>
                <w:color w:val="auto"/>
                <w:spacing w:val="-4"/>
                <w:sz w:val="24"/>
                <w:szCs w:val="24"/>
                <w:highlight w:val="none"/>
                <w:lang w:val="en-US" w:eastAsia="zh-CN"/>
              </w:rPr>
              <w:t>限</w:t>
            </w:r>
          </w:p>
          <w:p w14:paraId="4F0B058B">
            <w:pPr>
              <w:pStyle w:val="28"/>
              <w:spacing w:before="98" w:line="360" w:lineRule="auto"/>
              <w:jc w:val="center"/>
              <w:rPr>
                <w:rFonts w:hint="default" w:ascii="宋体" w:hAnsi="宋体" w:eastAsia="宋体" w:cs="宋体"/>
                <w:color w:val="auto"/>
                <w:spacing w:val="-4"/>
                <w:sz w:val="24"/>
                <w:szCs w:val="24"/>
                <w:highlight w:val="none"/>
                <w:lang w:val="en-US" w:eastAsia="zh-CN"/>
              </w:rPr>
            </w:pPr>
            <w:r>
              <w:rPr>
                <w:rFonts w:hint="eastAsia" w:cs="宋体"/>
                <w:color w:val="auto"/>
                <w:spacing w:val="-4"/>
                <w:sz w:val="24"/>
                <w:szCs w:val="24"/>
                <w:highlight w:val="none"/>
                <w:lang w:val="en-US" w:eastAsia="zh-CN"/>
              </w:rPr>
              <w:t>服务</w:t>
            </w:r>
            <w:r>
              <w:rPr>
                <w:rFonts w:hint="eastAsia" w:ascii="宋体" w:hAnsi="宋体" w:eastAsia="宋体" w:cs="宋体"/>
                <w:color w:val="auto"/>
                <w:spacing w:val="-4"/>
                <w:sz w:val="24"/>
                <w:szCs w:val="24"/>
                <w:highlight w:val="none"/>
                <w:lang w:val="en-US" w:eastAsia="zh-CN"/>
              </w:rPr>
              <w:t>地点</w:t>
            </w:r>
          </w:p>
        </w:tc>
        <w:tc>
          <w:tcPr>
            <w:tcW w:w="6581" w:type="dxa"/>
            <w:vAlign w:val="top"/>
          </w:tcPr>
          <w:p w14:paraId="6E374140">
            <w:pPr>
              <w:pStyle w:val="28"/>
              <w:spacing w:before="97" w:line="360" w:lineRule="auto"/>
              <w:ind w:left="51"/>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eastAsia="zh-CN"/>
              </w:rPr>
              <w:t>：自合同签订之日起</w:t>
            </w:r>
            <w:r>
              <w:rPr>
                <w:rFonts w:hint="eastAsia" w:cs="宋体"/>
                <w:color w:val="auto"/>
                <w:sz w:val="24"/>
                <w:szCs w:val="24"/>
                <w:highlight w:val="none"/>
                <w:lang w:val="en-US" w:eastAsia="zh-CN"/>
              </w:rPr>
              <w:t>120日历天</w:t>
            </w:r>
          </w:p>
          <w:p w14:paraId="21C5FF0D">
            <w:pPr>
              <w:pStyle w:val="28"/>
              <w:spacing w:before="97" w:line="360" w:lineRule="auto"/>
              <w:ind w:left="51"/>
              <w:rPr>
                <w:rFonts w:hint="eastAsia" w:ascii="宋体" w:hAnsi="宋体" w:eastAsia="宋体" w:cs="宋体"/>
                <w:color w:val="auto"/>
                <w:sz w:val="24"/>
                <w:szCs w:val="24"/>
                <w:highlight w:val="none"/>
                <w:lang w:val="en-US"/>
              </w:rPr>
            </w:pPr>
            <w:r>
              <w:rPr>
                <w:rFonts w:hint="eastAsia" w:cs="宋体"/>
                <w:color w:val="auto"/>
                <w:spacing w:val="-4"/>
                <w:sz w:val="24"/>
                <w:szCs w:val="24"/>
                <w:highlight w:val="none"/>
                <w:lang w:val="en-US" w:eastAsia="zh-CN"/>
              </w:rPr>
              <w:t>服务</w:t>
            </w:r>
            <w:r>
              <w:rPr>
                <w:rFonts w:hint="eastAsia" w:ascii="宋体" w:hAnsi="宋体" w:eastAsia="宋体" w:cs="宋体"/>
                <w:color w:val="auto"/>
                <w:spacing w:val="-4"/>
                <w:sz w:val="24"/>
                <w:szCs w:val="24"/>
                <w:highlight w:val="none"/>
                <w:lang w:val="en-US" w:eastAsia="zh-CN"/>
              </w:rPr>
              <w:t>地点：采购人指定地点</w:t>
            </w:r>
          </w:p>
        </w:tc>
      </w:tr>
      <w:tr w14:paraId="6831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16" w:type="dxa"/>
            <w:vAlign w:val="center"/>
          </w:tcPr>
          <w:p w14:paraId="577A4A10">
            <w:pPr>
              <w:pStyle w:val="28"/>
              <w:spacing w:before="135" w:line="360" w:lineRule="auto"/>
              <w:ind w:left="357"/>
              <w:jc w:val="both"/>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c>
          <w:tcPr>
            <w:tcW w:w="2138" w:type="dxa"/>
            <w:vAlign w:val="center"/>
          </w:tcPr>
          <w:p w14:paraId="1D02F1BB">
            <w:pPr>
              <w:pStyle w:val="28"/>
              <w:spacing w:before="98" w:line="360" w:lineRule="auto"/>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开标携带原件</w:t>
            </w:r>
          </w:p>
        </w:tc>
        <w:tc>
          <w:tcPr>
            <w:tcW w:w="6581" w:type="dxa"/>
            <w:vAlign w:val="top"/>
          </w:tcPr>
          <w:p w14:paraId="66323056">
            <w:pPr>
              <w:pStyle w:val="28"/>
              <w:spacing w:before="97" w:line="360" w:lineRule="auto"/>
              <w:ind w:left="51"/>
              <w:rPr>
                <w:rFonts w:hint="default" w:ascii="宋体" w:hAnsi="宋体" w:eastAsia="宋体" w:cs="宋体"/>
                <w:b w:val="0"/>
                <w:bCs w:val="0"/>
                <w:snapToGrid w:val="0"/>
                <w:color w:val="auto"/>
                <w:spacing w:val="7"/>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法定代表人授权书（附法定代表人、被授权人身份证复印件）及被授权人身份证（法定代表人直接参加投标会议，须提供法定代表人身份证明及身份证原件及复印件）；</w:t>
            </w:r>
          </w:p>
        </w:tc>
      </w:tr>
      <w:tr w14:paraId="116C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16" w:type="dxa"/>
            <w:vAlign w:val="center"/>
          </w:tcPr>
          <w:p w14:paraId="1BE27B63">
            <w:pPr>
              <w:pStyle w:val="28"/>
              <w:spacing w:before="78"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2138" w:type="dxa"/>
            <w:vAlign w:val="center"/>
          </w:tcPr>
          <w:p w14:paraId="3E0424E6">
            <w:pPr>
              <w:pStyle w:val="28"/>
              <w:spacing w:before="78" w:line="360" w:lineRule="auto"/>
              <w:ind w:left="16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供应商资质条件</w:t>
            </w:r>
          </w:p>
        </w:tc>
        <w:tc>
          <w:tcPr>
            <w:tcW w:w="6581" w:type="dxa"/>
            <w:vAlign w:val="top"/>
          </w:tcPr>
          <w:p w14:paraId="733D4AA0">
            <w:pPr>
              <w:pStyle w:val="28"/>
              <w:spacing w:before="37" w:line="360"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特定资格证明文件：</w:t>
            </w:r>
          </w:p>
          <w:p w14:paraId="6E1E7975">
            <w:pPr>
              <w:pStyle w:val="1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具有独立承担民事责任能力的法人、其他组织或自然人，提供合法有效的统一社会信用代码营业执照（事业单位提供事业单位法人证书，自然人提供身份证明）；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（2）法定代表人授权书（附法定代表人、被授权人身份证复印件）及被授权人身份证（法定代表人直接参加投标会议，须提供法定代表人身份证明及身份证原件及复印件）；</w:t>
            </w:r>
          </w:p>
          <w:p w14:paraId="591FDD1B">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（3）项目负责人需具备中级及以上气象类职称；</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）财务状况报告：提供投标人2024年度经审计的财务报告或在开标日期前6个月内其基本开户银行出具的资信证明和开户行许可证或基本存款账户信息；</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税收缴纳证明：投标人提供近一年内已缴纳的至少一个月的纳税证明或完税证明（任意税种），纳税证明或完税证明上应有代收机构或税务机关的公章或业务专用章；（依法不需要缴纳税收的供应商应提供相关证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）社会保障资金缴纳证明：投标人提供近一年内已缴纳的至少一个月的社会保障资金缴存单据或社保机构开具的社会保险参保缴费情况证明，依法不需要缴纳社会保障资金的单位应提供相关证明材料；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）投标人具备履行合同所必需的设备及专业技术能力的承诺；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）参加本次投标前3年内，在经营活动中没有重大违法记录的书面声明；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）法定代表人（负责人）为同一人或者存在直接控股、管理关系的不同投标人，不得同时参加本采购项目投标；</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）本项目</w:t>
            </w:r>
            <w:r>
              <w:rPr>
                <w:rFonts w:hint="eastAsia" w:eastAsia="宋体" w:cs="宋体"/>
                <w:i w:val="0"/>
                <w:iCs w:val="0"/>
                <w:caps w:val="0"/>
                <w:color w:val="auto"/>
                <w:spacing w:val="0"/>
                <w:sz w:val="24"/>
                <w:szCs w:val="24"/>
                <w:highlight w:val="none"/>
                <w:shd w:val="clear" w:color="auto" w:fill="FFFFFF"/>
                <w:vertAlign w:val="baseline"/>
                <w:lang w:val="en-US" w:eastAsia="zh-CN"/>
              </w:rPr>
              <w:t>非</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专门面向</w:t>
            </w:r>
            <w:r>
              <w:rPr>
                <w:rFonts w:hint="eastAsia" w:eastAsia="宋体" w:cs="宋体"/>
                <w:i w:val="0"/>
                <w:iCs w:val="0"/>
                <w:caps w:val="0"/>
                <w:color w:val="auto"/>
                <w:spacing w:val="0"/>
                <w:sz w:val="24"/>
                <w:szCs w:val="24"/>
                <w:highlight w:val="none"/>
                <w:shd w:val="clear" w:color="auto" w:fill="FFFFFF"/>
                <w:vertAlign w:val="baseline"/>
                <w:lang w:val="en-US" w:eastAsia="zh-CN"/>
              </w:rPr>
              <w:t>中小</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企业。</w:t>
            </w:r>
          </w:p>
          <w:p w14:paraId="4CAE7C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firstLine="240" w:firstLineChars="1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本项目不接受联合体</w:t>
            </w:r>
            <w:r>
              <w:rPr>
                <w:rFonts w:hint="eastAsia" w:eastAsia="宋体" w:cs="宋体"/>
                <w:i w:val="0"/>
                <w:iCs w:val="0"/>
                <w:caps w:val="0"/>
                <w:color w:val="auto"/>
                <w:spacing w:val="0"/>
                <w:sz w:val="24"/>
                <w:szCs w:val="24"/>
                <w:highlight w:val="none"/>
                <w:shd w:val="clear" w:color="auto" w:fill="FFFFFF"/>
                <w:vertAlign w:val="baseline"/>
                <w:lang w:val="en-US" w:eastAsia="zh-CN"/>
              </w:rPr>
              <w:t>投标</w:t>
            </w:r>
          </w:p>
        </w:tc>
      </w:tr>
      <w:tr w14:paraId="5A2E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16" w:type="dxa"/>
            <w:vAlign w:val="center"/>
          </w:tcPr>
          <w:p w14:paraId="6B0C9DD3">
            <w:pPr>
              <w:pStyle w:val="28"/>
              <w:spacing w:before="93" w:line="360" w:lineRule="auto"/>
              <w:ind w:left="324"/>
              <w:jc w:val="both"/>
              <w:rPr>
                <w:rFonts w:hint="default" w:ascii="宋体" w:hAnsi="宋体" w:eastAsia="宋体" w:cs="宋体"/>
                <w:color w:val="auto"/>
                <w:sz w:val="24"/>
                <w:szCs w:val="24"/>
                <w:highlight w:val="none"/>
                <w:lang w:val="en-US" w:eastAsia="zh-CN"/>
              </w:rPr>
            </w:pPr>
            <w:r>
              <w:rPr>
                <w:rFonts w:hint="eastAsia" w:cs="宋体"/>
                <w:color w:val="auto"/>
                <w:spacing w:val="-7"/>
                <w:sz w:val="24"/>
                <w:szCs w:val="24"/>
                <w:highlight w:val="none"/>
                <w:lang w:val="en-US" w:eastAsia="zh-CN"/>
              </w:rPr>
              <w:t>12</w:t>
            </w:r>
          </w:p>
        </w:tc>
        <w:tc>
          <w:tcPr>
            <w:tcW w:w="2138" w:type="dxa"/>
            <w:vAlign w:val="center"/>
          </w:tcPr>
          <w:p w14:paraId="6FC8F69B">
            <w:pPr>
              <w:pStyle w:val="28"/>
              <w:spacing w:before="37" w:line="360" w:lineRule="auto"/>
              <w:ind w:left="52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踏勘现场</w:t>
            </w:r>
          </w:p>
        </w:tc>
        <w:tc>
          <w:tcPr>
            <w:tcW w:w="6581" w:type="dxa"/>
            <w:vAlign w:val="top"/>
          </w:tcPr>
          <w:p w14:paraId="4419E165">
            <w:pPr>
              <w:pStyle w:val="28"/>
              <w:spacing w:before="36" w:line="360" w:lineRule="auto"/>
              <w:ind w:left="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不统一组织，各供应商自行踏勘，费用自理。</w:t>
            </w:r>
          </w:p>
        </w:tc>
      </w:tr>
      <w:tr w14:paraId="5DA35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16" w:type="dxa"/>
            <w:vAlign w:val="center"/>
          </w:tcPr>
          <w:p w14:paraId="6C147354">
            <w:pPr>
              <w:pStyle w:val="28"/>
              <w:spacing w:before="119"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pacing w:val="-14"/>
                <w:sz w:val="24"/>
                <w:szCs w:val="24"/>
                <w:highlight w:val="none"/>
                <w:lang w:val="en-US" w:eastAsia="zh-CN"/>
              </w:rPr>
              <w:t>13</w:t>
            </w:r>
          </w:p>
        </w:tc>
        <w:tc>
          <w:tcPr>
            <w:tcW w:w="2138" w:type="dxa"/>
            <w:vAlign w:val="center"/>
          </w:tcPr>
          <w:p w14:paraId="0ADA2687">
            <w:pPr>
              <w:pStyle w:val="28"/>
              <w:spacing w:before="83" w:line="360" w:lineRule="auto"/>
              <w:ind w:left="41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分包、转包</w:t>
            </w:r>
          </w:p>
        </w:tc>
        <w:tc>
          <w:tcPr>
            <w:tcW w:w="6581" w:type="dxa"/>
            <w:vAlign w:val="top"/>
          </w:tcPr>
          <w:p w14:paraId="487ED1A1">
            <w:pPr>
              <w:pStyle w:val="28"/>
              <w:spacing w:before="83" w:line="360" w:lineRule="auto"/>
              <w:ind w:left="1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不允许</w:t>
            </w:r>
          </w:p>
        </w:tc>
      </w:tr>
      <w:tr w14:paraId="5421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6" w:type="dxa"/>
            <w:vAlign w:val="center"/>
          </w:tcPr>
          <w:p w14:paraId="0832174B">
            <w:pPr>
              <w:pStyle w:val="28"/>
              <w:spacing w:before="141"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pacing w:val="-14"/>
                <w:sz w:val="24"/>
                <w:szCs w:val="24"/>
                <w:highlight w:val="none"/>
                <w:lang w:val="en-US" w:eastAsia="zh-CN"/>
              </w:rPr>
              <w:t>14</w:t>
            </w:r>
          </w:p>
        </w:tc>
        <w:tc>
          <w:tcPr>
            <w:tcW w:w="2138" w:type="dxa"/>
            <w:vAlign w:val="center"/>
          </w:tcPr>
          <w:p w14:paraId="132F9125">
            <w:pPr>
              <w:pStyle w:val="28"/>
              <w:spacing w:before="104" w:line="360" w:lineRule="auto"/>
              <w:ind w:left="4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磋商有效期</w:t>
            </w:r>
          </w:p>
        </w:tc>
        <w:tc>
          <w:tcPr>
            <w:tcW w:w="6581" w:type="dxa"/>
            <w:vAlign w:val="top"/>
          </w:tcPr>
          <w:p w14:paraId="208CA879">
            <w:pPr>
              <w:pStyle w:val="28"/>
              <w:spacing w:before="105" w:line="36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提交竞争性磋商响应文件的截止之日起90天。</w:t>
            </w:r>
          </w:p>
        </w:tc>
      </w:tr>
      <w:tr w14:paraId="5300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6" w:type="dxa"/>
            <w:vAlign w:val="center"/>
          </w:tcPr>
          <w:p w14:paraId="7B15D041">
            <w:pPr>
              <w:pStyle w:val="28"/>
              <w:spacing w:before="78"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w:t>
            </w:r>
          </w:p>
        </w:tc>
        <w:tc>
          <w:tcPr>
            <w:tcW w:w="2138" w:type="dxa"/>
            <w:vAlign w:val="center"/>
          </w:tcPr>
          <w:p w14:paraId="1F604C2C">
            <w:pPr>
              <w:pStyle w:val="28"/>
              <w:spacing w:before="115" w:line="360" w:lineRule="auto"/>
              <w:ind w:left="409" w:right="405"/>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现场勘查、标前答疑会</w:t>
            </w:r>
          </w:p>
        </w:tc>
        <w:tc>
          <w:tcPr>
            <w:tcW w:w="6581" w:type="dxa"/>
            <w:vAlign w:val="center"/>
          </w:tcPr>
          <w:p w14:paraId="2FA44360">
            <w:pPr>
              <w:pStyle w:val="28"/>
              <w:spacing w:before="78"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不组织。采购人认为有必要，另行书面通知。</w:t>
            </w:r>
          </w:p>
        </w:tc>
      </w:tr>
      <w:tr w14:paraId="54C5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816" w:type="dxa"/>
            <w:vAlign w:val="center"/>
          </w:tcPr>
          <w:p w14:paraId="1E3D3C0F">
            <w:pPr>
              <w:pStyle w:val="28"/>
              <w:spacing w:before="75"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16</w:t>
            </w:r>
          </w:p>
        </w:tc>
        <w:tc>
          <w:tcPr>
            <w:tcW w:w="2138" w:type="dxa"/>
            <w:vAlign w:val="center"/>
          </w:tcPr>
          <w:p w14:paraId="7A144B3F">
            <w:pPr>
              <w:pStyle w:val="28"/>
              <w:spacing w:before="38" w:line="360" w:lineRule="auto"/>
              <w:ind w:left="48"/>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供应商对竞争性磋</w:t>
            </w:r>
          </w:p>
          <w:p w14:paraId="36E39493">
            <w:pPr>
              <w:pStyle w:val="28"/>
              <w:spacing w:before="35" w:line="360" w:lineRule="auto"/>
              <w:ind w:left="53"/>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商提出质疑的时间</w:t>
            </w:r>
          </w:p>
        </w:tc>
        <w:tc>
          <w:tcPr>
            <w:tcW w:w="6581" w:type="dxa"/>
            <w:vAlign w:val="center"/>
          </w:tcPr>
          <w:p w14:paraId="3B03839B">
            <w:pPr>
              <w:pStyle w:val="28"/>
              <w:spacing w:before="38" w:line="360" w:lineRule="auto"/>
              <w:ind w:left="1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潜在供应商已依法获取其可质疑的竞争性磋商文件的，</w:t>
            </w:r>
            <w:r>
              <w:rPr>
                <w:rFonts w:hint="eastAsia" w:ascii="宋体" w:hAnsi="宋体" w:eastAsia="宋体" w:cs="宋体"/>
                <w:color w:val="auto"/>
                <w:spacing w:val="-2"/>
                <w:sz w:val="24"/>
                <w:szCs w:val="24"/>
                <w:highlight w:val="none"/>
              </w:rPr>
              <w:t>可以对该</w:t>
            </w:r>
            <w:r>
              <w:rPr>
                <w:rFonts w:hint="eastAsia" w:ascii="宋体" w:hAnsi="宋体" w:eastAsia="宋体" w:cs="宋体"/>
                <w:color w:val="auto"/>
                <w:spacing w:val="-1"/>
                <w:sz w:val="24"/>
                <w:szCs w:val="24"/>
                <w:highlight w:val="none"/>
              </w:rPr>
              <w:t>文件提出质疑。对竞争性磋商文件提出质疑的，应</w:t>
            </w:r>
            <w:r>
              <w:rPr>
                <w:rFonts w:hint="eastAsia" w:ascii="宋体" w:hAnsi="宋体" w:eastAsia="宋体" w:cs="宋体"/>
                <w:color w:val="auto"/>
                <w:spacing w:val="-2"/>
                <w:sz w:val="24"/>
                <w:szCs w:val="24"/>
                <w:highlight w:val="none"/>
              </w:rPr>
              <w:t>当在获取竞争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性磋商文件或者竞争性磋商公告期限届满之日起2个工作日内提</w:t>
            </w:r>
            <w:r>
              <w:rPr>
                <w:rFonts w:hint="eastAsia" w:ascii="宋体" w:hAnsi="宋体" w:eastAsia="宋体" w:cs="宋体"/>
                <w:color w:val="auto"/>
                <w:spacing w:val="-7"/>
                <w:sz w:val="24"/>
                <w:szCs w:val="24"/>
                <w:highlight w:val="none"/>
              </w:rPr>
              <w:t>出。</w:t>
            </w:r>
          </w:p>
        </w:tc>
      </w:tr>
      <w:tr w14:paraId="66D6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16" w:type="dxa"/>
            <w:vAlign w:val="center"/>
          </w:tcPr>
          <w:p w14:paraId="5EC38EAB">
            <w:pPr>
              <w:pStyle w:val="28"/>
              <w:spacing w:before="306"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17</w:t>
            </w:r>
          </w:p>
        </w:tc>
        <w:tc>
          <w:tcPr>
            <w:tcW w:w="2138" w:type="dxa"/>
            <w:vAlign w:val="center"/>
          </w:tcPr>
          <w:p w14:paraId="3EAF2803">
            <w:pPr>
              <w:pStyle w:val="28"/>
              <w:spacing w:before="36" w:line="360" w:lineRule="auto"/>
              <w:ind w:left="170" w:right="165"/>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构成竞争性磋商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文件的其他文件</w:t>
            </w:r>
          </w:p>
        </w:tc>
        <w:tc>
          <w:tcPr>
            <w:tcW w:w="6581" w:type="dxa"/>
            <w:vAlign w:val="top"/>
          </w:tcPr>
          <w:p w14:paraId="6E1D899B">
            <w:pPr>
              <w:pStyle w:val="28"/>
              <w:spacing w:before="36" w:line="360" w:lineRule="auto"/>
              <w:ind w:left="13" w:right="113" w:firstLine="1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竞争性磋商文件的澄清、修改书及有关补充通知为竞争性磋商</w:t>
            </w:r>
            <w:r>
              <w:rPr>
                <w:rFonts w:hint="eastAsia" w:ascii="宋体" w:hAnsi="宋体" w:eastAsia="宋体" w:cs="宋体"/>
                <w:color w:val="auto"/>
                <w:spacing w:val="-2"/>
                <w:sz w:val="24"/>
                <w:szCs w:val="24"/>
                <w:highlight w:val="none"/>
              </w:rPr>
              <w:t>文件的有效组成部分。</w:t>
            </w:r>
          </w:p>
        </w:tc>
      </w:tr>
      <w:tr w14:paraId="4904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16" w:type="dxa"/>
            <w:vAlign w:val="center"/>
          </w:tcPr>
          <w:p w14:paraId="787D7D27">
            <w:pPr>
              <w:pStyle w:val="28"/>
              <w:spacing w:before="78"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18</w:t>
            </w:r>
          </w:p>
        </w:tc>
        <w:tc>
          <w:tcPr>
            <w:tcW w:w="2138" w:type="dxa"/>
            <w:vAlign w:val="center"/>
          </w:tcPr>
          <w:p w14:paraId="6B0BB568">
            <w:pPr>
              <w:pStyle w:val="28"/>
              <w:spacing w:before="269" w:line="360" w:lineRule="auto"/>
              <w:ind w:left="410" w:right="405" w:firstLine="117"/>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磋商响应文件的递交</w:t>
            </w:r>
          </w:p>
        </w:tc>
        <w:tc>
          <w:tcPr>
            <w:tcW w:w="6581" w:type="dxa"/>
            <w:vAlign w:val="top"/>
          </w:tcPr>
          <w:p w14:paraId="192D80E4">
            <w:pPr>
              <w:pStyle w:val="28"/>
              <w:keepNext w:val="0"/>
              <w:keepLines w:val="0"/>
              <w:pageBreakBefore w:val="0"/>
              <w:widowControl/>
              <w:kinsoku w:val="0"/>
              <w:wordWrap/>
              <w:overflowPunct/>
              <w:topLinePunct w:val="0"/>
              <w:autoSpaceDE w:val="0"/>
              <w:autoSpaceDN w:val="0"/>
              <w:bidi w:val="0"/>
              <w:adjustRightInd w:val="0"/>
              <w:snapToGrid w:val="0"/>
              <w:spacing w:before="37" w:line="400" w:lineRule="exact"/>
              <w:ind w:left="14"/>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递交截止时间：202</w:t>
            </w:r>
            <w:r>
              <w:rPr>
                <w:rFonts w:hint="eastAsia"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年</w:t>
            </w:r>
            <w:r>
              <w:rPr>
                <w:rFonts w:hint="eastAsia" w:cs="宋体"/>
                <w:color w:val="auto"/>
                <w:spacing w:val="-2"/>
                <w:sz w:val="24"/>
                <w:szCs w:val="24"/>
                <w:highlight w:val="none"/>
                <w:lang w:val="en-US" w:eastAsia="zh-CN"/>
              </w:rPr>
              <w:t>09</w:t>
            </w:r>
            <w:r>
              <w:rPr>
                <w:rFonts w:hint="eastAsia" w:ascii="宋体" w:hAnsi="宋体" w:eastAsia="宋体" w:cs="宋体"/>
                <w:color w:val="auto"/>
                <w:spacing w:val="-2"/>
                <w:sz w:val="24"/>
                <w:szCs w:val="24"/>
                <w:highlight w:val="none"/>
              </w:rPr>
              <w:t>月</w:t>
            </w:r>
            <w:r>
              <w:rPr>
                <w:rFonts w:hint="eastAsia" w:cs="宋体"/>
                <w:color w:val="auto"/>
                <w:spacing w:val="-2"/>
                <w:sz w:val="24"/>
                <w:szCs w:val="24"/>
                <w:highlight w:val="none"/>
                <w:lang w:val="en-US" w:eastAsia="zh-CN"/>
              </w:rPr>
              <w:t>23</w:t>
            </w:r>
            <w:r>
              <w:rPr>
                <w:rFonts w:hint="eastAsia" w:ascii="宋体" w:hAnsi="宋体" w:eastAsia="宋体" w:cs="宋体"/>
                <w:color w:val="auto"/>
                <w:spacing w:val="-2"/>
                <w:sz w:val="24"/>
                <w:szCs w:val="24"/>
                <w:highlight w:val="none"/>
              </w:rPr>
              <w:t>日</w:t>
            </w:r>
            <w:r>
              <w:rPr>
                <w:rFonts w:hint="eastAsia" w:cs="宋体"/>
                <w:color w:val="auto"/>
                <w:spacing w:val="-2"/>
                <w:sz w:val="24"/>
                <w:szCs w:val="24"/>
                <w:highlight w:val="none"/>
                <w:lang w:val="en-US" w:eastAsia="zh-CN"/>
              </w:rPr>
              <w:t>15</w:t>
            </w:r>
            <w:r>
              <w:rPr>
                <w:rFonts w:hint="eastAsia" w:ascii="宋体" w:hAnsi="宋体" w:eastAsia="宋体" w:cs="宋体"/>
                <w:color w:val="auto"/>
                <w:spacing w:val="-2"/>
                <w:sz w:val="24"/>
                <w:szCs w:val="24"/>
                <w:highlight w:val="none"/>
              </w:rPr>
              <w:t>:</w:t>
            </w:r>
            <w:r>
              <w:rPr>
                <w:rFonts w:hint="eastAsia" w:cs="宋体"/>
                <w:color w:val="auto"/>
                <w:spacing w:val="-3"/>
                <w:sz w:val="24"/>
                <w:szCs w:val="24"/>
                <w:highlight w:val="none"/>
                <w:lang w:val="en-US" w:eastAsia="zh-CN"/>
              </w:rPr>
              <w:t>00</w:t>
            </w:r>
          </w:p>
          <w:p w14:paraId="1B595559">
            <w:pPr>
              <w:pStyle w:val="28"/>
              <w:keepNext w:val="0"/>
              <w:keepLines w:val="0"/>
              <w:pageBreakBefore w:val="0"/>
              <w:widowControl/>
              <w:kinsoku w:val="0"/>
              <w:wordWrap/>
              <w:overflowPunct/>
              <w:topLinePunct w:val="0"/>
              <w:autoSpaceDE w:val="0"/>
              <w:autoSpaceDN w:val="0"/>
              <w:bidi w:val="0"/>
              <w:adjustRightInd w:val="0"/>
              <w:snapToGrid w:val="0"/>
              <w:spacing w:before="181" w:line="400" w:lineRule="exact"/>
              <w:ind w:left="29" w:right="3" w:hanging="1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lang w:val="en-US" w:eastAsia="zh-CN"/>
              </w:rPr>
              <w:t>咸阳市秦都区玉泉西路217号咸阳郎格安酒店8楼会议室</w:t>
            </w:r>
          </w:p>
        </w:tc>
      </w:tr>
      <w:tr w14:paraId="2FB0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16" w:type="dxa"/>
            <w:vAlign w:val="center"/>
          </w:tcPr>
          <w:p w14:paraId="3F76E48F">
            <w:pPr>
              <w:pStyle w:val="28"/>
              <w:spacing w:before="78" w:line="360" w:lineRule="auto"/>
              <w:ind w:left="313"/>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19</w:t>
            </w:r>
          </w:p>
        </w:tc>
        <w:tc>
          <w:tcPr>
            <w:tcW w:w="2138" w:type="dxa"/>
            <w:vAlign w:val="center"/>
          </w:tcPr>
          <w:p w14:paraId="0D7192D8">
            <w:pPr>
              <w:pStyle w:val="28"/>
              <w:spacing w:before="78" w:line="360" w:lineRule="auto"/>
              <w:ind w:left="168"/>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磋商时间及地点</w:t>
            </w:r>
          </w:p>
        </w:tc>
        <w:tc>
          <w:tcPr>
            <w:tcW w:w="6581" w:type="dxa"/>
            <w:vAlign w:val="top"/>
          </w:tcPr>
          <w:p w14:paraId="3E2F6A20">
            <w:pPr>
              <w:pStyle w:val="28"/>
              <w:keepNext w:val="0"/>
              <w:keepLines w:val="0"/>
              <w:pageBreakBefore w:val="0"/>
              <w:widowControl/>
              <w:kinsoku w:val="0"/>
              <w:wordWrap/>
              <w:overflowPunct/>
              <w:topLinePunct w:val="0"/>
              <w:autoSpaceDE w:val="0"/>
              <w:autoSpaceDN w:val="0"/>
              <w:bidi w:val="0"/>
              <w:adjustRightInd w:val="0"/>
              <w:snapToGrid w:val="0"/>
              <w:spacing w:before="38" w:line="400" w:lineRule="exact"/>
              <w:ind w:left="1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磋商时间：20</w:t>
            </w:r>
            <w:r>
              <w:rPr>
                <w:rFonts w:hint="eastAsia" w:ascii="宋体" w:hAnsi="宋体" w:eastAsia="宋体" w:cs="宋体"/>
                <w:color w:val="auto"/>
                <w:spacing w:val="-1"/>
                <w:sz w:val="24"/>
                <w:szCs w:val="24"/>
                <w:highlight w:val="none"/>
                <w:lang w:val="en-US" w:eastAsia="zh-CN"/>
              </w:rPr>
              <w:t>2</w:t>
            </w:r>
            <w:r>
              <w:rPr>
                <w:rFonts w:hint="eastAsia"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年</w:t>
            </w:r>
            <w:r>
              <w:rPr>
                <w:rFonts w:hint="eastAsia" w:cs="宋体"/>
                <w:color w:val="auto"/>
                <w:spacing w:val="-1"/>
                <w:sz w:val="24"/>
                <w:szCs w:val="24"/>
                <w:highlight w:val="none"/>
                <w:lang w:val="en-US" w:eastAsia="zh-CN"/>
              </w:rPr>
              <w:t>09</w:t>
            </w:r>
            <w:r>
              <w:rPr>
                <w:rFonts w:hint="eastAsia" w:ascii="宋体" w:hAnsi="宋体" w:eastAsia="宋体" w:cs="宋体"/>
                <w:color w:val="auto"/>
                <w:spacing w:val="-1"/>
                <w:sz w:val="24"/>
                <w:szCs w:val="24"/>
                <w:highlight w:val="none"/>
              </w:rPr>
              <w:t>月</w:t>
            </w:r>
            <w:r>
              <w:rPr>
                <w:rFonts w:hint="eastAsia" w:cs="宋体"/>
                <w:color w:val="auto"/>
                <w:spacing w:val="-1"/>
                <w:sz w:val="24"/>
                <w:szCs w:val="24"/>
                <w:highlight w:val="none"/>
                <w:lang w:val="en-US" w:eastAsia="zh-CN"/>
              </w:rPr>
              <w:t>23</w:t>
            </w:r>
            <w:r>
              <w:rPr>
                <w:rFonts w:hint="eastAsia" w:ascii="宋体" w:hAnsi="宋体" w:eastAsia="宋体" w:cs="宋体"/>
                <w:color w:val="auto"/>
                <w:spacing w:val="-1"/>
                <w:sz w:val="24"/>
                <w:szCs w:val="24"/>
                <w:highlight w:val="none"/>
              </w:rPr>
              <w:t>日</w:t>
            </w:r>
            <w:r>
              <w:rPr>
                <w:rFonts w:hint="eastAsia"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rPr>
              <w:t>:</w:t>
            </w:r>
            <w:r>
              <w:rPr>
                <w:rFonts w:hint="eastAsia" w:cs="宋体"/>
                <w:color w:val="auto"/>
                <w:spacing w:val="-1"/>
                <w:sz w:val="24"/>
                <w:szCs w:val="24"/>
                <w:highlight w:val="none"/>
                <w:lang w:val="en-US" w:eastAsia="zh-CN"/>
              </w:rPr>
              <w:t>00</w:t>
            </w:r>
          </w:p>
          <w:p w14:paraId="444331E0">
            <w:pPr>
              <w:pStyle w:val="28"/>
              <w:keepNext w:val="0"/>
              <w:keepLines w:val="0"/>
              <w:pageBreakBefore w:val="0"/>
              <w:widowControl/>
              <w:kinsoku w:val="0"/>
              <w:wordWrap/>
              <w:overflowPunct/>
              <w:topLinePunct w:val="0"/>
              <w:autoSpaceDE w:val="0"/>
              <w:autoSpaceDN w:val="0"/>
              <w:bidi w:val="0"/>
              <w:adjustRightInd w:val="0"/>
              <w:snapToGrid w:val="0"/>
              <w:spacing w:before="180" w:line="400" w:lineRule="exact"/>
              <w:ind w:left="11" w:right="3" w:hanging="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磋商地点：</w:t>
            </w:r>
            <w:r>
              <w:rPr>
                <w:rFonts w:hint="eastAsia" w:ascii="宋体" w:hAnsi="宋体" w:eastAsia="宋体" w:cs="宋体"/>
                <w:color w:val="auto"/>
                <w:spacing w:val="-4"/>
                <w:sz w:val="24"/>
                <w:szCs w:val="24"/>
                <w:highlight w:val="none"/>
                <w:lang w:val="en-US" w:eastAsia="zh-CN"/>
              </w:rPr>
              <w:t>咸阳市秦都区玉泉西路217号咸阳郎格安酒店8楼会议室</w:t>
            </w:r>
          </w:p>
        </w:tc>
      </w:tr>
      <w:tr w14:paraId="194E1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6" w:type="dxa"/>
            <w:vAlign w:val="center"/>
          </w:tcPr>
          <w:p w14:paraId="7EC250F0">
            <w:pPr>
              <w:pStyle w:val="28"/>
              <w:spacing w:before="74"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w:t>
            </w:r>
          </w:p>
        </w:tc>
        <w:tc>
          <w:tcPr>
            <w:tcW w:w="2138" w:type="dxa"/>
            <w:vAlign w:val="center"/>
          </w:tcPr>
          <w:p w14:paraId="6B27F4B9">
            <w:pPr>
              <w:pStyle w:val="28"/>
              <w:spacing w:before="36" w:line="360" w:lineRule="auto"/>
              <w:ind w:left="407"/>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磋商保证金</w:t>
            </w:r>
          </w:p>
        </w:tc>
        <w:tc>
          <w:tcPr>
            <w:tcW w:w="6581" w:type="dxa"/>
            <w:vAlign w:val="top"/>
          </w:tcPr>
          <w:p w14:paraId="6F356C2A">
            <w:pPr>
              <w:pStyle w:val="28"/>
              <w:spacing w:before="36" w:line="360" w:lineRule="auto"/>
              <w:ind w:left="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不要求提供</w:t>
            </w:r>
          </w:p>
        </w:tc>
      </w:tr>
      <w:tr w14:paraId="5432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6" w:type="dxa"/>
            <w:vAlign w:val="center"/>
          </w:tcPr>
          <w:p w14:paraId="4590AEFD">
            <w:pPr>
              <w:pStyle w:val="28"/>
              <w:spacing w:before="78"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w:t>
            </w:r>
          </w:p>
        </w:tc>
        <w:tc>
          <w:tcPr>
            <w:tcW w:w="2138" w:type="dxa"/>
            <w:vAlign w:val="center"/>
          </w:tcPr>
          <w:p w14:paraId="423FBBDD">
            <w:pPr>
              <w:pStyle w:val="28"/>
              <w:spacing w:before="78" w:line="360" w:lineRule="auto"/>
              <w:ind w:left="767" w:right="765"/>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磋商</w:t>
            </w:r>
            <w:r>
              <w:rPr>
                <w:rFonts w:hint="eastAsia" w:ascii="宋体" w:hAnsi="宋体" w:eastAsia="宋体" w:cs="宋体"/>
                <w:color w:val="auto"/>
                <w:spacing w:val="-4"/>
                <w:sz w:val="24"/>
                <w:szCs w:val="24"/>
                <w:highlight w:val="none"/>
              </w:rPr>
              <w:t>报价</w:t>
            </w:r>
          </w:p>
        </w:tc>
        <w:tc>
          <w:tcPr>
            <w:tcW w:w="6581" w:type="dxa"/>
            <w:vAlign w:val="top"/>
          </w:tcPr>
          <w:p w14:paraId="28674570">
            <w:pPr>
              <w:pStyle w:val="28"/>
              <w:spacing w:before="40" w:line="360" w:lineRule="auto"/>
              <w:ind w:left="10" w:right="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自主填报，但不得超出本项目的最高限价或采购预算。如超出，将按照无效磋商处理。</w:t>
            </w:r>
          </w:p>
          <w:p w14:paraId="48089D2D">
            <w:pPr>
              <w:pStyle w:val="28"/>
              <w:spacing w:before="40" w:line="360" w:lineRule="auto"/>
              <w:ind w:left="10" w:right="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磋商报价应是完成磋商内容所需的全部费用</w:t>
            </w:r>
            <w:r>
              <w:rPr>
                <w:rFonts w:hint="eastAsia" w:cs="宋体"/>
                <w:color w:val="auto"/>
                <w:sz w:val="24"/>
                <w:szCs w:val="24"/>
                <w:highlight w:val="none"/>
                <w:lang w:eastAsia="zh-CN"/>
              </w:rPr>
              <w:t>。</w:t>
            </w:r>
          </w:p>
        </w:tc>
      </w:tr>
      <w:tr w14:paraId="3FF0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6" w:type="dxa"/>
            <w:vAlign w:val="center"/>
          </w:tcPr>
          <w:p w14:paraId="1223B747">
            <w:pPr>
              <w:pStyle w:val="28"/>
              <w:spacing w:before="311"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2138" w:type="dxa"/>
            <w:vAlign w:val="center"/>
          </w:tcPr>
          <w:p w14:paraId="5174E6E1">
            <w:pPr>
              <w:pStyle w:val="28"/>
              <w:spacing w:before="39" w:line="360" w:lineRule="auto"/>
              <w:ind w:left="167" w:right="45" w:hanging="116"/>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竞争性磋商响应文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件的份数及要求</w:t>
            </w:r>
          </w:p>
        </w:tc>
        <w:tc>
          <w:tcPr>
            <w:tcW w:w="6581" w:type="dxa"/>
            <w:vAlign w:val="top"/>
          </w:tcPr>
          <w:p w14:paraId="045BA847">
            <w:pPr>
              <w:spacing w:line="360" w:lineRule="auto"/>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w:t>
            </w:r>
            <w:r>
              <w:rPr>
                <w:rFonts w:hint="eastAsia" w:ascii="宋体" w:hAnsi="宋体" w:eastAsia="宋体" w:cs="宋体"/>
                <w:snapToGrid w:val="0"/>
                <w:color w:val="auto"/>
                <w:spacing w:val="-2"/>
                <w:kern w:val="0"/>
                <w:sz w:val="24"/>
                <w:szCs w:val="24"/>
                <w:highlight w:val="none"/>
                <w:lang w:val="en-US" w:eastAsia="en-US" w:bidi="ar-SA"/>
              </w:rPr>
              <w:t>文件份数：正本1份，副本2份，电子版</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份(U盘)；</w:t>
            </w:r>
          </w:p>
          <w:p w14:paraId="51194F25">
            <w:pPr>
              <w:pStyle w:val="28"/>
              <w:spacing w:before="39" w:line="360" w:lineRule="auto"/>
              <w:ind w:left="34" w:right="3" w:hanging="22"/>
              <w:rPr>
                <w:rFonts w:hint="eastAsia" w:ascii="宋体" w:hAnsi="宋体" w:eastAsia="宋体" w:cs="宋体"/>
                <w:color w:val="auto"/>
                <w:sz w:val="24"/>
                <w:szCs w:val="24"/>
                <w:highlight w:val="none"/>
              </w:rPr>
            </w:pP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电子版包括</w:t>
            </w: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文件word格式及PDF格式。</w:t>
            </w:r>
          </w:p>
        </w:tc>
      </w:tr>
      <w:tr w14:paraId="4F785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6" w:type="dxa"/>
            <w:vAlign w:val="center"/>
          </w:tcPr>
          <w:p w14:paraId="1223220E">
            <w:pPr>
              <w:pStyle w:val="28"/>
              <w:spacing w:before="311" w:line="360" w:lineRule="auto"/>
              <w:ind w:left="299"/>
              <w:jc w:val="both"/>
              <w:rPr>
                <w:rFonts w:hint="default"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23</w:t>
            </w:r>
          </w:p>
        </w:tc>
        <w:tc>
          <w:tcPr>
            <w:tcW w:w="2138" w:type="dxa"/>
            <w:vAlign w:val="center"/>
          </w:tcPr>
          <w:p w14:paraId="09412AD3">
            <w:pPr>
              <w:spacing w:line="36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签字或盖章要求</w:t>
            </w:r>
          </w:p>
        </w:tc>
        <w:tc>
          <w:tcPr>
            <w:tcW w:w="6581" w:type="dxa"/>
            <w:vAlign w:val="center"/>
          </w:tcPr>
          <w:p w14:paraId="3CCCF728">
            <w:pPr>
              <w:spacing w:line="360" w:lineRule="auto"/>
              <w:jc w:val="left"/>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color w:val="auto"/>
                <w:sz w:val="24"/>
                <w:szCs w:val="24"/>
                <w:highlight w:val="none"/>
              </w:rPr>
              <w:t>竞争性磋商响应文件封面及其它有要求的部位应加盖供应商公章并经法定代表人或其委托代理人签字或盖章。</w:t>
            </w:r>
          </w:p>
        </w:tc>
      </w:tr>
      <w:tr w14:paraId="4F23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816" w:type="dxa"/>
            <w:vAlign w:val="center"/>
          </w:tcPr>
          <w:p w14:paraId="2DCFC33D">
            <w:pPr>
              <w:pStyle w:val="28"/>
              <w:spacing w:before="311" w:line="360" w:lineRule="auto"/>
              <w:ind w:left="299"/>
              <w:jc w:val="both"/>
              <w:rPr>
                <w:rFonts w:hint="default"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24</w:t>
            </w:r>
          </w:p>
        </w:tc>
        <w:tc>
          <w:tcPr>
            <w:tcW w:w="2138" w:type="dxa"/>
            <w:vAlign w:val="center"/>
          </w:tcPr>
          <w:p w14:paraId="405C2BB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封套上应载明的信息</w:t>
            </w:r>
          </w:p>
        </w:tc>
        <w:tc>
          <w:tcPr>
            <w:tcW w:w="6581" w:type="dxa"/>
            <w:vAlign w:val="center"/>
          </w:tcPr>
          <w:p w14:paraId="13379A8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采购人名称：                       </w:t>
            </w:r>
          </w:p>
          <w:p w14:paraId="5660D14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     （名称加盖公章及法定代表人章或签字）</w:t>
            </w:r>
          </w:p>
          <w:p w14:paraId="2A53E54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lang w:eastAsia="zh-CN"/>
              </w:rPr>
              <w:t xml:space="preserve">文件）                                     </w:t>
            </w:r>
          </w:p>
          <w:p w14:paraId="08CF8A4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lang w:eastAsia="zh-CN"/>
              </w:rPr>
              <w:t>文件在     年   月   日   时   分前不得开启</w:t>
            </w:r>
          </w:p>
          <w:p w14:paraId="58E2988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注：封口处均应加盖公章及法人章或粘贴加盖公章及法人章的密封条。</w:t>
            </w:r>
          </w:p>
        </w:tc>
      </w:tr>
      <w:tr w14:paraId="76B3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6" w:type="dxa"/>
            <w:vAlign w:val="center"/>
          </w:tcPr>
          <w:p w14:paraId="1D4DC239">
            <w:pPr>
              <w:pStyle w:val="28"/>
              <w:spacing w:before="311" w:line="360" w:lineRule="auto"/>
              <w:ind w:left="299"/>
              <w:jc w:val="both"/>
              <w:rPr>
                <w:rFonts w:hint="default"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25</w:t>
            </w:r>
          </w:p>
        </w:tc>
        <w:tc>
          <w:tcPr>
            <w:tcW w:w="2138" w:type="dxa"/>
            <w:vAlign w:val="center"/>
          </w:tcPr>
          <w:p w14:paraId="66B56E6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装订及包封</w:t>
            </w:r>
          </w:p>
        </w:tc>
        <w:tc>
          <w:tcPr>
            <w:tcW w:w="6581" w:type="dxa"/>
            <w:vAlign w:val="center"/>
          </w:tcPr>
          <w:p w14:paraId="70D4289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1.装订要求：磋商响应文件一律采用书籍（胶装）方式装订，磋商响应文件均须A4纸打印，分别胶装成册并编制目录和页码。</w:t>
            </w:r>
          </w:p>
          <w:p w14:paraId="10D073E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2.包封要求：正本和副本分别密封，正本一个密封袋，所有副本一个密封袋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电子版</w:t>
            </w:r>
            <w:r>
              <w:rPr>
                <w:rFonts w:hint="eastAsia" w:ascii="宋体" w:hAnsi="宋体" w:eastAsia="宋体" w:cs="宋体"/>
                <w:b w:val="0"/>
                <w:bCs w:val="0"/>
                <w:color w:val="auto"/>
                <w:sz w:val="24"/>
                <w:szCs w:val="24"/>
                <w:highlight w:val="none"/>
                <w:lang w:val="en-US" w:eastAsia="zh-CN"/>
              </w:rPr>
              <w:t>放在正本</w:t>
            </w:r>
            <w:r>
              <w:rPr>
                <w:rFonts w:hint="eastAsia" w:ascii="宋体" w:hAnsi="宋体" w:eastAsia="宋体" w:cs="宋体"/>
                <w:b w:val="0"/>
                <w:bCs w:val="0"/>
                <w:color w:val="auto"/>
                <w:sz w:val="24"/>
                <w:szCs w:val="24"/>
                <w:highlight w:val="none"/>
              </w:rPr>
              <w:t>密封袋</w:t>
            </w:r>
            <w:r>
              <w:rPr>
                <w:rFonts w:hint="eastAsia" w:ascii="宋体" w:hAnsi="宋体" w:eastAsia="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rPr>
              <w:t>。</w:t>
            </w:r>
          </w:p>
        </w:tc>
      </w:tr>
      <w:tr w14:paraId="4E58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6" w:type="dxa"/>
            <w:vAlign w:val="center"/>
          </w:tcPr>
          <w:p w14:paraId="62811E2E">
            <w:pPr>
              <w:pStyle w:val="28"/>
              <w:spacing w:before="213"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26</w:t>
            </w:r>
          </w:p>
        </w:tc>
        <w:tc>
          <w:tcPr>
            <w:tcW w:w="2138" w:type="dxa"/>
            <w:vAlign w:val="center"/>
          </w:tcPr>
          <w:p w14:paraId="5098D026">
            <w:pPr>
              <w:pStyle w:val="28"/>
              <w:spacing w:before="176" w:line="360" w:lineRule="auto"/>
              <w:ind w:left="52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评审方法</w:t>
            </w:r>
          </w:p>
        </w:tc>
        <w:tc>
          <w:tcPr>
            <w:tcW w:w="6581" w:type="dxa"/>
            <w:vAlign w:val="top"/>
          </w:tcPr>
          <w:p w14:paraId="5EB80A7C">
            <w:pPr>
              <w:pStyle w:val="28"/>
              <w:spacing w:before="175" w:line="360"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综合评分法（详见第三章）</w:t>
            </w:r>
          </w:p>
        </w:tc>
      </w:tr>
      <w:tr w14:paraId="1277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816" w:type="dxa"/>
            <w:vAlign w:val="center"/>
          </w:tcPr>
          <w:p w14:paraId="64CBD19A">
            <w:pPr>
              <w:pStyle w:val="28"/>
              <w:spacing w:before="78"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27</w:t>
            </w:r>
          </w:p>
        </w:tc>
        <w:tc>
          <w:tcPr>
            <w:tcW w:w="2138" w:type="dxa"/>
            <w:vAlign w:val="center"/>
          </w:tcPr>
          <w:p w14:paraId="48BA3301">
            <w:pPr>
              <w:pStyle w:val="28"/>
              <w:spacing w:before="78" w:line="360" w:lineRule="auto"/>
              <w:ind w:left="168"/>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磋商小组的组建</w:t>
            </w:r>
          </w:p>
        </w:tc>
        <w:tc>
          <w:tcPr>
            <w:tcW w:w="6581" w:type="dxa"/>
            <w:vAlign w:val="top"/>
          </w:tcPr>
          <w:p w14:paraId="14D5F087">
            <w:pPr>
              <w:pStyle w:val="28"/>
              <w:spacing w:before="39" w:line="36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磋商小组构成：3人，其中：采购人代表 1 人；专家2人。</w:t>
            </w:r>
          </w:p>
          <w:p w14:paraId="04FA74AB">
            <w:pPr>
              <w:pStyle w:val="28"/>
              <w:spacing w:before="181" w:line="360" w:lineRule="auto"/>
              <w:ind w:left="11" w:right="3"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评标专家确定方式：开标前在专家库中，通过随机方式</w:t>
            </w:r>
            <w:r>
              <w:rPr>
                <w:rFonts w:hint="eastAsia" w:ascii="宋体" w:hAnsi="宋体" w:eastAsia="宋体" w:cs="宋体"/>
                <w:color w:val="auto"/>
                <w:spacing w:val="-2"/>
                <w:sz w:val="24"/>
                <w:szCs w:val="24"/>
                <w:highlight w:val="none"/>
              </w:rPr>
              <w:t>抽取评审</w:t>
            </w:r>
            <w:r>
              <w:rPr>
                <w:rFonts w:hint="eastAsia" w:ascii="宋体" w:hAnsi="宋体" w:eastAsia="宋体" w:cs="宋体"/>
                <w:color w:val="auto"/>
                <w:spacing w:val="-4"/>
                <w:sz w:val="24"/>
                <w:szCs w:val="24"/>
                <w:highlight w:val="none"/>
              </w:rPr>
              <w:t>专家。</w:t>
            </w:r>
          </w:p>
        </w:tc>
      </w:tr>
      <w:tr w14:paraId="3309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6" w:type="dxa"/>
            <w:vAlign w:val="center"/>
          </w:tcPr>
          <w:p w14:paraId="1DF39A2E">
            <w:pPr>
              <w:pStyle w:val="28"/>
              <w:spacing w:before="78" w:line="360" w:lineRule="auto"/>
              <w:ind w:left="29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28</w:t>
            </w:r>
          </w:p>
        </w:tc>
        <w:tc>
          <w:tcPr>
            <w:tcW w:w="2138" w:type="dxa"/>
            <w:vAlign w:val="center"/>
          </w:tcPr>
          <w:p w14:paraId="7332E4F8">
            <w:pPr>
              <w:pStyle w:val="28"/>
              <w:spacing w:before="78" w:line="360" w:lineRule="auto"/>
              <w:ind w:firstLine="468" w:firstLineChars="200"/>
              <w:jc w:val="both"/>
              <w:rPr>
                <w:rFonts w:hint="eastAsia" w:ascii="宋体" w:hAnsi="宋体" w:eastAsia="宋体" w:cs="宋体"/>
                <w:color w:val="auto"/>
                <w:sz w:val="24"/>
                <w:szCs w:val="24"/>
                <w:highlight w:val="none"/>
              </w:rPr>
            </w:pPr>
            <w:r>
              <w:rPr>
                <w:rFonts w:hint="eastAsia"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代理费</w:t>
            </w:r>
          </w:p>
        </w:tc>
        <w:tc>
          <w:tcPr>
            <w:tcW w:w="6581" w:type="dxa"/>
            <w:vAlign w:val="top"/>
          </w:tcPr>
          <w:p w14:paraId="1C58D4A5">
            <w:pPr>
              <w:pStyle w:val="28"/>
              <w:spacing w:before="37" w:line="360" w:lineRule="auto"/>
              <w:ind w:left="13" w:right="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以中标价为基准，参照国家计委颁发的《招标代理服务收费管理暂行办法》【2002】1980号文件中</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招标的收费标准和《国家发展改革委关于降低部分建设项目收费标准规范收费行为等有关问题的通知》发改价格【2011】534号文件</w:t>
            </w:r>
            <w:r>
              <w:rPr>
                <w:rFonts w:hint="eastAsia" w:ascii="宋体" w:hAnsi="宋体" w:eastAsia="宋体" w:cs="宋体"/>
                <w:color w:val="auto"/>
                <w:sz w:val="24"/>
                <w:szCs w:val="24"/>
                <w:highlight w:val="none"/>
                <w:lang w:val="en-US" w:eastAsia="zh-CN"/>
              </w:rPr>
              <w:t>中关于“服务招标”收费标准规定，下浮50%</w:t>
            </w:r>
            <w:r>
              <w:rPr>
                <w:rFonts w:hint="eastAsia" w:ascii="宋体" w:hAnsi="宋体" w:eastAsia="宋体" w:cs="宋体"/>
                <w:color w:val="auto"/>
                <w:sz w:val="24"/>
                <w:szCs w:val="24"/>
                <w:highlight w:val="none"/>
              </w:rPr>
              <w:t>收取</w:t>
            </w:r>
            <w:r>
              <w:rPr>
                <w:rFonts w:hint="eastAsia" w:cs="宋体"/>
                <w:color w:val="auto"/>
                <w:sz w:val="24"/>
                <w:szCs w:val="24"/>
                <w:highlight w:val="none"/>
                <w:lang w:eastAsia="zh-CN"/>
              </w:rPr>
              <w:t>。</w:t>
            </w:r>
          </w:p>
          <w:p w14:paraId="7FA6A148">
            <w:pPr>
              <w:pStyle w:val="28"/>
              <w:spacing w:before="37" w:line="360" w:lineRule="auto"/>
              <w:ind w:left="13" w:right="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成交人领取成交通知书前，须向采购代理机构一次性支付</w:t>
            </w:r>
            <w:r>
              <w:rPr>
                <w:rFonts w:hint="eastAsia" w:cs="宋体"/>
                <w:color w:val="auto"/>
                <w:sz w:val="24"/>
                <w:szCs w:val="24"/>
                <w:highlight w:val="none"/>
                <w:lang w:eastAsia="zh-CN"/>
              </w:rPr>
              <w:t>采购</w:t>
            </w:r>
            <w:r>
              <w:rPr>
                <w:rFonts w:hint="eastAsia" w:ascii="宋体" w:hAnsi="宋体" w:eastAsia="宋体" w:cs="宋体"/>
                <w:color w:val="auto"/>
                <w:sz w:val="24"/>
                <w:szCs w:val="24"/>
                <w:highlight w:val="none"/>
              </w:rPr>
              <w:t>代理服务费。</w:t>
            </w:r>
          </w:p>
        </w:tc>
      </w:tr>
      <w:tr w14:paraId="05268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16" w:type="dxa"/>
            <w:vAlign w:val="center"/>
          </w:tcPr>
          <w:p w14:paraId="60706F4A">
            <w:pPr>
              <w:pStyle w:val="28"/>
              <w:spacing w:before="78" w:line="360" w:lineRule="auto"/>
              <w:jc w:val="center"/>
              <w:rPr>
                <w:rFonts w:hint="default" w:ascii="宋体" w:hAnsi="宋体" w:eastAsia="宋体" w:cs="宋体"/>
                <w:color w:val="auto"/>
                <w:sz w:val="24"/>
                <w:szCs w:val="24"/>
                <w:highlight w:val="none"/>
                <w:lang w:val="en-US" w:eastAsia="zh-CN"/>
              </w:rPr>
            </w:pPr>
            <w:r>
              <w:rPr>
                <w:rFonts w:hint="eastAsia" w:cs="宋体"/>
                <w:color w:val="auto"/>
                <w:spacing w:val="-8"/>
                <w:sz w:val="24"/>
                <w:szCs w:val="24"/>
                <w:highlight w:val="none"/>
                <w:lang w:val="en-US" w:eastAsia="zh-CN"/>
              </w:rPr>
              <w:t>29</w:t>
            </w:r>
          </w:p>
        </w:tc>
        <w:tc>
          <w:tcPr>
            <w:tcW w:w="2138" w:type="dxa"/>
            <w:vAlign w:val="center"/>
          </w:tcPr>
          <w:p w14:paraId="12DA8193">
            <w:pPr>
              <w:pStyle w:val="28"/>
              <w:spacing w:before="78" w:line="360" w:lineRule="auto"/>
              <w:ind w:right="234" w:rightChars="0"/>
              <w:jc w:val="center"/>
              <w:rPr>
                <w:rFonts w:hint="eastAsia" w:ascii="宋体" w:hAnsi="宋体" w:eastAsia="宋体" w:cs="宋体"/>
                <w:color w:val="auto"/>
                <w:sz w:val="24"/>
                <w:szCs w:val="24"/>
                <w:highlight w:val="none"/>
              </w:rPr>
            </w:pPr>
            <w:r>
              <w:rPr>
                <w:rFonts w:hint="eastAsia"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项目性质</w:t>
            </w:r>
          </w:p>
        </w:tc>
        <w:tc>
          <w:tcPr>
            <w:tcW w:w="6581" w:type="dxa"/>
            <w:vAlign w:val="top"/>
          </w:tcPr>
          <w:p w14:paraId="71B86733">
            <w:pPr>
              <w:tabs>
                <w:tab w:val="left" w:pos="9720"/>
              </w:tabs>
              <w:spacing w:line="360"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1.本项目</w:t>
            </w:r>
            <w:r>
              <w:rPr>
                <w:rFonts w:hint="eastAsia" w:ascii="宋体" w:hAnsi="宋体" w:eastAsia="宋体" w:cs="宋体"/>
                <w:snapToGrid w:val="0"/>
                <w:color w:val="auto"/>
                <w:kern w:val="0"/>
                <w:sz w:val="24"/>
                <w:szCs w:val="24"/>
                <w:highlight w:val="none"/>
                <w:lang w:val="en-US" w:eastAsia="zh-CN" w:bidi="ar-SA"/>
              </w:rPr>
              <w:t>非</w:t>
            </w:r>
            <w:r>
              <w:rPr>
                <w:rFonts w:hint="eastAsia" w:ascii="宋体" w:hAnsi="宋体" w:eastAsia="宋体" w:cs="宋体"/>
                <w:snapToGrid w:val="0"/>
                <w:color w:val="auto"/>
                <w:kern w:val="0"/>
                <w:sz w:val="24"/>
                <w:szCs w:val="24"/>
                <w:highlight w:val="none"/>
                <w:lang w:val="en-US" w:eastAsia="en-US" w:bidi="ar-SA"/>
              </w:rPr>
              <w:t>专门面向</w:t>
            </w:r>
            <w:r>
              <w:rPr>
                <w:rFonts w:hint="eastAsia" w:ascii="宋体" w:hAnsi="宋体" w:eastAsia="宋体" w:cs="宋体"/>
                <w:snapToGrid w:val="0"/>
                <w:color w:val="auto"/>
                <w:kern w:val="0"/>
                <w:sz w:val="24"/>
                <w:szCs w:val="24"/>
                <w:highlight w:val="none"/>
                <w:lang w:val="en-US" w:eastAsia="zh-CN" w:bidi="ar-SA"/>
              </w:rPr>
              <w:t>中小企业</w:t>
            </w:r>
            <w:r>
              <w:rPr>
                <w:rFonts w:hint="eastAsia" w:ascii="宋体" w:hAnsi="宋体" w:eastAsia="宋体" w:cs="宋体"/>
                <w:snapToGrid w:val="0"/>
                <w:color w:val="auto"/>
                <w:kern w:val="0"/>
                <w:sz w:val="24"/>
                <w:szCs w:val="24"/>
                <w:highlight w:val="none"/>
                <w:lang w:val="en-US" w:eastAsia="en-US" w:bidi="ar-SA"/>
              </w:rPr>
              <w:t>。</w:t>
            </w:r>
          </w:p>
          <w:p w14:paraId="67B6C340">
            <w:pPr>
              <w:tabs>
                <w:tab w:val="left" w:pos="9720"/>
              </w:tabs>
              <w:spacing w:line="360"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2.本项目属性为</w:t>
            </w:r>
            <w:r>
              <w:rPr>
                <w:rFonts w:hint="eastAsia" w:ascii="宋体" w:hAnsi="宋体" w:eastAsia="宋体" w:cs="宋体"/>
                <w:snapToGrid w:val="0"/>
                <w:color w:val="auto"/>
                <w:kern w:val="0"/>
                <w:sz w:val="24"/>
                <w:szCs w:val="24"/>
                <w:highlight w:val="none"/>
                <w:lang w:val="en-US" w:eastAsia="zh-CN" w:bidi="ar-SA"/>
              </w:rPr>
              <w:t>服务</w:t>
            </w:r>
            <w:r>
              <w:rPr>
                <w:rFonts w:hint="eastAsia" w:ascii="宋体" w:hAnsi="宋体" w:eastAsia="宋体" w:cs="宋体"/>
                <w:snapToGrid w:val="0"/>
                <w:color w:val="auto"/>
                <w:kern w:val="0"/>
                <w:sz w:val="24"/>
                <w:szCs w:val="24"/>
                <w:highlight w:val="none"/>
                <w:lang w:val="en-US" w:eastAsia="en-US" w:bidi="ar-SA"/>
              </w:rPr>
              <w:t>。</w:t>
            </w:r>
          </w:p>
          <w:p w14:paraId="09CA7A1B">
            <w:pPr>
              <w:tabs>
                <w:tab w:val="left" w:pos="9720"/>
              </w:tabs>
              <w:spacing w:line="360"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3.本项目合同包1采购标的所属行业为：</w:t>
            </w:r>
            <w:r>
              <w:rPr>
                <w:rFonts w:hint="eastAsia" w:ascii="宋体" w:hAnsi="宋体" w:eastAsia="宋体" w:cs="宋体"/>
                <w:snapToGrid w:val="0"/>
                <w:color w:val="auto"/>
                <w:kern w:val="0"/>
                <w:sz w:val="24"/>
                <w:szCs w:val="24"/>
                <w:highlight w:val="none"/>
                <w:lang w:val="en-US" w:eastAsia="zh-CN" w:bidi="ar-SA"/>
              </w:rPr>
              <w:t xml:space="preserve">其他未列明行业 </w:t>
            </w:r>
            <w:r>
              <w:rPr>
                <w:rFonts w:hint="eastAsia" w:ascii="宋体" w:hAnsi="宋体" w:eastAsia="宋体" w:cs="宋体"/>
                <w:snapToGrid w:val="0"/>
                <w:color w:val="auto"/>
                <w:kern w:val="0"/>
                <w:sz w:val="24"/>
                <w:szCs w:val="24"/>
                <w:highlight w:val="none"/>
                <w:lang w:val="en-US" w:eastAsia="en-US" w:bidi="ar-SA"/>
              </w:rPr>
              <w:t>；</w:t>
            </w:r>
          </w:p>
          <w:p w14:paraId="1D125417">
            <w:pPr>
              <w:tabs>
                <w:tab w:val="left" w:pos="9720"/>
              </w:tabs>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4.本项目是否属于信用担保试点范围：否；</w:t>
            </w:r>
          </w:p>
        </w:tc>
      </w:tr>
      <w:tr w14:paraId="6B0C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16" w:type="dxa"/>
            <w:vAlign w:val="center"/>
          </w:tcPr>
          <w:p w14:paraId="5739DEC7">
            <w:pPr>
              <w:pStyle w:val="28"/>
              <w:spacing w:before="78" w:line="360" w:lineRule="auto"/>
              <w:jc w:val="center"/>
              <w:rPr>
                <w:rFonts w:hint="default" w:cs="宋体"/>
                <w:color w:val="auto"/>
                <w:spacing w:val="-8"/>
                <w:sz w:val="24"/>
                <w:szCs w:val="24"/>
                <w:highlight w:val="none"/>
                <w:lang w:val="en-US" w:eastAsia="zh-CN"/>
              </w:rPr>
            </w:pPr>
            <w:r>
              <w:rPr>
                <w:rFonts w:hint="eastAsia" w:cs="宋体"/>
                <w:color w:val="auto"/>
                <w:spacing w:val="-8"/>
                <w:sz w:val="24"/>
                <w:szCs w:val="24"/>
                <w:highlight w:val="none"/>
                <w:lang w:val="en-US" w:eastAsia="zh-CN"/>
              </w:rPr>
              <w:t>30</w:t>
            </w:r>
          </w:p>
        </w:tc>
        <w:tc>
          <w:tcPr>
            <w:tcW w:w="2138" w:type="dxa"/>
            <w:vAlign w:val="center"/>
          </w:tcPr>
          <w:p w14:paraId="40CDFD9D">
            <w:pPr>
              <w:pStyle w:val="28"/>
              <w:spacing w:before="78" w:line="360" w:lineRule="auto"/>
              <w:ind w:right="234" w:rightChars="0"/>
              <w:jc w:val="center"/>
              <w:rPr>
                <w:rFonts w:hint="default" w:cs="宋体"/>
                <w:color w:val="auto"/>
                <w:spacing w:val="-7"/>
                <w:sz w:val="24"/>
                <w:szCs w:val="24"/>
                <w:highlight w:val="none"/>
                <w:lang w:val="en-US" w:eastAsia="zh-CN"/>
              </w:rPr>
            </w:pPr>
            <w:r>
              <w:rPr>
                <w:rFonts w:hint="eastAsia" w:cs="宋体"/>
                <w:color w:val="auto"/>
                <w:spacing w:val="-7"/>
                <w:sz w:val="24"/>
                <w:szCs w:val="24"/>
                <w:highlight w:val="none"/>
                <w:lang w:val="en-US" w:eastAsia="zh-CN"/>
              </w:rPr>
              <w:t>开标携带原件</w:t>
            </w:r>
          </w:p>
        </w:tc>
        <w:tc>
          <w:tcPr>
            <w:tcW w:w="6581" w:type="dxa"/>
            <w:vAlign w:val="top"/>
          </w:tcPr>
          <w:p w14:paraId="1CD43C9B">
            <w:pPr>
              <w:tabs>
                <w:tab w:val="left" w:pos="9720"/>
              </w:tabs>
              <w:spacing w:line="360"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法定代表人授权书（附法定代表人、被授权人身份证复印件）及被授权人身份证（法定代表人直接参加投标会议，须提供法定代表人身份证明及身份证原件及复印件）</w:t>
            </w:r>
          </w:p>
        </w:tc>
      </w:tr>
    </w:tbl>
    <w:p w14:paraId="4E2BFAFC">
      <w:pPr>
        <w:rPr>
          <w:color w:val="auto"/>
          <w:highlight w:val="none"/>
        </w:rPr>
        <w:sectPr>
          <w:footerReference r:id="rId5" w:type="default"/>
          <w:pgSz w:w="11906" w:h="16840"/>
          <w:pgMar w:top="1440" w:right="1803" w:bottom="1440" w:left="1803" w:header="0" w:footer="1173" w:gutter="0"/>
          <w:pgNumType w:fmt="decimal" w:start="1"/>
          <w:cols w:space="720" w:num="1"/>
        </w:sectPr>
      </w:pPr>
    </w:p>
    <w:p w14:paraId="63BF35EF">
      <w:pPr>
        <w:spacing w:before="69" w:line="347" w:lineRule="exact"/>
        <w:ind w:left="3921"/>
        <w:rPr>
          <w:rFonts w:ascii="微软雅黑" w:hAnsi="微软雅黑" w:eastAsia="微软雅黑" w:cs="微软雅黑"/>
          <w:color w:val="auto"/>
          <w:sz w:val="34"/>
          <w:szCs w:val="34"/>
          <w:highlight w:val="none"/>
        </w:rPr>
      </w:pPr>
      <w:r>
        <w:rPr>
          <w:rFonts w:ascii="微软雅黑" w:hAnsi="微软雅黑" w:eastAsia="微软雅黑" w:cs="微软雅黑"/>
          <w:color w:val="auto"/>
          <w:spacing w:val="3"/>
          <w:position w:val="-1"/>
          <w:sz w:val="34"/>
          <w:szCs w:val="34"/>
          <w:highlight w:val="none"/>
        </w:rPr>
        <w:t>一.</w:t>
      </w:r>
      <w:r>
        <w:rPr>
          <w:rFonts w:ascii="微软雅黑" w:hAnsi="微软雅黑" w:eastAsia="微软雅黑" w:cs="微软雅黑"/>
          <w:color w:val="auto"/>
          <w:spacing w:val="-53"/>
          <w:position w:val="-1"/>
          <w:sz w:val="34"/>
          <w:szCs w:val="34"/>
          <w:highlight w:val="none"/>
        </w:rPr>
        <w:t xml:space="preserve"> </w:t>
      </w:r>
      <w:r>
        <w:rPr>
          <w:rFonts w:ascii="微软雅黑" w:hAnsi="微软雅黑" w:eastAsia="微软雅黑" w:cs="微软雅黑"/>
          <w:color w:val="auto"/>
          <w:spacing w:val="3"/>
          <w:position w:val="-1"/>
          <w:sz w:val="34"/>
          <w:szCs w:val="34"/>
          <w:highlight w:val="none"/>
        </w:rPr>
        <w:t>总   则</w:t>
      </w:r>
    </w:p>
    <w:p w14:paraId="733FAD2D">
      <w:pPr>
        <w:spacing w:before="214" w:line="360" w:lineRule="auto"/>
        <w:ind w:left="1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1.资金来源</w:t>
      </w:r>
    </w:p>
    <w:p w14:paraId="4B9413DE">
      <w:pPr>
        <w:spacing w:before="213" w:line="360"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1.1本次竞争性磋商所签合同使用财政资金支付，资金已落实到位。</w:t>
      </w:r>
    </w:p>
    <w:p w14:paraId="39FC914D">
      <w:pPr>
        <w:spacing w:before="217" w:line="360" w:lineRule="auto"/>
        <w:ind w:left="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2.名词解释</w:t>
      </w:r>
    </w:p>
    <w:p w14:paraId="55FB0D94">
      <w:pPr>
        <w:spacing w:before="213" w:line="360" w:lineRule="auto"/>
        <w:ind w:left="48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2.1采购人：</w:t>
      </w:r>
      <w:r>
        <w:rPr>
          <w:rFonts w:hint="eastAsia" w:ascii="宋体" w:hAnsi="宋体" w:eastAsia="宋体" w:cs="宋体"/>
          <w:color w:val="auto"/>
          <w:sz w:val="24"/>
          <w:szCs w:val="24"/>
          <w:highlight w:val="none"/>
          <w:lang w:eastAsia="zh-CN"/>
        </w:rPr>
        <w:t>咸阳高新技术产业开发区管理委员会</w:t>
      </w:r>
    </w:p>
    <w:p w14:paraId="48A1F207">
      <w:pPr>
        <w:spacing w:before="215" w:line="36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  监督机构：同级人民政府财政部门</w:t>
      </w:r>
    </w:p>
    <w:p w14:paraId="7F268FF6">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  采购代理机构：</w:t>
      </w:r>
      <w:r>
        <w:rPr>
          <w:rFonts w:hint="eastAsia" w:ascii="宋体" w:hAnsi="宋体" w:eastAsia="宋体" w:cs="宋体"/>
          <w:color w:val="auto"/>
          <w:spacing w:val="-4"/>
          <w:sz w:val="24"/>
          <w:szCs w:val="24"/>
          <w:highlight w:val="none"/>
          <w:lang w:val="en-US" w:eastAsia="zh-CN"/>
        </w:rPr>
        <w:t>红昕国际项目管理有限公司</w:t>
      </w:r>
    </w:p>
    <w:p w14:paraId="03A7456D">
      <w:pPr>
        <w:spacing w:before="216" w:line="360" w:lineRule="auto"/>
        <w:ind w:left="6"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  供应商：是指响应和符合竞争性磋商文件规定资格条件且参与竞争性磋</w:t>
      </w:r>
      <w:r>
        <w:rPr>
          <w:rFonts w:hint="eastAsia" w:ascii="宋体" w:hAnsi="宋体" w:eastAsia="宋体" w:cs="宋体"/>
          <w:color w:val="auto"/>
          <w:spacing w:val="-2"/>
          <w:sz w:val="24"/>
          <w:szCs w:val="24"/>
          <w:highlight w:val="none"/>
        </w:rPr>
        <w:t>商的法人、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其他组织或者自然人。</w:t>
      </w:r>
    </w:p>
    <w:p w14:paraId="3D4E91D1">
      <w:pPr>
        <w:spacing w:before="215" w:line="360" w:lineRule="auto"/>
        <w:ind w:lef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产品是指本竞争性磋商文件中第四章</w:t>
      </w:r>
      <w:r>
        <w:rPr>
          <w:rFonts w:hint="eastAsia" w:ascii="宋体" w:hAnsi="宋体" w:eastAsia="宋体" w:cs="宋体"/>
          <w:color w:val="auto"/>
          <w:spacing w:val="-1"/>
          <w:sz w:val="24"/>
          <w:szCs w:val="24"/>
          <w:highlight w:val="none"/>
        </w:rPr>
        <w:t>所述所有产品。</w:t>
      </w:r>
    </w:p>
    <w:p w14:paraId="11FDDE9C">
      <w:pPr>
        <w:spacing w:before="216" w:line="360" w:lineRule="auto"/>
        <w:ind w:left="10" w:right="73" w:firstLine="47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rPr>
        <w:t xml:space="preserve">  节能产品或者环保产品是指依据国家确定的认证机构出具的、处于有效期之内的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具有节能产品、环境标志产品认证证书的产品。</w:t>
      </w:r>
    </w:p>
    <w:p w14:paraId="0AB5FF02">
      <w:pPr>
        <w:spacing w:before="215" w:line="360" w:lineRule="auto"/>
        <w:ind w:left="9" w:right="70" w:firstLine="4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rPr>
        <w:t xml:space="preserve"> 进口产品是指通过中国海关报关验放进入中国境内且产自关境外的产品，详见《关</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于政府采购进口产品管理有关问题的通知》(财库[2007]119  号)。</w:t>
      </w:r>
    </w:p>
    <w:p w14:paraId="1E59F169">
      <w:pPr>
        <w:spacing w:before="227" w:line="360" w:lineRule="auto"/>
        <w:ind w:left="4" w:right="68" w:firstLine="47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lang w:val="en-US" w:eastAsia="zh-CN"/>
        </w:rPr>
        <w:t>8</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7"/>
          <w:sz w:val="24"/>
          <w:szCs w:val="24"/>
          <w:highlight w:val="none"/>
        </w:rPr>
        <w:t>中小企业是指符合《工业和信息化部、国家统计局、国家发展和改革委员会、财 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部关于印发中小企业划型标准规定的通知》(工信部联企业[2011]300  号)规定的对中 小企</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业的划分标准的企业。</w:t>
      </w:r>
    </w:p>
    <w:p w14:paraId="77D7F1C5">
      <w:pPr>
        <w:spacing w:before="217" w:line="360" w:lineRule="auto"/>
        <w:ind w:left="6" w:right="68" w:firstLine="4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 xml:space="preserve">  监狱企业是指由司法部认定的为罪犯、戒毒人员提供生产项目和劳动对象，且 全</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部产权属于司法部监狱管理局、戒毒管理局、</w:t>
      </w:r>
      <w:r>
        <w:rPr>
          <w:rFonts w:hint="eastAsia" w:ascii="宋体" w:hAnsi="宋体" w:eastAsia="宋体" w:cs="宋体"/>
          <w:color w:val="auto"/>
          <w:spacing w:val="-2"/>
          <w:sz w:val="24"/>
          <w:szCs w:val="24"/>
          <w:highlight w:val="none"/>
        </w:rPr>
        <w:t>直属煤矿管理局，各省、自治区、直辖市 监</w:t>
      </w:r>
      <w:r>
        <w:rPr>
          <w:rFonts w:hint="eastAsia" w:ascii="宋体" w:hAnsi="宋体" w:eastAsia="宋体" w:cs="宋体"/>
          <w:color w:val="auto"/>
          <w:sz w:val="24"/>
          <w:szCs w:val="24"/>
          <w:highlight w:val="none"/>
        </w:rPr>
        <w:t xml:space="preserve"> 狱管理局、戒毒管理局，各地 (设区的市)  监狱、强制隔离戒毒所、戒毒康复所，以及 新</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疆生产建设兵团监狱管理局、戒毒管理局的企业。</w:t>
      </w:r>
    </w:p>
    <w:p w14:paraId="30D0B22B">
      <w:pPr>
        <w:spacing w:before="213" w:line="360" w:lineRule="auto"/>
        <w:ind w:left="25" w:right="70" w:firstLine="45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 xml:space="preserve"> 残疾人福利性单位是指符合《三部门联合发布关于促进残疾人就业政府采购政 策</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的通知》财库〔2017〕141  号规定的对残疾人福利性单位划分标准的单位。</w:t>
      </w:r>
    </w:p>
    <w:p w14:paraId="208D1ACC">
      <w:pPr>
        <w:spacing w:before="216"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3.合格的供应商</w:t>
      </w:r>
    </w:p>
    <w:p w14:paraId="69D610BB">
      <w:pPr>
        <w:spacing w:before="215" w:line="360" w:lineRule="auto"/>
        <w:ind w:left="4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3.1《政府采购法》第二十二条第一款规定</w:t>
      </w:r>
      <w:r>
        <w:rPr>
          <w:rFonts w:hint="eastAsia" w:ascii="宋体" w:hAnsi="宋体" w:eastAsia="宋体" w:cs="宋体"/>
          <w:color w:val="auto"/>
          <w:spacing w:val="-1"/>
          <w:sz w:val="24"/>
          <w:szCs w:val="24"/>
          <w:highlight w:val="none"/>
        </w:rPr>
        <w:t>的供应商基本资格条件:</w:t>
      </w:r>
    </w:p>
    <w:p w14:paraId="7F9ACD84">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  具有独立承担民事责任的能力；</w:t>
      </w:r>
    </w:p>
    <w:p w14:paraId="65D27193">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  具有良好的商业信誉和健全的财务会计制度；</w:t>
      </w:r>
    </w:p>
    <w:p w14:paraId="3C6D69AB">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  具有履行合同所必需的设备和专业技术能力；</w:t>
      </w:r>
    </w:p>
    <w:p w14:paraId="6182C10F">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  有依法缴纳税收和社会保障资金的良好记录；</w:t>
      </w:r>
    </w:p>
    <w:p w14:paraId="7EF921BD">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  参加政府采购活动前三年内，在经营活动中没有重大违法记录；</w:t>
      </w:r>
    </w:p>
    <w:p w14:paraId="7A3B4334">
      <w:pPr>
        <w:spacing w:before="215" w:line="360" w:lineRule="auto"/>
        <w:ind w:left="504"/>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  法律、行政法规规定的其他条件。</w:t>
      </w:r>
    </w:p>
    <w:p w14:paraId="19F4644F">
      <w:pPr>
        <w:spacing w:before="226" w:line="360" w:lineRule="auto"/>
        <w:ind w:left="4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根据本次采购项目的特殊要求，规定的供应商特殊条件</w:t>
      </w:r>
      <w:r>
        <w:rPr>
          <w:rFonts w:hint="eastAsia" w:ascii="宋体" w:hAnsi="宋体" w:eastAsia="宋体" w:cs="宋体"/>
          <w:color w:val="auto"/>
          <w:spacing w:val="-1"/>
          <w:sz w:val="24"/>
          <w:szCs w:val="24"/>
          <w:highlight w:val="none"/>
        </w:rPr>
        <w:t>(见供应商须知前附表)。</w:t>
      </w:r>
    </w:p>
    <w:p w14:paraId="4AB47587">
      <w:pPr>
        <w:spacing w:before="225" w:line="360" w:lineRule="auto"/>
        <w:ind w:left="7" w:right="18" w:firstLine="47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3.3  法定代表人为同一人的两个及两个以上的法人，母公司、全资子公司及</w:t>
      </w:r>
      <w:r>
        <w:rPr>
          <w:rFonts w:hint="eastAsia" w:ascii="宋体" w:hAnsi="宋体" w:eastAsia="宋体" w:cs="宋体"/>
          <w:color w:val="auto"/>
          <w:spacing w:val="-8"/>
          <w:sz w:val="24"/>
          <w:szCs w:val="24"/>
          <w:highlight w:val="none"/>
        </w:rPr>
        <w:t>其控股公司，</w:t>
      </w:r>
      <w:r>
        <w:rPr>
          <w:rFonts w:hint="eastAsia" w:ascii="宋体" w:hAnsi="宋体" w:eastAsia="宋体" w:cs="宋体"/>
          <w:color w:val="auto"/>
          <w:sz w:val="24"/>
          <w:szCs w:val="24"/>
          <w:highlight w:val="none"/>
        </w:rPr>
        <w:t xml:space="preserve"> 都不得在同一项目(分包的按包)的采购中</w:t>
      </w:r>
      <w:r>
        <w:rPr>
          <w:rFonts w:hint="eastAsia" w:ascii="宋体" w:hAnsi="宋体" w:eastAsia="宋体" w:cs="宋体"/>
          <w:color w:val="auto"/>
          <w:spacing w:val="-1"/>
          <w:sz w:val="24"/>
          <w:szCs w:val="24"/>
          <w:highlight w:val="none"/>
        </w:rPr>
        <w:t>同时参与磋商，否则均为无效磋商。</w:t>
      </w:r>
    </w:p>
    <w:p w14:paraId="3A668AE1">
      <w:pPr>
        <w:spacing w:before="226" w:line="360" w:lineRule="auto"/>
        <w:ind w:left="5" w:right="80" w:firstLine="47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  供应商在</w:t>
      </w:r>
      <w:r>
        <w:rPr>
          <w:rFonts w:hint="eastAsia" w:ascii="宋体" w:hAnsi="宋体" w:eastAsia="宋体" w:cs="宋体"/>
          <w:color w:val="auto"/>
          <w:spacing w:val="-5"/>
          <w:sz w:val="24"/>
          <w:szCs w:val="24"/>
          <w:highlight w:val="none"/>
          <w:lang w:val="en-US" w:eastAsia="zh-CN"/>
        </w:rPr>
        <w:t>代理机构处领取</w:t>
      </w:r>
      <w:r>
        <w:rPr>
          <w:rFonts w:hint="eastAsia" w:ascii="宋体" w:hAnsi="宋体" w:eastAsia="宋体" w:cs="宋体"/>
          <w:color w:val="auto"/>
          <w:spacing w:val="-5"/>
          <w:sz w:val="24"/>
          <w:szCs w:val="24"/>
          <w:highlight w:val="none"/>
        </w:rPr>
        <w:t>竞</w:t>
      </w:r>
      <w:r>
        <w:rPr>
          <w:rFonts w:hint="eastAsia" w:ascii="宋体" w:hAnsi="宋体" w:eastAsia="宋体" w:cs="宋体"/>
          <w:color w:val="auto"/>
          <w:spacing w:val="-6"/>
          <w:sz w:val="24"/>
          <w:szCs w:val="24"/>
          <w:highlight w:val="none"/>
        </w:rPr>
        <w:t>争性磋商文件，方可</w:t>
      </w:r>
      <w:r>
        <w:rPr>
          <w:rFonts w:hint="eastAsia" w:ascii="宋体" w:hAnsi="宋体" w:eastAsia="宋体" w:cs="宋体"/>
          <w:color w:val="auto"/>
          <w:spacing w:val="-3"/>
          <w:sz w:val="24"/>
          <w:szCs w:val="24"/>
          <w:highlight w:val="none"/>
        </w:rPr>
        <w:t>参加</w:t>
      </w:r>
      <w:r>
        <w:rPr>
          <w:rFonts w:hint="eastAsia" w:ascii="宋体" w:hAnsi="宋体" w:eastAsia="宋体" w:cs="宋体"/>
          <w:color w:val="auto"/>
          <w:spacing w:val="-3"/>
          <w:sz w:val="24"/>
          <w:szCs w:val="24"/>
          <w:highlight w:val="none"/>
          <w:lang w:eastAsia="zh-CN"/>
        </w:rPr>
        <w:t>磋商会议</w:t>
      </w:r>
      <w:r>
        <w:rPr>
          <w:rFonts w:hint="eastAsia" w:ascii="宋体" w:hAnsi="宋体" w:eastAsia="宋体" w:cs="宋体"/>
          <w:color w:val="auto"/>
          <w:spacing w:val="-3"/>
          <w:sz w:val="24"/>
          <w:szCs w:val="24"/>
          <w:highlight w:val="none"/>
        </w:rPr>
        <w:t>。</w:t>
      </w:r>
    </w:p>
    <w:p w14:paraId="08384861">
      <w:pPr>
        <w:spacing w:before="213" w:line="360"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3.5  本项目不接受联合体磋商。</w:t>
      </w:r>
    </w:p>
    <w:p w14:paraId="62716E51">
      <w:pPr>
        <w:spacing w:before="217" w:line="360" w:lineRule="auto"/>
        <w:ind w:left="16" w:right="80" w:firstLine="4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3.6  磋商费用自理。不论磋商的结果如何，供应商均应自行承担所有与参加磋商有关的</w:t>
      </w:r>
      <w:r>
        <w:rPr>
          <w:rFonts w:hint="eastAsia" w:ascii="宋体" w:hAnsi="宋体" w:eastAsia="宋体" w:cs="宋体"/>
          <w:color w:val="auto"/>
          <w:spacing w:val="-8"/>
          <w:sz w:val="24"/>
          <w:szCs w:val="24"/>
          <w:highlight w:val="none"/>
        </w:rPr>
        <w:t>费用。</w:t>
      </w:r>
    </w:p>
    <w:p w14:paraId="30203716">
      <w:pPr>
        <w:spacing w:before="213"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4.竞争性磋商产品</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(含服务)的合格性和合法性</w:t>
      </w:r>
    </w:p>
    <w:p w14:paraId="3E2A22D2">
      <w:pPr>
        <w:spacing w:before="228" w:line="360" w:lineRule="auto"/>
        <w:ind w:left="3"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  竞争性磋商产品 (含服务)应满</w:t>
      </w:r>
      <w:r>
        <w:rPr>
          <w:rFonts w:hint="eastAsia" w:ascii="宋体" w:hAnsi="宋体" w:eastAsia="宋体" w:cs="宋体"/>
          <w:color w:val="auto"/>
          <w:sz w:val="24"/>
          <w:szCs w:val="24"/>
          <w:highlight w:val="none"/>
        </w:rPr>
        <w:t xml:space="preserve">足竞争性磋商文件的要求并应符合国家法律法规、 </w:t>
      </w:r>
      <w:r>
        <w:rPr>
          <w:rFonts w:hint="eastAsia" w:ascii="宋体" w:hAnsi="宋体" w:eastAsia="宋体" w:cs="宋体"/>
          <w:color w:val="auto"/>
          <w:spacing w:val="-2"/>
          <w:sz w:val="24"/>
          <w:szCs w:val="24"/>
          <w:highlight w:val="none"/>
        </w:rPr>
        <w:t>行业管理部门要求的其他强制性标准。并满</w:t>
      </w:r>
      <w:r>
        <w:rPr>
          <w:rFonts w:hint="eastAsia" w:ascii="宋体" w:hAnsi="宋体" w:eastAsia="宋体" w:cs="宋体"/>
          <w:color w:val="auto"/>
          <w:spacing w:val="-3"/>
          <w:sz w:val="24"/>
          <w:szCs w:val="24"/>
          <w:highlight w:val="none"/>
        </w:rPr>
        <w:t>足竞争性磋商文件规定的质量、价格、有效期、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售后服务及供应商须承担的运输、配送、技术支持和竞争性磋商文件规定的其他伴随服务</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等要求。</w:t>
      </w:r>
    </w:p>
    <w:p w14:paraId="280BD469">
      <w:pPr>
        <w:spacing w:before="213" w:line="360" w:lineRule="auto"/>
        <w:ind w:left="3" w:right="80" w:firstLine="4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4.2  采购人有权拒绝接受任何不合格的产品和服务，由此产生的费用及相关后果均由供</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应商自行承担。</w:t>
      </w:r>
    </w:p>
    <w:p w14:paraId="6D78DE2B">
      <w:pPr>
        <w:spacing w:before="217" w:line="360" w:lineRule="auto"/>
        <w:ind w:left="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5.竞争性磋商响应文件内容的真实性</w:t>
      </w:r>
    </w:p>
    <w:p w14:paraId="463B3709">
      <w:pPr>
        <w:spacing w:before="213" w:line="360" w:lineRule="auto"/>
        <w:ind w:left="6" w:right="80"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5.1  供应商应保证其竞争性磋商响应文件中所提供的所有有关磋商的资料、信息是真实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的、并且来源于合法的渠道。因竞争性磋商响应文件中所提供的有关磋商的资料、信息</w:t>
      </w:r>
      <w:r>
        <w:rPr>
          <w:rFonts w:hint="eastAsia" w:ascii="宋体" w:hAnsi="宋体" w:eastAsia="宋体" w:cs="宋体"/>
          <w:color w:val="auto"/>
          <w:spacing w:val="-2"/>
          <w:sz w:val="24"/>
          <w:szCs w:val="24"/>
          <w:highlight w:val="none"/>
          <w:lang w:eastAsia="zh-CN"/>
        </w:rPr>
        <w:t>不</w:t>
      </w:r>
      <w:r>
        <w:rPr>
          <w:rFonts w:hint="eastAsia" w:ascii="宋体" w:hAnsi="宋体" w:eastAsia="宋体" w:cs="宋体"/>
          <w:color w:val="auto"/>
          <w:spacing w:val="-1"/>
          <w:sz w:val="24"/>
          <w:szCs w:val="24"/>
          <w:highlight w:val="none"/>
        </w:rPr>
        <w:t>真实、或者其来源不合法而导致的所有法律责任，由供应商自行承担。</w:t>
      </w:r>
    </w:p>
    <w:p w14:paraId="0F308A78">
      <w:pPr>
        <w:spacing w:before="199" w:line="351" w:lineRule="exact"/>
        <w:ind w:left="3275"/>
        <w:outlineLvl w:val="2"/>
        <w:rPr>
          <w:rFonts w:hint="eastAsia" w:asciiTheme="minorEastAsia" w:hAnsiTheme="minorEastAsia" w:eastAsiaTheme="minorEastAsia" w:cstheme="minorEastAsia"/>
          <w:b/>
          <w:bCs/>
          <w:color w:val="auto"/>
          <w:sz w:val="33"/>
          <w:szCs w:val="33"/>
          <w:highlight w:val="none"/>
        </w:rPr>
      </w:pPr>
      <w:r>
        <w:rPr>
          <w:rFonts w:hint="eastAsia" w:asciiTheme="minorEastAsia" w:hAnsiTheme="minorEastAsia" w:eastAsiaTheme="minorEastAsia" w:cstheme="minorEastAsia"/>
          <w:b/>
          <w:bCs/>
          <w:color w:val="auto"/>
          <w:position w:val="-1"/>
          <w:sz w:val="33"/>
          <w:szCs w:val="33"/>
          <w:highlight w:val="none"/>
        </w:rPr>
        <w:t>二.</w:t>
      </w:r>
      <w:r>
        <w:rPr>
          <w:rFonts w:hint="eastAsia" w:asciiTheme="minorEastAsia" w:hAnsiTheme="minorEastAsia" w:eastAsiaTheme="minorEastAsia" w:cstheme="minorEastAsia"/>
          <w:b/>
          <w:bCs/>
          <w:color w:val="auto"/>
          <w:spacing w:val="-47"/>
          <w:position w:val="-1"/>
          <w:sz w:val="33"/>
          <w:szCs w:val="33"/>
          <w:highlight w:val="none"/>
        </w:rPr>
        <w:t xml:space="preserve"> </w:t>
      </w:r>
      <w:r>
        <w:rPr>
          <w:rFonts w:hint="eastAsia" w:asciiTheme="minorEastAsia" w:hAnsiTheme="minorEastAsia" w:eastAsiaTheme="minorEastAsia" w:cstheme="minorEastAsia"/>
          <w:b/>
          <w:bCs/>
          <w:color w:val="auto"/>
          <w:position w:val="-1"/>
          <w:sz w:val="33"/>
          <w:szCs w:val="33"/>
          <w:highlight w:val="none"/>
        </w:rPr>
        <w:t>竞争性磋商文件</w:t>
      </w:r>
    </w:p>
    <w:p w14:paraId="5AB44FB9">
      <w:pPr>
        <w:pStyle w:val="10"/>
        <w:spacing w:line="400" w:lineRule="auto"/>
        <w:rPr>
          <w:color w:val="auto"/>
          <w:highlight w:val="none"/>
        </w:rPr>
      </w:pPr>
    </w:p>
    <w:p w14:paraId="1021268E">
      <w:pPr>
        <w:keepNext w:val="0"/>
        <w:keepLines w:val="0"/>
        <w:pageBreakBefore w:val="0"/>
        <w:widowControl/>
        <w:kinsoku w:val="0"/>
        <w:wordWrap/>
        <w:overflowPunct/>
        <w:topLinePunct w:val="0"/>
        <w:autoSpaceDE w:val="0"/>
        <w:autoSpaceDN w:val="0"/>
        <w:bidi w:val="0"/>
        <w:adjustRightInd w:val="0"/>
        <w:snapToGrid w:val="0"/>
        <w:spacing w:before="79" w:line="440" w:lineRule="exact"/>
        <w:ind w:left="2"/>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6.</w:t>
      </w:r>
      <w:r>
        <w:rPr>
          <w:rFonts w:ascii="宋体" w:hAnsi="宋体" w:eastAsia="宋体" w:cs="宋体"/>
          <w:b/>
          <w:bCs/>
          <w:color w:val="auto"/>
          <w:spacing w:val="-3"/>
          <w:sz w:val="24"/>
          <w:szCs w:val="24"/>
          <w:highlight w:val="none"/>
        </w:rPr>
        <w:t>竞争性磋商文件构成</w:t>
      </w:r>
    </w:p>
    <w:p w14:paraId="5EC2D43B">
      <w:pPr>
        <w:keepNext w:val="0"/>
        <w:keepLines w:val="0"/>
        <w:pageBreakBefore w:val="0"/>
        <w:widowControl/>
        <w:kinsoku w:val="0"/>
        <w:wordWrap/>
        <w:overflowPunct/>
        <w:topLinePunct w:val="0"/>
        <w:autoSpaceDE w:val="0"/>
        <w:autoSpaceDN w:val="0"/>
        <w:bidi w:val="0"/>
        <w:adjustRightInd w:val="0"/>
        <w:snapToGrid w:val="0"/>
        <w:spacing w:before="214" w:line="440" w:lineRule="exact"/>
        <w:ind w:left="8" w:right="82" w:firstLine="476"/>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6.1  </w:t>
      </w:r>
      <w:r>
        <w:rPr>
          <w:rFonts w:ascii="宋体" w:hAnsi="宋体" w:eastAsia="宋体" w:cs="宋体"/>
          <w:color w:val="auto"/>
          <w:spacing w:val="3"/>
          <w:sz w:val="24"/>
          <w:szCs w:val="24"/>
          <w:highlight w:val="none"/>
        </w:rPr>
        <w:t>竞争性磋商文件规定了要求提供的产品和服务，磋商程序和合同条件</w:t>
      </w:r>
      <w:r>
        <w:rPr>
          <w:rFonts w:ascii="宋体" w:hAnsi="宋体" w:eastAsia="宋体" w:cs="宋体"/>
          <w:color w:val="auto"/>
          <w:spacing w:val="2"/>
          <w:sz w:val="24"/>
          <w:szCs w:val="24"/>
          <w:highlight w:val="none"/>
        </w:rPr>
        <w:t>在竞争性磋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商文件中均有说明。竞争性磋商文件共六章，内容如下：</w:t>
      </w:r>
    </w:p>
    <w:p w14:paraId="46D66530">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第一章 竞争性磋商公告</w:t>
      </w:r>
    </w:p>
    <w:p w14:paraId="2156E751">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第二章 供应商须知</w:t>
      </w:r>
    </w:p>
    <w:p w14:paraId="5F5E9B6F">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第三章 评审方法</w:t>
      </w:r>
    </w:p>
    <w:p w14:paraId="217F6099">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第四章 合同条款及格式</w:t>
      </w:r>
    </w:p>
    <w:p w14:paraId="61BCAB7B">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 xml:space="preserve">第五章  </w:t>
      </w:r>
      <w:r>
        <w:rPr>
          <w:rFonts w:hint="eastAsia" w:ascii="宋体" w:hAnsi="宋体" w:eastAsia="宋体" w:cs="宋体"/>
          <w:color w:val="auto"/>
          <w:spacing w:val="-6"/>
          <w:sz w:val="24"/>
          <w:szCs w:val="24"/>
          <w:highlight w:val="none"/>
          <w:lang w:val="en-US" w:eastAsia="zh-CN"/>
        </w:rPr>
        <w:t>采购</w:t>
      </w:r>
      <w:r>
        <w:rPr>
          <w:rFonts w:ascii="宋体" w:hAnsi="宋体" w:eastAsia="宋体" w:cs="宋体"/>
          <w:color w:val="auto"/>
          <w:spacing w:val="-6"/>
          <w:sz w:val="24"/>
          <w:szCs w:val="24"/>
          <w:highlight w:val="none"/>
        </w:rPr>
        <w:t>内容及要求</w:t>
      </w:r>
    </w:p>
    <w:p w14:paraId="0BFB989D">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第六章 竞争性磋商响应文件构成及格式</w:t>
      </w:r>
    </w:p>
    <w:p w14:paraId="3A0550A6">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1" w:firstLine="480"/>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6.2  </w:t>
      </w:r>
      <w:r>
        <w:rPr>
          <w:rFonts w:ascii="宋体" w:hAnsi="宋体" w:eastAsia="宋体" w:cs="宋体"/>
          <w:color w:val="auto"/>
          <w:spacing w:val="-6"/>
          <w:sz w:val="24"/>
          <w:szCs w:val="24"/>
          <w:highlight w:val="none"/>
        </w:rPr>
        <w:t>供应商应认真阅读竞争性磋商文件中所有的事项、格式、条款和规范等要求。如果</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供应商没有按照竞争性磋商文件要求提交全</w:t>
      </w:r>
      <w:r>
        <w:rPr>
          <w:rFonts w:ascii="宋体" w:hAnsi="宋体" w:eastAsia="宋体" w:cs="宋体"/>
          <w:color w:val="auto"/>
          <w:spacing w:val="-2"/>
          <w:sz w:val="24"/>
          <w:szCs w:val="24"/>
          <w:highlight w:val="none"/>
        </w:rPr>
        <w:t>部资料，或者竞争性磋商响应文件没有对竞争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性磋商文件在各方面都做出实质性响应，由</w:t>
      </w:r>
      <w:r>
        <w:rPr>
          <w:rFonts w:ascii="宋体" w:hAnsi="宋体" w:eastAsia="宋体" w:cs="宋体"/>
          <w:color w:val="auto"/>
          <w:spacing w:val="-2"/>
          <w:sz w:val="24"/>
          <w:szCs w:val="24"/>
          <w:highlight w:val="none"/>
        </w:rPr>
        <w:t>此带来不利于供应商的磋商结果，其风险由供</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应商承担。</w:t>
      </w:r>
    </w:p>
    <w:p w14:paraId="56D2682B">
      <w:pPr>
        <w:pStyle w:val="28"/>
        <w:keepNext w:val="0"/>
        <w:keepLines w:val="0"/>
        <w:pageBreakBefore w:val="0"/>
        <w:widowControl/>
        <w:kinsoku w:val="0"/>
        <w:wordWrap/>
        <w:overflowPunct/>
        <w:topLinePunct w:val="0"/>
        <w:autoSpaceDE w:val="0"/>
        <w:autoSpaceDN w:val="0"/>
        <w:bidi w:val="0"/>
        <w:adjustRightInd w:val="0"/>
        <w:snapToGrid w:val="0"/>
        <w:spacing w:before="156" w:line="360" w:lineRule="exact"/>
        <w:ind w:left="40" w:firstLine="480" w:firstLineChars="200"/>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6.3  </w:t>
      </w:r>
      <w:r>
        <w:rPr>
          <w:rFonts w:ascii="宋体" w:hAnsi="宋体" w:eastAsia="宋体" w:cs="宋体"/>
          <w:color w:val="auto"/>
          <w:sz w:val="24"/>
          <w:szCs w:val="24"/>
          <w:highlight w:val="none"/>
        </w:rPr>
        <w:t>本竞争性磋商文件的解释权归</w:t>
      </w:r>
      <w:r>
        <w:rPr>
          <w:rFonts w:hint="eastAsia" w:ascii="宋体" w:hAnsi="宋体" w:eastAsia="宋体" w:cs="宋体"/>
          <w:color w:val="auto"/>
          <w:spacing w:val="-4"/>
          <w:sz w:val="24"/>
          <w:szCs w:val="24"/>
          <w:highlight w:val="none"/>
          <w:lang w:val="en-US" w:eastAsia="zh-CN"/>
        </w:rPr>
        <w:t>红昕国际项目管理有限公司</w:t>
      </w:r>
      <w:r>
        <w:rPr>
          <w:rFonts w:ascii="宋体" w:hAnsi="宋体" w:eastAsia="宋体" w:cs="宋体"/>
          <w:color w:val="auto"/>
          <w:spacing w:val="-1"/>
          <w:sz w:val="24"/>
          <w:szCs w:val="24"/>
          <w:highlight w:val="none"/>
        </w:rPr>
        <w:t>，如发现竞争性磋商响应文件内容与现行法律法规不相符的情况，以现行法律法规为准。</w:t>
      </w:r>
    </w:p>
    <w:p w14:paraId="6D8E51FB">
      <w:pPr>
        <w:keepNext w:val="0"/>
        <w:keepLines w:val="0"/>
        <w:pageBreakBefore w:val="0"/>
        <w:widowControl/>
        <w:kinsoku w:val="0"/>
        <w:wordWrap/>
        <w:overflowPunct/>
        <w:topLinePunct w:val="0"/>
        <w:autoSpaceDE w:val="0"/>
        <w:autoSpaceDN w:val="0"/>
        <w:bidi w:val="0"/>
        <w:adjustRightInd w:val="0"/>
        <w:snapToGrid w:val="0"/>
        <w:spacing w:before="214" w:line="440" w:lineRule="exact"/>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7.</w:t>
      </w:r>
      <w:r>
        <w:rPr>
          <w:rFonts w:ascii="宋体" w:hAnsi="宋体" w:eastAsia="宋体" w:cs="宋体"/>
          <w:b/>
          <w:bCs/>
          <w:color w:val="auto"/>
          <w:spacing w:val="-2"/>
          <w:sz w:val="24"/>
          <w:szCs w:val="24"/>
          <w:highlight w:val="none"/>
        </w:rPr>
        <w:t>竞争性磋商文件的修改和澄清</w:t>
      </w:r>
    </w:p>
    <w:p w14:paraId="7D7002BD">
      <w:pPr>
        <w:keepNext w:val="0"/>
        <w:keepLines w:val="0"/>
        <w:pageBreakBefore w:val="0"/>
        <w:widowControl/>
        <w:kinsoku w:val="0"/>
        <w:wordWrap/>
        <w:overflowPunct/>
        <w:topLinePunct w:val="0"/>
        <w:autoSpaceDE w:val="0"/>
        <w:autoSpaceDN w:val="0"/>
        <w:bidi w:val="0"/>
        <w:adjustRightInd w:val="0"/>
        <w:snapToGrid w:val="0"/>
        <w:spacing w:before="218" w:line="440" w:lineRule="exact"/>
        <w:ind w:left="4" w:firstLine="476"/>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7.1 </w:t>
      </w:r>
      <w:r>
        <w:rPr>
          <w:rFonts w:ascii="宋体" w:hAnsi="宋体" w:eastAsia="宋体" w:cs="宋体"/>
          <w:color w:val="auto"/>
          <w:spacing w:val="-1"/>
          <w:sz w:val="24"/>
          <w:szCs w:val="24"/>
          <w:highlight w:val="none"/>
        </w:rPr>
        <w:t>采购代理机构如果对已发出的竞争</w:t>
      </w:r>
      <w:r>
        <w:rPr>
          <w:rFonts w:ascii="宋体" w:hAnsi="宋体" w:eastAsia="宋体" w:cs="宋体"/>
          <w:color w:val="auto"/>
          <w:spacing w:val="-2"/>
          <w:sz w:val="24"/>
          <w:szCs w:val="24"/>
          <w:highlight w:val="none"/>
        </w:rPr>
        <w:t>性磋商文件进行必要的澄清或者修改，将在竞争</w:t>
      </w:r>
      <w:r>
        <w:rPr>
          <w:rFonts w:ascii="宋体" w:hAnsi="宋体" w:eastAsia="宋体" w:cs="宋体"/>
          <w:color w:val="auto"/>
          <w:sz w:val="24"/>
          <w:szCs w:val="24"/>
          <w:highlight w:val="none"/>
        </w:rPr>
        <w:t xml:space="preserve"> 性磋商文件要求提交竞争性磋商响应文件截止时间</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z w:val="24"/>
          <w:szCs w:val="24"/>
          <w:highlight w:val="none"/>
        </w:rPr>
        <w:t>5</w:t>
      </w:r>
      <w:r>
        <w:rPr>
          <w:rFonts w:ascii="Times New Roman" w:hAnsi="Times New Roman" w:eastAsia="Times New Roman" w:cs="Times New Roman"/>
          <w:color w:val="auto"/>
          <w:spacing w:val="53"/>
          <w:w w:val="101"/>
          <w:sz w:val="24"/>
          <w:szCs w:val="24"/>
          <w:highlight w:val="none"/>
        </w:rPr>
        <w:t xml:space="preserve"> </w:t>
      </w:r>
      <w:r>
        <w:rPr>
          <w:rFonts w:ascii="宋体" w:hAnsi="宋体" w:eastAsia="宋体" w:cs="宋体"/>
          <w:color w:val="auto"/>
          <w:sz w:val="24"/>
          <w:szCs w:val="24"/>
          <w:highlight w:val="none"/>
        </w:rPr>
        <w:t>日前，以书</w:t>
      </w:r>
      <w:r>
        <w:rPr>
          <w:rFonts w:ascii="宋体" w:hAnsi="宋体" w:eastAsia="宋体" w:cs="宋体"/>
          <w:color w:val="auto"/>
          <w:spacing w:val="-1"/>
          <w:sz w:val="24"/>
          <w:szCs w:val="24"/>
          <w:highlight w:val="none"/>
        </w:rPr>
        <w:t>面形式通知所有获取竞争</w:t>
      </w:r>
      <w:r>
        <w:rPr>
          <w:rFonts w:ascii="宋体" w:hAnsi="宋体" w:eastAsia="宋体" w:cs="宋体"/>
          <w:color w:val="auto"/>
          <w:sz w:val="24"/>
          <w:szCs w:val="24"/>
          <w:highlight w:val="none"/>
        </w:rPr>
        <w:t xml:space="preserve"> 性磋商文件的供应商，不足</w:t>
      </w:r>
      <w:r>
        <w:rPr>
          <w:rFonts w:ascii="宋体" w:hAnsi="宋体" w:eastAsia="宋体" w:cs="宋体"/>
          <w:color w:val="auto"/>
          <w:spacing w:val="-46"/>
          <w:sz w:val="24"/>
          <w:szCs w:val="24"/>
          <w:highlight w:val="none"/>
        </w:rPr>
        <w:t xml:space="preserve"> </w:t>
      </w:r>
      <w:r>
        <w:rPr>
          <w:rFonts w:ascii="Times New Roman" w:hAnsi="Times New Roman" w:eastAsia="Times New Roman" w:cs="Times New Roman"/>
          <w:color w:val="auto"/>
          <w:sz w:val="24"/>
          <w:szCs w:val="24"/>
          <w:highlight w:val="none"/>
        </w:rPr>
        <w:t>5</w:t>
      </w:r>
      <w:r>
        <w:rPr>
          <w:rFonts w:ascii="Times New Roman" w:hAnsi="Times New Roman" w:eastAsia="Times New Roman" w:cs="Times New Roman"/>
          <w:color w:val="auto"/>
          <w:spacing w:val="53"/>
          <w:w w:val="101"/>
          <w:sz w:val="24"/>
          <w:szCs w:val="24"/>
          <w:highlight w:val="none"/>
        </w:rPr>
        <w:t xml:space="preserve"> </w:t>
      </w:r>
      <w:r>
        <w:rPr>
          <w:rFonts w:ascii="宋体" w:hAnsi="宋体" w:eastAsia="宋体" w:cs="宋体"/>
          <w:color w:val="auto"/>
          <w:sz w:val="24"/>
          <w:szCs w:val="24"/>
          <w:highlight w:val="none"/>
        </w:rPr>
        <w:t>日的，采购人、采购代理机</w:t>
      </w:r>
      <w:r>
        <w:rPr>
          <w:rFonts w:ascii="宋体" w:hAnsi="宋体" w:eastAsia="宋体" w:cs="宋体"/>
          <w:color w:val="auto"/>
          <w:spacing w:val="-1"/>
          <w:sz w:val="24"/>
          <w:szCs w:val="24"/>
          <w:highlight w:val="none"/>
        </w:rPr>
        <w:t>构应当顺延提交首次竞争性磋商</w:t>
      </w:r>
      <w:r>
        <w:rPr>
          <w:rFonts w:ascii="宋体" w:hAnsi="宋体" w:eastAsia="宋体" w:cs="宋体"/>
          <w:color w:val="auto"/>
          <w:sz w:val="24"/>
          <w:szCs w:val="24"/>
          <w:highlight w:val="none"/>
        </w:rPr>
        <w:t xml:space="preserve"> 响应文件截止时间。该澄清或者修改的内容</w:t>
      </w:r>
      <w:r>
        <w:rPr>
          <w:rFonts w:ascii="宋体" w:hAnsi="宋体" w:eastAsia="宋体" w:cs="宋体"/>
          <w:color w:val="auto"/>
          <w:spacing w:val="-1"/>
          <w:sz w:val="24"/>
          <w:szCs w:val="24"/>
          <w:highlight w:val="none"/>
        </w:rPr>
        <w:t>为竞争性磋商文件的组成部分。</w:t>
      </w:r>
    </w:p>
    <w:p w14:paraId="02825BA9">
      <w:pPr>
        <w:keepNext w:val="0"/>
        <w:keepLines w:val="0"/>
        <w:pageBreakBefore w:val="0"/>
        <w:widowControl/>
        <w:kinsoku w:val="0"/>
        <w:wordWrap/>
        <w:overflowPunct/>
        <w:topLinePunct w:val="0"/>
        <w:autoSpaceDE w:val="0"/>
        <w:autoSpaceDN w:val="0"/>
        <w:bidi w:val="0"/>
        <w:adjustRightInd w:val="0"/>
        <w:snapToGrid w:val="0"/>
        <w:spacing w:before="216" w:line="440" w:lineRule="exact"/>
        <w:ind w:left="1" w:firstLine="479"/>
        <w:jc w:val="both"/>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7.2</w:t>
      </w:r>
      <w:r>
        <w:rPr>
          <w:rFonts w:ascii="Times New Roman" w:hAnsi="Times New Roman" w:eastAsia="Times New Roman" w:cs="Times New Roman"/>
          <w:color w:val="auto"/>
          <w:spacing w:val="35"/>
          <w:w w:val="101"/>
          <w:sz w:val="24"/>
          <w:szCs w:val="24"/>
          <w:highlight w:val="none"/>
        </w:rPr>
        <w:t xml:space="preserve"> </w:t>
      </w:r>
      <w:r>
        <w:rPr>
          <w:rFonts w:ascii="宋体" w:hAnsi="宋体" w:eastAsia="宋体" w:cs="宋体"/>
          <w:color w:val="auto"/>
          <w:spacing w:val="-2"/>
          <w:sz w:val="24"/>
          <w:szCs w:val="24"/>
          <w:highlight w:val="none"/>
        </w:rPr>
        <w:t>已经购买竞争性磋商文件的供应商对竞争</w:t>
      </w:r>
      <w:r>
        <w:rPr>
          <w:rFonts w:ascii="宋体" w:hAnsi="宋体" w:eastAsia="宋体" w:cs="宋体"/>
          <w:color w:val="auto"/>
          <w:spacing w:val="-3"/>
          <w:sz w:val="24"/>
          <w:szCs w:val="24"/>
          <w:highlight w:val="none"/>
        </w:rPr>
        <w:t>性磋商文件有疑问的，均应在磋商截止日</w:t>
      </w:r>
      <w:r>
        <w:rPr>
          <w:rFonts w:ascii="宋体" w:hAnsi="宋体" w:eastAsia="宋体" w:cs="宋体"/>
          <w:color w:val="auto"/>
          <w:sz w:val="24"/>
          <w:szCs w:val="24"/>
          <w:highlight w:val="none"/>
        </w:rPr>
        <w:t xml:space="preserve"> 期</w:t>
      </w:r>
      <w:r>
        <w:rPr>
          <w:rFonts w:ascii="宋体" w:hAnsi="宋体" w:eastAsia="宋体" w:cs="宋体"/>
          <w:color w:val="auto"/>
          <w:spacing w:val="-48"/>
          <w:sz w:val="24"/>
          <w:szCs w:val="24"/>
          <w:highlight w:val="none"/>
        </w:rPr>
        <w:t xml:space="preserve"> </w:t>
      </w:r>
      <w:r>
        <w:rPr>
          <w:rFonts w:ascii="Times New Roman" w:hAnsi="Times New Roman" w:eastAsia="Times New Roman" w:cs="Times New Roman"/>
          <w:color w:val="auto"/>
          <w:sz w:val="24"/>
          <w:szCs w:val="24"/>
          <w:highlight w:val="none"/>
        </w:rPr>
        <w:t>3</w:t>
      </w:r>
      <w:r>
        <w:rPr>
          <w:rFonts w:ascii="Times New Roman" w:hAnsi="Times New Roman" w:eastAsia="Times New Roman" w:cs="Times New Roman"/>
          <w:color w:val="auto"/>
          <w:spacing w:val="51"/>
          <w:sz w:val="24"/>
          <w:szCs w:val="24"/>
          <w:highlight w:val="none"/>
        </w:rPr>
        <w:t xml:space="preserve"> </w:t>
      </w:r>
      <w:r>
        <w:rPr>
          <w:rFonts w:ascii="宋体" w:hAnsi="宋体" w:eastAsia="宋体" w:cs="宋体"/>
          <w:color w:val="auto"/>
          <w:sz w:val="24"/>
          <w:szCs w:val="24"/>
          <w:highlight w:val="none"/>
        </w:rPr>
        <w:t>日前以书面形式向采购代理机构提出。采购代理机构视情况必要时将</w:t>
      </w:r>
      <w:r>
        <w:rPr>
          <w:rFonts w:ascii="宋体" w:hAnsi="宋体" w:eastAsia="宋体" w:cs="宋体"/>
          <w:color w:val="auto"/>
          <w:spacing w:val="-1"/>
          <w:sz w:val="24"/>
          <w:szCs w:val="24"/>
          <w:highlight w:val="none"/>
        </w:rPr>
        <w:t>书面答复传送给</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所有获取竞争性磋商文件的供应商。</w:t>
      </w:r>
    </w:p>
    <w:p w14:paraId="2F67075C">
      <w:pPr>
        <w:keepNext w:val="0"/>
        <w:keepLines w:val="0"/>
        <w:pageBreakBefore w:val="0"/>
        <w:widowControl/>
        <w:kinsoku w:val="0"/>
        <w:wordWrap/>
        <w:overflowPunct/>
        <w:topLinePunct w:val="0"/>
        <w:autoSpaceDE w:val="0"/>
        <w:autoSpaceDN w:val="0"/>
        <w:bidi w:val="0"/>
        <w:adjustRightInd w:val="0"/>
        <w:snapToGrid w:val="0"/>
        <w:spacing w:line="440" w:lineRule="exact"/>
        <w:ind w:left="3293"/>
        <w:textAlignment w:val="baseline"/>
        <w:rPr>
          <w:rFonts w:hint="eastAsia" w:ascii="宋体" w:hAnsi="宋体" w:eastAsia="宋体" w:cs="宋体"/>
          <w:b/>
          <w:bCs/>
          <w:color w:val="auto"/>
          <w:sz w:val="34"/>
          <w:szCs w:val="34"/>
          <w:highlight w:val="none"/>
        </w:rPr>
      </w:pPr>
      <w:r>
        <w:rPr>
          <w:rFonts w:hint="eastAsia" w:ascii="宋体" w:hAnsi="宋体" w:eastAsia="宋体" w:cs="宋体"/>
          <w:b/>
          <w:bCs/>
          <w:color w:val="auto"/>
          <w:spacing w:val="-2"/>
          <w:position w:val="-2"/>
          <w:sz w:val="34"/>
          <w:szCs w:val="34"/>
          <w:highlight w:val="none"/>
        </w:rPr>
        <w:t>三.磋商响应文件的编制</w:t>
      </w:r>
    </w:p>
    <w:p w14:paraId="4A31A6DA">
      <w:pPr>
        <w:keepNext w:val="0"/>
        <w:keepLines w:val="0"/>
        <w:pageBreakBefore w:val="0"/>
        <w:widowControl/>
        <w:kinsoku w:val="0"/>
        <w:wordWrap/>
        <w:overflowPunct/>
        <w:topLinePunct w:val="0"/>
        <w:autoSpaceDE w:val="0"/>
        <w:autoSpaceDN w:val="0"/>
        <w:bidi w:val="0"/>
        <w:adjustRightInd w:val="0"/>
        <w:snapToGrid w:val="0"/>
        <w:spacing w:before="227" w:line="440" w:lineRule="exact"/>
        <w:ind w:left="480"/>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8.  </w:t>
      </w:r>
      <w:r>
        <w:rPr>
          <w:rFonts w:hint="eastAsia" w:ascii="宋体" w:hAnsi="宋体" w:eastAsia="宋体" w:cs="宋体"/>
          <w:b/>
          <w:bCs/>
          <w:color w:val="auto"/>
          <w:spacing w:val="-2"/>
          <w:sz w:val="24"/>
          <w:szCs w:val="24"/>
          <w:highlight w:val="none"/>
          <w:lang w:eastAsia="zh-CN"/>
        </w:rPr>
        <w:t>磋商</w:t>
      </w:r>
      <w:r>
        <w:rPr>
          <w:rFonts w:ascii="宋体" w:hAnsi="宋体" w:eastAsia="宋体" w:cs="宋体"/>
          <w:b/>
          <w:bCs/>
          <w:color w:val="auto"/>
          <w:spacing w:val="-2"/>
          <w:sz w:val="24"/>
          <w:szCs w:val="24"/>
          <w:highlight w:val="none"/>
        </w:rPr>
        <w:t>语言和</w:t>
      </w:r>
      <w:r>
        <w:rPr>
          <w:rFonts w:hint="eastAsia" w:ascii="宋体" w:hAnsi="宋体" w:eastAsia="宋体" w:cs="宋体"/>
          <w:b/>
          <w:bCs/>
          <w:color w:val="auto"/>
          <w:spacing w:val="-2"/>
          <w:sz w:val="24"/>
          <w:szCs w:val="24"/>
          <w:highlight w:val="none"/>
          <w:lang w:eastAsia="zh-CN"/>
        </w:rPr>
        <w:t>磋商</w:t>
      </w:r>
      <w:r>
        <w:rPr>
          <w:rFonts w:ascii="宋体" w:hAnsi="宋体" w:eastAsia="宋体" w:cs="宋体"/>
          <w:b/>
          <w:bCs/>
          <w:color w:val="auto"/>
          <w:spacing w:val="-2"/>
          <w:sz w:val="24"/>
          <w:szCs w:val="24"/>
          <w:highlight w:val="none"/>
        </w:rPr>
        <w:t>货币</w:t>
      </w:r>
    </w:p>
    <w:p w14:paraId="3B414A38">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2" w:right="2" w:firstLine="484"/>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8.1  </w:t>
      </w:r>
      <w:r>
        <w:rPr>
          <w:rFonts w:ascii="宋体" w:hAnsi="宋体" w:eastAsia="宋体" w:cs="宋体"/>
          <w:color w:val="auto"/>
          <w:spacing w:val="3"/>
          <w:sz w:val="24"/>
          <w:szCs w:val="24"/>
          <w:highlight w:val="none"/>
        </w:rPr>
        <w:t>供应商提交的竞争性磋商响应文件以及供应商与采购代理机</w:t>
      </w:r>
      <w:r>
        <w:rPr>
          <w:rFonts w:ascii="宋体" w:hAnsi="宋体" w:eastAsia="宋体" w:cs="宋体"/>
          <w:color w:val="auto"/>
          <w:spacing w:val="2"/>
          <w:sz w:val="24"/>
          <w:szCs w:val="24"/>
          <w:highlight w:val="none"/>
        </w:rPr>
        <w:t>构就有关磋商的所有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来往函电均应使用中文。</w:t>
      </w:r>
    </w:p>
    <w:p w14:paraId="51EA5926">
      <w:pPr>
        <w:keepNext w:val="0"/>
        <w:keepLines w:val="0"/>
        <w:pageBreakBefore w:val="0"/>
        <w:widowControl/>
        <w:kinsoku w:val="0"/>
        <w:wordWrap/>
        <w:overflowPunct/>
        <w:topLinePunct w:val="0"/>
        <w:autoSpaceDE w:val="0"/>
        <w:autoSpaceDN w:val="0"/>
        <w:bidi w:val="0"/>
        <w:adjustRightInd w:val="0"/>
        <w:snapToGrid w:val="0"/>
        <w:spacing w:before="214" w:line="440" w:lineRule="exact"/>
        <w:ind w:left="486"/>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8.2  </w:t>
      </w:r>
      <w:r>
        <w:rPr>
          <w:rFonts w:ascii="宋体" w:hAnsi="宋体" w:eastAsia="宋体" w:cs="宋体"/>
          <w:color w:val="auto"/>
          <w:sz w:val="24"/>
          <w:szCs w:val="24"/>
          <w:highlight w:val="none"/>
        </w:rPr>
        <w:t>磋商应以人民币报价。任何包含非人</w:t>
      </w:r>
      <w:r>
        <w:rPr>
          <w:rFonts w:ascii="宋体" w:hAnsi="宋体" w:eastAsia="宋体" w:cs="宋体"/>
          <w:color w:val="auto"/>
          <w:spacing w:val="-1"/>
          <w:sz w:val="24"/>
          <w:szCs w:val="24"/>
          <w:highlight w:val="none"/>
        </w:rPr>
        <w:t>民币报价的磋商将按无效磋商处理。</w:t>
      </w:r>
    </w:p>
    <w:p w14:paraId="543B7974">
      <w:pPr>
        <w:keepNext w:val="0"/>
        <w:keepLines w:val="0"/>
        <w:pageBreakBefore w:val="0"/>
        <w:widowControl/>
        <w:kinsoku w:val="0"/>
        <w:wordWrap/>
        <w:overflowPunct/>
        <w:topLinePunct w:val="0"/>
        <w:autoSpaceDE w:val="0"/>
        <w:autoSpaceDN w:val="0"/>
        <w:bidi w:val="0"/>
        <w:adjustRightInd w:val="0"/>
        <w:snapToGrid w:val="0"/>
        <w:spacing w:before="219" w:line="440" w:lineRule="exact"/>
        <w:ind w:left="479"/>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9.</w:t>
      </w:r>
      <w:r>
        <w:rPr>
          <w:rFonts w:ascii="宋体" w:hAnsi="宋体" w:eastAsia="宋体" w:cs="宋体"/>
          <w:b/>
          <w:bCs/>
          <w:color w:val="auto"/>
          <w:spacing w:val="-3"/>
          <w:sz w:val="24"/>
          <w:szCs w:val="24"/>
          <w:highlight w:val="none"/>
        </w:rPr>
        <w:t>竞争性磋商响应文件的构成</w:t>
      </w:r>
    </w:p>
    <w:p w14:paraId="5F83038E">
      <w:pPr>
        <w:keepNext w:val="0"/>
        <w:keepLines w:val="0"/>
        <w:pageBreakBefore w:val="0"/>
        <w:widowControl/>
        <w:kinsoku w:val="0"/>
        <w:wordWrap/>
        <w:overflowPunct/>
        <w:topLinePunct w:val="0"/>
        <w:autoSpaceDE w:val="0"/>
        <w:autoSpaceDN w:val="0"/>
        <w:bidi w:val="0"/>
        <w:adjustRightInd w:val="0"/>
        <w:snapToGrid w:val="0"/>
        <w:spacing w:before="213" w:line="440" w:lineRule="exact"/>
        <w:ind w:left="481"/>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9.1  </w:t>
      </w:r>
      <w:r>
        <w:rPr>
          <w:rFonts w:ascii="宋体" w:hAnsi="宋体" w:eastAsia="宋体" w:cs="宋体"/>
          <w:color w:val="auto"/>
          <w:sz w:val="24"/>
          <w:szCs w:val="24"/>
          <w:highlight w:val="none"/>
        </w:rPr>
        <w:t>供应商提交的竞争性磋商响应文件</w:t>
      </w:r>
      <w:r>
        <w:rPr>
          <w:rFonts w:ascii="宋体" w:hAnsi="宋体" w:eastAsia="宋体" w:cs="宋体"/>
          <w:color w:val="auto"/>
          <w:spacing w:val="-1"/>
          <w:sz w:val="24"/>
          <w:szCs w:val="24"/>
          <w:highlight w:val="none"/>
        </w:rPr>
        <w:t>应包含下列部分的内容：</w:t>
      </w:r>
    </w:p>
    <w:p w14:paraId="1C4E6BC6">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2" w:right="2" w:firstLine="484"/>
        <w:textAlignment w:val="baseline"/>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(1)  按照竞争性磋商文件供应商须知前附表的要求提交的资格证明文件；</w:t>
      </w:r>
    </w:p>
    <w:p w14:paraId="563F5DB7">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2" w:right="2" w:firstLine="484"/>
        <w:textAlignment w:val="baseline"/>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(2)按照供应商须知的要求和竞争性磋商文件规定格式填写的竞争性磋商响应函、磋 商报价表、法定代表人授权委托书。</w:t>
      </w:r>
    </w:p>
    <w:p w14:paraId="1E596CA3">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2" w:right="2" w:firstLine="484"/>
        <w:textAlignment w:val="baseline"/>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(3)按照竞争性磋商文件的要求编制的磋商方案。</w:t>
      </w:r>
    </w:p>
    <w:p w14:paraId="653E1954">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2" w:right="2" w:firstLine="484"/>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(4)竞争磋商文件中</w:t>
      </w:r>
      <w:r>
        <w:rPr>
          <w:rFonts w:ascii="宋体" w:hAnsi="宋体" w:eastAsia="宋体" w:cs="宋体"/>
          <w:color w:val="auto"/>
          <w:spacing w:val="-1"/>
          <w:sz w:val="24"/>
          <w:szCs w:val="24"/>
          <w:highlight w:val="none"/>
        </w:rPr>
        <w:t>要求的其他证明文件。</w:t>
      </w:r>
    </w:p>
    <w:p w14:paraId="11297C5A">
      <w:pPr>
        <w:keepNext w:val="0"/>
        <w:keepLines w:val="0"/>
        <w:pageBreakBefore w:val="0"/>
        <w:widowControl/>
        <w:kinsoku w:val="0"/>
        <w:wordWrap/>
        <w:overflowPunct/>
        <w:topLinePunct w:val="0"/>
        <w:autoSpaceDE w:val="0"/>
        <w:autoSpaceDN w:val="0"/>
        <w:bidi w:val="0"/>
        <w:adjustRightInd w:val="0"/>
        <w:snapToGrid w:val="0"/>
        <w:spacing w:before="225" w:line="440" w:lineRule="exact"/>
        <w:ind w:right="2" w:firstLine="481"/>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9.2</w:t>
      </w:r>
      <w:r>
        <w:rPr>
          <w:rFonts w:ascii="宋体" w:hAnsi="宋体" w:eastAsia="宋体" w:cs="宋体"/>
          <w:color w:val="auto"/>
          <w:spacing w:val="3"/>
          <w:sz w:val="24"/>
          <w:szCs w:val="24"/>
          <w:highlight w:val="none"/>
        </w:rPr>
        <w:t>如果在竞争性磋商文件中没有允许提供备选方案，则每个供应商只允许</w:t>
      </w:r>
      <w:r>
        <w:rPr>
          <w:rFonts w:ascii="宋体" w:hAnsi="宋体" w:eastAsia="宋体" w:cs="宋体"/>
          <w:color w:val="auto"/>
          <w:spacing w:val="2"/>
          <w:sz w:val="24"/>
          <w:szCs w:val="24"/>
          <w:highlight w:val="none"/>
        </w:rPr>
        <w:t>提交一个</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磋商方案，否则，其磋商将按照无效磋商处理。</w:t>
      </w:r>
    </w:p>
    <w:p w14:paraId="4FA34087">
      <w:pPr>
        <w:keepNext w:val="0"/>
        <w:keepLines w:val="0"/>
        <w:pageBreakBefore w:val="0"/>
        <w:widowControl/>
        <w:kinsoku w:val="0"/>
        <w:wordWrap/>
        <w:overflowPunct/>
        <w:topLinePunct w:val="0"/>
        <w:autoSpaceDE w:val="0"/>
        <w:autoSpaceDN w:val="0"/>
        <w:bidi w:val="0"/>
        <w:adjustRightInd w:val="0"/>
        <w:snapToGrid w:val="0"/>
        <w:spacing w:before="215" w:line="440" w:lineRule="exact"/>
        <w:ind w:left="2" w:firstLine="478"/>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9.3</w:t>
      </w:r>
      <w:r>
        <w:rPr>
          <w:rFonts w:ascii="宋体" w:hAnsi="宋体" w:eastAsia="宋体" w:cs="宋体"/>
          <w:color w:val="auto"/>
          <w:spacing w:val="-4"/>
          <w:sz w:val="24"/>
          <w:szCs w:val="24"/>
          <w:highlight w:val="none"/>
        </w:rPr>
        <w:t>本次磋商的最小单元为“项目</w:t>
      </w:r>
      <w:r>
        <w:rPr>
          <w:rFonts w:ascii="宋体" w:hAnsi="宋体" w:eastAsia="宋体" w:cs="宋体"/>
          <w:color w:val="auto"/>
          <w:spacing w:val="-78"/>
          <w:sz w:val="24"/>
          <w:szCs w:val="24"/>
          <w:highlight w:val="none"/>
        </w:rPr>
        <w:t xml:space="preserve"> </w:t>
      </w:r>
      <w:r>
        <w:rPr>
          <w:rFonts w:ascii="宋体" w:hAnsi="宋体" w:eastAsia="宋体" w:cs="宋体"/>
          <w:color w:val="auto"/>
          <w:spacing w:val="-4"/>
          <w:sz w:val="24"/>
          <w:szCs w:val="24"/>
          <w:highlight w:val="none"/>
        </w:rPr>
        <w:t>”，供应商可根据自身的资质情况和经营范围对本次</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项目进行磋商，不得将其子目再行分解或只对本次项目中的品目进行不完全磋商，任何不</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完全的响应将会被拒绝。</w:t>
      </w:r>
    </w:p>
    <w:p w14:paraId="44187F95">
      <w:pPr>
        <w:keepNext w:val="0"/>
        <w:keepLines w:val="0"/>
        <w:pageBreakBefore w:val="0"/>
        <w:widowControl/>
        <w:kinsoku w:val="0"/>
        <w:wordWrap/>
        <w:overflowPunct/>
        <w:topLinePunct w:val="0"/>
        <w:autoSpaceDE w:val="0"/>
        <w:autoSpaceDN w:val="0"/>
        <w:bidi w:val="0"/>
        <w:adjustRightInd w:val="0"/>
        <w:snapToGrid w:val="0"/>
        <w:spacing w:before="215"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10.</w:t>
      </w:r>
      <w:r>
        <w:rPr>
          <w:rFonts w:ascii="宋体" w:hAnsi="宋体" w:eastAsia="宋体" w:cs="宋体"/>
          <w:b/>
          <w:bCs/>
          <w:color w:val="auto"/>
          <w:spacing w:val="-3"/>
          <w:sz w:val="24"/>
          <w:szCs w:val="24"/>
          <w:highlight w:val="none"/>
        </w:rPr>
        <w:t>竞争性磋商响应文件格式</w:t>
      </w:r>
    </w:p>
    <w:p w14:paraId="49E224C0">
      <w:pPr>
        <w:keepNext w:val="0"/>
        <w:keepLines w:val="0"/>
        <w:pageBreakBefore w:val="0"/>
        <w:widowControl/>
        <w:kinsoku w:val="0"/>
        <w:wordWrap/>
        <w:overflowPunct/>
        <w:topLinePunct w:val="0"/>
        <w:autoSpaceDE w:val="0"/>
        <w:autoSpaceDN w:val="0"/>
        <w:bidi w:val="0"/>
        <w:adjustRightInd w:val="0"/>
        <w:snapToGrid w:val="0"/>
        <w:spacing w:before="215" w:line="440" w:lineRule="exact"/>
        <w:ind w:right="2" w:firstLine="499"/>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10.1  </w:t>
      </w:r>
      <w:r>
        <w:rPr>
          <w:rFonts w:ascii="宋体" w:hAnsi="宋体" w:eastAsia="宋体" w:cs="宋体"/>
          <w:color w:val="auto"/>
          <w:spacing w:val="-1"/>
          <w:sz w:val="24"/>
          <w:szCs w:val="24"/>
          <w:highlight w:val="none"/>
        </w:rPr>
        <w:t>供应商应按照竞争性磋商文件中第六章“竞争性磋</w:t>
      </w:r>
      <w:r>
        <w:rPr>
          <w:rFonts w:ascii="宋体" w:hAnsi="宋体" w:eastAsia="宋体" w:cs="宋体"/>
          <w:color w:val="auto"/>
          <w:spacing w:val="-2"/>
          <w:sz w:val="24"/>
          <w:szCs w:val="24"/>
          <w:highlight w:val="none"/>
        </w:rPr>
        <w:t>商响应文件格式及构成</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”所提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供的格式和要求制作竞争性磋商响应文件，明确表达磋商意愿，详细说明磋商方案、承诺</w:t>
      </w:r>
      <w:r>
        <w:rPr>
          <w:rFonts w:ascii="宋体" w:hAnsi="宋体" w:eastAsia="宋体" w:cs="宋体"/>
          <w:color w:val="auto"/>
          <w:spacing w:val="18"/>
          <w:sz w:val="24"/>
          <w:szCs w:val="24"/>
          <w:highlight w:val="none"/>
        </w:rPr>
        <w:t xml:space="preserve"> </w:t>
      </w:r>
      <w:r>
        <w:rPr>
          <w:rFonts w:ascii="宋体" w:hAnsi="宋体" w:eastAsia="宋体" w:cs="宋体"/>
          <w:color w:val="auto"/>
          <w:spacing w:val="-3"/>
          <w:sz w:val="24"/>
          <w:szCs w:val="24"/>
          <w:highlight w:val="none"/>
        </w:rPr>
        <w:t>及价格。</w:t>
      </w:r>
    </w:p>
    <w:p w14:paraId="0EE9B0ED">
      <w:pPr>
        <w:keepNext w:val="0"/>
        <w:keepLines w:val="0"/>
        <w:pageBreakBefore w:val="0"/>
        <w:widowControl/>
        <w:kinsoku w:val="0"/>
        <w:wordWrap/>
        <w:overflowPunct/>
        <w:topLinePunct w:val="0"/>
        <w:autoSpaceDE w:val="0"/>
        <w:autoSpaceDN w:val="0"/>
        <w:bidi w:val="0"/>
        <w:adjustRightInd w:val="0"/>
        <w:snapToGrid w:val="0"/>
        <w:spacing w:before="219" w:line="440" w:lineRule="exact"/>
        <w:ind w:right="2" w:firstLine="498"/>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10.2  </w:t>
      </w:r>
      <w:r>
        <w:rPr>
          <w:rFonts w:ascii="宋体" w:hAnsi="宋体" w:eastAsia="宋体" w:cs="宋体"/>
          <w:color w:val="auto"/>
          <w:spacing w:val="2"/>
          <w:sz w:val="24"/>
          <w:szCs w:val="24"/>
          <w:highlight w:val="none"/>
        </w:rPr>
        <w:t>按竞争性磋商文件的内容及要求和第六章提供的格式和要求编写其竞争</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性磋商响应文件，供应商不得缺少或留空任何竞争性磋商文件要求填写的表格或提交的资</w:t>
      </w:r>
      <w:r>
        <w:rPr>
          <w:rFonts w:ascii="宋体" w:hAnsi="宋体" w:eastAsia="宋体" w:cs="宋体"/>
          <w:color w:val="auto"/>
          <w:spacing w:val="-5"/>
          <w:sz w:val="24"/>
          <w:szCs w:val="24"/>
          <w:highlight w:val="none"/>
        </w:rPr>
        <w:t>料。</w:t>
      </w:r>
    </w:p>
    <w:p w14:paraId="64292B82">
      <w:pPr>
        <w:keepNext w:val="0"/>
        <w:keepLines w:val="0"/>
        <w:pageBreakBefore w:val="0"/>
        <w:widowControl/>
        <w:kinsoku w:val="0"/>
        <w:wordWrap/>
        <w:overflowPunct/>
        <w:topLinePunct w:val="0"/>
        <w:autoSpaceDE w:val="0"/>
        <w:autoSpaceDN w:val="0"/>
        <w:bidi w:val="0"/>
        <w:adjustRightInd w:val="0"/>
        <w:snapToGrid w:val="0"/>
        <w:spacing w:before="216"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11.</w:t>
      </w:r>
      <w:r>
        <w:rPr>
          <w:rFonts w:ascii="宋体" w:hAnsi="宋体" w:eastAsia="宋体" w:cs="宋体"/>
          <w:b/>
          <w:bCs/>
          <w:color w:val="auto"/>
          <w:spacing w:val="-6"/>
          <w:sz w:val="24"/>
          <w:szCs w:val="24"/>
          <w:highlight w:val="none"/>
        </w:rPr>
        <w:t>磋商报价</w:t>
      </w:r>
    </w:p>
    <w:p w14:paraId="7D2FCADB">
      <w:pPr>
        <w:keepNext w:val="0"/>
        <w:keepLines w:val="0"/>
        <w:pageBreakBefore w:val="0"/>
        <w:widowControl/>
        <w:kinsoku w:val="0"/>
        <w:wordWrap/>
        <w:overflowPunct/>
        <w:topLinePunct w:val="0"/>
        <w:autoSpaceDE w:val="0"/>
        <w:autoSpaceDN w:val="0"/>
        <w:bidi w:val="0"/>
        <w:adjustRightInd w:val="0"/>
        <w:snapToGrid w:val="0"/>
        <w:spacing w:before="35" w:line="440" w:lineRule="exact"/>
        <w:ind w:left="5" w:right="2" w:firstLine="493"/>
        <w:textAlignment w:val="baseline"/>
        <w:rPr>
          <w:rFonts w:hint="eastAsia" w:ascii="宋体" w:hAnsi="宋体" w:eastAsia="宋体" w:cs="宋体"/>
          <w:color w:val="auto"/>
          <w:spacing w:val="-1"/>
          <w:sz w:val="24"/>
          <w:szCs w:val="24"/>
          <w:highlight w:val="none"/>
        </w:rPr>
      </w:pPr>
      <w:r>
        <w:rPr>
          <w:rFonts w:ascii="Times New Roman" w:hAnsi="Times New Roman" w:eastAsia="Times New Roman" w:cs="Times New Roman"/>
          <w:color w:val="auto"/>
          <w:spacing w:val="-1"/>
          <w:sz w:val="24"/>
          <w:szCs w:val="24"/>
          <w:highlight w:val="none"/>
        </w:rPr>
        <w:t xml:space="preserve">11.1  </w:t>
      </w:r>
      <w:r>
        <w:rPr>
          <w:rFonts w:ascii="宋体" w:hAnsi="宋体" w:eastAsia="宋体" w:cs="宋体"/>
          <w:color w:val="auto"/>
          <w:spacing w:val="-1"/>
          <w:sz w:val="24"/>
          <w:szCs w:val="24"/>
          <w:highlight w:val="none"/>
        </w:rPr>
        <w:t>磋商报价：</w:t>
      </w:r>
      <w:r>
        <w:rPr>
          <w:rFonts w:hint="eastAsia" w:ascii="宋体" w:hAnsi="宋体" w:eastAsia="宋体" w:cs="宋体"/>
          <w:color w:val="auto"/>
          <w:spacing w:val="-1"/>
          <w:sz w:val="24"/>
          <w:szCs w:val="24"/>
          <w:highlight w:val="none"/>
        </w:rPr>
        <w:t>自主填报，但不得超出本项目的最高限价或采购预算。如超出，将按照无效磋商处理。</w:t>
      </w:r>
    </w:p>
    <w:p w14:paraId="6D4B34AE">
      <w:pPr>
        <w:keepNext w:val="0"/>
        <w:keepLines w:val="0"/>
        <w:pageBreakBefore w:val="0"/>
        <w:widowControl/>
        <w:kinsoku w:val="0"/>
        <w:wordWrap/>
        <w:overflowPunct/>
        <w:topLinePunct w:val="0"/>
        <w:autoSpaceDE w:val="0"/>
        <w:autoSpaceDN w:val="0"/>
        <w:bidi w:val="0"/>
        <w:adjustRightInd w:val="0"/>
        <w:snapToGrid w:val="0"/>
        <w:spacing w:before="35" w:line="440" w:lineRule="exact"/>
        <w:ind w:left="5" w:right="2" w:firstLine="493"/>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11.2  </w:t>
      </w:r>
      <w:r>
        <w:rPr>
          <w:rFonts w:ascii="宋体" w:hAnsi="宋体" w:eastAsia="宋体" w:cs="宋体"/>
          <w:color w:val="auto"/>
          <w:sz w:val="24"/>
          <w:szCs w:val="24"/>
          <w:highlight w:val="none"/>
        </w:rPr>
        <w:t>磋商报价表中标明本次服务的</w:t>
      </w:r>
      <w:r>
        <w:rPr>
          <w:rFonts w:ascii="宋体" w:hAnsi="宋体" w:eastAsia="宋体" w:cs="宋体"/>
          <w:color w:val="auto"/>
          <w:spacing w:val="-1"/>
          <w:sz w:val="24"/>
          <w:szCs w:val="24"/>
          <w:highlight w:val="none"/>
        </w:rPr>
        <w:t>价格，任何有选择的报价将不予接受，按无效文件</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处理。</w:t>
      </w:r>
    </w:p>
    <w:p w14:paraId="5662DCF1">
      <w:pPr>
        <w:keepNext w:val="0"/>
        <w:keepLines w:val="0"/>
        <w:pageBreakBefore w:val="0"/>
        <w:widowControl/>
        <w:kinsoku w:val="0"/>
        <w:wordWrap/>
        <w:overflowPunct/>
        <w:topLinePunct w:val="0"/>
        <w:autoSpaceDE w:val="0"/>
        <w:autoSpaceDN w:val="0"/>
        <w:bidi w:val="0"/>
        <w:adjustRightInd w:val="0"/>
        <w:snapToGrid w:val="0"/>
        <w:spacing w:before="29"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12.</w:t>
      </w:r>
      <w:r>
        <w:rPr>
          <w:rFonts w:ascii="宋体" w:hAnsi="宋体" w:eastAsia="宋体" w:cs="宋体"/>
          <w:b/>
          <w:bCs/>
          <w:color w:val="auto"/>
          <w:spacing w:val="-3"/>
          <w:sz w:val="24"/>
          <w:szCs w:val="24"/>
          <w:highlight w:val="none"/>
        </w:rPr>
        <w:t>证明供应商合格的资格证明文件</w:t>
      </w:r>
    </w:p>
    <w:p w14:paraId="1AA043C6">
      <w:pPr>
        <w:keepNext w:val="0"/>
        <w:keepLines w:val="0"/>
        <w:pageBreakBefore w:val="0"/>
        <w:widowControl/>
        <w:kinsoku w:val="0"/>
        <w:wordWrap/>
        <w:overflowPunct/>
        <w:topLinePunct w:val="0"/>
        <w:autoSpaceDE w:val="0"/>
        <w:autoSpaceDN w:val="0"/>
        <w:bidi w:val="0"/>
        <w:adjustRightInd w:val="0"/>
        <w:snapToGrid w:val="0"/>
        <w:spacing w:before="218" w:line="440" w:lineRule="exact"/>
        <w:ind w:left="2" w:right="2" w:firstLine="496"/>
        <w:jc w:val="both"/>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12.1  </w:t>
      </w:r>
      <w:r>
        <w:rPr>
          <w:rFonts w:ascii="宋体" w:hAnsi="宋体" w:eastAsia="宋体" w:cs="宋体"/>
          <w:color w:val="auto"/>
          <w:sz w:val="24"/>
          <w:szCs w:val="24"/>
          <w:highlight w:val="none"/>
        </w:rPr>
        <w:t>供应商应按照竞争性磋商文件</w:t>
      </w:r>
      <w:r>
        <w:rPr>
          <w:rFonts w:ascii="宋体" w:hAnsi="宋体" w:eastAsia="宋体" w:cs="宋体"/>
          <w:color w:val="auto"/>
          <w:spacing w:val="-1"/>
          <w:sz w:val="24"/>
          <w:szCs w:val="24"/>
          <w:highlight w:val="none"/>
        </w:rPr>
        <w:t>供应商须知前附表的要求，在竞争性磋商响应文件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中提交合格的资格证明文件。如果资格证明文件不全或不合格的，其磋商响应文件将被作</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无效文件处理。</w:t>
      </w:r>
    </w:p>
    <w:p w14:paraId="3536363C">
      <w:pPr>
        <w:keepNext w:val="0"/>
        <w:keepLines w:val="0"/>
        <w:pageBreakBefore w:val="0"/>
        <w:widowControl/>
        <w:kinsoku w:val="0"/>
        <w:wordWrap/>
        <w:overflowPunct/>
        <w:topLinePunct w:val="0"/>
        <w:autoSpaceDE w:val="0"/>
        <w:autoSpaceDN w:val="0"/>
        <w:bidi w:val="0"/>
        <w:adjustRightInd w:val="0"/>
        <w:snapToGrid w:val="0"/>
        <w:spacing w:before="48"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13.</w:t>
      </w:r>
      <w:r>
        <w:rPr>
          <w:rFonts w:ascii="宋体" w:hAnsi="宋体" w:eastAsia="宋体" w:cs="宋体"/>
          <w:b/>
          <w:bCs/>
          <w:color w:val="auto"/>
          <w:spacing w:val="-3"/>
          <w:sz w:val="24"/>
          <w:szCs w:val="24"/>
          <w:highlight w:val="none"/>
        </w:rPr>
        <w:t>证明服务符合竞争性磋商文件规定的文件</w:t>
      </w:r>
    </w:p>
    <w:p w14:paraId="63CDDD17">
      <w:pPr>
        <w:keepNext w:val="0"/>
        <w:keepLines w:val="0"/>
        <w:pageBreakBefore w:val="0"/>
        <w:widowControl/>
        <w:kinsoku w:val="0"/>
        <w:wordWrap/>
        <w:overflowPunct/>
        <w:topLinePunct w:val="0"/>
        <w:autoSpaceDE w:val="0"/>
        <w:autoSpaceDN w:val="0"/>
        <w:bidi w:val="0"/>
        <w:adjustRightInd w:val="0"/>
        <w:snapToGrid w:val="0"/>
        <w:spacing w:before="215" w:line="440" w:lineRule="exact"/>
        <w:ind w:left="1" w:right="16" w:firstLine="497"/>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13.1  </w:t>
      </w:r>
      <w:r>
        <w:rPr>
          <w:rFonts w:ascii="宋体" w:hAnsi="宋体" w:eastAsia="宋体" w:cs="宋体"/>
          <w:color w:val="auto"/>
          <w:sz w:val="24"/>
          <w:szCs w:val="24"/>
          <w:highlight w:val="none"/>
        </w:rPr>
        <w:t>供应商应在竞争性磋商响应文</w:t>
      </w:r>
      <w:r>
        <w:rPr>
          <w:rFonts w:ascii="宋体" w:hAnsi="宋体" w:eastAsia="宋体" w:cs="宋体"/>
          <w:color w:val="auto"/>
          <w:spacing w:val="-1"/>
          <w:sz w:val="24"/>
          <w:szCs w:val="24"/>
          <w:highlight w:val="none"/>
        </w:rPr>
        <w:t>件中提交服务满足竞争性磋商文件要求并符合国家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法律法规、行业管理部门要求的其他强制性标准的证明文件。</w:t>
      </w:r>
    </w:p>
    <w:p w14:paraId="5C50981A">
      <w:pPr>
        <w:keepNext w:val="0"/>
        <w:keepLines w:val="0"/>
        <w:pageBreakBefore w:val="0"/>
        <w:widowControl/>
        <w:kinsoku w:val="0"/>
        <w:wordWrap/>
        <w:overflowPunct/>
        <w:topLinePunct w:val="0"/>
        <w:autoSpaceDE w:val="0"/>
        <w:autoSpaceDN w:val="0"/>
        <w:bidi w:val="0"/>
        <w:adjustRightInd w:val="0"/>
        <w:snapToGrid w:val="0"/>
        <w:spacing w:before="213" w:line="440" w:lineRule="exact"/>
        <w:ind w:left="499"/>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13.2  </w:t>
      </w:r>
      <w:r>
        <w:rPr>
          <w:rFonts w:ascii="宋体" w:hAnsi="宋体" w:eastAsia="宋体" w:cs="宋体"/>
          <w:color w:val="auto"/>
          <w:spacing w:val="-2"/>
          <w:sz w:val="24"/>
          <w:szCs w:val="24"/>
          <w:highlight w:val="none"/>
        </w:rPr>
        <w:t>供应商须提供全部服务内容的详细说明。</w:t>
      </w:r>
    </w:p>
    <w:p w14:paraId="6DFDA05E">
      <w:pPr>
        <w:keepNext w:val="0"/>
        <w:keepLines w:val="0"/>
        <w:pageBreakBefore w:val="0"/>
        <w:widowControl/>
        <w:kinsoku w:val="0"/>
        <w:wordWrap/>
        <w:overflowPunct/>
        <w:topLinePunct w:val="0"/>
        <w:autoSpaceDE w:val="0"/>
        <w:autoSpaceDN w:val="0"/>
        <w:bidi w:val="0"/>
        <w:adjustRightInd w:val="0"/>
        <w:snapToGrid w:val="0"/>
        <w:spacing w:before="217"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14.</w:t>
      </w:r>
      <w:r>
        <w:rPr>
          <w:rFonts w:ascii="宋体" w:hAnsi="宋体" w:eastAsia="宋体" w:cs="宋体"/>
          <w:b/>
          <w:bCs/>
          <w:color w:val="auto"/>
          <w:spacing w:val="-3"/>
          <w:sz w:val="24"/>
          <w:szCs w:val="24"/>
          <w:highlight w:val="none"/>
        </w:rPr>
        <w:t>磋商有效期</w:t>
      </w:r>
    </w:p>
    <w:p w14:paraId="00E53307">
      <w:pPr>
        <w:keepNext w:val="0"/>
        <w:keepLines w:val="0"/>
        <w:pageBreakBefore w:val="0"/>
        <w:widowControl/>
        <w:kinsoku w:val="0"/>
        <w:wordWrap/>
        <w:overflowPunct/>
        <w:topLinePunct w:val="0"/>
        <w:autoSpaceDE w:val="0"/>
        <w:autoSpaceDN w:val="0"/>
        <w:bidi w:val="0"/>
        <w:adjustRightInd w:val="0"/>
        <w:snapToGrid w:val="0"/>
        <w:spacing w:before="212" w:line="440" w:lineRule="exact"/>
        <w:ind w:left="4" w:right="14" w:firstLine="494"/>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14.1  </w:t>
      </w:r>
      <w:r>
        <w:rPr>
          <w:rFonts w:ascii="宋体" w:hAnsi="宋体" w:eastAsia="宋体" w:cs="宋体"/>
          <w:color w:val="auto"/>
          <w:spacing w:val="-1"/>
          <w:sz w:val="24"/>
          <w:szCs w:val="24"/>
          <w:highlight w:val="none"/>
        </w:rPr>
        <w:t>磋商响应文件应在“供应商须知前附表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”中规定的期限</w:t>
      </w:r>
      <w:r>
        <w:rPr>
          <w:rFonts w:ascii="宋体" w:hAnsi="宋体" w:eastAsia="宋体" w:cs="宋体"/>
          <w:color w:val="auto"/>
          <w:spacing w:val="-2"/>
          <w:sz w:val="24"/>
          <w:szCs w:val="24"/>
          <w:highlight w:val="none"/>
        </w:rPr>
        <w:t>内保持有效。磋商有效期</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不满足规定有效期的磋商响应文件将被视为非响应性磋商而予以拒绝。</w:t>
      </w:r>
    </w:p>
    <w:p w14:paraId="72E3B27E">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14.2  </w:t>
      </w:r>
      <w:r>
        <w:rPr>
          <w:rFonts w:ascii="宋体" w:hAnsi="宋体" w:eastAsia="宋体" w:cs="宋体"/>
          <w:color w:val="auto"/>
          <w:sz w:val="24"/>
          <w:szCs w:val="24"/>
          <w:highlight w:val="none"/>
        </w:rPr>
        <w:t>在特殊情况下，在原磋商有效</w:t>
      </w:r>
      <w:r>
        <w:rPr>
          <w:rFonts w:ascii="宋体" w:hAnsi="宋体" w:eastAsia="宋体" w:cs="宋体"/>
          <w:color w:val="auto"/>
          <w:spacing w:val="-1"/>
          <w:sz w:val="24"/>
          <w:szCs w:val="24"/>
          <w:highlight w:val="none"/>
        </w:rPr>
        <w:t>期期满之前，采购代理机构可向供应商提出延长磋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商有效期的要求。这种要求与答复均应以书面的形式。供应商可以拒绝采购代理机构的这</w:t>
      </w:r>
      <w:r>
        <w:rPr>
          <w:rFonts w:ascii="宋体" w:hAnsi="宋体" w:eastAsia="宋体" w:cs="宋体"/>
          <w:color w:val="auto"/>
          <w:spacing w:val="17"/>
          <w:sz w:val="24"/>
          <w:szCs w:val="24"/>
          <w:highlight w:val="none"/>
        </w:rPr>
        <w:t xml:space="preserve"> </w:t>
      </w:r>
      <w:r>
        <w:rPr>
          <w:rFonts w:ascii="宋体" w:hAnsi="宋体" w:eastAsia="宋体" w:cs="宋体"/>
          <w:color w:val="auto"/>
          <w:sz w:val="24"/>
          <w:szCs w:val="24"/>
          <w:highlight w:val="none"/>
        </w:rPr>
        <w:t>种要求</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其磋商保证金也不被没收。同意延长的供应商既不能要求也不允许修改其</w:t>
      </w:r>
      <w:r>
        <w:rPr>
          <w:rFonts w:ascii="宋体" w:hAnsi="宋体" w:eastAsia="宋体" w:cs="宋体"/>
          <w:color w:val="auto"/>
          <w:spacing w:val="-1"/>
          <w:sz w:val="24"/>
          <w:szCs w:val="24"/>
          <w:highlight w:val="none"/>
        </w:rPr>
        <w:t>竞争性磋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商响应文件，但要相应延长其磋商保证金的有效期。</w:t>
      </w:r>
    </w:p>
    <w:p w14:paraId="6673E725">
      <w:pPr>
        <w:keepNext w:val="0"/>
        <w:keepLines w:val="0"/>
        <w:pageBreakBefore w:val="0"/>
        <w:widowControl/>
        <w:kinsoku w:val="0"/>
        <w:wordWrap/>
        <w:overflowPunct/>
        <w:topLinePunct w:val="0"/>
        <w:autoSpaceDE w:val="0"/>
        <w:autoSpaceDN w:val="0"/>
        <w:bidi w:val="0"/>
        <w:adjustRightInd w:val="0"/>
        <w:snapToGrid w:val="0"/>
        <w:spacing w:before="214" w:line="440" w:lineRule="exact"/>
        <w:ind w:left="487"/>
        <w:textAlignment w:val="baseline"/>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15.</w:t>
      </w:r>
      <w:r>
        <w:rPr>
          <w:rFonts w:ascii="宋体" w:hAnsi="宋体" w:eastAsia="宋体" w:cs="宋体"/>
          <w:b/>
          <w:bCs/>
          <w:color w:val="auto"/>
          <w:spacing w:val="-3"/>
          <w:sz w:val="24"/>
          <w:szCs w:val="24"/>
          <w:highlight w:val="none"/>
        </w:rPr>
        <w:t>竞争性磋商响应文件的式样和签署</w:t>
      </w:r>
    </w:p>
    <w:p w14:paraId="33431D6C">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文件的各项资料均应遵守本条其他款项的规定。</w:t>
      </w:r>
    </w:p>
    <w:p w14:paraId="24D0231B">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rPr>
        <w:t xml:space="preserve">.2 </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应填写全称，同时加盖</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印章。</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文件加盖</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印章并经法定代表人或其委托代理人签字或盖章。由委托代理人签字或盖章的</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文件中须同时提交有效</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文件签署授权委托书。</w:t>
      </w:r>
    </w:p>
    <w:p w14:paraId="0C9749B8">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 xml:space="preserve">.3 </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lang w:eastAsia="zh-CN"/>
        </w:rPr>
        <w:t>文件</w:t>
      </w:r>
      <w:r>
        <w:rPr>
          <w:rFonts w:hint="eastAsia" w:ascii="宋体" w:hAnsi="宋体" w:eastAsia="宋体" w:cs="宋体"/>
          <w:color w:val="auto"/>
          <w:spacing w:val="-1"/>
          <w:sz w:val="24"/>
          <w:szCs w:val="24"/>
          <w:highlight w:val="none"/>
        </w:rPr>
        <w:t>份数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正本壹</w:t>
      </w:r>
      <w:r>
        <w:rPr>
          <w:rFonts w:hint="eastAsia" w:ascii="宋体" w:hAnsi="宋体" w:eastAsia="宋体" w:cs="宋体"/>
          <w:color w:val="auto"/>
          <w:spacing w:val="-1"/>
          <w:sz w:val="24"/>
          <w:szCs w:val="24"/>
          <w:highlight w:val="none"/>
          <w:lang w:eastAsia="zh-CN"/>
        </w:rPr>
        <w:t>份，</w:t>
      </w:r>
      <w:r>
        <w:rPr>
          <w:rFonts w:hint="eastAsia" w:ascii="宋体" w:hAnsi="宋体" w:eastAsia="宋体" w:cs="宋体"/>
          <w:color w:val="auto"/>
          <w:spacing w:val="-1"/>
          <w:sz w:val="24"/>
          <w:szCs w:val="24"/>
          <w:highlight w:val="none"/>
          <w:lang w:val="en-US" w:eastAsia="zh-CN"/>
        </w:rPr>
        <w:t>副本贰份，</w:t>
      </w:r>
      <w:r>
        <w:rPr>
          <w:rFonts w:hint="eastAsia" w:ascii="宋体" w:hAnsi="宋体" w:eastAsia="宋体" w:cs="宋体"/>
          <w:color w:val="auto"/>
          <w:spacing w:val="-1"/>
          <w:sz w:val="24"/>
          <w:szCs w:val="24"/>
          <w:highlight w:val="none"/>
          <w:lang w:eastAsia="zh-CN"/>
        </w:rPr>
        <w:t>电子版文件：</w:t>
      </w:r>
      <w:r>
        <w:rPr>
          <w:rFonts w:hint="eastAsia" w:ascii="宋体" w:hAnsi="宋体" w:eastAsia="宋体" w:cs="宋体"/>
          <w:color w:val="auto"/>
          <w:spacing w:val="-1"/>
          <w:sz w:val="24"/>
          <w:szCs w:val="24"/>
          <w:highlight w:val="none"/>
          <w:lang w:val="en-US" w:eastAsia="zh-CN"/>
        </w:rPr>
        <w:t>贰</w:t>
      </w:r>
      <w:r>
        <w:rPr>
          <w:rFonts w:hint="eastAsia" w:ascii="宋体" w:hAnsi="宋体" w:eastAsia="宋体" w:cs="宋体"/>
          <w:color w:val="auto"/>
          <w:spacing w:val="-1"/>
          <w:sz w:val="24"/>
          <w:szCs w:val="24"/>
          <w:highlight w:val="none"/>
          <w:lang w:eastAsia="zh-CN"/>
        </w:rPr>
        <w:t>份电子版（注：包含两</w:t>
      </w:r>
      <w:r>
        <w:rPr>
          <w:rFonts w:hint="eastAsia" w:ascii="宋体" w:hAnsi="宋体" w:eastAsia="宋体" w:cs="宋体"/>
          <w:color w:val="auto"/>
          <w:spacing w:val="-1"/>
          <w:sz w:val="24"/>
          <w:szCs w:val="24"/>
          <w:highlight w:val="none"/>
          <w:lang w:val="en-US" w:eastAsia="zh-CN"/>
        </w:rPr>
        <w:t>份U盘</w:t>
      </w:r>
      <w:r>
        <w:rPr>
          <w:rFonts w:hint="eastAsia" w:ascii="宋体" w:hAnsi="宋体" w:eastAsia="宋体" w:cs="宋体"/>
          <w:color w:val="auto"/>
          <w:spacing w:val="-1"/>
          <w:sz w:val="24"/>
          <w:szCs w:val="24"/>
          <w:highlight w:val="none"/>
          <w:lang w:eastAsia="zh-CN"/>
        </w:rPr>
        <w:t>）。</w:t>
      </w:r>
    </w:p>
    <w:p w14:paraId="4819ED8E">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 xml:space="preserve">.4 </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lang w:eastAsia="zh-CN"/>
        </w:rPr>
        <w:t>文件封套上应写明的内容见</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eastAsia="zh-CN"/>
        </w:rPr>
        <w:t>须知前附表。</w:t>
      </w:r>
    </w:p>
    <w:p w14:paraId="1DCC0F8D">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 xml:space="preserve">.5 </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文件不得涂改和增删，如有修改错漏处，必须由法定代表人或授权代表人签字或盖章。因字迹潦草或表达不清所引起的后果由</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负责。</w:t>
      </w:r>
    </w:p>
    <w:p w14:paraId="053DE2C4">
      <w:pPr>
        <w:keepNext w:val="0"/>
        <w:keepLines w:val="0"/>
        <w:pageBreakBefore w:val="0"/>
        <w:widowControl/>
        <w:kinsoku w:val="0"/>
        <w:wordWrap/>
        <w:overflowPunct/>
        <w:topLinePunct w:val="0"/>
        <w:autoSpaceDE w:val="0"/>
        <w:autoSpaceDN w:val="0"/>
        <w:bidi w:val="0"/>
        <w:adjustRightInd w:val="0"/>
        <w:snapToGrid w:val="0"/>
        <w:spacing w:before="218" w:line="440" w:lineRule="exact"/>
        <w:ind w:right="16" w:firstLine="498"/>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val="en-US" w:eastAsia="zh-CN"/>
        </w:rPr>
        <w:t>磋商</w:t>
      </w:r>
      <w:r>
        <w:rPr>
          <w:rFonts w:hint="eastAsia" w:ascii="宋体" w:hAnsi="宋体" w:eastAsia="宋体" w:cs="宋体"/>
          <w:color w:val="auto"/>
          <w:spacing w:val="-1"/>
          <w:sz w:val="24"/>
          <w:szCs w:val="24"/>
          <w:highlight w:val="none"/>
        </w:rPr>
        <w:t>有效期见</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rPr>
        <w:t>须知前附表</w:t>
      </w:r>
      <w:r>
        <w:rPr>
          <w:rFonts w:hint="eastAsia" w:ascii="宋体" w:hAnsi="宋体" w:eastAsia="宋体" w:cs="宋体"/>
          <w:color w:val="auto"/>
          <w:spacing w:val="-1"/>
          <w:sz w:val="24"/>
          <w:szCs w:val="24"/>
          <w:highlight w:val="none"/>
          <w:lang w:eastAsia="zh-CN"/>
        </w:rPr>
        <w:t>。</w:t>
      </w:r>
    </w:p>
    <w:p w14:paraId="059005A8">
      <w:pPr>
        <w:pStyle w:val="10"/>
        <w:spacing w:line="248" w:lineRule="auto"/>
        <w:rPr>
          <w:rFonts w:hint="eastAsia" w:asciiTheme="minorEastAsia" w:hAnsiTheme="minorEastAsia" w:eastAsiaTheme="minorEastAsia" w:cstheme="minorEastAsia"/>
          <w:color w:val="auto"/>
          <w:highlight w:val="none"/>
        </w:rPr>
      </w:pPr>
    </w:p>
    <w:p w14:paraId="5BEEA9FE">
      <w:pPr>
        <w:spacing w:before="152" w:line="350" w:lineRule="exact"/>
        <w:ind w:left="226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pacing w:val="-11"/>
          <w:position w:val="-2"/>
          <w:sz w:val="32"/>
          <w:szCs w:val="32"/>
          <w:highlight w:val="none"/>
        </w:rPr>
        <w:t>四.竞争性磋商响应文件的递交</w:t>
      </w:r>
    </w:p>
    <w:p w14:paraId="39B5A5D5">
      <w:pPr>
        <w:keepNext w:val="0"/>
        <w:keepLines w:val="0"/>
        <w:pageBreakBefore w:val="0"/>
        <w:widowControl/>
        <w:kinsoku w:val="0"/>
        <w:wordWrap/>
        <w:overflowPunct/>
        <w:topLinePunct w:val="0"/>
        <w:autoSpaceDE w:val="0"/>
        <w:autoSpaceDN w:val="0"/>
        <w:bidi w:val="0"/>
        <w:adjustRightInd w:val="0"/>
        <w:snapToGrid w:val="0"/>
        <w:spacing w:before="229" w:line="440" w:lineRule="exact"/>
        <w:ind w:left="48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16</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．竞争性磋商响应文件的递交</w:t>
      </w:r>
    </w:p>
    <w:p w14:paraId="2A1B6034">
      <w:pPr>
        <w:keepNext w:val="0"/>
        <w:keepLines w:val="0"/>
        <w:pageBreakBefore w:val="0"/>
        <w:widowControl/>
        <w:kinsoku w:val="0"/>
        <w:wordWrap/>
        <w:overflowPunct/>
        <w:topLinePunct w:val="0"/>
        <w:autoSpaceDE w:val="0"/>
        <w:autoSpaceDN w:val="0"/>
        <w:bidi w:val="0"/>
        <w:adjustRightInd w:val="0"/>
        <w:snapToGrid w:val="0"/>
        <w:spacing w:before="215" w:line="440" w:lineRule="exact"/>
        <w:ind w:right="14" w:firstLine="802" w:firstLineChars="33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见供应商须知前附表。</w:t>
      </w:r>
    </w:p>
    <w:p w14:paraId="2DDB9C54">
      <w:pPr>
        <w:keepNext w:val="0"/>
        <w:keepLines w:val="0"/>
        <w:pageBreakBefore w:val="0"/>
        <w:widowControl/>
        <w:kinsoku w:val="0"/>
        <w:wordWrap/>
        <w:overflowPunct/>
        <w:topLinePunct w:val="0"/>
        <w:autoSpaceDE w:val="0"/>
        <w:autoSpaceDN w:val="0"/>
        <w:bidi w:val="0"/>
        <w:adjustRightInd w:val="0"/>
        <w:snapToGrid w:val="0"/>
        <w:spacing w:before="33" w:line="440" w:lineRule="exact"/>
        <w:ind w:left="48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17</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．磋商的修改与撤回</w:t>
      </w:r>
    </w:p>
    <w:p w14:paraId="160B5003">
      <w:pPr>
        <w:keepNext w:val="0"/>
        <w:keepLines w:val="0"/>
        <w:pageBreakBefore w:val="0"/>
        <w:widowControl/>
        <w:kinsoku w:val="0"/>
        <w:wordWrap/>
        <w:overflowPunct/>
        <w:topLinePunct w:val="0"/>
        <w:autoSpaceDE w:val="0"/>
        <w:autoSpaceDN w:val="0"/>
        <w:bidi w:val="0"/>
        <w:adjustRightInd w:val="0"/>
        <w:snapToGrid w:val="0"/>
        <w:spacing w:before="47" w:line="440" w:lineRule="exact"/>
        <w:ind w:left="1" w:right="2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供应商在递交竞争性磋商响应</w:t>
      </w:r>
      <w:r>
        <w:rPr>
          <w:rFonts w:hint="eastAsia" w:ascii="宋体" w:hAnsi="宋体" w:eastAsia="宋体" w:cs="宋体"/>
          <w:color w:val="auto"/>
          <w:spacing w:val="-1"/>
          <w:sz w:val="24"/>
          <w:szCs w:val="24"/>
          <w:highlight w:val="none"/>
        </w:rPr>
        <w:t>文件后，可以修改或撤回其竞争性磋商响应文件，</w:t>
      </w:r>
      <w:r>
        <w:rPr>
          <w:rFonts w:hint="eastAsia" w:ascii="宋体" w:hAnsi="宋体" w:eastAsia="宋体" w:cs="宋体"/>
          <w:color w:val="auto"/>
          <w:spacing w:val="1"/>
          <w:sz w:val="24"/>
          <w:szCs w:val="24"/>
          <w:highlight w:val="none"/>
        </w:rPr>
        <w:t>也可以提出价格变动声明，但供应商必须在规定的磋商截止时间之前将修改或撤回或变动</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价格的书面通知文件递交到采购代理机构。</w:t>
      </w:r>
    </w:p>
    <w:p w14:paraId="47E1ADF4">
      <w:pPr>
        <w:keepNext w:val="0"/>
        <w:keepLines w:val="0"/>
        <w:pageBreakBefore w:val="0"/>
        <w:widowControl/>
        <w:kinsoku w:val="0"/>
        <w:wordWrap/>
        <w:overflowPunct/>
        <w:topLinePunct w:val="0"/>
        <w:autoSpaceDE w:val="0"/>
        <w:autoSpaceDN w:val="0"/>
        <w:bidi w:val="0"/>
        <w:adjustRightInd w:val="0"/>
        <w:snapToGrid w:val="0"/>
        <w:spacing w:before="34" w:line="440" w:lineRule="exact"/>
        <w:ind w:right="17" w:firstLine="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17.2 供应商的修改或撤回或变动价格的通知应按</w:t>
      </w:r>
      <w:r>
        <w:rPr>
          <w:rFonts w:hint="eastAsia" w:ascii="宋体" w:hAnsi="宋体" w:eastAsia="宋体" w:cs="宋体"/>
          <w:color w:val="auto"/>
          <w:spacing w:val="-4"/>
          <w:sz w:val="24"/>
          <w:szCs w:val="24"/>
          <w:highlight w:val="none"/>
          <w:lang w:val="en-US" w:eastAsia="zh-CN"/>
        </w:rPr>
        <w:t>供应商须知前附表</w:t>
      </w:r>
      <w:r>
        <w:rPr>
          <w:rFonts w:hint="eastAsia" w:ascii="宋体" w:hAnsi="宋体" w:eastAsia="宋体" w:cs="宋体"/>
          <w:color w:val="auto"/>
          <w:spacing w:val="-4"/>
          <w:sz w:val="24"/>
          <w:szCs w:val="24"/>
          <w:highlight w:val="none"/>
        </w:rPr>
        <w:t>规定编制、密封、标</w:t>
      </w:r>
      <w:r>
        <w:rPr>
          <w:rFonts w:hint="eastAsia" w:ascii="宋体" w:hAnsi="宋体" w:eastAsia="宋体" w:cs="宋体"/>
          <w:color w:val="auto"/>
          <w:spacing w:val="-2"/>
          <w:sz w:val="24"/>
          <w:szCs w:val="24"/>
          <w:highlight w:val="none"/>
        </w:rPr>
        <w:t>记和递交。</w:t>
      </w:r>
    </w:p>
    <w:p w14:paraId="3FE2B6EA">
      <w:pPr>
        <w:keepNext w:val="0"/>
        <w:keepLines w:val="0"/>
        <w:pageBreakBefore w:val="0"/>
        <w:widowControl/>
        <w:kinsoku w:val="0"/>
        <w:wordWrap/>
        <w:overflowPunct/>
        <w:topLinePunct w:val="0"/>
        <w:autoSpaceDE w:val="0"/>
        <w:autoSpaceDN w:val="0"/>
        <w:bidi w:val="0"/>
        <w:adjustRightInd w:val="0"/>
        <w:snapToGrid w:val="0"/>
        <w:spacing w:before="214" w:line="440" w:lineRule="exact"/>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17.3在磋商截止时间之后，供应商不得对其磋商响应文件做任何修改或撤回。</w:t>
      </w:r>
    </w:p>
    <w:p w14:paraId="54E38CF9">
      <w:pPr>
        <w:spacing w:before="136" w:line="349" w:lineRule="exact"/>
        <w:ind w:left="3588"/>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pacing w:val="20"/>
          <w:position w:val="-1"/>
          <w:sz w:val="32"/>
          <w:szCs w:val="32"/>
          <w:highlight w:val="none"/>
        </w:rPr>
        <w:t>五.</w:t>
      </w:r>
      <w:r>
        <w:rPr>
          <w:rFonts w:hint="eastAsia" w:asciiTheme="minorEastAsia" w:hAnsiTheme="minorEastAsia" w:eastAsiaTheme="minorEastAsia" w:cstheme="minorEastAsia"/>
          <w:b/>
          <w:bCs/>
          <w:color w:val="auto"/>
          <w:spacing w:val="-46"/>
          <w:position w:val="-1"/>
          <w:sz w:val="32"/>
          <w:szCs w:val="32"/>
          <w:highlight w:val="none"/>
        </w:rPr>
        <w:t xml:space="preserve"> </w:t>
      </w:r>
      <w:r>
        <w:rPr>
          <w:rFonts w:hint="eastAsia" w:asciiTheme="minorEastAsia" w:hAnsiTheme="minorEastAsia" w:eastAsiaTheme="minorEastAsia" w:cstheme="minorEastAsia"/>
          <w:b/>
          <w:bCs/>
          <w:color w:val="auto"/>
          <w:spacing w:val="20"/>
          <w:position w:val="-1"/>
          <w:sz w:val="32"/>
          <w:szCs w:val="32"/>
          <w:highlight w:val="none"/>
        </w:rPr>
        <w:t>磋商与评审</w:t>
      </w:r>
    </w:p>
    <w:p w14:paraId="255B7089">
      <w:pPr>
        <w:spacing w:before="228" w:line="360" w:lineRule="auto"/>
        <w:ind w:left="487"/>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19.</w:t>
      </w:r>
      <w:r>
        <w:rPr>
          <w:rFonts w:ascii="宋体" w:hAnsi="宋体" w:eastAsia="宋体" w:cs="宋体"/>
          <w:b/>
          <w:bCs/>
          <w:color w:val="auto"/>
          <w:spacing w:val="-4"/>
          <w:sz w:val="24"/>
          <w:szCs w:val="24"/>
          <w:highlight w:val="none"/>
        </w:rPr>
        <w:t>磋商大会</w:t>
      </w:r>
    </w:p>
    <w:p w14:paraId="7EFDB9B0">
      <w:pPr>
        <w:spacing w:before="215" w:line="360" w:lineRule="auto"/>
        <w:ind w:left="49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19</w:t>
      </w:r>
      <w:r>
        <w:rPr>
          <w:rFonts w:hint="eastAsia" w:ascii="宋体" w:hAnsi="宋体" w:eastAsia="宋体" w:cs="宋体"/>
          <w:color w:val="auto"/>
          <w:spacing w:val="-2"/>
          <w:sz w:val="24"/>
          <w:szCs w:val="24"/>
          <w:highlight w:val="none"/>
        </w:rPr>
        <w:t>.1采购代理机构在规定的时间和地点组织竞争性磋商会议。磋商时所有供应商代表自愿参加，参加磋商的代表应签名报到以证明其出席。</w:t>
      </w:r>
    </w:p>
    <w:p w14:paraId="0B7DFA88">
      <w:pPr>
        <w:spacing w:before="215" w:line="360" w:lineRule="auto"/>
        <w:ind w:left="49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19</w:t>
      </w:r>
      <w:r>
        <w:rPr>
          <w:rFonts w:hint="eastAsia" w:ascii="宋体" w:hAnsi="宋体" w:eastAsia="宋体" w:cs="宋体"/>
          <w:color w:val="auto"/>
          <w:spacing w:val="-2"/>
          <w:sz w:val="24"/>
          <w:szCs w:val="24"/>
          <w:highlight w:val="none"/>
        </w:rPr>
        <w:t>.2采购代理机构将做磋商记录，存档备查</w:t>
      </w:r>
      <w:r>
        <w:rPr>
          <w:rFonts w:ascii="宋体" w:hAnsi="宋体" w:eastAsia="宋体" w:cs="宋体"/>
          <w:color w:val="auto"/>
          <w:spacing w:val="-2"/>
          <w:sz w:val="24"/>
          <w:szCs w:val="24"/>
          <w:highlight w:val="none"/>
        </w:rPr>
        <w:t>。</w:t>
      </w:r>
    </w:p>
    <w:p w14:paraId="244B411F">
      <w:pPr>
        <w:spacing w:before="215" w:line="360" w:lineRule="auto"/>
        <w:ind w:left="477"/>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20</w:t>
      </w:r>
      <w:r>
        <w:rPr>
          <w:rFonts w:ascii="Times New Roman" w:hAnsi="Times New Roman" w:eastAsia="Times New Roman" w:cs="Times New Roman"/>
          <w:b/>
          <w:bCs/>
          <w:color w:val="auto"/>
          <w:spacing w:val="-26"/>
          <w:sz w:val="24"/>
          <w:szCs w:val="24"/>
          <w:highlight w:val="none"/>
        </w:rPr>
        <w:t xml:space="preserve"> </w:t>
      </w:r>
      <w:r>
        <w:rPr>
          <w:rFonts w:ascii="宋体" w:hAnsi="宋体" w:eastAsia="宋体" w:cs="宋体"/>
          <w:b/>
          <w:bCs/>
          <w:color w:val="auto"/>
          <w:spacing w:val="-7"/>
          <w:sz w:val="24"/>
          <w:szCs w:val="24"/>
          <w:highlight w:val="none"/>
        </w:rPr>
        <w:t>．评审程序</w:t>
      </w:r>
    </w:p>
    <w:p w14:paraId="35A923F3">
      <w:pPr>
        <w:spacing w:before="213" w:line="360" w:lineRule="auto"/>
        <w:ind w:right="20"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按照竞争性磋商响应文件初审、澄清有关问题、分别磋商、二次报价、比较与评审、</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推荐成交候选人名单的工作程序进行评审。在上一步评审中被认定为无效磋商者，不进入</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下一步的评审。</w:t>
      </w:r>
    </w:p>
    <w:p w14:paraId="64CCE8C0">
      <w:pPr>
        <w:spacing w:before="34" w:line="360" w:lineRule="auto"/>
        <w:ind w:left="477"/>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21</w:t>
      </w:r>
      <w:r>
        <w:rPr>
          <w:rFonts w:ascii="Times New Roman" w:hAnsi="Times New Roman" w:eastAsia="Times New Roman" w:cs="Times New Roman"/>
          <w:b/>
          <w:bCs/>
          <w:color w:val="auto"/>
          <w:spacing w:val="-23"/>
          <w:sz w:val="24"/>
          <w:szCs w:val="24"/>
          <w:highlight w:val="none"/>
        </w:rPr>
        <w:t xml:space="preserve"> </w:t>
      </w:r>
      <w:r>
        <w:rPr>
          <w:rFonts w:ascii="宋体" w:hAnsi="宋体" w:eastAsia="宋体" w:cs="宋体"/>
          <w:b/>
          <w:bCs/>
          <w:color w:val="auto"/>
          <w:spacing w:val="-5"/>
          <w:sz w:val="24"/>
          <w:szCs w:val="24"/>
          <w:highlight w:val="none"/>
        </w:rPr>
        <w:t>．评审组织及评审原则</w:t>
      </w:r>
    </w:p>
    <w:p w14:paraId="3DC02294">
      <w:pPr>
        <w:spacing w:before="217" w:line="360" w:lineRule="auto"/>
        <w:ind w:left="5" w:right="-235" w:rightChars="-112" w:firstLine="47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21.1 </w:t>
      </w:r>
      <w:r>
        <w:rPr>
          <w:rFonts w:ascii="宋体" w:hAnsi="宋体" w:eastAsia="宋体" w:cs="宋体"/>
          <w:color w:val="auto"/>
          <w:spacing w:val="2"/>
          <w:sz w:val="24"/>
          <w:szCs w:val="24"/>
          <w:highlight w:val="none"/>
        </w:rPr>
        <w:t>按照《中华人民共和国政府采购法》</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《中华人民共和国政府采购法实</w:t>
      </w:r>
      <w:r>
        <w:rPr>
          <w:rFonts w:ascii="宋体" w:hAnsi="宋体" w:eastAsia="宋体" w:cs="宋体"/>
          <w:color w:val="auto"/>
          <w:spacing w:val="1"/>
          <w:sz w:val="24"/>
          <w:szCs w:val="24"/>
          <w:highlight w:val="none"/>
        </w:rPr>
        <w:t>施条例</w:t>
      </w:r>
      <w:r>
        <w:rPr>
          <w:rFonts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lang w:eastAsia="zh-CN"/>
        </w:rPr>
        <w:t>及</w:t>
      </w:r>
      <w:r>
        <w:rPr>
          <w:rFonts w:ascii="宋体" w:hAnsi="宋体" w:eastAsia="宋体" w:cs="宋体"/>
          <w:color w:val="auto"/>
          <w:spacing w:val="1"/>
          <w:sz w:val="24"/>
          <w:szCs w:val="24"/>
          <w:highlight w:val="none"/>
        </w:rPr>
        <w:t>关于印发《政府采购竞争性磋</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商采购方式管理暂行办法》的通知（财库【</w:t>
      </w:r>
      <w:r>
        <w:rPr>
          <w:rFonts w:ascii="Times New Roman" w:hAnsi="Times New Roman" w:eastAsia="Times New Roman" w:cs="Times New Roman"/>
          <w:color w:val="auto"/>
          <w:spacing w:val="-3"/>
          <w:sz w:val="24"/>
          <w:szCs w:val="24"/>
          <w:highlight w:val="none"/>
        </w:rPr>
        <w:t>2014</w:t>
      </w: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214</w:t>
      </w:r>
      <w:r>
        <w:rPr>
          <w:rFonts w:ascii="Times New Roman" w:hAnsi="Times New Roman" w:eastAsia="Times New Roman" w:cs="Times New Roman"/>
          <w:color w:val="auto"/>
          <w:spacing w:val="15"/>
          <w:sz w:val="24"/>
          <w:szCs w:val="24"/>
          <w:highlight w:val="none"/>
        </w:rPr>
        <w:t xml:space="preserve"> </w:t>
      </w:r>
      <w:r>
        <w:rPr>
          <w:rFonts w:ascii="宋体" w:hAnsi="宋体" w:eastAsia="宋体" w:cs="宋体"/>
          <w:color w:val="auto"/>
          <w:spacing w:val="-3"/>
          <w:sz w:val="24"/>
          <w:szCs w:val="24"/>
          <w:highlight w:val="none"/>
        </w:rPr>
        <w:t>号</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依法组建磋商小组。磋商小组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由采购人代表和评审专家组成，成员人数应当为</w:t>
      </w:r>
      <w:r>
        <w:rPr>
          <w:rFonts w:ascii="宋体" w:hAnsi="宋体" w:eastAsia="宋体" w:cs="宋体"/>
          <w:color w:val="auto"/>
          <w:spacing w:val="-48"/>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 </w:t>
      </w:r>
      <w:r>
        <w:rPr>
          <w:rFonts w:ascii="宋体" w:hAnsi="宋体" w:eastAsia="宋体" w:cs="宋体"/>
          <w:color w:val="auto"/>
          <w:spacing w:val="1"/>
          <w:sz w:val="24"/>
          <w:szCs w:val="24"/>
          <w:highlight w:val="none"/>
        </w:rPr>
        <w:t>人单数，其中评审专家人数不得少于磋</w:t>
      </w:r>
      <w:r>
        <w:rPr>
          <w:rFonts w:ascii="宋体" w:hAnsi="宋体" w:eastAsia="宋体" w:cs="宋体"/>
          <w:color w:val="auto"/>
          <w:spacing w:val="-2"/>
          <w:sz w:val="24"/>
          <w:szCs w:val="24"/>
          <w:highlight w:val="none"/>
        </w:rPr>
        <w:t>商小组成员总数的</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2"/>
          <w:sz w:val="24"/>
          <w:szCs w:val="24"/>
          <w:highlight w:val="none"/>
        </w:rPr>
        <w:t>2/3</w:t>
      </w:r>
      <w:r>
        <w:rPr>
          <w:rFonts w:ascii="Times New Roman" w:hAnsi="Times New Roman" w:eastAsia="Times New Roman" w:cs="Times New Roman"/>
          <w:color w:val="auto"/>
          <w:spacing w:val="-27"/>
          <w:sz w:val="24"/>
          <w:szCs w:val="24"/>
          <w:highlight w:val="none"/>
        </w:rPr>
        <w:t xml:space="preserve"> </w:t>
      </w:r>
      <w:r>
        <w:rPr>
          <w:rFonts w:ascii="宋体" w:hAnsi="宋体" w:eastAsia="宋体" w:cs="宋体"/>
          <w:color w:val="auto"/>
          <w:spacing w:val="-2"/>
          <w:sz w:val="24"/>
          <w:szCs w:val="24"/>
          <w:highlight w:val="none"/>
        </w:rPr>
        <w:t>。磋商小组按照竞争性磋商文件规定的评审</w:t>
      </w:r>
      <w:r>
        <w:rPr>
          <w:rFonts w:ascii="宋体" w:hAnsi="宋体" w:eastAsia="宋体" w:cs="宋体"/>
          <w:color w:val="auto"/>
          <w:spacing w:val="-3"/>
          <w:sz w:val="24"/>
          <w:szCs w:val="24"/>
          <w:highlight w:val="none"/>
        </w:rPr>
        <w:t>方法独立进行评审工作。</w:t>
      </w:r>
    </w:p>
    <w:p w14:paraId="0DA38774">
      <w:pPr>
        <w:spacing w:before="213" w:line="360" w:lineRule="auto"/>
        <w:ind w:left="3" w:right="18"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21.2 </w:t>
      </w:r>
      <w:r>
        <w:rPr>
          <w:rFonts w:ascii="宋体" w:hAnsi="宋体" w:eastAsia="宋体" w:cs="宋体"/>
          <w:color w:val="auto"/>
          <w:spacing w:val="2"/>
          <w:sz w:val="24"/>
          <w:szCs w:val="24"/>
          <w:highlight w:val="none"/>
        </w:rPr>
        <w:t>竞争性磋商文件和竞争性磋商响应文件是</w:t>
      </w:r>
      <w:r>
        <w:rPr>
          <w:rFonts w:ascii="宋体" w:hAnsi="宋体" w:eastAsia="宋体" w:cs="宋体"/>
          <w:color w:val="auto"/>
          <w:spacing w:val="1"/>
          <w:sz w:val="24"/>
          <w:szCs w:val="24"/>
          <w:highlight w:val="none"/>
        </w:rPr>
        <w:t>评审的依据。在评审中，不得改变竞争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性磋商文件中规定的评审标准、方法和成交条件。</w:t>
      </w:r>
    </w:p>
    <w:p w14:paraId="7A3C9082">
      <w:pPr>
        <w:spacing w:before="214" w:line="360" w:lineRule="auto"/>
        <w:ind w:right="18"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21.3 </w:t>
      </w:r>
      <w:r>
        <w:rPr>
          <w:rFonts w:ascii="宋体" w:hAnsi="宋体" w:eastAsia="宋体" w:cs="宋体"/>
          <w:color w:val="auto"/>
          <w:spacing w:val="2"/>
          <w:sz w:val="24"/>
          <w:szCs w:val="24"/>
          <w:highlight w:val="none"/>
        </w:rPr>
        <w:t>在评审期间，对竞争性磋商响应文件中含</w:t>
      </w:r>
      <w:r>
        <w:rPr>
          <w:rFonts w:ascii="宋体" w:hAnsi="宋体" w:eastAsia="宋体" w:cs="宋体"/>
          <w:color w:val="auto"/>
          <w:spacing w:val="1"/>
          <w:sz w:val="24"/>
          <w:szCs w:val="24"/>
          <w:highlight w:val="none"/>
        </w:rPr>
        <w:t>义不明确、同类问题表述不一致或者有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明显文字和计算错误的内容，磋商小组可以（由磋商小组专家签字）要求供应商作出必要</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的澄清、说明或者纠正。供应商的澄清、说明或者补正应当采用书面形式，由其授权的代</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表签字，并不得超出竞争性磋商响应文件的范围或者改变竞争性磋商响应文件的实质性内</w:t>
      </w:r>
      <w:r>
        <w:rPr>
          <w:rFonts w:ascii="宋体" w:hAnsi="宋体" w:eastAsia="宋体" w:cs="宋体"/>
          <w:color w:val="auto"/>
          <w:spacing w:val="18"/>
          <w:sz w:val="24"/>
          <w:szCs w:val="24"/>
          <w:highlight w:val="none"/>
        </w:rPr>
        <w:t xml:space="preserve"> </w:t>
      </w:r>
      <w:r>
        <w:rPr>
          <w:rFonts w:ascii="宋体" w:hAnsi="宋体" w:eastAsia="宋体" w:cs="宋体"/>
          <w:color w:val="auto"/>
          <w:spacing w:val="-5"/>
          <w:sz w:val="24"/>
          <w:szCs w:val="24"/>
          <w:highlight w:val="none"/>
        </w:rPr>
        <w:t>容。</w:t>
      </w:r>
    </w:p>
    <w:p w14:paraId="377B0BB5">
      <w:pPr>
        <w:spacing w:before="48" w:line="360" w:lineRule="auto"/>
        <w:ind w:firstLine="484" w:firstLineChars="2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21.4</w:t>
      </w:r>
      <w:r>
        <w:rPr>
          <w:rFonts w:ascii="Times New Roman" w:hAnsi="Times New Roman" w:eastAsia="Times New Roman" w:cs="Times New Roman"/>
          <w:color w:val="auto"/>
          <w:spacing w:val="21"/>
          <w:w w:val="101"/>
          <w:sz w:val="24"/>
          <w:szCs w:val="24"/>
          <w:highlight w:val="none"/>
        </w:rPr>
        <w:t xml:space="preserve"> </w:t>
      </w:r>
      <w:r>
        <w:rPr>
          <w:rFonts w:ascii="宋体" w:hAnsi="宋体" w:eastAsia="宋体" w:cs="宋体"/>
          <w:color w:val="auto"/>
          <w:spacing w:val="1"/>
          <w:sz w:val="24"/>
          <w:szCs w:val="24"/>
          <w:highlight w:val="none"/>
        </w:rPr>
        <w:t>如果供应商在澄清规定期限内，未能答复或拒绝答复磋商小组提出的澄清要求，</w:t>
      </w:r>
      <w:r>
        <w:rPr>
          <w:rFonts w:ascii="宋体" w:hAnsi="宋体" w:eastAsia="宋体" w:cs="宋体"/>
          <w:color w:val="auto"/>
          <w:sz w:val="24"/>
          <w:szCs w:val="24"/>
          <w:highlight w:val="none"/>
        </w:rPr>
        <w:t>将由磋商小组根据其竞争性磋商响应文件按</w:t>
      </w:r>
      <w:r>
        <w:rPr>
          <w:rFonts w:ascii="宋体" w:hAnsi="宋体" w:eastAsia="宋体" w:cs="宋体"/>
          <w:color w:val="auto"/>
          <w:spacing w:val="-1"/>
          <w:sz w:val="24"/>
          <w:szCs w:val="24"/>
          <w:highlight w:val="none"/>
        </w:rPr>
        <w:t>最大风险进行评审。</w:t>
      </w:r>
    </w:p>
    <w:p w14:paraId="79746FEB">
      <w:pPr>
        <w:spacing w:before="216" w:line="360" w:lineRule="auto"/>
        <w:ind w:left="47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21.5</w:t>
      </w:r>
      <w:r>
        <w:rPr>
          <w:rFonts w:ascii="宋体" w:hAnsi="宋体" w:eastAsia="宋体" w:cs="宋体"/>
          <w:b/>
          <w:bCs/>
          <w:color w:val="auto"/>
          <w:spacing w:val="-2"/>
          <w:sz w:val="24"/>
          <w:szCs w:val="24"/>
          <w:highlight w:val="none"/>
        </w:rPr>
        <w:t>如发现下列情况之一的，其</w:t>
      </w:r>
      <w:r>
        <w:rPr>
          <w:rFonts w:hint="eastAsia" w:ascii="宋体" w:hAnsi="宋体" w:eastAsia="宋体" w:cs="宋体"/>
          <w:b/>
          <w:bCs/>
          <w:color w:val="auto"/>
          <w:spacing w:val="-2"/>
          <w:sz w:val="24"/>
          <w:szCs w:val="24"/>
          <w:highlight w:val="none"/>
          <w:lang w:eastAsia="zh-CN"/>
        </w:rPr>
        <w:t>磋商</w:t>
      </w:r>
      <w:r>
        <w:rPr>
          <w:rFonts w:ascii="宋体" w:hAnsi="宋体" w:eastAsia="宋体" w:cs="宋体"/>
          <w:b/>
          <w:bCs/>
          <w:color w:val="auto"/>
          <w:spacing w:val="-2"/>
          <w:sz w:val="24"/>
          <w:szCs w:val="24"/>
          <w:highlight w:val="none"/>
        </w:rPr>
        <w:t>将构成非实质性响应，按无效</w:t>
      </w:r>
      <w:r>
        <w:rPr>
          <w:rFonts w:hint="eastAsia" w:ascii="宋体" w:hAnsi="宋体" w:eastAsia="宋体" w:cs="宋体"/>
          <w:b/>
          <w:bCs/>
          <w:color w:val="auto"/>
          <w:spacing w:val="-2"/>
          <w:sz w:val="24"/>
          <w:szCs w:val="24"/>
          <w:highlight w:val="none"/>
          <w:lang w:eastAsia="zh-CN"/>
        </w:rPr>
        <w:t>磋商</w:t>
      </w:r>
      <w:r>
        <w:rPr>
          <w:rFonts w:ascii="宋体" w:hAnsi="宋体" w:eastAsia="宋体" w:cs="宋体"/>
          <w:b/>
          <w:bCs/>
          <w:color w:val="auto"/>
          <w:spacing w:val="-2"/>
          <w:sz w:val="24"/>
          <w:szCs w:val="24"/>
          <w:highlight w:val="none"/>
        </w:rPr>
        <w:t>处理：</w:t>
      </w:r>
    </w:p>
    <w:p w14:paraId="1AA1EA5D">
      <w:pPr>
        <w:pStyle w:val="10"/>
        <w:spacing w:before="213" w:line="360" w:lineRule="auto"/>
        <w:ind w:left="498"/>
        <w:rPr>
          <w:rFonts w:ascii="宋体" w:hAnsi="宋体" w:eastAsia="宋体" w:cs="宋体"/>
          <w:color w:val="auto"/>
          <w:sz w:val="24"/>
          <w:szCs w:val="24"/>
          <w:highlight w:val="none"/>
        </w:rPr>
      </w:pPr>
      <w:r>
        <w:rPr>
          <w:color w:val="auto"/>
          <w:spacing w:val="-2"/>
          <w:sz w:val="24"/>
          <w:szCs w:val="24"/>
          <w:highlight w:val="none"/>
        </w:rPr>
        <w:t>1</w:t>
      </w:r>
      <w:r>
        <w:rPr>
          <w:color w:val="auto"/>
          <w:spacing w:val="-23"/>
          <w:sz w:val="24"/>
          <w:szCs w:val="24"/>
          <w:highlight w:val="none"/>
        </w:rPr>
        <w:t xml:space="preserve"> </w:t>
      </w:r>
      <w:r>
        <w:rPr>
          <w:rFonts w:ascii="宋体" w:hAnsi="宋体" w:eastAsia="宋体" w:cs="宋体"/>
          <w:color w:val="auto"/>
          <w:spacing w:val="-2"/>
          <w:sz w:val="24"/>
          <w:szCs w:val="24"/>
          <w:highlight w:val="none"/>
        </w:rPr>
        <w:t>）没有按照竞争性磋商文件要求提供的</w:t>
      </w:r>
      <w:r>
        <w:rPr>
          <w:rFonts w:hint="eastAsia" w:ascii="宋体" w:hAnsi="宋体" w:eastAsia="宋体" w:cs="宋体"/>
          <w:color w:val="auto"/>
          <w:spacing w:val="-2"/>
          <w:sz w:val="24"/>
          <w:szCs w:val="24"/>
          <w:highlight w:val="none"/>
          <w:lang w:eastAsia="zh-CN"/>
        </w:rPr>
        <w:t>竞争性磋商响应</w:t>
      </w:r>
      <w:r>
        <w:rPr>
          <w:rFonts w:ascii="宋体" w:hAnsi="宋体" w:eastAsia="宋体" w:cs="宋体"/>
          <w:color w:val="auto"/>
          <w:spacing w:val="-2"/>
          <w:sz w:val="24"/>
          <w:szCs w:val="24"/>
          <w:highlight w:val="none"/>
        </w:rPr>
        <w:t>文件或</w:t>
      </w:r>
      <w:r>
        <w:rPr>
          <w:rFonts w:hint="eastAsia" w:ascii="宋体" w:hAnsi="宋体" w:eastAsia="宋体" w:cs="宋体"/>
          <w:color w:val="auto"/>
          <w:spacing w:val="-2"/>
          <w:sz w:val="24"/>
          <w:szCs w:val="24"/>
          <w:highlight w:val="none"/>
          <w:lang w:eastAsia="zh-CN"/>
        </w:rPr>
        <w:t>竞争性磋商响应</w:t>
      </w:r>
      <w:r>
        <w:rPr>
          <w:rFonts w:ascii="宋体" w:hAnsi="宋体" w:eastAsia="宋体" w:cs="宋体"/>
          <w:color w:val="auto"/>
          <w:spacing w:val="-2"/>
          <w:sz w:val="24"/>
          <w:szCs w:val="24"/>
          <w:highlight w:val="none"/>
        </w:rPr>
        <w:t>文件构成有重大缺项；</w:t>
      </w:r>
    </w:p>
    <w:p w14:paraId="020845AE">
      <w:pPr>
        <w:pStyle w:val="10"/>
        <w:spacing w:before="214" w:line="360" w:lineRule="auto"/>
        <w:ind w:left="479"/>
        <w:rPr>
          <w:rFonts w:ascii="宋体" w:hAnsi="宋体" w:eastAsia="宋体" w:cs="宋体"/>
          <w:color w:val="auto"/>
          <w:sz w:val="24"/>
          <w:szCs w:val="24"/>
          <w:highlight w:val="none"/>
        </w:rPr>
      </w:pPr>
      <w:r>
        <w:rPr>
          <w:color w:val="auto"/>
          <w:spacing w:val="-1"/>
          <w:sz w:val="24"/>
          <w:szCs w:val="24"/>
          <w:highlight w:val="none"/>
        </w:rPr>
        <w:t>2</w:t>
      </w:r>
      <w:r>
        <w:rPr>
          <w:rFonts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lang w:eastAsia="zh-CN"/>
        </w:rPr>
        <w:t>竞争性磋商响应</w:t>
      </w:r>
      <w:r>
        <w:rPr>
          <w:rFonts w:ascii="宋体" w:hAnsi="宋体" w:eastAsia="宋体" w:cs="宋体"/>
          <w:color w:val="auto"/>
          <w:spacing w:val="-2"/>
          <w:sz w:val="24"/>
          <w:szCs w:val="24"/>
          <w:highlight w:val="none"/>
        </w:rPr>
        <w:t>文件</w:t>
      </w:r>
      <w:r>
        <w:rPr>
          <w:rFonts w:ascii="宋体" w:hAnsi="宋体" w:eastAsia="宋体" w:cs="宋体"/>
          <w:color w:val="auto"/>
          <w:spacing w:val="-1"/>
          <w:sz w:val="24"/>
          <w:szCs w:val="24"/>
          <w:highlight w:val="none"/>
        </w:rPr>
        <w:t>未按竞争性磋商文件要求签署、盖章的；</w:t>
      </w:r>
    </w:p>
    <w:p w14:paraId="0728A32B">
      <w:pPr>
        <w:pStyle w:val="10"/>
        <w:spacing w:before="218" w:line="360" w:lineRule="auto"/>
        <w:ind w:left="482"/>
        <w:rPr>
          <w:rFonts w:ascii="宋体" w:hAnsi="宋体" w:eastAsia="宋体" w:cs="宋体"/>
          <w:color w:val="auto"/>
          <w:sz w:val="24"/>
          <w:szCs w:val="24"/>
          <w:highlight w:val="none"/>
        </w:rPr>
      </w:pPr>
      <w:r>
        <w:rPr>
          <w:color w:val="auto"/>
          <w:spacing w:val="-1"/>
          <w:sz w:val="24"/>
          <w:szCs w:val="24"/>
          <w:highlight w:val="none"/>
        </w:rPr>
        <w:t>3</w:t>
      </w:r>
      <w:r>
        <w:rPr>
          <w:rFonts w:ascii="宋体" w:hAnsi="宋体" w:eastAsia="宋体" w:cs="宋体"/>
          <w:color w:val="auto"/>
          <w:spacing w:val="-1"/>
          <w:sz w:val="24"/>
          <w:szCs w:val="24"/>
          <w:highlight w:val="none"/>
        </w:rPr>
        <w:t>）不具备竞争性磋商文件中规定的资格要求的；</w:t>
      </w:r>
    </w:p>
    <w:p w14:paraId="37A20C8B">
      <w:pPr>
        <w:pStyle w:val="10"/>
        <w:spacing w:before="214" w:line="360" w:lineRule="auto"/>
        <w:ind w:left="475"/>
        <w:rPr>
          <w:rFonts w:ascii="宋体" w:hAnsi="宋体" w:eastAsia="宋体" w:cs="宋体"/>
          <w:color w:val="auto"/>
          <w:sz w:val="24"/>
          <w:szCs w:val="24"/>
          <w:highlight w:val="none"/>
        </w:rPr>
      </w:pPr>
      <w:r>
        <w:rPr>
          <w:color w:val="auto"/>
          <w:sz w:val="24"/>
          <w:szCs w:val="24"/>
          <w:highlight w:val="none"/>
        </w:rPr>
        <w:t>4</w:t>
      </w:r>
      <w:r>
        <w:rPr>
          <w:rFonts w:ascii="宋体" w:hAnsi="宋体" w:eastAsia="宋体" w:cs="宋体"/>
          <w:color w:val="auto"/>
          <w:sz w:val="24"/>
          <w:szCs w:val="24"/>
          <w:highlight w:val="none"/>
        </w:rPr>
        <w:t>）资格证明文件不齐全或无效的，或不符合国家</w:t>
      </w:r>
      <w:r>
        <w:rPr>
          <w:rFonts w:ascii="宋体" w:hAnsi="宋体" w:eastAsia="宋体" w:cs="宋体"/>
          <w:color w:val="auto"/>
          <w:spacing w:val="-1"/>
          <w:sz w:val="24"/>
          <w:szCs w:val="24"/>
          <w:highlight w:val="none"/>
        </w:rPr>
        <w:t>规定的；</w:t>
      </w:r>
    </w:p>
    <w:p w14:paraId="66F2287B">
      <w:pPr>
        <w:pStyle w:val="10"/>
        <w:spacing w:before="215" w:line="360" w:lineRule="auto"/>
        <w:ind w:left="1" w:firstLine="480"/>
        <w:rPr>
          <w:rFonts w:ascii="宋体" w:hAnsi="宋体" w:eastAsia="宋体" w:cs="宋体"/>
          <w:color w:val="auto"/>
          <w:sz w:val="24"/>
          <w:szCs w:val="24"/>
          <w:highlight w:val="none"/>
        </w:rPr>
      </w:pPr>
      <w:r>
        <w:rPr>
          <w:color w:val="auto"/>
          <w:spacing w:val="-2"/>
          <w:sz w:val="24"/>
          <w:szCs w:val="24"/>
          <w:highlight w:val="none"/>
        </w:rPr>
        <w:t>5</w:t>
      </w: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竞争性磋商响应</w:t>
      </w:r>
      <w:r>
        <w:rPr>
          <w:rFonts w:ascii="宋体" w:hAnsi="宋体" w:eastAsia="宋体" w:cs="宋体"/>
          <w:color w:val="auto"/>
          <w:spacing w:val="-2"/>
          <w:sz w:val="24"/>
          <w:szCs w:val="24"/>
          <w:highlight w:val="none"/>
        </w:rPr>
        <w:t>文件无供应商公章、无法定代表人或授权人</w:t>
      </w:r>
      <w:r>
        <w:rPr>
          <w:rFonts w:hint="eastAsia" w:ascii="宋体" w:hAnsi="宋体" w:eastAsia="宋体" w:cs="宋体"/>
          <w:color w:val="auto"/>
          <w:spacing w:val="-2"/>
          <w:sz w:val="24"/>
          <w:szCs w:val="24"/>
          <w:highlight w:val="none"/>
          <w:lang w:val="en-US" w:eastAsia="zh-CN"/>
        </w:rPr>
        <w:t>签字或盖章</w:t>
      </w:r>
      <w:r>
        <w:rPr>
          <w:rFonts w:ascii="宋体" w:hAnsi="宋体" w:eastAsia="宋体" w:cs="宋体"/>
          <w:color w:val="auto"/>
          <w:spacing w:val="-2"/>
          <w:sz w:val="24"/>
          <w:szCs w:val="24"/>
          <w:highlight w:val="none"/>
        </w:rPr>
        <w:t>无法定代表人有效委</w:t>
      </w:r>
      <w:r>
        <w:rPr>
          <w:rFonts w:ascii="宋体" w:hAnsi="宋体" w:eastAsia="宋体" w:cs="宋体"/>
          <w:color w:val="auto"/>
          <w:spacing w:val="-3"/>
          <w:sz w:val="24"/>
          <w:szCs w:val="24"/>
          <w:highlight w:val="none"/>
        </w:rPr>
        <w:t>托书的；</w:t>
      </w:r>
    </w:p>
    <w:p w14:paraId="75E8EFAC">
      <w:pPr>
        <w:pStyle w:val="10"/>
        <w:spacing w:before="215" w:line="360" w:lineRule="auto"/>
        <w:ind w:left="481"/>
        <w:rPr>
          <w:rFonts w:ascii="宋体" w:hAnsi="宋体" w:eastAsia="宋体" w:cs="宋体"/>
          <w:color w:val="auto"/>
          <w:sz w:val="24"/>
          <w:szCs w:val="24"/>
          <w:highlight w:val="none"/>
        </w:rPr>
      </w:pPr>
      <w:r>
        <w:rPr>
          <w:color w:val="auto"/>
          <w:spacing w:val="-1"/>
          <w:sz w:val="24"/>
          <w:szCs w:val="24"/>
          <w:highlight w:val="none"/>
        </w:rPr>
        <w:t>6</w:t>
      </w:r>
      <w:r>
        <w:rPr>
          <w:rFonts w:ascii="宋体" w:hAnsi="宋体" w:eastAsia="宋体" w:cs="宋体"/>
          <w:color w:val="auto"/>
          <w:spacing w:val="-1"/>
          <w:sz w:val="24"/>
          <w:szCs w:val="24"/>
          <w:highlight w:val="none"/>
        </w:rPr>
        <w:t>）无</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有效期或有效期达不到竞争性磋商文件要求的；</w:t>
      </w:r>
    </w:p>
    <w:p w14:paraId="1E775601">
      <w:pPr>
        <w:pStyle w:val="10"/>
        <w:spacing w:before="214" w:line="360" w:lineRule="auto"/>
        <w:ind w:left="483"/>
        <w:rPr>
          <w:rFonts w:ascii="宋体" w:hAnsi="宋体" w:eastAsia="宋体" w:cs="宋体"/>
          <w:color w:val="auto"/>
          <w:sz w:val="24"/>
          <w:szCs w:val="24"/>
          <w:highlight w:val="none"/>
        </w:rPr>
      </w:pPr>
      <w:r>
        <w:rPr>
          <w:color w:val="auto"/>
          <w:spacing w:val="-1"/>
          <w:sz w:val="24"/>
          <w:szCs w:val="24"/>
          <w:highlight w:val="none"/>
        </w:rPr>
        <w:t>7</w:t>
      </w:r>
      <w:r>
        <w:rPr>
          <w:rFonts w:ascii="宋体" w:hAnsi="宋体" w:eastAsia="宋体" w:cs="宋体"/>
          <w:color w:val="auto"/>
          <w:spacing w:val="-1"/>
          <w:sz w:val="24"/>
          <w:szCs w:val="24"/>
          <w:highlight w:val="none"/>
        </w:rPr>
        <w:t>）供应商在响应文件中，对同一</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产品报有两个或多个报价的；</w:t>
      </w:r>
    </w:p>
    <w:p w14:paraId="611DD0C7">
      <w:pPr>
        <w:pStyle w:val="10"/>
        <w:spacing w:before="219" w:line="360" w:lineRule="auto"/>
        <w:ind w:left="482"/>
        <w:rPr>
          <w:rFonts w:ascii="宋体" w:hAnsi="宋体" w:eastAsia="宋体" w:cs="宋体"/>
          <w:color w:val="auto"/>
          <w:sz w:val="24"/>
          <w:szCs w:val="24"/>
          <w:highlight w:val="none"/>
        </w:rPr>
      </w:pPr>
      <w:r>
        <w:rPr>
          <w:color w:val="auto"/>
          <w:spacing w:val="-1"/>
          <w:sz w:val="24"/>
          <w:szCs w:val="24"/>
          <w:highlight w:val="none"/>
        </w:rPr>
        <w:t>8</w:t>
      </w:r>
      <w:r>
        <w:rPr>
          <w:rFonts w:ascii="宋体" w:hAnsi="宋体" w:eastAsia="宋体" w:cs="宋体"/>
          <w:color w:val="auto"/>
          <w:spacing w:val="-1"/>
          <w:sz w:val="24"/>
          <w:szCs w:val="24"/>
          <w:highlight w:val="none"/>
        </w:rPr>
        <w:t>）存在有重大缺漏项和重大技术偏离的</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产品；</w:t>
      </w:r>
    </w:p>
    <w:p w14:paraId="41DF0E2F">
      <w:pPr>
        <w:pStyle w:val="10"/>
        <w:spacing w:before="214" w:line="360" w:lineRule="auto"/>
        <w:ind w:left="482"/>
        <w:rPr>
          <w:rFonts w:ascii="宋体" w:hAnsi="宋体" w:eastAsia="宋体" w:cs="宋体"/>
          <w:color w:val="auto"/>
          <w:sz w:val="24"/>
          <w:szCs w:val="24"/>
          <w:highlight w:val="none"/>
        </w:rPr>
      </w:pPr>
      <w:r>
        <w:rPr>
          <w:color w:val="auto"/>
          <w:sz w:val="24"/>
          <w:szCs w:val="24"/>
          <w:highlight w:val="none"/>
        </w:rPr>
        <w:t>9</w:t>
      </w:r>
      <w:r>
        <w:rPr>
          <w:rFonts w:ascii="宋体" w:hAnsi="宋体" w:eastAsia="宋体" w:cs="宋体"/>
          <w:color w:val="auto"/>
          <w:sz w:val="24"/>
          <w:szCs w:val="24"/>
          <w:highlight w:val="none"/>
        </w:rPr>
        <w:t>）供应商有串通</w:t>
      </w:r>
      <w:r>
        <w:rPr>
          <w:rFonts w:hint="eastAsia" w:ascii="宋体" w:hAnsi="宋体" w:eastAsia="宋体" w:cs="宋体"/>
          <w:color w:val="auto"/>
          <w:sz w:val="24"/>
          <w:szCs w:val="24"/>
          <w:highlight w:val="none"/>
          <w:lang w:eastAsia="zh-CN"/>
        </w:rPr>
        <w:t>参与磋商</w:t>
      </w:r>
      <w:r>
        <w:rPr>
          <w:rFonts w:ascii="宋体" w:hAnsi="宋体" w:eastAsia="宋体" w:cs="宋体"/>
          <w:color w:val="auto"/>
          <w:sz w:val="24"/>
          <w:szCs w:val="24"/>
          <w:highlight w:val="none"/>
        </w:rPr>
        <w:t>、以他人名义</w:t>
      </w:r>
      <w:r>
        <w:rPr>
          <w:rFonts w:hint="eastAsia" w:ascii="宋体" w:hAnsi="宋体" w:eastAsia="宋体" w:cs="宋体"/>
          <w:color w:val="auto"/>
          <w:sz w:val="24"/>
          <w:szCs w:val="24"/>
          <w:highlight w:val="none"/>
          <w:lang w:eastAsia="zh-CN"/>
        </w:rPr>
        <w:t>参与磋商</w:t>
      </w:r>
      <w:r>
        <w:rPr>
          <w:rFonts w:ascii="宋体" w:hAnsi="宋体" w:eastAsia="宋体" w:cs="宋体"/>
          <w:color w:val="auto"/>
          <w:sz w:val="24"/>
          <w:szCs w:val="24"/>
          <w:highlight w:val="none"/>
        </w:rPr>
        <w:t>、弄虚作</w:t>
      </w:r>
      <w:r>
        <w:rPr>
          <w:rFonts w:ascii="宋体" w:hAnsi="宋体" w:eastAsia="宋体" w:cs="宋体"/>
          <w:color w:val="auto"/>
          <w:spacing w:val="-1"/>
          <w:sz w:val="24"/>
          <w:szCs w:val="24"/>
          <w:highlight w:val="none"/>
        </w:rPr>
        <w:t>假、行贿等违法行为的；</w:t>
      </w:r>
    </w:p>
    <w:p w14:paraId="5DD0AE55">
      <w:pPr>
        <w:pStyle w:val="10"/>
        <w:spacing w:before="214" w:line="360" w:lineRule="auto"/>
        <w:ind w:left="498"/>
        <w:rPr>
          <w:rFonts w:ascii="宋体" w:hAnsi="宋体" w:eastAsia="宋体" w:cs="宋体"/>
          <w:color w:val="auto"/>
          <w:sz w:val="24"/>
          <w:szCs w:val="24"/>
          <w:highlight w:val="none"/>
        </w:rPr>
      </w:pPr>
      <w:r>
        <w:rPr>
          <w:color w:val="auto"/>
          <w:spacing w:val="-1"/>
          <w:sz w:val="24"/>
          <w:szCs w:val="24"/>
          <w:highlight w:val="none"/>
        </w:rPr>
        <w:t>10</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总报价低于成本或者高于竞争性磋商文件公布的采购预算或者最高限价的；</w:t>
      </w:r>
    </w:p>
    <w:p w14:paraId="1C27AC77">
      <w:pPr>
        <w:spacing w:before="218" w:line="360"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11）响应文件含有采购人不能接受的附加条件的；</w:t>
      </w:r>
    </w:p>
    <w:p w14:paraId="5A1527C2">
      <w:pPr>
        <w:pStyle w:val="10"/>
        <w:spacing w:before="216" w:line="360" w:lineRule="auto"/>
        <w:ind w:left="498"/>
        <w:rPr>
          <w:rFonts w:ascii="宋体" w:hAnsi="宋体" w:eastAsia="宋体" w:cs="宋体"/>
          <w:color w:val="auto"/>
          <w:sz w:val="24"/>
          <w:szCs w:val="24"/>
          <w:highlight w:val="none"/>
        </w:rPr>
      </w:pPr>
      <w:r>
        <w:rPr>
          <w:color w:val="auto"/>
          <w:spacing w:val="-2"/>
          <w:sz w:val="24"/>
          <w:szCs w:val="24"/>
          <w:highlight w:val="none"/>
        </w:rPr>
        <w:t>12</w:t>
      </w:r>
      <w:r>
        <w:rPr>
          <w:rFonts w:ascii="宋体" w:hAnsi="宋体" w:eastAsia="宋体" w:cs="宋体"/>
          <w:color w:val="auto"/>
          <w:spacing w:val="-2"/>
          <w:sz w:val="24"/>
          <w:szCs w:val="24"/>
          <w:highlight w:val="none"/>
        </w:rPr>
        <w:t>）响应文件不符合法律法规要求的；</w:t>
      </w:r>
    </w:p>
    <w:p w14:paraId="38761B73">
      <w:pPr>
        <w:pStyle w:val="10"/>
        <w:spacing w:before="214" w:line="360" w:lineRule="auto"/>
        <w:ind w:left="7" w:right="43" w:firstLine="491"/>
        <w:rPr>
          <w:color w:val="auto"/>
          <w:sz w:val="24"/>
          <w:szCs w:val="24"/>
          <w:highlight w:val="none"/>
        </w:rPr>
      </w:pPr>
      <w:r>
        <w:rPr>
          <w:color w:val="auto"/>
          <w:spacing w:val="-1"/>
          <w:sz w:val="24"/>
          <w:szCs w:val="24"/>
          <w:highlight w:val="none"/>
        </w:rPr>
        <w:t>13</w:t>
      </w:r>
      <w:r>
        <w:rPr>
          <w:rFonts w:ascii="宋体" w:hAnsi="宋体" w:eastAsia="宋体" w:cs="宋体"/>
          <w:color w:val="auto"/>
          <w:spacing w:val="-1"/>
          <w:sz w:val="24"/>
          <w:szCs w:val="24"/>
          <w:highlight w:val="none"/>
        </w:rPr>
        <w:t>）供应商被列入失信被执行人、重大税收违法案件当事人名单、政府采购严重违法</w:t>
      </w:r>
      <w:r>
        <w:rPr>
          <w:rFonts w:ascii="宋体" w:hAnsi="宋体" w:eastAsia="宋体" w:cs="宋体"/>
          <w:color w:val="auto"/>
          <w:spacing w:val="10"/>
          <w:sz w:val="24"/>
          <w:szCs w:val="24"/>
          <w:highlight w:val="none"/>
        </w:rPr>
        <w:t xml:space="preserve"> </w:t>
      </w:r>
      <w:r>
        <w:rPr>
          <w:rFonts w:ascii="宋体" w:hAnsi="宋体" w:eastAsia="宋体" w:cs="宋体"/>
          <w:color w:val="auto"/>
          <w:sz w:val="24"/>
          <w:szCs w:val="24"/>
          <w:highlight w:val="none"/>
        </w:rPr>
        <w:t>失信行为记录名单及其他不符合《中华人民共和</w:t>
      </w:r>
      <w:r>
        <w:rPr>
          <w:rFonts w:ascii="宋体" w:hAnsi="宋体" w:eastAsia="宋体" w:cs="宋体"/>
          <w:color w:val="auto"/>
          <w:spacing w:val="-1"/>
          <w:sz w:val="24"/>
          <w:szCs w:val="24"/>
          <w:highlight w:val="none"/>
        </w:rPr>
        <w:t>国政府采购法》第二十二条规定条件。</w:t>
      </w:r>
    </w:p>
    <w:p w14:paraId="72723F94">
      <w:pPr>
        <w:spacing w:before="79" w:line="360" w:lineRule="auto"/>
        <w:ind w:left="478"/>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22</w:t>
      </w:r>
      <w:r>
        <w:rPr>
          <w:rFonts w:ascii="Times New Roman" w:hAnsi="Times New Roman" w:eastAsia="Times New Roman" w:cs="Times New Roman"/>
          <w:b/>
          <w:bCs/>
          <w:color w:val="auto"/>
          <w:spacing w:val="-20"/>
          <w:sz w:val="24"/>
          <w:szCs w:val="24"/>
          <w:highlight w:val="none"/>
        </w:rPr>
        <w:t xml:space="preserve"> </w:t>
      </w:r>
      <w:r>
        <w:rPr>
          <w:rFonts w:ascii="宋体" w:hAnsi="宋体" w:eastAsia="宋体" w:cs="宋体"/>
          <w:b/>
          <w:bCs/>
          <w:color w:val="auto"/>
          <w:spacing w:val="-6"/>
          <w:sz w:val="24"/>
          <w:szCs w:val="24"/>
          <w:highlight w:val="none"/>
        </w:rPr>
        <w:t>．评审过程的保密</w:t>
      </w:r>
    </w:p>
    <w:p w14:paraId="41AF7217">
      <w:pPr>
        <w:spacing w:before="214" w:line="360" w:lineRule="auto"/>
        <w:ind w:left="2" w:right="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磋商小组成员和与评审活动有关的工作人员不</w:t>
      </w:r>
      <w:r>
        <w:rPr>
          <w:rFonts w:ascii="宋体" w:hAnsi="宋体" w:eastAsia="宋体" w:cs="宋体"/>
          <w:color w:val="auto"/>
          <w:spacing w:val="1"/>
          <w:sz w:val="24"/>
          <w:szCs w:val="24"/>
          <w:highlight w:val="none"/>
        </w:rPr>
        <w:t>得泄露有关竞争性磋商响应文件的评审</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和比较、成交候选人的推荐以及与评审有关的其他情况。</w:t>
      </w:r>
    </w:p>
    <w:p w14:paraId="746B0643">
      <w:pPr>
        <w:spacing w:before="33" w:line="360" w:lineRule="auto"/>
        <w:ind w:left="478"/>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23</w:t>
      </w:r>
      <w:r>
        <w:rPr>
          <w:rFonts w:ascii="Times New Roman" w:hAnsi="Times New Roman" w:eastAsia="Times New Roman" w:cs="Times New Roman"/>
          <w:b/>
          <w:bCs/>
          <w:color w:val="auto"/>
          <w:spacing w:val="-26"/>
          <w:sz w:val="24"/>
          <w:szCs w:val="24"/>
          <w:highlight w:val="none"/>
        </w:rPr>
        <w:t xml:space="preserve"> </w:t>
      </w:r>
      <w:r>
        <w:rPr>
          <w:rFonts w:ascii="宋体" w:hAnsi="宋体" w:eastAsia="宋体" w:cs="宋体"/>
          <w:b/>
          <w:bCs/>
          <w:color w:val="auto"/>
          <w:spacing w:val="-7"/>
          <w:sz w:val="24"/>
          <w:szCs w:val="24"/>
          <w:highlight w:val="none"/>
        </w:rPr>
        <w:t>．评审方法</w:t>
      </w:r>
    </w:p>
    <w:p w14:paraId="03BEA4F4">
      <w:pPr>
        <w:spacing w:before="211" w:line="360" w:lineRule="auto"/>
        <w:ind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按照《中华人民共和国政府采购法》及实施条例和关于印发《政府采购竞争性磋商采</w:t>
      </w:r>
      <w:r>
        <w:rPr>
          <w:rFonts w:ascii="宋体" w:hAnsi="宋体" w:eastAsia="宋体" w:cs="宋体"/>
          <w:color w:val="auto"/>
          <w:spacing w:val="17"/>
          <w:sz w:val="24"/>
          <w:szCs w:val="24"/>
          <w:highlight w:val="none"/>
        </w:rPr>
        <w:t xml:space="preserve"> </w:t>
      </w:r>
      <w:r>
        <w:rPr>
          <w:rFonts w:ascii="宋体" w:hAnsi="宋体" w:eastAsia="宋体" w:cs="宋体"/>
          <w:color w:val="auto"/>
          <w:spacing w:val="-3"/>
          <w:sz w:val="24"/>
          <w:szCs w:val="24"/>
          <w:highlight w:val="none"/>
        </w:rPr>
        <w:t>购方式管理暂行办法》的通知（财库【</w:t>
      </w:r>
      <w:r>
        <w:rPr>
          <w:rFonts w:ascii="Times New Roman" w:hAnsi="Times New Roman" w:eastAsia="Times New Roman" w:cs="Times New Roman"/>
          <w:color w:val="auto"/>
          <w:spacing w:val="-3"/>
          <w:sz w:val="24"/>
          <w:szCs w:val="24"/>
          <w:highlight w:val="none"/>
        </w:rPr>
        <w:t>2014</w:t>
      </w: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214</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3"/>
          <w:sz w:val="24"/>
          <w:szCs w:val="24"/>
          <w:highlight w:val="none"/>
        </w:rPr>
        <w:t>号</w:t>
      </w:r>
      <w:r>
        <w:rPr>
          <w:rFonts w:ascii="宋体" w:hAnsi="宋体" w:eastAsia="宋体" w:cs="宋体"/>
          <w:color w:val="auto"/>
          <w:spacing w:val="-6"/>
          <w:sz w:val="24"/>
          <w:szCs w:val="24"/>
          <w:highlight w:val="none"/>
        </w:rPr>
        <w:t>），</w:t>
      </w:r>
      <w:r>
        <w:rPr>
          <w:rFonts w:ascii="宋体" w:hAnsi="宋体" w:eastAsia="宋体" w:cs="宋体"/>
          <w:color w:val="auto"/>
          <w:spacing w:val="-3"/>
          <w:sz w:val="24"/>
          <w:szCs w:val="24"/>
          <w:highlight w:val="none"/>
        </w:rPr>
        <w:t>本次评审采用综合评分法，即在全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部满足竞争性磋商文件实质性要求前提下，</w:t>
      </w:r>
      <w:r>
        <w:rPr>
          <w:rFonts w:ascii="宋体" w:hAnsi="宋体" w:eastAsia="宋体" w:cs="宋体"/>
          <w:color w:val="auto"/>
          <w:spacing w:val="1"/>
          <w:sz w:val="24"/>
          <w:szCs w:val="24"/>
          <w:highlight w:val="none"/>
        </w:rPr>
        <w:t>磋商小组应当根据综合评分情况，按照评审得</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分高低顺序推存</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 </w:t>
      </w:r>
      <w:r>
        <w:rPr>
          <w:rFonts w:ascii="宋体" w:hAnsi="宋体" w:eastAsia="宋体" w:cs="宋体"/>
          <w:color w:val="auto"/>
          <w:spacing w:val="-2"/>
          <w:sz w:val="24"/>
          <w:szCs w:val="24"/>
          <w:highlight w:val="none"/>
        </w:rPr>
        <w:t>名成交候选人。</w:t>
      </w:r>
    </w:p>
    <w:p w14:paraId="4FA5A0A3">
      <w:pPr>
        <w:spacing w:line="348" w:lineRule="exact"/>
        <w:ind w:left="3078"/>
        <w:rPr>
          <w:rFonts w:hint="eastAsia" w:asciiTheme="minorEastAsia" w:hAnsiTheme="minorEastAsia" w:eastAsiaTheme="minorEastAsia" w:cstheme="minorEastAsia"/>
          <w:b/>
          <w:bCs/>
          <w:color w:val="auto"/>
          <w:sz w:val="34"/>
          <w:szCs w:val="34"/>
          <w:highlight w:val="none"/>
        </w:rPr>
      </w:pPr>
      <w:r>
        <w:rPr>
          <w:rFonts w:hint="eastAsia" w:asciiTheme="minorEastAsia" w:hAnsiTheme="minorEastAsia" w:eastAsiaTheme="minorEastAsia" w:cstheme="minorEastAsia"/>
          <w:b/>
          <w:bCs/>
          <w:color w:val="auto"/>
          <w:spacing w:val="1"/>
          <w:position w:val="-1"/>
          <w:sz w:val="34"/>
          <w:szCs w:val="34"/>
          <w:highlight w:val="none"/>
        </w:rPr>
        <w:t>六.</w:t>
      </w:r>
      <w:r>
        <w:rPr>
          <w:rFonts w:hint="eastAsia" w:asciiTheme="minorEastAsia" w:hAnsiTheme="minorEastAsia" w:eastAsiaTheme="minorEastAsia" w:cstheme="minorEastAsia"/>
          <w:b/>
          <w:bCs/>
          <w:color w:val="auto"/>
          <w:spacing w:val="-49"/>
          <w:position w:val="-1"/>
          <w:sz w:val="34"/>
          <w:szCs w:val="34"/>
          <w:highlight w:val="none"/>
        </w:rPr>
        <w:t xml:space="preserve"> </w:t>
      </w:r>
      <w:r>
        <w:rPr>
          <w:rFonts w:hint="eastAsia" w:asciiTheme="minorEastAsia" w:hAnsiTheme="minorEastAsia" w:eastAsiaTheme="minorEastAsia" w:cstheme="minorEastAsia"/>
          <w:b/>
          <w:bCs/>
          <w:color w:val="auto"/>
          <w:spacing w:val="1"/>
          <w:position w:val="-1"/>
          <w:sz w:val="34"/>
          <w:szCs w:val="34"/>
          <w:highlight w:val="none"/>
        </w:rPr>
        <w:t>成交、通知与签约</w:t>
      </w:r>
    </w:p>
    <w:p w14:paraId="6ED2600D">
      <w:pPr>
        <w:spacing w:before="231" w:line="360" w:lineRule="auto"/>
        <w:ind w:left="478"/>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24</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7"/>
          <w:sz w:val="24"/>
          <w:szCs w:val="24"/>
          <w:highlight w:val="none"/>
        </w:rPr>
        <w:t>．成交程序</w:t>
      </w:r>
    </w:p>
    <w:p w14:paraId="775E37E8">
      <w:pPr>
        <w:spacing w:before="231" w:line="360" w:lineRule="auto"/>
        <w:ind w:firstLine="484"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 磋商小组根据评审方法的规定对供应商进行评审排序，推荐</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3 名成交候选人，作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为评审结果。评审结果由全体磋商小组成员签字确认。</w:t>
      </w:r>
    </w:p>
    <w:p w14:paraId="6DC26BB0">
      <w:pPr>
        <w:spacing w:before="231"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24.2 采购代理机构应当在评审结束后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2 个工作日内将评审报告送采购人确认。采购人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应当自收到评审报告之日起</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5 个工作日内，在评审报告确定的成交候选人名单中按顺序确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定成交单位。成交候选人并列的，由采购人或者采购人委托磋商小组按照竞争性磋商文件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规定的方式确定成交单位；竞争性磋商文件未规定的，采</w:t>
      </w:r>
      <w:r>
        <w:rPr>
          <w:rFonts w:hint="eastAsia" w:ascii="宋体" w:hAnsi="宋体" w:eastAsia="宋体" w:cs="宋体"/>
          <w:color w:val="auto"/>
          <w:spacing w:val="-1"/>
          <w:sz w:val="24"/>
          <w:szCs w:val="24"/>
          <w:highlight w:val="none"/>
        </w:rPr>
        <w:t>取随机抽取的方式确定。</w:t>
      </w:r>
      <w:r>
        <w:rPr>
          <w:rFonts w:hint="eastAsia" w:ascii="宋体" w:hAnsi="宋体" w:eastAsia="宋体" w:cs="宋体"/>
          <w:color w:val="auto"/>
          <w:spacing w:val="1"/>
          <w:sz w:val="24"/>
          <w:szCs w:val="24"/>
          <w:highlight w:val="none"/>
        </w:rPr>
        <w:t>采购人在收到评审报告</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5 个工作日内未按评审报告推荐的成交候选人顺序确定成交单位，又不能说明合法理由的，视同按评审报告推荐的顺序确定排名第一的成交候选人为成</w:t>
      </w:r>
      <w:r>
        <w:rPr>
          <w:rFonts w:hint="eastAsia" w:ascii="宋体" w:hAnsi="宋体" w:eastAsia="宋体" w:cs="宋体"/>
          <w:color w:val="auto"/>
          <w:spacing w:val="-3"/>
          <w:sz w:val="24"/>
          <w:szCs w:val="24"/>
          <w:highlight w:val="none"/>
        </w:rPr>
        <w:t>交单位。</w:t>
      </w:r>
    </w:p>
    <w:p w14:paraId="49360A93">
      <w:pPr>
        <w:spacing w:before="32" w:line="360" w:lineRule="auto"/>
        <w:ind w:right="80"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24.3 排名第一的成交候选人放弃成交、在规定</w:t>
      </w:r>
      <w:r>
        <w:rPr>
          <w:rFonts w:hint="eastAsia" w:ascii="宋体" w:hAnsi="宋体" w:eastAsia="宋体" w:cs="宋体"/>
          <w:color w:val="auto"/>
          <w:spacing w:val="1"/>
          <w:sz w:val="24"/>
          <w:szCs w:val="24"/>
          <w:highlight w:val="none"/>
        </w:rPr>
        <w:t>期限内未能签订合同、因不可抗力不能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履行合同、不按照竞争性磋商文件要求提交履约保证金，或者被查实存在影响成交结果的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违法行为等情形，不符合成交条件的，采购人可以按照磋商小组提出的成交候选人名单排</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序依次确定其他成交候选人为成交供应商，也可以</w:t>
      </w:r>
      <w:r>
        <w:rPr>
          <w:rFonts w:hint="eastAsia" w:ascii="宋体" w:hAnsi="宋体" w:eastAsia="宋体" w:cs="宋体"/>
          <w:color w:val="auto"/>
          <w:spacing w:val="-1"/>
          <w:sz w:val="24"/>
          <w:szCs w:val="24"/>
          <w:highlight w:val="none"/>
        </w:rPr>
        <w:t>重新组织竞争性磋商。</w:t>
      </w:r>
    </w:p>
    <w:p w14:paraId="38E090F4">
      <w:pPr>
        <w:spacing w:before="217" w:line="360" w:lineRule="auto"/>
        <w:ind w:left="4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采购人也可以授权磋商小组评审后直接确</w:t>
      </w:r>
      <w:r>
        <w:rPr>
          <w:rFonts w:hint="eastAsia" w:ascii="宋体" w:hAnsi="宋体" w:eastAsia="宋体" w:cs="宋体"/>
          <w:color w:val="auto"/>
          <w:spacing w:val="-1"/>
          <w:sz w:val="24"/>
          <w:szCs w:val="24"/>
          <w:highlight w:val="none"/>
        </w:rPr>
        <w:t>定成交供应商。</w:t>
      </w:r>
    </w:p>
    <w:p w14:paraId="7271C2ED">
      <w:pPr>
        <w:spacing w:before="215" w:line="360" w:lineRule="auto"/>
        <w:ind w:left="7" w:right="80" w:firstLine="4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24.5 成交供应商确定之后，成交结果将在财政</w:t>
      </w:r>
      <w:r>
        <w:rPr>
          <w:rFonts w:hint="eastAsia" w:ascii="宋体" w:hAnsi="宋体" w:eastAsia="宋体" w:cs="宋体"/>
          <w:color w:val="auto"/>
          <w:spacing w:val="1"/>
          <w:sz w:val="24"/>
          <w:szCs w:val="24"/>
          <w:highlight w:val="none"/>
        </w:rPr>
        <w:t>部门指定的政府采购信息发布媒体上公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告。</w:t>
      </w:r>
    </w:p>
    <w:p w14:paraId="184AF5EF">
      <w:pPr>
        <w:spacing w:before="218"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24.6 供应商或者其他利害关系人对评审结果有异议的</w:t>
      </w:r>
      <w:r>
        <w:rPr>
          <w:rFonts w:hint="eastAsia" w:ascii="宋体" w:hAnsi="宋体" w:eastAsia="宋体" w:cs="宋体"/>
          <w:color w:val="auto"/>
          <w:spacing w:val="-3"/>
          <w:sz w:val="24"/>
          <w:szCs w:val="24"/>
          <w:highlight w:val="none"/>
        </w:rPr>
        <w:t>，应当在法律规定的时间内提出。</w:t>
      </w:r>
    </w:p>
    <w:p w14:paraId="6939D77E">
      <w:pPr>
        <w:spacing w:before="215" w:line="360" w:lineRule="auto"/>
        <w:ind w:left="478"/>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25</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7"/>
          <w:sz w:val="24"/>
          <w:szCs w:val="24"/>
          <w:highlight w:val="none"/>
        </w:rPr>
        <w:t>．成交通知</w:t>
      </w:r>
    </w:p>
    <w:p w14:paraId="6CCEB1AA">
      <w:pPr>
        <w:spacing w:before="211" w:line="360" w:lineRule="auto"/>
        <w:ind w:left="4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采购代理机构向成交供应商发出《</w:t>
      </w:r>
      <w:r>
        <w:rPr>
          <w:rFonts w:hint="eastAsia" w:ascii="宋体" w:hAnsi="宋体" w:eastAsia="宋体" w:cs="宋体"/>
          <w:color w:val="auto"/>
          <w:spacing w:val="-1"/>
          <w:sz w:val="24"/>
          <w:szCs w:val="24"/>
          <w:highlight w:val="none"/>
        </w:rPr>
        <w:t>成交通知书》。</w:t>
      </w:r>
    </w:p>
    <w:p w14:paraId="6E58A274">
      <w:pPr>
        <w:spacing w:before="218" w:line="360" w:lineRule="auto"/>
        <w:ind w:right="80" w:firstLine="4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25.2 成交通知书对采购人和成交供应商具有同</w:t>
      </w:r>
      <w:r>
        <w:rPr>
          <w:rFonts w:hint="eastAsia" w:ascii="宋体" w:hAnsi="宋体" w:eastAsia="宋体" w:cs="宋体"/>
          <w:color w:val="auto"/>
          <w:spacing w:val="1"/>
          <w:sz w:val="24"/>
          <w:szCs w:val="24"/>
          <w:highlight w:val="none"/>
        </w:rPr>
        <w:t>等法律效力。成交通知书发出之后，采</w:t>
      </w:r>
      <w:r>
        <w:rPr>
          <w:rFonts w:hint="eastAsia" w:ascii="宋体" w:hAnsi="宋体" w:eastAsia="宋体" w:cs="宋体"/>
          <w:color w:val="auto"/>
          <w:sz w:val="24"/>
          <w:szCs w:val="24"/>
          <w:highlight w:val="none"/>
        </w:rPr>
        <w:t xml:space="preserve"> 购人改变成交结果，或者成交供应商放弃成交，应当承</w:t>
      </w:r>
      <w:r>
        <w:rPr>
          <w:rFonts w:hint="eastAsia" w:ascii="宋体" w:hAnsi="宋体" w:eastAsia="宋体" w:cs="宋体"/>
          <w:color w:val="auto"/>
          <w:spacing w:val="-1"/>
          <w:sz w:val="24"/>
          <w:szCs w:val="24"/>
          <w:highlight w:val="none"/>
        </w:rPr>
        <w:t>担相应的法律责任。</w:t>
      </w:r>
    </w:p>
    <w:p w14:paraId="692E2074">
      <w:pPr>
        <w:spacing w:before="215" w:line="360" w:lineRule="auto"/>
        <w:ind w:left="47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26.  采购合同的签订</w:t>
      </w:r>
    </w:p>
    <w:p w14:paraId="35976F6F">
      <w:pPr>
        <w:spacing w:before="219" w:line="360" w:lineRule="auto"/>
        <w:ind w:left="6" w:right="80"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26.1 采购人应当自成交通知书发出之日起</w:t>
      </w:r>
      <w:r>
        <w:rPr>
          <w:rFonts w:hint="eastAsia" w:ascii="宋体" w:hAnsi="宋体" w:eastAsia="宋体" w:cs="宋体"/>
          <w:color w:val="auto"/>
          <w:spacing w:val="2"/>
          <w:sz w:val="24"/>
          <w:szCs w:val="24"/>
          <w:highlight w:val="none"/>
          <w:lang w:val="en-US" w:eastAsia="zh-CN"/>
        </w:rPr>
        <w:t>二十五</w:t>
      </w:r>
      <w:r>
        <w:rPr>
          <w:rFonts w:hint="eastAsia" w:ascii="宋体" w:hAnsi="宋体" w:eastAsia="宋体" w:cs="宋体"/>
          <w:color w:val="auto"/>
          <w:spacing w:val="1"/>
          <w:sz w:val="24"/>
          <w:szCs w:val="24"/>
          <w:highlight w:val="none"/>
        </w:rPr>
        <w:t>日内，按照竞争性磋商文件和成交供应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商竞争性磋商响应文件（包括评审中形成的澄清文件）的约定，与成交供应商签订书面合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同。所签订的合同不得对竞争性磋商文件和成交供应商的竞争性磋商响应文件（包括评审</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中形成的澄清文件）作实质性修改。</w:t>
      </w:r>
    </w:p>
    <w:p w14:paraId="1A8080DB">
      <w:pPr>
        <w:spacing w:before="48" w:line="360" w:lineRule="auto"/>
        <w:ind w:left="5"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 采购人自政府采购合同签订之日起</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2 个工作日内，将政府采购合同在省级以上人民政府财政部门指定的媒体上公告，但政府采购合同中涉及国家秘密、商业</w:t>
      </w:r>
      <w:r>
        <w:rPr>
          <w:rFonts w:hint="eastAsia" w:ascii="宋体" w:hAnsi="宋体" w:eastAsia="宋体" w:cs="宋体"/>
          <w:color w:val="auto"/>
          <w:sz w:val="24"/>
          <w:szCs w:val="24"/>
          <w:highlight w:val="none"/>
        </w:rPr>
        <w:t>秘密的内容除</w:t>
      </w:r>
      <w:r>
        <w:rPr>
          <w:rFonts w:hint="eastAsia" w:ascii="宋体" w:hAnsi="宋体" w:eastAsia="宋体" w:cs="宋体"/>
          <w:color w:val="auto"/>
          <w:spacing w:val="-8"/>
          <w:sz w:val="24"/>
          <w:szCs w:val="24"/>
          <w:highlight w:val="none"/>
        </w:rPr>
        <w:t>外。</w:t>
      </w:r>
    </w:p>
    <w:p w14:paraId="311BBE3A">
      <w:pPr>
        <w:spacing w:before="215" w:line="360" w:lineRule="auto"/>
        <w:ind w:left="477"/>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27</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．成交代理服务费</w:t>
      </w:r>
    </w:p>
    <w:p w14:paraId="67F8162A">
      <w:pPr>
        <w:pStyle w:val="28"/>
        <w:spacing w:before="37" w:line="360" w:lineRule="auto"/>
        <w:ind w:left="13" w:right="3" w:firstLine="484" w:firstLineChars="200"/>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27.1 以中标价为基准，参照国家计委颁发的《招标代理服务收费管理暂行办法》【2002】1980号文件中</w:t>
      </w:r>
      <w:r>
        <w:rPr>
          <w:rFonts w:hint="eastAsia" w:ascii="宋体" w:hAnsi="宋体" w:eastAsia="宋体" w:cs="宋体"/>
          <w:snapToGrid w:val="0"/>
          <w:color w:val="auto"/>
          <w:spacing w:val="1"/>
          <w:kern w:val="0"/>
          <w:sz w:val="24"/>
          <w:szCs w:val="24"/>
          <w:highlight w:val="none"/>
          <w:lang w:val="en-US" w:eastAsia="zh-CN" w:bidi="ar-SA"/>
        </w:rPr>
        <w:t>服务</w:t>
      </w:r>
      <w:r>
        <w:rPr>
          <w:rFonts w:hint="eastAsia" w:ascii="宋体" w:hAnsi="宋体" w:eastAsia="宋体" w:cs="宋体"/>
          <w:snapToGrid w:val="0"/>
          <w:color w:val="auto"/>
          <w:spacing w:val="1"/>
          <w:kern w:val="0"/>
          <w:sz w:val="24"/>
          <w:szCs w:val="24"/>
          <w:highlight w:val="none"/>
          <w:lang w:val="en-US" w:eastAsia="en-US" w:bidi="ar-SA"/>
        </w:rPr>
        <w:t>招标的收费标准和《国家发展改革委关于降低部分建设项目收费标准规范收费行为等有关问题的通知》发改价格【2011】534号文件</w:t>
      </w:r>
      <w:r>
        <w:rPr>
          <w:rFonts w:hint="eastAsia" w:ascii="宋体" w:hAnsi="宋体" w:eastAsia="宋体" w:cs="宋体"/>
          <w:snapToGrid w:val="0"/>
          <w:color w:val="auto"/>
          <w:spacing w:val="1"/>
          <w:kern w:val="0"/>
          <w:sz w:val="24"/>
          <w:szCs w:val="24"/>
          <w:highlight w:val="none"/>
          <w:lang w:val="en-US" w:eastAsia="zh-CN" w:bidi="ar-SA"/>
        </w:rPr>
        <w:t>中关于“服务招标”收费标准规定，下浮50%</w:t>
      </w:r>
      <w:r>
        <w:rPr>
          <w:rFonts w:hint="eastAsia" w:ascii="宋体" w:hAnsi="宋体" w:eastAsia="宋体" w:cs="宋体"/>
          <w:snapToGrid w:val="0"/>
          <w:color w:val="auto"/>
          <w:spacing w:val="1"/>
          <w:kern w:val="0"/>
          <w:sz w:val="24"/>
          <w:szCs w:val="24"/>
          <w:highlight w:val="none"/>
          <w:lang w:val="en-US" w:eastAsia="en-US" w:bidi="ar-SA"/>
        </w:rPr>
        <w:t>收取。</w:t>
      </w:r>
    </w:p>
    <w:p w14:paraId="731017A2">
      <w:pPr>
        <w:spacing w:before="215" w:line="360" w:lineRule="auto"/>
        <w:ind w:left="4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成交供应商在领取成交通知书前，须向采购代理机构一次性支</w:t>
      </w:r>
      <w:r>
        <w:rPr>
          <w:rFonts w:hint="eastAsia" w:ascii="宋体" w:hAnsi="宋体" w:eastAsia="宋体" w:cs="宋体"/>
          <w:color w:val="auto"/>
          <w:spacing w:val="-1"/>
          <w:sz w:val="24"/>
          <w:szCs w:val="24"/>
          <w:highlight w:val="none"/>
        </w:rPr>
        <w:t>付代理服务费。</w:t>
      </w:r>
    </w:p>
    <w:p w14:paraId="66173BA7">
      <w:pPr>
        <w:spacing w:before="215" w:line="360" w:lineRule="auto"/>
        <w:ind w:left="47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28.履约验收</w:t>
      </w:r>
    </w:p>
    <w:p w14:paraId="2E0A21BB">
      <w:pPr>
        <w:spacing w:before="213" w:line="360" w:lineRule="auto"/>
        <w:ind w:firstLine="476"/>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28.1 政府采购合同的履行、违约责任和解决争</w:t>
      </w:r>
      <w:r>
        <w:rPr>
          <w:rFonts w:hint="eastAsia" w:ascii="宋体" w:hAnsi="宋体" w:eastAsia="宋体" w:cs="宋体"/>
          <w:color w:val="auto"/>
          <w:spacing w:val="1"/>
          <w:sz w:val="24"/>
          <w:szCs w:val="24"/>
          <w:highlight w:val="none"/>
        </w:rPr>
        <w:t>议的方法等适用《中华人民共和国</w:t>
      </w:r>
      <w:r>
        <w:rPr>
          <w:rFonts w:hint="eastAsia" w:ascii="宋体" w:hAnsi="宋体" w:eastAsia="宋体" w:cs="宋体"/>
          <w:color w:val="auto"/>
          <w:spacing w:val="1"/>
          <w:sz w:val="24"/>
          <w:szCs w:val="24"/>
          <w:highlight w:val="none"/>
          <w:lang w:val="en-US" w:eastAsia="zh-CN"/>
        </w:rPr>
        <w:t>民法典</w:t>
      </w:r>
      <w:r>
        <w:rPr>
          <w:rFonts w:hint="eastAsia" w:ascii="宋体" w:hAnsi="宋体" w:eastAsia="宋体" w:cs="宋体"/>
          <w:color w:val="auto"/>
          <w:spacing w:val="1"/>
          <w:sz w:val="24"/>
          <w:szCs w:val="24"/>
          <w:highlight w:val="none"/>
        </w:rPr>
        <w:t>》。采购人按照政府采购合同规定的技术、服务、安全标准组织对供应商履约情况进行</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验收，并出具验收书。</w:t>
      </w:r>
    </w:p>
    <w:p w14:paraId="7AA24C83">
      <w:pPr>
        <w:spacing w:before="35" w:line="360" w:lineRule="auto"/>
        <w:ind w:left="47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29.质疑</w:t>
      </w:r>
    </w:p>
    <w:p w14:paraId="07D93D40">
      <w:pPr>
        <w:spacing w:before="217" w:line="360" w:lineRule="auto"/>
        <w:ind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（1）供应商认为磋商文件、采购过程、成交结果使自己的权益受到损害的，可以在知</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道或者应知其权益受到损害之日起</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7 个工作日内，以书面形式向采购人、采购代理机构提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出质疑。</w:t>
      </w:r>
    </w:p>
    <w:p w14:paraId="488C5D39">
      <w:pPr>
        <w:spacing w:before="215"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（2）供应商必须在法定质疑期内一次性提出针对同一采购程序环节的质疑。</w:t>
      </w:r>
    </w:p>
    <w:p w14:paraId="599F12E4">
      <w:pPr>
        <w:spacing w:before="215" w:line="360" w:lineRule="auto"/>
        <w:ind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（3）供应商可以委托代理人进行质疑。代理人提出质疑的，应当提交授权委托书。授</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权委托书应当载明代理人的姓名或者名称、代理事项、具体权限、期限和相关事项。供应</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商为自然人的，应当由本人签字；供应商为法人或者其他组织的，应当由法定代表人或负</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责人、主要负责人签字或者盖章，并加盖公章。</w:t>
      </w:r>
    </w:p>
    <w:p w14:paraId="40F68181">
      <w:pPr>
        <w:spacing w:before="215" w:line="36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（4）以联合体形式参加政府采购活动的，其质疑应当由组成联合体的所有供应商共同</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提出。</w:t>
      </w:r>
    </w:p>
    <w:p w14:paraId="497FA5A0">
      <w:pPr>
        <w:spacing w:before="21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（5）供应商提出质疑应当提交质疑函和必要的证明材料。质疑函应当</w:t>
      </w:r>
      <w:r>
        <w:rPr>
          <w:rFonts w:hint="eastAsia" w:ascii="宋体" w:hAnsi="宋体" w:eastAsia="宋体" w:cs="宋体"/>
          <w:color w:val="auto"/>
          <w:spacing w:val="-3"/>
          <w:sz w:val="24"/>
          <w:szCs w:val="24"/>
          <w:highlight w:val="none"/>
        </w:rPr>
        <w:t>包括下列内容：</w:t>
      </w:r>
    </w:p>
    <w:p w14:paraId="03339498">
      <w:pPr>
        <w:spacing w:before="214"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（6）供应商的姓名或者名称、地址、邮编、联系人及联系电话；</w:t>
      </w:r>
    </w:p>
    <w:p w14:paraId="625B68CF">
      <w:pPr>
        <w:spacing w:before="218"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（7）质疑项目的名称、编号；</w:t>
      </w:r>
    </w:p>
    <w:p w14:paraId="57A3352E">
      <w:pPr>
        <w:spacing w:before="215"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（8）具体、明确的质疑事项和与质疑事项相关的请求；</w:t>
      </w:r>
    </w:p>
    <w:p w14:paraId="6394BF04">
      <w:pPr>
        <w:spacing w:before="213"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（9）事实依据；</w:t>
      </w:r>
    </w:p>
    <w:p w14:paraId="093296B1">
      <w:pPr>
        <w:spacing w:before="217"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（10）必要的法律依据；</w:t>
      </w:r>
    </w:p>
    <w:p w14:paraId="080FB64D">
      <w:pPr>
        <w:spacing w:before="215"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（11）提出质疑的日期。</w:t>
      </w:r>
    </w:p>
    <w:p w14:paraId="28D3F31E">
      <w:pPr>
        <w:spacing w:before="47" w:line="360" w:lineRule="auto"/>
        <w:ind w:left="490"/>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29.6 有下列情形之一的，属于无效质疑，采购代理机构和采</w:t>
      </w:r>
      <w:r>
        <w:rPr>
          <w:rFonts w:hint="eastAsia" w:ascii="宋体" w:hAnsi="宋体" w:eastAsia="宋体" w:cs="宋体"/>
          <w:color w:val="auto"/>
          <w:spacing w:val="-1"/>
          <w:sz w:val="24"/>
          <w:szCs w:val="24"/>
          <w:highlight w:val="none"/>
        </w:rPr>
        <w:t>购人不予受理：</w:t>
      </w:r>
    </w:p>
    <w:p w14:paraId="4ED003F0">
      <w:pPr>
        <w:spacing w:before="47"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（1）质疑供应商不是参与本次政府采购项目的供应商；</w:t>
      </w:r>
    </w:p>
    <w:p w14:paraId="79934AD8">
      <w:pPr>
        <w:spacing w:before="216"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（2）质疑供应商与质疑事项不存在利害关系的；</w:t>
      </w:r>
    </w:p>
    <w:p w14:paraId="52FAFF98">
      <w:pPr>
        <w:spacing w:before="215"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（3）未在法定期限内提出质疑的；</w:t>
      </w:r>
    </w:p>
    <w:p w14:paraId="24B8FDF2">
      <w:pPr>
        <w:spacing w:before="213"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（4）质疑未以书面形式提出，或质疑函主要内容构成不完整的；</w:t>
      </w:r>
    </w:p>
    <w:p w14:paraId="42B485BB">
      <w:pPr>
        <w:spacing w:before="217"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（5）应当提交授权书而未提交的；</w:t>
      </w:r>
    </w:p>
    <w:p w14:paraId="56E0A0DB">
      <w:pPr>
        <w:spacing w:before="214"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（6）以非法手段取得证据、材料的；</w:t>
      </w:r>
    </w:p>
    <w:p w14:paraId="60E808EE">
      <w:pPr>
        <w:spacing w:before="215"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（7）质疑答复后，同一质疑人就同一事项或同一采购程序环节再次提出质疑的；</w:t>
      </w:r>
    </w:p>
    <w:p w14:paraId="666CD970">
      <w:pPr>
        <w:spacing w:before="217"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（8）不符合法律、法规、规章和政府采购监管机构规定的其他条件的。</w:t>
      </w:r>
    </w:p>
    <w:p w14:paraId="4DE15C4E">
      <w:pPr>
        <w:spacing w:before="215" w:line="360" w:lineRule="auto"/>
        <w:ind w:left="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29.7 质疑答复</w:t>
      </w:r>
    </w:p>
    <w:p w14:paraId="18E349F5">
      <w:pPr>
        <w:spacing w:before="213" w:line="360" w:lineRule="auto"/>
        <w:ind w:left="3" w:firstLine="4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（1）采购人或采购代理机构在收到质疑函后</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7 个工作日内作出答复，并以书</w:t>
      </w:r>
      <w:r>
        <w:rPr>
          <w:rFonts w:hint="eastAsia" w:ascii="宋体" w:hAnsi="宋体" w:eastAsia="宋体" w:cs="宋体"/>
          <w:color w:val="auto"/>
          <w:spacing w:val="-3"/>
          <w:sz w:val="24"/>
          <w:szCs w:val="24"/>
          <w:highlight w:val="none"/>
        </w:rPr>
        <w:t>面形式通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知质疑供应商和其他有关供应商。</w:t>
      </w:r>
    </w:p>
    <w:p w14:paraId="6938A1DA">
      <w:pPr>
        <w:spacing w:before="215" w:line="360" w:lineRule="auto"/>
        <w:ind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（2）质疑供应商对采购人、采购代理机构的答复不满意，或者采购人、采购代理机构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未在规定时间内作出答复的，可以在答复期满后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 个工作日内向同级人</w:t>
      </w:r>
      <w:r>
        <w:rPr>
          <w:rFonts w:hint="eastAsia" w:ascii="宋体" w:hAnsi="宋体" w:eastAsia="宋体" w:cs="宋体"/>
          <w:color w:val="auto"/>
          <w:spacing w:val="-3"/>
          <w:sz w:val="24"/>
          <w:szCs w:val="24"/>
          <w:highlight w:val="none"/>
        </w:rPr>
        <w:t>民政府财政部门提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起投诉。</w:t>
      </w:r>
    </w:p>
    <w:p w14:paraId="1101F3B4">
      <w:pPr>
        <w:spacing w:before="214" w:line="360" w:lineRule="auto"/>
        <w:ind w:left="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29.8其他需要说明的事项</w:t>
      </w:r>
    </w:p>
    <w:p w14:paraId="0A0E57B7">
      <w:pPr>
        <w:spacing w:before="47" w:line="360" w:lineRule="auto"/>
        <w:ind w:right="89" w:firstLine="479"/>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（1）质疑函须按财政部《质疑函范本》给定的格式进行填写，范本下载详见【财政部 国库司（gks.mof.gov.cn）】网站〖首页 ·政府采购管理〗栏目中的《政府采购供应商质疑 函范本》。《政府采购供应商质疑函范本》链接地址</w:t>
      </w:r>
    </w:p>
    <w:p w14:paraId="62B977E6">
      <w:pPr>
        <w:spacing w:before="47" w:line="360" w:lineRule="auto"/>
        <w:ind w:right="89" w:firstLine="479"/>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"http://gks.mof.gov.cn/zhengfucaigouguanli/201802/t20180201_2804589.html"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http://gks.mof.gov.cn/zhengfucaigouguanli/201802/t20180201_2804589.html</w:t>
      </w:r>
      <w:r>
        <w:rPr>
          <w:rFonts w:hint="eastAsia" w:ascii="宋体" w:hAnsi="宋体" w:eastAsia="宋体" w:cs="宋体"/>
          <w:color w:val="auto"/>
          <w:spacing w:val="-1"/>
          <w:sz w:val="24"/>
          <w:szCs w:val="24"/>
          <w:highlight w:val="none"/>
        </w:rPr>
        <w:fldChar w:fldCharType="end"/>
      </w:r>
    </w:p>
    <w:p w14:paraId="4BFF2DF2">
      <w:pPr>
        <w:spacing w:before="47" w:line="360" w:lineRule="auto"/>
        <w:ind w:right="89" w:firstLine="479"/>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（2）接收质疑函的方式：书面形式</w:t>
      </w:r>
    </w:p>
    <w:p w14:paraId="6A80F2DE">
      <w:pPr>
        <w:spacing w:before="47" w:line="360" w:lineRule="auto"/>
        <w:ind w:right="89" w:firstLine="479"/>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（3）联系单位：</w:t>
      </w:r>
      <w:r>
        <w:rPr>
          <w:rFonts w:hint="eastAsia" w:ascii="宋体" w:hAnsi="宋体" w:eastAsia="宋体" w:cs="宋体"/>
          <w:color w:val="auto"/>
          <w:spacing w:val="-1"/>
          <w:sz w:val="24"/>
          <w:szCs w:val="24"/>
          <w:highlight w:val="none"/>
          <w:lang w:val="en-US" w:eastAsia="zh-CN"/>
        </w:rPr>
        <w:t>红昕国际项目管理有限公司</w:t>
      </w:r>
    </w:p>
    <w:p w14:paraId="077B544C">
      <w:pPr>
        <w:spacing w:before="47" w:line="360" w:lineRule="auto"/>
        <w:ind w:right="89" w:firstLine="479"/>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（4）联系电话：</w:t>
      </w:r>
      <w:r>
        <w:rPr>
          <w:rFonts w:hint="eastAsia" w:ascii="宋体" w:hAnsi="宋体" w:eastAsia="宋体" w:cs="宋体"/>
          <w:color w:val="auto"/>
          <w:spacing w:val="-1"/>
          <w:sz w:val="24"/>
          <w:szCs w:val="24"/>
          <w:highlight w:val="none"/>
          <w:lang w:val="en-US" w:eastAsia="zh-CN"/>
        </w:rPr>
        <w:t>18082209457</w:t>
      </w:r>
    </w:p>
    <w:p w14:paraId="61FDBA0D">
      <w:pPr>
        <w:spacing w:before="213" w:line="360" w:lineRule="auto"/>
        <w:ind w:left="3" w:firstLine="48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（5）通讯地址：</w:t>
      </w:r>
      <w:r>
        <w:rPr>
          <w:rFonts w:hint="eastAsia" w:ascii="宋体" w:hAnsi="宋体" w:eastAsia="宋体" w:cs="宋体"/>
          <w:color w:val="auto"/>
          <w:spacing w:val="-2"/>
          <w:sz w:val="24"/>
          <w:szCs w:val="24"/>
          <w:highlight w:val="none"/>
          <w:lang w:val="en-US" w:eastAsia="zh-CN"/>
        </w:rPr>
        <w:t>陕西省西安市高新区科技七路以北万达西安one项目综合体1 幢 2 单元 19 层 21938</w:t>
      </w:r>
    </w:p>
    <w:p w14:paraId="5A71BD10">
      <w:pPr>
        <w:spacing w:before="214" w:line="360" w:lineRule="auto"/>
        <w:ind w:left="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30.其他</w:t>
      </w:r>
    </w:p>
    <w:p w14:paraId="5CE362F9">
      <w:pPr>
        <w:keepNext w:val="0"/>
        <w:keepLines w:val="0"/>
        <w:pageBreakBefore w:val="0"/>
        <w:widowControl/>
        <w:kinsoku w:val="0"/>
        <w:wordWrap/>
        <w:overflowPunct/>
        <w:topLinePunct w:val="0"/>
        <w:autoSpaceDE w:val="0"/>
        <w:autoSpaceDN w:val="0"/>
        <w:bidi w:val="0"/>
        <w:adjustRightInd w:val="0"/>
        <w:snapToGrid w:val="0"/>
        <w:spacing w:before="54" w:line="360" w:lineRule="auto"/>
        <w:ind w:firstLine="47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1磋商步骤为：第一次报价---初步评审---分别磋商---第二次报价---综合评</w:t>
      </w:r>
      <w:r>
        <w:rPr>
          <w:rFonts w:hint="eastAsia" w:ascii="宋体" w:hAnsi="宋体" w:eastAsia="宋体" w:cs="宋体"/>
          <w:color w:val="auto"/>
          <w:spacing w:val="-4"/>
          <w:sz w:val="24"/>
          <w:szCs w:val="24"/>
          <w:highlight w:val="none"/>
        </w:rPr>
        <w:t>审推荐成交</w:t>
      </w:r>
      <w:r>
        <w:rPr>
          <w:rFonts w:hint="eastAsia" w:ascii="宋体" w:hAnsi="宋体" w:eastAsia="宋体" w:cs="宋体"/>
          <w:color w:val="auto"/>
          <w:sz w:val="24"/>
          <w:szCs w:val="24"/>
          <w:highlight w:val="none"/>
        </w:rPr>
        <w:t>候选人。（以供应商递交的磋商响应文件中的总报价为第一次</w:t>
      </w:r>
      <w:r>
        <w:rPr>
          <w:rFonts w:hint="eastAsia" w:ascii="宋体" w:hAnsi="宋体" w:eastAsia="宋体" w:cs="宋体"/>
          <w:color w:val="auto"/>
          <w:spacing w:val="-1"/>
          <w:sz w:val="24"/>
          <w:szCs w:val="24"/>
          <w:highlight w:val="none"/>
        </w:rPr>
        <w:t>报价。分别磋商后，供应商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现场填报的磋商响应总报价为第二次报价）</w:t>
      </w:r>
    </w:p>
    <w:p w14:paraId="158C09D7">
      <w:pPr>
        <w:keepNext w:val="0"/>
        <w:keepLines w:val="0"/>
        <w:pageBreakBefore w:val="0"/>
        <w:widowControl/>
        <w:kinsoku w:val="0"/>
        <w:wordWrap/>
        <w:overflowPunct/>
        <w:topLinePunct w:val="0"/>
        <w:autoSpaceDE w:val="0"/>
        <w:autoSpaceDN w:val="0"/>
        <w:bidi w:val="0"/>
        <w:adjustRightInd w:val="0"/>
        <w:snapToGrid w:val="0"/>
        <w:spacing w:before="47" w:line="360" w:lineRule="auto"/>
        <w:ind w:right="89" w:firstLine="47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30.2当第二次报价全部超过磋商文件规定的采购预算（或最高限价）或均低于公认</w:t>
      </w:r>
      <w:r>
        <w:rPr>
          <w:rFonts w:hint="eastAsia" w:ascii="宋体" w:hAnsi="宋体" w:eastAsia="宋体" w:cs="宋体"/>
          <w:color w:val="auto"/>
          <w:spacing w:val="-4"/>
          <w:sz w:val="24"/>
          <w:szCs w:val="24"/>
          <w:highlight w:val="none"/>
        </w:rPr>
        <w:t>的制</w:t>
      </w:r>
      <w:r>
        <w:rPr>
          <w:rFonts w:hint="eastAsia" w:ascii="宋体" w:hAnsi="宋体" w:eastAsia="宋体" w:cs="宋体"/>
          <w:color w:val="auto"/>
          <w:sz w:val="24"/>
          <w:szCs w:val="24"/>
          <w:highlight w:val="none"/>
        </w:rPr>
        <w:t xml:space="preserve"> 作成本时，磋商小组有权决定是否磋商失败或进行第三次报价</w:t>
      </w:r>
      <w:r>
        <w:rPr>
          <w:rFonts w:hint="eastAsia" w:ascii="宋体" w:hAnsi="宋体" w:eastAsia="宋体" w:cs="宋体"/>
          <w:color w:val="auto"/>
          <w:spacing w:val="-1"/>
          <w:sz w:val="24"/>
          <w:szCs w:val="24"/>
          <w:highlight w:val="none"/>
        </w:rPr>
        <w:t>。当第三次报价若超出财政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预算，且采购人又无力支付，磋商小组有权决定磋商失败。</w:t>
      </w:r>
    </w:p>
    <w:p w14:paraId="1AAB45CA">
      <w:pPr>
        <w:keepNext w:val="0"/>
        <w:keepLines w:val="0"/>
        <w:pageBreakBefore w:val="0"/>
        <w:widowControl/>
        <w:kinsoku w:val="0"/>
        <w:wordWrap/>
        <w:overflowPunct/>
        <w:topLinePunct w:val="0"/>
        <w:autoSpaceDE w:val="0"/>
        <w:autoSpaceDN w:val="0"/>
        <w:bidi w:val="0"/>
        <w:adjustRightInd w:val="0"/>
        <w:snapToGrid w:val="0"/>
        <w:spacing w:before="36" w:line="360" w:lineRule="auto"/>
        <w:ind w:left="2"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30.3采用竞争性磋商采购方式采购的政府购买服务项目（含政府和社会资本合作项目）</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3"/>
          <w:sz w:val="24"/>
          <w:szCs w:val="24"/>
          <w:highlight w:val="none"/>
        </w:rPr>
        <w:t>采购过程中符合要求的供应商（社会资本）只有2家的，竞争性磋商采购活动可以继续进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行。采购过程中符合要求的供应商（社会资本）只有1家的，采购人或者采购代理机构应当</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终止竞争性磋商采购活动，发布项目终止公告</w:t>
      </w:r>
      <w:r>
        <w:rPr>
          <w:rFonts w:hint="eastAsia" w:ascii="宋体" w:hAnsi="宋体" w:eastAsia="宋体" w:cs="宋体"/>
          <w:color w:val="auto"/>
          <w:spacing w:val="-1"/>
          <w:sz w:val="24"/>
          <w:szCs w:val="24"/>
          <w:highlight w:val="none"/>
        </w:rPr>
        <w:t>并说明原因，重新开展采购活动。</w:t>
      </w:r>
    </w:p>
    <w:p w14:paraId="4345BA48">
      <w:pPr>
        <w:keepNext w:val="0"/>
        <w:keepLines w:val="0"/>
        <w:pageBreakBefore w:val="0"/>
        <w:widowControl/>
        <w:kinsoku w:val="0"/>
        <w:wordWrap/>
        <w:overflowPunct/>
        <w:topLinePunct w:val="0"/>
        <w:autoSpaceDE w:val="0"/>
        <w:autoSpaceDN w:val="0"/>
        <w:bidi w:val="0"/>
        <w:adjustRightInd w:val="0"/>
        <w:snapToGrid w:val="0"/>
        <w:spacing w:before="36" w:line="360" w:lineRule="auto"/>
        <w:ind w:left="4" w:right="89" w:firstLine="47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30.4成交供应商确定后，成交供应商无正当理由拖延或拒签合同的，或未能按照规</w:t>
      </w:r>
      <w:r>
        <w:rPr>
          <w:rFonts w:hint="eastAsia" w:ascii="宋体" w:hAnsi="宋体" w:eastAsia="宋体" w:cs="宋体"/>
          <w:color w:val="auto"/>
          <w:spacing w:val="-4"/>
          <w:sz w:val="24"/>
          <w:szCs w:val="24"/>
          <w:highlight w:val="none"/>
        </w:rPr>
        <w:t>定的</w:t>
      </w:r>
      <w:r>
        <w:rPr>
          <w:rFonts w:hint="eastAsia" w:ascii="宋体" w:hAnsi="宋体" w:eastAsia="宋体" w:cs="宋体"/>
          <w:color w:val="auto"/>
          <w:sz w:val="24"/>
          <w:szCs w:val="24"/>
          <w:highlight w:val="none"/>
        </w:rPr>
        <w:t xml:space="preserve"> 时间提供履约担保，采购人有权取消其成交资格，</w:t>
      </w:r>
      <w:r>
        <w:rPr>
          <w:rFonts w:hint="eastAsia" w:ascii="宋体" w:hAnsi="宋体" w:eastAsia="宋体" w:cs="宋体"/>
          <w:color w:val="auto"/>
          <w:spacing w:val="-1"/>
          <w:sz w:val="24"/>
          <w:szCs w:val="24"/>
          <w:highlight w:val="none"/>
        </w:rPr>
        <w:t>并按评审顺序重新确定成交供应商。同</w:t>
      </w:r>
      <w:r>
        <w:rPr>
          <w:rFonts w:hint="eastAsia" w:ascii="宋体" w:hAnsi="宋体" w:eastAsia="宋体" w:cs="宋体"/>
          <w:color w:val="auto"/>
          <w:sz w:val="24"/>
          <w:szCs w:val="24"/>
          <w:highlight w:val="none"/>
        </w:rPr>
        <w:t xml:space="preserve"> 时报请监督机构予以通报，禁止其进入政府采购市</w:t>
      </w:r>
      <w:r>
        <w:rPr>
          <w:rFonts w:hint="eastAsia" w:ascii="宋体" w:hAnsi="宋体" w:eastAsia="宋体" w:cs="宋体"/>
          <w:color w:val="auto"/>
          <w:spacing w:val="-1"/>
          <w:sz w:val="24"/>
          <w:szCs w:val="24"/>
          <w:highlight w:val="none"/>
        </w:rPr>
        <w:t>场，并没收其保证金。给采购人造成损</w:t>
      </w:r>
      <w:r>
        <w:rPr>
          <w:rFonts w:hint="eastAsia" w:ascii="宋体" w:hAnsi="宋体" w:eastAsia="宋体" w:cs="宋体"/>
          <w:color w:val="auto"/>
          <w:sz w:val="24"/>
          <w:szCs w:val="24"/>
          <w:highlight w:val="none"/>
        </w:rPr>
        <w:t xml:space="preserve"> 失超过磋商保证金额的，供应商还应当对超过部分</w:t>
      </w:r>
      <w:r>
        <w:rPr>
          <w:rFonts w:hint="eastAsia" w:ascii="宋体" w:hAnsi="宋体" w:eastAsia="宋体" w:cs="宋体"/>
          <w:color w:val="auto"/>
          <w:spacing w:val="-1"/>
          <w:sz w:val="24"/>
          <w:szCs w:val="24"/>
          <w:highlight w:val="none"/>
        </w:rPr>
        <w:t>予以赔偿，并依法承担相应法律责任。</w:t>
      </w:r>
    </w:p>
    <w:p w14:paraId="44AD15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pacing w:val="-2"/>
          <w:position w:val="-2"/>
          <w:sz w:val="38"/>
          <w:szCs w:val="38"/>
          <w:highlight w:val="none"/>
        </w:rPr>
      </w:pPr>
      <w:r>
        <w:rPr>
          <w:rFonts w:hint="eastAsia" w:asciiTheme="minorEastAsia" w:hAnsiTheme="minorEastAsia" w:eastAsiaTheme="minorEastAsia" w:cstheme="minorEastAsia"/>
          <w:b/>
          <w:bCs/>
          <w:color w:val="auto"/>
          <w:spacing w:val="-2"/>
          <w:position w:val="-2"/>
          <w:sz w:val="38"/>
          <w:szCs w:val="38"/>
          <w:highlight w:val="none"/>
        </w:rPr>
        <w:br w:type="page"/>
      </w:r>
    </w:p>
    <w:p w14:paraId="1424287C">
      <w:pPr>
        <w:spacing w:before="77" w:line="390" w:lineRule="exact"/>
        <w:ind w:left="3085"/>
        <w:outlineLvl w:val="0"/>
        <w:rPr>
          <w:rFonts w:hint="eastAsia" w:asciiTheme="minorEastAsia" w:hAnsiTheme="minorEastAsia" w:eastAsiaTheme="minorEastAsia" w:cstheme="minorEastAsia"/>
          <w:b/>
          <w:bCs/>
          <w:color w:val="auto"/>
          <w:sz w:val="38"/>
          <w:szCs w:val="38"/>
          <w:highlight w:val="none"/>
        </w:rPr>
      </w:pPr>
      <w:bookmarkStart w:id="15" w:name="_Toc12544"/>
      <w:bookmarkStart w:id="16" w:name="_Toc31972"/>
      <w:r>
        <w:rPr>
          <w:rFonts w:hint="eastAsia" w:asciiTheme="minorEastAsia" w:hAnsiTheme="minorEastAsia" w:eastAsiaTheme="minorEastAsia" w:cstheme="minorEastAsia"/>
          <w:b/>
          <w:bCs/>
          <w:color w:val="auto"/>
          <w:spacing w:val="-2"/>
          <w:position w:val="-2"/>
          <w:sz w:val="38"/>
          <w:szCs w:val="38"/>
          <w:highlight w:val="none"/>
        </w:rPr>
        <w:t>第三章  评审方法</w:t>
      </w:r>
      <w:bookmarkEnd w:id="15"/>
      <w:bookmarkEnd w:id="16"/>
    </w:p>
    <w:p w14:paraId="2C923337">
      <w:pPr>
        <w:spacing w:before="289" w:line="360" w:lineRule="auto"/>
        <w:ind w:left="48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一、评审方法</w:t>
      </w:r>
    </w:p>
    <w:p w14:paraId="2881C1FD">
      <w:pPr>
        <w:spacing w:before="179" w:line="360" w:lineRule="auto"/>
        <w:ind w:right="169" w:firstLine="52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按照《中华人民共和国政府采购法》及实施条例和关于</w:t>
      </w:r>
      <w:r>
        <w:rPr>
          <w:rFonts w:ascii="宋体" w:hAnsi="宋体" w:eastAsia="宋体" w:cs="宋体"/>
          <w:color w:val="auto"/>
          <w:spacing w:val="-1"/>
          <w:sz w:val="24"/>
          <w:szCs w:val="24"/>
          <w:highlight w:val="none"/>
        </w:rPr>
        <w:t>印发《政府采购竞争性磋商采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购方式管理暂行办法》的通知 </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财库【</w:t>
      </w:r>
      <w:r>
        <w:rPr>
          <w:rFonts w:ascii="Times New Roman" w:hAnsi="Times New Roman" w:eastAsia="Times New Roman" w:cs="Times New Roman"/>
          <w:color w:val="auto"/>
          <w:spacing w:val="-1"/>
          <w:sz w:val="24"/>
          <w:szCs w:val="24"/>
          <w:highlight w:val="none"/>
        </w:rPr>
        <w:t>2014</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 xml:space="preserve">214 </w:t>
      </w:r>
      <w:r>
        <w:rPr>
          <w:rFonts w:ascii="Times New Roman" w:hAnsi="Times New Roman" w:eastAsia="Times New Roman" w:cs="Times New Roman"/>
          <w:color w:val="auto"/>
          <w:spacing w:val="-2"/>
          <w:sz w:val="24"/>
          <w:szCs w:val="24"/>
          <w:highlight w:val="none"/>
        </w:rPr>
        <w:t xml:space="preserve"> </w:t>
      </w:r>
      <w:r>
        <w:rPr>
          <w:rFonts w:ascii="宋体" w:hAnsi="宋体" w:eastAsia="宋体" w:cs="宋体"/>
          <w:color w:val="auto"/>
          <w:spacing w:val="-2"/>
          <w:sz w:val="24"/>
          <w:szCs w:val="24"/>
          <w:highlight w:val="none"/>
        </w:rPr>
        <w:t>号</w:t>
      </w:r>
      <w:r>
        <w:rPr>
          <w:rFonts w:ascii="Times New Roman" w:hAnsi="Times New Roman" w:eastAsia="Times New Roman" w:cs="Times New Roman"/>
          <w:color w:val="auto"/>
          <w:spacing w:val="-2"/>
          <w:sz w:val="24"/>
          <w:szCs w:val="24"/>
          <w:highlight w:val="none"/>
        </w:rPr>
        <w:t xml:space="preserve">)  </w:t>
      </w:r>
      <w:r>
        <w:rPr>
          <w:rFonts w:ascii="宋体" w:hAnsi="宋体" w:eastAsia="宋体" w:cs="宋体"/>
          <w:color w:val="auto"/>
          <w:spacing w:val="-2"/>
          <w:sz w:val="24"/>
          <w:szCs w:val="24"/>
          <w:highlight w:val="none"/>
        </w:rPr>
        <w:t>的规定，本次评标采用综合评分法，</w:t>
      </w:r>
      <w:r>
        <w:rPr>
          <w:rFonts w:ascii="宋体" w:hAnsi="宋体" w:eastAsia="宋体" w:cs="宋体"/>
          <w:color w:val="auto"/>
          <w:sz w:val="24"/>
          <w:szCs w:val="24"/>
          <w:highlight w:val="none"/>
        </w:rPr>
        <w:t xml:space="preserve"> 即在最大限度地满足竞争性磋商文件实质性要求前提下，按照竞争性</w:t>
      </w:r>
      <w:r>
        <w:rPr>
          <w:rFonts w:ascii="宋体" w:hAnsi="宋体" w:eastAsia="宋体" w:cs="宋体"/>
          <w:color w:val="auto"/>
          <w:spacing w:val="-1"/>
          <w:sz w:val="24"/>
          <w:szCs w:val="24"/>
          <w:highlight w:val="none"/>
        </w:rPr>
        <w:t>磋商文件中规定的各</w:t>
      </w:r>
      <w:r>
        <w:rPr>
          <w:rFonts w:ascii="宋体" w:hAnsi="宋体" w:eastAsia="宋体" w:cs="宋体"/>
          <w:color w:val="auto"/>
          <w:sz w:val="24"/>
          <w:szCs w:val="24"/>
          <w:highlight w:val="none"/>
        </w:rPr>
        <w:t xml:space="preserve"> 项因素和相应的权重分值进行综合评审后，以总得分最高的供应商作</w:t>
      </w:r>
      <w:r>
        <w:rPr>
          <w:rFonts w:ascii="宋体" w:hAnsi="宋体" w:eastAsia="宋体" w:cs="宋体"/>
          <w:color w:val="auto"/>
          <w:spacing w:val="-1"/>
          <w:sz w:val="24"/>
          <w:szCs w:val="24"/>
          <w:highlight w:val="none"/>
        </w:rPr>
        <w:t>为成交候选人并依次</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排序 </w:t>
      </w:r>
      <w:r>
        <w:rPr>
          <w:rFonts w:ascii="Times New Roman" w:hAnsi="Times New Roman" w:eastAsia="Times New Roman" w:cs="Times New Roman"/>
          <w:color w:val="auto"/>
          <w:spacing w:val="-1"/>
          <w:sz w:val="24"/>
          <w:szCs w:val="24"/>
          <w:highlight w:val="none"/>
        </w:rPr>
        <w:t>(</w:t>
      </w:r>
      <w:r>
        <w:rPr>
          <w:rFonts w:hint="eastAsia" w:ascii="Times New Roman" w:hAnsi="Times New Roman" w:eastAsia="Times New Roman" w:cs="Times New Roman"/>
          <w:color w:val="auto"/>
          <w:spacing w:val="-1"/>
          <w:sz w:val="24"/>
          <w:szCs w:val="24"/>
          <w:highlight w:val="none"/>
        </w:rPr>
        <w:t>最低报价不是成交的唯一标准</w:t>
      </w:r>
      <w:r>
        <w:rPr>
          <w:rFonts w:ascii="Times New Roman" w:hAnsi="Times New Roman" w:eastAsia="Times New Roman" w:cs="Times New Roman"/>
          <w:color w:val="auto"/>
          <w:spacing w:val="-1"/>
          <w:sz w:val="24"/>
          <w:szCs w:val="24"/>
          <w:highlight w:val="none"/>
        </w:rPr>
        <w:t xml:space="preserve">)  </w:t>
      </w:r>
      <w:r>
        <w:rPr>
          <w:rFonts w:ascii="宋体" w:hAnsi="宋体" w:eastAsia="宋体" w:cs="宋体"/>
          <w:color w:val="auto"/>
          <w:spacing w:val="-1"/>
          <w:sz w:val="24"/>
          <w:szCs w:val="24"/>
          <w:highlight w:val="none"/>
        </w:rPr>
        <w:t>。</w:t>
      </w:r>
    </w:p>
    <w:p w14:paraId="3B1E5FBD">
      <w:pPr>
        <w:spacing w:before="43" w:line="360" w:lineRule="auto"/>
        <w:ind w:left="48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二、评审程序</w:t>
      </w:r>
    </w:p>
    <w:p w14:paraId="5D37FB44">
      <w:pPr>
        <w:spacing w:before="180" w:line="360" w:lineRule="auto"/>
        <w:ind w:left="1" w:right="264" w:firstLine="5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按照竞争性磋商响应文件初审、澄清有关问题、</w:t>
      </w:r>
      <w:r>
        <w:rPr>
          <w:rFonts w:ascii="宋体" w:hAnsi="宋体" w:eastAsia="宋体" w:cs="宋体"/>
          <w:color w:val="auto"/>
          <w:spacing w:val="-2"/>
          <w:sz w:val="24"/>
          <w:szCs w:val="24"/>
          <w:highlight w:val="none"/>
        </w:rPr>
        <w:t>分别磋商、二次报价、比较与评审、</w:t>
      </w:r>
      <w:r>
        <w:rPr>
          <w:rFonts w:ascii="宋体" w:hAnsi="宋体" w:eastAsia="宋体" w:cs="宋体"/>
          <w:color w:val="auto"/>
          <w:sz w:val="24"/>
          <w:szCs w:val="24"/>
          <w:highlight w:val="none"/>
        </w:rPr>
        <w:t xml:space="preserve"> 推荐成交候选人名单。在上一步评审中被认定为无效磋商者</w:t>
      </w:r>
      <w:r>
        <w:rPr>
          <w:rFonts w:ascii="宋体" w:hAnsi="宋体" w:eastAsia="宋体" w:cs="宋体"/>
          <w:color w:val="auto"/>
          <w:spacing w:val="-1"/>
          <w:sz w:val="24"/>
          <w:szCs w:val="24"/>
          <w:highlight w:val="none"/>
        </w:rPr>
        <w:t>，不进入下一步的评审。</w:t>
      </w:r>
    </w:p>
    <w:p w14:paraId="55309F1B">
      <w:pPr>
        <w:spacing w:before="34" w:line="360" w:lineRule="auto"/>
        <w:ind w:left="488"/>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w:t>
      </w:r>
      <w:r>
        <w:rPr>
          <w:rFonts w:ascii="Times New Roman" w:hAnsi="Times New Roman" w:eastAsia="Times New Roman" w:cs="Times New Roman"/>
          <w:b/>
          <w:bCs/>
          <w:color w:val="auto"/>
          <w:spacing w:val="-33"/>
          <w:sz w:val="24"/>
          <w:szCs w:val="24"/>
          <w:highlight w:val="none"/>
        </w:rPr>
        <w:t xml:space="preserve"> </w:t>
      </w:r>
      <w:r>
        <w:rPr>
          <w:rFonts w:ascii="宋体" w:hAnsi="宋体" w:eastAsia="宋体" w:cs="宋体"/>
          <w:b/>
          <w:bCs/>
          <w:color w:val="auto"/>
          <w:spacing w:val="-5"/>
          <w:sz w:val="24"/>
          <w:szCs w:val="24"/>
          <w:highlight w:val="none"/>
        </w:rPr>
        <w:t>、对磋商响应文件的初审：</w:t>
      </w:r>
    </w:p>
    <w:p w14:paraId="7A1B1A78">
      <w:pPr>
        <w:spacing w:before="182" w:line="360" w:lineRule="auto"/>
        <w:ind w:left="54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  </w:t>
      </w:r>
      <w:r>
        <w:rPr>
          <w:rFonts w:ascii="宋体" w:hAnsi="宋体" w:eastAsia="宋体" w:cs="宋体"/>
          <w:color w:val="auto"/>
          <w:spacing w:val="-2"/>
          <w:sz w:val="24"/>
          <w:szCs w:val="24"/>
          <w:highlight w:val="none"/>
        </w:rPr>
        <w:t>资格性审查。评</w:t>
      </w:r>
      <w:r>
        <w:rPr>
          <w:rFonts w:hint="eastAsia" w:ascii="宋体" w:hAnsi="宋体" w:eastAsia="宋体" w:cs="宋体"/>
          <w:color w:val="auto"/>
          <w:spacing w:val="-2"/>
          <w:sz w:val="24"/>
          <w:szCs w:val="24"/>
          <w:highlight w:val="none"/>
          <w:lang w:val="en-US" w:eastAsia="zh-CN"/>
        </w:rPr>
        <w:t>审</w:t>
      </w:r>
      <w:r>
        <w:rPr>
          <w:rFonts w:ascii="宋体" w:hAnsi="宋体" w:eastAsia="宋体" w:cs="宋体"/>
          <w:color w:val="auto"/>
          <w:spacing w:val="-2"/>
          <w:sz w:val="24"/>
          <w:szCs w:val="24"/>
          <w:highlight w:val="none"/>
        </w:rPr>
        <w:t>细则见附表</w:t>
      </w:r>
    </w:p>
    <w:p w14:paraId="7D6A2247">
      <w:pPr>
        <w:spacing w:before="181" w:line="360" w:lineRule="auto"/>
        <w:ind w:left="54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1.2  </w:t>
      </w:r>
      <w:r>
        <w:rPr>
          <w:rFonts w:ascii="宋体" w:hAnsi="宋体" w:eastAsia="宋体" w:cs="宋体"/>
          <w:color w:val="auto"/>
          <w:spacing w:val="-2"/>
          <w:sz w:val="24"/>
          <w:szCs w:val="24"/>
          <w:highlight w:val="none"/>
        </w:rPr>
        <w:t>符合性审查。评</w:t>
      </w:r>
      <w:r>
        <w:rPr>
          <w:rFonts w:hint="eastAsia" w:ascii="宋体" w:hAnsi="宋体" w:eastAsia="宋体" w:cs="宋体"/>
          <w:color w:val="auto"/>
          <w:spacing w:val="-2"/>
          <w:sz w:val="24"/>
          <w:szCs w:val="24"/>
          <w:highlight w:val="none"/>
          <w:lang w:val="en-US" w:eastAsia="zh-CN"/>
        </w:rPr>
        <w:t>审</w:t>
      </w:r>
      <w:r>
        <w:rPr>
          <w:rFonts w:ascii="宋体" w:hAnsi="宋体" w:eastAsia="宋体" w:cs="宋体"/>
          <w:color w:val="auto"/>
          <w:spacing w:val="-2"/>
          <w:sz w:val="24"/>
          <w:szCs w:val="24"/>
          <w:highlight w:val="none"/>
        </w:rPr>
        <w:t>细则见附表</w:t>
      </w:r>
    </w:p>
    <w:p w14:paraId="4669C98A">
      <w:pPr>
        <w:spacing w:before="184" w:line="360" w:lineRule="auto"/>
        <w:ind w:left="485"/>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2</w:t>
      </w:r>
      <w:r>
        <w:rPr>
          <w:rFonts w:ascii="Times New Roman" w:hAnsi="Times New Roman" w:eastAsia="Times New Roman" w:cs="Times New Roman"/>
          <w:b/>
          <w:bCs/>
          <w:color w:val="auto"/>
          <w:spacing w:val="-28"/>
          <w:sz w:val="24"/>
          <w:szCs w:val="24"/>
          <w:highlight w:val="none"/>
        </w:rPr>
        <w:t xml:space="preserve"> </w:t>
      </w:r>
      <w:r>
        <w:rPr>
          <w:rFonts w:ascii="宋体" w:hAnsi="宋体" w:eastAsia="宋体" w:cs="宋体"/>
          <w:b/>
          <w:bCs/>
          <w:color w:val="auto"/>
          <w:spacing w:val="-5"/>
          <w:sz w:val="24"/>
          <w:szCs w:val="24"/>
          <w:highlight w:val="none"/>
        </w:rPr>
        <w:t>、磋商响应文件的澄清</w:t>
      </w:r>
    </w:p>
    <w:p w14:paraId="77689FE8">
      <w:pPr>
        <w:spacing w:before="181" w:line="360" w:lineRule="auto"/>
        <w:ind w:right="200" w:firstLine="483"/>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2.1  </w:t>
      </w:r>
      <w:r>
        <w:rPr>
          <w:rFonts w:ascii="宋体" w:hAnsi="宋体" w:eastAsia="宋体" w:cs="宋体"/>
          <w:color w:val="auto"/>
          <w:spacing w:val="-3"/>
          <w:sz w:val="24"/>
          <w:szCs w:val="24"/>
          <w:highlight w:val="none"/>
        </w:rPr>
        <w:t>磋商小组发现供应商的报价明显低于其他磋商报价、或明显低于市场价格，使得其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磋商报价可能低于其成本的，有可能影响产品</w:t>
      </w:r>
      <w:r>
        <w:rPr>
          <w:rFonts w:ascii="宋体" w:hAnsi="宋体" w:eastAsia="宋体" w:cs="宋体"/>
          <w:color w:val="auto"/>
          <w:spacing w:val="-2"/>
          <w:sz w:val="24"/>
          <w:szCs w:val="24"/>
          <w:highlight w:val="none"/>
        </w:rPr>
        <w:t>质量或者不能诚信履约的，应当要求其在合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理的时间内做出书面说明并提交相关证明材料</w:t>
      </w:r>
      <w:r>
        <w:rPr>
          <w:rFonts w:ascii="宋体" w:hAnsi="宋体" w:eastAsia="宋体" w:cs="宋体"/>
          <w:color w:val="auto"/>
          <w:spacing w:val="-2"/>
          <w:sz w:val="24"/>
          <w:szCs w:val="24"/>
          <w:highlight w:val="none"/>
        </w:rPr>
        <w:t>。供应商不能证明其报价合理性的，由磋商</w:t>
      </w:r>
      <w:r>
        <w:rPr>
          <w:rFonts w:ascii="宋体" w:hAnsi="宋体" w:eastAsia="宋体" w:cs="宋体"/>
          <w:color w:val="auto"/>
          <w:sz w:val="24"/>
          <w:szCs w:val="24"/>
          <w:highlight w:val="none"/>
        </w:rPr>
        <w:t xml:space="preserve"> 小组认定该供应商以低于成本报价竞标，将</w:t>
      </w:r>
      <w:r>
        <w:rPr>
          <w:rFonts w:ascii="宋体" w:hAnsi="宋体" w:eastAsia="宋体" w:cs="宋体"/>
          <w:color w:val="auto"/>
          <w:spacing w:val="-1"/>
          <w:sz w:val="24"/>
          <w:szCs w:val="24"/>
          <w:highlight w:val="none"/>
        </w:rPr>
        <w:t>其作为无效响应处理。</w:t>
      </w:r>
    </w:p>
    <w:p w14:paraId="57B67257">
      <w:pPr>
        <w:spacing w:before="182" w:line="360" w:lineRule="auto"/>
        <w:jc w:val="right"/>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2.2  </w:t>
      </w:r>
      <w:r>
        <w:rPr>
          <w:rFonts w:ascii="宋体" w:hAnsi="宋体" w:eastAsia="宋体" w:cs="宋体"/>
          <w:color w:val="auto"/>
          <w:spacing w:val="-4"/>
          <w:sz w:val="24"/>
          <w:szCs w:val="24"/>
          <w:highlight w:val="none"/>
        </w:rPr>
        <w:t>有效的书面澄清材料，是磋商响应文件的补充材料，成为磋商响应文件的组成部分。</w:t>
      </w:r>
    </w:p>
    <w:p w14:paraId="2CC5B950">
      <w:pPr>
        <w:spacing w:before="184" w:line="360" w:lineRule="auto"/>
        <w:ind w:right="200" w:firstLine="477"/>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3</w:t>
      </w:r>
      <w:r>
        <w:rPr>
          <w:rFonts w:ascii="Times New Roman" w:hAnsi="Times New Roman" w:eastAsia="Times New Roman" w:cs="Times New Roman"/>
          <w:b/>
          <w:bCs/>
          <w:color w:val="auto"/>
          <w:spacing w:val="-34"/>
          <w:sz w:val="24"/>
          <w:szCs w:val="24"/>
          <w:highlight w:val="none"/>
        </w:rPr>
        <w:t xml:space="preserve"> </w:t>
      </w:r>
      <w:r>
        <w:rPr>
          <w:rFonts w:ascii="宋体" w:hAnsi="宋体" w:eastAsia="宋体" w:cs="宋体"/>
          <w:b/>
          <w:bCs/>
          <w:color w:val="auto"/>
          <w:spacing w:val="-2"/>
          <w:sz w:val="24"/>
          <w:szCs w:val="24"/>
          <w:highlight w:val="none"/>
        </w:rPr>
        <w:t>、磋商：</w:t>
      </w:r>
      <w:r>
        <w:rPr>
          <w:rFonts w:ascii="宋体" w:hAnsi="宋体" w:eastAsia="宋体" w:cs="宋体"/>
          <w:color w:val="auto"/>
          <w:spacing w:val="-2"/>
          <w:sz w:val="24"/>
          <w:szCs w:val="24"/>
          <w:highlight w:val="none"/>
        </w:rPr>
        <w:t>磋商小组所有成员集中与单一供应</w:t>
      </w:r>
      <w:r>
        <w:rPr>
          <w:rFonts w:ascii="宋体" w:hAnsi="宋体" w:eastAsia="宋体" w:cs="宋体"/>
          <w:color w:val="auto"/>
          <w:spacing w:val="-3"/>
          <w:sz w:val="24"/>
          <w:szCs w:val="24"/>
          <w:highlight w:val="none"/>
        </w:rPr>
        <w:t>商分别进行磋商，并要求供应商在规定的</w:t>
      </w:r>
      <w:r>
        <w:rPr>
          <w:rFonts w:ascii="宋体" w:hAnsi="宋体" w:eastAsia="宋体" w:cs="宋体"/>
          <w:color w:val="auto"/>
          <w:sz w:val="24"/>
          <w:szCs w:val="24"/>
          <w:highlight w:val="none"/>
        </w:rPr>
        <w:t xml:space="preserve"> 时间内提交最后报价。在磋商过程中，磋商小组可以根据磋商文件</w:t>
      </w:r>
      <w:r>
        <w:rPr>
          <w:rFonts w:ascii="宋体" w:hAnsi="宋体" w:eastAsia="宋体" w:cs="宋体"/>
          <w:color w:val="auto"/>
          <w:spacing w:val="-1"/>
          <w:sz w:val="24"/>
          <w:szCs w:val="24"/>
          <w:highlight w:val="none"/>
        </w:rPr>
        <w:t>和磋商情况实质性变动</w:t>
      </w:r>
      <w:r>
        <w:rPr>
          <w:rFonts w:ascii="宋体" w:hAnsi="宋体" w:eastAsia="宋体" w:cs="宋体"/>
          <w:color w:val="auto"/>
          <w:sz w:val="24"/>
          <w:szCs w:val="24"/>
          <w:highlight w:val="none"/>
        </w:rPr>
        <w:t xml:space="preserve"> 采购需求中的技术、服务要求以及合同草案条款，但不得变动磋商</w:t>
      </w:r>
      <w:r>
        <w:rPr>
          <w:rFonts w:ascii="宋体" w:hAnsi="宋体" w:eastAsia="宋体" w:cs="宋体"/>
          <w:color w:val="auto"/>
          <w:spacing w:val="-1"/>
          <w:sz w:val="24"/>
          <w:szCs w:val="24"/>
          <w:highlight w:val="none"/>
        </w:rPr>
        <w:t>文件中的其它内容。实</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质性变动得内容，需经采购人代表确认。</w:t>
      </w:r>
    </w:p>
    <w:p w14:paraId="5D62450D">
      <w:pPr>
        <w:spacing w:before="183" w:line="360" w:lineRule="auto"/>
        <w:ind w:left="2" w:right="88" w:firstLine="47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4</w:t>
      </w:r>
      <w:r>
        <w:rPr>
          <w:rFonts w:ascii="Times New Roman" w:hAnsi="Times New Roman" w:eastAsia="Times New Roman" w:cs="Times New Roman"/>
          <w:b/>
          <w:bCs/>
          <w:color w:val="auto"/>
          <w:spacing w:val="-17"/>
          <w:sz w:val="24"/>
          <w:szCs w:val="24"/>
          <w:highlight w:val="none"/>
        </w:rPr>
        <w:t xml:space="preserve"> </w:t>
      </w:r>
      <w:r>
        <w:rPr>
          <w:rFonts w:ascii="宋体" w:hAnsi="宋体" w:eastAsia="宋体" w:cs="宋体"/>
          <w:b/>
          <w:bCs/>
          <w:color w:val="auto"/>
          <w:spacing w:val="-3"/>
          <w:sz w:val="24"/>
          <w:szCs w:val="24"/>
          <w:highlight w:val="none"/>
        </w:rPr>
        <w:t>、综合评审：</w:t>
      </w:r>
      <w:r>
        <w:rPr>
          <w:rFonts w:ascii="宋体" w:hAnsi="宋体" w:eastAsia="宋体" w:cs="宋体"/>
          <w:color w:val="auto"/>
          <w:spacing w:val="-3"/>
          <w:sz w:val="24"/>
          <w:szCs w:val="24"/>
          <w:highlight w:val="none"/>
        </w:rPr>
        <w:t>对于经初审合格的所有供应商，由磋商小组各成员依据磋商响应文件和</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最终报价，按照下列《评标要素和分值分解表》规定的内容独立进行综合评价、比较打分，</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然后汇总每个供应商的得分，从高到低依次排序，推荐</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候选人。</w:t>
      </w:r>
    </w:p>
    <w:p w14:paraId="2597771C">
      <w:pPr>
        <w:spacing w:before="184" w:line="360" w:lineRule="auto"/>
        <w:ind w:left="47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三、政策性扣减</w:t>
      </w:r>
    </w:p>
    <w:p w14:paraId="60CBA43E">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《政府采购促进中小企业发展管理办法》的通知--财库〔2020〕46号</w:t>
      </w:r>
    </w:p>
    <w:p w14:paraId="0FA0095B">
      <w:pPr>
        <w:shd w:val="clear"/>
        <w:spacing w:line="360" w:lineRule="auto"/>
        <w:ind w:firstLine="470" w:firstLineChars="19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）参加本项目的</w:t>
      </w:r>
      <w:r>
        <w:rPr>
          <w:rFonts w:hint="eastAsia" w:ascii="宋体" w:hAnsi="宋体" w:cs="Times New Roman"/>
          <w:color w:val="auto"/>
          <w:sz w:val="24"/>
          <w:szCs w:val="24"/>
          <w:highlight w:val="none"/>
          <w:lang w:val="en-US" w:eastAsia="zh-CN"/>
        </w:rPr>
        <w:t>中小</w:t>
      </w:r>
      <w:r>
        <w:rPr>
          <w:rFonts w:hint="eastAsia" w:ascii="宋体" w:hAnsi="宋体" w:eastAsia="宋体" w:cs="Times New Roman"/>
          <w:color w:val="auto"/>
          <w:sz w:val="24"/>
          <w:szCs w:val="24"/>
          <w:highlight w:val="none"/>
        </w:rPr>
        <w:t>企业须提供《中小企业声明函》。</w:t>
      </w:r>
      <w:r>
        <w:rPr>
          <w:rFonts w:hint="eastAsia" w:ascii="宋体" w:hAnsi="宋体" w:eastAsia="宋体" w:cs="Times New Roman"/>
          <w:color w:val="auto"/>
          <w:sz w:val="24"/>
          <w:szCs w:val="24"/>
          <w:highlight w:val="none"/>
          <w:lang w:eastAsia="zh-CN"/>
        </w:rPr>
        <w:tab/>
      </w:r>
    </w:p>
    <w:p w14:paraId="4368D6BA">
      <w:pPr>
        <w:shd w:val="clea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）中小企业按《政府采购促进中小企业发展</w:t>
      </w:r>
      <w:r>
        <w:rPr>
          <w:rFonts w:hint="eastAsia" w:ascii="宋体" w:hAnsi="宋体" w:eastAsia="宋体" w:cs="Times New Roman"/>
          <w:color w:val="auto"/>
          <w:sz w:val="24"/>
          <w:szCs w:val="24"/>
          <w:highlight w:val="none"/>
          <w:lang w:val="en-US" w:eastAsia="zh-CN"/>
        </w:rPr>
        <w:t>政策性问答</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专门面向中小微企业采购的项目或者采购包，不再执行价格评审优惠的扶持政策。</w:t>
      </w:r>
    </w:p>
    <w:p w14:paraId="714EB070">
      <w:pPr>
        <w:shd w:val="clear"/>
        <w:tabs>
          <w:tab w:val="left" w:pos="6843"/>
        </w:tabs>
        <w:spacing w:line="360" w:lineRule="auto"/>
        <w:ind w:firstLine="470" w:firstLineChars="19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、监狱企业的价格评分标准</w:t>
      </w:r>
      <w:r>
        <w:rPr>
          <w:rFonts w:hint="eastAsia" w:ascii="宋体" w:hAnsi="宋体" w:cs="Times New Roman"/>
          <w:color w:val="auto"/>
          <w:sz w:val="24"/>
          <w:szCs w:val="24"/>
          <w:highlight w:val="none"/>
          <w:lang w:eastAsia="zh-CN"/>
        </w:rPr>
        <w:tab/>
      </w:r>
    </w:p>
    <w:p w14:paraId="4930F472">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（1）在政府采购活动中，监狱企业视同小型、微型企业，享受预留份额、评审中价格扣除等政府采购促进中小企业发展的政府采购政策。</w:t>
      </w:r>
    </w:p>
    <w:p w14:paraId="10DE24BB">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（2）监狱企业属于小型、微型企业的，不重复享受政策。</w:t>
      </w:r>
    </w:p>
    <w:p w14:paraId="5F1D28C2">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（3）监狱企业参加政府采购活动时，应当提供由省级以上监狱管理局、戒毒管理局（含新疆生产建设兵团）出具的属于监狱企业的证明文件。</w:t>
      </w:r>
    </w:p>
    <w:p w14:paraId="5B30B6AE">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（4）监狱企业按《财政部、司法部关于政府采购支持监狱企业发展有关问题的通知》（财库〔2014〕68号）文件规定标准执行。</w:t>
      </w:r>
    </w:p>
    <w:p w14:paraId="28742FA8">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3、残疾人福利性单位的价格评分标准</w:t>
      </w:r>
    </w:p>
    <w:p w14:paraId="5F14A264">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（1）在政府采购活动中，残疾人福利性单位视同小型、微型企业，享受预留份额、评审中价格扣除等政府采购促进中小企业发展的政府采购政策。</w:t>
      </w:r>
    </w:p>
    <w:p w14:paraId="3A53EABD">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（2）残疾人福利性单位属于小型、微型企业的，不重复享受政策。</w:t>
      </w:r>
    </w:p>
    <w:p w14:paraId="24AB2868">
      <w:pPr>
        <w:shd w:val="clea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14:paraId="4040713A">
      <w:pPr>
        <w:adjustRightInd w:val="0"/>
        <w:spacing w:line="360" w:lineRule="auto"/>
        <w:jc w:val="left"/>
        <w:textAlignment w:val="baseline"/>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、补充部分</w:t>
      </w:r>
      <w:r>
        <w:rPr>
          <w:rFonts w:hint="eastAsia" w:ascii="宋体" w:hAnsi="宋体" w:cs="宋体"/>
          <w:b/>
          <w:color w:val="auto"/>
          <w:kern w:val="0"/>
          <w:sz w:val="24"/>
          <w:szCs w:val="24"/>
          <w:highlight w:val="none"/>
          <w:lang w:eastAsia="zh-CN"/>
        </w:rPr>
        <w:t>：</w:t>
      </w:r>
    </w:p>
    <w:p w14:paraId="21A3A63F">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5.1</w:t>
      </w:r>
      <w:r>
        <w:rPr>
          <w:rFonts w:hint="eastAsia" w:ascii="宋体" w:hAnsi="宋体" w:cs="宋体"/>
          <w:color w:val="auto"/>
          <w:kern w:val="0"/>
          <w:sz w:val="24"/>
          <w:szCs w:val="24"/>
          <w:highlight w:val="none"/>
        </w:rPr>
        <w:t>在磋商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如果供应商在澄清规定期限内，未能答复或拒绝答复磋商小组提出的澄清要求，将由磋商小组根据其竞争性磋商响应文件按最大风险进行评审。</w:t>
      </w:r>
    </w:p>
    <w:p w14:paraId="117A2A7E">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5.2</w:t>
      </w:r>
      <w:r>
        <w:rPr>
          <w:rFonts w:hint="eastAsia" w:ascii="宋体" w:hAnsi="宋体" w:cs="宋体"/>
          <w:color w:val="auto"/>
          <w:kern w:val="0"/>
          <w:sz w:val="24"/>
          <w:szCs w:val="24"/>
          <w:highlight w:val="none"/>
        </w:rPr>
        <w:t>在磋商过程中，响应文件有下列情况之一，磋商小组成员应当按照磋商文件规定的非实质性偏离进行扣分：</w:t>
      </w:r>
    </w:p>
    <w:p w14:paraId="7EE1A73D">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）文字表述的内容含义不明确，或者同类问题表述不一致，或者有明显文字和计算错误，或者提供的技术信息和数据资料不完整，</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拒不或在规定的时间内没有进行澄清、说明或补正或澄清、说明、补正的内容也不能说明问题的；</w:t>
      </w:r>
    </w:p>
    <w:p w14:paraId="69BE641F">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）磋商响应文件未按磋商文件要求编制目录、页码；</w:t>
      </w:r>
    </w:p>
    <w:p w14:paraId="56BCCD7B">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）认定的与磋商文件第四章规定的要求和其他规定要求不符的非实质性偏离。</w:t>
      </w:r>
    </w:p>
    <w:p w14:paraId="46B2ACDD">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）认定的其他非实质性偏离。</w:t>
      </w:r>
    </w:p>
    <w:p w14:paraId="3EE4BD58">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5.3 </w:t>
      </w:r>
      <w:r>
        <w:rPr>
          <w:rFonts w:hint="eastAsia" w:ascii="宋体" w:hAnsi="宋体" w:cs="宋体"/>
          <w:color w:val="auto"/>
          <w:kern w:val="0"/>
          <w:sz w:val="24"/>
          <w:szCs w:val="24"/>
          <w:highlight w:val="none"/>
        </w:rPr>
        <w:t>如发现下列情况之一的，其磋商将构成非实质性响应，按无效磋商处理：</w:t>
      </w:r>
    </w:p>
    <w:p w14:paraId="22C556B6">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）没有按照竞争性磋商文件要求提供的竞争性磋商响应文件或竞争性磋商响应文件构成有重大缺项；</w:t>
      </w:r>
    </w:p>
    <w:p w14:paraId="69C9EAAC">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）竞争性磋商响应文件未按竞争性磋商文件要求签署、盖章的；</w:t>
      </w:r>
    </w:p>
    <w:p w14:paraId="7021638C">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）资格证明文件不全的或无效的或不符合国家规定的；</w:t>
      </w:r>
    </w:p>
    <w:p w14:paraId="66B0E5CC">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）无磋商有效期或有效期达不到竞争性磋商文件要求的；</w:t>
      </w:r>
    </w:p>
    <w:p w14:paraId="51151222">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）存在有重大缺漏项；</w:t>
      </w:r>
    </w:p>
    <w:p w14:paraId="07615F68">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）供应商有串通磋商、以他人名义磋商、行贿、提供虚假证明（包括第三方提供的虚假证明），开具虚假资质，出现虚假应答的，除按无效文件处理外，还将按照政府采购的有关规定进行处罚；</w:t>
      </w:r>
    </w:p>
    <w:p w14:paraId="225E6C33">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）磋商报价超过竞争性磋商文件公布的采购预算的；</w:t>
      </w:r>
    </w:p>
    <w:p w14:paraId="3325367E">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）竞争性磋商响应文件含有采购人不能接受的附加条件的；</w:t>
      </w:r>
    </w:p>
    <w:p w14:paraId="5FE07A04">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）供应商被列入失信被执行人、重大税收违法案件当事人名单、政府采购严重违法失信行为记录名单的；</w:t>
      </w:r>
    </w:p>
    <w:p w14:paraId="39E21B8E">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）法律、法规规定的其他无效情形。</w:t>
      </w:r>
    </w:p>
    <w:p w14:paraId="2C43CF7F">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5.4 </w:t>
      </w:r>
      <w:r>
        <w:rPr>
          <w:rFonts w:hint="eastAsia" w:ascii="宋体" w:hAnsi="宋体" w:cs="宋体"/>
          <w:color w:val="auto"/>
          <w:kern w:val="0"/>
          <w:sz w:val="24"/>
          <w:szCs w:val="24"/>
          <w:highlight w:val="none"/>
        </w:rPr>
        <w:t>书写错误的评审标准：</w:t>
      </w:r>
    </w:p>
    <w:p w14:paraId="3C609191">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5.4.1</w:t>
      </w:r>
      <w:r>
        <w:rPr>
          <w:rFonts w:hint="eastAsia" w:ascii="宋体" w:hAnsi="宋体" w:cs="宋体"/>
          <w:color w:val="auto"/>
          <w:kern w:val="0"/>
          <w:sz w:val="24"/>
          <w:szCs w:val="24"/>
          <w:highlight w:val="none"/>
          <w:lang w:val="en-US" w:eastAsia="zh-CN"/>
        </w:rPr>
        <w:t>磋商小组</w:t>
      </w:r>
      <w:r>
        <w:rPr>
          <w:rFonts w:hint="eastAsia" w:ascii="宋体" w:hAnsi="宋体" w:cs="宋体"/>
          <w:color w:val="auto"/>
          <w:kern w:val="0"/>
          <w:sz w:val="24"/>
          <w:szCs w:val="24"/>
          <w:highlight w:val="none"/>
        </w:rPr>
        <w:t>在评标过程中，发现磋商响应文件出现下列情况之一者，按以下原则修正：</w:t>
      </w:r>
    </w:p>
    <w:p w14:paraId="2D671669">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）磋商响应文件有关内容与“报价一览表”不一致的，以“报价一览表”为准；</w:t>
      </w:r>
    </w:p>
    <w:p w14:paraId="042DCEA2">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）大写金额与小写金额不一致的，以大写金额为准；</w:t>
      </w:r>
    </w:p>
    <w:p w14:paraId="44B90140">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）单价金额小数点或者百分比有明显错位的，以“报价一览表”的总价为准，并修改单价；</w:t>
      </w:r>
    </w:p>
    <w:p w14:paraId="5AC4509B">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）总价金额与按单价汇总金额不一致的，以单价乘以数量的计算结果为准；</w:t>
      </w:r>
    </w:p>
    <w:p w14:paraId="11D08122">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）磋商响应文件图表与文字不符时，以文字为准；</w:t>
      </w:r>
    </w:p>
    <w:p w14:paraId="0E75C6A7">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）磋商响应文件正本与副本不符时，以正本为准；</w:t>
      </w:r>
    </w:p>
    <w:p w14:paraId="7124E5D3">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）对不同文字文本磋商响应文件的解释发生异议的，以中文文本为准；</w:t>
      </w:r>
    </w:p>
    <w:p w14:paraId="5321621E">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）多处内容交叉不符时，以</w:t>
      </w:r>
      <w:r>
        <w:rPr>
          <w:rFonts w:hint="eastAsia" w:ascii="宋体" w:hAnsi="宋体" w:cs="宋体"/>
          <w:color w:val="auto"/>
          <w:kern w:val="0"/>
          <w:sz w:val="24"/>
          <w:szCs w:val="24"/>
          <w:highlight w:val="none"/>
          <w:lang w:val="en-US" w:eastAsia="zh-CN"/>
        </w:rPr>
        <w:t>磋商小组</w:t>
      </w:r>
      <w:r>
        <w:rPr>
          <w:rFonts w:hint="eastAsia" w:ascii="宋体" w:hAnsi="宋体" w:cs="宋体"/>
          <w:color w:val="auto"/>
          <w:kern w:val="0"/>
          <w:sz w:val="24"/>
          <w:szCs w:val="24"/>
          <w:highlight w:val="none"/>
        </w:rPr>
        <w:t>评审结果为准。</w:t>
      </w:r>
    </w:p>
    <w:p w14:paraId="47ED403B">
      <w:pPr>
        <w:adjustRightInd w:val="0"/>
        <w:spacing w:line="360" w:lineRule="auto"/>
        <w:ind w:firstLine="240" w:firstLineChars="1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5.4.2</w:t>
      </w:r>
      <w:r>
        <w:rPr>
          <w:rFonts w:hint="eastAsia" w:ascii="宋体" w:hAnsi="宋体" w:cs="宋体"/>
          <w:color w:val="auto"/>
          <w:kern w:val="0"/>
          <w:sz w:val="24"/>
          <w:szCs w:val="24"/>
          <w:highlight w:val="none"/>
        </w:rPr>
        <w:t>磋商响应文件报价出现前后不一致的，按照下列规定修正：</w:t>
      </w:r>
    </w:p>
    <w:p w14:paraId="1826F690">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）磋商响应文件中报价一览表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内容与磋商响应文件中相应内容不一致的，以报价一览表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为准；如果单独密封的报价一览表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与磋商响应文件正本的报价一览表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不一致，以单独密封的报价一览表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为准。</w:t>
      </w:r>
    </w:p>
    <w:p w14:paraId="261FE031">
      <w:pPr>
        <w:spacing w:line="360" w:lineRule="auto"/>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）磋商响应文件的大写金额和小写金额不一致的，以大写金额为准；</w:t>
      </w:r>
    </w:p>
    <w:p w14:paraId="6D9DFCD7">
      <w:pPr>
        <w:spacing w:line="360" w:lineRule="auto"/>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）单价金额小数点或者百分比有明显错位的，以单独密封的报价一览表的总价为准，并修改单价；</w:t>
      </w:r>
    </w:p>
    <w:p w14:paraId="0B32F0F1">
      <w:pPr>
        <w:spacing w:line="360" w:lineRule="auto"/>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）总价金额与按单价汇总金额不一致的，以单价金额计算结果为准。</w:t>
      </w:r>
    </w:p>
    <w:p w14:paraId="68401BCA">
      <w:pPr>
        <w:spacing w:line="360" w:lineRule="auto"/>
        <w:ind w:right="-84" w:rightChars="-40" w:firstLine="480"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按上述修正的顺序和方法调整的报价应对报价人具有约束力。如果</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不接受修正后的价格，其</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将按无效报价处理。</w:t>
      </w:r>
    </w:p>
    <w:p w14:paraId="013BBE09">
      <w:pPr>
        <w:adjustRightInd w:val="0"/>
        <w:spacing w:line="360" w:lineRule="auto"/>
        <w:jc w:val="left"/>
        <w:textAlignment w:val="baseline"/>
        <w:rPr>
          <w:rFonts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、成交：</w:t>
      </w:r>
    </w:p>
    <w:p w14:paraId="425FAC20">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、磋商结果报告由磋商小组全体成员签字确认。</w:t>
      </w:r>
    </w:p>
    <w:p w14:paraId="58E42C2A">
      <w:pPr>
        <w:adjustRightInd w:val="0"/>
        <w:spacing w:line="360" w:lineRule="auto"/>
        <w:ind w:firstLine="480" w:firstLineChars="200"/>
        <w:jc w:val="left"/>
        <w:textAlignment w:val="baseline"/>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、采购人根据磋商结果报告中推荐的成交候选人确定成交供应商，以复函通知采购代理机构。</w:t>
      </w:r>
    </w:p>
    <w:p w14:paraId="5E95F661">
      <w:pPr>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br w:type="page"/>
      </w:r>
    </w:p>
    <w:p w14:paraId="274BA89B">
      <w:pPr>
        <w:spacing w:before="48" w:line="219" w:lineRule="auto"/>
        <w:ind w:left="3427"/>
        <w:rPr>
          <w:rFonts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六</w:t>
      </w:r>
      <w:r>
        <w:rPr>
          <w:rFonts w:ascii="宋体" w:hAnsi="宋体" w:eastAsia="宋体" w:cs="宋体"/>
          <w:b/>
          <w:bCs/>
          <w:color w:val="auto"/>
          <w:spacing w:val="-5"/>
          <w:sz w:val="28"/>
          <w:szCs w:val="28"/>
          <w:highlight w:val="none"/>
        </w:rPr>
        <w:t>、评审要素和分值分解表</w:t>
      </w:r>
    </w:p>
    <w:p w14:paraId="0606E873">
      <w:pPr>
        <w:spacing w:before="155" w:line="360" w:lineRule="auto"/>
        <w:ind w:left="149"/>
        <w:rPr>
          <w:rFonts w:ascii="Arial"/>
          <w:color w:val="auto"/>
          <w:sz w:val="24"/>
          <w:szCs w:val="24"/>
          <w:highlight w:val="none"/>
        </w:rPr>
      </w:pPr>
      <w:r>
        <w:rPr>
          <w:rFonts w:ascii="宋体" w:hAnsi="宋体" w:eastAsia="宋体" w:cs="宋体"/>
          <w:color w:val="auto"/>
          <w:spacing w:val="-4"/>
          <w:sz w:val="24"/>
          <w:szCs w:val="24"/>
          <w:highlight w:val="none"/>
        </w:rPr>
        <w:t>附表一：资格</w:t>
      </w:r>
      <w:r>
        <w:rPr>
          <w:rFonts w:hint="eastAsia" w:ascii="宋体" w:hAnsi="宋体" w:eastAsia="宋体" w:cs="宋体"/>
          <w:color w:val="auto"/>
          <w:spacing w:val="-4"/>
          <w:sz w:val="24"/>
          <w:szCs w:val="24"/>
          <w:highlight w:val="none"/>
          <w:lang w:val="en-US" w:eastAsia="zh-CN"/>
        </w:rPr>
        <w:t>审查要素表</w:t>
      </w:r>
    </w:p>
    <w:tbl>
      <w:tblPr>
        <w:tblStyle w:val="27"/>
        <w:tblW w:w="961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8810"/>
      </w:tblGrid>
      <w:tr w14:paraId="0F44D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04" w:type="dxa"/>
            <w:tcBorders>
              <w:top w:val="single" w:color="000000" w:sz="10" w:space="0"/>
              <w:left w:val="single" w:color="000000" w:sz="10" w:space="0"/>
            </w:tcBorders>
            <w:vAlign w:val="top"/>
          </w:tcPr>
          <w:p w14:paraId="374DB068">
            <w:pPr>
              <w:pStyle w:val="28"/>
              <w:spacing w:before="225" w:line="360" w:lineRule="auto"/>
              <w:ind w:left="183"/>
              <w:rPr>
                <w:color w:val="auto"/>
                <w:sz w:val="24"/>
                <w:szCs w:val="24"/>
                <w:highlight w:val="none"/>
              </w:rPr>
            </w:pPr>
            <w:r>
              <w:rPr>
                <w:b/>
                <w:bCs/>
                <w:color w:val="auto"/>
                <w:spacing w:val="4"/>
                <w:sz w:val="24"/>
                <w:szCs w:val="24"/>
                <w:highlight w:val="none"/>
              </w:rPr>
              <w:t>序号</w:t>
            </w:r>
          </w:p>
        </w:tc>
        <w:tc>
          <w:tcPr>
            <w:tcW w:w="8810" w:type="dxa"/>
            <w:tcBorders>
              <w:top w:val="single" w:color="000000" w:sz="10" w:space="0"/>
              <w:right w:val="single" w:color="000000" w:sz="10" w:space="0"/>
            </w:tcBorders>
            <w:vAlign w:val="top"/>
          </w:tcPr>
          <w:p w14:paraId="754B3F03">
            <w:pPr>
              <w:pStyle w:val="28"/>
              <w:spacing w:before="224" w:line="360" w:lineRule="auto"/>
              <w:ind w:left="3994"/>
              <w:rPr>
                <w:color w:val="auto"/>
                <w:sz w:val="24"/>
                <w:szCs w:val="24"/>
                <w:highlight w:val="none"/>
              </w:rPr>
            </w:pPr>
            <w:r>
              <w:rPr>
                <w:b/>
                <w:bCs/>
                <w:color w:val="auto"/>
                <w:spacing w:val="3"/>
                <w:sz w:val="24"/>
                <w:szCs w:val="24"/>
                <w:highlight w:val="none"/>
              </w:rPr>
              <w:t>审查内容</w:t>
            </w:r>
          </w:p>
        </w:tc>
      </w:tr>
      <w:tr w14:paraId="21FF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804" w:type="dxa"/>
            <w:tcBorders>
              <w:left w:val="single" w:color="000000" w:sz="10" w:space="0"/>
            </w:tcBorders>
            <w:vAlign w:val="top"/>
          </w:tcPr>
          <w:p w14:paraId="315E17C7">
            <w:pPr>
              <w:spacing w:line="360" w:lineRule="auto"/>
              <w:rPr>
                <w:rFonts w:ascii="Arial"/>
                <w:color w:val="auto"/>
                <w:sz w:val="24"/>
                <w:szCs w:val="24"/>
                <w:highlight w:val="none"/>
              </w:rPr>
            </w:pPr>
          </w:p>
          <w:p w14:paraId="7269478B">
            <w:pPr>
              <w:pStyle w:val="28"/>
              <w:spacing w:before="78" w:line="360" w:lineRule="auto"/>
              <w:ind w:left="351"/>
              <w:rPr>
                <w:color w:val="auto"/>
                <w:sz w:val="24"/>
                <w:szCs w:val="24"/>
                <w:highlight w:val="none"/>
              </w:rPr>
            </w:pPr>
            <w:r>
              <w:rPr>
                <w:color w:val="auto"/>
                <w:sz w:val="24"/>
                <w:szCs w:val="24"/>
                <w:highlight w:val="none"/>
              </w:rPr>
              <w:t>1</w:t>
            </w:r>
          </w:p>
        </w:tc>
        <w:tc>
          <w:tcPr>
            <w:tcW w:w="8810" w:type="dxa"/>
            <w:tcBorders>
              <w:right w:val="single" w:color="000000" w:sz="10" w:space="0"/>
            </w:tcBorders>
            <w:vAlign w:val="top"/>
          </w:tcPr>
          <w:p w14:paraId="0301BD58">
            <w:pPr>
              <w:pStyle w:val="28"/>
              <w:spacing w:before="206" w:line="360" w:lineRule="auto"/>
              <w:ind w:left="110" w:right="96" w:hanging="2"/>
              <w:rPr>
                <w:color w:val="auto"/>
                <w:sz w:val="24"/>
                <w:szCs w:val="24"/>
                <w:highlight w:val="none"/>
              </w:rPr>
            </w:pPr>
            <w:r>
              <w:rPr>
                <w:rFonts w:hint="eastAsia" w:ascii="微软雅黑" w:hAnsi="微软雅黑" w:eastAsia="微软雅黑" w:cs="微软雅黑"/>
                <w:i w:val="0"/>
                <w:iCs w:val="0"/>
                <w:caps w:val="0"/>
                <w:color w:val="auto"/>
                <w:spacing w:val="0"/>
                <w:sz w:val="21"/>
                <w:szCs w:val="21"/>
                <w:shd w:val="clear" w:fill="FFFFFF"/>
                <w:vertAlign w:val="baseline"/>
              </w:rPr>
              <w:t>具有独立承担民事责任能力的法人、其他组织或自然人，提供合法有效的统一社会信用代码营业执照（事业单位提供事业单位法人证书，自然人提供身份证明）；</w:t>
            </w:r>
          </w:p>
        </w:tc>
      </w:tr>
      <w:tr w14:paraId="1D3B0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left w:val="single" w:color="000000" w:sz="10" w:space="0"/>
            </w:tcBorders>
            <w:vAlign w:val="top"/>
          </w:tcPr>
          <w:p w14:paraId="5F6C61D5">
            <w:pPr>
              <w:spacing w:line="360" w:lineRule="auto"/>
              <w:rPr>
                <w:rFonts w:ascii="Arial"/>
                <w:color w:val="auto"/>
                <w:sz w:val="24"/>
                <w:szCs w:val="24"/>
                <w:highlight w:val="none"/>
              </w:rPr>
            </w:pPr>
          </w:p>
          <w:p w14:paraId="495423DC">
            <w:pPr>
              <w:pStyle w:val="28"/>
              <w:spacing w:before="78" w:line="360" w:lineRule="auto"/>
              <w:ind w:left="338"/>
              <w:rPr>
                <w:rFonts w:hint="eastAsia" w:eastAsia="宋体"/>
                <w:color w:val="auto"/>
                <w:sz w:val="24"/>
                <w:szCs w:val="24"/>
                <w:highlight w:val="none"/>
                <w:lang w:eastAsia="zh-CN"/>
              </w:rPr>
            </w:pPr>
            <w:r>
              <w:rPr>
                <w:rFonts w:hint="eastAsia"/>
                <w:color w:val="auto"/>
                <w:sz w:val="24"/>
                <w:szCs w:val="24"/>
                <w:highlight w:val="none"/>
                <w:lang w:val="en-US" w:eastAsia="zh-CN"/>
              </w:rPr>
              <w:t>2</w:t>
            </w:r>
          </w:p>
        </w:tc>
        <w:tc>
          <w:tcPr>
            <w:tcW w:w="8810" w:type="dxa"/>
            <w:tcBorders>
              <w:right w:val="single" w:color="000000" w:sz="10" w:space="0"/>
            </w:tcBorders>
            <w:vAlign w:val="top"/>
          </w:tcPr>
          <w:p w14:paraId="1BC67F3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jc w:val="both"/>
              <w:textAlignment w:val="baseline"/>
              <w:rPr>
                <w:color w:val="auto"/>
                <w:sz w:val="24"/>
                <w:szCs w:val="24"/>
                <w:highlight w:val="none"/>
              </w:rPr>
            </w:pPr>
            <w:r>
              <w:rPr>
                <w:rFonts w:hint="eastAsia" w:ascii="微软雅黑" w:hAnsi="微软雅黑" w:eastAsia="微软雅黑" w:cs="微软雅黑"/>
                <w:i w:val="0"/>
                <w:iCs w:val="0"/>
                <w:caps w:val="0"/>
                <w:color w:val="auto"/>
                <w:spacing w:val="0"/>
                <w:sz w:val="21"/>
                <w:szCs w:val="21"/>
                <w:shd w:val="clear" w:fill="FFFFFF"/>
                <w:vertAlign w:val="baseline"/>
              </w:rPr>
              <w:t>法定代表人授权书（附法定代表人、被授权人身份证复印件）及被授权人身份证（法定代表人直接参加投标会议，须提供法定代表人身份证明及身份证原件及复印件）；</w:t>
            </w:r>
          </w:p>
        </w:tc>
      </w:tr>
      <w:tr w14:paraId="550B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left w:val="single" w:color="000000" w:sz="10" w:space="0"/>
            </w:tcBorders>
            <w:vAlign w:val="top"/>
          </w:tcPr>
          <w:p w14:paraId="1B0E1C49">
            <w:pPr>
              <w:pStyle w:val="28"/>
              <w:spacing w:before="78" w:line="360" w:lineRule="auto"/>
              <w:ind w:left="338"/>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8810" w:type="dxa"/>
            <w:tcBorders>
              <w:right w:val="single" w:color="000000" w:sz="10" w:space="0"/>
            </w:tcBorders>
            <w:vAlign w:val="top"/>
          </w:tcPr>
          <w:p w14:paraId="62468A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jc w:val="both"/>
              <w:textAlignment w:val="baseline"/>
              <w:rPr>
                <w:rFonts w:hint="eastAsia" w:ascii="微软雅黑" w:hAnsi="微软雅黑" w:eastAsia="微软雅黑" w:cs="微软雅黑"/>
                <w:i w:val="0"/>
                <w:iCs w:val="0"/>
                <w:caps w:val="0"/>
                <w:color w:val="auto"/>
                <w:spacing w:val="0"/>
                <w:sz w:val="21"/>
                <w:szCs w:val="21"/>
                <w:shd w:val="clear" w:fill="FFFFFF"/>
                <w:vertAlign w:val="baseline"/>
              </w:rPr>
            </w:pPr>
            <w:r>
              <w:rPr>
                <w:rFonts w:hint="eastAsia" w:ascii="微软雅黑" w:hAnsi="微软雅黑" w:eastAsia="微软雅黑" w:cs="微软雅黑"/>
                <w:i w:val="0"/>
                <w:iCs w:val="0"/>
                <w:caps w:val="0"/>
                <w:color w:val="auto"/>
                <w:spacing w:val="0"/>
                <w:sz w:val="21"/>
                <w:szCs w:val="21"/>
                <w:shd w:val="clear" w:fill="FFFFFF"/>
                <w:vertAlign w:val="baseline"/>
                <w:lang w:eastAsia="zh-CN"/>
              </w:rPr>
              <w:t>项目负责人需具备中级</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及</w:t>
            </w:r>
            <w:r>
              <w:rPr>
                <w:rFonts w:hint="eastAsia" w:ascii="微软雅黑" w:hAnsi="微软雅黑" w:eastAsia="微软雅黑" w:cs="微软雅黑"/>
                <w:i w:val="0"/>
                <w:iCs w:val="0"/>
                <w:caps w:val="0"/>
                <w:color w:val="auto"/>
                <w:spacing w:val="0"/>
                <w:sz w:val="21"/>
                <w:szCs w:val="21"/>
                <w:shd w:val="clear" w:fill="FFFFFF"/>
                <w:vertAlign w:val="baseline"/>
                <w:lang w:eastAsia="zh-CN"/>
              </w:rPr>
              <w:t>以上气象类职称；</w:t>
            </w:r>
          </w:p>
        </w:tc>
      </w:tr>
      <w:tr w14:paraId="67D8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04" w:type="dxa"/>
            <w:tcBorders>
              <w:left w:val="single" w:color="000000" w:sz="10" w:space="0"/>
            </w:tcBorders>
            <w:vAlign w:val="top"/>
          </w:tcPr>
          <w:p w14:paraId="03911A70">
            <w:pPr>
              <w:pStyle w:val="28"/>
              <w:spacing w:before="271" w:line="360" w:lineRule="auto"/>
              <w:ind w:left="333"/>
              <w:rPr>
                <w:rFonts w:hint="eastAsia" w:eastAsia="宋体"/>
                <w:color w:val="auto"/>
                <w:sz w:val="24"/>
                <w:szCs w:val="24"/>
                <w:highlight w:val="none"/>
                <w:lang w:eastAsia="zh-CN"/>
              </w:rPr>
            </w:pPr>
            <w:r>
              <w:rPr>
                <w:rFonts w:hint="eastAsia"/>
                <w:color w:val="auto"/>
                <w:sz w:val="24"/>
                <w:szCs w:val="24"/>
                <w:highlight w:val="none"/>
                <w:lang w:val="en-US" w:eastAsia="zh-CN"/>
              </w:rPr>
              <w:t>4</w:t>
            </w:r>
          </w:p>
        </w:tc>
        <w:tc>
          <w:tcPr>
            <w:tcW w:w="8810" w:type="dxa"/>
            <w:tcBorders>
              <w:right w:val="single" w:color="000000" w:sz="10" w:space="0"/>
            </w:tcBorders>
            <w:vAlign w:val="top"/>
          </w:tcPr>
          <w:p w14:paraId="37824224">
            <w:pPr>
              <w:pStyle w:val="28"/>
              <w:spacing w:before="255" w:line="360" w:lineRule="auto"/>
              <w:ind w:left="108"/>
              <w:rPr>
                <w:color w:val="auto"/>
                <w:sz w:val="24"/>
                <w:szCs w:val="24"/>
                <w:highlight w:val="none"/>
              </w:rPr>
            </w:pPr>
            <w:r>
              <w:rPr>
                <w:rFonts w:hint="eastAsia" w:ascii="微软雅黑" w:hAnsi="微软雅黑" w:eastAsia="微软雅黑" w:cs="微软雅黑"/>
                <w:i w:val="0"/>
                <w:iCs w:val="0"/>
                <w:caps w:val="0"/>
                <w:color w:val="auto"/>
                <w:spacing w:val="0"/>
                <w:sz w:val="21"/>
                <w:szCs w:val="21"/>
                <w:shd w:val="clear" w:fill="FFFFFF"/>
                <w:vertAlign w:val="baseline"/>
              </w:rPr>
              <w:t>财务状况报告：提供投标人202</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4</w:t>
            </w:r>
            <w:r>
              <w:rPr>
                <w:rFonts w:hint="eastAsia" w:ascii="微软雅黑" w:hAnsi="微软雅黑" w:eastAsia="微软雅黑" w:cs="微软雅黑"/>
                <w:i w:val="0"/>
                <w:iCs w:val="0"/>
                <w:caps w:val="0"/>
                <w:color w:val="auto"/>
                <w:spacing w:val="0"/>
                <w:sz w:val="21"/>
                <w:szCs w:val="21"/>
                <w:shd w:val="clear" w:fill="FFFFFF"/>
                <w:vertAlign w:val="baseline"/>
              </w:rPr>
              <w:t>年度经审计的财务报告或在开标日期前6个月内其基本开户银行出具的资信证明和开户行许可证或基本存款账户信息；</w:t>
            </w:r>
          </w:p>
        </w:tc>
      </w:tr>
      <w:tr w14:paraId="73F8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04" w:type="dxa"/>
            <w:tcBorders>
              <w:left w:val="single" w:color="000000" w:sz="10" w:space="0"/>
            </w:tcBorders>
            <w:vAlign w:val="center"/>
          </w:tcPr>
          <w:p w14:paraId="6B49D55A">
            <w:pPr>
              <w:pStyle w:val="28"/>
              <w:spacing w:before="78" w:line="360" w:lineRule="auto"/>
              <w:ind w:left="338"/>
              <w:jc w:val="both"/>
              <w:rPr>
                <w:rFonts w:hint="eastAsia" w:eastAsia="宋体"/>
                <w:color w:val="auto"/>
                <w:sz w:val="24"/>
                <w:szCs w:val="24"/>
                <w:highlight w:val="none"/>
                <w:lang w:eastAsia="zh-CN"/>
              </w:rPr>
            </w:pPr>
            <w:r>
              <w:rPr>
                <w:rFonts w:hint="eastAsia"/>
                <w:color w:val="auto"/>
                <w:sz w:val="24"/>
                <w:szCs w:val="24"/>
                <w:highlight w:val="none"/>
                <w:lang w:val="en-US" w:eastAsia="zh-CN"/>
              </w:rPr>
              <w:t>5</w:t>
            </w:r>
          </w:p>
        </w:tc>
        <w:tc>
          <w:tcPr>
            <w:tcW w:w="8810" w:type="dxa"/>
            <w:tcBorders>
              <w:right w:val="single" w:color="000000" w:sz="10" w:space="0"/>
            </w:tcBorders>
            <w:vAlign w:val="center"/>
          </w:tcPr>
          <w:p w14:paraId="391D2195">
            <w:pPr>
              <w:pStyle w:val="28"/>
              <w:spacing w:before="218" w:line="360" w:lineRule="auto"/>
              <w:ind w:left="102" w:right="1" w:firstLine="3"/>
              <w:jc w:val="left"/>
              <w:rPr>
                <w:color w:val="auto"/>
                <w:sz w:val="24"/>
                <w:szCs w:val="24"/>
                <w:highlight w:val="none"/>
              </w:rPr>
            </w:pPr>
            <w:r>
              <w:rPr>
                <w:rFonts w:hint="eastAsia" w:ascii="微软雅黑" w:hAnsi="微软雅黑" w:eastAsia="微软雅黑" w:cs="微软雅黑"/>
                <w:i w:val="0"/>
                <w:iCs w:val="0"/>
                <w:caps w:val="0"/>
                <w:color w:val="auto"/>
                <w:spacing w:val="0"/>
                <w:sz w:val="21"/>
                <w:szCs w:val="21"/>
                <w:shd w:val="clear" w:fill="FFFFFF"/>
                <w:vertAlign w:val="baseline"/>
              </w:rPr>
              <w:t>税收缴纳证明：投标人提供近一年内已缴纳的至少一个月的纳税证明或完税证明（任意税种），纳税证明或完税证明上应有代收机构或税务机关的公章或业务专用章；（依法不需要缴纳税收的供应商应提供相关证明）；</w:t>
            </w:r>
          </w:p>
        </w:tc>
      </w:tr>
      <w:tr w14:paraId="1226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4" w:type="dxa"/>
            <w:tcBorders>
              <w:left w:val="single" w:color="000000" w:sz="10" w:space="0"/>
            </w:tcBorders>
            <w:vAlign w:val="center"/>
          </w:tcPr>
          <w:p w14:paraId="361569E7">
            <w:pPr>
              <w:pStyle w:val="28"/>
              <w:spacing w:before="272" w:line="360" w:lineRule="auto"/>
              <w:ind w:left="336"/>
              <w:jc w:val="both"/>
              <w:rPr>
                <w:rFonts w:hint="eastAsia" w:eastAsia="宋体"/>
                <w:color w:val="auto"/>
                <w:sz w:val="24"/>
                <w:szCs w:val="24"/>
                <w:highlight w:val="none"/>
                <w:lang w:eastAsia="zh-CN"/>
              </w:rPr>
            </w:pPr>
            <w:r>
              <w:rPr>
                <w:rFonts w:hint="eastAsia"/>
                <w:color w:val="auto"/>
                <w:sz w:val="24"/>
                <w:szCs w:val="24"/>
                <w:highlight w:val="none"/>
                <w:lang w:val="en-US" w:eastAsia="zh-CN"/>
              </w:rPr>
              <w:t>6</w:t>
            </w:r>
          </w:p>
        </w:tc>
        <w:tc>
          <w:tcPr>
            <w:tcW w:w="8810" w:type="dxa"/>
            <w:tcBorders>
              <w:right w:val="single" w:color="000000" w:sz="10" w:space="0"/>
            </w:tcBorders>
            <w:vAlign w:val="center"/>
          </w:tcPr>
          <w:p w14:paraId="6E47AE4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199" w:rightChars="95"/>
              <w:jc w:val="both"/>
              <w:textAlignment w:val="baseline"/>
              <w:rPr>
                <w:color w:val="auto"/>
                <w:sz w:val="24"/>
                <w:szCs w:val="24"/>
                <w:highlight w:val="none"/>
              </w:rPr>
            </w:pPr>
            <w:r>
              <w:rPr>
                <w:rFonts w:hint="eastAsia" w:ascii="微软雅黑" w:hAnsi="微软雅黑" w:eastAsia="微软雅黑" w:cs="微软雅黑"/>
                <w:i w:val="0"/>
                <w:iCs w:val="0"/>
                <w:caps w:val="0"/>
                <w:color w:val="auto"/>
                <w:spacing w:val="0"/>
                <w:sz w:val="21"/>
                <w:szCs w:val="21"/>
                <w:shd w:val="clear" w:fill="FFFFFF"/>
                <w:vertAlign w:val="baseline"/>
              </w:rPr>
              <w:t>社会保障资金缴纳证明：投标人提供近一年内已缴纳的至少一个月的社会保障资金缴存单据或社保机构开具的社会保险参保缴费情况证明，依法不需要缴纳社会保障资金的单位应提供相关证明材料；</w:t>
            </w:r>
          </w:p>
        </w:tc>
      </w:tr>
      <w:tr w14:paraId="32A4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04" w:type="dxa"/>
            <w:tcBorders>
              <w:left w:val="single" w:color="000000" w:sz="10" w:space="0"/>
            </w:tcBorders>
            <w:vAlign w:val="top"/>
          </w:tcPr>
          <w:p w14:paraId="544A4E0C">
            <w:pPr>
              <w:pStyle w:val="28"/>
              <w:spacing w:before="78" w:line="360" w:lineRule="auto"/>
              <w:ind w:left="339"/>
              <w:rPr>
                <w:rFonts w:hint="eastAsia" w:eastAsia="宋体"/>
                <w:color w:val="auto"/>
                <w:sz w:val="24"/>
                <w:szCs w:val="24"/>
                <w:highlight w:val="none"/>
                <w:lang w:eastAsia="zh-CN"/>
              </w:rPr>
            </w:pPr>
            <w:r>
              <w:rPr>
                <w:rFonts w:hint="eastAsia"/>
                <w:color w:val="auto"/>
                <w:sz w:val="24"/>
                <w:szCs w:val="24"/>
                <w:highlight w:val="none"/>
                <w:lang w:val="en-US" w:eastAsia="zh-CN"/>
              </w:rPr>
              <w:t>7</w:t>
            </w:r>
          </w:p>
        </w:tc>
        <w:tc>
          <w:tcPr>
            <w:tcW w:w="8810" w:type="dxa"/>
            <w:tcBorders>
              <w:right w:val="single" w:color="000000" w:sz="10" w:space="0"/>
            </w:tcBorders>
            <w:vAlign w:val="top"/>
          </w:tcPr>
          <w:p w14:paraId="1E47C26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exact"/>
              <w:ind w:right="0"/>
              <w:jc w:val="both"/>
              <w:textAlignment w:val="baseline"/>
              <w:rPr>
                <w:color w:val="auto"/>
                <w:sz w:val="24"/>
                <w:szCs w:val="24"/>
                <w:highlight w:val="none"/>
              </w:rPr>
            </w:pPr>
            <w:r>
              <w:rPr>
                <w:rFonts w:hint="eastAsia" w:ascii="微软雅黑" w:hAnsi="微软雅黑" w:eastAsia="微软雅黑" w:cs="微软雅黑"/>
                <w:i w:val="0"/>
                <w:iCs w:val="0"/>
                <w:caps w:val="0"/>
                <w:color w:val="333333"/>
                <w:spacing w:val="0"/>
                <w:sz w:val="21"/>
                <w:szCs w:val="21"/>
                <w:shd w:val="clear" w:fill="FFFFFF"/>
                <w:vertAlign w:val="baseline"/>
              </w:rPr>
              <w:t>投标人具备履行合同所必需的设备及专业技术能力的承诺；</w:t>
            </w:r>
          </w:p>
        </w:tc>
      </w:tr>
      <w:tr w14:paraId="04B6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04" w:type="dxa"/>
            <w:tcBorders>
              <w:left w:val="single" w:color="000000" w:sz="10" w:space="0"/>
            </w:tcBorders>
            <w:vAlign w:val="top"/>
          </w:tcPr>
          <w:p w14:paraId="26B27776">
            <w:pPr>
              <w:pStyle w:val="28"/>
              <w:spacing w:before="78" w:line="360" w:lineRule="auto"/>
              <w:ind w:firstLine="240" w:firstLineChars="100"/>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8</w:t>
            </w:r>
          </w:p>
        </w:tc>
        <w:tc>
          <w:tcPr>
            <w:tcW w:w="8810" w:type="dxa"/>
            <w:tcBorders>
              <w:right w:val="single" w:color="000000" w:sz="10" w:space="0"/>
            </w:tcBorders>
            <w:vAlign w:val="top"/>
          </w:tcPr>
          <w:p w14:paraId="5E85EC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exact"/>
              <w:ind w:right="0"/>
              <w:jc w:val="both"/>
              <w:textAlignment w:val="baseline"/>
              <w:rPr>
                <w:color w:val="auto"/>
                <w:sz w:val="24"/>
                <w:szCs w:val="24"/>
                <w:highlight w:val="none"/>
              </w:rPr>
            </w:pPr>
            <w:r>
              <w:rPr>
                <w:rFonts w:hint="eastAsia" w:ascii="微软雅黑" w:hAnsi="微软雅黑" w:eastAsia="微软雅黑" w:cs="微软雅黑"/>
                <w:i w:val="0"/>
                <w:iCs w:val="0"/>
                <w:caps w:val="0"/>
                <w:color w:val="333333"/>
                <w:spacing w:val="0"/>
                <w:sz w:val="21"/>
                <w:szCs w:val="21"/>
                <w:shd w:val="clear" w:fill="FFFFFF"/>
                <w:vertAlign w:val="baseline"/>
              </w:rPr>
              <w:t>参加本次投标前3年内，在经营活动中没有重大违法记录的书面声明；</w:t>
            </w:r>
          </w:p>
        </w:tc>
      </w:tr>
      <w:tr w14:paraId="14FC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04" w:type="dxa"/>
            <w:tcBorders>
              <w:left w:val="single" w:color="000000" w:sz="10" w:space="0"/>
            </w:tcBorders>
            <w:vAlign w:val="top"/>
          </w:tcPr>
          <w:p w14:paraId="5DD6BA29">
            <w:pPr>
              <w:pStyle w:val="28"/>
              <w:spacing w:before="257" w:line="360" w:lineRule="auto"/>
              <w:ind w:left="335"/>
              <w:rPr>
                <w:rFonts w:hint="eastAsia" w:eastAsia="宋体"/>
                <w:color w:val="auto"/>
                <w:sz w:val="24"/>
                <w:szCs w:val="24"/>
                <w:highlight w:val="none"/>
                <w:lang w:eastAsia="zh-CN"/>
              </w:rPr>
            </w:pPr>
            <w:r>
              <w:rPr>
                <w:rFonts w:hint="eastAsia"/>
                <w:color w:val="auto"/>
                <w:sz w:val="24"/>
                <w:szCs w:val="24"/>
                <w:highlight w:val="none"/>
                <w:lang w:val="en-US" w:eastAsia="zh-CN"/>
              </w:rPr>
              <w:t>9</w:t>
            </w:r>
          </w:p>
        </w:tc>
        <w:tc>
          <w:tcPr>
            <w:tcW w:w="8810" w:type="dxa"/>
            <w:tcBorders>
              <w:right w:val="single" w:color="000000" w:sz="10" w:space="0"/>
            </w:tcBorders>
            <w:vAlign w:val="top"/>
          </w:tcPr>
          <w:p w14:paraId="2BCE34C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exact"/>
              <w:ind w:right="0"/>
              <w:jc w:val="both"/>
              <w:textAlignment w:val="baseline"/>
              <w:rPr>
                <w:color w:val="auto"/>
                <w:sz w:val="24"/>
                <w:szCs w:val="24"/>
                <w:highlight w:val="none"/>
              </w:rPr>
            </w:pPr>
            <w:r>
              <w:rPr>
                <w:rFonts w:hint="eastAsia" w:ascii="微软雅黑" w:hAnsi="微软雅黑" w:eastAsia="微软雅黑" w:cs="微软雅黑"/>
                <w:i w:val="0"/>
                <w:iCs w:val="0"/>
                <w:caps w:val="0"/>
                <w:color w:val="333333"/>
                <w:spacing w:val="0"/>
                <w:sz w:val="21"/>
                <w:szCs w:val="21"/>
                <w:shd w:val="clear" w:fill="FFFFFF"/>
                <w:vertAlign w:val="baseline"/>
              </w:rPr>
              <w:t>法定代表人（负责人）为同一人或者存在直接控股、管理关系的不同投标人，不得同时参加本采购项目投标；</w:t>
            </w:r>
          </w:p>
        </w:tc>
      </w:tr>
      <w:tr w14:paraId="35D4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04" w:type="dxa"/>
            <w:tcBorders>
              <w:left w:val="single" w:color="000000" w:sz="10" w:space="0"/>
            </w:tcBorders>
            <w:vAlign w:val="top"/>
          </w:tcPr>
          <w:p w14:paraId="232E1D10">
            <w:pPr>
              <w:pStyle w:val="28"/>
              <w:spacing w:before="257" w:line="360" w:lineRule="auto"/>
              <w:ind w:firstLine="240" w:firstLineChars="10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8810" w:type="dxa"/>
            <w:tcBorders>
              <w:right w:val="single" w:color="000000" w:sz="10" w:space="0"/>
            </w:tcBorders>
            <w:vAlign w:val="top"/>
          </w:tcPr>
          <w:p w14:paraId="5594529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exact"/>
              <w:ind w:right="0"/>
              <w:jc w:val="both"/>
              <w:textAlignment w:val="baseline"/>
              <w:rPr>
                <w:rFonts w:ascii="宋体" w:hAnsi="宋体" w:eastAsia="宋体" w:cs="宋体"/>
                <w:color w:val="auto"/>
                <w:sz w:val="24"/>
                <w:szCs w:val="24"/>
                <w:highlight w:val="none"/>
              </w:rPr>
            </w:pPr>
            <w:r>
              <w:rPr>
                <w:rFonts w:hint="eastAsia" w:ascii="微软雅黑" w:hAnsi="微软雅黑" w:eastAsia="微软雅黑" w:cs="微软雅黑"/>
                <w:i w:val="0"/>
                <w:iCs w:val="0"/>
                <w:caps w:val="0"/>
                <w:color w:val="333333"/>
                <w:spacing w:val="0"/>
                <w:sz w:val="21"/>
                <w:szCs w:val="21"/>
                <w:shd w:val="clear" w:fill="FFFFFF"/>
                <w:vertAlign w:val="baseline"/>
              </w:rPr>
              <w:t>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p>
        </w:tc>
      </w:tr>
      <w:tr w14:paraId="4B84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04" w:type="dxa"/>
            <w:tcBorders>
              <w:left w:val="single" w:color="000000" w:sz="10" w:space="0"/>
              <w:bottom w:val="single" w:color="000000" w:sz="10" w:space="0"/>
            </w:tcBorders>
            <w:vAlign w:val="top"/>
          </w:tcPr>
          <w:p w14:paraId="62D93138">
            <w:pPr>
              <w:pStyle w:val="28"/>
              <w:spacing w:before="257" w:line="360" w:lineRule="auto"/>
              <w:ind w:firstLine="240" w:firstLineChars="10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8810" w:type="dxa"/>
            <w:tcBorders>
              <w:bottom w:val="single" w:color="000000" w:sz="10" w:space="0"/>
              <w:right w:val="single" w:color="000000" w:sz="10" w:space="0"/>
            </w:tcBorders>
            <w:vAlign w:val="top"/>
          </w:tcPr>
          <w:p w14:paraId="5B9D757F">
            <w:pPr>
              <w:pStyle w:val="28"/>
              <w:spacing w:before="257" w:line="360" w:lineRule="auto"/>
              <w:rPr>
                <w:rFonts w:ascii="宋体" w:hAnsi="宋体" w:eastAsia="宋体" w:cs="宋体"/>
                <w:color w:val="auto"/>
                <w:sz w:val="24"/>
                <w:szCs w:val="24"/>
                <w:highlight w:val="none"/>
              </w:rPr>
            </w:pPr>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en-US" w:bidi="ar-SA"/>
              </w:rPr>
              <w:t>本项目</w:t>
            </w:r>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zh-CN" w:bidi="ar-SA"/>
              </w:rPr>
              <w:t>非</w:t>
            </w:r>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en-US" w:bidi="ar-SA"/>
              </w:rPr>
              <w:t>专</w:t>
            </w:r>
            <w:bookmarkStart w:id="51" w:name="_GoBack"/>
            <w:bookmarkEnd w:id="51"/>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en-US" w:bidi="ar-SA"/>
              </w:rPr>
              <w:t>门面向</w:t>
            </w:r>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zh-CN" w:bidi="ar-SA"/>
              </w:rPr>
              <w:t>中小</w:t>
            </w:r>
            <w:r>
              <w:rPr>
                <w:rFonts w:hint="eastAsia" w:ascii="微软雅黑" w:hAnsi="微软雅黑" w:eastAsia="微软雅黑" w:cs="微软雅黑"/>
                <w:i w:val="0"/>
                <w:iCs w:val="0"/>
                <w:caps w:val="0"/>
                <w:snapToGrid w:val="0"/>
                <w:color w:val="333333"/>
                <w:spacing w:val="0"/>
                <w:kern w:val="0"/>
                <w:sz w:val="21"/>
                <w:szCs w:val="21"/>
                <w:shd w:val="clear" w:fill="FFFFFF"/>
                <w:vertAlign w:val="baseline"/>
                <w:lang w:val="en-US" w:eastAsia="en-US" w:bidi="ar-SA"/>
              </w:rPr>
              <w:t>企业。</w:t>
            </w:r>
          </w:p>
        </w:tc>
      </w:tr>
    </w:tbl>
    <w:p w14:paraId="13E6BEFB">
      <w:pPr>
        <w:spacing w:before="146" w:line="360" w:lineRule="auto"/>
        <w:ind w:left="131" w:right="88"/>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注：1）由采购人代表或采购代理机构进行资格审查。未按要求提供或提供的资料不符合规</w:t>
      </w:r>
      <w:r>
        <w:rPr>
          <w:rFonts w:ascii="宋体" w:hAnsi="宋体" w:eastAsia="宋体" w:cs="宋体"/>
          <w:color w:val="auto"/>
          <w:spacing w:val="16"/>
          <w:sz w:val="24"/>
          <w:szCs w:val="24"/>
          <w:highlight w:val="none"/>
        </w:rPr>
        <w:t xml:space="preserve"> </w:t>
      </w:r>
      <w:r>
        <w:rPr>
          <w:rFonts w:ascii="宋体" w:hAnsi="宋体" w:eastAsia="宋体" w:cs="宋体"/>
          <w:color w:val="auto"/>
          <w:spacing w:val="-3"/>
          <w:sz w:val="24"/>
          <w:szCs w:val="24"/>
          <w:highlight w:val="none"/>
        </w:rPr>
        <w:t>定的，资格审查不通过，按无效响应文件处理。 2）结论为 “</w:t>
      </w:r>
      <w:r>
        <w:rPr>
          <w:rFonts w:hint="eastAsia" w:ascii="宋体" w:hAnsi="宋体" w:eastAsia="宋体" w:cs="宋体"/>
          <w:color w:val="auto"/>
          <w:spacing w:val="-3"/>
          <w:sz w:val="24"/>
          <w:szCs w:val="24"/>
          <w:highlight w:val="none"/>
          <w:lang w:val="en-US" w:eastAsia="zh-CN"/>
        </w:rPr>
        <w:t>符合</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”和“不</w:t>
      </w:r>
      <w:r>
        <w:rPr>
          <w:rFonts w:hint="eastAsia" w:ascii="宋体" w:hAnsi="宋体" w:eastAsia="宋体" w:cs="宋体"/>
          <w:color w:val="auto"/>
          <w:spacing w:val="-3"/>
          <w:sz w:val="24"/>
          <w:szCs w:val="24"/>
          <w:highlight w:val="none"/>
          <w:lang w:val="en-US" w:eastAsia="zh-CN"/>
        </w:rPr>
        <w:t>符合</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4"/>
          <w:sz w:val="24"/>
          <w:szCs w:val="24"/>
          <w:highlight w:val="none"/>
        </w:rPr>
        <w:t>上表</w:t>
      </w:r>
      <w:r>
        <w:rPr>
          <w:rFonts w:ascii="宋体" w:hAnsi="宋体" w:eastAsia="宋体" w:cs="宋体"/>
          <w:color w:val="auto"/>
          <w:spacing w:val="-1"/>
          <w:sz w:val="24"/>
          <w:szCs w:val="24"/>
          <w:highlight w:val="none"/>
        </w:rPr>
        <w:t>所列所有评审项目均符合要求的结论为“</w:t>
      </w:r>
      <w:r>
        <w:rPr>
          <w:rFonts w:hint="eastAsia" w:ascii="宋体" w:hAnsi="宋体" w:eastAsia="宋体" w:cs="宋体"/>
          <w:color w:val="auto"/>
          <w:spacing w:val="-3"/>
          <w:sz w:val="24"/>
          <w:szCs w:val="24"/>
          <w:highlight w:val="none"/>
          <w:lang w:val="en-US" w:eastAsia="zh-CN"/>
        </w:rPr>
        <w:t>符合</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”，有任意一项不符合要求则结论</w:t>
      </w:r>
      <w:r>
        <w:rPr>
          <w:rFonts w:ascii="宋体" w:hAnsi="宋体" w:eastAsia="宋体" w:cs="宋体"/>
          <w:color w:val="auto"/>
          <w:spacing w:val="-2"/>
          <w:sz w:val="24"/>
          <w:szCs w:val="24"/>
          <w:highlight w:val="none"/>
        </w:rPr>
        <w:t>为“不</w:t>
      </w:r>
      <w:r>
        <w:rPr>
          <w:rFonts w:hint="eastAsia" w:ascii="宋体" w:hAnsi="宋体" w:eastAsia="宋体" w:cs="宋体"/>
          <w:color w:val="auto"/>
          <w:spacing w:val="-2"/>
          <w:sz w:val="24"/>
          <w:szCs w:val="24"/>
          <w:highlight w:val="none"/>
        </w:rPr>
        <w:t>符合</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w:t>
      </w:r>
    </w:p>
    <w:p w14:paraId="759B7126">
      <w:pPr>
        <w:spacing w:line="334" w:lineRule="auto"/>
        <w:rPr>
          <w:rFonts w:ascii="宋体" w:hAnsi="宋体" w:eastAsia="宋体" w:cs="宋体"/>
          <w:color w:val="auto"/>
          <w:sz w:val="24"/>
          <w:szCs w:val="24"/>
          <w:highlight w:val="none"/>
        </w:rPr>
        <w:sectPr>
          <w:footerReference r:id="rId6" w:type="default"/>
          <w:pgSz w:w="11906" w:h="16840"/>
          <w:pgMar w:top="1374" w:right="1101" w:bottom="1343" w:left="1164" w:header="0" w:footer="1173" w:gutter="0"/>
          <w:pgNumType w:fmt="decimal"/>
          <w:cols w:space="720" w:num="1"/>
        </w:sectPr>
      </w:pPr>
    </w:p>
    <w:p w14:paraId="5995A2A0">
      <w:pPr>
        <w:spacing w:before="47" w:line="360" w:lineRule="auto"/>
        <w:rPr>
          <w:rFonts w:ascii="Arial"/>
          <w:color w:val="auto"/>
          <w:sz w:val="24"/>
          <w:szCs w:val="24"/>
          <w:highlight w:val="none"/>
        </w:rPr>
      </w:pPr>
      <w:r>
        <w:rPr>
          <w:rFonts w:ascii="宋体" w:hAnsi="宋体" w:eastAsia="宋体" w:cs="宋体"/>
          <w:color w:val="auto"/>
          <w:spacing w:val="-5"/>
          <w:sz w:val="24"/>
          <w:szCs w:val="24"/>
          <w:highlight w:val="none"/>
        </w:rPr>
        <w:t>附表二： 符合性审查要素表</w:t>
      </w:r>
    </w:p>
    <w:tbl>
      <w:tblPr>
        <w:tblStyle w:val="27"/>
        <w:tblW w:w="8723"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488"/>
        <w:gridCol w:w="5356"/>
      </w:tblGrid>
      <w:tr w14:paraId="42579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79" w:type="dxa"/>
            <w:vMerge w:val="restart"/>
            <w:vAlign w:val="top"/>
          </w:tcPr>
          <w:p w14:paraId="0F34712C">
            <w:pPr>
              <w:spacing w:line="360" w:lineRule="auto"/>
              <w:rPr>
                <w:rFonts w:ascii="Arial"/>
                <w:color w:val="auto"/>
                <w:sz w:val="24"/>
                <w:szCs w:val="24"/>
                <w:highlight w:val="none"/>
              </w:rPr>
            </w:pPr>
          </w:p>
          <w:p w14:paraId="0C628497">
            <w:pPr>
              <w:spacing w:line="360" w:lineRule="auto"/>
              <w:rPr>
                <w:rFonts w:ascii="Arial"/>
                <w:color w:val="auto"/>
                <w:sz w:val="24"/>
                <w:szCs w:val="24"/>
                <w:highlight w:val="none"/>
              </w:rPr>
            </w:pPr>
          </w:p>
          <w:p w14:paraId="6E1A0C93">
            <w:pPr>
              <w:spacing w:line="360" w:lineRule="auto"/>
              <w:rPr>
                <w:rFonts w:ascii="Arial"/>
                <w:color w:val="auto"/>
                <w:sz w:val="24"/>
                <w:szCs w:val="24"/>
                <w:highlight w:val="none"/>
              </w:rPr>
            </w:pPr>
          </w:p>
          <w:p w14:paraId="6A91D34F">
            <w:pPr>
              <w:spacing w:line="360" w:lineRule="auto"/>
              <w:rPr>
                <w:rFonts w:ascii="Arial"/>
                <w:color w:val="auto"/>
                <w:sz w:val="24"/>
                <w:szCs w:val="24"/>
                <w:highlight w:val="none"/>
              </w:rPr>
            </w:pPr>
          </w:p>
          <w:p w14:paraId="74F2E667">
            <w:pPr>
              <w:pStyle w:val="28"/>
              <w:spacing w:before="78" w:line="360" w:lineRule="auto"/>
              <w:ind w:left="208"/>
              <w:rPr>
                <w:color w:val="auto"/>
                <w:sz w:val="24"/>
                <w:szCs w:val="24"/>
                <w:highlight w:val="none"/>
              </w:rPr>
            </w:pPr>
            <w:r>
              <w:rPr>
                <w:color w:val="auto"/>
                <w:spacing w:val="-6"/>
                <w:sz w:val="24"/>
                <w:szCs w:val="24"/>
                <w:highlight w:val="none"/>
              </w:rPr>
              <w:t>符合</w:t>
            </w:r>
          </w:p>
          <w:p w14:paraId="58AC2EB7">
            <w:pPr>
              <w:pStyle w:val="28"/>
              <w:spacing w:before="154" w:line="360" w:lineRule="auto"/>
              <w:ind w:left="209"/>
              <w:rPr>
                <w:color w:val="auto"/>
                <w:sz w:val="24"/>
                <w:szCs w:val="24"/>
                <w:highlight w:val="none"/>
              </w:rPr>
            </w:pPr>
            <w:r>
              <w:rPr>
                <w:color w:val="auto"/>
                <w:spacing w:val="-7"/>
                <w:sz w:val="24"/>
                <w:szCs w:val="24"/>
                <w:highlight w:val="none"/>
              </w:rPr>
              <w:t>性审</w:t>
            </w:r>
          </w:p>
          <w:p w14:paraId="3DA3FD9B">
            <w:pPr>
              <w:pStyle w:val="28"/>
              <w:spacing w:before="152" w:line="360" w:lineRule="auto"/>
              <w:ind w:left="329"/>
              <w:rPr>
                <w:color w:val="auto"/>
                <w:sz w:val="24"/>
                <w:szCs w:val="24"/>
                <w:highlight w:val="none"/>
              </w:rPr>
            </w:pPr>
            <w:r>
              <w:rPr>
                <w:color w:val="auto"/>
                <w:sz w:val="24"/>
                <w:szCs w:val="24"/>
                <w:highlight w:val="none"/>
              </w:rPr>
              <w:t>查</w:t>
            </w:r>
          </w:p>
        </w:tc>
        <w:tc>
          <w:tcPr>
            <w:tcW w:w="2488" w:type="dxa"/>
            <w:vAlign w:val="top"/>
          </w:tcPr>
          <w:p w14:paraId="16461C1D">
            <w:pPr>
              <w:pStyle w:val="28"/>
              <w:spacing w:before="263" w:line="360" w:lineRule="auto"/>
              <w:ind w:left="288"/>
              <w:rPr>
                <w:color w:val="auto"/>
                <w:sz w:val="24"/>
                <w:szCs w:val="24"/>
                <w:highlight w:val="none"/>
              </w:rPr>
            </w:pPr>
            <w:r>
              <w:rPr>
                <w:color w:val="auto"/>
                <w:spacing w:val="-2"/>
                <w:sz w:val="24"/>
                <w:szCs w:val="24"/>
                <w:highlight w:val="none"/>
              </w:rPr>
              <w:t>磋商响应文件内容</w:t>
            </w:r>
          </w:p>
        </w:tc>
        <w:tc>
          <w:tcPr>
            <w:tcW w:w="5356" w:type="dxa"/>
            <w:vAlign w:val="top"/>
          </w:tcPr>
          <w:p w14:paraId="7A827BAA">
            <w:pPr>
              <w:pStyle w:val="28"/>
              <w:spacing w:before="263" w:line="360" w:lineRule="auto"/>
              <w:ind w:left="288"/>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关键内容不存在字迹模糊、无法辨认的情形</w:t>
            </w:r>
          </w:p>
        </w:tc>
      </w:tr>
      <w:tr w14:paraId="2A01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79" w:type="dxa"/>
            <w:vMerge w:val="continue"/>
            <w:vAlign w:val="top"/>
          </w:tcPr>
          <w:p w14:paraId="52A2546B">
            <w:pPr>
              <w:spacing w:line="360" w:lineRule="auto"/>
              <w:rPr>
                <w:rFonts w:ascii="Arial"/>
                <w:color w:val="auto"/>
                <w:sz w:val="24"/>
                <w:szCs w:val="24"/>
                <w:highlight w:val="none"/>
              </w:rPr>
            </w:pPr>
          </w:p>
        </w:tc>
        <w:tc>
          <w:tcPr>
            <w:tcW w:w="2488" w:type="dxa"/>
            <w:vAlign w:val="top"/>
          </w:tcPr>
          <w:p w14:paraId="75190E9C">
            <w:pPr>
              <w:spacing w:line="360" w:lineRule="auto"/>
              <w:rPr>
                <w:rFonts w:ascii="Arial"/>
                <w:color w:val="auto"/>
                <w:sz w:val="24"/>
                <w:szCs w:val="24"/>
                <w:highlight w:val="none"/>
              </w:rPr>
            </w:pPr>
          </w:p>
          <w:p w14:paraId="7504D88B">
            <w:pPr>
              <w:pStyle w:val="28"/>
              <w:spacing w:before="78" w:line="360" w:lineRule="auto"/>
              <w:ind w:left="168"/>
              <w:rPr>
                <w:color w:val="auto"/>
                <w:sz w:val="24"/>
                <w:szCs w:val="24"/>
                <w:highlight w:val="none"/>
              </w:rPr>
            </w:pPr>
            <w:r>
              <w:rPr>
                <w:color w:val="auto"/>
                <w:spacing w:val="-1"/>
                <w:sz w:val="24"/>
                <w:szCs w:val="24"/>
                <w:highlight w:val="none"/>
              </w:rPr>
              <w:t>磋商响应函签字盖章</w:t>
            </w:r>
          </w:p>
        </w:tc>
        <w:tc>
          <w:tcPr>
            <w:tcW w:w="5356" w:type="dxa"/>
            <w:vAlign w:val="top"/>
          </w:tcPr>
          <w:p w14:paraId="52876AB2">
            <w:pPr>
              <w:pStyle w:val="28"/>
              <w:spacing w:before="263" w:line="360" w:lineRule="auto"/>
              <w:ind w:left="288"/>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按照竞争性磋商文件要求有法定代表人或其委托 代理人签字或加盖单位章</w:t>
            </w:r>
          </w:p>
        </w:tc>
      </w:tr>
      <w:tr w14:paraId="4B07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79" w:type="dxa"/>
            <w:vMerge w:val="continue"/>
            <w:vAlign w:val="top"/>
          </w:tcPr>
          <w:p w14:paraId="490FA639">
            <w:pPr>
              <w:spacing w:line="360" w:lineRule="auto"/>
              <w:rPr>
                <w:rFonts w:ascii="Arial"/>
                <w:color w:val="auto"/>
                <w:sz w:val="24"/>
                <w:szCs w:val="24"/>
                <w:highlight w:val="none"/>
              </w:rPr>
            </w:pPr>
          </w:p>
        </w:tc>
        <w:tc>
          <w:tcPr>
            <w:tcW w:w="2488" w:type="dxa"/>
            <w:vAlign w:val="top"/>
          </w:tcPr>
          <w:p w14:paraId="79E71F0B">
            <w:pPr>
              <w:pStyle w:val="28"/>
              <w:spacing w:before="312" w:line="360" w:lineRule="auto"/>
              <w:ind w:left="772"/>
              <w:rPr>
                <w:color w:val="auto"/>
                <w:sz w:val="24"/>
                <w:szCs w:val="24"/>
                <w:highlight w:val="none"/>
              </w:rPr>
            </w:pPr>
            <w:r>
              <w:rPr>
                <w:rFonts w:hint="eastAsia"/>
                <w:color w:val="auto"/>
                <w:spacing w:val="-4"/>
                <w:sz w:val="24"/>
                <w:szCs w:val="24"/>
                <w:highlight w:val="none"/>
                <w:lang w:eastAsia="zh-CN"/>
              </w:rPr>
              <w:t>磋商</w:t>
            </w:r>
            <w:r>
              <w:rPr>
                <w:color w:val="auto"/>
                <w:spacing w:val="-4"/>
                <w:sz w:val="24"/>
                <w:szCs w:val="24"/>
                <w:highlight w:val="none"/>
              </w:rPr>
              <w:t>报价</w:t>
            </w:r>
          </w:p>
        </w:tc>
        <w:tc>
          <w:tcPr>
            <w:tcW w:w="5356" w:type="dxa"/>
            <w:vAlign w:val="top"/>
          </w:tcPr>
          <w:p w14:paraId="478E5D0C">
            <w:pPr>
              <w:pStyle w:val="28"/>
              <w:spacing w:before="263" w:line="360" w:lineRule="auto"/>
              <w:ind w:left="288"/>
              <w:jc w:val="center"/>
              <w:rPr>
                <w:rFonts w:hint="default"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报价唯一且不得</w:t>
            </w:r>
            <w:r>
              <w:rPr>
                <w:rFonts w:hint="eastAsia" w:ascii="宋体" w:hAnsi="宋体" w:eastAsia="宋体" w:cs="宋体"/>
                <w:color w:val="auto"/>
                <w:spacing w:val="-2"/>
                <w:sz w:val="24"/>
                <w:szCs w:val="24"/>
                <w:highlight w:val="none"/>
                <w:lang w:val="en-US" w:eastAsia="zh-CN"/>
              </w:rPr>
              <w:t>超过最高限价</w:t>
            </w:r>
          </w:p>
        </w:tc>
      </w:tr>
      <w:tr w14:paraId="6D2B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79" w:type="dxa"/>
            <w:vMerge w:val="continue"/>
            <w:vAlign w:val="top"/>
          </w:tcPr>
          <w:p w14:paraId="65EA515C">
            <w:pPr>
              <w:spacing w:line="360" w:lineRule="auto"/>
              <w:rPr>
                <w:rFonts w:ascii="Arial"/>
                <w:color w:val="auto"/>
                <w:sz w:val="24"/>
                <w:szCs w:val="24"/>
                <w:highlight w:val="none"/>
              </w:rPr>
            </w:pPr>
          </w:p>
        </w:tc>
        <w:tc>
          <w:tcPr>
            <w:tcW w:w="2488" w:type="dxa"/>
            <w:vAlign w:val="top"/>
          </w:tcPr>
          <w:p w14:paraId="351F504C">
            <w:pPr>
              <w:pStyle w:val="28"/>
              <w:spacing w:before="314" w:line="360" w:lineRule="auto"/>
              <w:ind w:left="542"/>
              <w:rPr>
                <w:color w:val="auto"/>
                <w:sz w:val="24"/>
                <w:szCs w:val="24"/>
                <w:highlight w:val="none"/>
              </w:rPr>
            </w:pPr>
            <w:r>
              <w:rPr>
                <w:color w:val="auto"/>
                <w:spacing w:val="-4"/>
                <w:sz w:val="24"/>
                <w:szCs w:val="24"/>
                <w:highlight w:val="none"/>
              </w:rPr>
              <w:t>响应文件格式</w:t>
            </w:r>
          </w:p>
        </w:tc>
        <w:tc>
          <w:tcPr>
            <w:tcW w:w="5356" w:type="dxa"/>
            <w:vAlign w:val="top"/>
          </w:tcPr>
          <w:p w14:paraId="5E337FE1">
            <w:pPr>
              <w:pStyle w:val="28"/>
              <w:spacing w:before="263" w:line="360" w:lineRule="auto"/>
              <w:ind w:left="288"/>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符合第六章“ 响应文件及格式” 的要求</w:t>
            </w:r>
          </w:p>
        </w:tc>
      </w:tr>
      <w:tr w14:paraId="2900E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79" w:type="dxa"/>
            <w:vMerge w:val="continue"/>
            <w:vAlign w:val="top"/>
          </w:tcPr>
          <w:p w14:paraId="06C6D6E4">
            <w:pPr>
              <w:spacing w:line="360" w:lineRule="auto"/>
              <w:rPr>
                <w:rFonts w:ascii="Arial"/>
                <w:color w:val="auto"/>
                <w:sz w:val="24"/>
                <w:szCs w:val="24"/>
                <w:highlight w:val="none"/>
              </w:rPr>
            </w:pPr>
          </w:p>
        </w:tc>
        <w:tc>
          <w:tcPr>
            <w:tcW w:w="2488" w:type="dxa"/>
            <w:vAlign w:val="top"/>
          </w:tcPr>
          <w:p w14:paraId="6F065251">
            <w:pPr>
              <w:pStyle w:val="28"/>
              <w:spacing w:before="313" w:line="360" w:lineRule="auto"/>
              <w:ind w:left="652"/>
              <w:rPr>
                <w:color w:val="auto"/>
                <w:sz w:val="24"/>
                <w:szCs w:val="24"/>
                <w:highlight w:val="none"/>
              </w:rPr>
            </w:pPr>
            <w:r>
              <w:rPr>
                <w:rFonts w:hint="eastAsia"/>
                <w:color w:val="auto"/>
                <w:spacing w:val="-3"/>
                <w:sz w:val="24"/>
                <w:szCs w:val="24"/>
                <w:highlight w:val="none"/>
                <w:lang w:eastAsia="zh-CN"/>
              </w:rPr>
              <w:t>磋商</w:t>
            </w:r>
            <w:r>
              <w:rPr>
                <w:color w:val="auto"/>
                <w:spacing w:val="-3"/>
                <w:sz w:val="24"/>
                <w:szCs w:val="24"/>
                <w:highlight w:val="none"/>
              </w:rPr>
              <w:t>有效期</w:t>
            </w:r>
          </w:p>
        </w:tc>
        <w:tc>
          <w:tcPr>
            <w:tcW w:w="5356" w:type="dxa"/>
            <w:vAlign w:val="top"/>
          </w:tcPr>
          <w:p w14:paraId="0F071CD5">
            <w:pPr>
              <w:pStyle w:val="28"/>
              <w:spacing w:before="263" w:line="360" w:lineRule="auto"/>
              <w:ind w:left="288"/>
              <w:jc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有效期满足竞争性磋商文件要求</w:t>
            </w:r>
          </w:p>
        </w:tc>
      </w:tr>
      <w:tr w14:paraId="71241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79" w:type="dxa"/>
            <w:vMerge w:val="continue"/>
            <w:vAlign w:val="top"/>
          </w:tcPr>
          <w:p w14:paraId="4C6E4179">
            <w:pPr>
              <w:spacing w:line="360" w:lineRule="auto"/>
              <w:rPr>
                <w:rFonts w:ascii="Arial"/>
                <w:color w:val="auto"/>
                <w:sz w:val="24"/>
                <w:szCs w:val="24"/>
                <w:highlight w:val="none"/>
              </w:rPr>
            </w:pPr>
          </w:p>
        </w:tc>
        <w:tc>
          <w:tcPr>
            <w:tcW w:w="2488" w:type="dxa"/>
            <w:vAlign w:val="top"/>
          </w:tcPr>
          <w:p w14:paraId="34F50998">
            <w:pPr>
              <w:pStyle w:val="28"/>
              <w:spacing w:before="316" w:line="360" w:lineRule="auto"/>
              <w:ind w:firstLine="696" w:firstLineChars="300"/>
              <w:rPr>
                <w:rFonts w:hint="eastAsia" w:eastAsia="宋体"/>
                <w:color w:val="auto"/>
                <w:sz w:val="24"/>
                <w:szCs w:val="24"/>
                <w:highlight w:val="none"/>
                <w:lang w:val="en-US" w:eastAsia="zh-CN"/>
              </w:rPr>
            </w:pPr>
            <w:r>
              <w:rPr>
                <w:rFonts w:hint="eastAsia"/>
                <w:color w:val="auto"/>
                <w:spacing w:val="-4"/>
                <w:sz w:val="24"/>
                <w:szCs w:val="24"/>
                <w:highlight w:val="none"/>
                <w:lang w:val="en-US" w:eastAsia="zh-CN"/>
              </w:rPr>
              <w:t>服务期限</w:t>
            </w:r>
          </w:p>
        </w:tc>
        <w:tc>
          <w:tcPr>
            <w:tcW w:w="5356" w:type="dxa"/>
            <w:vAlign w:val="top"/>
          </w:tcPr>
          <w:p w14:paraId="5369CE09">
            <w:pPr>
              <w:pStyle w:val="28"/>
              <w:spacing w:before="263" w:line="360" w:lineRule="auto"/>
              <w:ind w:left="288"/>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满足竞争性磋商文件要求</w:t>
            </w:r>
          </w:p>
        </w:tc>
      </w:tr>
      <w:tr w14:paraId="599B9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79" w:type="dxa"/>
            <w:vMerge w:val="continue"/>
            <w:vAlign w:val="top"/>
          </w:tcPr>
          <w:p w14:paraId="67A422B6">
            <w:pPr>
              <w:spacing w:line="360" w:lineRule="auto"/>
              <w:rPr>
                <w:rFonts w:ascii="Arial"/>
                <w:color w:val="auto"/>
                <w:sz w:val="24"/>
                <w:szCs w:val="24"/>
                <w:highlight w:val="none"/>
              </w:rPr>
            </w:pPr>
          </w:p>
        </w:tc>
        <w:tc>
          <w:tcPr>
            <w:tcW w:w="2488" w:type="dxa"/>
            <w:vAlign w:val="top"/>
          </w:tcPr>
          <w:p w14:paraId="4FB4E9DF">
            <w:pPr>
              <w:pStyle w:val="28"/>
              <w:spacing w:before="313" w:line="360" w:lineRule="auto"/>
              <w:ind w:firstLine="468" w:firstLineChars="200"/>
              <w:rPr>
                <w:color w:val="auto"/>
                <w:sz w:val="24"/>
                <w:szCs w:val="24"/>
                <w:highlight w:val="none"/>
              </w:rPr>
            </w:pPr>
            <w:r>
              <w:rPr>
                <w:rFonts w:hint="eastAsia"/>
                <w:color w:val="auto"/>
                <w:spacing w:val="-3"/>
                <w:sz w:val="24"/>
                <w:szCs w:val="24"/>
                <w:highlight w:val="none"/>
                <w:lang w:val="en-US" w:eastAsia="zh-CN"/>
              </w:rPr>
              <w:t>采购内容及</w:t>
            </w:r>
            <w:r>
              <w:rPr>
                <w:color w:val="auto"/>
                <w:spacing w:val="-3"/>
                <w:sz w:val="24"/>
                <w:szCs w:val="24"/>
                <w:highlight w:val="none"/>
              </w:rPr>
              <w:t>要求</w:t>
            </w:r>
          </w:p>
        </w:tc>
        <w:tc>
          <w:tcPr>
            <w:tcW w:w="5356" w:type="dxa"/>
            <w:vAlign w:val="top"/>
          </w:tcPr>
          <w:p w14:paraId="79991140">
            <w:pPr>
              <w:pStyle w:val="28"/>
              <w:spacing w:before="263" w:line="360" w:lineRule="auto"/>
              <w:ind w:left="288"/>
              <w:jc w:val="cente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满足竞争性磋商文件要求，且无负偏离</w:t>
            </w:r>
          </w:p>
        </w:tc>
      </w:tr>
      <w:tr w14:paraId="55CE9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723" w:type="dxa"/>
            <w:gridSpan w:val="3"/>
            <w:vAlign w:val="top"/>
          </w:tcPr>
          <w:p w14:paraId="2AE789DD">
            <w:pPr>
              <w:pStyle w:val="28"/>
              <w:spacing w:before="153" w:line="360" w:lineRule="auto"/>
              <w:ind w:left="117"/>
              <w:rPr>
                <w:color w:val="auto"/>
                <w:sz w:val="24"/>
                <w:szCs w:val="24"/>
                <w:highlight w:val="none"/>
              </w:rPr>
            </w:pPr>
            <w:r>
              <w:rPr>
                <w:color w:val="auto"/>
                <w:spacing w:val="-1"/>
                <w:sz w:val="24"/>
                <w:szCs w:val="24"/>
                <w:highlight w:val="none"/>
              </w:rPr>
              <w:t>注：以上符合性审查由评审小组审查。</w:t>
            </w:r>
          </w:p>
          <w:p w14:paraId="048772AB">
            <w:pPr>
              <w:pStyle w:val="28"/>
              <w:spacing w:before="153" w:line="360" w:lineRule="auto"/>
              <w:ind w:left="116" w:right="106" w:firstLine="18"/>
              <w:rPr>
                <w:color w:val="auto"/>
                <w:sz w:val="24"/>
                <w:szCs w:val="24"/>
                <w:highlight w:val="none"/>
              </w:rPr>
            </w:pPr>
            <w:r>
              <w:rPr>
                <w:color w:val="auto"/>
                <w:spacing w:val="-2"/>
                <w:sz w:val="24"/>
                <w:szCs w:val="24"/>
                <w:highlight w:val="none"/>
              </w:rPr>
              <w:t xml:space="preserve">1. </w:t>
            </w:r>
            <w:r>
              <w:rPr>
                <w:rFonts w:ascii="Arial" w:hAnsi="Arial" w:eastAsia="Arial" w:cs="Arial"/>
                <w:color w:val="auto"/>
                <w:spacing w:val="-2"/>
                <w:sz w:val="24"/>
                <w:szCs w:val="24"/>
                <w:highlight w:val="none"/>
              </w:rPr>
              <w:t>“</w:t>
            </w:r>
            <w:r>
              <w:rPr>
                <w:color w:val="auto"/>
                <w:spacing w:val="-2"/>
                <w:sz w:val="24"/>
                <w:szCs w:val="24"/>
                <w:highlight w:val="none"/>
              </w:rPr>
              <w:t>结论</w:t>
            </w:r>
            <w:r>
              <w:rPr>
                <w:rFonts w:ascii="Arial" w:hAnsi="Arial" w:eastAsia="Arial" w:cs="Arial"/>
                <w:color w:val="auto"/>
                <w:spacing w:val="-2"/>
                <w:sz w:val="24"/>
                <w:szCs w:val="24"/>
                <w:highlight w:val="none"/>
              </w:rPr>
              <w:t>”</w:t>
            </w:r>
            <w:r>
              <w:rPr>
                <w:color w:val="auto"/>
                <w:spacing w:val="-2"/>
                <w:sz w:val="24"/>
                <w:szCs w:val="24"/>
                <w:highlight w:val="none"/>
              </w:rPr>
              <w:t>一栏填写</w:t>
            </w:r>
            <w:r>
              <w:rPr>
                <w:rFonts w:ascii="Arial" w:hAnsi="Arial" w:eastAsia="Arial" w:cs="Arial"/>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符合</w:t>
            </w:r>
            <w:r>
              <w:rPr>
                <w:rFonts w:ascii="Arial" w:hAnsi="Arial" w:eastAsia="Arial" w:cs="Arial"/>
                <w:color w:val="auto"/>
                <w:spacing w:val="-2"/>
                <w:sz w:val="24"/>
                <w:szCs w:val="24"/>
                <w:highlight w:val="none"/>
              </w:rPr>
              <w:t>”</w:t>
            </w:r>
            <w:r>
              <w:rPr>
                <w:color w:val="auto"/>
                <w:spacing w:val="-2"/>
                <w:sz w:val="24"/>
                <w:szCs w:val="24"/>
                <w:highlight w:val="none"/>
              </w:rPr>
              <w:t>或</w:t>
            </w:r>
            <w:r>
              <w:rPr>
                <w:rFonts w:ascii="Arial" w:hAnsi="Arial" w:eastAsia="Arial" w:cs="Arial"/>
                <w:color w:val="auto"/>
                <w:spacing w:val="-2"/>
                <w:sz w:val="24"/>
                <w:szCs w:val="24"/>
                <w:highlight w:val="none"/>
              </w:rPr>
              <w:t>“</w:t>
            </w:r>
            <w:r>
              <w:rPr>
                <w:color w:val="auto"/>
                <w:spacing w:val="-2"/>
                <w:sz w:val="24"/>
                <w:szCs w:val="24"/>
                <w:highlight w:val="none"/>
              </w:rPr>
              <w:t>不</w:t>
            </w:r>
            <w:r>
              <w:rPr>
                <w:rFonts w:hint="eastAsia" w:ascii="宋体" w:hAnsi="宋体" w:eastAsia="宋体" w:cs="宋体"/>
                <w:color w:val="auto"/>
                <w:spacing w:val="-3"/>
                <w:sz w:val="24"/>
                <w:szCs w:val="24"/>
                <w:highlight w:val="none"/>
                <w:lang w:val="en-US" w:eastAsia="zh-CN"/>
              </w:rPr>
              <w:t>符合</w:t>
            </w:r>
            <w:r>
              <w:rPr>
                <w:rFonts w:ascii="Arial" w:hAnsi="Arial" w:eastAsia="Arial" w:cs="Arial"/>
                <w:color w:val="auto"/>
                <w:spacing w:val="-2"/>
                <w:sz w:val="24"/>
                <w:szCs w:val="24"/>
                <w:highlight w:val="none"/>
              </w:rPr>
              <w:t>”</w:t>
            </w:r>
            <w:r>
              <w:rPr>
                <w:rFonts w:ascii="Arial" w:hAnsi="Arial" w:eastAsia="Arial" w:cs="Arial"/>
                <w:color w:val="auto"/>
                <w:spacing w:val="-30"/>
                <w:sz w:val="24"/>
                <w:szCs w:val="24"/>
                <w:highlight w:val="none"/>
              </w:rPr>
              <w:t xml:space="preserve"> </w:t>
            </w:r>
            <w:r>
              <w:rPr>
                <w:color w:val="auto"/>
                <w:spacing w:val="-2"/>
                <w:sz w:val="24"/>
                <w:szCs w:val="24"/>
                <w:highlight w:val="none"/>
              </w:rPr>
              <w:t>；有一项不</w:t>
            </w:r>
            <w:r>
              <w:rPr>
                <w:rFonts w:hint="eastAsia"/>
                <w:color w:val="auto"/>
                <w:spacing w:val="-2"/>
                <w:sz w:val="24"/>
                <w:szCs w:val="24"/>
                <w:highlight w:val="none"/>
              </w:rPr>
              <w:t>符合</w:t>
            </w:r>
            <w:r>
              <w:rPr>
                <w:color w:val="auto"/>
                <w:spacing w:val="-2"/>
                <w:sz w:val="24"/>
                <w:szCs w:val="24"/>
                <w:highlight w:val="none"/>
              </w:rPr>
              <w:t>的供应商不得继续参与本项目</w:t>
            </w:r>
            <w:r>
              <w:rPr>
                <w:color w:val="auto"/>
                <w:sz w:val="24"/>
                <w:szCs w:val="24"/>
                <w:highlight w:val="none"/>
              </w:rPr>
              <w:t xml:space="preserve"> </w:t>
            </w:r>
            <w:r>
              <w:rPr>
                <w:color w:val="auto"/>
                <w:spacing w:val="-1"/>
                <w:sz w:val="24"/>
                <w:szCs w:val="24"/>
                <w:highlight w:val="none"/>
              </w:rPr>
              <w:t>评标，由评审小组评审后作废标处理。</w:t>
            </w:r>
          </w:p>
        </w:tc>
      </w:tr>
    </w:tbl>
    <w:p w14:paraId="559ABF57">
      <w:pPr>
        <w:pStyle w:val="10"/>
        <w:rPr>
          <w:color w:val="auto"/>
          <w:highlight w:val="none"/>
        </w:rPr>
      </w:pPr>
    </w:p>
    <w:p w14:paraId="25C678EA">
      <w:pPr>
        <w:rPr>
          <w:color w:val="auto"/>
          <w:highlight w:val="none"/>
        </w:rPr>
        <w:sectPr>
          <w:footerReference r:id="rId7" w:type="default"/>
          <w:pgSz w:w="11906" w:h="16840"/>
          <w:pgMar w:top="1374" w:right="1541" w:bottom="1343" w:left="1314" w:header="0" w:footer="1173" w:gutter="0"/>
          <w:pgNumType w:fmt="decimal"/>
          <w:cols w:space="720" w:num="1"/>
        </w:sectPr>
      </w:pPr>
    </w:p>
    <w:p w14:paraId="4A1A5CA6">
      <w:pPr>
        <w:spacing w:before="46" w:line="226" w:lineRule="auto"/>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评价和比较以磋商响应文件为依据进行评审并按照百分制进行赋分。</w:t>
      </w:r>
    </w:p>
    <w:p w14:paraId="1766EC6B">
      <w:pPr>
        <w:pStyle w:val="10"/>
        <w:rPr>
          <w:color w:val="auto"/>
          <w:highlight w:val="none"/>
        </w:rPr>
      </w:pPr>
    </w:p>
    <w:tbl>
      <w:tblPr>
        <w:tblStyle w:val="22"/>
        <w:tblW w:w="1015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510"/>
        <w:gridCol w:w="1515"/>
        <w:gridCol w:w="6906"/>
      </w:tblGrid>
      <w:tr w14:paraId="5B52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224" w:type="dxa"/>
            <w:noWrap w:val="0"/>
            <w:vAlign w:val="center"/>
          </w:tcPr>
          <w:p w14:paraId="798BB359">
            <w:pPr>
              <w:tabs>
                <w:tab w:val="left" w:pos="3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评标内容</w:t>
            </w:r>
          </w:p>
        </w:tc>
        <w:tc>
          <w:tcPr>
            <w:tcW w:w="510" w:type="dxa"/>
            <w:noWrap w:val="0"/>
            <w:vAlign w:val="center"/>
          </w:tcPr>
          <w:p w14:paraId="78A150FA">
            <w:pPr>
              <w:tabs>
                <w:tab w:val="left" w:pos="3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8421" w:type="dxa"/>
            <w:gridSpan w:val="2"/>
            <w:noWrap w:val="0"/>
            <w:vAlign w:val="center"/>
          </w:tcPr>
          <w:p w14:paraId="7B8E078F">
            <w:pPr>
              <w:tabs>
                <w:tab w:val="left" w:pos="3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评标办法</w:t>
            </w:r>
          </w:p>
        </w:tc>
      </w:tr>
      <w:tr w14:paraId="64EE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tblHeader/>
        </w:trPr>
        <w:tc>
          <w:tcPr>
            <w:tcW w:w="1224" w:type="dxa"/>
            <w:noWrap w:val="0"/>
            <w:vAlign w:val="center"/>
          </w:tcPr>
          <w:p w14:paraId="0E1AA05B">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价格评审</w:t>
            </w:r>
          </w:p>
        </w:tc>
        <w:tc>
          <w:tcPr>
            <w:tcW w:w="510" w:type="dxa"/>
            <w:noWrap w:val="0"/>
            <w:vAlign w:val="center"/>
          </w:tcPr>
          <w:p w14:paraId="04603D6F">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8421" w:type="dxa"/>
            <w:gridSpan w:val="2"/>
            <w:noWrap w:val="0"/>
            <w:vAlign w:val="center"/>
          </w:tcPr>
          <w:p w14:paraId="41CED38B">
            <w:pPr>
              <w:keepNext w:val="0"/>
              <w:keepLines w:val="0"/>
              <w:pageBreakBefore w:val="0"/>
              <w:widowControl w:val="0"/>
              <w:tabs>
                <w:tab w:val="left" w:pos="6439"/>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7" w:name="_Toc510702506"/>
            <w:bookmarkStart w:id="18" w:name="_Toc10535197"/>
            <w:bookmarkStart w:id="19" w:name="_Toc510702827"/>
            <w:bookmarkStart w:id="20" w:name="_Toc511316290"/>
            <w:bookmarkStart w:id="21" w:name="_Toc510990560"/>
            <w:bookmarkStart w:id="22" w:name="_Toc510941875"/>
            <w:r>
              <w:rPr>
                <w:rFonts w:hint="eastAsia" w:ascii="宋体" w:hAnsi="宋体" w:eastAsia="宋体" w:cs="宋体"/>
                <w:color w:val="auto"/>
                <w:sz w:val="24"/>
                <w:szCs w:val="24"/>
                <w:highlight w:val="none"/>
                <w:lang w:val="en-US" w:eastAsia="zh-CN"/>
              </w:rPr>
              <w:t>按照财政部《关于加强政府采购货物和服务项目价格评审管理的通知》（财库[2007]2号）的有关规定：价格分采用低价优先法计算，价格满足磋商文件要求且最终报价最低的为评审基准价，其价格分为满分，其他供应商的价格分统一按照下列公式计算：</w:t>
            </w:r>
          </w:p>
          <w:p w14:paraId="56BACCAD">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b/>
                <w:color w:val="auto"/>
                <w:sz w:val="24"/>
                <w:szCs w:val="24"/>
                <w:highlight w:val="none"/>
                <w:lang w:val="en-US"/>
              </w:rPr>
            </w:pPr>
            <w:r>
              <w:rPr>
                <w:rFonts w:hint="eastAsia" w:ascii="宋体" w:hAnsi="宋体" w:eastAsia="宋体" w:cs="宋体"/>
                <w:color w:val="auto"/>
                <w:sz w:val="24"/>
                <w:szCs w:val="24"/>
                <w:highlight w:val="none"/>
                <w:lang w:val="en-US" w:eastAsia="zh-CN"/>
              </w:rPr>
              <w:t>磋商报价得分=（评审基准价/最终报价）×</w:t>
            </w:r>
            <w:bookmarkEnd w:id="17"/>
            <w:bookmarkEnd w:id="18"/>
            <w:bookmarkEnd w:id="19"/>
            <w:bookmarkEnd w:id="20"/>
            <w:bookmarkEnd w:id="21"/>
            <w:bookmarkEnd w:id="22"/>
            <w:r>
              <w:rPr>
                <w:rFonts w:hint="eastAsia" w:ascii="宋体" w:hAnsi="宋体" w:eastAsia="宋体" w:cs="宋体"/>
                <w:color w:val="auto"/>
                <w:sz w:val="24"/>
                <w:szCs w:val="24"/>
                <w:highlight w:val="none"/>
                <w:lang w:val="en-US" w:eastAsia="zh-CN"/>
              </w:rPr>
              <w:t>15</w:t>
            </w:r>
          </w:p>
        </w:tc>
      </w:tr>
      <w:tr w14:paraId="61E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tblHeader/>
        </w:trPr>
        <w:tc>
          <w:tcPr>
            <w:tcW w:w="1224" w:type="dxa"/>
            <w:vMerge w:val="restart"/>
            <w:noWrap w:val="0"/>
            <w:vAlign w:val="center"/>
          </w:tcPr>
          <w:p w14:paraId="64E12FD8">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510" w:type="dxa"/>
            <w:vMerge w:val="restart"/>
            <w:noWrap w:val="0"/>
            <w:vAlign w:val="center"/>
          </w:tcPr>
          <w:p w14:paraId="2C8654AC">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75分</w:t>
            </w:r>
          </w:p>
        </w:tc>
        <w:tc>
          <w:tcPr>
            <w:tcW w:w="1515" w:type="dxa"/>
            <w:noWrap w:val="0"/>
            <w:vAlign w:val="center"/>
          </w:tcPr>
          <w:p w14:paraId="2C6ABF1D">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rPr>
              <w:t>服务</w:t>
            </w:r>
            <w:r>
              <w:rPr>
                <w:rFonts w:hint="eastAsia" w:ascii="宋体" w:hAnsi="宋体" w:eastAsia="宋体" w:cs="宋体"/>
                <w:color w:val="auto"/>
                <w:spacing w:val="8"/>
                <w:sz w:val="24"/>
                <w:szCs w:val="24"/>
                <w:highlight w:val="none"/>
              </w:rPr>
              <w:t>方案</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25分</w:t>
            </w:r>
            <w:r>
              <w:rPr>
                <w:rFonts w:hint="eastAsia" w:ascii="宋体" w:hAnsi="宋体" w:eastAsia="宋体" w:cs="宋体"/>
                <w:color w:val="auto"/>
                <w:spacing w:val="8"/>
                <w:sz w:val="24"/>
                <w:szCs w:val="24"/>
                <w:highlight w:val="none"/>
                <w:lang w:eastAsia="zh-CN"/>
              </w:rPr>
              <w:t>）</w:t>
            </w:r>
          </w:p>
        </w:tc>
        <w:tc>
          <w:tcPr>
            <w:tcW w:w="6906" w:type="dxa"/>
            <w:noWrap w:val="0"/>
            <w:vAlign w:val="center"/>
          </w:tcPr>
          <w:p w14:paraId="1CC9F4FB">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正确识别本项目气候、关键点、重难点提供具体详细的服务方案。</w:t>
            </w:r>
          </w:p>
          <w:p w14:paraId="56F9DA22">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1、方案内容清晰、全面、详细、合理的计13-25分；</w:t>
            </w:r>
          </w:p>
          <w:p w14:paraId="77A01E1C">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2、方案一般的计0-12分； </w:t>
            </w:r>
          </w:p>
        </w:tc>
      </w:tr>
      <w:tr w14:paraId="49DA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224" w:type="dxa"/>
            <w:vMerge w:val="continue"/>
            <w:noWrap w:val="0"/>
            <w:vAlign w:val="center"/>
          </w:tcPr>
          <w:p w14:paraId="57E54CFF">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510" w:type="dxa"/>
            <w:vMerge w:val="continue"/>
            <w:noWrap w:val="0"/>
            <w:vAlign w:val="center"/>
          </w:tcPr>
          <w:p w14:paraId="61CAD1CF">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515" w:type="dxa"/>
            <w:noWrap w:val="0"/>
            <w:vAlign w:val="center"/>
          </w:tcPr>
          <w:p w14:paraId="6D491FE5">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人员配置（15分）</w:t>
            </w:r>
          </w:p>
        </w:tc>
        <w:tc>
          <w:tcPr>
            <w:tcW w:w="6906" w:type="dxa"/>
            <w:noWrap w:val="0"/>
            <w:vAlign w:val="center"/>
          </w:tcPr>
          <w:p w14:paraId="090C0EA4">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项目团队成员配备齐全，组织架构完整，职责划分明确，得8-15分；</w:t>
            </w:r>
          </w:p>
          <w:p w14:paraId="5818F994">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z w:val="24"/>
                <w:szCs w:val="24"/>
                <w:highlight w:val="none"/>
                <w:lang w:val="en-US" w:eastAsia="zh-CN"/>
              </w:rPr>
              <w:t>配备团队成员组织架构不够完整，或成员职责划分不明确，得0-7分。</w:t>
            </w:r>
          </w:p>
        </w:tc>
      </w:tr>
      <w:tr w14:paraId="03B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224" w:type="dxa"/>
            <w:vMerge w:val="continue"/>
            <w:noWrap w:val="0"/>
            <w:vAlign w:val="center"/>
          </w:tcPr>
          <w:p w14:paraId="79645D4E">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510" w:type="dxa"/>
            <w:vMerge w:val="continue"/>
            <w:noWrap w:val="0"/>
            <w:vAlign w:val="center"/>
          </w:tcPr>
          <w:p w14:paraId="477BADC3">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515" w:type="dxa"/>
            <w:noWrap w:val="0"/>
            <w:vAlign w:val="center"/>
          </w:tcPr>
          <w:p w14:paraId="611CBD9F">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服务质量保证措施</w:t>
            </w:r>
          </w:p>
          <w:p w14:paraId="3521F254">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（15分）</w:t>
            </w:r>
          </w:p>
        </w:tc>
        <w:tc>
          <w:tcPr>
            <w:tcW w:w="6906" w:type="dxa"/>
            <w:noWrap w:val="0"/>
            <w:vAlign w:val="center"/>
          </w:tcPr>
          <w:p w14:paraId="44DBB4B7">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有完善的服务质量保证措施、体系，逻辑性和可操作性强的，得8-15分；</w:t>
            </w:r>
          </w:p>
          <w:p w14:paraId="3C2A4D0D">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质量保证措施、体系不够具体和完善的，得0-7分。</w:t>
            </w:r>
          </w:p>
        </w:tc>
      </w:tr>
      <w:tr w14:paraId="715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blHeader/>
        </w:trPr>
        <w:tc>
          <w:tcPr>
            <w:tcW w:w="1224" w:type="dxa"/>
            <w:vMerge w:val="continue"/>
            <w:noWrap w:val="0"/>
            <w:vAlign w:val="center"/>
          </w:tcPr>
          <w:p w14:paraId="28041CD9">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510" w:type="dxa"/>
            <w:vMerge w:val="continue"/>
            <w:noWrap w:val="0"/>
            <w:vAlign w:val="center"/>
          </w:tcPr>
          <w:p w14:paraId="35A95116">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515" w:type="dxa"/>
            <w:noWrap w:val="0"/>
            <w:vAlign w:val="center"/>
          </w:tcPr>
          <w:p w14:paraId="62DFEF1A">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服务承诺（15分）</w:t>
            </w:r>
          </w:p>
        </w:tc>
        <w:tc>
          <w:tcPr>
            <w:tcW w:w="6906" w:type="dxa"/>
            <w:noWrap w:val="0"/>
            <w:vAlign w:val="center"/>
          </w:tcPr>
          <w:p w14:paraId="40560810">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1、承诺项目完成期限，工作均能按要求完成，数据资料汇报及时性等承诺，按其响应程度计8-15分；</w:t>
            </w:r>
          </w:p>
          <w:p w14:paraId="5D392532">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2、针对磋商文件内容及相关服务方案有合理承诺，按其响应程度计0-7分。</w:t>
            </w:r>
          </w:p>
        </w:tc>
      </w:tr>
      <w:tr w14:paraId="3BB8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blHeader/>
        </w:trPr>
        <w:tc>
          <w:tcPr>
            <w:tcW w:w="1224" w:type="dxa"/>
            <w:vMerge w:val="continue"/>
            <w:noWrap w:val="0"/>
            <w:vAlign w:val="center"/>
          </w:tcPr>
          <w:p w14:paraId="4D335CD9">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510" w:type="dxa"/>
            <w:vMerge w:val="continue"/>
            <w:noWrap w:val="0"/>
            <w:vAlign w:val="center"/>
          </w:tcPr>
          <w:p w14:paraId="0BA5B562">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515" w:type="dxa"/>
            <w:noWrap w:val="0"/>
            <w:vAlign w:val="center"/>
          </w:tcPr>
          <w:p w14:paraId="27F97CCC">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保密措施（5分）</w:t>
            </w:r>
          </w:p>
        </w:tc>
        <w:tc>
          <w:tcPr>
            <w:tcW w:w="6906" w:type="dxa"/>
            <w:noWrap w:val="0"/>
            <w:vAlign w:val="center"/>
          </w:tcPr>
          <w:p w14:paraId="0F519923">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sz w:val="24"/>
                <w:szCs w:val="24"/>
              </w:rPr>
              <w:t>针对本项目有完善的项目资料保密措施</w:t>
            </w:r>
            <w:r>
              <w:rPr>
                <w:rFonts w:hint="eastAsia" w:ascii="宋体" w:hAnsi="宋体" w:eastAsia="宋体" w:cs="宋体"/>
                <w:sz w:val="24"/>
                <w:szCs w:val="24"/>
                <w:lang w:val="en-US" w:eastAsia="zh-CN"/>
              </w:rPr>
              <w:t>得（0-5分）</w:t>
            </w:r>
          </w:p>
        </w:tc>
      </w:tr>
      <w:tr w14:paraId="032B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blHeader/>
        </w:trPr>
        <w:tc>
          <w:tcPr>
            <w:tcW w:w="1224" w:type="dxa"/>
            <w:noWrap w:val="0"/>
            <w:vAlign w:val="center"/>
          </w:tcPr>
          <w:p w14:paraId="64574F0F">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类似项目</w:t>
            </w:r>
          </w:p>
          <w:p w14:paraId="0E501B00">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业 绩 </w:t>
            </w:r>
          </w:p>
        </w:tc>
        <w:tc>
          <w:tcPr>
            <w:tcW w:w="510" w:type="dxa"/>
            <w:noWrap w:val="0"/>
            <w:vAlign w:val="center"/>
          </w:tcPr>
          <w:p w14:paraId="405ACDCC">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8421" w:type="dxa"/>
            <w:gridSpan w:val="2"/>
            <w:noWrap w:val="0"/>
            <w:vAlign w:val="center"/>
          </w:tcPr>
          <w:p w14:paraId="7CFD5E40">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供应商近三年类似项目业绩，每个计5分，计满10分为止。</w:t>
            </w:r>
          </w:p>
          <w:p w14:paraId="681CC6BA">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备注：业绩证明材料以合同为准，业绩证明材料须体现时间。</w:t>
            </w:r>
          </w:p>
        </w:tc>
      </w:tr>
      <w:tr w14:paraId="3AB9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9" w:hRule="atLeast"/>
          <w:tblHeader/>
        </w:trPr>
        <w:tc>
          <w:tcPr>
            <w:tcW w:w="10155" w:type="dxa"/>
            <w:gridSpan w:val="4"/>
            <w:noWrap w:val="0"/>
            <w:vAlign w:val="center"/>
          </w:tcPr>
          <w:p w14:paraId="5BC9AF28">
            <w:pPr>
              <w:numPr>
                <w:ilvl w:val="0"/>
                <w:numId w:val="3"/>
              </w:numPr>
              <w:spacing w:line="360" w:lineRule="auto"/>
              <w:ind w:left="12" w:leftChars="0" w:hanging="12" w:hangingChars="5"/>
              <w:jc w:val="left"/>
              <w:rPr>
                <w:rFonts w:hint="eastAsia"/>
                <w:color w:val="auto"/>
                <w:highlight w:val="none"/>
              </w:rPr>
            </w:pPr>
            <w:r>
              <w:rPr>
                <w:rFonts w:hint="eastAsia" w:ascii="宋体" w:hAnsi="宋体" w:eastAsia="宋体" w:cs="宋体"/>
                <w:color w:val="auto"/>
                <w:sz w:val="24"/>
                <w:szCs w:val="24"/>
                <w:highlight w:val="none"/>
              </w:rPr>
              <w:t>各评委应按照本评标方法独立打分。</w:t>
            </w:r>
          </w:p>
          <w:p w14:paraId="4456877C">
            <w:pPr>
              <w:spacing w:line="360" w:lineRule="auto"/>
              <w:ind w:left="12" w:leftChars="0" w:hanging="12" w:hangingChars="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分项评分超出评分标准范围或</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成员对客观评审因素评分不一致时，采购代理机构可以要求</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复核或者书面说明理由，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拒绝的，应予记录并向本级财政部门报告。</w:t>
            </w:r>
          </w:p>
          <w:p w14:paraId="082FA9E7">
            <w:pPr>
              <w:spacing w:line="360" w:lineRule="auto"/>
              <w:ind w:left="12" w:leftChars="0" w:hanging="12" w:hangingChars="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若出现综合得分并列时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比较技术得分，此分项得分高者排序在前；若技术得分相同，则由全体</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成员无记名投票，得票高者排序在前。</w:t>
            </w:r>
          </w:p>
          <w:p w14:paraId="35B6AC06">
            <w:pPr>
              <w:spacing w:line="360" w:lineRule="auto"/>
              <w:ind w:left="12" w:leftChars="0" w:hanging="12" w:hangingChars="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计算结果</w:t>
            </w:r>
            <w:r>
              <w:rPr>
                <w:rFonts w:hint="eastAsia" w:ascii="宋体" w:hAnsi="宋体" w:eastAsia="宋体" w:cs="宋体"/>
                <w:color w:val="auto"/>
                <w:sz w:val="24"/>
                <w:szCs w:val="24"/>
                <w:highlight w:val="none"/>
              </w:rPr>
              <w:t>保留两位小数，第三位“四舍五入”。</w:t>
            </w:r>
          </w:p>
          <w:p w14:paraId="0313D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评标过程中，若出现特殊情况时，由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决定暂停评标，并提出具体处理意见。</w:t>
            </w:r>
          </w:p>
        </w:tc>
      </w:tr>
    </w:tbl>
    <w:p w14:paraId="3AC41406">
      <w:pPr>
        <w:spacing w:line="311" w:lineRule="auto"/>
        <w:rPr>
          <w:rFonts w:ascii="宋体" w:hAnsi="宋体" w:eastAsia="宋体" w:cs="宋体"/>
          <w:color w:val="auto"/>
          <w:sz w:val="24"/>
          <w:szCs w:val="24"/>
          <w:highlight w:val="none"/>
        </w:rPr>
        <w:sectPr>
          <w:footerReference r:id="rId8" w:type="default"/>
          <w:pgSz w:w="11906" w:h="16840"/>
          <w:pgMar w:top="773" w:right="1214" w:bottom="1343" w:left="1298" w:header="0" w:footer="1173" w:gutter="0"/>
          <w:pgNumType w:fmt="decimal"/>
          <w:cols w:space="720" w:num="1"/>
        </w:sectPr>
      </w:pPr>
    </w:p>
    <w:p w14:paraId="066BBA51">
      <w:pPr>
        <w:spacing w:before="232" w:line="391" w:lineRule="exact"/>
        <w:ind w:left="2108"/>
        <w:outlineLvl w:val="0"/>
        <w:rPr>
          <w:rFonts w:ascii="微软雅黑" w:hAnsi="微软雅黑" w:eastAsia="微软雅黑" w:cs="微软雅黑"/>
          <w:color w:val="auto"/>
          <w:sz w:val="39"/>
          <w:szCs w:val="39"/>
          <w:highlight w:val="none"/>
        </w:rPr>
      </w:pPr>
      <w:bookmarkStart w:id="23" w:name="_Toc21443"/>
      <w:bookmarkStart w:id="24" w:name="_Toc22402"/>
      <w:r>
        <w:rPr>
          <w:rFonts w:ascii="微软雅黑" w:hAnsi="微软雅黑" w:eastAsia="微软雅黑" w:cs="微软雅黑"/>
          <w:color w:val="auto"/>
          <w:spacing w:val="-18"/>
          <w:position w:val="-2"/>
          <w:sz w:val="39"/>
          <w:szCs w:val="39"/>
          <w:highlight w:val="none"/>
        </w:rPr>
        <w:t>第四章</w:t>
      </w:r>
      <w:r>
        <w:rPr>
          <w:rFonts w:ascii="微软雅黑" w:hAnsi="微软雅黑" w:eastAsia="微软雅黑" w:cs="微软雅黑"/>
          <w:color w:val="auto"/>
          <w:spacing w:val="10"/>
          <w:position w:val="-2"/>
          <w:sz w:val="39"/>
          <w:szCs w:val="39"/>
          <w:highlight w:val="none"/>
        </w:rPr>
        <w:t xml:space="preserve">   </w:t>
      </w:r>
      <w:r>
        <w:rPr>
          <w:rFonts w:ascii="微软雅黑" w:hAnsi="微软雅黑" w:eastAsia="微软雅黑" w:cs="微软雅黑"/>
          <w:color w:val="auto"/>
          <w:spacing w:val="-18"/>
          <w:position w:val="-2"/>
          <w:sz w:val="39"/>
          <w:szCs w:val="39"/>
          <w:highlight w:val="none"/>
        </w:rPr>
        <w:t>合同条款及格式</w:t>
      </w:r>
      <w:bookmarkEnd w:id="23"/>
      <w:bookmarkEnd w:id="24"/>
    </w:p>
    <w:p w14:paraId="4394EC83">
      <w:pPr>
        <w:pStyle w:val="10"/>
        <w:spacing w:line="280" w:lineRule="auto"/>
        <w:rPr>
          <w:color w:val="auto"/>
          <w:highlight w:val="none"/>
        </w:rPr>
      </w:pPr>
    </w:p>
    <w:p w14:paraId="5B40FB0E">
      <w:pPr>
        <w:pStyle w:val="10"/>
        <w:spacing w:line="280" w:lineRule="auto"/>
        <w:rPr>
          <w:color w:val="auto"/>
          <w:highlight w:val="none"/>
        </w:rPr>
      </w:pPr>
    </w:p>
    <w:p w14:paraId="13FB1951">
      <w:pPr>
        <w:pStyle w:val="7"/>
        <w:ind w:firstLine="0" w:firstLineChars="0"/>
        <w:jc w:val="center"/>
        <w:rPr>
          <w:b/>
          <w:bCs/>
          <w:sz w:val="48"/>
          <w:szCs w:val="48"/>
        </w:rPr>
      </w:pPr>
    </w:p>
    <w:p w14:paraId="73B57DAD">
      <w:pPr>
        <w:pStyle w:val="7"/>
        <w:ind w:firstLine="0" w:firstLineChars="0"/>
        <w:jc w:val="center"/>
        <w:rPr>
          <w:b/>
          <w:bCs/>
          <w:sz w:val="48"/>
          <w:szCs w:val="48"/>
        </w:rPr>
      </w:pPr>
    </w:p>
    <w:p w14:paraId="00E4DFCB">
      <w:pPr>
        <w:pStyle w:val="7"/>
        <w:ind w:firstLine="0" w:firstLineChars="0"/>
        <w:jc w:val="center"/>
        <w:rPr>
          <w:b/>
          <w:bCs/>
          <w:sz w:val="48"/>
          <w:szCs w:val="48"/>
        </w:rPr>
      </w:pPr>
      <w:r>
        <w:rPr>
          <w:rFonts w:hint="eastAsia"/>
          <w:b/>
          <w:bCs/>
          <w:sz w:val="48"/>
          <w:szCs w:val="48"/>
          <w:lang w:eastAsia="zh-CN"/>
        </w:rPr>
        <w:t>咸阳高新区区域性气候可行性论证报告编制采购项目</w:t>
      </w:r>
      <w:r>
        <w:rPr>
          <w:rFonts w:hint="eastAsia"/>
          <w:b/>
          <w:bCs/>
          <w:sz w:val="48"/>
          <w:szCs w:val="48"/>
        </w:rPr>
        <w:t>合同</w:t>
      </w:r>
    </w:p>
    <w:p w14:paraId="2E082A96">
      <w:pPr>
        <w:pStyle w:val="7"/>
        <w:ind w:firstLine="0" w:firstLineChars="0"/>
        <w:jc w:val="center"/>
        <w:rPr>
          <w:b/>
          <w:bCs/>
          <w:sz w:val="48"/>
          <w:szCs w:val="48"/>
        </w:rPr>
      </w:pPr>
    </w:p>
    <w:p w14:paraId="1A570505">
      <w:pPr>
        <w:pStyle w:val="7"/>
        <w:ind w:firstLine="0" w:firstLineChars="0"/>
        <w:jc w:val="center"/>
        <w:rPr>
          <w:b/>
          <w:bCs/>
          <w:sz w:val="48"/>
          <w:szCs w:val="48"/>
        </w:rPr>
      </w:pPr>
    </w:p>
    <w:p w14:paraId="161089A3">
      <w:pPr>
        <w:pStyle w:val="7"/>
        <w:ind w:firstLine="0" w:firstLineChars="0"/>
        <w:jc w:val="center"/>
        <w:rPr>
          <w:bCs/>
          <w:sz w:val="24"/>
          <w:szCs w:val="24"/>
        </w:rPr>
      </w:pPr>
      <w:r>
        <w:rPr>
          <w:rFonts w:hint="eastAsia" w:ascii="仿宋_GB2312" w:hAnsi="仿宋_GB2312" w:eastAsia="仿宋_GB2312" w:cs="仿宋_GB2312"/>
          <w:snapToGrid w:val="0"/>
          <w:color w:val="000000"/>
          <w:kern w:val="0"/>
          <w:sz w:val="32"/>
          <w:szCs w:val="32"/>
          <w:highlight w:val="yellow"/>
          <w:lang w:val="en-US" w:eastAsia="en-US" w:bidi="ar-SA"/>
        </w:rPr>
        <w:t>合同编号：</w:t>
      </w:r>
      <w:r>
        <w:rPr>
          <w:rFonts w:hint="eastAsia" w:ascii="仿宋_GB2312" w:hAnsi="仿宋_GB2312" w:eastAsia="仿宋_GB2312" w:cs="仿宋_GB2312"/>
          <w:snapToGrid w:val="0"/>
          <w:color w:val="000000"/>
          <w:kern w:val="0"/>
          <w:sz w:val="32"/>
          <w:szCs w:val="32"/>
          <w:highlight w:val="yellow"/>
          <w:lang w:val="en-US" w:eastAsia="zh-CN" w:bidi="ar-SA"/>
        </w:rPr>
        <w:t xml:space="preserve"> </w:t>
      </w:r>
      <w:r>
        <w:rPr>
          <w:rFonts w:hint="eastAsia"/>
          <w:bCs/>
          <w:sz w:val="24"/>
          <w:szCs w:val="24"/>
        </w:rPr>
        <w:t xml:space="preserve"> </w:t>
      </w:r>
    </w:p>
    <w:p w14:paraId="38082EF2">
      <w:pPr>
        <w:pStyle w:val="7"/>
        <w:ind w:firstLine="0" w:firstLineChars="0"/>
        <w:jc w:val="center"/>
        <w:rPr>
          <w:bCs/>
          <w:sz w:val="24"/>
          <w:szCs w:val="24"/>
        </w:rPr>
      </w:pPr>
    </w:p>
    <w:p w14:paraId="40085CBE">
      <w:pPr>
        <w:pStyle w:val="7"/>
        <w:ind w:firstLine="0" w:firstLineChars="0"/>
        <w:jc w:val="center"/>
        <w:rPr>
          <w:bCs/>
          <w:sz w:val="24"/>
          <w:szCs w:val="24"/>
        </w:rPr>
      </w:pPr>
    </w:p>
    <w:p w14:paraId="19B7B28D">
      <w:pPr>
        <w:pStyle w:val="7"/>
        <w:ind w:firstLine="0" w:firstLineChars="0"/>
        <w:jc w:val="center"/>
        <w:rPr>
          <w:bCs/>
          <w:sz w:val="24"/>
          <w:szCs w:val="24"/>
        </w:rPr>
      </w:pPr>
    </w:p>
    <w:p w14:paraId="6B6DD152">
      <w:pPr>
        <w:pStyle w:val="7"/>
        <w:ind w:firstLine="0" w:firstLineChars="0"/>
        <w:jc w:val="center"/>
        <w:rPr>
          <w:bCs/>
          <w:sz w:val="24"/>
          <w:szCs w:val="24"/>
        </w:rPr>
      </w:pPr>
    </w:p>
    <w:p w14:paraId="46193BAA">
      <w:pPr>
        <w:pStyle w:val="7"/>
        <w:ind w:firstLine="0" w:firstLineChars="0"/>
        <w:jc w:val="both"/>
        <w:rPr>
          <w:bCs/>
          <w:sz w:val="24"/>
          <w:szCs w:val="24"/>
        </w:rPr>
      </w:pPr>
    </w:p>
    <w:p w14:paraId="7A245EAB">
      <w:pPr>
        <w:pStyle w:val="7"/>
        <w:ind w:firstLine="0" w:firstLineChars="0"/>
        <w:jc w:val="center"/>
        <w:rPr>
          <w:bCs/>
          <w:sz w:val="24"/>
          <w:szCs w:val="24"/>
        </w:rPr>
      </w:pPr>
    </w:p>
    <w:p w14:paraId="32CC4608">
      <w:pPr>
        <w:pStyle w:val="7"/>
        <w:ind w:firstLine="0" w:firstLineChars="0"/>
        <w:jc w:val="center"/>
        <w:rPr>
          <w:bCs/>
          <w:sz w:val="24"/>
          <w:szCs w:val="24"/>
        </w:rPr>
      </w:pPr>
    </w:p>
    <w:p w14:paraId="3C6BA821">
      <w:pPr>
        <w:pStyle w:val="7"/>
        <w:ind w:firstLine="0" w:firstLineChars="0"/>
        <w:jc w:val="center"/>
        <w:rPr>
          <w:bCs/>
          <w:sz w:val="24"/>
          <w:szCs w:val="24"/>
        </w:rPr>
      </w:pPr>
    </w:p>
    <w:p w14:paraId="7115EBEB">
      <w:pPr>
        <w:pStyle w:val="7"/>
        <w:ind w:firstLine="0" w:firstLineChars="0"/>
        <w:jc w:val="center"/>
        <w:rPr>
          <w:bCs/>
          <w:sz w:val="24"/>
          <w:szCs w:val="24"/>
        </w:rPr>
      </w:pPr>
    </w:p>
    <w:p w14:paraId="7C580C96">
      <w:pPr>
        <w:pStyle w:val="7"/>
        <w:ind w:firstLine="0" w:firstLineChars="0"/>
        <w:jc w:val="center"/>
        <w:rPr>
          <w:bCs/>
          <w:sz w:val="24"/>
          <w:szCs w:val="24"/>
        </w:rPr>
      </w:pPr>
    </w:p>
    <w:p w14:paraId="3A9324C2">
      <w:pPr>
        <w:snapToGrid w:val="0"/>
        <w:rPr>
          <w:rFonts w:ascii="仿宋_GB2312" w:hAnsi="仿宋_GB2312" w:eastAsia="仿宋_GB2312" w:cs="仿宋_GB2312"/>
          <w:sz w:val="32"/>
          <w:szCs w:val="32"/>
        </w:rPr>
      </w:pPr>
    </w:p>
    <w:p w14:paraId="437A21D0">
      <w:pPr>
        <w:pStyle w:val="5"/>
      </w:pPr>
    </w:p>
    <w:p w14:paraId="50203852"/>
    <w:p w14:paraId="7C0DE508">
      <w:pPr>
        <w:snapToGrid w:val="0"/>
        <w:rPr>
          <w:rFonts w:ascii="仿宋_GB2312" w:hAnsi="仿宋_GB2312" w:eastAsia="仿宋_GB2312" w:cs="仿宋_GB2312"/>
          <w:sz w:val="32"/>
          <w:szCs w:val="32"/>
        </w:rPr>
      </w:pPr>
    </w:p>
    <w:p w14:paraId="6CAB951A">
      <w:pPr>
        <w:snapToGrid w:val="0"/>
        <w:rPr>
          <w:rFonts w:ascii="仿宋_GB2312" w:hAnsi="仿宋_GB2312" w:eastAsia="仿宋_GB2312" w:cs="仿宋_GB2312"/>
          <w:sz w:val="32"/>
          <w:szCs w:val="32"/>
        </w:rPr>
      </w:pPr>
    </w:p>
    <w:p w14:paraId="067429CD">
      <w:pPr>
        <w:snapToGrid w:val="0"/>
        <w:ind w:firstLine="2880" w:firstLineChars="9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yellow"/>
        </w:rPr>
        <w:t>签订地点：陕西·</w:t>
      </w:r>
      <w:r>
        <w:rPr>
          <w:rFonts w:hint="eastAsia" w:ascii="仿宋_GB2312" w:hAnsi="仿宋_GB2312" w:eastAsia="仿宋_GB2312" w:cs="仿宋_GB2312"/>
          <w:sz w:val="32"/>
          <w:szCs w:val="32"/>
          <w:highlight w:val="yellow"/>
          <w:lang w:val="en-US" w:eastAsia="zh-CN"/>
        </w:rPr>
        <w:t>咸阳</w:t>
      </w:r>
    </w:p>
    <w:p w14:paraId="6E31E8E6">
      <w:pPr>
        <w:widowControl/>
        <w:ind w:firstLine="1280" w:firstLineChars="400"/>
        <w:jc w:val="left"/>
        <w:rPr>
          <w:rFonts w:ascii="仿宋_GB2312" w:hAnsi="仿宋_GB2312" w:eastAsia="仿宋_GB2312" w:cs="仿宋_GB2312"/>
          <w:sz w:val="32"/>
          <w:szCs w:val="32"/>
        </w:rPr>
      </w:pPr>
    </w:p>
    <w:p w14:paraId="589A67A7">
      <w:pPr>
        <w:pStyle w:val="7"/>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p>
    <w:p w14:paraId="18F50FE7">
      <w:pPr>
        <w:pStyle w:val="7"/>
        <w:ind w:firstLine="0" w:firstLineChars="0"/>
        <w:jc w:val="center"/>
        <w:rPr>
          <w:rFonts w:ascii="仿宋_GB2312" w:hAnsi="仿宋_GB2312" w:eastAsia="仿宋_GB2312" w:cs="仿宋_GB2312"/>
          <w:sz w:val="32"/>
          <w:szCs w:val="32"/>
        </w:rPr>
      </w:pPr>
    </w:p>
    <w:p w14:paraId="54C7457F">
      <w:pPr>
        <w:pStyle w:val="7"/>
        <w:ind w:firstLine="0" w:firstLineChars="0"/>
        <w:jc w:val="center"/>
        <w:rPr>
          <w:b/>
          <w:bCs/>
          <w:sz w:val="48"/>
          <w:szCs w:val="48"/>
        </w:rPr>
      </w:pPr>
    </w:p>
    <w:p w14:paraId="7DEE971C">
      <w:pPr>
        <w:pStyle w:val="7"/>
        <w:ind w:firstLine="0" w:firstLineChars="0"/>
        <w:jc w:val="center"/>
        <w:rPr>
          <w:rFonts w:hint="eastAsia" w:eastAsia="宋体"/>
          <w:b/>
          <w:bCs/>
          <w:sz w:val="48"/>
          <w:szCs w:val="48"/>
          <w:lang w:val="en-US" w:eastAsia="zh-CN"/>
        </w:rPr>
      </w:pPr>
      <w:r>
        <w:rPr>
          <w:rFonts w:hint="eastAsia" w:eastAsia="宋体"/>
          <w:b/>
          <w:bCs/>
          <w:sz w:val="48"/>
          <w:szCs w:val="48"/>
          <w:lang w:val="en-US" w:eastAsia="zh-CN"/>
        </w:rPr>
        <w:t xml:space="preserve"> </w:t>
      </w:r>
    </w:p>
    <w:p w14:paraId="100F85F3">
      <w:pPr>
        <w:adjustRightInd w:val="0"/>
        <w:snapToGrid w:val="0"/>
        <w:spacing w:line="360" w:lineRule="auto"/>
        <w:ind w:firstLine="480" w:firstLineChars="200"/>
        <w:rPr>
          <w:rFonts w:ascii="宋体" w:hAnsi="宋体" w:cs="宋体"/>
          <w:b/>
          <w:sz w:val="24"/>
          <w:szCs w:val="24"/>
        </w:rPr>
      </w:pPr>
      <w:r>
        <w:rPr>
          <w:rFonts w:hint="eastAsia" w:ascii="宋体" w:hAnsi="宋体" w:cs="宋体"/>
          <w:b/>
          <w:sz w:val="24"/>
          <w:szCs w:val="24"/>
        </w:rPr>
        <w:t>甲  方（全称）：</w:t>
      </w:r>
      <w:r>
        <w:rPr>
          <w:rFonts w:hint="eastAsia" w:ascii="宋体" w:hAnsi="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7920CD30">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b/>
          <w:sz w:val="24"/>
          <w:szCs w:val="24"/>
        </w:rPr>
        <w:t>供应商（全称）：</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p>
    <w:p w14:paraId="3DB120DE">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根据《中华人民共和国民法典》及其他有关法律、法规，遵循平等、自愿、公平和诚信的原则，双方就下述项目范围与相关服务事项协商一致，订立本合同。</w:t>
      </w:r>
    </w:p>
    <w:p w14:paraId="07A39D5C">
      <w:pPr>
        <w:spacing w:line="360" w:lineRule="auto"/>
        <w:rPr>
          <w:rFonts w:ascii="宋体" w:hAnsi="宋体" w:cs="宋体"/>
          <w:b/>
          <w:sz w:val="24"/>
          <w:szCs w:val="24"/>
        </w:rPr>
      </w:pPr>
      <w:r>
        <w:rPr>
          <w:rFonts w:hint="eastAsia" w:ascii="宋体" w:hAnsi="宋体" w:cs="宋体"/>
          <w:b/>
          <w:sz w:val="24"/>
          <w:szCs w:val="24"/>
        </w:rPr>
        <w:t>一、项目概况</w:t>
      </w:r>
    </w:p>
    <w:p w14:paraId="0120BA3F">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1. 项目名称：</w:t>
      </w:r>
      <w:r>
        <w:rPr>
          <w:rFonts w:hint="eastAsia" w:ascii="宋体" w:hAnsi="宋体" w:cs="宋体"/>
          <w:sz w:val="24"/>
          <w:szCs w:val="24"/>
          <w:lang w:eastAsia="zh-CN"/>
        </w:rPr>
        <w:t>咸阳高新区区域性气候可行性论证报告编制采购项目</w:t>
      </w:r>
      <w:r>
        <w:rPr>
          <w:rFonts w:hint="eastAsia" w:ascii="宋体" w:hAnsi="宋体" w:cs="宋体"/>
          <w:sz w:val="24"/>
          <w:szCs w:val="24"/>
        </w:rPr>
        <w:t>；</w:t>
      </w:r>
    </w:p>
    <w:p w14:paraId="24AED706">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2. 项目服务地点：</w:t>
      </w:r>
      <w:r>
        <w:rPr>
          <w:rFonts w:hint="eastAsia" w:ascii="宋体" w:hAnsi="宋体" w:eastAsia="宋体" w:cs="宋体"/>
          <w:sz w:val="24"/>
          <w:szCs w:val="24"/>
          <w:u w:val="single"/>
          <w:lang w:val="en-US" w:eastAsia="zh-CN"/>
        </w:rPr>
        <w:t>采购人</w:t>
      </w:r>
      <w:r>
        <w:rPr>
          <w:rFonts w:hint="eastAsia" w:ascii="宋体" w:hAnsi="宋体" w:cs="宋体"/>
          <w:sz w:val="24"/>
          <w:szCs w:val="24"/>
          <w:u w:val="single"/>
        </w:rPr>
        <w:t>指定地点</w:t>
      </w:r>
      <w:r>
        <w:rPr>
          <w:rFonts w:hint="eastAsia" w:ascii="宋体" w:hAnsi="宋体" w:cs="宋体"/>
          <w:sz w:val="24"/>
          <w:szCs w:val="24"/>
        </w:rPr>
        <w:t>；</w:t>
      </w:r>
    </w:p>
    <w:p w14:paraId="0B0D5CD2">
      <w:pPr>
        <w:spacing w:line="360" w:lineRule="auto"/>
        <w:rPr>
          <w:rFonts w:ascii="宋体" w:hAnsi="宋体" w:cs="宋体"/>
          <w:b/>
          <w:sz w:val="24"/>
          <w:szCs w:val="24"/>
        </w:rPr>
      </w:pPr>
      <w:r>
        <w:rPr>
          <w:rFonts w:hint="eastAsia" w:ascii="宋体" w:hAnsi="宋体" w:cs="宋体"/>
          <w:b/>
          <w:sz w:val="24"/>
          <w:szCs w:val="24"/>
        </w:rPr>
        <w:t>二、组成本合同的文件</w:t>
      </w:r>
    </w:p>
    <w:p w14:paraId="6AF54079">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1. 协议书；</w:t>
      </w:r>
    </w:p>
    <w:p w14:paraId="0DC4E954">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2. 成交通知书、响应文件、招标文件、澄清；</w:t>
      </w:r>
    </w:p>
    <w:p w14:paraId="5488938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 响应文件或相关服务建议书；</w:t>
      </w:r>
    </w:p>
    <w:p w14:paraId="48A17EEE">
      <w:pPr>
        <w:adjustRightInd w:val="0"/>
        <w:snapToGrid w:val="0"/>
        <w:spacing w:line="360" w:lineRule="auto"/>
        <w:rPr>
          <w:rFonts w:ascii="宋体" w:hAnsi="宋体" w:cs="宋体"/>
          <w:sz w:val="24"/>
          <w:szCs w:val="24"/>
        </w:rPr>
      </w:pPr>
      <w:r>
        <w:rPr>
          <w:rFonts w:hint="eastAsia" w:ascii="宋体" w:hAnsi="宋体" w:cs="宋体"/>
          <w:sz w:val="24"/>
          <w:szCs w:val="24"/>
        </w:rPr>
        <w:t xml:space="preserve">    4. 附录，即：附表内相关服务的范围和内容；</w:t>
      </w:r>
    </w:p>
    <w:p w14:paraId="112EC808">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本合同签订后，双方依法签订的补充协议、备忘录也是本合同文件的组成部分。</w:t>
      </w:r>
    </w:p>
    <w:p w14:paraId="5BF72CD1">
      <w:pPr>
        <w:spacing w:line="360" w:lineRule="auto"/>
        <w:rPr>
          <w:rFonts w:ascii="宋体" w:hAnsi="宋体" w:cs="宋体"/>
          <w:b/>
          <w:sz w:val="24"/>
          <w:szCs w:val="24"/>
        </w:rPr>
      </w:pPr>
      <w:r>
        <w:rPr>
          <w:rFonts w:hint="eastAsia" w:ascii="宋体" w:hAnsi="宋体" w:cs="宋体"/>
          <w:b/>
          <w:sz w:val="24"/>
          <w:szCs w:val="24"/>
        </w:rPr>
        <w:t>三、签约金额</w:t>
      </w:r>
    </w:p>
    <w:p w14:paraId="0635D577">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签约金额（大写）：</w:t>
      </w:r>
      <w:r>
        <w:rPr>
          <w:rFonts w:hint="eastAsia" w:ascii="宋体" w:hAnsi="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2B2F0031">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合同单价一次包死，不受市场价变化或实际工作量变化的影响，合同价格为含税价，供应商（中标人）提供服务所发生的一切税（包括增值税）费等都已包含于合同价款中。</w:t>
      </w:r>
    </w:p>
    <w:p w14:paraId="41830ADA">
      <w:pPr>
        <w:adjustRightInd w:val="0"/>
        <w:snapToGrid w:val="0"/>
        <w:spacing w:line="360" w:lineRule="auto"/>
        <w:rPr>
          <w:rFonts w:ascii="宋体" w:hAnsi="宋体" w:cs="宋体"/>
          <w:b/>
          <w:sz w:val="24"/>
          <w:szCs w:val="24"/>
        </w:rPr>
      </w:pPr>
      <w:r>
        <w:rPr>
          <w:rFonts w:hint="eastAsia" w:ascii="宋体" w:hAnsi="宋体" w:cs="宋体"/>
          <w:b/>
          <w:sz w:val="24"/>
          <w:szCs w:val="24"/>
        </w:rPr>
        <w:t>四、结算方式：</w:t>
      </w:r>
    </w:p>
    <w:p w14:paraId="6DF35270">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（1）结算单位：由招标人以人民币负责结算，在付款前，供应商必须开具全额发票给招标人。</w:t>
      </w:r>
    </w:p>
    <w:p w14:paraId="75EC4902">
      <w:pPr>
        <w:spacing w:line="360" w:lineRule="auto"/>
        <w:ind w:firstLine="480"/>
        <w:rPr>
          <w:rFonts w:ascii="宋体" w:hAnsi="宋体" w:cs="宋体"/>
          <w:sz w:val="24"/>
          <w:szCs w:val="24"/>
        </w:rPr>
      </w:pPr>
      <w:r>
        <w:rPr>
          <w:rFonts w:hint="eastAsia" w:ascii="宋体" w:hAnsi="宋体" w:cs="宋体"/>
          <w:sz w:val="24"/>
          <w:szCs w:val="24"/>
          <w:highlight w:val="yellow"/>
        </w:rPr>
        <w:t>（2）付款方式：</w:t>
      </w:r>
      <w:r>
        <w:rPr>
          <w:rFonts w:hint="eastAsia" w:ascii="宋体" w:hAnsi="宋体" w:cs="宋体"/>
          <w:sz w:val="24"/>
          <w:szCs w:val="24"/>
          <w:highlight w:val="yellow"/>
          <w:u w:val="single"/>
        </w:rPr>
        <w:t>合同签订后15日，甲方向乙方支付合同款50%，计金额（大写）：（¥</w:t>
      </w:r>
      <w:r>
        <w:rPr>
          <w:rFonts w:hint="eastAsia" w:ascii="宋体" w:hAnsi="宋体" w:eastAsia="宋体" w:cs="宋体"/>
          <w:sz w:val="24"/>
          <w:szCs w:val="24"/>
          <w:highlight w:val="yellow"/>
          <w:u w:val="single"/>
          <w:lang w:val="en-US" w:eastAsia="zh-CN"/>
        </w:rPr>
        <w:t xml:space="preserve">   </w:t>
      </w:r>
      <w:r>
        <w:rPr>
          <w:rFonts w:hint="eastAsia" w:ascii="宋体" w:hAnsi="宋体" w:cs="宋体"/>
          <w:sz w:val="24"/>
          <w:szCs w:val="24"/>
          <w:highlight w:val="yellow"/>
          <w:u w:val="single"/>
          <w:lang w:val="en-US" w:eastAsia="zh-CN"/>
        </w:rPr>
        <w:t xml:space="preserve"> </w:t>
      </w:r>
      <w:r>
        <w:rPr>
          <w:rFonts w:hint="eastAsia" w:ascii="宋体" w:hAnsi="宋体" w:cs="宋体"/>
          <w:sz w:val="24"/>
          <w:szCs w:val="24"/>
          <w:highlight w:val="yellow"/>
          <w:u w:val="single"/>
        </w:rPr>
        <w:t>）;可行性论证报告成果验收合格后支付合同款</w:t>
      </w:r>
      <w:r>
        <w:rPr>
          <w:rFonts w:hint="eastAsia" w:ascii="宋体" w:hAnsi="宋体" w:cs="宋体"/>
          <w:sz w:val="24"/>
          <w:szCs w:val="24"/>
          <w:highlight w:val="yellow"/>
          <w:u w:val="single"/>
          <w:lang w:val="en-US" w:eastAsia="zh-CN"/>
        </w:rPr>
        <w:t>5</w:t>
      </w:r>
      <w:r>
        <w:rPr>
          <w:rFonts w:hint="eastAsia" w:ascii="宋体" w:hAnsi="宋体" w:cs="宋体"/>
          <w:sz w:val="24"/>
          <w:szCs w:val="24"/>
          <w:highlight w:val="yellow"/>
          <w:u w:val="single"/>
        </w:rPr>
        <w:t>0%，计金额（大写）：（¥ ）</w:t>
      </w:r>
      <w:r>
        <w:rPr>
          <w:rFonts w:hint="eastAsia" w:ascii="宋体" w:hAnsi="宋体" w:cs="宋体"/>
          <w:sz w:val="24"/>
          <w:szCs w:val="24"/>
          <w:highlight w:val="yellow"/>
        </w:rPr>
        <w:t>。</w:t>
      </w:r>
    </w:p>
    <w:p w14:paraId="56676D29">
      <w:pPr>
        <w:adjustRightInd w:val="0"/>
        <w:snapToGrid w:val="0"/>
        <w:spacing w:line="360" w:lineRule="auto"/>
        <w:ind w:firstLine="475" w:firstLineChars="198"/>
        <w:rPr>
          <w:rFonts w:ascii="宋体" w:hAnsi="宋体" w:cs="宋体"/>
          <w:sz w:val="24"/>
          <w:szCs w:val="24"/>
        </w:rPr>
      </w:pPr>
    </w:p>
    <w:p w14:paraId="53C7081D">
      <w:pPr>
        <w:adjustRightInd w:val="0"/>
        <w:snapToGrid w:val="0"/>
        <w:spacing w:line="360" w:lineRule="auto"/>
        <w:rPr>
          <w:rFonts w:ascii="宋体" w:hAnsi="宋体" w:cs="宋体"/>
          <w:b/>
          <w:sz w:val="24"/>
          <w:szCs w:val="24"/>
        </w:rPr>
      </w:pPr>
      <w:r>
        <w:rPr>
          <w:rFonts w:hint="eastAsia" w:ascii="宋体" w:hAnsi="宋体" w:cs="宋体"/>
          <w:b/>
          <w:sz w:val="24"/>
          <w:szCs w:val="24"/>
        </w:rPr>
        <w:t>五、期限</w:t>
      </w:r>
    </w:p>
    <w:p w14:paraId="64D79F97">
      <w:pPr>
        <w:adjustRightInd w:val="0"/>
        <w:snapToGrid w:val="0"/>
        <w:spacing w:line="360" w:lineRule="auto"/>
        <w:ind w:firstLine="600" w:firstLineChars="250"/>
        <w:jc w:val="left"/>
        <w:rPr>
          <w:rFonts w:ascii="宋体" w:hAnsi="宋体" w:cs="宋体"/>
          <w:kern w:val="0"/>
          <w:sz w:val="24"/>
          <w:szCs w:val="24"/>
        </w:rPr>
      </w:pPr>
      <w:r>
        <w:rPr>
          <w:rFonts w:hint="eastAsia" w:ascii="宋体" w:hAnsi="宋体" w:cs="宋体"/>
          <w:sz w:val="24"/>
          <w:szCs w:val="24"/>
          <w:highlight w:val="yellow"/>
        </w:rPr>
        <w:t>服务期：</w:t>
      </w:r>
      <w:r>
        <w:rPr>
          <w:rFonts w:hint="eastAsia" w:ascii="宋体" w:hAnsi="宋体" w:cs="宋体"/>
          <w:kern w:val="0"/>
          <w:sz w:val="24"/>
          <w:szCs w:val="24"/>
          <w:highlight w:val="yellow"/>
          <w:u w:val="single"/>
        </w:rPr>
        <w:t xml:space="preserve">  自合同签订之日起120日  </w:t>
      </w:r>
      <w:r>
        <w:rPr>
          <w:rFonts w:hint="eastAsia" w:ascii="宋体" w:hAnsi="宋体" w:cs="宋体"/>
          <w:kern w:val="0"/>
          <w:sz w:val="24"/>
          <w:szCs w:val="24"/>
          <w:highlight w:val="yellow"/>
        </w:rPr>
        <w:t>。</w:t>
      </w:r>
    </w:p>
    <w:p w14:paraId="0AA9BDC3">
      <w:pPr>
        <w:spacing w:line="360" w:lineRule="auto"/>
        <w:rPr>
          <w:rFonts w:ascii="宋体" w:hAnsi="宋体" w:cs="宋体"/>
          <w:b/>
          <w:sz w:val="24"/>
          <w:szCs w:val="24"/>
        </w:rPr>
      </w:pPr>
      <w:r>
        <w:rPr>
          <w:rFonts w:hint="eastAsia" w:ascii="宋体" w:hAnsi="宋体" w:cs="宋体"/>
          <w:b/>
          <w:sz w:val="24"/>
          <w:szCs w:val="24"/>
        </w:rPr>
        <w:t>六、双方承诺</w:t>
      </w:r>
    </w:p>
    <w:p w14:paraId="705078E4">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1.供应商向招标人承诺，按照本合同约定提供相关服务。</w:t>
      </w:r>
    </w:p>
    <w:p w14:paraId="7E955EF9">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2.招标人向供应商承诺，按照本合同约定支付项目款项。</w:t>
      </w:r>
    </w:p>
    <w:p w14:paraId="7B572812">
      <w:pPr>
        <w:tabs>
          <w:tab w:val="left" w:pos="840"/>
        </w:tabs>
        <w:spacing w:line="360" w:lineRule="auto"/>
        <w:rPr>
          <w:rFonts w:ascii="宋体" w:hAnsi="宋体" w:cs="宋体"/>
          <w:b/>
          <w:sz w:val="24"/>
          <w:szCs w:val="24"/>
        </w:rPr>
      </w:pPr>
      <w:r>
        <w:rPr>
          <w:rFonts w:hint="eastAsia" w:ascii="宋体" w:hAnsi="宋体" w:cs="宋体"/>
          <w:b/>
          <w:sz w:val="24"/>
          <w:szCs w:val="24"/>
        </w:rPr>
        <w:t>七、内容及要求：</w:t>
      </w:r>
    </w:p>
    <w:p w14:paraId="7DA686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区域性气候可行性论证技术指南</w:t>
      </w:r>
      <w:r>
        <w:rPr>
          <w:rFonts w:hint="eastAsia" w:ascii="宋体" w:hAnsi="宋体" w:eastAsia="宋体" w:cs="宋体"/>
          <w:sz w:val="24"/>
          <w:szCs w:val="24"/>
          <w:lang w:val="en-US" w:eastAsia="zh-CN"/>
        </w:rPr>
        <w:t>等技术规范，选取合适的气象站，对该气象站长年代数据资料进行整编、质控、分析，开展气候可行性论证。 最终提交《气候可行性论证报告》。</w:t>
      </w:r>
      <w:r>
        <w:rPr>
          <w:rFonts w:hint="eastAsia" w:ascii="宋体" w:hAnsi="宋体" w:eastAsia="宋体" w:cs="宋体"/>
          <w:sz w:val="24"/>
          <w:szCs w:val="24"/>
          <w:lang w:eastAsia="zh-CN"/>
        </w:rPr>
        <w:t>①</w:t>
      </w:r>
      <w:r>
        <w:rPr>
          <w:rFonts w:hint="eastAsia" w:ascii="宋体" w:hAnsi="宋体" w:eastAsia="宋体" w:cs="宋体"/>
          <w:sz w:val="24"/>
          <w:szCs w:val="24"/>
        </w:rPr>
        <w:t>收集整理国家气象站点和区域气象站建站以来气象要素观测数据，以及相关的气象灾害、行业需求、遥感和模式数据，并对资料进行均一性订正和处理；</w:t>
      </w:r>
      <w:r>
        <w:rPr>
          <w:rFonts w:hint="eastAsia" w:ascii="宋体" w:hAnsi="宋体" w:eastAsia="宋体" w:cs="宋体"/>
          <w:sz w:val="24"/>
          <w:szCs w:val="24"/>
          <w:lang w:eastAsia="zh-CN"/>
        </w:rPr>
        <w:t>②</w:t>
      </w:r>
      <w:r>
        <w:rPr>
          <w:rFonts w:hint="eastAsia" w:ascii="宋体" w:hAnsi="宋体" w:eastAsia="宋体" w:cs="宋体"/>
          <w:sz w:val="24"/>
          <w:szCs w:val="24"/>
        </w:rPr>
        <w:t>完成开发区气象服务调研需求分析；</w:t>
      </w:r>
      <w:r>
        <w:rPr>
          <w:rFonts w:hint="eastAsia" w:ascii="宋体" w:hAnsi="宋体" w:eastAsia="宋体" w:cs="宋体"/>
          <w:sz w:val="24"/>
          <w:szCs w:val="24"/>
          <w:lang w:eastAsia="zh-CN"/>
        </w:rPr>
        <w:t>③</w:t>
      </w:r>
      <w:r>
        <w:rPr>
          <w:rFonts w:hint="eastAsia" w:ascii="宋体" w:hAnsi="宋体" w:eastAsia="宋体" w:cs="宋体"/>
          <w:sz w:val="24"/>
          <w:szCs w:val="24"/>
        </w:rPr>
        <w:t>完成开发区气候特征分析及气候变化预估；</w:t>
      </w:r>
      <w:r>
        <w:rPr>
          <w:rFonts w:hint="eastAsia" w:ascii="宋体" w:hAnsi="宋体" w:eastAsia="宋体" w:cs="宋体"/>
          <w:sz w:val="24"/>
          <w:szCs w:val="24"/>
          <w:lang w:eastAsia="zh-CN"/>
        </w:rPr>
        <w:t>④</w:t>
      </w:r>
      <w:r>
        <w:rPr>
          <w:rFonts w:hint="eastAsia" w:ascii="宋体" w:hAnsi="宋体" w:eastAsia="宋体" w:cs="宋体"/>
          <w:sz w:val="24"/>
          <w:szCs w:val="24"/>
        </w:rPr>
        <w:t>完成开发区高影响天气气候事件分析；</w:t>
      </w:r>
      <w:r>
        <w:rPr>
          <w:rFonts w:hint="eastAsia" w:ascii="宋体" w:hAnsi="宋体" w:eastAsia="宋体" w:cs="宋体"/>
          <w:sz w:val="24"/>
          <w:szCs w:val="24"/>
          <w:lang w:eastAsia="zh-CN"/>
        </w:rPr>
        <w:t>⑤</w:t>
      </w:r>
      <w:r>
        <w:rPr>
          <w:rFonts w:hint="eastAsia" w:ascii="宋体" w:hAnsi="宋体" w:eastAsia="宋体" w:cs="宋体"/>
          <w:sz w:val="24"/>
          <w:szCs w:val="24"/>
        </w:rPr>
        <w:t>完成关键气象因子分析及极端气象参数推算；</w:t>
      </w:r>
      <w:r>
        <w:rPr>
          <w:rFonts w:hint="eastAsia" w:ascii="宋体" w:hAnsi="宋体" w:eastAsia="宋体" w:cs="宋体"/>
          <w:sz w:val="24"/>
          <w:szCs w:val="24"/>
          <w:lang w:eastAsia="zh-CN"/>
        </w:rPr>
        <w:t>⑥</w:t>
      </w:r>
      <w:r>
        <w:rPr>
          <w:rFonts w:hint="eastAsia" w:ascii="宋体" w:hAnsi="宋体" w:eastAsia="宋体" w:cs="宋体"/>
          <w:sz w:val="24"/>
          <w:szCs w:val="24"/>
        </w:rPr>
        <w:t>完成开发区空气质量及城市热岛效应分析；</w:t>
      </w:r>
      <w:r>
        <w:rPr>
          <w:rFonts w:hint="eastAsia" w:ascii="宋体" w:hAnsi="宋体" w:eastAsia="宋体" w:cs="宋体"/>
          <w:sz w:val="24"/>
          <w:szCs w:val="24"/>
          <w:lang w:eastAsia="zh-CN"/>
        </w:rPr>
        <w:t>⑦</w:t>
      </w:r>
      <w:r>
        <w:rPr>
          <w:rFonts w:hint="eastAsia" w:ascii="宋体" w:hAnsi="宋体" w:eastAsia="宋体" w:cs="宋体"/>
          <w:sz w:val="24"/>
          <w:szCs w:val="24"/>
        </w:rPr>
        <w:t>完成论证结论的适用性及建议。</w:t>
      </w:r>
    </w:p>
    <w:p w14:paraId="555D20A0">
      <w:pPr>
        <w:spacing w:line="360" w:lineRule="auto"/>
        <w:ind w:firstLine="480" w:firstLineChars="200"/>
        <w:rPr>
          <w:rFonts w:hint="eastAsia" w:ascii="宋体" w:hAnsi="宋体" w:eastAsia="宋体" w:cs="宋体"/>
          <w:sz w:val="24"/>
          <w:szCs w:val="24"/>
        </w:rPr>
      </w:pPr>
    </w:p>
    <w:p w14:paraId="7EABE2FA">
      <w:pPr>
        <w:spacing w:line="360" w:lineRule="auto"/>
        <w:rPr>
          <w:rFonts w:ascii="宋体" w:hAnsi="宋体" w:cs="宋体"/>
          <w:b/>
          <w:sz w:val="24"/>
          <w:szCs w:val="24"/>
        </w:rPr>
      </w:pPr>
      <w:r>
        <w:rPr>
          <w:rFonts w:hint="eastAsia" w:ascii="宋体" w:hAnsi="宋体" w:cs="宋体"/>
          <w:b/>
          <w:sz w:val="24"/>
          <w:szCs w:val="24"/>
        </w:rPr>
        <w:t>八、项目实施地点：</w:t>
      </w:r>
      <w:r>
        <w:rPr>
          <w:rFonts w:hint="eastAsia" w:ascii="宋体" w:hAnsi="宋体" w:cs="宋体"/>
          <w:sz w:val="24"/>
          <w:szCs w:val="24"/>
        </w:rPr>
        <w:t>招标人指定地点。</w:t>
      </w:r>
    </w:p>
    <w:p w14:paraId="7B20567C">
      <w:pPr>
        <w:spacing w:line="360" w:lineRule="auto"/>
        <w:rPr>
          <w:rFonts w:ascii="宋体" w:hAnsi="宋体" w:cs="宋体"/>
          <w:b/>
          <w:color w:val="000000"/>
          <w:sz w:val="24"/>
          <w:szCs w:val="24"/>
        </w:rPr>
      </w:pPr>
      <w:r>
        <w:rPr>
          <w:rFonts w:hint="eastAsia" w:ascii="宋体" w:hAnsi="宋体" w:cs="宋体"/>
          <w:b/>
          <w:sz w:val="24"/>
          <w:szCs w:val="24"/>
        </w:rPr>
        <w:t>九、</w:t>
      </w:r>
      <w:r>
        <w:rPr>
          <w:rFonts w:hint="eastAsia" w:ascii="宋体" w:hAnsi="宋体" w:cs="宋体"/>
          <w:b/>
          <w:color w:val="000000"/>
          <w:sz w:val="24"/>
          <w:szCs w:val="24"/>
        </w:rPr>
        <w:t>保密</w:t>
      </w:r>
    </w:p>
    <w:p w14:paraId="5996B4CD">
      <w:pPr>
        <w:spacing w:line="360" w:lineRule="auto"/>
        <w:ind w:firstLine="480" w:firstLineChars="200"/>
        <w:rPr>
          <w:rFonts w:ascii="宋体" w:hAnsi="宋体" w:cs="宋体"/>
          <w:sz w:val="24"/>
          <w:szCs w:val="24"/>
        </w:rPr>
      </w:pPr>
      <w:r>
        <w:rPr>
          <w:rFonts w:hint="eastAsia" w:ascii="宋体" w:hAnsi="宋体" w:cs="宋体"/>
          <w:sz w:val="24"/>
          <w:szCs w:val="24"/>
        </w:rPr>
        <w:t>双方须对工作中了解到的使用单位技术、机密等进行严格保密，不得向他人泄漏。</w:t>
      </w:r>
    </w:p>
    <w:p w14:paraId="4246CA65">
      <w:pPr>
        <w:spacing w:line="360" w:lineRule="auto"/>
        <w:rPr>
          <w:rFonts w:ascii="宋体" w:hAnsi="宋体" w:cs="宋体"/>
          <w:b/>
          <w:color w:val="000000"/>
          <w:sz w:val="24"/>
          <w:szCs w:val="24"/>
        </w:rPr>
      </w:pPr>
      <w:r>
        <w:rPr>
          <w:rFonts w:hint="eastAsia" w:ascii="宋体" w:hAnsi="宋体" w:cs="宋体"/>
          <w:b/>
          <w:color w:val="000000"/>
          <w:sz w:val="24"/>
          <w:szCs w:val="24"/>
        </w:rPr>
        <w:t>十、知识产权</w:t>
      </w:r>
    </w:p>
    <w:p w14:paraId="3C503CD6">
      <w:pPr>
        <w:spacing w:line="360" w:lineRule="auto"/>
        <w:ind w:firstLine="480" w:firstLineChars="200"/>
        <w:rPr>
          <w:rFonts w:ascii="宋体" w:hAnsi="宋体" w:cs="宋体"/>
          <w:sz w:val="24"/>
          <w:szCs w:val="24"/>
        </w:rPr>
      </w:pPr>
      <w:r>
        <w:rPr>
          <w:rFonts w:hint="eastAsia" w:ascii="宋体" w:hAnsi="宋体" w:cs="宋体"/>
          <w:sz w:val="24"/>
          <w:szCs w:val="24"/>
        </w:rPr>
        <w:t>供应商应保证投标服务不会出现因第三方提出侵犯其专利权、商标权或其它知识产权而引发法律或经济纠纷，否则由供应商承担全部责任。任何被供应商用于未经授权的商业目的行为所造成的违约或侵权责任由供应商承但。</w:t>
      </w:r>
    </w:p>
    <w:p w14:paraId="5F58C10B">
      <w:pPr>
        <w:spacing w:line="360" w:lineRule="auto"/>
        <w:rPr>
          <w:rFonts w:ascii="宋体" w:hAnsi="宋体" w:cs="宋体"/>
          <w:sz w:val="24"/>
          <w:szCs w:val="24"/>
        </w:rPr>
      </w:pPr>
      <w:r>
        <w:rPr>
          <w:rFonts w:hint="eastAsia" w:ascii="宋体" w:hAnsi="宋体" w:cs="宋体"/>
          <w:b/>
          <w:sz w:val="24"/>
          <w:szCs w:val="24"/>
        </w:rPr>
        <w:t>十一、合同争议的解决：</w:t>
      </w:r>
      <w:r>
        <w:rPr>
          <w:rFonts w:hint="eastAsia" w:ascii="宋体" w:hAnsi="宋体" w:cs="宋体"/>
          <w:sz w:val="24"/>
          <w:szCs w:val="24"/>
        </w:rPr>
        <w:t>合同执行中发生争议的，当事人双方应协商解决，协商达不成一致时，可向招标人住所地有管辖权的人民法院提请诉讼。</w:t>
      </w:r>
    </w:p>
    <w:p w14:paraId="549D61F4">
      <w:pPr>
        <w:spacing w:line="360" w:lineRule="auto"/>
        <w:rPr>
          <w:rFonts w:ascii="宋体" w:hAnsi="宋体" w:cs="宋体"/>
          <w:sz w:val="24"/>
          <w:szCs w:val="24"/>
        </w:rPr>
      </w:pPr>
      <w:r>
        <w:rPr>
          <w:rFonts w:hint="eastAsia" w:ascii="宋体" w:hAnsi="宋体" w:cs="宋体"/>
          <w:b/>
          <w:sz w:val="24"/>
          <w:szCs w:val="24"/>
        </w:rPr>
        <w:t>十二、</w:t>
      </w:r>
      <w:r>
        <w:rPr>
          <w:rFonts w:hint="eastAsia" w:ascii="宋体" w:hAnsi="宋体" w:cs="宋体"/>
          <w:sz w:val="24"/>
          <w:szCs w:val="24"/>
        </w:rPr>
        <w:t>在发生不可抗力情况下的应对措施和解决办法。</w:t>
      </w:r>
    </w:p>
    <w:p w14:paraId="1D743F1F">
      <w:pPr>
        <w:spacing w:line="360" w:lineRule="auto"/>
        <w:rPr>
          <w:rFonts w:ascii="宋体" w:hAnsi="宋体" w:cs="宋体"/>
          <w:sz w:val="24"/>
          <w:szCs w:val="24"/>
        </w:rPr>
      </w:pPr>
      <w:r>
        <w:rPr>
          <w:rFonts w:hint="eastAsia" w:ascii="宋体" w:hAnsi="宋体" w:cs="宋体"/>
          <w:b/>
          <w:sz w:val="24"/>
          <w:szCs w:val="24"/>
        </w:rPr>
        <w:t>十三、</w:t>
      </w:r>
      <w:r>
        <w:rPr>
          <w:rFonts w:hint="eastAsia" w:ascii="宋体" w:hAnsi="宋体" w:cs="宋体"/>
          <w:sz w:val="24"/>
          <w:szCs w:val="24"/>
        </w:rPr>
        <w:t>合同一经签订，不得擅自变更、中止或者终止合同。对确需变更、调整或者中止、终止合同的，应按规定履行相应的手续。</w:t>
      </w:r>
    </w:p>
    <w:p w14:paraId="7D6E5DDF">
      <w:pPr>
        <w:spacing w:line="360" w:lineRule="auto"/>
        <w:rPr>
          <w:rFonts w:ascii="宋体" w:hAnsi="宋体" w:cs="宋体"/>
          <w:sz w:val="24"/>
          <w:szCs w:val="24"/>
        </w:rPr>
      </w:pPr>
      <w:r>
        <w:rPr>
          <w:rFonts w:hint="eastAsia" w:ascii="宋体" w:hAnsi="宋体" w:cs="宋体"/>
          <w:b/>
          <w:sz w:val="24"/>
          <w:szCs w:val="24"/>
        </w:rPr>
        <w:t>十四、违约责任：</w:t>
      </w:r>
      <w:r>
        <w:rPr>
          <w:rFonts w:hint="eastAsia" w:ascii="宋体" w:hAnsi="宋体" w:cs="宋体"/>
          <w:sz w:val="24"/>
          <w:szCs w:val="24"/>
        </w:rPr>
        <w:t>依据《中华人民共和国民法典》、《中华人民共和国政府采购法》的相关条款和本合同约定，中标供应商未全面履行合同义务或者发生违约，招标单位会同采购代理机构有权终止合同，依法向成交供应商进行经济索赔，并报请政府采购监督管理机关进行相应的行政处罚。招标单位违约的，应当赔偿给中标供应商造成的经济损失。</w:t>
      </w:r>
    </w:p>
    <w:p w14:paraId="39A962AF">
      <w:pPr>
        <w:spacing w:line="360" w:lineRule="auto"/>
        <w:rPr>
          <w:rFonts w:ascii="宋体" w:hAnsi="宋体" w:cs="宋体"/>
          <w:b/>
          <w:sz w:val="24"/>
          <w:szCs w:val="24"/>
        </w:rPr>
      </w:pPr>
      <w:r>
        <w:rPr>
          <w:rFonts w:hint="eastAsia" w:ascii="宋体" w:hAnsi="宋体" w:cs="宋体"/>
          <w:b/>
          <w:sz w:val="24"/>
          <w:szCs w:val="24"/>
        </w:rPr>
        <w:t>十</w:t>
      </w:r>
      <w:r>
        <w:rPr>
          <w:rFonts w:hint="eastAsia" w:ascii="宋体" w:hAnsi="宋体" w:cs="宋体"/>
          <w:b/>
          <w:sz w:val="24"/>
          <w:szCs w:val="24"/>
          <w:lang w:eastAsia="zh-CN"/>
        </w:rPr>
        <w:t>五</w:t>
      </w:r>
      <w:r>
        <w:rPr>
          <w:rFonts w:hint="eastAsia" w:ascii="宋体" w:hAnsi="宋体" w:cs="宋体"/>
          <w:b/>
          <w:sz w:val="24"/>
          <w:szCs w:val="24"/>
        </w:rPr>
        <w:t>、合同订立</w:t>
      </w:r>
    </w:p>
    <w:p w14:paraId="04198696">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highlight w:val="yellow"/>
        </w:rPr>
        <w:t>. 订立时间：</w:t>
      </w:r>
      <w:r>
        <w:rPr>
          <w:rFonts w:hint="eastAsia" w:ascii="宋体" w:hAnsi="宋体" w:cs="宋体"/>
          <w:sz w:val="24"/>
          <w:szCs w:val="24"/>
          <w:highlight w:val="yellow"/>
          <w:u w:val="single"/>
        </w:rPr>
        <w:t xml:space="preserve"> </w:t>
      </w:r>
      <w:r>
        <w:rPr>
          <w:rFonts w:hint="eastAsia" w:ascii="宋体" w:hAnsi="宋体" w:cs="宋体"/>
          <w:sz w:val="24"/>
          <w:szCs w:val="24"/>
          <w:highlight w:val="yellow"/>
          <w:u w:val="single"/>
          <w:lang w:val="en-US" w:eastAsia="zh-CN"/>
        </w:rPr>
        <w:t xml:space="preserve">   </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年</w:t>
      </w:r>
      <w:r>
        <w:rPr>
          <w:rFonts w:hint="eastAsia" w:ascii="宋体" w:hAnsi="宋体" w:cs="宋体"/>
          <w:sz w:val="24"/>
          <w:szCs w:val="24"/>
          <w:highlight w:val="yellow"/>
          <w:u w:val="single"/>
        </w:rPr>
        <w:t xml:space="preserve">   </w:t>
      </w:r>
      <w:r>
        <w:rPr>
          <w:rFonts w:hint="eastAsia" w:ascii="宋体" w:hAnsi="宋体" w:cs="宋体"/>
          <w:sz w:val="24"/>
          <w:szCs w:val="24"/>
          <w:highlight w:val="yellow"/>
          <w:u w:val="single"/>
          <w:lang w:val="en-US" w:eastAsia="zh-CN"/>
        </w:rPr>
        <w:t xml:space="preserve"> </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月</w:t>
      </w:r>
      <w:r>
        <w:rPr>
          <w:rFonts w:hint="eastAsia" w:ascii="宋体" w:hAnsi="宋体" w:cs="宋体"/>
          <w:sz w:val="24"/>
          <w:szCs w:val="24"/>
          <w:highlight w:val="yellow"/>
          <w:u w:val="single"/>
        </w:rPr>
        <w:t xml:space="preserve">  </w:t>
      </w:r>
      <w:r>
        <w:rPr>
          <w:rFonts w:hint="eastAsia" w:ascii="宋体" w:hAnsi="宋体" w:cs="宋体"/>
          <w:sz w:val="24"/>
          <w:szCs w:val="24"/>
          <w:highlight w:val="yellow"/>
          <w:u w:val="single"/>
          <w:lang w:val="en-US" w:eastAsia="zh-CN"/>
        </w:rPr>
        <w:t xml:space="preserve"> </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日。</w:t>
      </w:r>
    </w:p>
    <w:p w14:paraId="332A521F">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highlight w:val="yellow"/>
        </w:rPr>
        <w:t>2. 订立地点：</w:t>
      </w:r>
      <w:r>
        <w:rPr>
          <w:rFonts w:hint="eastAsia" w:ascii="宋体" w:hAnsi="宋体" w:cs="宋体"/>
          <w:sz w:val="24"/>
          <w:szCs w:val="24"/>
          <w:highlight w:val="yellow"/>
          <w:u w:val="single"/>
        </w:rPr>
        <w:t xml:space="preserve">                          </w:t>
      </w:r>
      <w:r>
        <w:rPr>
          <w:rFonts w:hint="eastAsia" w:ascii="宋体" w:hAnsi="宋体" w:cs="宋体"/>
          <w:sz w:val="24"/>
          <w:szCs w:val="24"/>
          <w:highlight w:val="yellow"/>
        </w:rPr>
        <w:t>。</w:t>
      </w:r>
    </w:p>
    <w:p w14:paraId="6D0432F0">
      <w:pPr>
        <w:tabs>
          <w:tab w:val="left" w:pos="980"/>
        </w:tabs>
        <w:kinsoku w:val="0"/>
        <w:spacing w:line="360" w:lineRule="auto"/>
        <w:ind w:left="218" w:leftChars="104" w:firstLine="259" w:firstLineChars="108"/>
        <w:rPr>
          <w:rFonts w:ascii="宋体" w:hAnsi="宋体" w:cs="宋体"/>
          <w:sz w:val="24"/>
          <w:szCs w:val="24"/>
        </w:rPr>
      </w:pPr>
      <w:r>
        <w:rPr>
          <w:rFonts w:hint="eastAsia" w:ascii="宋体" w:hAnsi="宋体" w:cs="宋体"/>
          <w:sz w:val="24"/>
          <w:szCs w:val="24"/>
        </w:rPr>
        <w:t>3. 本合同一式</w:t>
      </w:r>
      <w:r>
        <w:rPr>
          <w:rFonts w:hint="eastAsia" w:ascii="宋体" w:hAnsi="宋体" w:cs="宋体"/>
          <w:sz w:val="24"/>
          <w:szCs w:val="24"/>
          <w:u w:val="single"/>
        </w:rPr>
        <w:t xml:space="preserve"> </w:t>
      </w:r>
      <w:r>
        <w:rPr>
          <w:rFonts w:hint="eastAsia" w:ascii="宋体" w:hAnsi="宋体" w:cs="宋体"/>
          <w:sz w:val="24"/>
          <w:szCs w:val="24"/>
          <w:u w:val="single"/>
          <w:lang w:eastAsia="zh-CN"/>
        </w:rPr>
        <w:t>陆</w:t>
      </w:r>
      <w:r>
        <w:rPr>
          <w:rFonts w:hint="eastAsia" w:ascii="宋体" w:hAnsi="宋体" w:cs="宋体"/>
          <w:sz w:val="24"/>
          <w:szCs w:val="24"/>
          <w:u w:val="single"/>
        </w:rPr>
        <w:t xml:space="preserve"> </w:t>
      </w:r>
      <w:r>
        <w:rPr>
          <w:rFonts w:hint="eastAsia" w:ascii="宋体" w:hAnsi="宋体" w:cs="宋体"/>
          <w:sz w:val="24"/>
          <w:szCs w:val="24"/>
        </w:rPr>
        <w:t>份，具有同等法律效力，双方各执</w:t>
      </w:r>
      <w:r>
        <w:rPr>
          <w:rFonts w:hint="eastAsia" w:ascii="宋体" w:hAnsi="宋体" w:cs="宋体"/>
          <w:sz w:val="24"/>
          <w:szCs w:val="24"/>
          <w:u w:val="single"/>
        </w:rPr>
        <w:t xml:space="preserve"> 叁 </w:t>
      </w:r>
      <w:r>
        <w:rPr>
          <w:rFonts w:hint="eastAsia" w:ascii="宋体" w:hAnsi="宋体" w:cs="宋体"/>
          <w:sz w:val="24"/>
          <w:szCs w:val="24"/>
        </w:rPr>
        <w:t>份。各方签字盖章后生效，合同执行完毕自动失效（合同的服务承诺则长期有效）。</w:t>
      </w:r>
    </w:p>
    <w:p w14:paraId="354DEA43">
      <w:pPr>
        <w:tabs>
          <w:tab w:val="left" w:pos="980"/>
        </w:tabs>
        <w:kinsoku w:val="0"/>
        <w:spacing w:line="360" w:lineRule="auto"/>
        <w:rPr>
          <w:rFonts w:ascii="宋体" w:hAnsi="宋体" w:cs="宋体"/>
          <w:sz w:val="24"/>
          <w:szCs w:val="24"/>
        </w:rPr>
      </w:pPr>
    </w:p>
    <w:p w14:paraId="19C5243E">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rPr>
        <w:t>采购人：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（盖章） </w:t>
      </w:r>
      <w:r>
        <w:rPr>
          <w:rFonts w:hint="eastAsia" w:ascii="宋体" w:hAnsi="宋体" w:cs="宋体"/>
          <w:sz w:val="24"/>
          <w:szCs w:val="24"/>
        </w:rPr>
        <w:t xml:space="preserve">     供应商：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（盖章）    </w:t>
      </w:r>
    </w:p>
    <w:p w14:paraId="3074663E">
      <w:pPr>
        <w:adjustRightInd w:val="0"/>
        <w:snapToGrid w:val="0"/>
        <w:spacing w:line="360" w:lineRule="auto"/>
        <w:ind w:firstLine="475" w:firstLineChars="198"/>
        <w:rPr>
          <w:rFonts w:ascii="宋体" w:hAnsi="宋体" w:cs="宋体"/>
          <w:sz w:val="24"/>
          <w:szCs w:val="24"/>
          <w:u w:val="single"/>
        </w:rPr>
      </w:pPr>
      <w:r>
        <w:rPr>
          <w:rFonts w:hint="eastAsia" w:ascii="宋体" w:hAnsi="宋体" w:cs="宋体"/>
          <w:sz w:val="24"/>
          <w:szCs w:val="24"/>
          <w:highlight w:val="yellow"/>
        </w:rPr>
        <w:t>地址：</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561B55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highlight w:val="yellow"/>
        </w:rPr>
        <w:t>邮政编码</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2C22ABCF">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highlight w:val="yellow"/>
        </w:rPr>
        <w:t xml:space="preserve">法定代表人或其授权  </w:t>
      </w:r>
      <w:r>
        <w:rPr>
          <w:rFonts w:hint="eastAsia" w:ascii="宋体" w:hAnsi="宋体" w:cs="宋体"/>
          <w:sz w:val="24"/>
          <w:szCs w:val="24"/>
        </w:rPr>
        <w:t xml:space="preserve">               法定代表人或其授权</w:t>
      </w:r>
    </w:p>
    <w:p w14:paraId="56D2930E">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highlight w:val="yellow"/>
        </w:rPr>
        <w:t>的代理人：</w:t>
      </w:r>
      <w:r>
        <w:rPr>
          <w:rFonts w:hint="eastAsia" w:ascii="宋体" w:hAnsi="宋体" w:cs="宋体"/>
          <w:sz w:val="24"/>
          <w:szCs w:val="24"/>
          <w:u w:val="single"/>
        </w:rPr>
        <w:t xml:space="preserve">（签字）      </w:t>
      </w:r>
      <w:r>
        <w:rPr>
          <w:rFonts w:hint="eastAsia" w:ascii="宋体" w:hAnsi="宋体" w:cs="宋体"/>
          <w:sz w:val="24"/>
          <w:szCs w:val="24"/>
        </w:rPr>
        <w:t xml:space="preserve">           的代理人：</w:t>
      </w:r>
      <w:r>
        <w:rPr>
          <w:rFonts w:hint="eastAsia" w:ascii="宋体" w:hAnsi="宋体" w:cs="宋体"/>
          <w:sz w:val="24"/>
          <w:szCs w:val="24"/>
          <w:u w:val="single"/>
        </w:rPr>
        <w:t xml:space="preserve">（签字）          </w:t>
      </w:r>
    </w:p>
    <w:p w14:paraId="1A815C51">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highlight w:val="yellow"/>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E65CD8C">
      <w:pPr>
        <w:adjustRightInd w:val="0"/>
        <w:snapToGrid w:val="0"/>
        <w:spacing w:line="360" w:lineRule="auto"/>
        <w:ind w:firstLine="475" w:firstLineChars="198"/>
        <w:rPr>
          <w:rFonts w:hint="default" w:ascii="宋体" w:hAnsi="宋体" w:eastAsia="宋体" w:cs="宋体"/>
          <w:sz w:val="24"/>
          <w:szCs w:val="24"/>
          <w:highlight w:val="yellow"/>
          <w:u w:val="single"/>
          <w:lang w:val="en-US" w:eastAsia="zh-CN"/>
        </w:rPr>
      </w:pPr>
      <w:r>
        <w:rPr>
          <w:rFonts w:hint="eastAsia" w:ascii="宋体" w:hAnsi="宋体" w:cs="宋体"/>
          <w:sz w:val="24"/>
          <w:szCs w:val="24"/>
          <w:highlight w:val="yellow"/>
        </w:rPr>
        <w:t>账号：</w:t>
      </w:r>
      <w:r>
        <w:rPr>
          <w:rFonts w:hint="eastAsia" w:ascii="宋体" w:hAnsi="宋体" w:cs="宋体"/>
          <w:sz w:val="24"/>
          <w:szCs w:val="24"/>
          <w:u w:val="single"/>
        </w:rPr>
        <w:t xml:space="preserve">                      </w:t>
      </w:r>
      <w:r>
        <w:rPr>
          <w:rFonts w:hint="eastAsia" w:ascii="宋体" w:hAnsi="宋体" w:cs="宋体"/>
          <w:sz w:val="24"/>
          <w:szCs w:val="24"/>
        </w:rPr>
        <w:t xml:space="preserve">       账号：</w:t>
      </w:r>
      <w:r>
        <w:rPr>
          <w:rFonts w:hint="eastAsia" w:ascii="宋体" w:hAnsi="宋体"/>
          <w:sz w:val="24"/>
          <w:szCs w:val="24"/>
          <w:u w:val="single"/>
          <w:lang w:val="en-US" w:eastAsia="zh-CN"/>
        </w:rPr>
        <w:t xml:space="preserve">               </w:t>
      </w:r>
    </w:p>
    <w:p w14:paraId="2A3AFE05">
      <w:pPr>
        <w:adjustRightInd w:val="0"/>
        <w:snapToGrid w:val="0"/>
        <w:spacing w:line="360" w:lineRule="auto"/>
        <w:ind w:firstLine="475" w:firstLineChars="198"/>
        <w:rPr>
          <w:rFonts w:ascii="宋体" w:hAnsi="宋体" w:cs="宋体"/>
          <w:sz w:val="24"/>
          <w:szCs w:val="24"/>
          <w:highlight w:val="yellow"/>
        </w:rPr>
      </w:pPr>
      <w:r>
        <w:rPr>
          <w:rFonts w:hint="eastAsia" w:ascii="宋体" w:hAnsi="宋体" w:cs="宋体"/>
          <w:sz w:val="24"/>
          <w:szCs w:val="24"/>
          <w:highlight w:val="yellow"/>
        </w:rPr>
        <w:t>电话：</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87C4C99">
      <w:pPr>
        <w:adjustRightInd w:val="0"/>
        <w:snapToGrid w:val="0"/>
        <w:spacing w:line="360" w:lineRule="auto"/>
        <w:ind w:firstLine="475" w:firstLineChars="198"/>
        <w:rPr>
          <w:rFonts w:ascii="宋体" w:hAnsi="宋体" w:cs="宋体"/>
          <w:sz w:val="24"/>
          <w:szCs w:val="24"/>
        </w:rPr>
      </w:pPr>
      <w:r>
        <w:rPr>
          <w:rFonts w:hint="eastAsia" w:ascii="宋体" w:hAnsi="宋体" w:cs="宋体"/>
          <w:sz w:val="24"/>
          <w:szCs w:val="24"/>
          <w:highlight w:val="yellow"/>
        </w:rPr>
        <w:t>传真：</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E576F00">
      <w:pPr>
        <w:spacing w:line="360" w:lineRule="auto"/>
        <w:ind w:firstLine="480" w:firstLineChars="200"/>
        <w:rPr>
          <w:rFonts w:ascii="宋体" w:hAnsi="宋体" w:cs="宋体"/>
        </w:rPr>
      </w:pPr>
      <w:r>
        <w:rPr>
          <w:rFonts w:hint="eastAsia" w:ascii="宋体" w:hAnsi="宋体" w:cs="宋体"/>
          <w:sz w:val="24"/>
          <w:szCs w:val="24"/>
        </w:rPr>
        <w:t xml:space="preserve">        </w:t>
      </w:r>
    </w:p>
    <w:p w14:paraId="30500E28"/>
    <w:p w14:paraId="04688C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24577BED">
      <w:pPr>
        <w:rPr>
          <w:rFonts w:ascii="微软雅黑" w:hAnsi="微软雅黑" w:eastAsia="微软雅黑" w:cs="微软雅黑"/>
          <w:color w:val="auto"/>
          <w:spacing w:val="-7"/>
          <w:position w:val="-2"/>
          <w:sz w:val="38"/>
          <w:szCs w:val="38"/>
          <w:highlight w:val="none"/>
        </w:rPr>
      </w:pPr>
    </w:p>
    <w:p w14:paraId="480F041D">
      <w:pPr>
        <w:rPr>
          <w:rFonts w:ascii="微软雅黑" w:hAnsi="微软雅黑" w:eastAsia="微软雅黑" w:cs="微软雅黑"/>
          <w:color w:val="auto"/>
          <w:spacing w:val="-7"/>
          <w:position w:val="-2"/>
          <w:sz w:val="38"/>
          <w:szCs w:val="38"/>
          <w:highlight w:val="none"/>
        </w:rPr>
      </w:pPr>
      <w:r>
        <w:rPr>
          <w:rFonts w:ascii="微软雅黑" w:hAnsi="微软雅黑" w:eastAsia="微软雅黑" w:cs="微软雅黑"/>
          <w:color w:val="auto"/>
          <w:spacing w:val="-7"/>
          <w:position w:val="-2"/>
          <w:sz w:val="38"/>
          <w:szCs w:val="38"/>
          <w:highlight w:val="none"/>
        </w:rPr>
        <w:br w:type="page"/>
      </w:r>
    </w:p>
    <w:p w14:paraId="3C9A2641">
      <w:pPr>
        <w:spacing w:before="77" w:line="390" w:lineRule="exact"/>
        <w:ind w:left="2170"/>
        <w:outlineLvl w:val="0"/>
        <w:rPr>
          <w:rFonts w:ascii="微软雅黑" w:hAnsi="微软雅黑" w:eastAsia="微软雅黑" w:cs="微软雅黑"/>
          <w:color w:val="auto"/>
          <w:sz w:val="38"/>
          <w:szCs w:val="38"/>
          <w:highlight w:val="none"/>
        </w:rPr>
      </w:pPr>
      <w:bookmarkStart w:id="25" w:name="_Toc30089"/>
      <w:bookmarkStart w:id="26" w:name="_Toc5053"/>
      <w:r>
        <w:rPr>
          <w:rFonts w:ascii="微软雅黑" w:hAnsi="微软雅黑" w:eastAsia="微软雅黑" w:cs="微软雅黑"/>
          <w:color w:val="auto"/>
          <w:spacing w:val="-7"/>
          <w:position w:val="-2"/>
          <w:sz w:val="38"/>
          <w:szCs w:val="38"/>
          <w:highlight w:val="none"/>
        </w:rPr>
        <w:t>第五章</w:t>
      </w:r>
      <w:r>
        <w:rPr>
          <w:rFonts w:ascii="微软雅黑" w:hAnsi="微软雅黑" w:eastAsia="微软雅黑" w:cs="微软雅黑"/>
          <w:color w:val="auto"/>
          <w:spacing w:val="17"/>
          <w:position w:val="-2"/>
          <w:sz w:val="38"/>
          <w:szCs w:val="38"/>
          <w:highlight w:val="none"/>
        </w:rPr>
        <w:t xml:space="preserve">  </w:t>
      </w:r>
      <w:r>
        <w:rPr>
          <w:rFonts w:hint="eastAsia" w:ascii="微软雅黑" w:hAnsi="微软雅黑" w:eastAsia="微软雅黑" w:cs="微软雅黑"/>
          <w:color w:val="auto"/>
          <w:spacing w:val="17"/>
          <w:position w:val="-2"/>
          <w:sz w:val="38"/>
          <w:szCs w:val="38"/>
          <w:highlight w:val="none"/>
          <w:lang w:val="en-US" w:eastAsia="zh-CN"/>
        </w:rPr>
        <w:t>采购</w:t>
      </w:r>
      <w:r>
        <w:rPr>
          <w:rFonts w:ascii="微软雅黑" w:hAnsi="微软雅黑" w:eastAsia="微软雅黑" w:cs="微软雅黑"/>
          <w:color w:val="auto"/>
          <w:spacing w:val="-7"/>
          <w:position w:val="-2"/>
          <w:sz w:val="38"/>
          <w:szCs w:val="38"/>
          <w:highlight w:val="none"/>
        </w:rPr>
        <w:t>内容及要求</w:t>
      </w:r>
      <w:bookmarkEnd w:id="25"/>
      <w:bookmarkEnd w:id="26"/>
    </w:p>
    <w:p w14:paraId="7E1E7059">
      <w:pPr>
        <w:pStyle w:val="10"/>
        <w:spacing w:line="332" w:lineRule="auto"/>
        <w:rPr>
          <w:color w:val="auto"/>
          <w:highlight w:val="none"/>
        </w:rPr>
      </w:pPr>
    </w:p>
    <w:p w14:paraId="6883C49E">
      <w:pPr>
        <w:rPr>
          <w:color w:val="auto"/>
          <w:highlight w:val="none"/>
        </w:rPr>
      </w:pPr>
    </w:p>
    <w:p w14:paraId="48F3B299">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eastAsia="宋体" w:cs="宋体"/>
          <w:sz w:val="24"/>
          <w:szCs w:val="24"/>
          <w:lang w:val="en-US" w:eastAsia="zh-CN"/>
        </w:rPr>
        <w:t>一</w:t>
      </w:r>
      <w:r>
        <w:rPr>
          <w:rFonts w:hint="eastAsia" w:ascii="宋体" w:hAnsi="宋体" w:cs="宋体"/>
          <w:sz w:val="24"/>
          <w:szCs w:val="24"/>
        </w:rPr>
        <w:t>、论证内容</w:t>
      </w:r>
    </w:p>
    <w:p w14:paraId="4817606A">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1.收集整理国家气象站点和区域气象站建站以来气象要素观测数据，以及相关的气象灾害、行业需求、遥感和模式数据，并对资料进行均一性订正和处理；</w:t>
      </w:r>
    </w:p>
    <w:p w14:paraId="2CF0B550">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2.完成气象服务调研需求分析；</w:t>
      </w:r>
    </w:p>
    <w:p w14:paraId="321D717E">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3.完成气候特征分析及气候变化预估；</w:t>
      </w:r>
    </w:p>
    <w:p w14:paraId="494B35B7">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4.完成高影响天气气候事件分析；</w:t>
      </w:r>
    </w:p>
    <w:p w14:paraId="0CFB631C">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5.完成关键气象因子分析及极端气象参数推算；</w:t>
      </w:r>
    </w:p>
    <w:p w14:paraId="74A8753C">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6.完成空气质量及城市热岛效应分析；</w:t>
      </w:r>
    </w:p>
    <w:p w14:paraId="38C73518">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rPr>
        <w:t>7.完成论证结论的适用性及建议。</w:t>
      </w:r>
    </w:p>
    <w:p w14:paraId="34F6CF64">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cs="宋体"/>
          <w:sz w:val="24"/>
          <w:szCs w:val="24"/>
        </w:rPr>
        <w:t>、服务</w:t>
      </w:r>
      <w:r>
        <w:rPr>
          <w:rFonts w:hint="eastAsia" w:ascii="宋体" w:hAnsi="宋体" w:cs="宋体"/>
          <w:sz w:val="24"/>
          <w:szCs w:val="24"/>
          <w:lang w:eastAsia="zh-CN"/>
        </w:rPr>
        <w:t>期：</w:t>
      </w:r>
      <w:r>
        <w:rPr>
          <w:rFonts w:hint="eastAsia" w:ascii="宋体" w:hAnsi="宋体" w:cs="宋体"/>
          <w:sz w:val="24"/>
          <w:szCs w:val="24"/>
          <w:lang w:val="en-US" w:eastAsia="zh-CN"/>
        </w:rPr>
        <w:t>120日历日</w:t>
      </w:r>
    </w:p>
    <w:p w14:paraId="707FB27E">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lang w:eastAsia="zh-CN"/>
        </w:rPr>
        <w:t>服务要求：</w:t>
      </w:r>
      <w:r>
        <w:rPr>
          <w:rFonts w:hint="eastAsia" w:ascii="宋体" w:hAnsi="宋体" w:cs="宋体"/>
          <w:sz w:val="24"/>
          <w:szCs w:val="24"/>
          <w:lang w:val="en-US" w:eastAsia="zh-CN"/>
        </w:rPr>
        <w:t>根据</w:t>
      </w:r>
      <w:r>
        <w:rPr>
          <w:rFonts w:hint="eastAsia" w:ascii="宋体" w:hAnsi="宋体" w:cs="宋体"/>
          <w:sz w:val="24"/>
          <w:szCs w:val="24"/>
        </w:rPr>
        <w:t>区域性气候可行性论证技术指南</w:t>
      </w:r>
      <w:r>
        <w:rPr>
          <w:rFonts w:hint="eastAsia" w:ascii="宋体" w:hAnsi="宋体" w:cs="宋体"/>
          <w:sz w:val="24"/>
          <w:szCs w:val="24"/>
          <w:lang w:val="en-US" w:eastAsia="zh-CN"/>
        </w:rPr>
        <w:t>等技术规范，选取合适的气象站，对该气象站长年代数据资料进行整编、质控、分析，开展气候可行性论证。 最终提交《气候可行性论证报告》。</w:t>
      </w:r>
    </w:p>
    <w:p w14:paraId="788267D0">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四</w:t>
      </w:r>
      <w:r>
        <w:rPr>
          <w:rFonts w:hint="eastAsia" w:ascii="宋体" w:hAnsi="宋体" w:cs="宋体"/>
          <w:sz w:val="24"/>
          <w:szCs w:val="24"/>
          <w:lang w:eastAsia="zh-CN"/>
        </w:rPr>
        <w:t>、服务技术标准</w:t>
      </w:r>
    </w:p>
    <w:p w14:paraId="3DD580E3">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1.GB50009-2012 建筑结构荷载规范；</w:t>
      </w:r>
    </w:p>
    <w:p w14:paraId="42BE54B7">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2.GB50014-2006（2016版） 室外排水设计规范；</w:t>
      </w:r>
    </w:p>
    <w:p w14:paraId="1AC4B890">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3.GB 50019-2015 工业建筑供暖通风与空气调节设计规范；</w:t>
      </w:r>
    </w:p>
    <w:p w14:paraId="07E93C1D">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4.GB50057-2010 建筑物防雷设计规范；</w:t>
      </w:r>
    </w:p>
    <w:p w14:paraId="19B3E92C">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5.GB50343-2012 建筑物电子信息系统防雷技术规范；</w:t>
      </w:r>
    </w:p>
    <w:p w14:paraId="2604FF26">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6.GB/T 21714.2—2015/ IEC 62305-2：2010 雷电防护 第2部分：风险管理；</w:t>
      </w:r>
    </w:p>
    <w:p w14:paraId="792F8A17">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lang w:eastAsia="zh-CN"/>
        </w:rPr>
        <w:t>.DL/T 5158-2012 电力工程气象勘测技术规范；</w:t>
      </w:r>
    </w:p>
    <w:p w14:paraId="2FD185A6">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8</w:t>
      </w:r>
      <w:r>
        <w:rPr>
          <w:rFonts w:hint="eastAsia" w:ascii="宋体" w:hAnsi="宋体" w:cs="宋体"/>
          <w:sz w:val="24"/>
          <w:szCs w:val="24"/>
          <w:lang w:eastAsia="zh-CN"/>
        </w:rPr>
        <w:t>.JTG/T 3360-01-2018 公路桥梁抗风设计规范；</w:t>
      </w:r>
    </w:p>
    <w:p w14:paraId="050473EA">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lang w:eastAsia="zh-CN"/>
        </w:rPr>
        <w:t>.QX/T 118-2010 地面气象观测资料质量控制；</w:t>
      </w:r>
    </w:p>
    <w:p w14:paraId="16DF820C">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0</w:t>
      </w:r>
      <w:r>
        <w:rPr>
          <w:rFonts w:hint="eastAsia" w:ascii="宋体" w:hAnsi="宋体" w:cs="宋体"/>
          <w:sz w:val="24"/>
          <w:szCs w:val="24"/>
          <w:lang w:eastAsia="zh-CN"/>
        </w:rPr>
        <w:t>.QX/T 423-2018 气候可行性论证规范报告编制；</w:t>
      </w:r>
    </w:p>
    <w:p w14:paraId="178CB604">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.QX/T 436-2018 气候可行性论证规范抗风参数计算 ；</w:t>
      </w:r>
    </w:p>
    <w:p w14:paraId="0C2F7F03">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2</w:t>
      </w:r>
      <w:r>
        <w:rPr>
          <w:rFonts w:hint="eastAsia" w:ascii="宋体" w:hAnsi="宋体" w:cs="宋体"/>
          <w:sz w:val="24"/>
          <w:szCs w:val="24"/>
          <w:lang w:eastAsia="zh-CN"/>
        </w:rPr>
        <w:t>.QX/T 469-2018 气候可行性论证规范总则；</w:t>
      </w:r>
    </w:p>
    <w:p w14:paraId="15285B7A">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3</w:t>
      </w:r>
      <w:r>
        <w:rPr>
          <w:rFonts w:hint="eastAsia" w:ascii="宋体" w:hAnsi="宋体" w:cs="宋体"/>
          <w:sz w:val="24"/>
          <w:szCs w:val="24"/>
          <w:lang w:eastAsia="zh-CN"/>
        </w:rPr>
        <w:t>.QX/T 426-2018 气候可行性论证规范资料收集；</w:t>
      </w:r>
    </w:p>
    <w:p w14:paraId="484A1270">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4</w:t>
      </w:r>
      <w:r>
        <w:rPr>
          <w:rFonts w:hint="eastAsia" w:ascii="宋体" w:hAnsi="宋体" w:cs="宋体"/>
          <w:sz w:val="24"/>
          <w:szCs w:val="24"/>
          <w:lang w:eastAsia="zh-CN"/>
        </w:rPr>
        <w:t>.QX/T 457-2018 气候可行性论证规范气象观测资料加工处理；</w:t>
      </w:r>
    </w:p>
    <w:p w14:paraId="5CB23897">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cs="宋体"/>
          <w:sz w:val="24"/>
          <w:szCs w:val="24"/>
          <w:lang w:eastAsia="zh-CN"/>
        </w:rPr>
        <w:t>.QX/T 449-2018 气候可行性论证规范现场观测；</w:t>
      </w:r>
    </w:p>
    <w:p w14:paraId="3C31D3E5">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QX/T 452-2018 基本气象资料和产品提供规范；</w:t>
      </w:r>
    </w:p>
    <w:p w14:paraId="5E9AC644">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6</w:t>
      </w:r>
      <w:r>
        <w:rPr>
          <w:rFonts w:hint="eastAsia" w:ascii="宋体" w:hAnsi="宋体" w:cs="宋体"/>
          <w:sz w:val="24"/>
          <w:szCs w:val="24"/>
          <w:lang w:eastAsia="zh-CN"/>
        </w:rPr>
        <w:t>.QX/T 453-2018 基本气象资料和产品使用规范；</w:t>
      </w:r>
    </w:p>
    <w:p w14:paraId="72B502E1">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7</w:t>
      </w:r>
      <w:r>
        <w:rPr>
          <w:rFonts w:hint="eastAsia" w:ascii="宋体" w:hAnsi="宋体" w:cs="宋体"/>
          <w:sz w:val="24"/>
          <w:szCs w:val="24"/>
          <w:lang w:eastAsia="zh-CN"/>
        </w:rPr>
        <w:t>.QX/T 437-2018气候可行性论证规范城市通风廊道；</w:t>
      </w:r>
    </w:p>
    <w:p w14:paraId="253C6C53">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18</w:t>
      </w:r>
      <w:r>
        <w:rPr>
          <w:rFonts w:hint="eastAsia" w:ascii="宋体" w:hAnsi="宋体" w:cs="宋体"/>
          <w:sz w:val="24"/>
          <w:szCs w:val="24"/>
          <w:lang w:eastAsia="zh-CN"/>
        </w:rPr>
        <w:t>.QX/T 242-2014 城市总体规划气候可行性论证技术规范；</w:t>
      </w:r>
    </w:p>
    <w:p w14:paraId="1A1465ED">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val="en-US" w:eastAsia="zh-CN"/>
        </w:rPr>
        <w:t>19</w:t>
      </w:r>
      <w:r>
        <w:rPr>
          <w:rFonts w:hint="eastAsia" w:ascii="宋体" w:hAnsi="宋体" w:cs="宋体"/>
          <w:sz w:val="24"/>
          <w:szCs w:val="24"/>
          <w:lang w:eastAsia="zh-CN"/>
        </w:rPr>
        <w:t>.QX/T 497-2019 气候可行性论证规范数值模拟与再分析资料应用；</w:t>
      </w:r>
    </w:p>
    <w:p w14:paraId="1B96EA4D">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0</w:t>
      </w:r>
      <w:r>
        <w:rPr>
          <w:rFonts w:hint="eastAsia" w:ascii="宋体" w:hAnsi="宋体" w:cs="宋体"/>
          <w:sz w:val="24"/>
          <w:szCs w:val="24"/>
          <w:lang w:eastAsia="zh-CN"/>
        </w:rPr>
        <w:t>.QX/T 529-2019 气候可行性论证规范极值概率统计分析；</w:t>
      </w:r>
    </w:p>
    <w:p w14:paraId="26D6D323">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1</w:t>
      </w:r>
      <w:r>
        <w:rPr>
          <w:rFonts w:hint="eastAsia" w:ascii="宋体" w:hAnsi="宋体" w:cs="宋体"/>
          <w:sz w:val="24"/>
          <w:szCs w:val="24"/>
          <w:lang w:eastAsia="zh-CN"/>
        </w:rPr>
        <w:t>.城市热岛效应评估技术指南；</w:t>
      </w:r>
    </w:p>
    <w:p w14:paraId="1A6EAD33">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2</w:t>
      </w:r>
      <w:r>
        <w:rPr>
          <w:rFonts w:hint="eastAsia" w:ascii="宋体" w:hAnsi="宋体" w:cs="宋体"/>
          <w:sz w:val="24"/>
          <w:szCs w:val="24"/>
          <w:lang w:eastAsia="zh-CN"/>
        </w:rPr>
        <w:t>.区域性气候可行性论证技术指南（中国气象局预报与网络司2019年8月）；</w:t>
      </w:r>
    </w:p>
    <w:p w14:paraId="22F73BF2">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3</w:t>
      </w:r>
      <w:r>
        <w:rPr>
          <w:rFonts w:hint="eastAsia" w:ascii="宋体" w:hAnsi="宋体" w:cs="宋体"/>
          <w:sz w:val="24"/>
          <w:szCs w:val="24"/>
          <w:lang w:eastAsia="zh-CN"/>
        </w:rPr>
        <w:t>.陕西省区域性气候可行性论证报告审查办法（试行）陕气办发〔2022〕21号。</w:t>
      </w:r>
    </w:p>
    <w:p w14:paraId="2F3BEE39">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p>
    <w:p w14:paraId="7A5376CC">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p>
    <w:p w14:paraId="00BB23A9">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p>
    <w:p w14:paraId="13EF610E">
      <w:pPr>
        <w:keepNext w:val="0"/>
        <w:keepLines w:val="0"/>
        <w:pageBreakBefore w:val="0"/>
        <w:widowControl/>
        <w:tabs>
          <w:tab w:val="left" w:pos="980"/>
        </w:tabs>
        <w:kinsoku w:val="0"/>
        <w:wordWrap/>
        <w:overflowPunct/>
        <w:topLinePunct w:val="0"/>
        <w:autoSpaceDE w:val="0"/>
        <w:autoSpaceDN w:val="0"/>
        <w:bidi w:val="0"/>
        <w:adjustRightInd w:val="0"/>
        <w:snapToGrid w:val="0"/>
        <w:spacing w:line="580" w:lineRule="exact"/>
        <w:ind w:left="218" w:leftChars="104" w:firstLine="259" w:firstLineChars="108"/>
        <w:textAlignment w:val="baseline"/>
        <w:rPr>
          <w:rFonts w:hint="eastAsia" w:ascii="宋体" w:hAnsi="宋体" w:cs="宋体"/>
          <w:sz w:val="24"/>
          <w:szCs w:val="24"/>
          <w:lang w:eastAsia="zh-CN"/>
        </w:rPr>
      </w:pPr>
    </w:p>
    <w:p w14:paraId="4AD029FF">
      <w:pPr>
        <w:pStyle w:val="26"/>
        <w:rPr>
          <w:color w:val="auto"/>
          <w:highlight w:val="none"/>
        </w:rPr>
      </w:pPr>
    </w:p>
    <w:p w14:paraId="101D5EFB">
      <w:pPr>
        <w:pStyle w:val="26"/>
        <w:rPr>
          <w:color w:val="auto"/>
          <w:highlight w:val="none"/>
        </w:rPr>
      </w:pPr>
    </w:p>
    <w:p w14:paraId="7EC9BF73">
      <w:pPr>
        <w:pStyle w:val="26"/>
        <w:rPr>
          <w:color w:val="auto"/>
          <w:highlight w:val="none"/>
        </w:rPr>
      </w:pPr>
    </w:p>
    <w:p w14:paraId="0507E2CE">
      <w:pPr>
        <w:pStyle w:val="26"/>
        <w:rPr>
          <w:color w:val="auto"/>
          <w:highlight w:val="none"/>
        </w:rPr>
      </w:pPr>
    </w:p>
    <w:p w14:paraId="5BB8E645">
      <w:pPr>
        <w:pStyle w:val="26"/>
        <w:rPr>
          <w:color w:val="auto"/>
          <w:highlight w:val="none"/>
        </w:rPr>
      </w:pPr>
    </w:p>
    <w:p w14:paraId="735BA028">
      <w:pPr>
        <w:pStyle w:val="26"/>
        <w:rPr>
          <w:color w:val="auto"/>
          <w:highlight w:val="none"/>
        </w:rPr>
      </w:pPr>
    </w:p>
    <w:p w14:paraId="775FD5FA">
      <w:pPr>
        <w:pStyle w:val="26"/>
        <w:rPr>
          <w:color w:val="auto"/>
          <w:highlight w:val="none"/>
        </w:rPr>
      </w:pPr>
    </w:p>
    <w:p w14:paraId="7894755E">
      <w:pPr>
        <w:pStyle w:val="26"/>
        <w:rPr>
          <w:color w:val="auto"/>
          <w:highlight w:val="none"/>
        </w:rPr>
      </w:pPr>
    </w:p>
    <w:p w14:paraId="34BE3520">
      <w:pPr>
        <w:pStyle w:val="26"/>
        <w:rPr>
          <w:color w:val="auto"/>
          <w:highlight w:val="none"/>
        </w:rPr>
      </w:pPr>
    </w:p>
    <w:p w14:paraId="5490A117">
      <w:pPr>
        <w:spacing w:before="167" w:line="390" w:lineRule="exact"/>
        <w:ind w:left="1647"/>
        <w:outlineLvl w:val="0"/>
        <w:rPr>
          <w:rFonts w:ascii="微软雅黑" w:hAnsi="微软雅黑" w:eastAsia="微软雅黑" w:cs="微软雅黑"/>
          <w:color w:val="auto"/>
          <w:sz w:val="39"/>
          <w:szCs w:val="39"/>
          <w:highlight w:val="none"/>
        </w:rPr>
      </w:pPr>
      <w:bookmarkStart w:id="27" w:name="_Toc29436"/>
      <w:bookmarkStart w:id="28" w:name="_Toc7869"/>
      <w:r>
        <w:rPr>
          <w:rFonts w:ascii="微软雅黑" w:hAnsi="微软雅黑" w:eastAsia="微软雅黑" w:cs="微软雅黑"/>
          <w:color w:val="auto"/>
          <w:spacing w:val="-12"/>
          <w:position w:val="-2"/>
          <w:sz w:val="39"/>
          <w:szCs w:val="39"/>
          <w:highlight w:val="none"/>
        </w:rPr>
        <w:t>第六章   竞争性磋商响应文件格式</w:t>
      </w:r>
      <w:bookmarkEnd w:id="27"/>
      <w:bookmarkEnd w:id="28"/>
    </w:p>
    <w:p w14:paraId="7280029A">
      <w:pPr>
        <w:pStyle w:val="10"/>
        <w:spacing w:line="243" w:lineRule="auto"/>
        <w:rPr>
          <w:color w:val="auto"/>
          <w:highlight w:val="none"/>
        </w:rPr>
      </w:pPr>
    </w:p>
    <w:p w14:paraId="4FAB60B6">
      <w:pPr>
        <w:pStyle w:val="10"/>
        <w:spacing w:line="243" w:lineRule="auto"/>
        <w:rPr>
          <w:color w:val="auto"/>
          <w:highlight w:val="none"/>
        </w:rPr>
      </w:pPr>
    </w:p>
    <w:p w14:paraId="510065D2">
      <w:pPr>
        <w:pStyle w:val="10"/>
        <w:spacing w:line="244" w:lineRule="auto"/>
        <w:rPr>
          <w:color w:val="auto"/>
          <w:highlight w:val="none"/>
        </w:rPr>
      </w:pPr>
    </w:p>
    <w:p w14:paraId="1048D8AD">
      <w:pPr>
        <w:pStyle w:val="10"/>
        <w:spacing w:line="244" w:lineRule="auto"/>
        <w:rPr>
          <w:color w:val="auto"/>
          <w:highlight w:val="none"/>
        </w:rPr>
      </w:pPr>
    </w:p>
    <w:p w14:paraId="17FF1BA6">
      <w:pPr>
        <w:spacing w:before="145" w:line="349"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5"/>
          <w:position w:val="-1"/>
          <w:sz w:val="32"/>
          <w:szCs w:val="32"/>
          <w:highlight w:val="none"/>
        </w:rPr>
        <w:t>项目编号:</w:t>
      </w:r>
    </w:p>
    <w:p w14:paraId="30ACA64B">
      <w:pPr>
        <w:pStyle w:val="10"/>
        <w:spacing w:line="245" w:lineRule="auto"/>
        <w:rPr>
          <w:rFonts w:hint="eastAsia" w:asciiTheme="minorEastAsia" w:hAnsiTheme="minorEastAsia" w:eastAsiaTheme="minorEastAsia" w:cstheme="minorEastAsia"/>
          <w:color w:val="auto"/>
          <w:highlight w:val="none"/>
        </w:rPr>
      </w:pPr>
    </w:p>
    <w:p w14:paraId="04D40ED5">
      <w:pPr>
        <w:pStyle w:val="10"/>
        <w:spacing w:line="246" w:lineRule="auto"/>
        <w:rPr>
          <w:rFonts w:hint="eastAsia" w:asciiTheme="minorEastAsia" w:hAnsiTheme="minorEastAsia" w:eastAsiaTheme="minorEastAsia" w:cstheme="minorEastAsia"/>
          <w:color w:val="auto"/>
          <w:highlight w:val="none"/>
        </w:rPr>
      </w:pPr>
    </w:p>
    <w:p w14:paraId="79D9F8D6">
      <w:pPr>
        <w:pStyle w:val="10"/>
        <w:spacing w:line="265" w:lineRule="auto"/>
        <w:rPr>
          <w:rFonts w:hint="default" w:asciiTheme="minorEastAsia" w:hAnsiTheme="minorEastAsia" w:eastAsia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sz w:val="44"/>
          <w:szCs w:val="44"/>
          <w:highlight w:val="none"/>
          <w:lang w:val="en-US" w:eastAsia="zh-CN"/>
        </w:rPr>
        <w:t xml:space="preserve"> 项目名称</w:t>
      </w:r>
    </w:p>
    <w:p w14:paraId="5430847B">
      <w:pPr>
        <w:pStyle w:val="10"/>
        <w:spacing w:line="265" w:lineRule="auto"/>
        <w:rPr>
          <w:rFonts w:hint="eastAsia" w:asciiTheme="minorEastAsia" w:hAnsiTheme="minorEastAsia" w:eastAsiaTheme="minorEastAsia" w:cstheme="minorEastAsia"/>
          <w:color w:val="auto"/>
          <w:highlight w:val="none"/>
        </w:rPr>
      </w:pPr>
    </w:p>
    <w:p w14:paraId="74AFCC38">
      <w:pPr>
        <w:pStyle w:val="10"/>
        <w:spacing w:line="266" w:lineRule="auto"/>
        <w:rPr>
          <w:rFonts w:hint="eastAsia" w:asciiTheme="minorEastAsia" w:hAnsiTheme="minorEastAsia" w:eastAsiaTheme="minorEastAsia" w:cstheme="minorEastAsia"/>
          <w:color w:val="auto"/>
          <w:highlight w:val="none"/>
        </w:rPr>
      </w:pPr>
    </w:p>
    <w:p w14:paraId="706D17F2">
      <w:pPr>
        <w:pStyle w:val="10"/>
        <w:spacing w:line="266" w:lineRule="auto"/>
        <w:rPr>
          <w:rFonts w:hint="eastAsia" w:asciiTheme="minorEastAsia" w:hAnsiTheme="minorEastAsia" w:eastAsiaTheme="minorEastAsia" w:cstheme="minorEastAsia"/>
          <w:color w:val="auto"/>
          <w:highlight w:val="none"/>
        </w:rPr>
      </w:pPr>
    </w:p>
    <w:p w14:paraId="62FD9105">
      <w:pPr>
        <w:pStyle w:val="10"/>
        <w:spacing w:line="266" w:lineRule="auto"/>
        <w:rPr>
          <w:rFonts w:hint="eastAsia" w:asciiTheme="minorEastAsia" w:hAnsiTheme="minorEastAsia" w:eastAsiaTheme="minorEastAsia" w:cstheme="minorEastAsia"/>
          <w:color w:val="auto"/>
          <w:highlight w:val="none"/>
        </w:rPr>
      </w:pPr>
    </w:p>
    <w:p w14:paraId="2AB21369">
      <w:pPr>
        <w:pStyle w:val="10"/>
        <w:spacing w:line="266" w:lineRule="auto"/>
        <w:rPr>
          <w:rFonts w:hint="eastAsia" w:asciiTheme="minorEastAsia" w:hAnsiTheme="minorEastAsia" w:eastAsiaTheme="minorEastAsia" w:cstheme="minorEastAsia"/>
          <w:color w:val="auto"/>
          <w:highlight w:val="none"/>
        </w:rPr>
      </w:pPr>
    </w:p>
    <w:p w14:paraId="71CCD92F">
      <w:pPr>
        <w:pStyle w:val="10"/>
        <w:spacing w:line="266" w:lineRule="auto"/>
        <w:rPr>
          <w:rFonts w:hint="eastAsia" w:asciiTheme="minorEastAsia" w:hAnsiTheme="minorEastAsia" w:eastAsiaTheme="minorEastAsia" w:cstheme="minorEastAsia"/>
          <w:color w:val="auto"/>
          <w:highlight w:val="none"/>
        </w:rPr>
      </w:pPr>
    </w:p>
    <w:p w14:paraId="1361CBB8">
      <w:pPr>
        <w:pStyle w:val="10"/>
        <w:spacing w:line="266" w:lineRule="auto"/>
        <w:rPr>
          <w:rFonts w:hint="eastAsia" w:asciiTheme="minorEastAsia" w:hAnsiTheme="minorEastAsia" w:eastAsiaTheme="minorEastAsia" w:cstheme="minorEastAsia"/>
          <w:color w:val="auto"/>
          <w:highlight w:val="none"/>
        </w:rPr>
      </w:pPr>
    </w:p>
    <w:p w14:paraId="0C6204B5">
      <w:pPr>
        <w:pStyle w:val="10"/>
        <w:spacing w:line="266" w:lineRule="auto"/>
        <w:rPr>
          <w:rFonts w:hint="eastAsia" w:asciiTheme="minorEastAsia" w:hAnsiTheme="minorEastAsia" w:eastAsiaTheme="minorEastAsia" w:cstheme="minorEastAsia"/>
          <w:color w:val="auto"/>
          <w:highlight w:val="none"/>
        </w:rPr>
      </w:pPr>
    </w:p>
    <w:p w14:paraId="605AF3FA">
      <w:pPr>
        <w:spacing w:before="245" w:line="575" w:lineRule="exact"/>
        <w:ind w:left="1973"/>
        <w:rPr>
          <w:rFonts w:hint="eastAsia" w:asciiTheme="minorEastAsia" w:hAnsiTheme="minorEastAsia" w:eastAsiaTheme="minorEastAsia" w:cstheme="minorEastAsia"/>
          <w:color w:val="auto"/>
          <w:sz w:val="57"/>
          <w:szCs w:val="57"/>
          <w:highlight w:val="none"/>
        </w:rPr>
      </w:pPr>
      <w:r>
        <w:rPr>
          <w:rFonts w:hint="eastAsia" w:asciiTheme="minorEastAsia" w:hAnsiTheme="minorEastAsia" w:eastAsiaTheme="minorEastAsia" w:cstheme="minorEastAsia"/>
          <w:color w:val="auto"/>
          <w:spacing w:val="-4"/>
          <w:position w:val="-3"/>
          <w:sz w:val="57"/>
          <w:szCs w:val="57"/>
          <w:highlight w:val="none"/>
        </w:rPr>
        <w:t>竞争性磋商响应文件</w:t>
      </w:r>
    </w:p>
    <w:p w14:paraId="12076D80">
      <w:pPr>
        <w:pStyle w:val="10"/>
        <w:spacing w:line="241" w:lineRule="auto"/>
        <w:rPr>
          <w:rFonts w:hint="eastAsia" w:asciiTheme="minorEastAsia" w:hAnsiTheme="minorEastAsia" w:eastAsiaTheme="minorEastAsia" w:cstheme="minorEastAsia"/>
          <w:color w:val="auto"/>
          <w:highlight w:val="none"/>
        </w:rPr>
      </w:pPr>
    </w:p>
    <w:p w14:paraId="3A317AEE">
      <w:pPr>
        <w:pStyle w:val="10"/>
        <w:spacing w:line="242" w:lineRule="auto"/>
        <w:rPr>
          <w:rFonts w:hint="eastAsia" w:asciiTheme="minorEastAsia" w:hAnsiTheme="minorEastAsia" w:eastAsiaTheme="minorEastAsia" w:cstheme="minorEastAsia"/>
          <w:color w:val="auto"/>
          <w:highlight w:val="none"/>
        </w:rPr>
      </w:pPr>
    </w:p>
    <w:p w14:paraId="38B83ED9">
      <w:pPr>
        <w:pStyle w:val="10"/>
        <w:spacing w:line="242" w:lineRule="auto"/>
        <w:rPr>
          <w:rFonts w:hint="eastAsia" w:asciiTheme="minorEastAsia" w:hAnsiTheme="minorEastAsia" w:eastAsiaTheme="minorEastAsia" w:cstheme="minorEastAsia"/>
          <w:color w:val="auto"/>
          <w:highlight w:val="none"/>
        </w:rPr>
      </w:pPr>
    </w:p>
    <w:p w14:paraId="58735DAD">
      <w:pPr>
        <w:pStyle w:val="10"/>
        <w:spacing w:line="242" w:lineRule="auto"/>
        <w:rPr>
          <w:rFonts w:hint="eastAsia" w:asciiTheme="minorEastAsia" w:hAnsiTheme="minorEastAsia" w:eastAsiaTheme="minorEastAsia" w:cstheme="minorEastAsia"/>
          <w:color w:val="auto"/>
          <w:highlight w:val="none"/>
        </w:rPr>
      </w:pPr>
    </w:p>
    <w:p w14:paraId="1E6B0DA8">
      <w:pPr>
        <w:pStyle w:val="10"/>
        <w:spacing w:line="242" w:lineRule="auto"/>
        <w:rPr>
          <w:rFonts w:hint="eastAsia" w:asciiTheme="minorEastAsia" w:hAnsiTheme="minorEastAsia" w:eastAsiaTheme="minorEastAsia" w:cstheme="minorEastAsia"/>
          <w:color w:val="auto"/>
          <w:highlight w:val="none"/>
        </w:rPr>
      </w:pPr>
    </w:p>
    <w:p w14:paraId="527A91B2">
      <w:pPr>
        <w:pStyle w:val="10"/>
        <w:spacing w:line="242" w:lineRule="auto"/>
        <w:rPr>
          <w:rFonts w:hint="eastAsia" w:asciiTheme="minorEastAsia" w:hAnsiTheme="minorEastAsia" w:eastAsiaTheme="minorEastAsia" w:cstheme="minorEastAsia"/>
          <w:color w:val="auto"/>
          <w:highlight w:val="none"/>
        </w:rPr>
      </w:pPr>
    </w:p>
    <w:p w14:paraId="4CF0D3F5">
      <w:pPr>
        <w:pStyle w:val="10"/>
        <w:spacing w:line="242" w:lineRule="auto"/>
        <w:rPr>
          <w:rFonts w:hint="eastAsia" w:asciiTheme="minorEastAsia" w:hAnsiTheme="minorEastAsia" w:eastAsiaTheme="minorEastAsia" w:cstheme="minorEastAsia"/>
          <w:color w:val="auto"/>
          <w:highlight w:val="none"/>
        </w:rPr>
      </w:pPr>
    </w:p>
    <w:p w14:paraId="18201859">
      <w:pPr>
        <w:pStyle w:val="10"/>
        <w:spacing w:line="242" w:lineRule="auto"/>
        <w:rPr>
          <w:rFonts w:hint="eastAsia" w:asciiTheme="minorEastAsia" w:hAnsiTheme="minorEastAsia" w:eastAsiaTheme="minorEastAsia" w:cstheme="minorEastAsia"/>
          <w:color w:val="auto"/>
          <w:highlight w:val="none"/>
        </w:rPr>
      </w:pPr>
    </w:p>
    <w:p w14:paraId="3202B987">
      <w:pPr>
        <w:pStyle w:val="10"/>
        <w:spacing w:line="242" w:lineRule="auto"/>
        <w:rPr>
          <w:rFonts w:hint="eastAsia" w:asciiTheme="minorEastAsia" w:hAnsiTheme="minorEastAsia" w:eastAsiaTheme="minorEastAsia" w:cstheme="minorEastAsia"/>
          <w:color w:val="auto"/>
          <w:highlight w:val="none"/>
        </w:rPr>
      </w:pPr>
    </w:p>
    <w:p w14:paraId="303EAB61">
      <w:pPr>
        <w:pStyle w:val="10"/>
        <w:spacing w:line="242" w:lineRule="auto"/>
        <w:rPr>
          <w:rFonts w:hint="eastAsia" w:asciiTheme="minorEastAsia" w:hAnsiTheme="minorEastAsia" w:eastAsiaTheme="minorEastAsia" w:cstheme="minorEastAsia"/>
          <w:color w:val="auto"/>
          <w:highlight w:val="none"/>
        </w:rPr>
      </w:pPr>
    </w:p>
    <w:p w14:paraId="2F073FE7">
      <w:pPr>
        <w:spacing w:before="150" w:line="181" w:lineRule="auto"/>
        <w:ind w:left="1482"/>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12"/>
          <w:w w:val="89"/>
          <w:sz w:val="35"/>
          <w:szCs w:val="35"/>
          <w:highlight w:val="none"/>
        </w:rPr>
        <w:t>供应商名称</w:t>
      </w:r>
      <w:r>
        <w:rPr>
          <w:rFonts w:hint="eastAsia" w:asciiTheme="minorEastAsia" w:hAnsiTheme="minorEastAsia" w:eastAsiaTheme="minorEastAsia" w:cstheme="minorEastAsia"/>
          <w:color w:val="auto"/>
          <w:spacing w:val="-12"/>
          <w:w w:val="89"/>
          <w:sz w:val="30"/>
          <w:szCs w:val="30"/>
          <w:highlight w:val="none"/>
        </w:rPr>
        <w:t>：</w:t>
      </w:r>
      <w:r>
        <w:rPr>
          <w:rFonts w:hint="eastAsia" w:asciiTheme="minorEastAsia" w:hAnsiTheme="minorEastAsia" w:eastAsiaTheme="minorEastAsia" w:cstheme="minorEastAsia"/>
          <w:color w:val="auto"/>
          <w:spacing w:val="-128"/>
          <w:sz w:val="30"/>
          <w:szCs w:val="30"/>
          <w:highlight w:val="none"/>
        </w:rPr>
        <w:t xml:space="preserve"> </w:t>
      </w:r>
      <w:r>
        <w:rPr>
          <w:rFonts w:hint="eastAsia" w:asciiTheme="minorEastAsia" w:hAnsiTheme="minorEastAsia" w:eastAsiaTheme="minorEastAsia" w:cstheme="minorEastAsia"/>
          <w:color w:val="auto"/>
          <w:spacing w:val="8"/>
          <w:sz w:val="30"/>
          <w:szCs w:val="30"/>
          <w:highlight w:val="none"/>
          <w:u w:val="single" w:color="auto"/>
        </w:rPr>
        <w:t xml:space="preserve">                </w:t>
      </w:r>
      <w:r>
        <w:rPr>
          <w:rFonts w:hint="eastAsia" w:asciiTheme="minorEastAsia" w:hAnsiTheme="minorEastAsia" w:eastAsiaTheme="minorEastAsia" w:cstheme="minorEastAsia"/>
          <w:color w:val="auto"/>
          <w:spacing w:val="-115"/>
          <w:sz w:val="30"/>
          <w:szCs w:val="30"/>
          <w:highlight w:val="none"/>
        </w:rPr>
        <w:t xml:space="preserve"> </w:t>
      </w:r>
      <w:r>
        <w:rPr>
          <w:rFonts w:hint="eastAsia" w:asciiTheme="minorEastAsia" w:hAnsiTheme="minorEastAsia" w:eastAsiaTheme="minorEastAsia" w:cstheme="minorEastAsia"/>
          <w:color w:val="auto"/>
          <w:spacing w:val="-12"/>
          <w:w w:val="89"/>
          <w:sz w:val="35"/>
          <w:szCs w:val="35"/>
          <w:highlight w:val="none"/>
        </w:rPr>
        <w:t>(公章)</w:t>
      </w:r>
    </w:p>
    <w:p w14:paraId="6796365A">
      <w:pPr>
        <w:spacing w:before="214" w:line="351" w:lineRule="exact"/>
        <w:ind w:left="3541"/>
        <w:rPr>
          <w:rFonts w:hint="eastAsia" w:asciiTheme="minorEastAsia" w:hAnsiTheme="minorEastAsia" w:eastAsiaTheme="minorEastAsia" w:cstheme="minorEastAsia"/>
          <w:color w:val="auto"/>
          <w:sz w:val="34"/>
          <w:szCs w:val="34"/>
          <w:highlight w:val="none"/>
        </w:rPr>
      </w:pPr>
      <w:r>
        <w:rPr>
          <w:rFonts w:hint="eastAsia" w:asciiTheme="minorEastAsia" w:hAnsiTheme="minorEastAsia" w:eastAsiaTheme="minorEastAsia" w:cstheme="minorEastAsia"/>
          <w:color w:val="auto"/>
          <w:spacing w:val="-7"/>
          <w:position w:val="-1"/>
          <w:sz w:val="34"/>
          <w:szCs w:val="34"/>
          <w:highlight w:val="none"/>
        </w:rPr>
        <w:t>年     月</w:t>
      </w:r>
      <w:r>
        <w:rPr>
          <w:rFonts w:hint="eastAsia" w:asciiTheme="minorEastAsia" w:hAnsiTheme="minorEastAsia" w:eastAsiaTheme="minorEastAsia" w:cstheme="minorEastAsia"/>
          <w:color w:val="auto"/>
          <w:spacing w:val="2"/>
          <w:position w:val="-1"/>
          <w:sz w:val="34"/>
          <w:szCs w:val="34"/>
          <w:highlight w:val="none"/>
        </w:rPr>
        <w:t xml:space="preserve">    </w:t>
      </w:r>
      <w:r>
        <w:rPr>
          <w:rFonts w:hint="eastAsia" w:asciiTheme="minorEastAsia" w:hAnsiTheme="minorEastAsia" w:eastAsiaTheme="minorEastAsia" w:cstheme="minorEastAsia"/>
          <w:color w:val="auto"/>
          <w:spacing w:val="-7"/>
          <w:position w:val="-1"/>
          <w:sz w:val="34"/>
          <w:szCs w:val="34"/>
          <w:highlight w:val="none"/>
        </w:rPr>
        <w:t>日</w:t>
      </w:r>
    </w:p>
    <w:p w14:paraId="0108FBA9">
      <w:pPr>
        <w:spacing w:line="351" w:lineRule="exact"/>
        <w:rPr>
          <w:rFonts w:hint="eastAsia" w:asciiTheme="minorEastAsia" w:hAnsiTheme="minorEastAsia" w:eastAsiaTheme="minorEastAsia" w:cstheme="minorEastAsia"/>
          <w:color w:val="auto"/>
          <w:sz w:val="34"/>
          <w:szCs w:val="34"/>
          <w:highlight w:val="none"/>
        </w:rPr>
        <w:sectPr>
          <w:footerReference r:id="rId9" w:type="default"/>
          <w:pgSz w:w="11906" w:h="16840"/>
          <w:pgMar w:top="1431" w:right="1401" w:bottom="1343" w:left="1465" w:header="0" w:footer="1173" w:gutter="0"/>
          <w:pgNumType w:fmt="decimal"/>
          <w:cols w:space="720" w:num="1"/>
        </w:sectPr>
      </w:pPr>
    </w:p>
    <w:p w14:paraId="55640A52">
      <w:pPr>
        <w:spacing w:line="720" w:lineRule="auto"/>
        <w:jc w:val="center"/>
        <w:rPr>
          <w:rFonts w:hAnsi="宋体" w:cs="宋体"/>
          <w:color w:val="auto"/>
          <w:highlight w:val="none"/>
        </w:rPr>
      </w:pPr>
      <w:r>
        <w:rPr>
          <w:rFonts w:hint="eastAsia" w:hAnsi="宋体" w:cs="宋体"/>
          <w:b/>
          <w:color w:val="auto"/>
          <w:sz w:val="36"/>
          <w:szCs w:val="36"/>
          <w:highlight w:val="none"/>
        </w:rPr>
        <w:t>目 录</w:t>
      </w:r>
    </w:p>
    <w:p w14:paraId="5BB2F2FF">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Ansi="宋体" w:cs="宋体"/>
          <w:color w:val="auto"/>
          <w:spacing w:val="4"/>
          <w:sz w:val="24"/>
          <w:szCs w:val="24"/>
          <w:highlight w:val="none"/>
        </w:rPr>
      </w:pPr>
      <w:r>
        <w:rPr>
          <w:rFonts w:hint="eastAsia" w:hAnsi="宋体" w:cs="宋体"/>
          <w:color w:val="auto"/>
          <w:spacing w:val="4"/>
          <w:sz w:val="24"/>
          <w:szCs w:val="24"/>
          <w:highlight w:val="none"/>
        </w:rPr>
        <w:t>一、</w:t>
      </w:r>
      <w:r>
        <w:rPr>
          <w:rFonts w:hint="eastAsia" w:hAnsi="宋体" w:eastAsia="宋体" w:cs="宋体"/>
          <w:color w:val="auto"/>
          <w:spacing w:val="4"/>
          <w:sz w:val="24"/>
          <w:szCs w:val="24"/>
          <w:highlight w:val="none"/>
          <w:lang w:val="en-US" w:eastAsia="zh-CN"/>
        </w:rPr>
        <w:t>磋商响应</w:t>
      </w:r>
      <w:r>
        <w:rPr>
          <w:rFonts w:hint="eastAsia" w:hAnsi="宋体" w:cs="宋体"/>
          <w:color w:val="auto"/>
          <w:spacing w:val="4"/>
          <w:sz w:val="24"/>
          <w:szCs w:val="24"/>
          <w:highlight w:val="none"/>
        </w:rPr>
        <w:t>函</w:t>
      </w:r>
    </w:p>
    <w:p w14:paraId="401ACC83">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ascii="宋体" w:hAnsi="宋体" w:cs="宋体"/>
          <w:color w:val="auto"/>
          <w:spacing w:val="4"/>
          <w:sz w:val="24"/>
          <w:szCs w:val="24"/>
          <w:highlight w:val="none"/>
        </w:rPr>
      </w:pPr>
      <w:r>
        <w:rPr>
          <w:rFonts w:hint="eastAsia" w:hAnsi="宋体" w:cs="宋体"/>
          <w:color w:val="auto"/>
          <w:spacing w:val="4"/>
          <w:sz w:val="24"/>
          <w:szCs w:val="24"/>
          <w:highlight w:val="none"/>
        </w:rPr>
        <w:t>二、</w:t>
      </w:r>
      <w:r>
        <w:rPr>
          <w:rFonts w:hint="eastAsia" w:hAnsi="宋体" w:eastAsia="宋体" w:cs="宋体"/>
          <w:color w:val="auto"/>
          <w:spacing w:val="4"/>
          <w:sz w:val="24"/>
          <w:szCs w:val="24"/>
          <w:highlight w:val="none"/>
          <w:lang w:val="en-US" w:eastAsia="zh-CN"/>
        </w:rPr>
        <w:t>磋商响应报价</w:t>
      </w:r>
      <w:r>
        <w:rPr>
          <w:rFonts w:hint="eastAsia" w:hAnsi="宋体" w:cs="宋体"/>
          <w:color w:val="auto"/>
          <w:spacing w:val="4"/>
          <w:sz w:val="24"/>
          <w:szCs w:val="24"/>
          <w:highlight w:val="none"/>
        </w:rPr>
        <w:t>表</w:t>
      </w:r>
    </w:p>
    <w:p w14:paraId="33DDB073">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三、资格证明文件</w:t>
      </w:r>
    </w:p>
    <w:p w14:paraId="788ABE98">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int="eastAsia" w:ascii="Times New Roman" w:hAnsi="宋体" w:eastAsia="宋体" w:cs="宋体"/>
          <w:color w:val="auto"/>
          <w:spacing w:val="4"/>
          <w:kern w:val="2"/>
          <w:sz w:val="24"/>
          <w:szCs w:val="24"/>
          <w:highlight w:val="none"/>
          <w:lang w:val="en-US" w:eastAsia="zh-CN" w:bidi="ar-SA"/>
        </w:rPr>
      </w:pPr>
      <w:r>
        <w:rPr>
          <w:rFonts w:hint="eastAsia" w:hAnsi="宋体" w:cs="宋体"/>
          <w:color w:val="auto"/>
          <w:spacing w:val="4"/>
          <w:sz w:val="24"/>
          <w:szCs w:val="24"/>
          <w:highlight w:val="none"/>
        </w:rPr>
        <w:t>四、</w:t>
      </w:r>
      <w:r>
        <w:rPr>
          <w:rFonts w:hint="eastAsia" w:hAnsi="宋体" w:cs="宋体"/>
          <w:color w:val="auto"/>
          <w:spacing w:val="4"/>
          <w:sz w:val="24"/>
          <w:szCs w:val="24"/>
          <w:highlight w:val="none"/>
          <w:lang w:val="en-US" w:eastAsia="zh-CN"/>
        </w:rPr>
        <w:t>条款偏离表</w:t>
      </w:r>
    </w:p>
    <w:p w14:paraId="7A587856">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Ansi="宋体" w:cs="宋体"/>
          <w:color w:val="auto"/>
          <w:spacing w:val="4"/>
          <w:sz w:val="24"/>
          <w:szCs w:val="24"/>
          <w:highlight w:val="none"/>
        </w:rPr>
      </w:pPr>
      <w:r>
        <w:rPr>
          <w:rFonts w:hint="eastAsia" w:hAnsi="宋体" w:cs="宋体"/>
          <w:color w:val="auto"/>
          <w:spacing w:val="4"/>
          <w:sz w:val="24"/>
          <w:szCs w:val="24"/>
          <w:highlight w:val="none"/>
          <w:lang w:val="en-US" w:eastAsia="zh-CN"/>
        </w:rPr>
        <w:t>五、供应商承诺书</w:t>
      </w:r>
    </w:p>
    <w:p w14:paraId="53EB2CF1">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int="eastAsia" w:hAnsi="宋体" w:cs="宋体"/>
          <w:color w:val="auto"/>
          <w:spacing w:val="4"/>
          <w:sz w:val="24"/>
          <w:szCs w:val="24"/>
          <w:highlight w:val="none"/>
        </w:rPr>
      </w:pPr>
      <w:r>
        <w:rPr>
          <w:rFonts w:hint="eastAsia" w:hAnsi="宋体" w:cs="宋体"/>
          <w:color w:val="auto"/>
          <w:spacing w:val="4"/>
          <w:sz w:val="24"/>
          <w:szCs w:val="24"/>
          <w:highlight w:val="none"/>
          <w:lang w:val="en-US" w:eastAsia="zh-CN"/>
        </w:rPr>
        <w:t>六</w:t>
      </w:r>
      <w:r>
        <w:rPr>
          <w:rFonts w:hint="eastAsia" w:hAnsi="宋体" w:cs="宋体"/>
          <w:color w:val="auto"/>
          <w:spacing w:val="4"/>
          <w:sz w:val="24"/>
          <w:szCs w:val="24"/>
          <w:highlight w:val="none"/>
        </w:rPr>
        <w:t>、方案</w:t>
      </w:r>
    </w:p>
    <w:p w14:paraId="469618C9">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int="default" w:hAnsi="宋体" w:eastAsia="宋体" w:cs="宋体"/>
          <w:color w:val="auto"/>
          <w:spacing w:val="4"/>
          <w:sz w:val="24"/>
          <w:szCs w:val="24"/>
          <w:highlight w:val="none"/>
          <w:lang w:val="en-US" w:eastAsia="zh-CN"/>
        </w:rPr>
      </w:pPr>
      <w:r>
        <w:rPr>
          <w:rFonts w:hint="eastAsia" w:hAnsi="宋体" w:eastAsia="宋体" w:cs="宋体"/>
          <w:color w:val="auto"/>
          <w:spacing w:val="4"/>
          <w:sz w:val="24"/>
          <w:szCs w:val="24"/>
          <w:highlight w:val="none"/>
          <w:lang w:val="en-US" w:eastAsia="zh-CN"/>
        </w:rPr>
        <w:t>七、近三年业绩的有关证明材料</w:t>
      </w:r>
    </w:p>
    <w:p w14:paraId="796B938B">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992" w:firstLineChars="400"/>
        <w:textAlignment w:val="auto"/>
        <w:rPr>
          <w:rFonts w:hint="eastAsia" w:hAnsi="宋体" w:cs="宋体"/>
          <w:color w:val="auto"/>
          <w:spacing w:val="4"/>
          <w:sz w:val="24"/>
          <w:szCs w:val="24"/>
          <w:highlight w:val="none"/>
          <w:lang w:eastAsia="zh-CN"/>
        </w:rPr>
      </w:pPr>
      <w:r>
        <w:rPr>
          <w:rFonts w:hint="eastAsia" w:hAnsi="宋体" w:eastAsia="宋体" w:cs="宋体"/>
          <w:color w:val="auto"/>
          <w:spacing w:val="4"/>
          <w:sz w:val="24"/>
          <w:szCs w:val="24"/>
          <w:highlight w:val="none"/>
          <w:lang w:val="en-US" w:eastAsia="zh-CN"/>
        </w:rPr>
        <w:t>八</w:t>
      </w:r>
      <w:r>
        <w:rPr>
          <w:rFonts w:hint="eastAsia" w:hAnsi="宋体" w:cs="宋体"/>
          <w:color w:val="auto"/>
          <w:spacing w:val="4"/>
          <w:sz w:val="24"/>
          <w:szCs w:val="24"/>
          <w:highlight w:val="none"/>
        </w:rPr>
        <w:t>、</w:t>
      </w:r>
      <w:r>
        <w:rPr>
          <w:rFonts w:hint="eastAsia" w:hAnsi="宋体" w:cs="宋体"/>
          <w:color w:val="auto"/>
          <w:spacing w:val="4"/>
          <w:sz w:val="24"/>
          <w:szCs w:val="24"/>
          <w:highlight w:val="none"/>
          <w:lang w:val="en-US" w:eastAsia="zh-CN"/>
        </w:rPr>
        <w:t>供应商认为需要提交的其他资料</w:t>
      </w:r>
    </w:p>
    <w:p w14:paraId="3054A6E0">
      <w:pPr>
        <w:spacing w:line="480" w:lineRule="auto"/>
        <w:ind w:left="105"/>
        <w:rPr>
          <w:rFonts w:hAnsi="宋体" w:cs="宋体"/>
          <w:color w:val="auto"/>
          <w:spacing w:val="4"/>
          <w:szCs w:val="24"/>
          <w:highlight w:val="none"/>
        </w:rPr>
      </w:pPr>
    </w:p>
    <w:p w14:paraId="568246AD">
      <w:pPr>
        <w:keepNext/>
        <w:spacing w:line="360" w:lineRule="auto"/>
        <w:jc w:val="center"/>
        <w:rPr>
          <w:rFonts w:hAnsi="宋体" w:cs="宋体"/>
          <w:color w:val="auto"/>
          <w:sz w:val="32"/>
          <w:highlight w:val="none"/>
        </w:rPr>
      </w:pPr>
      <w:bookmarkStart w:id="29" w:name="_Toc403077648"/>
      <w:bookmarkStart w:id="30" w:name="_Toc28404"/>
      <w:bookmarkStart w:id="31" w:name="_Toc13414"/>
      <w:bookmarkStart w:id="32" w:name="_Toc426457700"/>
      <w:bookmarkStart w:id="33" w:name="_Toc14057"/>
      <w:bookmarkStart w:id="34" w:name="_Toc24231"/>
      <w:bookmarkStart w:id="35" w:name="_Toc4930"/>
      <w:bookmarkStart w:id="36" w:name="_Toc23702"/>
      <w:bookmarkStart w:id="37" w:name="_Toc363474027"/>
      <w:r>
        <w:rPr>
          <w:rFonts w:hint="eastAsia" w:hAnsi="宋体" w:cs="宋体"/>
          <w:color w:val="auto"/>
          <w:sz w:val="32"/>
          <w:highlight w:val="none"/>
        </w:rPr>
        <w:br w:type="page"/>
      </w:r>
      <w:r>
        <w:rPr>
          <w:rFonts w:hint="eastAsia" w:hAnsi="宋体" w:cs="宋体"/>
          <w:color w:val="auto"/>
          <w:sz w:val="32"/>
          <w:highlight w:val="none"/>
        </w:rPr>
        <w:t xml:space="preserve">     </w:t>
      </w:r>
      <w:r>
        <w:rPr>
          <w:rFonts w:hint="eastAsia" w:hAnsi="宋体" w:cs="宋体"/>
          <w:b/>
          <w:bCs/>
          <w:color w:val="auto"/>
          <w:sz w:val="32"/>
          <w:highlight w:val="none"/>
        </w:rPr>
        <w:t>一、</w:t>
      </w:r>
      <w:bookmarkEnd w:id="29"/>
      <w:bookmarkEnd w:id="30"/>
      <w:bookmarkEnd w:id="31"/>
      <w:bookmarkEnd w:id="32"/>
      <w:bookmarkEnd w:id="33"/>
      <w:bookmarkEnd w:id="34"/>
      <w:bookmarkEnd w:id="35"/>
      <w:bookmarkEnd w:id="36"/>
      <w:bookmarkEnd w:id="37"/>
      <w:r>
        <w:rPr>
          <w:rFonts w:hint="eastAsia" w:hAnsi="宋体" w:cs="宋体"/>
          <w:b/>
          <w:bCs/>
          <w:color w:val="auto"/>
          <w:sz w:val="32"/>
          <w:highlight w:val="none"/>
        </w:rPr>
        <w:t>磋商响应函</w:t>
      </w:r>
    </w:p>
    <w:p w14:paraId="6C3C74C4">
      <w:pPr>
        <w:keepNext w:val="0"/>
        <w:keepLines w:val="0"/>
        <w:pageBreakBefore w:val="0"/>
        <w:widowControl w:val="0"/>
        <w:kinsoku/>
        <w:wordWrap/>
        <w:overflowPunct/>
        <w:topLinePunct w:val="0"/>
        <w:autoSpaceDE w:val="0"/>
        <w:autoSpaceDN w:val="0"/>
        <w:bidi w:val="0"/>
        <w:adjustRightInd w:val="0"/>
        <w:spacing w:line="360" w:lineRule="auto"/>
        <w:jc w:val="left"/>
        <w:textAlignment w:val="baseline"/>
        <w:rPr>
          <w:rFonts w:hint="eastAsia" w:ascii="宋体" w:hAnsi="宋体" w:cs="宋体"/>
          <w:b/>
          <w:bCs/>
          <w:color w:val="auto"/>
          <w:kern w:val="0"/>
          <w:sz w:val="24"/>
          <w:szCs w:val="24"/>
          <w:highlight w:val="none"/>
        </w:rPr>
      </w:pPr>
      <w:bookmarkStart w:id="38" w:name="_Toc15278"/>
      <w:r>
        <w:rPr>
          <w:rFonts w:hint="eastAsia" w:ascii="宋体" w:hAnsi="宋体" w:cs="宋体"/>
          <w:color w:val="auto"/>
          <w:spacing w:val="4"/>
          <w:kern w:val="0"/>
          <w:sz w:val="24"/>
          <w:szCs w:val="24"/>
          <w:highlight w:val="none"/>
          <w:u w:val="single"/>
        </w:rPr>
        <w:t xml:space="preserve"> （采购人名称）    </w:t>
      </w:r>
      <w:r>
        <w:rPr>
          <w:rFonts w:hint="eastAsia" w:ascii="宋体" w:hAnsi="宋体" w:cs="宋体"/>
          <w:b/>
          <w:bCs/>
          <w:color w:val="auto"/>
          <w:kern w:val="0"/>
          <w:sz w:val="24"/>
          <w:szCs w:val="24"/>
          <w:highlight w:val="none"/>
          <w:lang w:val="zh-CN"/>
        </w:rPr>
        <w:t>：</w:t>
      </w:r>
    </w:p>
    <w:p w14:paraId="0297D63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我单位收到贵公司关于</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项目名称：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（项目编号：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磋商文件，经详细研究，我们决定参加本次磋商活动。为此，我方郑重声明以下诸点，并负法律责任。</w:t>
      </w:r>
    </w:p>
    <w:p w14:paraId="3FFBC258">
      <w:pPr>
        <w:keepNext w:val="0"/>
        <w:keepLines w:val="0"/>
        <w:pageBreakBefore w:val="0"/>
        <w:widowControl w:val="0"/>
        <w:kinsoku/>
        <w:wordWrap/>
        <w:overflowPunct/>
        <w:topLinePunct w:val="0"/>
        <w:autoSpaceDE w:val="0"/>
        <w:autoSpaceDN w:val="0"/>
        <w:bidi w:val="0"/>
        <w:adjustRightInd w:val="0"/>
        <w:spacing w:line="360" w:lineRule="auto"/>
        <w:ind w:firstLine="424" w:firstLineChars="177"/>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一、愿意按照磋商文件中的一切要求，向采购人提供所需所有</w:t>
      </w:r>
      <w:r>
        <w:rPr>
          <w:rFonts w:hint="eastAsia" w:ascii="宋体" w:hAnsi="宋体" w:eastAsia="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w:t>
      </w:r>
    </w:p>
    <w:p w14:paraId="03081D81">
      <w:pPr>
        <w:keepNext w:val="0"/>
        <w:keepLines w:val="0"/>
        <w:pageBreakBefore w:val="0"/>
        <w:widowControl w:val="0"/>
        <w:kinsoku/>
        <w:wordWrap/>
        <w:overflowPunct/>
        <w:topLinePunct w:val="0"/>
        <w:bidi w:val="0"/>
        <w:adjustRightInd w:val="0"/>
        <w:snapToGrid w:val="0"/>
        <w:spacing w:line="360" w:lineRule="auto"/>
        <w:ind w:firstLine="424" w:firstLineChars="177"/>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二、按磋商文件的规定，报价为：</w:t>
      </w:r>
    </w:p>
    <w:p w14:paraId="198CFD35">
      <w:pPr>
        <w:keepNext w:val="0"/>
        <w:keepLines w:val="0"/>
        <w:pageBreakBefore w:val="0"/>
        <w:widowControl w:val="0"/>
        <w:kinsoku/>
        <w:wordWrap/>
        <w:overflowPunct/>
        <w:topLinePunct w:val="0"/>
        <w:bidi w:val="0"/>
        <w:snapToGrid w:val="0"/>
        <w:spacing w:line="360" w:lineRule="auto"/>
        <w:ind w:firstLine="480" w:firstLineChars="200"/>
        <w:rPr>
          <w:rFonts w:ascii="宋体" w:hAnsi="宋体"/>
          <w:color w:val="auto"/>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eastAsia="宋体" w:cs="宋体"/>
          <w:color w:val="auto"/>
          <w:kern w:val="0"/>
          <w:sz w:val="24"/>
          <w:szCs w:val="24"/>
          <w:highlight w:val="none"/>
          <w:lang w:eastAsia="zh-CN"/>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CC79FA">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期限：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地点</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w:t>
      </w:r>
    </w:p>
    <w:p w14:paraId="5B57106C">
      <w:pPr>
        <w:keepNext w:val="0"/>
        <w:keepLines w:val="0"/>
        <w:pageBreakBefore w:val="0"/>
        <w:widowControl w:val="0"/>
        <w:kinsoku/>
        <w:wordWrap/>
        <w:overflowPunct/>
        <w:topLinePunct w:val="0"/>
        <w:bidi w:val="0"/>
        <w:adjustRightInd w:val="0"/>
        <w:snapToGrid w:val="0"/>
        <w:spacing w:line="360" w:lineRule="auto"/>
        <w:ind w:firstLine="424" w:firstLineChars="177"/>
        <w:jc w:val="left"/>
        <w:textAlignment w:val="baseline"/>
        <w:rPr>
          <w:rFonts w:hint="eastAsia" w:ascii="宋体" w:hAnsi="宋体" w:cs="宋体"/>
          <w:color w:val="auto"/>
          <w:kern w:val="0"/>
          <w:sz w:val="24"/>
          <w:szCs w:val="24"/>
          <w:highlight w:val="none"/>
        </w:rPr>
      </w:pPr>
      <w:r>
        <w:rPr>
          <w:rFonts w:ascii="宋体" w:hAnsi="宋体" w:cs="宋体"/>
          <w:color w:val="auto"/>
          <w:kern w:val="0"/>
          <w:sz w:val="24"/>
          <w:szCs w:val="24"/>
          <w:highlight w:val="none"/>
        </w:rPr>
        <w:t>并对其后的磋商报价负法律责任。</w:t>
      </w:r>
    </w:p>
    <w:p w14:paraId="536C5165">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三、我方提交的磋商响应文件，保证磋商响应文件提供的数据和材料真实、准确。否则，愿承担相关的法律责任。</w:t>
      </w:r>
    </w:p>
    <w:p w14:paraId="6BD10843">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四、我方已详细阅读了磋商文件，完全理解并放弃提出含糊不清或易形成歧义的表述和资料。</w:t>
      </w:r>
    </w:p>
    <w:p w14:paraId="21EE285D">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五、我方愿意向贵方提供任何与本次磋商有关的数据、情况、样品和技术资料，若贵方需要，我方愿意提供我方作出的一切承诺的证明材料。</w:t>
      </w:r>
    </w:p>
    <w:p w14:paraId="60384E96">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六、我方的磋商响应文件有效期为</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个日历</w:t>
      </w:r>
      <w:r>
        <w:rPr>
          <w:rFonts w:hint="eastAsia" w:ascii="宋体" w:hAnsi="宋体" w:eastAsia="宋体" w:cs="宋体"/>
          <w:color w:val="auto"/>
          <w:kern w:val="0"/>
          <w:sz w:val="24"/>
          <w:szCs w:val="24"/>
          <w:highlight w:val="none"/>
          <w:lang w:val="en-US" w:eastAsia="zh-CN"/>
        </w:rPr>
        <w:t>天</w:t>
      </w:r>
      <w:r>
        <w:rPr>
          <w:rFonts w:hint="eastAsia" w:ascii="宋体" w:hAnsi="宋体" w:cs="宋体"/>
          <w:color w:val="auto"/>
          <w:kern w:val="0"/>
          <w:sz w:val="24"/>
          <w:szCs w:val="24"/>
          <w:highlight w:val="none"/>
        </w:rPr>
        <w:t>，磋商后在规定的磋商有效期内撤回磋商，我们愿接受政府采购的有关处罚决定。</w:t>
      </w:r>
    </w:p>
    <w:p w14:paraId="49A125B6">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七、我方承诺遵守《中华人民共和国政府采购法》及其实施条例的有关规定，保证在获得成交资格后：</w:t>
      </w:r>
    </w:p>
    <w:p w14:paraId="09D3A262">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（1）按照磋商文件确定的事项签订合同，履行双方所签订的合同，并承担合同规定的责任和义务；</w:t>
      </w:r>
    </w:p>
    <w:p w14:paraId="081E84EE">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（2）我方保证按规定和标准向贵方缴纳成交服务费；</w:t>
      </w:r>
    </w:p>
    <w:p w14:paraId="35A81F81">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（3）磋商响应文件有效期延长至合同履行完毕。</w:t>
      </w:r>
    </w:p>
    <w:p w14:paraId="0D030581">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八、我方完全理解最低报价不是成交的唯一条件，并尊重磋商小组的评评审结论和成交结果。</w:t>
      </w:r>
    </w:p>
    <w:p w14:paraId="0DE2AFC6">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九、一旦我方成交,我方同意与使用单位签订保密协议。</w:t>
      </w:r>
    </w:p>
    <w:p w14:paraId="1C5817EC">
      <w:pPr>
        <w:keepNext w:val="0"/>
        <w:keepLines w:val="0"/>
        <w:pageBreakBefore w:val="0"/>
        <w:widowControl w:val="0"/>
        <w:kinsoku/>
        <w:wordWrap/>
        <w:overflowPunct/>
        <w:topLinePunct w:val="0"/>
        <w:autoSpaceDE w:val="0"/>
        <w:autoSpaceDN w:val="0"/>
        <w:bidi w:val="0"/>
        <w:adjustRightInd w:val="0"/>
        <w:spacing w:line="360" w:lineRule="auto"/>
        <w:ind w:firstLine="426"/>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十、有关于本磋商响应文件的函电，请按下列地址联系。</w:t>
      </w:r>
    </w:p>
    <w:p w14:paraId="7752950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b/>
          <w:color w:val="auto"/>
          <w:kern w:val="0"/>
          <w:sz w:val="24"/>
          <w:szCs w:val="24"/>
          <w:highlight w:val="none"/>
          <w:u w:val="single"/>
        </w:rPr>
      </w:pPr>
      <w:r>
        <w:rPr>
          <w:rFonts w:hint="eastAsia" w:ascii="宋体" w:hAnsi="宋体" w:cs="宋体"/>
          <w:color w:val="auto"/>
          <w:kern w:val="0"/>
          <w:sz w:val="24"/>
          <w:szCs w:val="24"/>
          <w:highlight w:val="none"/>
        </w:rPr>
        <w:t>供应商全称</w:t>
      </w:r>
      <w:r>
        <w:rPr>
          <w:rFonts w:hint="eastAsia" w:ascii="宋体" w:hAnsi="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盖</w:t>
      </w:r>
      <w:r>
        <w:rPr>
          <w:rFonts w:hint="eastAsia" w:ascii="宋体" w:hAnsi="宋体" w:cs="宋体"/>
          <w:b/>
          <w:bCs/>
          <w:color w:val="auto"/>
          <w:kern w:val="0"/>
          <w:sz w:val="24"/>
          <w:szCs w:val="24"/>
          <w:highlight w:val="none"/>
        </w:rPr>
        <w:t>章）</w:t>
      </w:r>
      <w:r>
        <w:rPr>
          <w:rFonts w:hint="eastAsia" w:ascii="宋体" w:hAnsi="宋体" w:cs="宋体"/>
          <w:color w:val="auto"/>
          <w:kern w:val="0"/>
          <w:sz w:val="24"/>
          <w:szCs w:val="24"/>
          <w:highlight w:val="none"/>
        </w:rPr>
        <w:t>：</w:t>
      </w:r>
      <w:r>
        <w:rPr>
          <w:rFonts w:hint="eastAsia" w:ascii="宋体" w:hAnsi="宋体" w:cs="宋体"/>
          <w:b/>
          <w:color w:val="auto"/>
          <w:kern w:val="0"/>
          <w:sz w:val="24"/>
          <w:szCs w:val="24"/>
          <w:highlight w:val="none"/>
          <w:u w:val="single"/>
        </w:rPr>
        <w:t xml:space="preserve">                                </w:t>
      </w:r>
    </w:p>
    <w:p w14:paraId="1222CE5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w:t>
      </w:r>
      <w:r>
        <w:rPr>
          <w:rFonts w:hint="eastAsia" w:ascii="宋体" w:hAnsi="宋体" w:cs="宋体"/>
          <w:b/>
          <w:bCs/>
          <w:color w:val="auto"/>
          <w:kern w:val="0"/>
          <w:sz w:val="24"/>
          <w:szCs w:val="24"/>
          <w:highlight w:val="none"/>
        </w:rPr>
        <w:t>（签字或盖章）</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2CA1738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ascii="宋体" w:hAnsi="宋体" w:cs="宋体"/>
          <w:b/>
          <w:color w:val="auto"/>
          <w:kern w:val="0"/>
          <w:sz w:val="24"/>
          <w:szCs w:val="24"/>
          <w:highlight w:val="none"/>
          <w:u w:val="single"/>
        </w:rPr>
        <w:t xml:space="preserve">                                          </w:t>
      </w:r>
    </w:p>
    <w:p w14:paraId="6EF3F9C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hint="eastAsia" w:ascii="宋体" w:hAnsi="宋体" w:cs="宋体"/>
          <w:b/>
          <w:color w:val="auto"/>
          <w:kern w:val="0"/>
          <w:sz w:val="24"/>
          <w:szCs w:val="24"/>
          <w:highlight w:val="none"/>
          <w:u w:val="single"/>
        </w:rPr>
        <w:t xml:space="preserve">                                          </w:t>
      </w:r>
    </w:p>
    <w:p w14:paraId="1D055D6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    号：</w:t>
      </w:r>
      <w:r>
        <w:rPr>
          <w:rFonts w:hint="eastAsia" w:ascii="宋体" w:hAnsi="宋体" w:cs="宋体"/>
          <w:b/>
          <w:color w:val="auto"/>
          <w:kern w:val="0"/>
          <w:sz w:val="24"/>
          <w:szCs w:val="24"/>
          <w:highlight w:val="none"/>
          <w:u w:val="single"/>
        </w:rPr>
        <w:t xml:space="preserve">                                          </w:t>
      </w:r>
    </w:p>
    <w:p w14:paraId="1226D76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w:t>
      </w:r>
      <w:r>
        <w:rPr>
          <w:rFonts w:hint="eastAsia" w:ascii="宋体" w:hAnsi="宋体" w:cs="宋体"/>
          <w:b/>
          <w:color w:val="auto"/>
          <w:kern w:val="0"/>
          <w:sz w:val="24"/>
          <w:szCs w:val="24"/>
          <w:highlight w:val="none"/>
          <w:u w:val="single"/>
        </w:rPr>
        <w:t xml:space="preserve">                                          </w:t>
      </w:r>
    </w:p>
    <w:p w14:paraId="4B3F809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    编：</w:t>
      </w:r>
      <w:r>
        <w:rPr>
          <w:rFonts w:hint="eastAsia" w:ascii="宋体" w:hAnsi="宋体" w:cs="宋体"/>
          <w:b/>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65CE6DEF">
      <w:pPr>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7B851029">
      <w:pPr>
        <w:rPr>
          <w:color w:val="auto"/>
          <w:highlight w:val="none"/>
        </w:rPr>
      </w:pPr>
      <w:r>
        <w:rPr>
          <w:color w:val="auto"/>
          <w:highlight w:val="none"/>
        </w:rPr>
        <w:br w:type="page"/>
      </w:r>
    </w:p>
    <w:p w14:paraId="7C13C3DC">
      <w:pPr>
        <w:jc w:val="center"/>
        <w:rPr>
          <w:rFonts w:hAnsi="宋体" w:cs="宋体"/>
          <w:b/>
          <w:bCs/>
          <w:color w:val="auto"/>
          <w:sz w:val="32"/>
          <w:szCs w:val="32"/>
          <w:highlight w:val="none"/>
        </w:rPr>
      </w:pPr>
      <w:r>
        <w:rPr>
          <w:rFonts w:hint="eastAsia" w:hAnsi="宋体" w:cs="宋体"/>
          <w:b/>
          <w:bCs/>
          <w:color w:val="auto"/>
          <w:sz w:val="32"/>
          <w:szCs w:val="32"/>
          <w:highlight w:val="none"/>
        </w:rPr>
        <w:t>二</w:t>
      </w:r>
      <w:r>
        <w:rPr>
          <w:rFonts w:hint="eastAsia" w:hAnsi="宋体" w:cs="宋体"/>
          <w:b/>
          <w:bCs/>
          <w:color w:val="auto"/>
          <w:sz w:val="32"/>
          <w:szCs w:val="32"/>
          <w:highlight w:val="none"/>
          <w:lang w:val="zh-CN"/>
        </w:rPr>
        <w:t>、</w:t>
      </w:r>
      <w:bookmarkEnd w:id="38"/>
      <w:r>
        <w:rPr>
          <w:rFonts w:hint="eastAsia" w:ascii="宋体" w:hAnsi="宋体"/>
          <w:b/>
          <w:color w:val="auto"/>
          <w:kern w:val="0"/>
          <w:sz w:val="32"/>
          <w:szCs w:val="32"/>
          <w:highlight w:val="none"/>
        </w:rPr>
        <w:t>磋商响应报价表</w:t>
      </w:r>
    </w:p>
    <w:p w14:paraId="5900FFF4">
      <w:pPr>
        <w:pStyle w:val="29"/>
        <w:rPr>
          <w:rFonts w:ascii="宋体" w:hAnsi="宋体" w:cs="宋体"/>
          <w:color w:val="auto"/>
          <w:sz w:val="24"/>
          <w:highlight w:val="none"/>
        </w:rPr>
      </w:pPr>
    </w:p>
    <w:p w14:paraId="30D49459">
      <w:pPr>
        <w:spacing w:after="240" w:afterLines="100" w:line="440" w:lineRule="exact"/>
        <w:jc w:val="center"/>
        <w:rPr>
          <w:rFonts w:hAnsi="宋体" w:cs="宋体"/>
          <w:color w:val="auto"/>
          <w:szCs w:val="24"/>
          <w:highlight w:val="none"/>
        </w:rPr>
      </w:pPr>
      <w:r>
        <w:rPr>
          <w:rFonts w:hint="eastAsia" w:ascii="宋体" w:hAnsi="宋体" w:cs="宋体"/>
          <w:b/>
          <w:color w:val="auto"/>
          <w:spacing w:val="4"/>
          <w:sz w:val="30"/>
          <w:szCs w:val="30"/>
          <w:highlight w:val="none"/>
        </w:rPr>
        <w:t>2.1</w:t>
      </w:r>
      <w:r>
        <w:rPr>
          <w:rFonts w:hint="eastAsia" w:ascii="宋体" w:hAnsi="宋体" w:eastAsia="宋体" w:cs="宋体"/>
          <w:b/>
          <w:color w:val="auto"/>
          <w:spacing w:val="4"/>
          <w:sz w:val="30"/>
          <w:szCs w:val="30"/>
          <w:highlight w:val="none"/>
          <w:lang w:val="en-US" w:eastAsia="zh-CN"/>
        </w:rPr>
        <w:t xml:space="preserve"> </w:t>
      </w:r>
      <w:r>
        <w:rPr>
          <w:rFonts w:hint="eastAsia" w:ascii="宋体" w:hAnsi="宋体" w:cs="宋体"/>
          <w:b/>
          <w:color w:val="auto"/>
          <w:spacing w:val="4"/>
          <w:sz w:val="30"/>
          <w:szCs w:val="30"/>
          <w:highlight w:val="none"/>
        </w:rPr>
        <w:t>报价一览表</w:t>
      </w:r>
    </w:p>
    <w:p w14:paraId="6F41687A">
      <w:pPr>
        <w:spacing w:line="360" w:lineRule="auto"/>
        <w:rPr>
          <w:rFonts w:hint="eastAsia"/>
          <w:color w:val="auto"/>
          <w:sz w:val="24"/>
          <w:szCs w:val="24"/>
          <w:highlight w:val="none"/>
          <w:lang w:eastAsia="zh-CN"/>
        </w:rPr>
      </w:pP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名称：</w:t>
      </w:r>
    </w:p>
    <w:p w14:paraId="4158911D">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lang w:eastAsia="zh-CN"/>
        </w:rPr>
        <w:t>编号</w:t>
      </w:r>
      <w:r>
        <w:rPr>
          <w:rFonts w:hint="eastAsia" w:ascii="宋体" w:hAnsi="宋体"/>
          <w:color w:val="auto"/>
          <w:sz w:val="24"/>
          <w:szCs w:val="24"/>
          <w:highlight w:val="none"/>
        </w:rPr>
        <w:t>：</w:t>
      </w:r>
    </w:p>
    <w:tbl>
      <w:tblPr>
        <w:tblStyle w:val="2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6335"/>
      </w:tblGrid>
      <w:tr w14:paraId="622D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924" w:type="dxa"/>
            <w:noWrap w:val="0"/>
            <w:vAlign w:val="center"/>
          </w:tcPr>
          <w:p w14:paraId="08CA1CC4">
            <w:pPr>
              <w:widowControl/>
              <w:spacing w:line="360" w:lineRule="auto"/>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磋商总报价</w:t>
            </w:r>
          </w:p>
        </w:tc>
        <w:tc>
          <w:tcPr>
            <w:tcW w:w="6335" w:type="dxa"/>
            <w:noWrap w:val="0"/>
            <w:vAlign w:val="center"/>
          </w:tcPr>
          <w:p w14:paraId="67C6320C">
            <w:pPr>
              <w:spacing w:line="360" w:lineRule="auto"/>
              <w:jc w:val="both"/>
              <w:rPr>
                <w:rFonts w:hint="eastAsia" w:ascii="宋体" w:hAnsi="宋体"/>
                <w:color w:val="auto"/>
                <w:sz w:val="24"/>
                <w:szCs w:val="24"/>
                <w:highlight w:val="none"/>
              </w:rPr>
            </w:pPr>
            <w:r>
              <w:rPr>
                <w:rFonts w:hint="eastAsia" w:ascii="宋体" w:hAnsi="宋体" w:eastAsia="宋体" w:cs="宋体"/>
                <w:color w:val="auto"/>
                <w:kern w:val="0"/>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7F33F93">
            <w:pPr>
              <w:spacing w:line="360" w:lineRule="auto"/>
              <w:jc w:val="both"/>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eastAsia="zh-CN"/>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r w14:paraId="324F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2924" w:type="dxa"/>
            <w:noWrap w:val="0"/>
            <w:vAlign w:val="center"/>
          </w:tcPr>
          <w:p w14:paraId="690F148C">
            <w:pPr>
              <w:widowControl/>
              <w:spacing w:line="360" w:lineRule="auto"/>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服务期</w:t>
            </w:r>
            <w:r>
              <w:rPr>
                <w:rFonts w:hint="eastAsia" w:ascii="宋体" w:hAnsi="宋体"/>
                <w:b/>
                <w:bCs/>
                <w:color w:val="auto"/>
                <w:sz w:val="24"/>
                <w:szCs w:val="24"/>
                <w:highlight w:val="none"/>
                <w:lang w:eastAsia="zh-CN"/>
              </w:rPr>
              <w:t>限</w:t>
            </w:r>
          </w:p>
        </w:tc>
        <w:tc>
          <w:tcPr>
            <w:tcW w:w="6335" w:type="dxa"/>
            <w:noWrap w:val="0"/>
            <w:vAlign w:val="top"/>
          </w:tcPr>
          <w:p w14:paraId="69A4E431">
            <w:pPr>
              <w:spacing w:line="360" w:lineRule="auto"/>
              <w:jc w:val="center"/>
              <w:rPr>
                <w:rFonts w:hint="eastAsia" w:ascii="宋体" w:hAnsi="宋体"/>
                <w:color w:val="auto"/>
                <w:sz w:val="24"/>
                <w:szCs w:val="24"/>
                <w:highlight w:val="none"/>
              </w:rPr>
            </w:pPr>
          </w:p>
        </w:tc>
      </w:tr>
      <w:tr w14:paraId="08F2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924" w:type="dxa"/>
            <w:noWrap w:val="0"/>
            <w:vAlign w:val="center"/>
          </w:tcPr>
          <w:p w14:paraId="6499A77D">
            <w:pPr>
              <w:widowControl/>
              <w:spacing w:line="36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rPr>
              <w:t>备注</w:t>
            </w:r>
          </w:p>
        </w:tc>
        <w:tc>
          <w:tcPr>
            <w:tcW w:w="6335" w:type="dxa"/>
            <w:noWrap w:val="0"/>
            <w:vAlign w:val="top"/>
          </w:tcPr>
          <w:p w14:paraId="2069F5C8">
            <w:pPr>
              <w:spacing w:line="360" w:lineRule="auto"/>
              <w:jc w:val="center"/>
              <w:rPr>
                <w:rFonts w:hint="eastAsia" w:ascii="宋体" w:hAnsi="宋体"/>
                <w:color w:val="auto"/>
                <w:sz w:val="24"/>
                <w:szCs w:val="24"/>
                <w:highlight w:val="none"/>
              </w:rPr>
            </w:pPr>
          </w:p>
        </w:tc>
      </w:tr>
    </w:tbl>
    <w:p w14:paraId="2DDBF6B3">
      <w:pPr>
        <w:widowControl w:val="0"/>
        <w:spacing w:line="360" w:lineRule="auto"/>
        <w:ind w:firstLine="120" w:firstLineChars="50"/>
        <w:rPr>
          <w:rFonts w:ascii="Times New Roman" w:hAnsi="Times New Roman" w:cs="Times New Roman"/>
          <w:bCs/>
          <w:color w:val="auto"/>
          <w:sz w:val="24"/>
          <w:szCs w:val="24"/>
          <w:highlight w:val="none"/>
          <w:u w:val="single"/>
        </w:rPr>
      </w:pPr>
    </w:p>
    <w:p w14:paraId="08C1E7CD">
      <w:pPr>
        <w:pStyle w:val="5"/>
        <w:spacing w:line="360" w:lineRule="auto"/>
        <w:rPr>
          <w:color w:val="auto"/>
          <w:sz w:val="24"/>
          <w:szCs w:val="24"/>
          <w:highlight w:val="none"/>
        </w:rPr>
      </w:pPr>
    </w:p>
    <w:p w14:paraId="2400C24F">
      <w:pPr>
        <w:widowControl w:val="0"/>
        <w:spacing w:line="360" w:lineRule="auto"/>
        <w:ind w:firstLine="240" w:firstLineChars="100"/>
        <w:rPr>
          <w:rFonts w:hint="eastAsia" w:ascii="宋体" w:hAnsi="宋体" w:eastAsia="宋体" w:cs="宋体"/>
          <w:b/>
          <w:color w:val="auto"/>
          <w:sz w:val="24"/>
          <w:szCs w:val="24"/>
          <w:highlight w:val="none"/>
        </w:rPr>
      </w:pPr>
      <w:r>
        <w:rPr>
          <w:rFonts w:hint="eastAsia" w:ascii="宋体" w:hAnsi="宋体" w:eastAsia="宋体" w:cs="宋体"/>
          <w:iCs/>
          <w:color w:val="auto"/>
          <w:sz w:val="24"/>
          <w:szCs w:val="24"/>
          <w:highlight w:val="none"/>
        </w:rPr>
        <w:t>注：</w:t>
      </w:r>
      <w:r>
        <w:rPr>
          <w:rFonts w:hint="eastAsia" w:ascii="宋体" w:hAnsi="宋体" w:cs="宋体"/>
          <w:iCs/>
          <w:color w:val="auto"/>
          <w:sz w:val="24"/>
          <w:szCs w:val="24"/>
          <w:highlight w:val="none"/>
          <w:lang w:val="en-US" w:eastAsia="zh-CN"/>
        </w:rPr>
        <w:t>1</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结合企业自身管理水平及市场行情自主报价，且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报价不得超过限价。</w:t>
      </w:r>
    </w:p>
    <w:p w14:paraId="6F2B4977">
      <w:pPr>
        <w:widowControl w:val="0"/>
        <w:spacing w:line="360" w:lineRule="auto"/>
        <w:rPr>
          <w:rFonts w:hint="eastAsia" w:ascii="宋体" w:hAnsi="宋体" w:eastAsia="宋体" w:cs="宋体"/>
          <w:color w:val="auto"/>
          <w:sz w:val="24"/>
          <w:szCs w:val="24"/>
          <w:highlight w:val="none"/>
        </w:rPr>
      </w:pPr>
    </w:p>
    <w:p w14:paraId="77EBB5FA">
      <w:pPr>
        <w:widowControl w:val="0"/>
        <w:spacing w:line="360" w:lineRule="auto"/>
        <w:rPr>
          <w:rFonts w:hint="eastAsia" w:ascii="宋体" w:hAnsi="宋体" w:eastAsia="宋体" w:cs="宋体"/>
          <w:color w:val="auto"/>
          <w:sz w:val="24"/>
          <w:szCs w:val="24"/>
          <w:highlight w:val="none"/>
        </w:rPr>
      </w:pPr>
    </w:p>
    <w:p w14:paraId="1F31BC80">
      <w:pPr>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单位公章：</w:t>
      </w:r>
      <w:r>
        <w:rPr>
          <w:rFonts w:hint="eastAsia" w:ascii="宋体" w:hAnsi="宋体" w:eastAsia="宋体" w:cs="宋体"/>
          <w:color w:val="auto"/>
          <w:sz w:val="24"/>
          <w:szCs w:val="24"/>
          <w:highlight w:val="none"/>
          <w:u w:val="single"/>
        </w:rPr>
        <w:t xml:space="preserve">                     </w:t>
      </w:r>
    </w:p>
    <w:p w14:paraId="1F4A605A">
      <w:pPr>
        <w:widowControl w:val="0"/>
        <w:spacing w:line="360" w:lineRule="auto"/>
        <w:ind w:firstLine="480" w:firstLineChars="200"/>
        <w:rPr>
          <w:rFonts w:hint="eastAsia" w:ascii="宋体" w:hAnsi="宋体" w:eastAsia="宋体" w:cs="宋体"/>
          <w:color w:val="auto"/>
          <w:sz w:val="24"/>
          <w:szCs w:val="24"/>
          <w:highlight w:val="none"/>
        </w:rPr>
      </w:pPr>
    </w:p>
    <w:p w14:paraId="6B004C9A">
      <w:pPr>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法人代表或委托代理人（签字或盖章）：</w:t>
      </w:r>
      <w:r>
        <w:rPr>
          <w:rFonts w:hint="eastAsia" w:ascii="宋体" w:hAnsi="宋体" w:eastAsia="宋体" w:cs="宋体"/>
          <w:color w:val="auto"/>
          <w:sz w:val="24"/>
          <w:szCs w:val="24"/>
          <w:highlight w:val="none"/>
          <w:u w:val="single"/>
        </w:rPr>
        <w:t xml:space="preserve">                     </w:t>
      </w:r>
    </w:p>
    <w:p w14:paraId="47A922C4">
      <w:pPr>
        <w:widowControl w:val="0"/>
        <w:spacing w:line="360" w:lineRule="auto"/>
        <w:ind w:firstLine="480" w:firstLineChars="200"/>
        <w:rPr>
          <w:rFonts w:hint="eastAsia" w:ascii="宋体" w:hAnsi="宋体" w:eastAsia="宋体" w:cs="宋体"/>
          <w:color w:val="auto"/>
          <w:sz w:val="24"/>
          <w:szCs w:val="24"/>
          <w:highlight w:val="none"/>
        </w:rPr>
      </w:pPr>
    </w:p>
    <w:p w14:paraId="3FF5628E">
      <w:pPr>
        <w:widowControl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1C0E703">
      <w:pPr>
        <w:spacing w:line="480" w:lineRule="auto"/>
        <w:rPr>
          <w:rFonts w:hAnsi="宋体" w:cs="宋体"/>
          <w:color w:val="auto"/>
          <w:szCs w:val="24"/>
          <w:highlight w:val="none"/>
        </w:rPr>
      </w:pPr>
    </w:p>
    <w:p w14:paraId="3305BBC3">
      <w:pPr>
        <w:rPr>
          <w:rFonts w:hint="eastAsia" w:ascii="宋体" w:hAnsi="宋体"/>
          <w:b/>
          <w:color w:val="auto"/>
          <w:kern w:val="0"/>
          <w:sz w:val="32"/>
          <w:szCs w:val="32"/>
          <w:highlight w:val="none"/>
          <w:lang w:val="en-US" w:eastAsia="zh-CN"/>
        </w:rPr>
      </w:pPr>
    </w:p>
    <w:p w14:paraId="18D19AE6">
      <w:pPr>
        <w:rPr>
          <w:rFonts w:hint="eastAsia" w:ascii="宋体" w:hAnsi="宋体"/>
          <w:b/>
          <w:color w:val="auto"/>
          <w:kern w:val="0"/>
          <w:sz w:val="32"/>
          <w:szCs w:val="32"/>
          <w:highlight w:val="none"/>
          <w:lang w:val="en-US" w:eastAsia="zh-CN"/>
        </w:rPr>
      </w:pPr>
    </w:p>
    <w:p w14:paraId="70A4FC81">
      <w:pPr>
        <w:rPr>
          <w:rFonts w:hint="eastAsia" w:ascii="宋体" w:hAnsi="宋体"/>
          <w:b/>
          <w:color w:val="auto"/>
          <w:kern w:val="0"/>
          <w:sz w:val="32"/>
          <w:szCs w:val="32"/>
          <w:highlight w:val="none"/>
          <w:lang w:val="en-US" w:eastAsia="zh-CN"/>
        </w:rPr>
      </w:pPr>
    </w:p>
    <w:p w14:paraId="29699DDD">
      <w:pPr>
        <w:rPr>
          <w:rFonts w:hint="eastAsia" w:ascii="宋体" w:hAnsi="宋体"/>
          <w:b/>
          <w:color w:val="auto"/>
          <w:kern w:val="0"/>
          <w:sz w:val="32"/>
          <w:szCs w:val="32"/>
          <w:highlight w:val="none"/>
          <w:lang w:val="en-US" w:eastAsia="zh-CN"/>
        </w:rPr>
      </w:pPr>
    </w:p>
    <w:p w14:paraId="365BAFD8">
      <w:pPr>
        <w:pStyle w:val="13"/>
        <w:rPr>
          <w:rFonts w:hint="eastAsia" w:ascii="宋体" w:hAnsi="宋体" w:eastAsia="宋体" w:cs="宋体"/>
          <w:color w:val="auto"/>
          <w:sz w:val="24"/>
          <w:szCs w:val="24"/>
          <w:highlight w:val="none"/>
        </w:rPr>
      </w:pPr>
    </w:p>
    <w:p w14:paraId="08CED77C">
      <w:pPr>
        <w:jc w:val="center"/>
        <w:rPr>
          <w:rFonts w:ascii="宋体" w:hAnsi="宋体" w:cs="宋体"/>
          <w:color w:val="auto"/>
          <w:kern w:val="0"/>
          <w:szCs w:val="21"/>
          <w:highlight w:val="none"/>
        </w:rPr>
      </w:pPr>
      <w:r>
        <w:rPr>
          <w:rFonts w:hint="eastAsia" w:ascii="宋体" w:hAnsi="宋体"/>
          <w:b/>
          <w:color w:val="auto"/>
          <w:kern w:val="0"/>
          <w:sz w:val="32"/>
          <w:szCs w:val="32"/>
          <w:highlight w:val="none"/>
        </w:rPr>
        <w:t>二次报价表</w:t>
      </w:r>
    </w:p>
    <w:p w14:paraId="09E3769D">
      <w:pPr>
        <w:adjustRightInd w:val="0"/>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报价一览表</w:t>
      </w:r>
    </w:p>
    <w:p w14:paraId="32C03E22">
      <w:pPr>
        <w:adjustRightInd w:val="0"/>
        <w:spacing w:line="360" w:lineRule="auto"/>
        <w:jc w:val="left"/>
        <w:textAlignment w:val="baseline"/>
        <w:rPr>
          <w:rFonts w:ascii="宋体" w:hAnsi="宋体"/>
          <w:color w:val="auto"/>
          <w:kern w:val="0"/>
          <w:sz w:val="24"/>
          <w:szCs w:val="24"/>
          <w:highlight w:val="none"/>
        </w:rPr>
      </w:pPr>
      <w:r>
        <w:rPr>
          <w:rFonts w:hint="eastAsia" w:ascii="宋体" w:hAnsi="宋体"/>
          <w:color w:val="auto"/>
          <w:kern w:val="0"/>
          <w:sz w:val="24"/>
          <w:szCs w:val="24"/>
          <w:highlight w:val="none"/>
        </w:rPr>
        <w:t>采购项目名称：</w:t>
      </w:r>
      <w:r>
        <w:rPr>
          <w:rFonts w:ascii="宋体" w:hAnsi="宋体"/>
          <w:color w:val="auto"/>
          <w:kern w:val="0"/>
          <w:sz w:val="24"/>
          <w:szCs w:val="24"/>
          <w:highlight w:val="none"/>
        </w:rPr>
        <w:t xml:space="preserve">                                                 </w:t>
      </w:r>
    </w:p>
    <w:p w14:paraId="554A7F58">
      <w:pPr>
        <w:adjustRightInd w:val="0"/>
        <w:spacing w:before="120" w:beforeLines="50" w:after="120" w:afterLines="50" w:line="360" w:lineRule="auto"/>
        <w:jc w:val="left"/>
        <w:textAlignment w:val="baseline"/>
        <w:outlineLvl w:val="1"/>
        <w:rPr>
          <w:rFonts w:hint="eastAsia" w:ascii="宋体" w:hAnsi="宋体"/>
          <w:color w:val="auto"/>
          <w:kern w:val="0"/>
          <w:sz w:val="24"/>
          <w:szCs w:val="24"/>
          <w:highlight w:val="none"/>
        </w:rPr>
      </w:pPr>
      <w:r>
        <w:rPr>
          <w:rFonts w:hint="eastAsia" w:ascii="宋体" w:hAnsi="宋体"/>
          <w:color w:val="auto"/>
          <w:kern w:val="0"/>
          <w:sz w:val="24"/>
          <w:szCs w:val="24"/>
          <w:highlight w:val="none"/>
        </w:rPr>
        <w:t>采购项目编号：</w:t>
      </w:r>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6011"/>
      </w:tblGrid>
      <w:tr w14:paraId="306D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3028" w:type="dxa"/>
            <w:noWrap w:val="0"/>
            <w:vAlign w:val="center"/>
          </w:tcPr>
          <w:p w14:paraId="267F1AB2">
            <w:pPr>
              <w:widowControl/>
              <w:spacing w:line="360" w:lineRule="auto"/>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磋商总报价</w:t>
            </w:r>
          </w:p>
        </w:tc>
        <w:tc>
          <w:tcPr>
            <w:tcW w:w="6011" w:type="dxa"/>
            <w:noWrap w:val="0"/>
            <w:vAlign w:val="center"/>
          </w:tcPr>
          <w:p w14:paraId="2CE6B48D">
            <w:pPr>
              <w:spacing w:line="360" w:lineRule="auto"/>
              <w:jc w:val="both"/>
              <w:rPr>
                <w:rFonts w:hint="eastAsia" w:ascii="宋体" w:hAnsi="宋体"/>
                <w:color w:val="auto"/>
                <w:sz w:val="24"/>
                <w:szCs w:val="24"/>
                <w:highlight w:val="none"/>
              </w:rPr>
            </w:pPr>
            <w:r>
              <w:rPr>
                <w:rFonts w:hint="eastAsia" w:ascii="宋体" w:hAnsi="宋体" w:eastAsia="宋体" w:cs="宋体"/>
                <w:color w:val="auto"/>
                <w:kern w:val="0"/>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0A80703">
            <w:pPr>
              <w:spacing w:line="360" w:lineRule="auto"/>
              <w:jc w:val="both"/>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eastAsia="zh-CN"/>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r w14:paraId="1078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028" w:type="dxa"/>
            <w:noWrap w:val="0"/>
            <w:vAlign w:val="center"/>
          </w:tcPr>
          <w:p w14:paraId="0C7194DA">
            <w:pPr>
              <w:widowControl/>
              <w:spacing w:line="360" w:lineRule="auto"/>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服务期</w:t>
            </w:r>
            <w:r>
              <w:rPr>
                <w:rFonts w:hint="eastAsia" w:ascii="宋体" w:hAnsi="宋体"/>
                <w:b/>
                <w:bCs/>
                <w:color w:val="auto"/>
                <w:sz w:val="24"/>
                <w:szCs w:val="24"/>
                <w:highlight w:val="none"/>
                <w:lang w:eastAsia="zh-CN"/>
              </w:rPr>
              <w:t>限</w:t>
            </w:r>
          </w:p>
        </w:tc>
        <w:tc>
          <w:tcPr>
            <w:tcW w:w="6011" w:type="dxa"/>
            <w:noWrap w:val="0"/>
            <w:vAlign w:val="top"/>
          </w:tcPr>
          <w:p w14:paraId="44436776">
            <w:pPr>
              <w:spacing w:line="360" w:lineRule="auto"/>
              <w:jc w:val="center"/>
              <w:rPr>
                <w:rFonts w:hint="eastAsia" w:ascii="宋体" w:hAnsi="宋体"/>
                <w:color w:val="auto"/>
                <w:sz w:val="24"/>
                <w:szCs w:val="24"/>
                <w:highlight w:val="none"/>
              </w:rPr>
            </w:pPr>
          </w:p>
        </w:tc>
      </w:tr>
      <w:tr w14:paraId="591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3028" w:type="dxa"/>
            <w:noWrap w:val="0"/>
            <w:vAlign w:val="center"/>
          </w:tcPr>
          <w:p w14:paraId="01293343">
            <w:pPr>
              <w:widowControl/>
              <w:spacing w:line="36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rPr>
              <w:t>备注</w:t>
            </w:r>
          </w:p>
        </w:tc>
        <w:tc>
          <w:tcPr>
            <w:tcW w:w="6011" w:type="dxa"/>
            <w:noWrap w:val="0"/>
            <w:vAlign w:val="top"/>
          </w:tcPr>
          <w:p w14:paraId="7D9CBA98">
            <w:pPr>
              <w:spacing w:line="360" w:lineRule="auto"/>
              <w:jc w:val="center"/>
              <w:rPr>
                <w:rFonts w:hint="eastAsia" w:ascii="宋体" w:hAnsi="宋体"/>
                <w:color w:val="auto"/>
                <w:sz w:val="24"/>
                <w:szCs w:val="24"/>
                <w:highlight w:val="none"/>
              </w:rPr>
            </w:pPr>
          </w:p>
        </w:tc>
      </w:tr>
    </w:tbl>
    <w:p w14:paraId="30162C5D">
      <w:pPr>
        <w:adjustRightInd w:val="0"/>
        <w:spacing w:line="360" w:lineRule="auto"/>
        <w:ind w:right="540" w:rightChars="257"/>
        <w:textAlignment w:val="baseline"/>
        <w:rPr>
          <w:rFonts w:hint="eastAsia" w:ascii="宋体" w:hAnsi="宋体" w:cs="宋体"/>
          <w:color w:val="auto"/>
          <w:kern w:val="0"/>
          <w:sz w:val="24"/>
          <w:szCs w:val="24"/>
          <w:highlight w:val="none"/>
        </w:rPr>
      </w:pPr>
    </w:p>
    <w:p w14:paraId="2B5A6F28">
      <w:pPr>
        <w:adjustRightInd w:val="0"/>
        <w:spacing w:line="360" w:lineRule="auto"/>
        <w:ind w:right="540" w:rightChars="257" w:firstLine="240" w:firstLineChars="10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备注：响应文件中无需提供此表，加盖公章后于二次报价时提交。</w:t>
      </w:r>
    </w:p>
    <w:p w14:paraId="31DB1A3F">
      <w:pPr>
        <w:adjustRightInd w:val="0"/>
        <w:spacing w:line="360" w:lineRule="auto"/>
        <w:ind w:right="540" w:rightChars="257"/>
        <w:textAlignment w:val="baseline"/>
        <w:rPr>
          <w:rFonts w:hint="eastAsia" w:ascii="宋体" w:hAnsi="宋体" w:cs="宋体"/>
          <w:color w:val="auto"/>
          <w:kern w:val="0"/>
          <w:sz w:val="24"/>
          <w:szCs w:val="24"/>
          <w:highlight w:val="none"/>
        </w:rPr>
      </w:pPr>
    </w:p>
    <w:p w14:paraId="204DDB7C">
      <w:pPr>
        <w:adjustRightInd w:val="0"/>
        <w:spacing w:line="360" w:lineRule="auto"/>
        <w:ind w:right="540" w:rightChars="257" w:firstLine="240" w:firstLineChars="1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供应商名称（加盖单位公章）：</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14:paraId="4A5A71E7">
      <w:pPr>
        <w:adjustRightInd w:val="0"/>
        <w:spacing w:line="360" w:lineRule="auto"/>
        <w:ind w:right="540" w:rightChars="257"/>
        <w:jc w:val="left"/>
        <w:textAlignment w:val="baseline"/>
        <w:rPr>
          <w:rFonts w:ascii="宋体" w:hAnsi="宋体" w:cs="宋体"/>
          <w:color w:val="auto"/>
          <w:kern w:val="0"/>
          <w:sz w:val="24"/>
          <w:szCs w:val="24"/>
          <w:highlight w:val="none"/>
        </w:rPr>
      </w:pPr>
    </w:p>
    <w:p w14:paraId="195C60A3">
      <w:pPr>
        <w:adjustRightInd w:val="0"/>
        <w:spacing w:line="360" w:lineRule="auto"/>
        <w:ind w:right="540" w:rightChars="257" w:firstLine="240" w:firstLineChars="1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olor w:val="auto"/>
          <w:kern w:val="0"/>
          <w:sz w:val="24"/>
          <w:szCs w:val="24"/>
          <w:highlight w:val="none"/>
        </w:rPr>
        <w:t>或</w:t>
      </w:r>
      <w:r>
        <w:rPr>
          <w:rFonts w:hint="eastAsia" w:ascii="宋体" w:hAnsi="宋体" w:cs="宋体"/>
          <w:color w:val="auto"/>
          <w:kern w:val="0"/>
          <w:sz w:val="24"/>
          <w:szCs w:val="24"/>
          <w:highlight w:val="none"/>
        </w:rPr>
        <w:t>授权代表签字</w:t>
      </w:r>
      <w:r>
        <w:rPr>
          <w:rFonts w:hint="eastAsia" w:ascii="宋体" w:hAnsi="宋体" w:cs="宋体"/>
          <w:color w:val="auto"/>
          <w:spacing w:val="4"/>
          <w:kern w:val="0"/>
          <w:sz w:val="24"/>
          <w:szCs w:val="24"/>
          <w:highlight w:val="none"/>
        </w:rPr>
        <w:t>或盖章</w:t>
      </w:r>
      <w:r>
        <w:rPr>
          <w:rFonts w:hint="eastAsia" w:ascii="宋体" w:hAnsi="宋体" w:cs="宋体"/>
          <w:color w:val="auto"/>
          <w:kern w:val="0"/>
          <w:sz w:val="24"/>
          <w:szCs w:val="24"/>
          <w:highlight w:val="none"/>
        </w:rPr>
        <w:t>：</w:t>
      </w:r>
      <w:r>
        <w:rPr>
          <w:rFonts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u w:val="single"/>
        </w:rPr>
        <w:t xml:space="preserve">      </w:t>
      </w:r>
      <w:r>
        <w:rPr>
          <w:rFonts w:ascii="宋体" w:hAnsi="宋体"/>
          <w:color w:val="auto"/>
          <w:spacing w:val="4"/>
          <w:kern w:val="0"/>
          <w:sz w:val="24"/>
          <w:szCs w:val="24"/>
          <w:highlight w:val="none"/>
          <w:u w:val="single"/>
        </w:rPr>
        <w:t xml:space="preserve">       </w:t>
      </w:r>
    </w:p>
    <w:p w14:paraId="6793B21F">
      <w:pPr>
        <w:adjustRightInd w:val="0"/>
        <w:spacing w:line="360" w:lineRule="auto"/>
        <w:ind w:right="540" w:rightChars="257"/>
        <w:jc w:val="left"/>
        <w:textAlignment w:val="baseline"/>
        <w:rPr>
          <w:rFonts w:ascii="宋体" w:hAnsi="宋体" w:cs="宋体"/>
          <w:color w:val="auto"/>
          <w:kern w:val="0"/>
          <w:sz w:val="24"/>
          <w:szCs w:val="24"/>
          <w:highlight w:val="none"/>
        </w:rPr>
      </w:pPr>
    </w:p>
    <w:p w14:paraId="58959A47">
      <w:pPr>
        <w:adjustRightInd w:val="0"/>
        <w:spacing w:line="360" w:lineRule="auto"/>
        <w:ind w:right="540" w:rightChars="257" w:firstLine="240" w:firstLineChars="1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期：</w:t>
      </w:r>
      <w:r>
        <w:rPr>
          <w:rFonts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u w:val="single"/>
        </w:rPr>
        <w:t xml:space="preserve">                </w:t>
      </w:r>
      <w:r>
        <w:rPr>
          <w:rFonts w:ascii="宋体" w:hAnsi="宋体"/>
          <w:color w:val="auto"/>
          <w:spacing w:val="4"/>
          <w:kern w:val="0"/>
          <w:sz w:val="24"/>
          <w:szCs w:val="24"/>
          <w:highlight w:val="none"/>
          <w:u w:val="single"/>
        </w:rPr>
        <w:t xml:space="preserve">         </w:t>
      </w:r>
    </w:p>
    <w:p w14:paraId="5C1E73B7">
      <w:pPr>
        <w:spacing w:line="360" w:lineRule="auto"/>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注：1、本表中报价数字保留小数点后两位。</w:t>
      </w:r>
    </w:p>
    <w:p w14:paraId="4E8BDFF2">
      <w:pPr>
        <w:numPr>
          <w:ilvl w:val="0"/>
          <w:numId w:val="0"/>
        </w:numPr>
        <w:adjustRightInd w:val="0"/>
        <w:spacing w:before="120" w:beforeLines="50" w:after="120" w:afterLines="50" w:line="360" w:lineRule="auto"/>
        <w:ind w:left="0" w:leftChars="0" w:firstLine="720" w:firstLineChars="300"/>
        <w:jc w:val="both"/>
        <w:textAlignment w:val="baseline"/>
        <w:outlineLvl w:val="1"/>
        <w:rPr>
          <w:rFonts w:hint="eastAsia" w:ascii="宋体" w:hAnsi="宋体" w:cs="宋体"/>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二次报价不得超过第一次报价</w:t>
      </w:r>
      <w:r>
        <w:rPr>
          <w:rFonts w:hint="eastAsia" w:ascii="宋体" w:hAnsi="宋体" w:cs="宋体"/>
          <w:color w:val="auto"/>
          <w:kern w:val="0"/>
          <w:sz w:val="24"/>
          <w:szCs w:val="24"/>
          <w:highlight w:val="none"/>
          <w:lang w:eastAsia="zh-CN"/>
        </w:rPr>
        <w:t>。</w:t>
      </w:r>
    </w:p>
    <w:p w14:paraId="45457C94">
      <w:pPr>
        <w:rPr>
          <w:rFonts w:hint="eastAsia" w:ascii="宋体" w:hAnsi="宋体" w:cs="宋体"/>
          <w:b/>
          <w:bCs/>
          <w:color w:val="auto"/>
          <w:sz w:val="32"/>
          <w:szCs w:val="32"/>
          <w:highlight w:val="none"/>
        </w:rPr>
      </w:pPr>
    </w:p>
    <w:p w14:paraId="60DABD75">
      <w:pPr>
        <w:keepNext/>
        <w:keepLines/>
        <w:widowControl/>
        <w:jc w:val="both"/>
        <w:rPr>
          <w:rFonts w:hint="eastAsia" w:ascii="宋体" w:hAnsi="宋体" w:cs="宋体"/>
          <w:b/>
          <w:bCs/>
          <w:color w:val="auto"/>
          <w:sz w:val="32"/>
          <w:szCs w:val="32"/>
          <w:highlight w:val="none"/>
        </w:rPr>
        <w:sectPr>
          <w:footerReference r:id="rId11" w:type="first"/>
          <w:footerReference r:id="rId10"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rtlGutter w:val="0"/>
          <w:docGrid w:type="lines" w:linePitch="333" w:charSpace="0"/>
        </w:sectPr>
      </w:pPr>
    </w:p>
    <w:p w14:paraId="5EFEB4AC">
      <w:pPr>
        <w:keepNext/>
        <w:keepLines/>
        <w:widowControl/>
        <w:jc w:val="center"/>
        <w:rPr>
          <w:rFonts w:hAnsi="宋体" w:cs="宋体"/>
          <w:color w:val="auto"/>
          <w:highlight w:val="none"/>
        </w:rPr>
      </w:pPr>
      <w:r>
        <w:rPr>
          <w:rFonts w:hint="eastAsia" w:ascii="宋体" w:hAnsi="宋体" w:cs="宋体"/>
          <w:b/>
          <w:bCs/>
          <w:color w:val="auto"/>
          <w:sz w:val="32"/>
          <w:szCs w:val="32"/>
          <w:highlight w:val="none"/>
        </w:rPr>
        <w:t>三、资格证明文件</w:t>
      </w:r>
      <w:bookmarkStart w:id="39" w:name="_Toc332874436"/>
      <w:bookmarkStart w:id="40" w:name="_Toc311415665"/>
      <w:bookmarkStart w:id="41" w:name="_Toc283240504"/>
      <w:bookmarkStart w:id="42" w:name="_Toc444611476"/>
    </w:p>
    <w:p w14:paraId="43CF8D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（1）具有独立承担民事责任能力的法人、其他组织或自然人，提供合法有效的统一社会信用代码营业执照（事业单位提供事业单位法人证书，自然人提供身份证明）；</w:t>
      </w:r>
      <w:r>
        <w:rPr>
          <w:rFonts w:hint="eastAsia" w:ascii="宋体" w:hAnsi="宋体" w:eastAsia="宋体" w:cs="宋体"/>
          <w:color w:val="auto"/>
          <w:sz w:val="24"/>
          <w:szCs w:val="24"/>
          <w:highlight w:val="none"/>
          <w:lang w:val="en-US" w:eastAsia="zh-CN"/>
        </w:rPr>
        <w:br w:type="textWrapping"/>
      </w:r>
      <w:r>
        <w:rPr>
          <w:rFonts w:hint="eastAsia" w:ascii="微软雅黑" w:hAnsi="微软雅黑" w:eastAsia="微软雅黑" w:cs="微软雅黑"/>
          <w:i w:val="0"/>
          <w:iCs w:val="0"/>
          <w:caps w:val="0"/>
          <w:color w:val="auto"/>
          <w:spacing w:val="0"/>
          <w:sz w:val="21"/>
          <w:szCs w:val="21"/>
          <w:highlight w:val="none"/>
          <w:shd w:val="clear" w:color="auto" w:fill="FFFFFF"/>
        </w:rPr>
        <w:br w:type="textWrapping"/>
      </w:r>
      <w:r>
        <w:rPr>
          <w:rFonts w:hint="eastAsia" w:ascii="宋体" w:hAnsi="宋体"/>
          <w:b/>
          <w:color w:val="auto"/>
          <w:sz w:val="28"/>
          <w:szCs w:val="28"/>
          <w:highlight w:val="none"/>
        </w:rPr>
        <w:br w:type="page"/>
      </w:r>
    </w:p>
    <w:p w14:paraId="16C1F264">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bCs/>
          <w:color w:val="auto"/>
          <w:szCs w:val="32"/>
          <w:highlight w:val="none"/>
        </w:rPr>
      </w:pPr>
      <w:r>
        <w:rPr>
          <w:rFonts w:hint="eastAsia" w:ascii="宋体" w:hAnsi="宋体" w:eastAsia="宋体" w:cs="宋体"/>
          <w:color w:val="auto"/>
          <w:sz w:val="24"/>
          <w:szCs w:val="24"/>
          <w:highlight w:val="none"/>
          <w:lang w:val="en-US" w:eastAsia="zh-CN"/>
        </w:rPr>
        <w:t xml:space="preserve">（2）法定代表人授权书（附法定代表人、被授权人身份证复印件）及被授权人身份证（法定代表人直接参加投标会议，须提供法定代表人身份证明及身份证原件及复印件）；   </w:t>
      </w:r>
    </w:p>
    <w:bookmarkEnd w:id="39"/>
    <w:bookmarkEnd w:id="40"/>
    <w:bookmarkEnd w:id="41"/>
    <w:bookmarkEnd w:id="42"/>
    <w:p w14:paraId="7039EF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法定代表人身份证明/法定代表人授权书</w:t>
      </w:r>
    </w:p>
    <w:p w14:paraId="40AEBCF7">
      <w:pPr>
        <w:pStyle w:val="10"/>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法定代表人身份证明</w:t>
      </w:r>
    </w:p>
    <w:p w14:paraId="5DB53C8C">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4432800">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36837551">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18A7D5CD">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287778B6">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7CB44E33">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名称）的法定代表人。</w:t>
      </w:r>
    </w:p>
    <w:p w14:paraId="1D393B66">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5B2860C9">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附：法定代表人身份证复印件</w:t>
      </w:r>
      <w:r>
        <w:rPr>
          <w:rFonts w:hint="eastAsia" w:ascii="宋体" w:hAnsi="宋体" w:eastAsia="宋体" w:cs="宋体"/>
          <w:color w:val="auto"/>
          <w:sz w:val="24"/>
          <w:szCs w:val="24"/>
          <w:highlight w:val="none"/>
          <w:lang w:val="zh-CN"/>
        </w:rPr>
        <w:t>（正反面）</w:t>
      </w:r>
    </w:p>
    <w:p w14:paraId="75CE30B4">
      <w:pPr>
        <w:adjustRightInd w:val="0"/>
        <w:snapToGrid w:val="0"/>
        <w:spacing w:line="360" w:lineRule="auto"/>
        <w:ind w:right="420"/>
        <w:rPr>
          <w:rFonts w:hint="eastAsia" w:ascii="宋体" w:hAnsi="宋体" w:eastAsia="宋体" w:cs="宋体"/>
          <w:color w:val="auto"/>
          <w:sz w:val="24"/>
          <w:szCs w:val="24"/>
          <w:highlight w:val="none"/>
        </w:rPr>
      </w:pPr>
    </w:p>
    <w:p w14:paraId="3A092F4C">
      <w:pPr>
        <w:pStyle w:val="10"/>
        <w:spacing w:line="360" w:lineRule="auto"/>
        <w:rPr>
          <w:rFonts w:hint="eastAsia" w:ascii="宋体" w:hAnsi="宋体" w:eastAsia="宋体" w:cs="宋体"/>
          <w:color w:val="auto"/>
          <w:sz w:val="24"/>
          <w:szCs w:val="24"/>
          <w:highlight w:val="none"/>
        </w:rPr>
      </w:pPr>
    </w:p>
    <w:p w14:paraId="6BA7A2DD">
      <w:pPr>
        <w:pStyle w:val="10"/>
        <w:spacing w:line="360" w:lineRule="auto"/>
        <w:rPr>
          <w:rFonts w:hint="eastAsia" w:ascii="宋体" w:hAnsi="宋体" w:eastAsia="宋体" w:cs="宋体"/>
          <w:color w:val="auto"/>
          <w:sz w:val="24"/>
          <w:szCs w:val="24"/>
          <w:highlight w:val="none"/>
        </w:rPr>
      </w:pPr>
    </w:p>
    <w:p w14:paraId="7071DDB4">
      <w:pPr>
        <w:spacing w:line="360" w:lineRule="auto"/>
        <w:rPr>
          <w:rFonts w:hint="eastAsia" w:ascii="宋体" w:hAnsi="宋体" w:eastAsia="宋体" w:cs="宋体"/>
          <w:color w:val="auto"/>
          <w:sz w:val="24"/>
          <w:szCs w:val="24"/>
          <w:highlight w:val="none"/>
        </w:rPr>
      </w:pPr>
    </w:p>
    <w:p w14:paraId="30CF52A3">
      <w:pPr>
        <w:pStyle w:val="10"/>
        <w:spacing w:line="360" w:lineRule="auto"/>
        <w:rPr>
          <w:rFonts w:hint="eastAsia" w:ascii="宋体" w:hAnsi="宋体" w:eastAsia="宋体" w:cs="宋体"/>
          <w:color w:val="auto"/>
          <w:sz w:val="24"/>
          <w:szCs w:val="24"/>
          <w:highlight w:val="none"/>
        </w:rPr>
      </w:pPr>
    </w:p>
    <w:p w14:paraId="361C6B6E">
      <w:pPr>
        <w:spacing w:line="360" w:lineRule="auto"/>
        <w:rPr>
          <w:rFonts w:hint="eastAsia" w:ascii="宋体" w:hAnsi="宋体" w:eastAsia="宋体" w:cs="宋体"/>
          <w:color w:val="auto"/>
          <w:sz w:val="24"/>
          <w:szCs w:val="24"/>
          <w:highlight w:val="none"/>
        </w:rPr>
      </w:pPr>
    </w:p>
    <w:p w14:paraId="51BCEA75">
      <w:pPr>
        <w:pStyle w:val="10"/>
        <w:spacing w:line="360" w:lineRule="auto"/>
        <w:rPr>
          <w:rFonts w:hint="eastAsia" w:ascii="宋体" w:hAnsi="宋体" w:eastAsia="宋体" w:cs="宋体"/>
          <w:color w:val="auto"/>
          <w:sz w:val="24"/>
          <w:szCs w:val="24"/>
          <w:highlight w:val="none"/>
        </w:rPr>
      </w:pPr>
    </w:p>
    <w:p w14:paraId="6A48ECF1">
      <w:pPr>
        <w:spacing w:line="360" w:lineRule="auto"/>
        <w:rPr>
          <w:rFonts w:hint="eastAsia" w:ascii="宋体" w:hAnsi="宋体" w:eastAsia="宋体" w:cs="宋体"/>
          <w:color w:val="auto"/>
          <w:sz w:val="24"/>
          <w:szCs w:val="24"/>
          <w:highlight w:val="none"/>
        </w:rPr>
      </w:pPr>
    </w:p>
    <w:p w14:paraId="197676A2">
      <w:pPr>
        <w:adjustRightInd w:val="0"/>
        <w:snapToGrid w:val="0"/>
        <w:spacing w:line="360" w:lineRule="auto"/>
        <w:ind w:right="42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p>
    <w:p w14:paraId="5319952C">
      <w:pPr>
        <w:keepNext w:val="0"/>
        <w:keepLines w:val="0"/>
        <w:pageBreakBefore w:val="0"/>
        <w:widowControl w:val="0"/>
        <w:kinsoku/>
        <w:wordWrap/>
        <w:overflowPunct/>
        <w:topLinePunct w:val="0"/>
        <w:autoSpaceDE/>
        <w:autoSpaceDN/>
        <w:bidi w:val="0"/>
        <w:adjustRightInd w:val="0"/>
        <w:snapToGrid w:val="0"/>
        <w:spacing w:line="360" w:lineRule="auto"/>
        <w:ind w:right="0"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盖单位公章</w:t>
      </w:r>
      <w:r>
        <w:rPr>
          <w:rFonts w:hint="eastAsia" w:ascii="宋体" w:hAnsi="宋体" w:eastAsia="宋体" w:cs="宋体"/>
          <w:color w:val="auto"/>
          <w:sz w:val="24"/>
          <w:szCs w:val="24"/>
          <w:highlight w:val="none"/>
        </w:rPr>
        <w:t>）</w:t>
      </w:r>
    </w:p>
    <w:p w14:paraId="5C27719F">
      <w:pPr>
        <w:keepNext w:val="0"/>
        <w:keepLines w:val="0"/>
        <w:pageBreakBefore w:val="0"/>
        <w:widowControl w:val="0"/>
        <w:kinsoku/>
        <w:wordWrap/>
        <w:overflowPunct/>
        <w:topLinePunct w:val="0"/>
        <w:autoSpaceDE/>
        <w:autoSpaceDN/>
        <w:bidi w:val="0"/>
        <w:adjustRightInd w:val="0"/>
        <w:snapToGrid w:val="0"/>
        <w:spacing w:line="360" w:lineRule="auto"/>
        <w:ind w:right="0" w:firstLine="2880"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D5719D">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12D3F72">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法定代表人授权书</w:t>
      </w:r>
    </w:p>
    <w:p w14:paraId="03F4A872">
      <w:pPr>
        <w:spacing w:line="360" w:lineRule="auto"/>
        <w:jc w:val="left"/>
        <w:rPr>
          <w:rFonts w:hint="default" w:ascii="宋体" w:hAnsi="宋体" w:eastAsia="宋体" w:cs="宋体"/>
          <w:color w:val="auto"/>
          <w:spacing w:val="4"/>
          <w:sz w:val="24"/>
          <w:szCs w:val="24"/>
          <w:highlight w:val="none"/>
          <w:lang w:val="en-US" w:eastAsia="zh-CN"/>
        </w:rPr>
      </w:pPr>
      <w:r>
        <w:rPr>
          <w:rFonts w:hint="eastAsia" w:ascii="宋体" w:hAnsi="宋体" w:eastAsia="宋体" w:cs="宋体"/>
          <w:b/>
          <w:color w:val="auto"/>
          <w:spacing w:val="4"/>
          <w:sz w:val="24"/>
          <w:szCs w:val="24"/>
          <w:highlight w:val="none"/>
        </w:rPr>
        <w:t>致：</w:t>
      </w:r>
      <w:r>
        <w:rPr>
          <w:rFonts w:hint="eastAsia" w:hAnsi="宋体" w:eastAsia="宋体" w:cs="宋体"/>
          <w:b/>
          <w:color w:val="auto"/>
          <w:spacing w:val="4"/>
          <w:sz w:val="24"/>
          <w:szCs w:val="24"/>
          <w:highlight w:val="none"/>
          <w:lang w:val="en-US" w:eastAsia="zh-CN"/>
        </w:rPr>
        <w:t xml:space="preserve"> </w:t>
      </w:r>
      <w:r>
        <w:rPr>
          <w:rFonts w:hint="eastAsia" w:hAnsi="宋体" w:eastAsia="宋体" w:cs="宋体"/>
          <w:b/>
          <w:color w:val="auto"/>
          <w:spacing w:val="4"/>
          <w:sz w:val="24"/>
          <w:szCs w:val="24"/>
          <w:highlight w:val="none"/>
          <w:u w:val="single"/>
          <w:lang w:val="en-US" w:eastAsia="zh-CN"/>
        </w:rPr>
        <w:t xml:space="preserve">                             </w:t>
      </w:r>
      <w:r>
        <w:rPr>
          <w:rFonts w:hint="eastAsia" w:hAnsi="宋体" w:eastAsia="宋体" w:cs="宋体"/>
          <w:b/>
          <w:color w:val="auto"/>
          <w:spacing w:val="4"/>
          <w:sz w:val="24"/>
          <w:szCs w:val="24"/>
          <w:highlight w:val="none"/>
          <w:lang w:val="en-US" w:eastAsia="zh-CN"/>
        </w:rPr>
        <w:t xml:space="preserve">  </w:t>
      </w:r>
    </w:p>
    <w:p w14:paraId="6D1EE451">
      <w:pPr>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4"/>
          <w:sz w:val="24"/>
          <w:szCs w:val="24"/>
          <w:highlight w:val="none"/>
          <w:u w:val="single"/>
          <w:lang w:eastAsia="zh-CN"/>
        </w:rPr>
        <w:t>供应商</w:t>
      </w:r>
      <w:r>
        <w:rPr>
          <w:rFonts w:hint="eastAsia" w:ascii="宋体" w:hAnsi="宋体" w:eastAsia="宋体" w:cs="宋体"/>
          <w:color w:val="auto"/>
          <w:spacing w:val="4"/>
          <w:sz w:val="24"/>
          <w:szCs w:val="24"/>
          <w:highlight w:val="none"/>
          <w:u w:val="single"/>
        </w:rPr>
        <w:t>名称)</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按中华人民共和国法律于</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日 ）</w:t>
      </w:r>
      <w:r>
        <w:rPr>
          <w:rFonts w:hint="eastAsia" w:ascii="宋体" w:hAnsi="宋体" w:eastAsia="宋体" w:cs="宋体"/>
          <w:color w:val="auto"/>
          <w:spacing w:val="4"/>
          <w:sz w:val="24"/>
          <w:szCs w:val="24"/>
          <w:highlight w:val="none"/>
          <w:u w:val="none"/>
          <w:lang w:val="en-US" w:eastAsia="zh-CN"/>
        </w:rPr>
        <w:t xml:space="preserve">  </w:t>
      </w:r>
      <w:r>
        <w:rPr>
          <w:rFonts w:hint="eastAsia" w:ascii="宋体" w:hAnsi="宋体" w:eastAsia="宋体" w:cs="宋体"/>
          <w:color w:val="auto"/>
          <w:spacing w:val="4"/>
          <w:sz w:val="24"/>
          <w:szCs w:val="24"/>
          <w:highlight w:val="none"/>
        </w:rPr>
        <w:t>成立。</w:t>
      </w:r>
      <w:r>
        <w:rPr>
          <w:rFonts w:hint="eastAsia" w:ascii="宋体" w:hAnsi="宋体" w:eastAsia="宋体" w:cs="宋体"/>
          <w:color w:val="auto"/>
          <w:sz w:val="24"/>
          <w:szCs w:val="24"/>
          <w:highlight w:val="none"/>
          <w:u w:val="none"/>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特授权</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被授权人</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代表我公司全权办理针对本次</w:t>
      </w:r>
      <w:r>
        <w:rPr>
          <w:rFonts w:hint="eastAsia" w:ascii="宋体" w:hAnsi="宋体" w:eastAsia="宋体" w:cs="宋体"/>
          <w:color w:val="auto"/>
          <w:spacing w:val="4"/>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项目</w:t>
      </w:r>
      <w:r>
        <w:rPr>
          <w:rFonts w:hint="eastAsia" w:ascii="宋体" w:hAnsi="宋体" w:eastAsia="宋体" w:cs="宋体"/>
          <w:color w:val="auto"/>
          <w:spacing w:val="4"/>
          <w:sz w:val="24"/>
          <w:szCs w:val="24"/>
          <w:highlight w:val="none"/>
          <w:u w:val="single"/>
          <w:lang w:eastAsia="zh-CN"/>
        </w:rPr>
        <w:t>名称、</w:t>
      </w:r>
      <w:r>
        <w:rPr>
          <w:rFonts w:hint="eastAsia" w:ascii="宋体" w:hAnsi="宋体" w:eastAsia="宋体" w:cs="宋体"/>
          <w:color w:val="auto"/>
          <w:spacing w:val="4"/>
          <w:sz w:val="24"/>
          <w:szCs w:val="24"/>
          <w:highlight w:val="none"/>
          <w:u w:val="single"/>
          <w:lang w:val="en-US" w:eastAsia="zh-CN"/>
        </w:rPr>
        <w:t>项目编号</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磋商</w:t>
      </w:r>
      <w:r>
        <w:rPr>
          <w:rFonts w:hint="eastAsia" w:ascii="宋体" w:hAnsi="宋体" w:eastAsia="宋体" w:cs="宋体"/>
          <w:color w:val="auto"/>
          <w:spacing w:val="4"/>
          <w:sz w:val="24"/>
          <w:szCs w:val="24"/>
          <w:highlight w:val="none"/>
        </w:rPr>
        <w:t>、签约等具体工作，并签署全部有关的文件、协议及合同。</w:t>
      </w:r>
    </w:p>
    <w:p w14:paraId="7E7F2FBA">
      <w:pPr>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我公司对</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pacing w:val="4"/>
          <w:sz w:val="24"/>
          <w:szCs w:val="24"/>
          <w:highlight w:val="none"/>
        </w:rPr>
        <w:t>的签名负全部责任。</w:t>
      </w:r>
    </w:p>
    <w:p w14:paraId="5CC6C338">
      <w:pPr>
        <w:spacing w:line="360" w:lineRule="auto"/>
        <w:ind w:right="204" w:rightChars="97" w:firstLine="480" w:firstLineChars="200"/>
        <w:jc w:val="left"/>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lang w:val="en-US" w:eastAsia="zh-CN"/>
        </w:rPr>
        <w:t>委托</w:t>
      </w:r>
      <w:r>
        <w:rPr>
          <w:rFonts w:hint="eastAsia" w:ascii="宋体" w:hAnsi="宋体" w:eastAsia="宋体" w:cs="宋体"/>
          <w:b w:val="0"/>
          <w:bCs w:val="0"/>
          <w:color w:val="auto"/>
          <w:sz w:val="24"/>
          <w:szCs w:val="24"/>
          <w:highlight w:val="none"/>
          <w:lang w:eastAsia="zh-CN"/>
        </w:rPr>
        <w:t>期</w:t>
      </w:r>
      <w:r>
        <w:rPr>
          <w:rFonts w:hint="eastAsia" w:ascii="宋体" w:hAnsi="宋体" w:cs="宋体"/>
          <w:b w:val="0"/>
          <w:bCs w:val="0"/>
          <w:color w:val="auto"/>
          <w:sz w:val="24"/>
          <w:szCs w:val="24"/>
          <w:highlight w:val="none"/>
          <w:lang w:val="en-US" w:eastAsia="zh-CN"/>
        </w:rPr>
        <w:t xml:space="preserve">限：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 xml:space="preserve">   </w:t>
      </w:r>
    </w:p>
    <w:tbl>
      <w:tblPr>
        <w:tblStyle w:val="22"/>
        <w:tblW w:w="0" w:type="auto"/>
        <w:tblInd w:w="633" w:type="dxa"/>
        <w:tblLayout w:type="fixed"/>
        <w:tblCellMar>
          <w:top w:w="0" w:type="dxa"/>
          <w:left w:w="108" w:type="dxa"/>
          <w:bottom w:w="0" w:type="dxa"/>
          <w:right w:w="108" w:type="dxa"/>
        </w:tblCellMar>
      </w:tblPr>
      <w:tblGrid>
        <w:gridCol w:w="4200"/>
        <w:gridCol w:w="3990"/>
      </w:tblGrid>
      <w:tr w14:paraId="44F1EF11">
        <w:tblPrEx>
          <w:tblCellMar>
            <w:top w:w="0" w:type="dxa"/>
            <w:left w:w="108" w:type="dxa"/>
            <w:bottom w:w="0" w:type="dxa"/>
            <w:right w:w="108" w:type="dxa"/>
          </w:tblCellMar>
        </w:tblPrEx>
        <w:trPr>
          <w:trHeight w:val="600" w:hRule="atLeast"/>
        </w:trPr>
        <w:tc>
          <w:tcPr>
            <w:tcW w:w="4200" w:type="dxa"/>
            <w:noWrap w:val="0"/>
            <w:vAlign w:val="top"/>
          </w:tcPr>
          <w:p w14:paraId="7CBC291A">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pacing w:val="4"/>
                <w:sz w:val="24"/>
                <w:szCs w:val="24"/>
                <w:highlight w:val="none"/>
                <w:lang w:eastAsia="zh-CN"/>
              </w:rPr>
              <w:t>签字或盖章</w:t>
            </w:r>
            <w:r>
              <w:rPr>
                <w:rFonts w:hint="eastAsia" w:ascii="宋体" w:hAnsi="宋体" w:eastAsia="宋体" w:cs="宋体"/>
                <w:color w:val="auto"/>
                <w:spacing w:val="4"/>
                <w:sz w:val="24"/>
                <w:szCs w:val="24"/>
                <w:highlight w:val="none"/>
              </w:rPr>
              <w:t>：</w:t>
            </w:r>
          </w:p>
        </w:tc>
        <w:tc>
          <w:tcPr>
            <w:tcW w:w="3990" w:type="dxa"/>
            <w:noWrap w:val="0"/>
            <w:vAlign w:val="top"/>
          </w:tcPr>
          <w:p w14:paraId="4A718C46">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4"/>
                <w:sz w:val="24"/>
                <w:szCs w:val="24"/>
                <w:highlight w:val="none"/>
                <w:lang w:eastAsia="zh-CN"/>
              </w:rPr>
              <w:t>签字或盖章</w:t>
            </w:r>
            <w:r>
              <w:rPr>
                <w:rFonts w:hint="eastAsia" w:ascii="宋体" w:hAnsi="宋体" w:eastAsia="宋体" w:cs="宋体"/>
                <w:color w:val="auto"/>
                <w:spacing w:val="4"/>
                <w:sz w:val="24"/>
                <w:szCs w:val="24"/>
                <w:highlight w:val="none"/>
              </w:rPr>
              <w:t>：</w:t>
            </w:r>
          </w:p>
        </w:tc>
      </w:tr>
      <w:tr w14:paraId="0ED626E4">
        <w:tblPrEx>
          <w:tblCellMar>
            <w:top w:w="0" w:type="dxa"/>
            <w:left w:w="108" w:type="dxa"/>
            <w:bottom w:w="0" w:type="dxa"/>
            <w:right w:w="108" w:type="dxa"/>
          </w:tblCellMar>
        </w:tblPrEx>
        <w:trPr>
          <w:trHeight w:val="600" w:hRule="atLeast"/>
        </w:trPr>
        <w:tc>
          <w:tcPr>
            <w:tcW w:w="4200" w:type="dxa"/>
            <w:noWrap w:val="0"/>
            <w:vAlign w:val="top"/>
          </w:tcPr>
          <w:p w14:paraId="7C5F75C1">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c>
          <w:tcPr>
            <w:tcW w:w="3990" w:type="dxa"/>
            <w:noWrap w:val="0"/>
            <w:vAlign w:val="top"/>
          </w:tcPr>
          <w:p w14:paraId="44CE5884">
            <w:pPr>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bl>
    <w:p w14:paraId="26A5ADA4">
      <w:pPr>
        <w:spacing w:before="24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附法定代表人身份证复印件及被授权人身份证复印件（正反面）</w:t>
      </w:r>
    </w:p>
    <w:p w14:paraId="6B6602E0">
      <w:pPr>
        <w:spacing w:line="360" w:lineRule="auto"/>
        <w:ind w:left="424" w:leftChars="202" w:right="540" w:rightChars="257"/>
        <w:jc w:val="left"/>
        <w:rPr>
          <w:rFonts w:hint="eastAsia" w:ascii="宋体" w:hAnsi="宋体" w:eastAsia="宋体" w:cs="宋体"/>
          <w:color w:val="auto"/>
          <w:sz w:val="24"/>
          <w:szCs w:val="24"/>
          <w:highlight w:val="none"/>
          <w:lang w:eastAsia="zh-CN"/>
        </w:rPr>
      </w:pPr>
    </w:p>
    <w:p w14:paraId="0A33B48C">
      <w:pPr>
        <w:spacing w:line="360" w:lineRule="auto"/>
        <w:ind w:left="424" w:leftChars="202" w:right="540" w:rightChars="257"/>
        <w:jc w:val="left"/>
        <w:rPr>
          <w:rFonts w:hint="eastAsia" w:ascii="宋体" w:hAnsi="宋体" w:eastAsia="宋体" w:cs="宋体"/>
          <w:color w:val="auto"/>
          <w:sz w:val="24"/>
          <w:szCs w:val="24"/>
          <w:highlight w:val="none"/>
          <w:lang w:eastAsia="zh-CN"/>
        </w:rPr>
      </w:pPr>
    </w:p>
    <w:p w14:paraId="14F2A512">
      <w:pPr>
        <w:spacing w:line="360" w:lineRule="auto"/>
        <w:ind w:left="424" w:leftChars="202" w:right="540" w:rightChars="257"/>
        <w:jc w:val="left"/>
        <w:rPr>
          <w:rFonts w:hint="eastAsia" w:ascii="宋体" w:hAnsi="宋体" w:eastAsia="宋体" w:cs="宋体"/>
          <w:color w:val="auto"/>
          <w:sz w:val="24"/>
          <w:szCs w:val="24"/>
          <w:highlight w:val="none"/>
          <w:lang w:eastAsia="zh-CN"/>
        </w:rPr>
      </w:pPr>
    </w:p>
    <w:p w14:paraId="0272B395">
      <w:pPr>
        <w:adjustRightInd w:val="0"/>
        <w:snapToGrid w:val="0"/>
        <w:spacing w:line="360" w:lineRule="auto"/>
        <w:ind w:right="420"/>
        <w:rPr>
          <w:rFonts w:hint="eastAsia" w:ascii="宋体" w:hAnsi="宋体" w:eastAsia="宋体" w:cs="宋体"/>
          <w:color w:val="auto"/>
          <w:sz w:val="24"/>
          <w:szCs w:val="24"/>
          <w:highlight w:val="none"/>
        </w:rPr>
      </w:pPr>
    </w:p>
    <w:p w14:paraId="7642ABA8">
      <w:pPr>
        <w:keepNext w:val="0"/>
        <w:keepLines w:val="0"/>
        <w:pageBreakBefore w:val="0"/>
        <w:widowControl w:val="0"/>
        <w:kinsoku/>
        <w:wordWrap/>
        <w:overflowPunct/>
        <w:topLinePunct w:val="0"/>
        <w:autoSpaceDE/>
        <w:autoSpaceDN/>
        <w:bidi w:val="0"/>
        <w:adjustRightInd w:val="0"/>
        <w:snapToGrid w:val="0"/>
        <w:spacing w:line="360" w:lineRule="auto"/>
        <w:ind w:right="0"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盖单位公章</w:t>
      </w:r>
      <w:r>
        <w:rPr>
          <w:rFonts w:hint="eastAsia" w:ascii="宋体" w:hAnsi="宋体" w:eastAsia="宋体" w:cs="宋体"/>
          <w:color w:val="auto"/>
          <w:sz w:val="24"/>
          <w:szCs w:val="24"/>
          <w:highlight w:val="none"/>
        </w:rPr>
        <w:t>）</w:t>
      </w:r>
    </w:p>
    <w:p w14:paraId="68F5EDF8">
      <w:pPr>
        <w:keepNext w:val="0"/>
        <w:keepLines w:val="0"/>
        <w:pageBreakBefore w:val="0"/>
        <w:widowControl w:val="0"/>
        <w:kinsoku/>
        <w:wordWrap/>
        <w:overflowPunct/>
        <w:topLinePunct w:val="0"/>
        <w:autoSpaceDE/>
        <w:autoSpaceDN/>
        <w:bidi w:val="0"/>
        <w:adjustRightInd w:val="0"/>
        <w:snapToGrid w:val="0"/>
        <w:spacing w:line="360" w:lineRule="auto"/>
        <w:ind w:right="0"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7E7B87">
      <w:pPr>
        <w:suppressAutoHyphens/>
        <w:spacing w:line="360" w:lineRule="auto"/>
        <w:ind w:firstLine="420" w:firstLineChars="200"/>
        <w:rPr>
          <w:rFonts w:hint="eastAsia" w:ascii="宋体" w:hAnsi="Times New Roman" w:eastAsia="宋体" w:cs="Times New Roman"/>
          <w:color w:val="auto"/>
          <w:kern w:val="1"/>
          <w:szCs w:val="21"/>
          <w:highlight w:val="none"/>
          <w:lang w:val="en-US" w:eastAsia="zh-CN"/>
        </w:rPr>
      </w:pPr>
    </w:p>
    <w:p w14:paraId="4F81320B">
      <w:pPr>
        <w:pStyle w:val="10"/>
        <w:rPr>
          <w:rFonts w:hint="eastAsia" w:ascii="宋体" w:hAnsi="Times New Roman" w:eastAsia="宋体" w:cs="Times New Roman"/>
          <w:color w:val="auto"/>
          <w:kern w:val="1"/>
          <w:szCs w:val="21"/>
          <w:highlight w:val="none"/>
          <w:lang w:val="en-US" w:eastAsia="zh-CN"/>
        </w:rPr>
      </w:pPr>
    </w:p>
    <w:p w14:paraId="783086E7">
      <w:pPr>
        <w:rPr>
          <w:rFonts w:hint="eastAsia" w:ascii="宋体" w:hAnsi="Times New Roman" w:eastAsia="宋体" w:cs="Times New Roman"/>
          <w:color w:val="auto"/>
          <w:kern w:val="1"/>
          <w:szCs w:val="21"/>
          <w:highlight w:val="none"/>
          <w:lang w:val="en-US" w:eastAsia="zh-CN"/>
        </w:rPr>
      </w:pPr>
    </w:p>
    <w:p w14:paraId="64573B47">
      <w:pPr>
        <w:pStyle w:val="5"/>
        <w:rPr>
          <w:rFonts w:hint="eastAsia" w:ascii="宋体" w:hAnsi="Times New Roman" w:eastAsia="宋体" w:cs="Times New Roman"/>
          <w:color w:val="auto"/>
          <w:kern w:val="1"/>
          <w:szCs w:val="21"/>
          <w:highlight w:val="none"/>
          <w:lang w:val="en-US" w:eastAsia="zh-CN"/>
        </w:rPr>
      </w:pPr>
    </w:p>
    <w:p w14:paraId="3B1B76D0">
      <w:pPr>
        <w:rPr>
          <w:rFonts w:hint="eastAsia" w:ascii="宋体" w:hAnsi="Times New Roman" w:eastAsia="宋体" w:cs="Times New Roman"/>
          <w:color w:val="auto"/>
          <w:kern w:val="1"/>
          <w:szCs w:val="21"/>
          <w:highlight w:val="none"/>
          <w:lang w:val="en-US" w:eastAsia="zh-CN"/>
        </w:rPr>
      </w:pPr>
    </w:p>
    <w:p w14:paraId="713AF014">
      <w:pPr>
        <w:pStyle w:val="5"/>
        <w:rPr>
          <w:rFonts w:hint="eastAsia"/>
          <w:color w:val="auto"/>
          <w:highlight w:val="none"/>
          <w:lang w:val="en-US" w:eastAsia="zh-CN"/>
        </w:rPr>
      </w:pPr>
    </w:p>
    <w:p w14:paraId="66592446">
      <w:pPr>
        <w:rPr>
          <w:rFonts w:hint="eastAsia"/>
          <w:color w:val="auto"/>
          <w:highlight w:val="none"/>
          <w:lang w:val="en-US" w:eastAsia="zh-CN"/>
        </w:rPr>
      </w:pPr>
    </w:p>
    <w:p w14:paraId="597AE745">
      <w:pPr>
        <w:pStyle w:val="10"/>
        <w:numPr>
          <w:ilvl w:val="0"/>
          <w:numId w:val="0"/>
        </w:numPr>
        <w:ind w:leftChars="200"/>
        <w:jc w:val="both"/>
        <w:rPr>
          <w:rFonts w:hint="eastAsia"/>
          <w:color w:val="auto"/>
          <w:highlight w:val="none"/>
          <w:lang w:val="en-US" w:eastAsia="zh-CN"/>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rtlGutter w:val="0"/>
          <w:docGrid w:type="lines" w:linePitch="333" w:charSpace="0"/>
        </w:sectPr>
      </w:pPr>
      <w:r>
        <w:rPr>
          <w:rFonts w:hint="eastAsia" w:ascii="宋体" w:hAnsi="宋体" w:eastAsia="宋体" w:cs="宋体"/>
          <w:b/>
          <w:bCs/>
          <w:color w:val="auto"/>
          <w:sz w:val="24"/>
          <w:szCs w:val="24"/>
          <w:highlight w:val="none"/>
          <w:lang w:val="zh-CN"/>
        </w:rPr>
        <w:t>说明：</w:t>
      </w:r>
      <w:r>
        <w:rPr>
          <w:rFonts w:hint="eastAsia" w:ascii="宋体" w:hAnsi="宋体" w:eastAsia="宋体" w:cs="宋体"/>
          <w:b/>
          <w:bCs/>
          <w:color w:val="auto"/>
          <w:sz w:val="24"/>
          <w:szCs w:val="24"/>
          <w:highlight w:val="none"/>
          <w:lang w:val="en-US" w:eastAsia="zh-CN"/>
        </w:rPr>
        <w:t>法定代表人直接参与磋商时无需提供。</w:t>
      </w:r>
    </w:p>
    <w:p w14:paraId="4F3BCD6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）项目负责人需具备中级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以上气象类职称；</w:t>
      </w:r>
    </w:p>
    <w:p w14:paraId="2167E6D4">
      <w:pPr>
        <w:spacing w:line="360" w:lineRule="auto"/>
        <w:rPr>
          <w:rFonts w:hint="eastAsia" w:ascii="宋体" w:hAnsi="宋体" w:eastAsia="宋体" w:cs="宋体"/>
          <w:color w:val="auto"/>
          <w:sz w:val="24"/>
          <w:szCs w:val="24"/>
          <w:highlight w:val="none"/>
        </w:rPr>
      </w:pPr>
    </w:p>
    <w:p w14:paraId="500DC257">
      <w:pPr>
        <w:spacing w:line="360" w:lineRule="auto"/>
        <w:rPr>
          <w:rFonts w:hint="eastAsia" w:ascii="宋体" w:hAnsi="宋体" w:eastAsia="宋体" w:cs="宋体"/>
          <w:color w:val="auto"/>
          <w:sz w:val="24"/>
          <w:szCs w:val="24"/>
          <w:highlight w:val="none"/>
        </w:rPr>
      </w:pPr>
    </w:p>
    <w:p w14:paraId="25954C7E">
      <w:pPr>
        <w:spacing w:line="360" w:lineRule="auto"/>
        <w:rPr>
          <w:rFonts w:hint="eastAsia" w:ascii="宋体" w:hAnsi="宋体" w:eastAsia="宋体" w:cs="宋体"/>
          <w:color w:val="auto"/>
          <w:sz w:val="24"/>
          <w:szCs w:val="24"/>
          <w:highlight w:val="none"/>
        </w:rPr>
      </w:pPr>
    </w:p>
    <w:p w14:paraId="62D81761">
      <w:pPr>
        <w:spacing w:line="360" w:lineRule="auto"/>
        <w:rPr>
          <w:rFonts w:hint="eastAsia" w:ascii="宋体" w:hAnsi="宋体" w:eastAsia="宋体" w:cs="宋体"/>
          <w:color w:val="auto"/>
          <w:sz w:val="24"/>
          <w:szCs w:val="24"/>
          <w:highlight w:val="none"/>
        </w:rPr>
      </w:pPr>
    </w:p>
    <w:p w14:paraId="586CC20A">
      <w:pPr>
        <w:spacing w:line="360" w:lineRule="auto"/>
        <w:rPr>
          <w:rFonts w:hint="eastAsia" w:ascii="宋体" w:hAnsi="宋体" w:eastAsia="宋体" w:cs="宋体"/>
          <w:color w:val="auto"/>
          <w:sz w:val="24"/>
          <w:szCs w:val="24"/>
          <w:highlight w:val="none"/>
        </w:rPr>
      </w:pPr>
    </w:p>
    <w:p w14:paraId="6DFA0AE6">
      <w:pPr>
        <w:spacing w:line="360" w:lineRule="auto"/>
        <w:rPr>
          <w:rFonts w:hint="eastAsia" w:ascii="宋体" w:hAnsi="宋体" w:eastAsia="宋体" w:cs="宋体"/>
          <w:color w:val="auto"/>
          <w:sz w:val="24"/>
          <w:szCs w:val="24"/>
          <w:highlight w:val="none"/>
        </w:rPr>
      </w:pPr>
    </w:p>
    <w:p w14:paraId="424865CB">
      <w:pPr>
        <w:spacing w:line="360" w:lineRule="auto"/>
        <w:rPr>
          <w:rFonts w:hint="eastAsia" w:ascii="宋体" w:hAnsi="宋体" w:eastAsia="宋体" w:cs="宋体"/>
          <w:color w:val="auto"/>
          <w:sz w:val="24"/>
          <w:szCs w:val="24"/>
          <w:highlight w:val="none"/>
        </w:rPr>
      </w:pPr>
    </w:p>
    <w:p w14:paraId="26F7FD56">
      <w:pPr>
        <w:spacing w:line="360" w:lineRule="auto"/>
        <w:rPr>
          <w:rFonts w:hint="eastAsia" w:ascii="宋体" w:hAnsi="宋体" w:eastAsia="宋体" w:cs="宋体"/>
          <w:color w:val="auto"/>
          <w:sz w:val="24"/>
          <w:szCs w:val="24"/>
          <w:highlight w:val="none"/>
        </w:rPr>
      </w:pPr>
    </w:p>
    <w:p w14:paraId="259D4BEF">
      <w:pPr>
        <w:spacing w:line="360" w:lineRule="auto"/>
        <w:rPr>
          <w:rFonts w:hint="eastAsia" w:ascii="宋体" w:hAnsi="宋体" w:eastAsia="宋体" w:cs="宋体"/>
          <w:color w:val="auto"/>
          <w:sz w:val="24"/>
          <w:szCs w:val="24"/>
          <w:highlight w:val="none"/>
        </w:rPr>
      </w:pPr>
    </w:p>
    <w:p w14:paraId="4BDC0F7A">
      <w:pPr>
        <w:spacing w:line="360" w:lineRule="auto"/>
        <w:rPr>
          <w:rFonts w:hint="eastAsia" w:ascii="宋体" w:hAnsi="宋体" w:eastAsia="宋体" w:cs="宋体"/>
          <w:color w:val="auto"/>
          <w:sz w:val="24"/>
          <w:szCs w:val="24"/>
          <w:highlight w:val="none"/>
        </w:rPr>
      </w:pPr>
    </w:p>
    <w:p w14:paraId="703E4999">
      <w:pPr>
        <w:spacing w:line="360" w:lineRule="auto"/>
        <w:rPr>
          <w:rFonts w:hint="eastAsia" w:ascii="宋体" w:hAnsi="宋体" w:eastAsia="宋体" w:cs="宋体"/>
          <w:color w:val="auto"/>
          <w:sz w:val="24"/>
          <w:szCs w:val="24"/>
          <w:highlight w:val="none"/>
        </w:rPr>
      </w:pPr>
    </w:p>
    <w:p w14:paraId="792C24EC">
      <w:pPr>
        <w:spacing w:line="360" w:lineRule="auto"/>
        <w:rPr>
          <w:rFonts w:hint="eastAsia" w:ascii="宋体" w:hAnsi="宋体" w:eastAsia="宋体" w:cs="宋体"/>
          <w:color w:val="auto"/>
          <w:sz w:val="24"/>
          <w:szCs w:val="24"/>
          <w:highlight w:val="none"/>
        </w:rPr>
      </w:pPr>
    </w:p>
    <w:p w14:paraId="7109AF07">
      <w:pPr>
        <w:spacing w:line="360" w:lineRule="auto"/>
        <w:rPr>
          <w:rFonts w:hint="eastAsia" w:ascii="宋体" w:hAnsi="宋体" w:eastAsia="宋体" w:cs="宋体"/>
          <w:color w:val="auto"/>
          <w:sz w:val="24"/>
          <w:szCs w:val="24"/>
          <w:highlight w:val="none"/>
        </w:rPr>
      </w:pPr>
    </w:p>
    <w:p w14:paraId="372AC662">
      <w:pPr>
        <w:spacing w:line="360" w:lineRule="auto"/>
        <w:rPr>
          <w:rFonts w:hint="eastAsia" w:ascii="宋体" w:hAnsi="宋体" w:eastAsia="宋体" w:cs="宋体"/>
          <w:color w:val="auto"/>
          <w:sz w:val="24"/>
          <w:szCs w:val="24"/>
          <w:highlight w:val="none"/>
        </w:rPr>
      </w:pPr>
    </w:p>
    <w:p w14:paraId="2D80FD89">
      <w:pPr>
        <w:spacing w:line="360" w:lineRule="auto"/>
        <w:rPr>
          <w:rFonts w:hint="eastAsia" w:ascii="宋体" w:hAnsi="宋体" w:eastAsia="宋体" w:cs="宋体"/>
          <w:color w:val="auto"/>
          <w:sz w:val="24"/>
          <w:szCs w:val="24"/>
          <w:highlight w:val="none"/>
        </w:rPr>
      </w:pPr>
    </w:p>
    <w:p w14:paraId="67F794DD">
      <w:pPr>
        <w:spacing w:line="360" w:lineRule="auto"/>
        <w:rPr>
          <w:rFonts w:hint="eastAsia" w:ascii="宋体" w:hAnsi="宋体" w:eastAsia="宋体" w:cs="宋体"/>
          <w:color w:val="auto"/>
          <w:sz w:val="24"/>
          <w:szCs w:val="24"/>
          <w:highlight w:val="none"/>
        </w:rPr>
      </w:pPr>
    </w:p>
    <w:p w14:paraId="5ABE21EF">
      <w:pPr>
        <w:spacing w:line="360" w:lineRule="auto"/>
        <w:rPr>
          <w:rFonts w:hint="eastAsia" w:ascii="宋体" w:hAnsi="宋体" w:eastAsia="宋体" w:cs="宋体"/>
          <w:color w:val="auto"/>
          <w:sz w:val="24"/>
          <w:szCs w:val="24"/>
          <w:highlight w:val="none"/>
        </w:rPr>
      </w:pPr>
    </w:p>
    <w:p w14:paraId="0EAC09A1">
      <w:pPr>
        <w:spacing w:line="360" w:lineRule="auto"/>
        <w:rPr>
          <w:rFonts w:hint="eastAsia" w:ascii="宋体" w:hAnsi="宋体" w:eastAsia="宋体" w:cs="宋体"/>
          <w:color w:val="auto"/>
          <w:sz w:val="24"/>
          <w:szCs w:val="24"/>
          <w:highlight w:val="none"/>
        </w:rPr>
      </w:pPr>
    </w:p>
    <w:p w14:paraId="2BA541D4">
      <w:pPr>
        <w:spacing w:line="360" w:lineRule="auto"/>
        <w:rPr>
          <w:rFonts w:hint="eastAsia" w:ascii="宋体" w:hAnsi="宋体" w:eastAsia="宋体" w:cs="宋体"/>
          <w:color w:val="auto"/>
          <w:sz w:val="24"/>
          <w:szCs w:val="24"/>
          <w:highlight w:val="none"/>
        </w:rPr>
      </w:pPr>
    </w:p>
    <w:p w14:paraId="1A21400D">
      <w:pPr>
        <w:spacing w:line="360" w:lineRule="auto"/>
        <w:rPr>
          <w:rFonts w:hint="eastAsia" w:ascii="宋体" w:hAnsi="宋体" w:eastAsia="宋体" w:cs="宋体"/>
          <w:color w:val="auto"/>
          <w:sz w:val="24"/>
          <w:szCs w:val="24"/>
          <w:highlight w:val="none"/>
        </w:rPr>
      </w:pPr>
    </w:p>
    <w:p w14:paraId="573B9060">
      <w:pPr>
        <w:spacing w:line="360" w:lineRule="auto"/>
        <w:rPr>
          <w:rFonts w:hint="eastAsia" w:ascii="宋体" w:hAnsi="宋体" w:eastAsia="宋体" w:cs="宋体"/>
          <w:color w:val="auto"/>
          <w:sz w:val="24"/>
          <w:szCs w:val="24"/>
          <w:highlight w:val="none"/>
        </w:rPr>
      </w:pPr>
    </w:p>
    <w:p w14:paraId="0C1DAF85">
      <w:pPr>
        <w:spacing w:line="360" w:lineRule="auto"/>
        <w:rPr>
          <w:rFonts w:hint="eastAsia" w:ascii="宋体" w:hAnsi="宋体" w:eastAsia="宋体" w:cs="宋体"/>
          <w:color w:val="auto"/>
          <w:sz w:val="24"/>
          <w:szCs w:val="24"/>
          <w:highlight w:val="none"/>
        </w:rPr>
      </w:pPr>
    </w:p>
    <w:p w14:paraId="64054E4B">
      <w:pPr>
        <w:spacing w:line="360" w:lineRule="auto"/>
        <w:rPr>
          <w:rFonts w:hint="eastAsia" w:ascii="宋体" w:hAnsi="宋体" w:eastAsia="宋体" w:cs="宋体"/>
          <w:color w:val="auto"/>
          <w:sz w:val="24"/>
          <w:szCs w:val="24"/>
          <w:highlight w:val="none"/>
        </w:rPr>
      </w:pPr>
    </w:p>
    <w:p w14:paraId="5EAE5F8B">
      <w:pPr>
        <w:spacing w:line="360" w:lineRule="auto"/>
        <w:rPr>
          <w:rFonts w:hint="eastAsia" w:ascii="宋体" w:hAnsi="宋体" w:eastAsia="宋体" w:cs="宋体"/>
          <w:color w:val="auto"/>
          <w:sz w:val="24"/>
          <w:szCs w:val="24"/>
          <w:highlight w:val="none"/>
        </w:rPr>
      </w:pPr>
    </w:p>
    <w:p w14:paraId="21BA761F">
      <w:pPr>
        <w:spacing w:line="360" w:lineRule="auto"/>
        <w:rPr>
          <w:rFonts w:hint="eastAsia" w:ascii="宋体" w:hAnsi="宋体" w:eastAsia="宋体" w:cs="宋体"/>
          <w:color w:val="auto"/>
          <w:sz w:val="24"/>
          <w:szCs w:val="24"/>
          <w:highlight w:val="none"/>
        </w:rPr>
      </w:pPr>
    </w:p>
    <w:p w14:paraId="2CC0494E">
      <w:pPr>
        <w:spacing w:line="360" w:lineRule="auto"/>
        <w:rPr>
          <w:rFonts w:hint="eastAsia" w:ascii="宋体" w:hAnsi="宋体" w:eastAsia="宋体" w:cs="宋体"/>
          <w:color w:val="auto"/>
          <w:sz w:val="24"/>
          <w:szCs w:val="24"/>
          <w:highlight w:val="none"/>
        </w:rPr>
      </w:pPr>
    </w:p>
    <w:p w14:paraId="167208F0">
      <w:pPr>
        <w:spacing w:line="360" w:lineRule="auto"/>
        <w:rPr>
          <w:rFonts w:hint="eastAsia" w:ascii="宋体" w:hAnsi="宋体" w:eastAsia="宋体" w:cs="宋体"/>
          <w:color w:val="auto"/>
          <w:sz w:val="24"/>
          <w:szCs w:val="24"/>
          <w:highlight w:val="none"/>
        </w:rPr>
      </w:pPr>
    </w:p>
    <w:p w14:paraId="2A653674">
      <w:pPr>
        <w:spacing w:line="360" w:lineRule="auto"/>
        <w:rPr>
          <w:rFonts w:hint="eastAsia" w:ascii="宋体" w:hAnsi="宋体" w:eastAsia="宋体" w:cs="宋体"/>
          <w:color w:val="auto"/>
          <w:sz w:val="24"/>
          <w:szCs w:val="24"/>
          <w:highlight w:val="none"/>
        </w:rPr>
      </w:pPr>
    </w:p>
    <w:p w14:paraId="50D61110">
      <w:pPr>
        <w:spacing w:line="360" w:lineRule="auto"/>
        <w:rPr>
          <w:rFonts w:hint="eastAsia" w:ascii="宋体" w:hAnsi="宋体" w:eastAsia="宋体" w:cs="宋体"/>
          <w:color w:val="auto"/>
          <w:sz w:val="24"/>
          <w:szCs w:val="24"/>
          <w:highlight w:val="none"/>
        </w:rPr>
      </w:pPr>
    </w:p>
    <w:p w14:paraId="7150E2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）财务状况报告：提供投标人202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年度经审计的财务报告或在开标日期前6个月内其基本开户银行出具的资信证明和开户行许可证或基本存款账户信息；</w:t>
      </w:r>
    </w:p>
    <w:p w14:paraId="050F3C60">
      <w:pPr>
        <w:pStyle w:val="14"/>
        <w:rPr>
          <w:rFonts w:ascii="宋体" w:hAnsi="宋体" w:cs="宋体"/>
          <w:b/>
          <w:bCs/>
          <w:color w:val="auto"/>
          <w:sz w:val="32"/>
          <w:szCs w:val="32"/>
          <w:highlight w:val="none"/>
        </w:rPr>
      </w:pPr>
    </w:p>
    <w:p w14:paraId="2C9A917D">
      <w:pPr>
        <w:pStyle w:val="10"/>
        <w:rPr>
          <w:rFonts w:ascii="宋体" w:hAnsi="宋体" w:cs="宋体"/>
          <w:b/>
          <w:bCs/>
          <w:color w:val="auto"/>
          <w:sz w:val="32"/>
          <w:szCs w:val="32"/>
          <w:highlight w:val="none"/>
        </w:rPr>
      </w:pPr>
    </w:p>
    <w:p w14:paraId="5971B9C3">
      <w:pPr>
        <w:snapToGrid w:val="0"/>
        <w:jc w:val="left"/>
        <w:rPr>
          <w:color w:val="auto"/>
          <w:highlight w:val="none"/>
        </w:rPr>
      </w:pPr>
      <w:r>
        <w:rPr>
          <w:color w:val="auto"/>
          <w:highlight w:val="none"/>
        </w:rPr>
        <w:br w:type="page"/>
      </w:r>
    </w:p>
    <w:p w14:paraId="329556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收缴纳证明：投标人提供近一年内已缴纳的至少一个月的纳税证明或完税证明（任意税种），纳税证明或完税证明上应有代收机构或税务机关的公章或业务专用章；（依法不需要缴纳税收的供应商应提供相关证明）；</w:t>
      </w:r>
      <w:r>
        <w:rPr>
          <w:rFonts w:hint="eastAsia" w:ascii="宋体" w:hAnsi="宋体" w:eastAsia="宋体" w:cs="宋体"/>
          <w:color w:val="auto"/>
          <w:sz w:val="24"/>
          <w:szCs w:val="24"/>
          <w:highlight w:val="none"/>
        </w:rPr>
        <w:br w:type="textWrapping"/>
      </w:r>
    </w:p>
    <w:p w14:paraId="7D070553">
      <w:pPr>
        <w:snapToGrid w:val="0"/>
        <w:jc w:val="left"/>
        <w:rPr>
          <w:color w:val="auto"/>
          <w:highlight w:val="none"/>
        </w:rPr>
      </w:pPr>
    </w:p>
    <w:p w14:paraId="1DDBC1BF">
      <w:pPr>
        <w:snapToGrid w:val="0"/>
        <w:jc w:val="left"/>
        <w:rPr>
          <w:color w:val="auto"/>
          <w:highlight w:val="none"/>
        </w:rPr>
      </w:pPr>
    </w:p>
    <w:p w14:paraId="25BAB2EA">
      <w:pPr>
        <w:snapToGrid w:val="0"/>
        <w:jc w:val="left"/>
        <w:rPr>
          <w:color w:val="auto"/>
          <w:highlight w:val="none"/>
        </w:rPr>
      </w:pPr>
    </w:p>
    <w:p w14:paraId="440656AA">
      <w:pPr>
        <w:snapToGrid w:val="0"/>
        <w:jc w:val="left"/>
        <w:rPr>
          <w:color w:val="auto"/>
          <w:highlight w:val="none"/>
        </w:rPr>
      </w:pPr>
    </w:p>
    <w:p w14:paraId="63179673">
      <w:pPr>
        <w:snapToGrid w:val="0"/>
        <w:jc w:val="left"/>
        <w:rPr>
          <w:color w:val="auto"/>
          <w:highlight w:val="none"/>
        </w:rPr>
      </w:pPr>
    </w:p>
    <w:p w14:paraId="44150119">
      <w:pPr>
        <w:snapToGrid w:val="0"/>
        <w:jc w:val="left"/>
        <w:rPr>
          <w:color w:val="auto"/>
          <w:highlight w:val="none"/>
        </w:rPr>
      </w:pPr>
    </w:p>
    <w:p w14:paraId="277AEF7D">
      <w:pPr>
        <w:snapToGrid w:val="0"/>
        <w:jc w:val="left"/>
        <w:rPr>
          <w:color w:val="auto"/>
          <w:highlight w:val="none"/>
        </w:rPr>
      </w:pPr>
    </w:p>
    <w:p w14:paraId="778032E8">
      <w:pPr>
        <w:snapToGrid w:val="0"/>
        <w:jc w:val="left"/>
        <w:rPr>
          <w:color w:val="auto"/>
          <w:highlight w:val="none"/>
        </w:rPr>
      </w:pPr>
    </w:p>
    <w:p w14:paraId="2C5B9BAE">
      <w:pPr>
        <w:snapToGrid w:val="0"/>
        <w:jc w:val="left"/>
        <w:rPr>
          <w:color w:val="auto"/>
          <w:highlight w:val="none"/>
        </w:rPr>
      </w:pPr>
    </w:p>
    <w:p w14:paraId="0E48C097">
      <w:pPr>
        <w:snapToGrid w:val="0"/>
        <w:jc w:val="left"/>
        <w:rPr>
          <w:color w:val="auto"/>
          <w:highlight w:val="none"/>
        </w:rPr>
      </w:pPr>
    </w:p>
    <w:p w14:paraId="0AF8043C">
      <w:pPr>
        <w:snapToGrid w:val="0"/>
        <w:jc w:val="left"/>
        <w:rPr>
          <w:color w:val="auto"/>
          <w:highlight w:val="none"/>
        </w:rPr>
      </w:pPr>
    </w:p>
    <w:p w14:paraId="4D0B5614">
      <w:pPr>
        <w:snapToGrid w:val="0"/>
        <w:jc w:val="left"/>
        <w:rPr>
          <w:color w:val="auto"/>
          <w:highlight w:val="none"/>
        </w:rPr>
      </w:pPr>
    </w:p>
    <w:p w14:paraId="2AE6BF91">
      <w:pPr>
        <w:snapToGrid w:val="0"/>
        <w:jc w:val="left"/>
        <w:rPr>
          <w:color w:val="auto"/>
          <w:highlight w:val="none"/>
        </w:rPr>
      </w:pPr>
    </w:p>
    <w:p w14:paraId="5E0A9FD9">
      <w:pPr>
        <w:snapToGrid w:val="0"/>
        <w:jc w:val="left"/>
        <w:rPr>
          <w:color w:val="auto"/>
          <w:highlight w:val="none"/>
        </w:rPr>
      </w:pPr>
    </w:p>
    <w:p w14:paraId="6A9053E9">
      <w:pPr>
        <w:snapToGrid w:val="0"/>
        <w:jc w:val="left"/>
        <w:rPr>
          <w:color w:val="auto"/>
          <w:highlight w:val="none"/>
        </w:rPr>
      </w:pPr>
    </w:p>
    <w:p w14:paraId="7541C8B0">
      <w:pPr>
        <w:snapToGrid w:val="0"/>
        <w:jc w:val="left"/>
        <w:rPr>
          <w:color w:val="auto"/>
          <w:highlight w:val="none"/>
        </w:rPr>
      </w:pPr>
    </w:p>
    <w:p w14:paraId="5335508A">
      <w:pPr>
        <w:snapToGrid w:val="0"/>
        <w:jc w:val="left"/>
        <w:rPr>
          <w:color w:val="auto"/>
          <w:highlight w:val="none"/>
        </w:rPr>
      </w:pPr>
    </w:p>
    <w:p w14:paraId="5BECD087">
      <w:pPr>
        <w:snapToGrid w:val="0"/>
        <w:jc w:val="left"/>
        <w:rPr>
          <w:color w:val="auto"/>
          <w:highlight w:val="none"/>
        </w:rPr>
      </w:pPr>
    </w:p>
    <w:p w14:paraId="3E15685A">
      <w:pPr>
        <w:snapToGrid w:val="0"/>
        <w:jc w:val="left"/>
        <w:rPr>
          <w:color w:val="auto"/>
          <w:highlight w:val="none"/>
        </w:rPr>
      </w:pPr>
    </w:p>
    <w:p w14:paraId="4ED420FA">
      <w:pPr>
        <w:snapToGrid w:val="0"/>
        <w:jc w:val="left"/>
        <w:rPr>
          <w:color w:val="auto"/>
          <w:highlight w:val="none"/>
        </w:rPr>
      </w:pPr>
    </w:p>
    <w:p w14:paraId="755042E9">
      <w:pPr>
        <w:pStyle w:val="5"/>
        <w:rPr>
          <w:color w:val="auto"/>
          <w:highlight w:val="none"/>
        </w:rPr>
      </w:pPr>
    </w:p>
    <w:p w14:paraId="3C05565E">
      <w:pPr>
        <w:rPr>
          <w:color w:val="auto"/>
          <w:highlight w:val="none"/>
        </w:rPr>
      </w:pPr>
    </w:p>
    <w:p w14:paraId="6134AF2B">
      <w:pPr>
        <w:pStyle w:val="5"/>
        <w:rPr>
          <w:color w:val="auto"/>
          <w:highlight w:val="none"/>
        </w:rPr>
      </w:pPr>
    </w:p>
    <w:p w14:paraId="0B217151">
      <w:pPr>
        <w:rPr>
          <w:color w:val="auto"/>
          <w:highlight w:val="none"/>
        </w:rPr>
      </w:pPr>
    </w:p>
    <w:p w14:paraId="7EF916AE">
      <w:pPr>
        <w:pStyle w:val="5"/>
        <w:rPr>
          <w:color w:val="auto"/>
          <w:highlight w:val="none"/>
        </w:rPr>
      </w:pPr>
    </w:p>
    <w:p w14:paraId="59B2DF87">
      <w:pPr>
        <w:rPr>
          <w:color w:val="auto"/>
          <w:highlight w:val="none"/>
        </w:rPr>
      </w:pPr>
    </w:p>
    <w:p w14:paraId="5CC0FCEB">
      <w:pPr>
        <w:pStyle w:val="5"/>
        <w:rPr>
          <w:color w:val="auto"/>
          <w:highlight w:val="none"/>
        </w:rPr>
      </w:pPr>
    </w:p>
    <w:p w14:paraId="1EE41EF7">
      <w:pPr>
        <w:rPr>
          <w:color w:val="auto"/>
          <w:highlight w:val="none"/>
        </w:rPr>
      </w:pPr>
    </w:p>
    <w:p w14:paraId="595BBFE1">
      <w:pPr>
        <w:pStyle w:val="5"/>
        <w:rPr>
          <w:color w:val="auto"/>
          <w:highlight w:val="none"/>
        </w:rPr>
      </w:pPr>
    </w:p>
    <w:p w14:paraId="7C1EAE58">
      <w:pPr>
        <w:rPr>
          <w:color w:val="auto"/>
          <w:highlight w:val="none"/>
        </w:rPr>
      </w:pPr>
    </w:p>
    <w:p w14:paraId="4E3CDB18">
      <w:pPr>
        <w:pStyle w:val="5"/>
        <w:rPr>
          <w:color w:val="auto"/>
          <w:highlight w:val="none"/>
        </w:rPr>
      </w:pPr>
    </w:p>
    <w:p w14:paraId="1BB5C5D5">
      <w:pPr>
        <w:rPr>
          <w:color w:val="auto"/>
          <w:highlight w:val="none"/>
        </w:rPr>
      </w:pPr>
    </w:p>
    <w:p w14:paraId="570C7DB7">
      <w:pPr>
        <w:pStyle w:val="5"/>
        <w:rPr>
          <w:color w:val="auto"/>
          <w:highlight w:val="none"/>
        </w:rPr>
      </w:pPr>
    </w:p>
    <w:p w14:paraId="422AE0EC">
      <w:pPr>
        <w:rPr>
          <w:color w:val="auto"/>
          <w:highlight w:val="none"/>
        </w:rPr>
      </w:pPr>
    </w:p>
    <w:p w14:paraId="49042C5B">
      <w:pPr>
        <w:snapToGrid w:val="0"/>
        <w:jc w:val="left"/>
        <w:rPr>
          <w:color w:val="auto"/>
          <w:highlight w:val="none"/>
        </w:rPr>
      </w:pPr>
    </w:p>
    <w:p w14:paraId="77F581AD">
      <w:pPr>
        <w:spacing w:line="360" w:lineRule="auto"/>
        <w:rPr>
          <w:rFonts w:hint="eastAsia" w:ascii="宋体" w:hAnsi="宋体" w:eastAsia="宋体" w:cs="宋体"/>
          <w:color w:val="auto"/>
          <w:sz w:val="24"/>
          <w:szCs w:val="24"/>
          <w:highlight w:val="none"/>
        </w:rPr>
      </w:pPr>
    </w:p>
    <w:p w14:paraId="3054DF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85294D8">
      <w:pPr>
        <w:pStyle w:val="1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（6）社会保障资金缴纳证明：投标人提供近一年内已缴纳的至少一个月的社会保障资金缴存单据或社保机构开具的社会保险参保缴费情况证明，依法不需要缴纳社会保障资金的单位应提供相关证明材料；</w:t>
      </w:r>
    </w:p>
    <w:p w14:paraId="29ABEBA8">
      <w:pPr>
        <w:pStyle w:val="30"/>
        <w:rPr>
          <w:rFonts w:ascii="Times New Roman"/>
          <w:color w:val="auto"/>
          <w:highlight w:val="none"/>
        </w:rPr>
      </w:pPr>
    </w:p>
    <w:p w14:paraId="4D696A76">
      <w:pPr>
        <w:pStyle w:val="31"/>
        <w:rPr>
          <w:color w:val="auto"/>
          <w:highlight w:val="none"/>
        </w:rPr>
      </w:pPr>
    </w:p>
    <w:p w14:paraId="41D1B26E">
      <w:pPr>
        <w:rPr>
          <w:color w:val="auto"/>
          <w:highlight w:val="none"/>
        </w:rPr>
      </w:pPr>
    </w:p>
    <w:p w14:paraId="48382636">
      <w:pPr>
        <w:pStyle w:val="14"/>
        <w:rPr>
          <w:color w:val="auto"/>
          <w:highlight w:val="none"/>
        </w:rPr>
      </w:pPr>
    </w:p>
    <w:p w14:paraId="13250CDB">
      <w:pPr>
        <w:pStyle w:val="10"/>
        <w:rPr>
          <w:color w:val="auto"/>
          <w:highlight w:val="none"/>
        </w:rPr>
      </w:pPr>
    </w:p>
    <w:p w14:paraId="5A9781BD">
      <w:pPr>
        <w:pStyle w:val="30"/>
        <w:rPr>
          <w:color w:val="auto"/>
          <w:highlight w:val="none"/>
        </w:rPr>
      </w:pPr>
    </w:p>
    <w:p w14:paraId="1386D741">
      <w:pPr>
        <w:pStyle w:val="14"/>
        <w:rPr>
          <w:color w:val="auto"/>
          <w:highlight w:val="none"/>
        </w:rPr>
      </w:pPr>
    </w:p>
    <w:p w14:paraId="11A45A3A">
      <w:pPr>
        <w:pStyle w:val="10"/>
        <w:rPr>
          <w:color w:val="auto"/>
          <w:highlight w:val="none"/>
        </w:rPr>
      </w:pPr>
    </w:p>
    <w:p w14:paraId="425949FB">
      <w:pPr>
        <w:pStyle w:val="30"/>
        <w:rPr>
          <w:rFonts w:ascii="Times New Roman"/>
          <w:color w:val="auto"/>
          <w:highlight w:val="none"/>
        </w:rPr>
      </w:pPr>
    </w:p>
    <w:p w14:paraId="096EE756">
      <w:pPr>
        <w:pStyle w:val="31"/>
        <w:rPr>
          <w:color w:val="auto"/>
          <w:highlight w:val="none"/>
        </w:rPr>
      </w:pPr>
    </w:p>
    <w:p w14:paraId="08EDCAC0">
      <w:pPr>
        <w:rPr>
          <w:color w:val="auto"/>
          <w:highlight w:val="none"/>
        </w:rPr>
      </w:pPr>
    </w:p>
    <w:p w14:paraId="471877F7">
      <w:pPr>
        <w:pStyle w:val="5"/>
        <w:rPr>
          <w:color w:val="auto"/>
          <w:highlight w:val="none"/>
        </w:rPr>
      </w:pPr>
    </w:p>
    <w:p w14:paraId="7762C8B6">
      <w:pPr>
        <w:rPr>
          <w:color w:val="auto"/>
          <w:highlight w:val="none"/>
        </w:rPr>
      </w:pPr>
    </w:p>
    <w:p w14:paraId="0CF3B9B7">
      <w:pPr>
        <w:pStyle w:val="5"/>
        <w:rPr>
          <w:color w:val="auto"/>
          <w:highlight w:val="none"/>
        </w:rPr>
      </w:pPr>
    </w:p>
    <w:p w14:paraId="18438F70">
      <w:pPr>
        <w:rPr>
          <w:color w:val="auto"/>
          <w:highlight w:val="none"/>
        </w:rPr>
      </w:pPr>
    </w:p>
    <w:p w14:paraId="413B0C55">
      <w:pPr>
        <w:pStyle w:val="5"/>
        <w:rPr>
          <w:color w:val="auto"/>
          <w:highlight w:val="none"/>
        </w:rPr>
      </w:pPr>
    </w:p>
    <w:p w14:paraId="7CC2E7E8">
      <w:pPr>
        <w:rPr>
          <w:color w:val="auto"/>
          <w:highlight w:val="none"/>
        </w:rPr>
      </w:pPr>
    </w:p>
    <w:p w14:paraId="55999C9C">
      <w:pPr>
        <w:pStyle w:val="5"/>
        <w:rPr>
          <w:color w:val="auto"/>
          <w:highlight w:val="none"/>
        </w:rPr>
      </w:pPr>
    </w:p>
    <w:p w14:paraId="54509F33">
      <w:pPr>
        <w:rPr>
          <w:color w:val="auto"/>
          <w:highlight w:val="none"/>
        </w:rPr>
      </w:pPr>
    </w:p>
    <w:p w14:paraId="020AB832">
      <w:pPr>
        <w:pStyle w:val="5"/>
        <w:rPr>
          <w:color w:val="auto"/>
          <w:highlight w:val="none"/>
        </w:rPr>
      </w:pPr>
    </w:p>
    <w:p w14:paraId="1B3BCF38">
      <w:pPr>
        <w:rPr>
          <w:color w:val="auto"/>
          <w:highlight w:val="none"/>
        </w:rPr>
      </w:pPr>
    </w:p>
    <w:p w14:paraId="189E612A">
      <w:pPr>
        <w:pStyle w:val="5"/>
        <w:rPr>
          <w:color w:val="auto"/>
          <w:highlight w:val="none"/>
        </w:rPr>
      </w:pPr>
    </w:p>
    <w:p w14:paraId="53F1B0D2">
      <w:pPr>
        <w:rPr>
          <w:color w:val="auto"/>
          <w:highlight w:val="none"/>
        </w:rPr>
      </w:pPr>
    </w:p>
    <w:p w14:paraId="4EFAFACC">
      <w:pPr>
        <w:pStyle w:val="5"/>
        <w:rPr>
          <w:color w:val="auto"/>
          <w:highlight w:val="none"/>
        </w:rPr>
      </w:pPr>
    </w:p>
    <w:p w14:paraId="29D07E89">
      <w:pPr>
        <w:rPr>
          <w:color w:val="auto"/>
          <w:highlight w:val="none"/>
        </w:rPr>
      </w:pPr>
    </w:p>
    <w:p w14:paraId="1BFEC4E0">
      <w:pPr>
        <w:pStyle w:val="5"/>
        <w:rPr>
          <w:rFonts w:hint="eastAsia" w:ascii="宋体" w:hAnsi="宋体" w:eastAsia="宋体" w:cs="宋体"/>
          <w:color w:val="auto"/>
          <w:kern w:val="2"/>
          <w:sz w:val="24"/>
          <w:szCs w:val="24"/>
          <w:highlight w:val="none"/>
          <w:u w:val="none"/>
          <w:lang w:val="en-US" w:eastAsia="zh-CN" w:bidi="ar-SA"/>
        </w:rPr>
      </w:pPr>
    </w:p>
    <w:p w14:paraId="4336F0AF">
      <w:pPr>
        <w:rPr>
          <w:rFonts w:hint="eastAsia"/>
          <w:color w:val="auto"/>
          <w:highlight w:val="none"/>
          <w:lang w:val="en-US" w:eastAsia="zh-CN"/>
        </w:rPr>
      </w:pPr>
    </w:p>
    <w:p w14:paraId="3D8BA1B5">
      <w:pPr>
        <w:rPr>
          <w:rFonts w:hint="eastAsia"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br w:type="page"/>
      </w:r>
      <w:r>
        <w:rPr>
          <w:rFonts w:hint="eastAsia" w:ascii="宋体" w:hAnsi="宋体" w:cs="宋体"/>
          <w:color w:val="auto"/>
          <w:kern w:val="2"/>
          <w:sz w:val="24"/>
          <w:szCs w:val="24"/>
          <w:highlight w:val="none"/>
          <w:u w:val="non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（7）投标人具备履行合同所必需的设备及专业技术能力的承诺；</w:t>
      </w:r>
      <w:r>
        <w:rPr>
          <w:rFonts w:hint="eastAsia" w:ascii="宋体" w:hAnsi="宋体" w:eastAsia="宋体" w:cs="宋体"/>
          <w:snapToGrid w:val="0"/>
          <w:color w:val="auto"/>
          <w:kern w:val="0"/>
          <w:sz w:val="24"/>
          <w:szCs w:val="24"/>
          <w:highlight w:val="none"/>
          <w:lang w:val="en-US" w:eastAsia="zh-CN" w:bidi="ar-SA"/>
        </w:rPr>
        <w:br w:type="textWrapping"/>
      </w:r>
    </w:p>
    <w:p w14:paraId="6C747590">
      <w:pPr>
        <w:widowControl/>
        <w:spacing w:line="500" w:lineRule="exact"/>
        <w:jc w:val="center"/>
        <w:rPr>
          <w:color w:val="auto"/>
          <w:highlight w:val="none"/>
        </w:rPr>
      </w:pPr>
    </w:p>
    <w:p w14:paraId="43EC6469">
      <w:pPr>
        <w:widowControl/>
        <w:spacing w:line="500" w:lineRule="exact"/>
        <w:jc w:val="center"/>
        <w:rPr>
          <w:b/>
          <w:color w:val="auto"/>
          <w:kern w:val="1"/>
          <w:sz w:val="32"/>
          <w:szCs w:val="32"/>
          <w:highlight w:val="none"/>
        </w:rPr>
      </w:pPr>
      <w:r>
        <w:rPr>
          <w:rFonts w:hint="eastAsia" w:cs="Calibri Light"/>
          <w:b/>
          <w:bCs/>
          <w:color w:val="auto"/>
          <w:sz w:val="36"/>
          <w:szCs w:val="28"/>
          <w:highlight w:val="none"/>
        </w:rPr>
        <w:t>承诺书</w:t>
      </w:r>
    </w:p>
    <w:p w14:paraId="2FD491C2">
      <w:pPr>
        <w:suppressAutoHyphens/>
        <w:spacing w:line="360" w:lineRule="atLeast"/>
        <w:rPr>
          <w:b/>
          <w:color w:val="auto"/>
          <w:kern w:val="1"/>
          <w:sz w:val="32"/>
          <w:szCs w:val="32"/>
          <w:highlight w:val="none"/>
        </w:rPr>
      </w:pPr>
    </w:p>
    <w:p w14:paraId="5837FD6D">
      <w:pPr>
        <w:spacing w:line="360" w:lineRule="auto"/>
        <w:rPr>
          <w:rFonts w:hAnsi="宋体" w:cs="宋体"/>
          <w:color w:val="auto"/>
          <w:sz w:val="24"/>
          <w:szCs w:val="24"/>
          <w:highlight w:val="none"/>
        </w:rPr>
      </w:pPr>
      <w:r>
        <w:rPr>
          <w:rFonts w:hint="eastAsia" w:hAnsi="宋体" w:cs="宋体"/>
          <w:color w:val="auto"/>
          <w:sz w:val="24"/>
          <w:szCs w:val="24"/>
          <w:highlight w:val="none"/>
          <w:u w:val="single"/>
          <w:lang w:bidi="ar"/>
        </w:rPr>
        <w:t xml:space="preserve">（采购人名称）      </w:t>
      </w:r>
      <w:r>
        <w:rPr>
          <w:rFonts w:hint="eastAsia" w:hAnsi="宋体" w:cs="宋体"/>
          <w:color w:val="auto"/>
          <w:sz w:val="24"/>
          <w:szCs w:val="24"/>
          <w:highlight w:val="none"/>
          <w:lang w:bidi="ar"/>
        </w:rPr>
        <w:t>：</w:t>
      </w:r>
    </w:p>
    <w:p w14:paraId="1D5C0070">
      <w:pPr>
        <w:suppressAutoHyphens/>
        <w:spacing w:line="360" w:lineRule="auto"/>
        <w:ind w:firstLine="480" w:firstLineChars="200"/>
        <w:rPr>
          <w:color w:val="auto"/>
          <w:kern w:val="1"/>
          <w:sz w:val="24"/>
          <w:szCs w:val="24"/>
          <w:highlight w:val="none"/>
        </w:rPr>
      </w:pPr>
      <w:r>
        <w:rPr>
          <w:rFonts w:hint="eastAsia"/>
          <w:color w:val="auto"/>
          <w:kern w:val="1"/>
          <w:sz w:val="24"/>
          <w:szCs w:val="24"/>
          <w:highlight w:val="none"/>
        </w:rPr>
        <w:t>作为参加贵单位组织的</w:t>
      </w:r>
      <w:r>
        <w:rPr>
          <w:rFonts w:hint="eastAsia" w:ascii="宋体" w:hAnsi="宋体"/>
          <w:color w:val="auto"/>
          <w:sz w:val="24"/>
          <w:szCs w:val="24"/>
          <w:highlight w:val="none"/>
          <w:u w:val="single"/>
        </w:rPr>
        <w:t xml:space="preserve">     （</w:t>
      </w:r>
      <w:r>
        <w:rPr>
          <w:rFonts w:hint="eastAsia" w:hAnsi="宋体" w:cs="宋体"/>
          <w:color w:val="auto"/>
          <w:sz w:val="24"/>
          <w:szCs w:val="24"/>
          <w:highlight w:val="none"/>
          <w:u w:val="single"/>
          <w:lang w:val="en-US" w:eastAsia="zh-CN"/>
        </w:rPr>
        <w:t>项目</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color w:val="auto"/>
          <w:kern w:val="1"/>
          <w:sz w:val="24"/>
          <w:szCs w:val="24"/>
          <w:highlight w:val="none"/>
        </w:rPr>
        <w:t>供应商，本公司郑重承诺：具有履行本项目合同所必需的设备和专业技术能力，如有隐瞒实情，愿承担一切责任及后果。</w:t>
      </w:r>
    </w:p>
    <w:p w14:paraId="5792A51D">
      <w:pPr>
        <w:suppressAutoHyphens/>
        <w:spacing w:line="360" w:lineRule="auto"/>
        <w:ind w:firstLine="480" w:firstLineChars="200"/>
        <w:rPr>
          <w:color w:val="auto"/>
          <w:kern w:val="1"/>
          <w:sz w:val="24"/>
          <w:szCs w:val="24"/>
          <w:highlight w:val="none"/>
        </w:rPr>
      </w:pPr>
    </w:p>
    <w:p w14:paraId="76C364B3">
      <w:pPr>
        <w:suppressAutoHyphens/>
        <w:spacing w:line="360" w:lineRule="auto"/>
        <w:rPr>
          <w:color w:val="auto"/>
          <w:kern w:val="1"/>
          <w:sz w:val="24"/>
          <w:szCs w:val="24"/>
          <w:highlight w:val="none"/>
        </w:rPr>
      </w:pPr>
    </w:p>
    <w:p w14:paraId="1B58564F">
      <w:pPr>
        <w:suppressAutoHyphens/>
        <w:spacing w:line="360" w:lineRule="auto"/>
        <w:rPr>
          <w:color w:val="auto"/>
          <w:kern w:val="1"/>
          <w:sz w:val="24"/>
          <w:szCs w:val="24"/>
          <w:highlight w:val="none"/>
        </w:rPr>
      </w:pPr>
    </w:p>
    <w:p w14:paraId="733E403F">
      <w:pPr>
        <w:spacing w:line="360" w:lineRule="auto"/>
        <w:rPr>
          <w:rFonts w:hAnsi="宋体" w:cs="宋体"/>
          <w:color w:val="auto"/>
          <w:sz w:val="24"/>
          <w:szCs w:val="24"/>
          <w:highlight w:val="none"/>
        </w:rPr>
      </w:pPr>
      <w:r>
        <w:rPr>
          <w:rFonts w:hint="eastAsia" w:hAnsi="宋体" w:cs="宋体"/>
          <w:color w:val="auto"/>
          <w:sz w:val="24"/>
          <w:szCs w:val="24"/>
          <w:highlight w:val="none"/>
          <w:lang w:bidi="ar"/>
        </w:rPr>
        <w:t>供应商：（加盖公章）</w:t>
      </w:r>
    </w:p>
    <w:p w14:paraId="1ADBEC5F">
      <w:pPr>
        <w:widowControl/>
        <w:spacing w:after="120" w:line="360" w:lineRule="auto"/>
        <w:ind w:right="1470" w:rightChars="700"/>
        <w:rPr>
          <w:rFonts w:hAnsi="宋体" w:cs="宋体"/>
          <w:color w:val="auto"/>
          <w:sz w:val="24"/>
          <w:szCs w:val="24"/>
          <w:highlight w:val="none"/>
          <w:lang w:bidi="ar"/>
        </w:rPr>
      </w:pPr>
    </w:p>
    <w:p w14:paraId="46002445">
      <w:pPr>
        <w:spacing w:line="360" w:lineRule="auto"/>
        <w:rPr>
          <w:rFonts w:hAnsi="宋体" w:cs="宋体"/>
          <w:color w:val="auto"/>
          <w:sz w:val="24"/>
          <w:szCs w:val="24"/>
          <w:highlight w:val="none"/>
        </w:rPr>
      </w:pPr>
      <w:r>
        <w:rPr>
          <w:rFonts w:hint="eastAsia" w:hAnsi="宋体" w:cs="宋体"/>
          <w:color w:val="auto"/>
          <w:sz w:val="24"/>
          <w:szCs w:val="24"/>
          <w:highlight w:val="none"/>
          <w:lang w:bidi="ar"/>
        </w:rPr>
        <w:t>法定代表人或授权代表：（签字或盖章）</w:t>
      </w:r>
    </w:p>
    <w:p w14:paraId="00CEF82A">
      <w:pPr>
        <w:widowControl/>
        <w:spacing w:after="120" w:line="360" w:lineRule="auto"/>
        <w:ind w:left="1470" w:leftChars="700" w:right="1470" w:rightChars="700"/>
        <w:rPr>
          <w:rFonts w:hAnsi="宋体" w:cs="宋体"/>
          <w:color w:val="auto"/>
          <w:sz w:val="24"/>
          <w:szCs w:val="24"/>
          <w:highlight w:val="none"/>
          <w:lang w:bidi="ar"/>
        </w:rPr>
      </w:pPr>
    </w:p>
    <w:p w14:paraId="5546A892">
      <w:pPr>
        <w:spacing w:line="360" w:lineRule="auto"/>
        <w:rPr>
          <w:rFonts w:hAnsi="宋体" w:cs="宋体"/>
          <w:color w:val="auto"/>
          <w:sz w:val="24"/>
          <w:szCs w:val="24"/>
          <w:highlight w:val="none"/>
        </w:rPr>
      </w:pPr>
      <w:r>
        <w:rPr>
          <w:rFonts w:hint="eastAsia" w:hAnsi="宋体" w:cs="宋体"/>
          <w:color w:val="auto"/>
          <w:sz w:val="24"/>
          <w:szCs w:val="24"/>
          <w:highlight w:val="none"/>
          <w:lang w:bidi="ar"/>
        </w:rPr>
        <w:t xml:space="preserve">日 期： </w:t>
      </w:r>
      <w:r>
        <w:rPr>
          <w:rFonts w:hint="eastAsia" w:hAnsi="宋体" w:cs="宋体"/>
          <w:color w:val="auto"/>
          <w:spacing w:val="4"/>
          <w:sz w:val="24"/>
          <w:szCs w:val="24"/>
          <w:highlight w:val="none"/>
        </w:rPr>
        <w:t xml:space="preserve">     年    月    日</w:t>
      </w:r>
    </w:p>
    <w:p w14:paraId="296CAE4B">
      <w:pPr>
        <w:rPr>
          <w:rFonts w:hint="eastAsia" w:ascii="宋体" w:hAnsi="宋体" w:cs="宋体"/>
          <w:color w:val="auto"/>
          <w:kern w:val="2"/>
          <w:sz w:val="24"/>
          <w:szCs w:val="24"/>
          <w:highlight w:val="none"/>
          <w:u w:val="none"/>
          <w:lang w:val="en-US" w:eastAsia="zh-CN" w:bidi="ar-SA"/>
        </w:rPr>
      </w:pPr>
    </w:p>
    <w:p w14:paraId="2E915B3F">
      <w:pPr>
        <w:rPr>
          <w:rFonts w:hint="eastAsia" w:ascii="宋体" w:hAnsi="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br w:type="page"/>
      </w:r>
    </w:p>
    <w:p w14:paraId="5DF45E65">
      <w:pPr>
        <w:ind w:firstLine="240" w:firstLineChars="1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snapToGrid w:val="0"/>
          <w:color w:val="auto"/>
          <w:kern w:val="0"/>
          <w:sz w:val="24"/>
          <w:szCs w:val="24"/>
          <w:highlight w:val="none"/>
          <w:lang w:val="en-US" w:eastAsia="zh-CN" w:bidi="ar-SA"/>
        </w:rPr>
        <w:t>（8）参加本次投标前3年内，在经营活动中没有重大违法记录的书面声明；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宋体" w:hAnsi="宋体" w:eastAsia="宋体" w:cs="宋体"/>
          <w:color w:val="auto"/>
          <w:kern w:val="2"/>
          <w:sz w:val="24"/>
          <w:szCs w:val="24"/>
          <w:highlight w:val="none"/>
          <w:u w:val="none"/>
          <w:lang w:val="en-US" w:eastAsia="zh-CN" w:bidi="ar-SA"/>
        </w:rPr>
        <w:br w:type="textWrapping"/>
      </w:r>
    </w:p>
    <w:p w14:paraId="1861C2AF">
      <w:pPr>
        <w:pStyle w:val="5"/>
        <w:rPr>
          <w:rFonts w:hint="eastAsia" w:ascii="宋体" w:hAnsi="宋体" w:eastAsia="宋体" w:cs="宋体"/>
          <w:color w:val="auto"/>
          <w:kern w:val="2"/>
          <w:sz w:val="24"/>
          <w:szCs w:val="24"/>
          <w:highlight w:val="none"/>
          <w:u w:val="none"/>
          <w:lang w:val="en-US" w:eastAsia="zh-CN" w:bidi="ar-SA"/>
        </w:rPr>
      </w:pPr>
    </w:p>
    <w:p w14:paraId="4C3CDE4F">
      <w:pPr>
        <w:rPr>
          <w:rFonts w:hint="eastAsia" w:ascii="宋体" w:hAnsi="宋体" w:eastAsia="宋体" w:cs="宋体"/>
          <w:color w:val="auto"/>
          <w:kern w:val="2"/>
          <w:sz w:val="24"/>
          <w:szCs w:val="24"/>
          <w:highlight w:val="none"/>
          <w:u w:val="none"/>
          <w:lang w:val="en-US" w:eastAsia="zh-CN" w:bidi="ar-SA"/>
        </w:rPr>
      </w:pPr>
    </w:p>
    <w:p w14:paraId="4CD141E3">
      <w:pPr>
        <w:pStyle w:val="5"/>
        <w:rPr>
          <w:rFonts w:hint="eastAsia" w:ascii="宋体" w:hAnsi="宋体" w:eastAsia="宋体" w:cs="宋体"/>
          <w:color w:val="auto"/>
          <w:kern w:val="2"/>
          <w:sz w:val="24"/>
          <w:szCs w:val="24"/>
          <w:highlight w:val="none"/>
          <w:u w:val="none"/>
          <w:lang w:val="en-US" w:eastAsia="zh-CN" w:bidi="ar-SA"/>
        </w:rPr>
      </w:pPr>
    </w:p>
    <w:p w14:paraId="04C21408">
      <w:pPr>
        <w:rPr>
          <w:rFonts w:hint="eastAsia" w:ascii="宋体" w:hAnsi="宋体" w:eastAsia="宋体" w:cs="宋体"/>
          <w:color w:val="auto"/>
          <w:kern w:val="2"/>
          <w:sz w:val="24"/>
          <w:szCs w:val="24"/>
          <w:highlight w:val="none"/>
          <w:u w:val="none"/>
          <w:lang w:val="en-US" w:eastAsia="zh-CN" w:bidi="ar-SA"/>
        </w:rPr>
      </w:pPr>
    </w:p>
    <w:p w14:paraId="1BCEB41D">
      <w:pPr>
        <w:pStyle w:val="5"/>
        <w:rPr>
          <w:rFonts w:hint="eastAsia" w:ascii="宋体" w:hAnsi="宋体" w:eastAsia="宋体" w:cs="宋体"/>
          <w:color w:val="auto"/>
          <w:kern w:val="2"/>
          <w:sz w:val="24"/>
          <w:szCs w:val="24"/>
          <w:highlight w:val="none"/>
          <w:u w:val="none"/>
          <w:lang w:val="en-US" w:eastAsia="zh-CN" w:bidi="ar-SA"/>
        </w:rPr>
      </w:pPr>
    </w:p>
    <w:p w14:paraId="7C161436">
      <w:pPr>
        <w:rPr>
          <w:rFonts w:hint="eastAsia" w:ascii="宋体" w:hAnsi="宋体" w:eastAsia="宋体" w:cs="宋体"/>
          <w:color w:val="auto"/>
          <w:kern w:val="2"/>
          <w:sz w:val="24"/>
          <w:szCs w:val="24"/>
          <w:highlight w:val="none"/>
          <w:u w:val="none"/>
          <w:lang w:val="en-US" w:eastAsia="zh-CN" w:bidi="ar-SA"/>
        </w:rPr>
      </w:pPr>
    </w:p>
    <w:p w14:paraId="52A14C15">
      <w:pPr>
        <w:pStyle w:val="5"/>
        <w:rPr>
          <w:rFonts w:hint="eastAsia" w:ascii="宋体" w:hAnsi="宋体" w:eastAsia="宋体" w:cs="宋体"/>
          <w:color w:val="auto"/>
          <w:kern w:val="2"/>
          <w:sz w:val="24"/>
          <w:szCs w:val="24"/>
          <w:highlight w:val="none"/>
          <w:u w:val="none"/>
          <w:lang w:val="en-US" w:eastAsia="zh-CN" w:bidi="ar-SA"/>
        </w:rPr>
      </w:pPr>
    </w:p>
    <w:p w14:paraId="001A6746">
      <w:pPr>
        <w:rPr>
          <w:rFonts w:hint="eastAsia" w:ascii="宋体" w:hAnsi="宋体" w:eastAsia="宋体" w:cs="宋体"/>
          <w:color w:val="auto"/>
          <w:kern w:val="2"/>
          <w:sz w:val="24"/>
          <w:szCs w:val="24"/>
          <w:highlight w:val="none"/>
          <w:u w:val="none"/>
          <w:lang w:val="en-US" w:eastAsia="zh-CN" w:bidi="ar-SA"/>
        </w:rPr>
      </w:pPr>
    </w:p>
    <w:p w14:paraId="079F2599">
      <w:pPr>
        <w:pStyle w:val="5"/>
        <w:rPr>
          <w:rFonts w:hint="eastAsia" w:ascii="宋体" w:hAnsi="宋体" w:eastAsia="宋体" w:cs="宋体"/>
          <w:color w:val="auto"/>
          <w:kern w:val="2"/>
          <w:sz w:val="24"/>
          <w:szCs w:val="24"/>
          <w:highlight w:val="none"/>
          <w:u w:val="none"/>
          <w:lang w:val="en-US" w:eastAsia="zh-CN" w:bidi="ar-SA"/>
        </w:rPr>
      </w:pPr>
    </w:p>
    <w:p w14:paraId="2483437D">
      <w:pPr>
        <w:rPr>
          <w:rFonts w:hint="eastAsia" w:ascii="宋体" w:hAnsi="宋体" w:eastAsia="宋体" w:cs="宋体"/>
          <w:color w:val="auto"/>
          <w:kern w:val="2"/>
          <w:sz w:val="24"/>
          <w:szCs w:val="24"/>
          <w:highlight w:val="none"/>
          <w:u w:val="none"/>
          <w:lang w:val="en-US" w:eastAsia="zh-CN" w:bidi="ar-SA"/>
        </w:rPr>
      </w:pPr>
    </w:p>
    <w:p w14:paraId="2ECD243E">
      <w:pPr>
        <w:pStyle w:val="5"/>
        <w:rPr>
          <w:rFonts w:hint="eastAsia" w:ascii="宋体" w:hAnsi="宋体" w:eastAsia="宋体" w:cs="宋体"/>
          <w:color w:val="auto"/>
          <w:kern w:val="2"/>
          <w:sz w:val="24"/>
          <w:szCs w:val="24"/>
          <w:highlight w:val="none"/>
          <w:u w:val="none"/>
          <w:lang w:val="en-US" w:eastAsia="zh-CN" w:bidi="ar-SA"/>
        </w:rPr>
      </w:pPr>
    </w:p>
    <w:p w14:paraId="5B18F7D1">
      <w:pPr>
        <w:rPr>
          <w:rFonts w:hint="eastAsia" w:ascii="宋体" w:hAnsi="宋体" w:eastAsia="宋体" w:cs="宋体"/>
          <w:color w:val="auto"/>
          <w:kern w:val="2"/>
          <w:sz w:val="24"/>
          <w:szCs w:val="24"/>
          <w:highlight w:val="none"/>
          <w:u w:val="none"/>
          <w:lang w:val="en-US" w:eastAsia="zh-CN" w:bidi="ar-SA"/>
        </w:rPr>
      </w:pPr>
    </w:p>
    <w:p w14:paraId="7266FEBC">
      <w:pPr>
        <w:pStyle w:val="5"/>
        <w:rPr>
          <w:rFonts w:hint="eastAsia" w:ascii="宋体" w:hAnsi="宋体" w:eastAsia="宋体" w:cs="宋体"/>
          <w:color w:val="auto"/>
          <w:kern w:val="2"/>
          <w:sz w:val="24"/>
          <w:szCs w:val="24"/>
          <w:highlight w:val="none"/>
          <w:u w:val="none"/>
          <w:lang w:val="en-US" w:eastAsia="zh-CN" w:bidi="ar-SA"/>
        </w:rPr>
      </w:pPr>
    </w:p>
    <w:p w14:paraId="3276B01A">
      <w:pPr>
        <w:rPr>
          <w:rFonts w:hint="eastAsia" w:ascii="宋体" w:hAnsi="宋体" w:eastAsia="宋体" w:cs="宋体"/>
          <w:color w:val="auto"/>
          <w:kern w:val="2"/>
          <w:sz w:val="24"/>
          <w:szCs w:val="24"/>
          <w:highlight w:val="none"/>
          <w:u w:val="none"/>
          <w:lang w:val="en-US" w:eastAsia="zh-CN" w:bidi="ar-SA"/>
        </w:rPr>
      </w:pPr>
    </w:p>
    <w:p w14:paraId="0DAF5575">
      <w:pPr>
        <w:pStyle w:val="5"/>
        <w:rPr>
          <w:rFonts w:hint="eastAsia" w:ascii="宋体" w:hAnsi="宋体" w:eastAsia="宋体" w:cs="宋体"/>
          <w:color w:val="auto"/>
          <w:kern w:val="2"/>
          <w:sz w:val="24"/>
          <w:szCs w:val="24"/>
          <w:highlight w:val="none"/>
          <w:u w:val="none"/>
          <w:lang w:val="en-US" w:eastAsia="zh-CN" w:bidi="ar-SA"/>
        </w:rPr>
      </w:pPr>
    </w:p>
    <w:p w14:paraId="73319CC1">
      <w:pPr>
        <w:rPr>
          <w:rFonts w:hint="eastAsia" w:ascii="宋体" w:hAnsi="宋体" w:eastAsia="宋体" w:cs="宋体"/>
          <w:color w:val="auto"/>
          <w:kern w:val="2"/>
          <w:sz w:val="24"/>
          <w:szCs w:val="24"/>
          <w:highlight w:val="none"/>
          <w:u w:val="none"/>
          <w:lang w:val="en-US" w:eastAsia="zh-CN" w:bidi="ar-SA"/>
        </w:rPr>
      </w:pPr>
    </w:p>
    <w:p w14:paraId="674593DE">
      <w:pPr>
        <w:pStyle w:val="5"/>
        <w:rPr>
          <w:rFonts w:hint="eastAsia" w:ascii="宋体" w:hAnsi="宋体" w:eastAsia="宋体" w:cs="宋体"/>
          <w:color w:val="auto"/>
          <w:kern w:val="2"/>
          <w:sz w:val="24"/>
          <w:szCs w:val="24"/>
          <w:highlight w:val="none"/>
          <w:u w:val="none"/>
          <w:lang w:val="en-US" w:eastAsia="zh-CN" w:bidi="ar-SA"/>
        </w:rPr>
      </w:pPr>
    </w:p>
    <w:p w14:paraId="2D02A4ED">
      <w:pPr>
        <w:rPr>
          <w:rFonts w:hint="eastAsia" w:ascii="宋体" w:hAnsi="宋体" w:eastAsia="宋体" w:cs="宋体"/>
          <w:color w:val="auto"/>
          <w:kern w:val="2"/>
          <w:sz w:val="24"/>
          <w:szCs w:val="24"/>
          <w:highlight w:val="none"/>
          <w:u w:val="none"/>
          <w:lang w:val="en-US" w:eastAsia="zh-CN" w:bidi="ar-SA"/>
        </w:rPr>
      </w:pPr>
    </w:p>
    <w:p w14:paraId="09FE89BB">
      <w:pP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br w:type="page"/>
      </w:r>
    </w:p>
    <w:p w14:paraId="0A3877AE">
      <w:pPr>
        <w:pStyle w:val="5"/>
        <w:keepNext/>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（9）法定代表人（负责人）为同一人或者存在直接控股、管理关系的不同投标人，不得同时参加本采购项目投标；</w:t>
      </w:r>
    </w:p>
    <w:p w14:paraId="306DAE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1" w:firstLineChars="100"/>
        <w:jc w:val="center"/>
        <w:textAlignment w:val="auto"/>
        <w:outlineLvl w:val="9"/>
        <w:rPr>
          <w:rFonts w:hint="eastAsia" w:ascii="Times New Roman" w:hAnsi="宋体" w:eastAsia="宋体" w:cs="宋体"/>
          <w:b/>
          <w:bCs/>
          <w:color w:val="auto"/>
          <w:kern w:val="2"/>
          <w:sz w:val="32"/>
          <w:szCs w:val="32"/>
          <w:highlight w:val="none"/>
          <w:lang w:val="zh-CN" w:eastAsia="zh-CN" w:bidi="ar-SA"/>
        </w:rPr>
      </w:pPr>
      <w:r>
        <w:rPr>
          <w:rFonts w:hint="eastAsia" w:ascii="Times New Roman" w:hAnsi="宋体" w:eastAsia="宋体" w:cs="宋体"/>
          <w:b/>
          <w:bCs/>
          <w:color w:val="auto"/>
          <w:kern w:val="2"/>
          <w:sz w:val="32"/>
          <w:szCs w:val="32"/>
          <w:highlight w:val="none"/>
          <w:lang w:val="zh-CN" w:eastAsia="zh-CN" w:bidi="ar-SA"/>
        </w:rPr>
        <w:t>企业关系关联承诺书</w:t>
      </w:r>
    </w:p>
    <w:p w14:paraId="41D98C2B">
      <w:pPr>
        <w:pStyle w:val="10"/>
        <w:rPr>
          <w:rFonts w:hint="eastAsia" w:ascii="宋体" w:hAnsi="宋体" w:eastAsia="宋体" w:cs="宋体"/>
          <w:color w:val="auto"/>
          <w:highlight w:val="none"/>
          <w:lang w:val="zh-CN" w:eastAsia="zh-CN"/>
        </w:rPr>
      </w:pPr>
    </w:p>
    <w:p w14:paraId="408F6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1、供应商在本项目磋商中，不存在与其它供应商负责人为同一人，有控股、管理等关联关系承诺：</w:t>
      </w:r>
    </w:p>
    <w:p w14:paraId="367AD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1.1管理关系说明：</w:t>
      </w:r>
    </w:p>
    <w:p w14:paraId="0107F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我单位管理的具有独立法人的下属单位有</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64A14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我单位的上级管理单位有</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71F97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1.2股权关系说明：</w:t>
      </w:r>
    </w:p>
    <w:p w14:paraId="44E55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我单位控股的单位有</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2C3928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我单位被</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单位控股。</w:t>
      </w:r>
    </w:p>
    <w:p w14:paraId="4FB36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2.3、单位负责人：</w:t>
      </w:r>
      <w:r>
        <w:rPr>
          <w:rFonts w:hint="eastAsia" w:ascii="宋体" w:hAnsi="宋体" w:eastAsia="宋体" w:cs="宋体"/>
          <w:b w:val="0"/>
          <w:bCs w:val="0"/>
          <w:color w:val="auto"/>
          <w:sz w:val="24"/>
          <w:szCs w:val="24"/>
          <w:highlight w:val="none"/>
          <w:u w:val="single"/>
          <w:lang w:val="en-US" w:eastAsia="zh-CN"/>
        </w:rPr>
        <w:t xml:space="preserve">                </w:t>
      </w:r>
    </w:p>
    <w:p w14:paraId="17243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3、其他与本项目有关的利害关系说明：</w:t>
      </w:r>
      <w:r>
        <w:rPr>
          <w:rFonts w:hint="eastAsia" w:ascii="宋体" w:hAnsi="宋体" w:eastAsia="宋体" w:cs="宋体"/>
          <w:b w:val="0"/>
          <w:bCs w:val="0"/>
          <w:color w:val="auto"/>
          <w:sz w:val="24"/>
          <w:szCs w:val="24"/>
          <w:highlight w:val="none"/>
          <w:u w:val="single"/>
          <w:lang w:val="en-US" w:eastAsia="zh-CN"/>
        </w:rPr>
        <w:t xml:space="preserve">                               </w:t>
      </w:r>
    </w:p>
    <w:p w14:paraId="0E4CD5D4">
      <w:pPr>
        <w:pStyle w:val="10"/>
        <w:spacing w:line="360" w:lineRule="auto"/>
        <w:rPr>
          <w:rFonts w:hint="eastAsia" w:ascii="宋体" w:hAnsi="宋体" w:eastAsia="宋体" w:cs="宋体"/>
          <w:color w:val="auto"/>
          <w:highlight w:val="none"/>
          <w:lang w:val="en-US" w:eastAsia="zh-CN"/>
        </w:rPr>
      </w:pPr>
    </w:p>
    <w:p w14:paraId="48803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我单位承诺以上说明真实有效，无虚假内容或隐瞒。</w:t>
      </w:r>
    </w:p>
    <w:p w14:paraId="5348F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p>
    <w:p w14:paraId="1CDFF8E5">
      <w:pPr>
        <w:pStyle w:val="10"/>
        <w:spacing w:line="360" w:lineRule="auto"/>
        <w:rPr>
          <w:rFonts w:hint="eastAsia" w:ascii="宋体" w:hAnsi="宋体" w:eastAsia="宋体" w:cs="宋体"/>
          <w:color w:val="auto"/>
          <w:highlight w:val="none"/>
          <w:lang w:val="en-US" w:eastAsia="zh-CN"/>
        </w:rPr>
      </w:pPr>
    </w:p>
    <w:p w14:paraId="12E4D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0" w:firstLineChars="10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供应商名称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（盖单位公章）</w:t>
      </w:r>
    </w:p>
    <w:p w14:paraId="2CC35C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p>
    <w:p w14:paraId="08605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0" w:firstLineChars="10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法定代表人或被授权人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（签字或盖章）</w:t>
      </w:r>
    </w:p>
    <w:p w14:paraId="57B788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4389F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0" w:firstLineChars="10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日      期：      年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月    日</w:t>
      </w:r>
    </w:p>
    <w:p w14:paraId="213ACDC7">
      <w:pPr>
        <w:rPr>
          <w:rFonts w:hint="eastAsia" w:ascii="宋体" w:hAnsi="宋体" w:eastAsia="宋体" w:cs="宋体"/>
          <w:color w:val="auto"/>
          <w:kern w:val="2"/>
          <w:sz w:val="24"/>
          <w:szCs w:val="24"/>
          <w:highlight w:val="none"/>
          <w:u w:val="none"/>
          <w:lang w:val="en-US" w:eastAsia="zh-CN" w:bidi="ar-SA"/>
        </w:rPr>
      </w:pPr>
    </w:p>
    <w:p w14:paraId="7C0FD323">
      <w:pPr>
        <w:pStyle w:val="19"/>
        <w:rPr>
          <w:rFonts w:hint="eastAsia" w:ascii="宋体" w:hAnsi="宋体" w:eastAsia="宋体" w:cs="宋体"/>
          <w:color w:val="auto"/>
          <w:kern w:val="2"/>
          <w:sz w:val="24"/>
          <w:szCs w:val="24"/>
          <w:highlight w:val="none"/>
          <w:u w:val="none"/>
          <w:lang w:val="en-US" w:eastAsia="zh-CN" w:bidi="ar-SA"/>
        </w:rPr>
      </w:pPr>
    </w:p>
    <w:p w14:paraId="63D863B1">
      <w:pPr>
        <w:rPr>
          <w:rFonts w:hint="eastAsia" w:ascii="宋体" w:hAnsi="宋体" w:eastAsia="宋体" w:cs="宋体"/>
          <w:color w:val="auto"/>
          <w:kern w:val="2"/>
          <w:sz w:val="24"/>
          <w:szCs w:val="24"/>
          <w:highlight w:val="none"/>
          <w:u w:val="none"/>
          <w:lang w:val="en-US" w:eastAsia="zh-CN" w:bidi="ar-SA"/>
        </w:rPr>
      </w:pPr>
    </w:p>
    <w:p w14:paraId="7E6AAF54">
      <w:pPr>
        <w:pStyle w:val="19"/>
        <w:rPr>
          <w:rFonts w:hint="eastAsia" w:ascii="宋体" w:hAnsi="宋体" w:eastAsia="宋体" w:cs="宋体"/>
          <w:color w:val="auto"/>
          <w:kern w:val="2"/>
          <w:sz w:val="24"/>
          <w:szCs w:val="24"/>
          <w:highlight w:val="none"/>
          <w:u w:val="none"/>
          <w:lang w:val="en-US" w:eastAsia="zh-CN" w:bidi="ar-SA"/>
        </w:rPr>
      </w:pPr>
    </w:p>
    <w:p w14:paraId="5AA3EFDB">
      <w:pPr>
        <w:rPr>
          <w:rFonts w:hint="eastAsia" w:ascii="宋体" w:hAnsi="宋体" w:eastAsia="宋体" w:cs="宋体"/>
          <w:color w:val="auto"/>
          <w:kern w:val="2"/>
          <w:sz w:val="24"/>
          <w:szCs w:val="24"/>
          <w:highlight w:val="none"/>
          <w:u w:val="none"/>
          <w:lang w:val="en-US" w:eastAsia="zh-CN" w:bidi="ar-SA"/>
        </w:rPr>
      </w:pPr>
    </w:p>
    <w:p w14:paraId="02E74AB7">
      <w:pPr>
        <w:pStyle w:val="19"/>
        <w:rPr>
          <w:rFonts w:hint="eastAsia" w:ascii="宋体" w:hAnsi="宋体" w:eastAsia="宋体" w:cs="宋体"/>
          <w:color w:val="auto"/>
          <w:kern w:val="2"/>
          <w:sz w:val="24"/>
          <w:szCs w:val="24"/>
          <w:highlight w:val="none"/>
          <w:u w:val="none"/>
          <w:lang w:val="en-US" w:eastAsia="zh-CN" w:bidi="ar-SA"/>
        </w:rPr>
      </w:pPr>
    </w:p>
    <w:p w14:paraId="66412CB5">
      <w:pPr>
        <w:rPr>
          <w:rFonts w:hint="eastAsia" w:ascii="宋体" w:hAnsi="宋体" w:eastAsia="宋体" w:cs="宋体"/>
          <w:color w:val="auto"/>
          <w:kern w:val="2"/>
          <w:sz w:val="24"/>
          <w:szCs w:val="24"/>
          <w:highlight w:val="none"/>
          <w:u w:val="none"/>
          <w:lang w:val="en-US" w:eastAsia="zh-CN" w:bidi="ar-SA"/>
        </w:rPr>
      </w:pPr>
    </w:p>
    <w:p w14:paraId="6D937C5A">
      <w:pPr>
        <w:pStyle w:val="19"/>
        <w:rPr>
          <w:rFonts w:hint="eastAsia" w:ascii="宋体" w:hAnsi="宋体" w:eastAsia="宋体" w:cs="宋体"/>
          <w:color w:val="auto"/>
          <w:kern w:val="2"/>
          <w:sz w:val="24"/>
          <w:szCs w:val="24"/>
          <w:highlight w:val="none"/>
          <w:u w:val="none"/>
          <w:lang w:val="en-US" w:eastAsia="zh-CN" w:bidi="ar-SA"/>
        </w:rPr>
      </w:pPr>
    </w:p>
    <w:p w14:paraId="6AC84949">
      <w:pPr>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ascii="宋体" w:hAnsi="宋体" w:eastAsia="宋体" w:cs="宋体"/>
          <w:color w:val="auto"/>
          <w:sz w:val="24"/>
          <w:szCs w:val="24"/>
          <w:highlight w:val="none"/>
          <w:lang w:val="en-US" w:eastAsia="zh-CN"/>
        </w:rPr>
        <w:br w:type="textWrapping"/>
      </w:r>
    </w:p>
    <w:p w14:paraId="0BFE975F">
      <w:pPr>
        <w:pStyle w:val="5"/>
        <w:rPr>
          <w:rFonts w:hint="eastAsia" w:ascii="微软雅黑" w:hAnsi="微软雅黑" w:eastAsia="微软雅黑" w:cs="微软雅黑"/>
          <w:i w:val="0"/>
          <w:iCs w:val="0"/>
          <w:caps w:val="0"/>
          <w:color w:val="auto"/>
          <w:spacing w:val="0"/>
          <w:sz w:val="21"/>
          <w:szCs w:val="21"/>
          <w:highlight w:val="none"/>
          <w:shd w:val="clear" w:color="auto" w:fill="FFFFFF"/>
        </w:rPr>
      </w:pPr>
    </w:p>
    <w:p w14:paraId="45E7BAB4">
      <w:pPr>
        <w:rPr>
          <w:color w:val="auto"/>
          <w:highlight w:val="none"/>
        </w:rPr>
      </w:pPr>
    </w:p>
    <w:p w14:paraId="2554DFBE">
      <w:pPr>
        <w:pStyle w:val="5"/>
        <w:rPr>
          <w:color w:val="auto"/>
          <w:highlight w:val="none"/>
        </w:rPr>
      </w:pPr>
    </w:p>
    <w:p w14:paraId="48D91D1A">
      <w:pPr>
        <w:rPr>
          <w:color w:val="auto"/>
          <w:highlight w:val="none"/>
        </w:rPr>
      </w:pPr>
    </w:p>
    <w:p w14:paraId="0C36A28B">
      <w:pPr>
        <w:pStyle w:val="5"/>
        <w:rPr>
          <w:rFonts w:hint="eastAsia" w:eastAsia="宋体"/>
          <w:color w:val="auto"/>
          <w:highlight w:val="none"/>
          <w:lang w:val="en-US" w:eastAsia="zh-CN"/>
        </w:rPr>
      </w:pPr>
    </w:p>
    <w:p w14:paraId="6C29259B">
      <w:pPr>
        <w:rPr>
          <w:color w:val="auto"/>
          <w:highlight w:val="none"/>
        </w:rPr>
      </w:pPr>
    </w:p>
    <w:p w14:paraId="74E365AB">
      <w:pPr>
        <w:pStyle w:val="5"/>
        <w:rPr>
          <w:color w:val="auto"/>
          <w:highlight w:val="none"/>
        </w:rPr>
      </w:pPr>
    </w:p>
    <w:p w14:paraId="35C8892F">
      <w:pPr>
        <w:rPr>
          <w:color w:val="auto"/>
          <w:highlight w:val="none"/>
        </w:rPr>
      </w:pPr>
    </w:p>
    <w:p w14:paraId="27C8046D">
      <w:pPr>
        <w:pStyle w:val="5"/>
        <w:rPr>
          <w:color w:val="auto"/>
          <w:highlight w:val="none"/>
        </w:rPr>
      </w:pPr>
    </w:p>
    <w:p w14:paraId="769F1E4D">
      <w:pPr>
        <w:rPr>
          <w:color w:val="auto"/>
          <w:highlight w:val="none"/>
        </w:rPr>
      </w:pPr>
    </w:p>
    <w:p w14:paraId="03BD269E">
      <w:pPr>
        <w:pStyle w:val="5"/>
        <w:rPr>
          <w:color w:val="auto"/>
          <w:highlight w:val="none"/>
        </w:rPr>
      </w:pPr>
    </w:p>
    <w:p w14:paraId="6D833E69">
      <w:pPr>
        <w:rPr>
          <w:color w:val="auto"/>
          <w:highlight w:val="none"/>
        </w:rPr>
      </w:pPr>
    </w:p>
    <w:p w14:paraId="406D485E">
      <w:pPr>
        <w:pStyle w:val="5"/>
        <w:rPr>
          <w:color w:val="auto"/>
          <w:highlight w:val="none"/>
        </w:rPr>
      </w:pPr>
    </w:p>
    <w:p w14:paraId="2B7BF860">
      <w:pPr>
        <w:rPr>
          <w:color w:val="auto"/>
          <w:highlight w:val="none"/>
        </w:rPr>
      </w:pPr>
    </w:p>
    <w:p w14:paraId="16591016">
      <w:pPr>
        <w:pStyle w:val="5"/>
        <w:rPr>
          <w:color w:val="auto"/>
          <w:highlight w:val="none"/>
        </w:rPr>
      </w:pPr>
    </w:p>
    <w:p w14:paraId="1D7C487A">
      <w:pPr>
        <w:rPr>
          <w:color w:val="auto"/>
          <w:highlight w:val="none"/>
        </w:rPr>
      </w:pPr>
    </w:p>
    <w:p w14:paraId="77E2D231">
      <w:pPr>
        <w:pStyle w:val="5"/>
        <w:rPr>
          <w:color w:val="auto"/>
          <w:highlight w:val="none"/>
        </w:rPr>
      </w:pPr>
    </w:p>
    <w:p w14:paraId="1B483F25">
      <w:pPr>
        <w:rPr>
          <w:color w:val="auto"/>
          <w:highlight w:val="none"/>
        </w:rPr>
      </w:pPr>
    </w:p>
    <w:p w14:paraId="48B0DA3F">
      <w:pPr>
        <w:pStyle w:val="5"/>
        <w:rPr>
          <w:color w:val="auto"/>
          <w:highlight w:val="none"/>
        </w:rPr>
      </w:pPr>
    </w:p>
    <w:p w14:paraId="3AFA2561">
      <w:pPr>
        <w:rPr>
          <w:color w:val="auto"/>
          <w:highlight w:val="none"/>
        </w:rPr>
      </w:pPr>
    </w:p>
    <w:p w14:paraId="0F3072E0">
      <w:pPr>
        <w:pStyle w:val="5"/>
        <w:rPr>
          <w:color w:val="auto"/>
          <w:highlight w:val="none"/>
        </w:rPr>
      </w:pPr>
    </w:p>
    <w:p w14:paraId="1E75927E">
      <w:pPr>
        <w:rPr>
          <w:color w:val="auto"/>
          <w:highlight w:val="none"/>
        </w:rPr>
      </w:pPr>
    </w:p>
    <w:p w14:paraId="2BF562BB">
      <w:pPr>
        <w:pStyle w:val="5"/>
        <w:rPr>
          <w:color w:val="auto"/>
          <w:highlight w:val="none"/>
        </w:rPr>
      </w:pPr>
    </w:p>
    <w:p w14:paraId="04B5710E">
      <w:pPr>
        <w:rPr>
          <w:color w:val="auto"/>
          <w:highlight w:val="none"/>
        </w:rPr>
      </w:pPr>
    </w:p>
    <w:p w14:paraId="5AD0ABDC">
      <w:pPr>
        <w:pStyle w:val="14"/>
        <w:rPr>
          <w:color w:val="auto"/>
          <w:highlight w:val="none"/>
        </w:rPr>
      </w:pPr>
    </w:p>
    <w:p w14:paraId="51335C81">
      <w:pP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br w:type="page"/>
      </w:r>
    </w:p>
    <w:p w14:paraId="20ABD08C">
      <w:pPr>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（11）本项目非专门面向中小企业。</w:t>
      </w:r>
    </w:p>
    <w:p w14:paraId="64A2C120">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p>
    <w:p w14:paraId="75E9EA0B">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p>
    <w:p w14:paraId="74F6A099">
      <w:pPr>
        <w:pStyle w:val="19"/>
        <w:rPr>
          <w:rFonts w:hint="eastAsia" w:ascii="宋体" w:hAnsi="宋体" w:eastAsia="宋体" w:cs="宋体"/>
          <w:b/>
          <w:bCs/>
          <w:color w:val="auto"/>
          <w:sz w:val="32"/>
          <w:szCs w:val="32"/>
          <w:highlight w:val="none"/>
          <w:lang w:val="en-US" w:eastAsia="zh-CN" w:bidi="ar-SA"/>
        </w:rPr>
      </w:pPr>
    </w:p>
    <w:p w14:paraId="598CF4E7">
      <w:pPr>
        <w:rPr>
          <w:rFonts w:hint="eastAsia" w:ascii="宋体" w:hAnsi="宋体" w:eastAsia="宋体" w:cs="宋体"/>
          <w:b/>
          <w:bCs/>
          <w:color w:val="auto"/>
          <w:sz w:val="32"/>
          <w:szCs w:val="32"/>
          <w:highlight w:val="none"/>
          <w:lang w:val="en-US" w:eastAsia="zh-CN" w:bidi="ar-SA"/>
        </w:rPr>
      </w:pPr>
    </w:p>
    <w:p w14:paraId="19463CBF">
      <w:pPr>
        <w:pStyle w:val="19"/>
        <w:rPr>
          <w:rFonts w:hint="eastAsia" w:ascii="宋体" w:hAnsi="宋体" w:eastAsia="宋体" w:cs="宋体"/>
          <w:b/>
          <w:bCs/>
          <w:color w:val="auto"/>
          <w:sz w:val="32"/>
          <w:szCs w:val="32"/>
          <w:highlight w:val="none"/>
          <w:lang w:val="en-US" w:eastAsia="zh-CN" w:bidi="ar-SA"/>
        </w:rPr>
      </w:pPr>
    </w:p>
    <w:p w14:paraId="4A4A1F00">
      <w:pPr>
        <w:rPr>
          <w:rFonts w:hint="eastAsia" w:ascii="宋体" w:hAnsi="宋体" w:eastAsia="宋体" w:cs="宋体"/>
          <w:b/>
          <w:bCs/>
          <w:color w:val="auto"/>
          <w:sz w:val="32"/>
          <w:szCs w:val="32"/>
          <w:highlight w:val="none"/>
          <w:lang w:val="en-US" w:eastAsia="zh-CN" w:bidi="ar-SA"/>
        </w:rPr>
      </w:pPr>
    </w:p>
    <w:p w14:paraId="19F60279">
      <w:pPr>
        <w:pStyle w:val="19"/>
        <w:rPr>
          <w:rFonts w:hint="eastAsia" w:ascii="宋体" w:hAnsi="宋体" w:eastAsia="宋体" w:cs="宋体"/>
          <w:b/>
          <w:bCs/>
          <w:color w:val="auto"/>
          <w:sz w:val="32"/>
          <w:szCs w:val="32"/>
          <w:highlight w:val="none"/>
          <w:lang w:val="en-US" w:eastAsia="zh-CN" w:bidi="ar-SA"/>
        </w:rPr>
      </w:pPr>
    </w:p>
    <w:p w14:paraId="355B96E7">
      <w:pPr>
        <w:rPr>
          <w:rFonts w:hint="eastAsia" w:ascii="宋体" w:hAnsi="宋体" w:eastAsia="宋体" w:cs="宋体"/>
          <w:b/>
          <w:bCs/>
          <w:color w:val="auto"/>
          <w:sz w:val="32"/>
          <w:szCs w:val="32"/>
          <w:highlight w:val="none"/>
          <w:lang w:val="en-US" w:eastAsia="zh-CN" w:bidi="ar-SA"/>
        </w:rPr>
      </w:pPr>
    </w:p>
    <w:p w14:paraId="291676F9">
      <w:pPr>
        <w:pStyle w:val="19"/>
        <w:rPr>
          <w:rFonts w:hint="eastAsia" w:ascii="宋体" w:hAnsi="宋体" w:eastAsia="宋体" w:cs="宋体"/>
          <w:b/>
          <w:bCs/>
          <w:color w:val="auto"/>
          <w:sz w:val="32"/>
          <w:szCs w:val="32"/>
          <w:highlight w:val="none"/>
          <w:lang w:val="en-US" w:eastAsia="zh-CN" w:bidi="ar-SA"/>
        </w:rPr>
      </w:pPr>
    </w:p>
    <w:p w14:paraId="1F3EF0D4">
      <w:pPr>
        <w:rPr>
          <w:rFonts w:hint="eastAsia" w:ascii="宋体" w:hAnsi="宋体" w:eastAsia="宋体" w:cs="宋体"/>
          <w:b/>
          <w:bCs/>
          <w:color w:val="auto"/>
          <w:sz w:val="32"/>
          <w:szCs w:val="32"/>
          <w:highlight w:val="none"/>
          <w:lang w:val="en-US" w:eastAsia="zh-CN" w:bidi="ar-SA"/>
        </w:rPr>
      </w:pPr>
    </w:p>
    <w:p w14:paraId="5E6495C3">
      <w:pPr>
        <w:pStyle w:val="19"/>
        <w:rPr>
          <w:rFonts w:hint="eastAsia" w:ascii="宋体" w:hAnsi="宋体" w:eastAsia="宋体" w:cs="宋体"/>
          <w:b/>
          <w:bCs/>
          <w:color w:val="auto"/>
          <w:sz w:val="32"/>
          <w:szCs w:val="32"/>
          <w:highlight w:val="none"/>
          <w:lang w:val="en-US" w:eastAsia="zh-CN" w:bidi="ar-SA"/>
        </w:rPr>
      </w:pPr>
    </w:p>
    <w:p w14:paraId="214F1F04">
      <w:pPr>
        <w:rPr>
          <w:rFonts w:hint="eastAsia" w:ascii="宋体" w:hAnsi="宋体" w:eastAsia="宋体" w:cs="宋体"/>
          <w:b/>
          <w:bCs/>
          <w:color w:val="auto"/>
          <w:sz w:val="32"/>
          <w:szCs w:val="32"/>
          <w:highlight w:val="none"/>
          <w:lang w:val="en-US" w:eastAsia="zh-CN" w:bidi="ar-SA"/>
        </w:rPr>
      </w:pPr>
    </w:p>
    <w:p w14:paraId="1F4FC590">
      <w:pPr>
        <w:pStyle w:val="19"/>
        <w:rPr>
          <w:rFonts w:hint="eastAsia" w:ascii="宋体" w:hAnsi="宋体" w:eastAsia="宋体" w:cs="宋体"/>
          <w:b/>
          <w:bCs/>
          <w:color w:val="auto"/>
          <w:sz w:val="32"/>
          <w:szCs w:val="32"/>
          <w:highlight w:val="none"/>
          <w:lang w:val="en-US" w:eastAsia="zh-CN" w:bidi="ar-SA"/>
        </w:rPr>
      </w:pPr>
    </w:p>
    <w:p w14:paraId="74A0C383">
      <w:pPr>
        <w:rPr>
          <w:rFonts w:hint="eastAsia" w:ascii="宋体" w:hAnsi="宋体" w:eastAsia="宋体" w:cs="宋体"/>
          <w:b/>
          <w:bCs/>
          <w:color w:val="auto"/>
          <w:sz w:val="32"/>
          <w:szCs w:val="32"/>
          <w:highlight w:val="none"/>
          <w:lang w:val="en-US" w:eastAsia="zh-CN" w:bidi="ar-SA"/>
        </w:rPr>
      </w:pPr>
    </w:p>
    <w:p w14:paraId="1388104C">
      <w:pPr>
        <w:pStyle w:val="19"/>
        <w:rPr>
          <w:rFonts w:hint="eastAsia" w:ascii="宋体" w:hAnsi="宋体" w:eastAsia="宋体" w:cs="宋体"/>
          <w:b/>
          <w:bCs/>
          <w:color w:val="auto"/>
          <w:sz w:val="32"/>
          <w:szCs w:val="32"/>
          <w:highlight w:val="none"/>
          <w:lang w:val="en-US" w:eastAsia="zh-CN" w:bidi="ar-SA"/>
        </w:rPr>
      </w:pPr>
    </w:p>
    <w:p w14:paraId="10E6FBA6">
      <w:pPr>
        <w:rPr>
          <w:rFonts w:hint="eastAsia" w:ascii="宋体" w:hAnsi="宋体" w:eastAsia="宋体" w:cs="宋体"/>
          <w:b/>
          <w:bCs/>
          <w:color w:val="auto"/>
          <w:sz w:val="32"/>
          <w:szCs w:val="32"/>
          <w:highlight w:val="none"/>
          <w:lang w:val="en-US" w:eastAsia="zh-CN" w:bidi="ar-SA"/>
        </w:rPr>
      </w:pPr>
    </w:p>
    <w:p w14:paraId="068929C2">
      <w:pPr>
        <w:pStyle w:val="19"/>
        <w:rPr>
          <w:rFonts w:hint="eastAsia" w:ascii="宋体" w:hAnsi="宋体" w:eastAsia="宋体" w:cs="宋体"/>
          <w:b/>
          <w:bCs/>
          <w:color w:val="auto"/>
          <w:sz w:val="32"/>
          <w:szCs w:val="32"/>
          <w:highlight w:val="none"/>
          <w:lang w:val="en-US" w:eastAsia="zh-CN" w:bidi="ar-SA"/>
        </w:rPr>
      </w:pPr>
    </w:p>
    <w:p w14:paraId="3943955F">
      <w:pPr>
        <w:rPr>
          <w:rFonts w:hint="eastAsia" w:ascii="宋体" w:hAnsi="宋体" w:eastAsia="宋体" w:cs="宋体"/>
          <w:b/>
          <w:bCs/>
          <w:color w:val="auto"/>
          <w:sz w:val="32"/>
          <w:szCs w:val="32"/>
          <w:highlight w:val="none"/>
          <w:lang w:val="en-US" w:eastAsia="zh-CN" w:bidi="ar-SA"/>
        </w:rPr>
      </w:pPr>
    </w:p>
    <w:p w14:paraId="1347594C">
      <w:pPr>
        <w:pStyle w:val="19"/>
        <w:rPr>
          <w:rFonts w:hint="eastAsia" w:ascii="宋体" w:hAnsi="宋体" w:eastAsia="宋体" w:cs="宋体"/>
          <w:b/>
          <w:bCs/>
          <w:color w:val="auto"/>
          <w:sz w:val="32"/>
          <w:szCs w:val="32"/>
          <w:highlight w:val="none"/>
          <w:lang w:val="en-US" w:eastAsia="zh-CN" w:bidi="ar-SA"/>
        </w:rPr>
      </w:pPr>
    </w:p>
    <w:p w14:paraId="53115348">
      <w:pPr>
        <w:rPr>
          <w:rFonts w:hint="eastAsia" w:ascii="宋体" w:hAnsi="宋体" w:eastAsia="宋体" w:cs="宋体"/>
          <w:b/>
          <w:bCs/>
          <w:color w:val="auto"/>
          <w:sz w:val="32"/>
          <w:szCs w:val="32"/>
          <w:highlight w:val="none"/>
          <w:lang w:val="en-US" w:eastAsia="zh-CN" w:bidi="ar-SA"/>
        </w:rPr>
      </w:pPr>
    </w:p>
    <w:p w14:paraId="7C51E380">
      <w:pPr>
        <w:pStyle w:val="19"/>
        <w:rPr>
          <w:rFonts w:hint="eastAsia" w:ascii="宋体" w:hAnsi="宋体" w:eastAsia="宋体" w:cs="宋体"/>
          <w:b/>
          <w:bCs/>
          <w:color w:val="auto"/>
          <w:sz w:val="32"/>
          <w:szCs w:val="32"/>
          <w:highlight w:val="none"/>
          <w:lang w:val="en-US" w:eastAsia="zh-CN" w:bidi="ar-SA"/>
        </w:rPr>
      </w:pPr>
    </w:p>
    <w:p w14:paraId="109F6D81">
      <w:pPr>
        <w:rPr>
          <w:rFonts w:hint="eastAsia" w:ascii="宋体" w:hAnsi="宋体" w:eastAsia="宋体" w:cs="宋体"/>
          <w:b/>
          <w:bCs/>
          <w:color w:val="auto"/>
          <w:sz w:val="32"/>
          <w:szCs w:val="32"/>
          <w:highlight w:val="none"/>
          <w:lang w:val="en-US" w:eastAsia="zh-CN" w:bidi="ar-SA"/>
        </w:rPr>
      </w:pPr>
    </w:p>
    <w:p w14:paraId="1BC12647">
      <w:pPr>
        <w:pStyle w:val="19"/>
        <w:rPr>
          <w:rFonts w:hint="eastAsia"/>
          <w:color w:val="auto"/>
          <w:highlight w:val="none"/>
          <w:lang w:val="en-US" w:eastAsia="zh-CN"/>
        </w:rPr>
      </w:pPr>
    </w:p>
    <w:p w14:paraId="2F057995">
      <w:pPr>
        <w:rPr>
          <w:rFonts w:hint="eastAsia"/>
          <w:lang w:val="en-US" w:eastAsia="zh-CN"/>
        </w:rPr>
      </w:pPr>
    </w:p>
    <w:p w14:paraId="5A6C252F">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p>
    <w:p w14:paraId="62D163B7">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四、条款偏离表</w:t>
      </w:r>
    </w:p>
    <w:p w14:paraId="286E1679">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p>
    <w:p w14:paraId="5416D99A">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 xml:space="preserve"> 商务条款偏离表</w:t>
      </w:r>
    </w:p>
    <w:p w14:paraId="175FCBAC">
      <w:pPr>
        <w:numPr>
          <w:ilvl w:val="0"/>
          <w:numId w:val="0"/>
        </w:numPr>
        <w:tabs>
          <w:tab w:val="left" w:pos="1418"/>
        </w:tabs>
        <w:spacing w:line="240" w:lineRule="auto"/>
        <w:jc w:val="left"/>
        <w:rPr>
          <w:rFonts w:hint="eastAsia" w:ascii="宋体" w:hAnsi="宋体" w:eastAsia="宋体" w:cs="宋体"/>
          <w:b/>
          <w:bCs/>
          <w:color w:val="auto"/>
          <w:sz w:val="24"/>
          <w:szCs w:val="24"/>
          <w:highlight w:val="none"/>
          <w:lang w:val="en-US" w:eastAsia="zh-CN" w:bidi="ar-SA"/>
        </w:rPr>
      </w:pPr>
    </w:p>
    <w:p w14:paraId="5A86B843">
      <w:pPr>
        <w:numPr>
          <w:ilvl w:val="0"/>
          <w:numId w:val="0"/>
        </w:numPr>
        <w:tabs>
          <w:tab w:val="left" w:pos="1418"/>
        </w:tabs>
        <w:spacing w:line="360" w:lineRule="auto"/>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采购项目编号：</w:t>
      </w:r>
    </w:p>
    <w:p w14:paraId="0A1BDA65">
      <w:pPr>
        <w:numPr>
          <w:ilvl w:val="0"/>
          <w:numId w:val="0"/>
        </w:numPr>
        <w:tabs>
          <w:tab w:val="left" w:pos="1418"/>
        </w:tabs>
        <w:spacing w:line="360" w:lineRule="auto"/>
        <w:jc w:val="left"/>
        <w:rPr>
          <w:rFonts w:hint="default"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采购项目名称：</w:t>
      </w:r>
    </w:p>
    <w:tbl>
      <w:tblPr>
        <w:tblStyle w:val="22"/>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11"/>
        <w:gridCol w:w="2393"/>
        <w:gridCol w:w="1815"/>
        <w:gridCol w:w="1238"/>
      </w:tblGrid>
      <w:tr w14:paraId="14C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46" w:type="dxa"/>
            <w:noWrap w:val="0"/>
            <w:vAlign w:val="center"/>
          </w:tcPr>
          <w:p w14:paraId="00712F3F">
            <w:pPr>
              <w:pStyle w:val="7"/>
              <w:tabs>
                <w:tab w:val="left" w:pos="6880"/>
              </w:tabs>
              <w:spacing w:line="360" w:lineRule="auto"/>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411" w:type="dxa"/>
            <w:noWrap w:val="0"/>
            <w:vAlign w:val="center"/>
          </w:tcPr>
          <w:p w14:paraId="4958EDFF">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文件要求</w:t>
            </w:r>
          </w:p>
        </w:tc>
        <w:tc>
          <w:tcPr>
            <w:tcW w:w="2393" w:type="dxa"/>
            <w:noWrap w:val="0"/>
            <w:vAlign w:val="center"/>
          </w:tcPr>
          <w:p w14:paraId="09EF74A9">
            <w:pPr>
              <w:pStyle w:val="7"/>
              <w:tabs>
                <w:tab w:val="left" w:pos="6880"/>
              </w:tabs>
              <w:spacing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文件的应答</w:t>
            </w:r>
          </w:p>
        </w:tc>
        <w:tc>
          <w:tcPr>
            <w:tcW w:w="1815" w:type="dxa"/>
            <w:noWrap w:val="0"/>
            <w:vAlign w:val="center"/>
          </w:tcPr>
          <w:p w14:paraId="4451B56B">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偏离</w:t>
            </w:r>
            <w:r>
              <w:rPr>
                <w:rFonts w:hint="eastAsia" w:ascii="宋体" w:hAnsi="宋体" w:eastAsia="宋体" w:cs="宋体"/>
                <w:color w:val="auto"/>
                <w:kern w:val="0"/>
                <w:sz w:val="24"/>
                <w:szCs w:val="24"/>
                <w:highlight w:val="none"/>
                <w:lang w:val="en-US" w:eastAsia="zh-CN"/>
              </w:rPr>
              <w:t>情况</w:t>
            </w:r>
          </w:p>
        </w:tc>
        <w:tc>
          <w:tcPr>
            <w:tcW w:w="1238" w:type="dxa"/>
            <w:noWrap w:val="0"/>
            <w:vAlign w:val="center"/>
          </w:tcPr>
          <w:p w14:paraId="23CF753C">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说明</w:t>
            </w:r>
          </w:p>
        </w:tc>
      </w:tr>
      <w:tr w14:paraId="757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73F14A2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1</w:t>
            </w:r>
          </w:p>
        </w:tc>
        <w:tc>
          <w:tcPr>
            <w:tcW w:w="2411" w:type="dxa"/>
            <w:noWrap w:val="0"/>
            <w:vAlign w:val="center"/>
          </w:tcPr>
          <w:p w14:paraId="52D8D604">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3FB3BCD9">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573C81DE">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733105E3">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0200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3AB09B9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2</w:t>
            </w:r>
          </w:p>
        </w:tc>
        <w:tc>
          <w:tcPr>
            <w:tcW w:w="2411" w:type="dxa"/>
            <w:noWrap w:val="0"/>
            <w:vAlign w:val="center"/>
          </w:tcPr>
          <w:p w14:paraId="4C56CB71">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23EB2CB3">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02858F0B">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2B357F96">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67CE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3A85D83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3</w:t>
            </w:r>
          </w:p>
        </w:tc>
        <w:tc>
          <w:tcPr>
            <w:tcW w:w="2411" w:type="dxa"/>
            <w:noWrap w:val="0"/>
            <w:vAlign w:val="center"/>
          </w:tcPr>
          <w:p w14:paraId="2352CB59">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5D9118E1">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34E0401F">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4046CA5C">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48A8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58C862D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4</w:t>
            </w:r>
          </w:p>
        </w:tc>
        <w:tc>
          <w:tcPr>
            <w:tcW w:w="2411" w:type="dxa"/>
            <w:noWrap w:val="0"/>
            <w:vAlign w:val="center"/>
          </w:tcPr>
          <w:p w14:paraId="65C081AC">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01A35B5B">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3FC1A4A7">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4DAF4EEB">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7E2B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719DA50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5</w:t>
            </w:r>
          </w:p>
        </w:tc>
        <w:tc>
          <w:tcPr>
            <w:tcW w:w="2411" w:type="dxa"/>
            <w:noWrap w:val="0"/>
            <w:vAlign w:val="center"/>
          </w:tcPr>
          <w:p w14:paraId="400A7512">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0BB08F47">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31B74E5E">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6588016D">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1F62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22D62B2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6</w:t>
            </w:r>
          </w:p>
        </w:tc>
        <w:tc>
          <w:tcPr>
            <w:tcW w:w="2411" w:type="dxa"/>
            <w:noWrap w:val="0"/>
            <w:vAlign w:val="center"/>
          </w:tcPr>
          <w:p w14:paraId="75D3BDFC">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46E8284F">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3CACE0F0">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3F1C8758">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08DF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51E3802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w:t>
            </w:r>
          </w:p>
        </w:tc>
        <w:tc>
          <w:tcPr>
            <w:tcW w:w="2411" w:type="dxa"/>
            <w:noWrap w:val="0"/>
            <w:vAlign w:val="center"/>
          </w:tcPr>
          <w:p w14:paraId="3CED49E2">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0E44B6B9">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26B7AC26">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186C7071">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bl>
    <w:p w14:paraId="0865E72A">
      <w:pPr>
        <w:spacing w:after="120"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6E9F47F">
      <w:pPr>
        <w:spacing w:line="360" w:lineRule="auto"/>
        <w:rPr>
          <w:rFonts w:hint="eastAsia"/>
          <w:b w:val="0"/>
          <w:bCs w:val="0"/>
          <w:color w:val="auto"/>
          <w:sz w:val="24"/>
          <w:szCs w:val="24"/>
          <w:highlight w:val="none"/>
        </w:rPr>
      </w:pPr>
    </w:p>
    <w:p w14:paraId="0682B8B9">
      <w:pPr>
        <w:spacing w:line="360" w:lineRule="auto"/>
        <w:ind w:firstLine="480" w:firstLineChars="200"/>
        <w:rPr>
          <w:rFonts w:hint="eastAsia" w:ascii="宋体" w:eastAsia="宋体"/>
          <w:b w:val="0"/>
          <w:bCs w:val="0"/>
          <w:color w:val="auto"/>
          <w:sz w:val="24"/>
          <w:szCs w:val="24"/>
          <w:highlight w:val="none"/>
          <w:lang w:eastAsia="zh-CN"/>
        </w:rPr>
      </w:pPr>
      <w:r>
        <w:rPr>
          <w:rFonts w:hint="eastAsia"/>
          <w:b w:val="0"/>
          <w:bCs w:val="0"/>
          <w:color w:val="auto"/>
          <w:sz w:val="24"/>
          <w:szCs w:val="24"/>
          <w:highlight w:val="none"/>
        </w:rPr>
        <w:t>说明：请按对应</w:t>
      </w:r>
      <w:r>
        <w:rPr>
          <w:rFonts w:hint="eastAsia"/>
          <w:b w:val="0"/>
          <w:bCs w:val="0"/>
          <w:color w:val="auto"/>
          <w:sz w:val="24"/>
          <w:szCs w:val="24"/>
          <w:highlight w:val="none"/>
          <w:lang w:val="en-US" w:eastAsia="zh-CN"/>
        </w:rPr>
        <w:t>磋商</w:t>
      </w:r>
      <w:r>
        <w:rPr>
          <w:rFonts w:hint="eastAsia"/>
          <w:b w:val="0"/>
          <w:bCs w:val="0"/>
          <w:color w:val="auto"/>
          <w:sz w:val="24"/>
          <w:szCs w:val="24"/>
          <w:highlight w:val="none"/>
        </w:rPr>
        <w:t>文件的</w:t>
      </w:r>
      <w:r>
        <w:rPr>
          <w:rFonts w:hint="eastAsia"/>
          <w:b w:val="0"/>
          <w:bCs w:val="0"/>
          <w:color w:val="auto"/>
          <w:sz w:val="24"/>
          <w:szCs w:val="24"/>
          <w:highlight w:val="none"/>
          <w:lang w:val="en-US" w:eastAsia="zh-CN"/>
        </w:rPr>
        <w:t>第四章“合同条款及格式”</w:t>
      </w:r>
      <w:r>
        <w:rPr>
          <w:rFonts w:hint="eastAsia"/>
          <w:b w:val="0"/>
          <w:bCs w:val="0"/>
          <w:color w:val="auto"/>
          <w:sz w:val="24"/>
          <w:szCs w:val="24"/>
          <w:highlight w:val="none"/>
        </w:rPr>
        <w:t>认真填写本表。偏离情况填写：“</w:t>
      </w:r>
      <w:r>
        <w:rPr>
          <w:rFonts w:hint="eastAsia"/>
          <w:b w:val="0"/>
          <w:bCs w:val="0"/>
          <w:color w:val="auto"/>
          <w:sz w:val="24"/>
          <w:szCs w:val="24"/>
          <w:highlight w:val="none"/>
          <w:lang w:val="en-US" w:eastAsia="zh-CN"/>
        </w:rPr>
        <w:t>正偏离、无偏离</w:t>
      </w:r>
      <w:r>
        <w:rPr>
          <w:rFonts w:hint="eastAsia"/>
          <w:b w:val="0"/>
          <w:bCs w:val="0"/>
          <w:color w:val="auto"/>
          <w:sz w:val="24"/>
          <w:szCs w:val="24"/>
          <w:highlight w:val="none"/>
        </w:rPr>
        <w:t>或</w:t>
      </w:r>
      <w:r>
        <w:rPr>
          <w:rFonts w:hint="eastAsia"/>
          <w:b w:val="0"/>
          <w:bCs w:val="0"/>
          <w:color w:val="auto"/>
          <w:sz w:val="24"/>
          <w:szCs w:val="24"/>
          <w:highlight w:val="none"/>
          <w:lang w:val="en-US" w:eastAsia="zh-CN"/>
        </w:rPr>
        <w:t>负偏离</w:t>
      </w:r>
      <w:r>
        <w:rPr>
          <w:rFonts w:hint="eastAsia"/>
          <w:b w:val="0"/>
          <w:bCs w:val="0"/>
          <w:color w:val="auto"/>
          <w:sz w:val="24"/>
          <w:szCs w:val="24"/>
          <w:highlight w:val="none"/>
        </w:rPr>
        <w:t>”。如有</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请在</w:t>
      </w:r>
      <w:r>
        <w:rPr>
          <w:rFonts w:hint="eastAsia"/>
          <w:b w:val="0"/>
          <w:bCs w:val="0"/>
          <w:color w:val="auto"/>
          <w:sz w:val="24"/>
          <w:szCs w:val="24"/>
          <w:highlight w:val="none"/>
          <w:lang w:val="en-US" w:eastAsia="zh-CN"/>
        </w:rPr>
        <w:t>说明</w:t>
      </w:r>
      <w:r>
        <w:rPr>
          <w:rFonts w:hint="eastAsia"/>
          <w:b w:val="0"/>
          <w:bCs w:val="0"/>
          <w:color w:val="auto"/>
          <w:sz w:val="24"/>
          <w:szCs w:val="24"/>
          <w:highlight w:val="none"/>
        </w:rPr>
        <w:t>栏写明“</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”的详细情况。</w:t>
      </w:r>
      <w:r>
        <w:rPr>
          <w:rFonts w:hint="eastAsia" w:eastAsia="宋体"/>
          <w:b w:val="0"/>
          <w:bCs w:val="0"/>
          <w:color w:val="auto"/>
          <w:sz w:val="24"/>
          <w:szCs w:val="24"/>
          <w:highlight w:val="none"/>
          <w:lang w:val="en-US" w:eastAsia="zh-CN"/>
        </w:rPr>
        <w:t>如供应商承诺完全响应磋商文件第四章“合同条款及格式”</w:t>
      </w:r>
      <w:r>
        <w:rPr>
          <w:rFonts w:hint="eastAsia"/>
          <w:b w:val="0"/>
          <w:bCs w:val="0"/>
          <w:color w:val="auto"/>
          <w:sz w:val="24"/>
          <w:szCs w:val="24"/>
          <w:highlight w:val="none"/>
        </w:rPr>
        <w:t>，上栏可不填写，但本页必须满足签字或盖章要求</w:t>
      </w:r>
      <w:r>
        <w:rPr>
          <w:rFonts w:hint="eastAsia"/>
          <w:b w:val="0"/>
          <w:bCs w:val="0"/>
          <w:color w:val="auto"/>
          <w:sz w:val="24"/>
          <w:szCs w:val="24"/>
          <w:highlight w:val="none"/>
          <w:lang w:eastAsia="zh-CN"/>
        </w:rPr>
        <w:t>。</w:t>
      </w:r>
    </w:p>
    <w:p w14:paraId="6925EEA0">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p>
    <w:p w14:paraId="596B4112">
      <w:pPr>
        <w:spacing w:line="360" w:lineRule="auto"/>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名称：（公章）</w:t>
      </w:r>
    </w:p>
    <w:p w14:paraId="22DFADCF">
      <w:pPr>
        <w:spacing w:line="360" w:lineRule="auto"/>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10A3383A">
      <w:pPr>
        <w:spacing w:line="360" w:lineRule="auto"/>
        <w:ind w:firstLine="6000" w:firstLineChars="2500"/>
        <w:rPr>
          <w:rFonts w:hint="eastAsia" w:ascii="宋体" w:hAnsi="宋体" w:eastAsia="宋体" w:cs="宋体"/>
          <w:color w:val="auto"/>
          <w:sz w:val="24"/>
          <w:szCs w:val="24"/>
          <w:highlight w:val="none"/>
          <w:lang w:val="en-US" w:eastAsia="zh-CN"/>
        </w:rPr>
        <w:sectPr>
          <w:pgSz w:w="11906" w:h="16838"/>
          <w:pgMar w:top="1417" w:right="1418" w:bottom="1417" w:left="1417" w:header="1134"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24"/>
          <w:szCs w:val="24"/>
          <w:highlight w:val="none"/>
        </w:rPr>
        <w:t>年  月  日</w:t>
      </w:r>
    </w:p>
    <w:p w14:paraId="3468CFEA">
      <w:pPr>
        <w:numPr>
          <w:ilvl w:val="0"/>
          <w:numId w:val="0"/>
        </w:numPr>
        <w:tabs>
          <w:tab w:val="left" w:pos="1418"/>
        </w:tabs>
        <w:spacing w:line="240" w:lineRule="auto"/>
        <w:jc w:val="both"/>
        <w:rPr>
          <w:rFonts w:hint="eastAsia" w:ascii="宋体" w:hAnsi="宋体" w:eastAsia="宋体" w:cs="宋体"/>
          <w:b/>
          <w:bCs/>
          <w:color w:val="auto"/>
          <w:sz w:val="32"/>
          <w:szCs w:val="32"/>
          <w:highlight w:val="none"/>
          <w:lang w:val="en-US" w:eastAsia="zh-CN" w:bidi="ar-SA"/>
        </w:rPr>
      </w:pPr>
    </w:p>
    <w:p w14:paraId="2BD67D6E">
      <w:pPr>
        <w:numPr>
          <w:ilvl w:val="0"/>
          <w:numId w:val="0"/>
        </w:numPr>
        <w:tabs>
          <w:tab w:val="left" w:pos="1418"/>
        </w:tabs>
        <w:spacing w:line="240" w:lineRule="auto"/>
        <w:jc w:val="center"/>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采购内容及要求响应偏离表</w:t>
      </w:r>
    </w:p>
    <w:p w14:paraId="36344B53">
      <w:pPr>
        <w:numPr>
          <w:ilvl w:val="0"/>
          <w:numId w:val="0"/>
        </w:numPr>
        <w:tabs>
          <w:tab w:val="left" w:pos="1418"/>
        </w:tabs>
        <w:spacing w:line="360" w:lineRule="auto"/>
        <w:jc w:val="left"/>
        <w:rPr>
          <w:rFonts w:hint="eastAsia" w:ascii="宋体" w:hAnsi="宋体" w:eastAsia="宋体" w:cs="宋体"/>
          <w:b/>
          <w:bCs/>
          <w:color w:val="auto"/>
          <w:sz w:val="24"/>
          <w:szCs w:val="24"/>
          <w:highlight w:val="none"/>
          <w:lang w:val="en-US" w:eastAsia="zh-CN" w:bidi="ar-SA"/>
        </w:rPr>
      </w:pPr>
    </w:p>
    <w:p w14:paraId="19C7CD17">
      <w:pPr>
        <w:numPr>
          <w:ilvl w:val="0"/>
          <w:numId w:val="0"/>
        </w:numPr>
        <w:tabs>
          <w:tab w:val="left" w:pos="1418"/>
        </w:tabs>
        <w:spacing w:line="360" w:lineRule="auto"/>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采购项目编号：</w:t>
      </w:r>
    </w:p>
    <w:p w14:paraId="1F9511CE">
      <w:pPr>
        <w:numPr>
          <w:ilvl w:val="0"/>
          <w:numId w:val="0"/>
        </w:numPr>
        <w:tabs>
          <w:tab w:val="left" w:pos="1418"/>
        </w:tabs>
        <w:spacing w:line="360" w:lineRule="auto"/>
        <w:jc w:val="left"/>
        <w:rPr>
          <w:rFonts w:hint="default"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采购项目名称：</w:t>
      </w:r>
    </w:p>
    <w:tbl>
      <w:tblPr>
        <w:tblStyle w:val="22"/>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11"/>
        <w:gridCol w:w="2393"/>
        <w:gridCol w:w="1815"/>
        <w:gridCol w:w="1238"/>
      </w:tblGrid>
      <w:tr w14:paraId="67FE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46" w:type="dxa"/>
            <w:noWrap w:val="0"/>
            <w:vAlign w:val="center"/>
          </w:tcPr>
          <w:p w14:paraId="5459234C">
            <w:pPr>
              <w:pStyle w:val="7"/>
              <w:tabs>
                <w:tab w:val="left" w:pos="6880"/>
              </w:tabs>
              <w:spacing w:line="360" w:lineRule="auto"/>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411" w:type="dxa"/>
            <w:noWrap w:val="0"/>
            <w:vAlign w:val="center"/>
          </w:tcPr>
          <w:p w14:paraId="62A826DC">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文件要求</w:t>
            </w:r>
          </w:p>
        </w:tc>
        <w:tc>
          <w:tcPr>
            <w:tcW w:w="2393" w:type="dxa"/>
            <w:noWrap w:val="0"/>
            <w:vAlign w:val="center"/>
          </w:tcPr>
          <w:p w14:paraId="5E498EB0">
            <w:pPr>
              <w:pStyle w:val="7"/>
              <w:tabs>
                <w:tab w:val="left" w:pos="6880"/>
              </w:tabs>
              <w:spacing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文件的应答</w:t>
            </w:r>
          </w:p>
        </w:tc>
        <w:tc>
          <w:tcPr>
            <w:tcW w:w="1815" w:type="dxa"/>
            <w:noWrap w:val="0"/>
            <w:vAlign w:val="center"/>
          </w:tcPr>
          <w:p w14:paraId="336AEAB4">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偏离</w:t>
            </w:r>
            <w:r>
              <w:rPr>
                <w:rFonts w:hint="eastAsia" w:ascii="宋体" w:hAnsi="宋体" w:eastAsia="宋体" w:cs="宋体"/>
                <w:color w:val="auto"/>
                <w:kern w:val="0"/>
                <w:sz w:val="24"/>
                <w:szCs w:val="24"/>
                <w:highlight w:val="none"/>
                <w:lang w:val="en-US" w:eastAsia="zh-CN"/>
              </w:rPr>
              <w:t>情况</w:t>
            </w:r>
          </w:p>
        </w:tc>
        <w:tc>
          <w:tcPr>
            <w:tcW w:w="1238" w:type="dxa"/>
            <w:noWrap w:val="0"/>
            <w:vAlign w:val="center"/>
          </w:tcPr>
          <w:p w14:paraId="243CA981">
            <w:pPr>
              <w:pStyle w:val="7"/>
              <w:tabs>
                <w:tab w:val="left" w:pos="6880"/>
              </w:tabs>
              <w:spacing w:line="360" w:lineRule="auto"/>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说明</w:t>
            </w:r>
          </w:p>
        </w:tc>
      </w:tr>
      <w:tr w14:paraId="2BF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42AE705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1</w:t>
            </w:r>
          </w:p>
        </w:tc>
        <w:tc>
          <w:tcPr>
            <w:tcW w:w="2411" w:type="dxa"/>
            <w:noWrap w:val="0"/>
            <w:vAlign w:val="center"/>
          </w:tcPr>
          <w:p w14:paraId="18E667A0">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6D43B3B3">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1EC0F55A">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3E0E4136">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574E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7866EA7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2</w:t>
            </w:r>
          </w:p>
        </w:tc>
        <w:tc>
          <w:tcPr>
            <w:tcW w:w="2411" w:type="dxa"/>
            <w:noWrap w:val="0"/>
            <w:vAlign w:val="center"/>
          </w:tcPr>
          <w:p w14:paraId="4EB9458E">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2932E90A">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28C8678C">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5143E13B">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4A9C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4B839FD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3</w:t>
            </w:r>
          </w:p>
        </w:tc>
        <w:tc>
          <w:tcPr>
            <w:tcW w:w="2411" w:type="dxa"/>
            <w:noWrap w:val="0"/>
            <w:vAlign w:val="center"/>
          </w:tcPr>
          <w:p w14:paraId="56275729">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6DCDFAF8">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120FF0F7">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3DDFE5BB">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61D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5E0B229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4</w:t>
            </w:r>
          </w:p>
        </w:tc>
        <w:tc>
          <w:tcPr>
            <w:tcW w:w="2411" w:type="dxa"/>
            <w:noWrap w:val="0"/>
            <w:vAlign w:val="center"/>
          </w:tcPr>
          <w:p w14:paraId="60F73558">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3663CDD8">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423BA87D">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62FDF501">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00F8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2801F66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5</w:t>
            </w:r>
          </w:p>
        </w:tc>
        <w:tc>
          <w:tcPr>
            <w:tcW w:w="2411" w:type="dxa"/>
            <w:noWrap w:val="0"/>
            <w:vAlign w:val="center"/>
          </w:tcPr>
          <w:p w14:paraId="15CCE3C2">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796147A2">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5AA7E991">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0808EBD8">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0B94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3AFA1AB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6</w:t>
            </w:r>
          </w:p>
        </w:tc>
        <w:tc>
          <w:tcPr>
            <w:tcW w:w="2411" w:type="dxa"/>
            <w:noWrap w:val="0"/>
            <w:vAlign w:val="center"/>
          </w:tcPr>
          <w:p w14:paraId="4E94D6BF">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2DFC6FF1">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63ECAFDC">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5BE63010">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r w14:paraId="4CA3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7E86C62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Times New Roman"/>
                <w:b w:val="0"/>
                <w:bCs w:val="0"/>
                <w:snapToGrid w:val="0"/>
                <w:color w:val="auto"/>
                <w:spacing w:val="0"/>
                <w:sz w:val="24"/>
                <w:szCs w:val="24"/>
                <w:highlight w:val="none"/>
                <w:lang w:eastAsia="zh-CN"/>
              </w:rPr>
              <w:t>……</w:t>
            </w:r>
          </w:p>
        </w:tc>
        <w:tc>
          <w:tcPr>
            <w:tcW w:w="2411" w:type="dxa"/>
            <w:noWrap w:val="0"/>
            <w:vAlign w:val="center"/>
          </w:tcPr>
          <w:p w14:paraId="78360F74">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2393" w:type="dxa"/>
            <w:noWrap w:val="0"/>
            <w:vAlign w:val="center"/>
          </w:tcPr>
          <w:p w14:paraId="5323E427">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815" w:type="dxa"/>
            <w:noWrap w:val="0"/>
            <w:vAlign w:val="center"/>
          </w:tcPr>
          <w:p w14:paraId="47144CC3">
            <w:pPr>
              <w:pStyle w:val="7"/>
              <w:tabs>
                <w:tab w:val="left" w:pos="6880"/>
              </w:tabs>
              <w:spacing w:line="360" w:lineRule="auto"/>
              <w:ind w:firstLine="480"/>
              <w:rPr>
                <w:rFonts w:hint="eastAsia" w:ascii="宋体" w:hAnsi="宋体" w:eastAsia="宋体" w:cs="宋体"/>
                <w:color w:val="auto"/>
                <w:kern w:val="0"/>
                <w:sz w:val="24"/>
                <w:szCs w:val="24"/>
                <w:highlight w:val="none"/>
              </w:rPr>
            </w:pPr>
          </w:p>
        </w:tc>
        <w:tc>
          <w:tcPr>
            <w:tcW w:w="1238" w:type="dxa"/>
            <w:noWrap w:val="0"/>
            <w:vAlign w:val="center"/>
          </w:tcPr>
          <w:p w14:paraId="7555A787">
            <w:pPr>
              <w:pStyle w:val="7"/>
              <w:tabs>
                <w:tab w:val="left" w:pos="6880"/>
              </w:tabs>
              <w:spacing w:line="360" w:lineRule="auto"/>
              <w:ind w:firstLine="480"/>
              <w:rPr>
                <w:rFonts w:hint="eastAsia" w:ascii="宋体" w:hAnsi="宋体" w:eastAsia="宋体" w:cs="宋体"/>
                <w:color w:val="auto"/>
                <w:kern w:val="0"/>
                <w:sz w:val="24"/>
                <w:szCs w:val="24"/>
                <w:highlight w:val="none"/>
              </w:rPr>
            </w:pPr>
          </w:p>
        </w:tc>
      </w:tr>
    </w:tbl>
    <w:p w14:paraId="7EBFD68B">
      <w:pPr>
        <w:spacing w:after="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BF3164">
      <w:pPr>
        <w:spacing w:line="360" w:lineRule="auto"/>
        <w:rPr>
          <w:rFonts w:hint="eastAsia"/>
          <w:b w:val="0"/>
          <w:bCs w:val="0"/>
          <w:color w:val="auto"/>
          <w:sz w:val="24"/>
          <w:szCs w:val="24"/>
          <w:highlight w:val="none"/>
        </w:rPr>
      </w:pPr>
    </w:p>
    <w:p w14:paraId="2EB680CE">
      <w:pPr>
        <w:spacing w:line="360" w:lineRule="auto"/>
        <w:ind w:firstLine="240" w:firstLineChars="100"/>
        <w:rPr>
          <w:rFonts w:hint="eastAsia" w:ascii="宋体" w:eastAsia="宋体"/>
          <w:b w:val="0"/>
          <w:bCs w:val="0"/>
          <w:color w:val="auto"/>
          <w:sz w:val="24"/>
          <w:szCs w:val="24"/>
          <w:highlight w:val="none"/>
          <w:lang w:eastAsia="zh-CN"/>
        </w:rPr>
      </w:pPr>
      <w:r>
        <w:rPr>
          <w:rFonts w:hint="eastAsia"/>
          <w:b w:val="0"/>
          <w:bCs w:val="0"/>
          <w:color w:val="auto"/>
          <w:sz w:val="24"/>
          <w:szCs w:val="24"/>
          <w:highlight w:val="none"/>
        </w:rPr>
        <w:t>说明：请按对应</w:t>
      </w:r>
      <w:r>
        <w:rPr>
          <w:rFonts w:hint="eastAsia"/>
          <w:b w:val="0"/>
          <w:bCs w:val="0"/>
          <w:color w:val="auto"/>
          <w:sz w:val="24"/>
          <w:szCs w:val="24"/>
          <w:highlight w:val="none"/>
          <w:lang w:val="en-US" w:eastAsia="zh-CN"/>
        </w:rPr>
        <w:t>磋商</w:t>
      </w:r>
      <w:r>
        <w:rPr>
          <w:rFonts w:hint="eastAsia"/>
          <w:b w:val="0"/>
          <w:bCs w:val="0"/>
          <w:color w:val="auto"/>
          <w:sz w:val="24"/>
          <w:szCs w:val="24"/>
          <w:highlight w:val="none"/>
        </w:rPr>
        <w:t>文件的“</w:t>
      </w:r>
      <w:r>
        <w:rPr>
          <w:rFonts w:hint="eastAsia"/>
          <w:b w:val="0"/>
          <w:bCs w:val="0"/>
          <w:color w:val="auto"/>
          <w:sz w:val="24"/>
          <w:szCs w:val="24"/>
          <w:highlight w:val="none"/>
          <w:lang w:val="en-US" w:eastAsia="zh-CN"/>
        </w:rPr>
        <w:t>第五章</w:t>
      </w:r>
      <w:r>
        <w:rPr>
          <w:rFonts w:hint="eastAsia"/>
          <w:b w:val="0"/>
          <w:bCs w:val="0"/>
          <w:color w:val="auto"/>
          <w:sz w:val="24"/>
          <w:szCs w:val="24"/>
          <w:highlight w:val="none"/>
        </w:rPr>
        <w:t>中的</w:t>
      </w:r>
      <w:r>
        <w:rPr>
          <w:rFonts w:hint="eastAsia" w:eastAsia="宋体"/>
          <w:b w:val="0"/>
          <w:bCs w:val="0"/>
          <w:color w:val="auto"/>
          <w:sz w:val="24"/>
          <w:szCs w:val="24"/>
          <w:highlight w:val="none"/>
          <w:lang w:eastAsia="zh-CN"/>
        </w:rPr>
        <w:t>“</w:t>
      </w:r>
      <w:r>
        <w:rPr>
          <w:rFonts w:hint="eastAsia"/>
          <w:b w:val="0"/>
          <w:bCs w:val="0"/>
          <w:color w:val="auto"/>
          <w:sz w:val="24"/>
          <w:szCs w:val="24"/>
          <w:highlight w:val="none"/>
          <w:lang w:val="en-US" w:eastAsia="zh-CN"/>
        </w:rPr>
        <w:t>采购内容及</w:t>
      </w:r>
      <w:r>
        <w:rPr>
          <w:rFonts w:hint="eastAsia"/>
          <w:b w:val="0"/>
          <w:bCs w:val="0"/>
          <w:color w:val="auto"/>
          <w:sz w:val="24"/>
          <w:szCs w:val="24"/>
          <w:highlight w:val="none"/>
        </w:rPr>
        <w:t>要求</w:t>
      </w:r>
      <w:r>
        <w:rPr>
          <w:rFonts w:hint="eastAsia" w:eastAsia="宋体"/>
          <w:b w:val="0"/>
          <w:bCs w:val="0"/>
          <w:color w:val="auto"/>
          <w:sz w:val="24"/>
          <w:szCs w:val="24"/>
          <w:highlight w:val="none"/>
          <w:lang w:eastAsia="zh-CN"/>
        </w:rPr>
        <w:t>”</w:t>
      </w:r>
      <w:r>
        <w:rPr>
          <w:rFonts w:hint="eastAsia"/>
          <w:b w:val="0"/>
          <w:bCs w:val="0"/>
          <w:color w:val="auto"/>
          <w:sz w:val="24"/>
          <w:szCs w:val="24"/>
          <w:highlight w:val="none"/>
        </w:rPr>
        <w:t>认真填写本表。偏离情况填写：“</w:t>
      </w:r>
      <w:r>
        <w:rPr>
          <w:rFonts w:hint="eastAsia"/>
          <w:b w:val="0"/>
          <w:bCs w:val="0"/>
          <w:color w:val="auto"/>
          <w:sz w:val="24"/>
          <w:szCs w:val="24"/>
          <w:highlight w:val="none"/>
          <w:lang w:val="en-US" w:eastAsia="zh-CN"/>
        </w:rPr>
        <w:t>正偏离、无偏离</w:t>
      </w:r>
      <w:r>
        <w:rPr>
          <w:rFonts w:hint="eastAsia"/>
          <w:b w:val="0"/>
          <w:bCs w:val="0"/>
          <w:color w:val="auto"/>
          <w:sz w:val="24"/>
          <w:szCs w:val="24"/>
          <w:highlight w:val="none"/>
        </w:rPr>
        <w:t>或</w:t>
      </w:r>
      <w:r>
        <w:rPr>
          <w:rFonts w:hint="eastAsia"/>
          <w:b w:val="0"/>
          <w:bCs w:val="0"/>
          <w:color w:val="auto"/>
          <w:sz w:val="24"/>
          <w:szCs w:val="24"/>
          <w:highlight w:val="none"/>
          <w:lang w:val="en-US" w:eastAsia="zh-CN"/>
        </w:rPr>
        <w:t>负偏离</w:t>
      </w:r>
      <w:r>
        <w:rPr>
          <w:rFonts w:hint="eastAsia"/>
          <w:b w:val="0"/>
          <w:bCs w:val="0"/>
          <w:color w:val="auto"/>
          <w:sz w:val="24"/>
          <w:szCs w:val="24"/>
          <w:highlight w:val="none"/>
        </w:rPr>
        <w:t>”。如有</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请在</w:t>
      </w:r>
      <w:r>
        <w:rPr>
          <w:rFonts w:hint="eastAsia"/>
          <w:b w:val="0"/>
          <w:bCs w:val="0"/>
          <w:color w:val="auto"/>
          <w:sz w:val="24"/>
          <w:szCs w:val="24"/>
          <w:highlight w:val="none"/>
          <w:lang w:val="en-US" w:eastAsia="zh-CN"/>
        </w:rPr>
        <w:t>说明</w:t>
      </w:r>
      <w:r>
        <w:rPr>
          <w:rFonts w:hint="eastAsia"/>
          <w:b w:val="0"/>
          <w:bCs w:val="0"/>
          <w:color w:val="auto"/>
          <w:sz w:val="24"/>
          <w:szCs w:val="24"/>
          <w:highlight w:val="none"/>
        </w:rPr>
        <w:t>栏写明“</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”的详细情况。</w:t>
      </w:r>
      <w:r>
        <w:rPr>
          <w:rFonts w:hint="eastAsia" w:eastAsia="宋体"/>
          <w:b w:val="0"/>
          <w:bCs w:val="0"/>
          <w:color w:val="auto"/>
          <w:sz w:val="24"/>
          <w:szCs w:val="24"/>
          <w:highlight w:val="none"/>
          <w:lang w:val="en-US" w:eastAsia="zh-CN"/>
        </w:rPr>
        <w:t xml:space="preserve"> 如供应商承诺完全响应磋商文件第五章“</w:t>
      </w:r>
      <w:r>
        <w:rPr>
          <w:rFonts w:hint="eastAsia"/>
          <w:b w:val="0"/>
          <w:bCs w:val="0"/>
          <w:color w:val="auto"/>
          <w:sz w:val="24"/>
          <w:szCs w:val="24"/>
          <w:highlight w:val="none"/>
          <w:lang w:val="en-US" w:eastAsia="zh-CN"/>
        </w:rPr>
        <w:t>采购内容及</w:t>
      </w:r>
      <w:r>
        <w:rPr>
          <w:rFonts w:hint="eastAsia"/>
          <w:b w:val="0"/>
          <w:bCs w:val="0"/>
          <w:color w:val="auto"/>
          <w:sz w:val="24"/>
          <w:szCs w:val="24"/>
          <w:highlight w:val="none"/>
        </w:rPr>
        <w:t>要求</w:t>
      </w:r>
      <w:r>
        <w:rPr>
          <w:rFonts w:hint="eastAsia" w:eastAsia="宋体"/>
          <w:b w:val="0"/>
          <w:bCs w:val="0"/>
          <w:color w:val="auto"/>
          <w:sz w:val="24"/>
          <w:szCs w:val="24"/>
          <w:highlight w:val="none"/>
          <w:lang w:eastAsia="zh-CN"/>
        </w:rPr>
        <w:t>”</w:t>
      </w:r>
      <w:r>
        <w:rPr>
          <w:rFonts w:hint="eastAsia"/>
          <w:b w:val="0"/>
          <w:bCs w:val="0"/>
          <w:color w:val="auto"/>
          <w:sz w:val="24"/>
          <w:szCs w:val="24"/>
          <w:highlight w:val="none"/>
        </w:rPr>
        <w:t>，上栏可不填写，但本页必须满足签字或盖章要求</w:t>
      </w:r>
      <w:r>
        <w:rPr>
          <w:rFonts w:hint="eastAsia"/>
          <w:b w:val="0"/>
          <w:bCs w:val="0"/>
          <w:color w:val="auto"/>
          <w:sz w:val="24"/>
          <w:szCs w:val="24"/>
          <w:highlight w:val="none"/>
          <w:lang w:eastAsia="zh-CN"/>
        </w:rPr>
        <w:t>。</w:t>
      </w:r>
    </w:p>
    <w:p w14:paraId="2A2E261E">
      <w:pPr>
        <w:spacing w:line="360" w:lineRule="auto"/>
        <w:ind w:firstLine="3840" w:firstLineChars="1600"/>
        <w:rPr>
          <w:rFonts w:hint="eastAsia" w:ascii="宋体" w:hAnsi="宋体"/>
          <w:color w:val="auto"/>
          <w:sz w:val="24"/>
          <w:szCs w:val="24"/>
          <w:highlight w:val="none"/>
        </w:rPr>
      </w:pPr>
    </w:p>
    <w:p w14:paraId="143D1F3B">
      <w:pPr>
        <w:spacing w:line="360" w:lineRule="auto"/>
        <w:ind w:firstLine="3840" w:firstLineChars="1600"/>
        <w:rPr>
          <w:rFonts w:hint="eastAsia" w:ascii="宋体" w:hAnsi="宋体"/>
          <w:color w:val="auto"/>
          <w:sz w:val="24"/>
          <w:szCs w:val="24"/>
          <w:highlight w:val="none"/>
        </w:rPr>
      </w:pPr>
    </w:p>
    <w:p w14:paraId="4E1A8E5E">
      <w:pPr>
        <w:spacing w:line="360" w:lineRule="auto"/>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名称：（公章）</w:t>
      </w:r>
    </w:p>
    <w:p w14:paraId="296D766C">
      <w:pPr>
        <w:spacing w:line="360" w:lineRule="auto"/>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7FEC0AED">
      <w:pPr>
        <w:spacing w:line="360" w:lineRule="auto"/>
        <w:ind w:firstLine="6000" w:firstLineChars="2500"/>
        <w:rPr>
          <w:rFonts w:hint="eastAsia" w:ascii="宋体" w:hAnsi="宋体" w:eastAsia="宋体" w:cs="宋体"/>
          <w:color w:val="auto"/>
          <w:sz w:val="24"/>
          <w:szCs w:val="24"/>
          <w:highlight w:val="none"/>
          <w:lang w:val="en-US" w:eastAsia="zh-CN"/>
        </w:rPr>
        <w:sectPr>
          <w:pgSz w:w="11906" w:h="16838"/>
          <w:pgMar w:top="1417" w:right="1418" w:bottom="1417" w:left="1417" w:header="1134"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24"/>
          <w:szCs w:val="24"/>
          <w:highlight w:val="none"/>
        </w:rPr>
        <w:t>年  月  日</w:t>
      </w:r>
    </w:p>
    <w:p w14:paraId="34987B57">
      <w:pPr>
        <w:numPr>
          <w:ilvl w:val="0"/>
          <w:numId w:val="0"/>
        </w:numPr>
        <w:tabs>
          <w:tab w:val="left" w:pos="1418"/>
        </w:tabs>
        <w:spacing w:afterAutospacing="0" w:line="240" w:lineRule="auto"/>
        <w:jc w:val="center"/>
        <w:rPr>
          <w:rFonts w:hint="eastAsia" w:ascii="宋体" w:hAnsi="宋体" w:eastAsia="宋体" w:cs="宋体"/>
          <w:b/>
          <w:bCs/>
          <w:color w:val="auto"/>
          <w:sz w:val="32"/>
          <w:szCs w:val="32"/>
          <w:highlight w:val="none"/>
          <w:lang w:val="en-US" w:eastAsia="zh-CN" w:bidi="ar-SA"/>
        </w:rPr>
      </w:pPr>
      <w:bookmarkStart w:id="43" w:name="_Toc6862"/>
      <w:bookmarkStart w:id="44" w:name="_Toc6432"/>
      <w:bookmarkStart w:id="45" w:name="_Toc8692"/>
      <w:bookmarkStart w:id="46" w:name="_Toc10179"/>
      <w:bookmarkStart w:id="47" w:name="_Toc363474033"/>
      <w:bookmarkStart w:id="48" w:name="_Toc426457714"/>
      <w:bookmarkStart w:id="49" w:name="_Toc403077656"/>
      <w:bookmarkStart w:id="50" w:name="_Toc10058"/>
      <w:r>
        <w:rPr>
          <w:rFonts w:hint="eastAsia" w:ascii="宋体" w:hAnsi="宋体" w:cs="宋体"/>
          <w:b/>
          <w:bCs/>
          <w:color w:val="auto"/>
          <w:sz w:val="32"/>
          <w:szCs w:val="32"/>
          <w:highlight w:val="none"/>
          <w:lang w:val="en-US" w:eastAsia="zh-CN" w:bidi="ar-SA"/>
        </w:rPr>
        <w:t>五</w:t>
      </w:r>
      <w:r>
        <w:rPr>
          <w:rFonts w:hint="eastAsia" w:ascii="宋体" w:hAnsi="宋体" w:eastAsia="宋体" w:cs="宋体"/>
          <w:b/>
          <w:bCs/>
          <w:color w:val="auto"/>
          <w:sz w:val="32"/>
          <w:szCs w:val="32"/>
          <w:highlight w:val="none"/>
          <w:lang w:val="en-US" w:eastAsia="zh-CN" w:bidi="ar-SA"/>
        </w:rPr>
        <w:t>、供应商承诺书</w:t>
      </w:r>
    </w:p>
    <w:p w14:paraId="79887AE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kern w:val="20"/>
          <w:sz w:val="24"/>
          <w:szCs w:val="24"/>
          <w:highlight w:val="none"/>
          <w:lang w:val="en-US" w:eastAsia="zh-CN" w:bidi="ar-SA"/>
        </w:rPr>
        <w:t>陕西省政府采购供应商拒绝政府采购领域商业贿赂承诺书</w:t>
      </w:r>
      <w:bookmarkEnd w:id="43"/>
      <w:bookmarkEnd w:id="44"/>
      <w:bookmarkEnd w:id="45"/>
      <w:bookmarkEnd w:id="46"/>
      <w:bookmarkEnd w:id="47"/>
      <w:bookmarkEnd w:id="48"/>
      <w:bookmarkEnd w:id="49"/>
      <w:bookmarkEnd w:id="50"/>
    </w:p>
    <w:p w14:paraId="705C570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为响应党中央、国务院关于治理政府采购领域商业贿赂行为的号召，我公司在此庄严承诺：</w:t>
      </w:r>
    </w:p>
    <w:p w14:paraId="0D955BC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在参与政府采购活动中遵纪守法、诚信经营、公平竞标。</w:t>
      </w:r>
    </w:p>
    <w:p w14:paraId="3B2F9EB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不向政府采购人、采购代理机构和政府采购评审专家进行任何形式的商业贿赂以谋取交易机会。</w:t>
      </w:r>
    </w:p>
    <w:p w14:paraId="7625C58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不向政府采购代理机构和采购人提供虚假资质文件或采用虚假应标方式参与政府采购市场竞争并谋取中标、成交。</w:t>
      </w:r>
    </w:p>
    <w:p w14:paraId="5088C29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不采取“围标、陪标”等商业欺诈手段获得政府采购定单。</w:t>
      </w:r>
    </w:p>
    <w:p w14:paraId="24909C8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不采取不正当手段诋毁、排挤其他供应商。</w:t>
      </w:r>
    </w:p>
    <w:p w14:paraId="231BE5CB">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不在提供商品和服务时“偷梁换柱、以次充好”损害采购人的合法权益。</w:t>
      </w:r>
    </w:p>
    <w:p w14:paraId="06BC9E27">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不与采购人、采购代理机构政府采购评审专家或其它供应商恶意串通，进行质疑和投诉，维护政府采购市场秩序。</w:t>
      </w:r>
    </w:p>
    <w:p w14:paraId="251D2AC7">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尊重和接受政府采购监督管理部门的监督和政府采购代理机构采购要求，承担因违约行为给采购人造成的损失。</w:t>
      </w:r>
    </w:p>
    <w:p w14:paraId="7AEFC9DE">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不发生其他有悖于政府采购公开、公平、公正和诚信原则的行为。</w:t>
      </w:r>
    </w:p>
    <w:p w14:paraId="55713600">
      <w:pPr>
        <w:pStyle w:val="8"/>
        <w:spacing w:line="360" w:lineRule="auto"/>
        <w:rPr>
          <w:rFonts w:hint="eastAsia"/>
          <w:color w:val="auto"/>
          <w:sz w:val="24"/>
          <w:szCs w:val="24"/>
          <w:highlight w:val="none"/>
        </w:rPr>
      </w:pPr>
    </w:p>
    <w:p w14:paraId="5D7B9C0D">
      <w:pPr>
        <w:widowControl/>
        <w:spacing w:line="360"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承诺单位：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4EDF1FD3">
      <w:pPr>
        <w:widowControl/>
        <w:spacing w:line="360"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w:t>
      </w:r>
    </w:p>
    <w:p w14:paraId="033EF379">
      <w:pPr>
        <w:widowControl/>
        <w:spacing w:line="360"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w:t>
      </w:r>
    </w:p>
    <w:p w14:paraId="7873A53D">
      <w:pPr>
        <w:widowControl/>
        <w:spacing w:line="360" w:lineRule="auto"/>
        <w:ind w:left="239" w:leftChars="11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邮  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0622803">
      <w:pPr>
        <w:widowControl/>
        <w:spacing w:line="360"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i/>
          <w:iCs/>
          <w:color w:val="auto"/>
          <w:sz w:val="24"/>
          <w:szCs w:val="24"/>
          <w:highlight w:val="none"/>
          <w:u w:val="single"/>
          <w:lang w:eastAsia="zh-CN"/>
        </w:rPr>
        <w:t xml:space="preserve">                      </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 xml:space="preserve">                    </w:t>
      </w:r>
    </w:p>
    <w:p w14:paraId="7D94A9F0">
      <w:pPr>
        <w:widowControl/>
        <w:spacing w:line="360" w:lineRule="auto"/>
        <w:ind w:left="239" w:leftChars="1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67CFEC">
      <w:pPr>
        <w:adjustRightInd w:val="0"/>
        <w:snapToGrid w:val="0"/>
        <w:spacing w:line="360" w:lineRule="auto"/>
        <w:ind w:firstLine="960" w:firstLineChars="400"/>
        <w:jc w:val="center"/>
        <w:rPr>
          <w:rFonts w:hint="eastAsia" w:hAnsi="宋体" w:cs="宋体"/>
          <w:b/>
          <w:color w:val="auto"/>
          <w:sz w:val="24"/>
          <w:szCs w:val="24"/>
          <w:highlight w:val="none"/>
          <w:lang w:val="en-US" w:eastAsia="zh-CN"/>
        </w:rPr>
      </w:pPr>
    </w:p>
    <w:p w14:paraId="2182F62B">
      <w:pPr>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br w:type="page"/>
      </w:r>
    </w:p>
    <w:p w14:paraId="450B7CDF">
      <w:pPr>
        <w:pStyle w:val="10"/>
        <w:jc w:val="center"/>
        <w:rPr>
          <w:color w:val="auto"/>
          <w:highlight w:val="none"/>
        </w:rPr>
      </w:pP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、方案</w:t>
      </w:r>
    </w:p>
    <w:p w14:paraId="54F02077">
      <w:pPr>
        <w:numPr>
          <w:ilvl w:val="0"/>
          <w:numId w:val="0"/>
        </w:numPr>
        <w:spacing w:line="360" w:lineRule="auto"/>
        <w:ind w:firstLine="480" w:firstLineChars="200"/>
        <w:rPr>
          <w:rFonts w:ascii="宋体" w:hAnsi="宋体" w:cs="宋体"/>
          <w:color w:val="auto"/>
          <w:kern w:val="0"/>
          <w:sz w:val="32"/>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应按照文件要求，根据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内容，并结合评标办法进行编制。格式由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自行拟定。</w:t>
      </w:r>
    </w:p>
    <w:p w14:paraId="410EEC9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w:t>
      </w:r>
    </w:p>
    <w:p w14:paraId="26A011D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（2）人员配置</w:t>
      </w:r>
    </w:p>
    <w:p w14:paraId="68F8B8A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（3）服务质量保证措施</w:t>
      </w:r>
    </w:p>
    <w:p w14:paraId="08D1EEB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（4）服务承诺</w:t>
      </w:r>
    </w:p>
    <w:p w14:paraId="50A545C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（5）保密措施</w:t>
      </w:r>
    </w:p>
    <w:p w14:paraId="4B0F9528">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31A70361">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2C6BFC52">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1F4B388D">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16E0B64F">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066A7127">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67052469">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5FF26ED3">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1A26F9E9">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114218FE">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708C10BD">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3D5A1CF4">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433CC507">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2B41FBA1">
      <w:pPr>
        <w:autoSpaceDE w:val="0"/>
        <w:autoSpaceDN w:val="0"/>
        <w:adjustRightInd w:val="0"/>
        <w:spacing w:line="360" w:lineRule="auto"/>
        <w:jc w:val="center"/>
        <w:textAlignment w:val="baseline"/>
        <w:rPr>
          <w:rFonts w:hint="eastAsia" w:ascii="宋体" w:hAnsi="宋体" w:eastAsia="宋体"/>
          <w:b/>
          <w:color w:val="auto"/>
          <w:kern w:val="0"/>
          <w:sz w:val="32"/>
          <w:szCs w:val="32"/>
          <w:highlight w:val="none"/>
          <w:lang w:val="en-US" w:eastAsia="zh-CN"/>
        </w:rPr>
      </w:pPr>
    </w:p>
    <w:p w14:paraId="06AAE9DC">
      <w:pPr>
        <w:numPr>
          <w:ilvl w:val="0"/>
          <w:numId w:val="0"/>
        </w:numPr>
        <w:autoSpaceDE w:val="0"/>
        <w:autoSpaceDN w:val="0"/>
        <w:adjustRightInd w:val="0"/>
        <w:spacing w:line="360" w:lineRule="auto"/>
        <w:jc w:val="both"/>
        <w:textAlignment w:val="baseline"/>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hint="eastAsia" w:ascii="宋体" w:hAnsi="宋体" w:eastAsia="宋体"/>
          <w:b/>
          <w:color w:val="auto"/>
          <w:kern w:val="0"/>
          <w:sz w:val="32"/>
          <w:szCs w:val="32"/>
          <w:highlight w:val="none"/>
          <w:lang w:val="en-US" w:eastAsia="zh-CN"/>
        </w:rPr>
        <w:t xml:space="preserve">                  七、</w:t>
      </w:r>
      <w:r>
        <w:rPr>
          <w:rFonts w:hint="eastAsia" w:ascii="宋体" w:hAnsi="宋体"/>
          <w:b/>
          <w:color w:val="auto"/>
          <w:kern w:val="0"/>
          <w:sz w:val="32"/>
          <w:szCs w:val="32"/>
          <w:highlight w:val="none"/>
        </w:rPr>
        <w:t>近</w:t>
      </w:r>
      <w:r>
        <w:rPr>
          <w:rFonts w:hint="eastAsia" w:ascii="宋体" w:hAnsi="宋体" w:eastAsia="宋体"/>
          <w:b/>
          <w:color w:val="auto"/>
          <w:kern w:val="0"/>
          <w:sz w:val="32"/>
          <w:szCs w:val="32"/>
          <w:highlight w:val="none"/>
          <w:lang w:val="en-US" w:eastAsia="zh-CN"/>
        </w:rPr>
        <w:t>三</w:t>
      </w:r>
      <w:r>
        <w:rPr>
          <w:rFonts w:hint="eastAsia" w:ascii="宋体" w:hAnsi="宋体"/>
          <w:b/>
          <w:color w:val="auto"/>
          <w:kern w:val="0"/>
          <w:sz w:val="32"/>
          <w:szCs w:val="32"/>
          <w:highlight w:val="none"/>
        </w:rPr>
        <w:t>年业绩的有关证明材料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075"/>
        <w:gridCol w:w="3228"/>
        <w:gridCol w:w="1882"/>
      </w:tblGrid>
      <w:tr w14:paraId="2706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53" w:type="dxa"/>
            <w:noWrap w:val="0"/>
            <w:vAlign w:val="center"/>
          </w:tcPr>
          <w:p w14:paraId="2F6CEB27">
            <w:pPr>
              <w:adjustRightInd w:val="0"/>
              <w:spacing w:line="360" w:lineRule="auto"/>
              <w:jc w:val="center"/>
              <w:textAlignment w:val="baseline"/>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075" w:type="dxa"/>
            <w:noWrap w:val="0"/>
            <w:vAlign w:val="center"/>
          </w:tcPr>
          <w:p w14:paraId="434DF8ED">
            <w:pPr>
              <w:adjustRightInd w:val="0"/>
              <w:spacing w:line="360" w:lineRule="auto"/>
              <w:jc w:val="center"/>
              <w:textAlignment w:val="baseline"/>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项目名称</w:t>
            </w:r>
          </w:p>
        </w:tc>
        <w:tc>
          <w:tcPr>
            <w:tcW w:w="3228" w:type="dxa"/>
            <w:noWrap w:val="0"/>
            <w:vAlign w:val="center"/>
          </w:tcPr>
          <w:p w14:paraId="37DAD34C">
            <w:pPr>
              <w:adjustRightInd w:val="0"/>
              <w:spacing w:line="360" w:lineRule="auto"/>
              <w:jc w:val="center"/>
              <w:textAlignment w:val="baseline"/>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合同签订时间</w:t>
            </w:r>
          </w:p>
        </w:tc>
        <w:tc>
          <w:tcPr>
            <w:tcW w:w="1882" w:type="dxa"/>
            <w:noWrap w:val="0"/>
            <w:vAlign w:val="center"/>
          </w:tcPr>
          <w:p w14:paraId="76FFD27F">
            <w:pPr>
              <w:adjustRightInd w:val="0"/>
              <w:spacing w:line="360" w:lineRule="auto"/>
              <w:jc w:val="center"/>
              <w:textAlignment w:val="baseline"/>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en-US" w:eastAsia="zh-CN"/>
              </w:rPr>
              <w:t>备注</w:t>
            </w:r>
          </w:p>
        </w:tc>
      </w:tr>
      <w:tr w14:paraId="2D5F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49E25E65">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4DD3530B">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523BECC3">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48F315AB">
            <w:pPr>
              <w:adjustRightInd w:val="0"/>
              <w:spacing w:line="360" w:lineRule="auto"/>
              <w:jc w:val="left"/>
              <w:textAlignment w:val="baseline"/>
              <w:rPr>
                <w:rFonts w:hint="eastAsia" w:ascii="宋体" w:hAnsi="宋体" w:cs="宋体"/>
                <w:color w:val="auto"/>
                <w:kern w:val="0"/>
                <w:sz w:val="24"/>
                <w:szCs w:val="24"/>
                <w:highlight w:val="none"/>
              </w:rPr>
            </w:pPr>
          </w:p>
        </w:tc>
      </w:tr>
      <w:tr w14:paraId="6129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50510811">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7DCA9B21">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0187CE91">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22FBB1AD">
            <w:pPr>
              <w:adjustRightInd w:val="0"/>
              <w:spacing w:line="360" w:lineRule="auto"/>
              <w:jc w:val="left"/>
              <w:textAlignment w:val="baseline"/>
              <w:rPr>
                <w:rFonts w:hint="eastAsia" w:ascii="宋体" w:hAnsi="宋体" w:cs="宋体"/>
                <w:color w:val="auto"/>
                <w:kern w:val="0"/>
                <w:sz w:val="24"/>
                <w:szCs w:val="24"/>
                <w:highlight w:val="none"/>
              </w:rPr>
            </w:pPr>
          </w:p>
        </w:tc>
      </w:tr>
      <w:tr w14:paraId="00AD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53" w:type="dxa"/>
            <w:noWrap w:val="0"/>
            <w:vAlign w:val="top"/>
          </w:tcPr>
          <w:p w14:paraId="2B619719">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6DDA1531">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1B0C5CD6">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479CEA61">
            <w:pPr>
              <w:adjustRightInd w:val="0"/>
              <w:spacing w:line="360" w:lineRule="auto"/>
              <w:jc w:val="left"/>
              <w:textAlignment w:val="baseline"/>
              <w:rPr>
                <w:rFonts w:hint="eastAsia" w:ascii="宋体" w:hAnsi="宋体" w:cs="宋体"/>
                <w:color w:val="auto"/>
                <w:kern w:val="0"/>
                <w:sz w:val="24"/>
                <w:szCs w:val="24"/>
                <w:highlight w:val="none"/>
              </w:rPr>
            </w:pPr>
          </w:p>
        </w:tc>
      </w:tr>
      <w:tr w14:paraId="5508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6047BEF9">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12AAB6A6">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7A76D305">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3F2C0852">
            <w:pPr>
              <w:adjustRightInd w:val="0"/>
              <w:spacing w:line="360" w:lineRule="auto"/>
              <w:jc w:val="left"/>
              <w:textAlignment w:val="baseline"/>
              <w:rPr>
                <w:rFonts w:hint="eastAsia" w:ascii="宋体" w:hAnsi="宋体" w:cs="宋体"/>
                <w:color w:val="auto"/>
                <w:kern w:val="0"/>
                <w:sz w:val="24"/>
                <w:szCs w:val="24"/>
                <w:highlight w:val="none"/>
              </w:rPr>
            </w:pPr>
          </w:p>
        </w:tc>
      </w:tr>
      <w:tr w14:paraId="7F3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66901252">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167530D8">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3EB338AD">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77D88B2F">
            <w:pPr>
              <w:adjustRightInd w:val="0"/>
              <w:spacing w:line="360" w:lineRule="auto"/>
              <w:jc w:val="left"/>
              <w:textAlignment w:val="baseline"/>
              <w:rPr>
                <w:rFonts w:hint="eastAsia" w:ascii="宋体" w:hAnsi="宋体" w:cs="宋体"/>
                <w:color w:val="auto"/>
                <w:kern w:val="0"/>
                <w:sz w:val="24"/>
                <w:szCs w:val="24"/>
                <w:highlight w:val="none"/>
              </w:rPr>
            </w:pPr>
          </w:p>
        </w:tc>
      </w:tr>
      <w:tr w14:paraId="5712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42C06EF8">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791D7E53">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2864FD77">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22B004CA">
            <w:pPr>
              <w:adjustRightInd w:val="0"/>
              <w:spacing w:line="360" w:lineRule="auto"/>
              <w:jc w:val="left"/>
              <w:textAlignment w:val="baseline"/>
              <w:rPr>
                <w:rFonts w:hint="eastAsia" w:ascii="宋体" w:hAnsi="宋体" w:cs="宋体"/>
                <w:color w:val="auto"/>
                <w:kern w:val="0"/>
                <w:sz w:val="24"/>
                <w:szCs w:val="24"/>
                <w:highlight w:val="none"/>
              </w:rPr>
            </w:pPr>
          </w:p>
        </w:tc>
      </w:tr>
      <w:tr w14:paraId="216B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53" w:type="dxa"/>
            <w:noWrap w:val="0"/>
            <w:vAlign w:val="top"/>
          </w:tcPr>
          <w:p w14:paraId="583C6406">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4BBF1E60">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19CAD16A">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6594D6E3">
            <w:pPr>
              <w:adjustRightInd w:val="0"/>
              <w:spacing w:line="360" w:lineRule="auto"/>
              <w:jc w:val="left"/>
              <w:textAlignment w:val="baseline"/>
              <w:rPr>
                <w:rFonts w:hint="eastAsia" w:ascii="宋体" w:hAnsi="宋体" w:cs="宋体"/>
                <w:color w:val="auto"/>
                <w:kern w:val="0"/>
                <w:sz w:val="24"/>
                <w:szCs w:val="24"/>
                <w:highlight w:val="none"/>
              </w:rPr>
            </w:pPr>
          </w:p>
        </w:tc>
      </w:tr>
      <w:tr w14:paraId="7B88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4840D397">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549094E3">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79BAEBE9">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60FB52E2">
            <w:pPr>
              <w:adjustRightInd w:val="0"/>
              <w:spacing w:line="360" w:lineRule="auto"/>
              <w:jc w:val="left"/>
              <w:textAlignment w:val="baseline"/>
              <w:rPr>
                <w:rFonts w:hint="eastAsia" w:ascii="宋体" w:hAnsi="宋体" w:cs="宋体"/>
                <w:color w:val="auto"/>
                <w:kern w:val="0"/>
                <w:sz w:val="24"/>
                <w:szCs w:val="24"/>
                <w:highlight w:val="none"/>
              </w:rPr>
            </w:pPr>
          </w:p>
        </w:tc>
      </w:tr>
      <w:tr w14:paraId="0DC4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3" w:type="dxa"/>
            <w:noWrap w:val="0"/>
            <w:vAlign w:val="top"/>
          </w:tcPr>
          <w:p w14:paraId="6BE25A4B">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30C36AFF">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5C5AD9E7">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5BE62FCA">
            <w:pPr>
              <w:adjustRightInd w:val="0"/>
              <w:spacing w:line="360" w:lineRule="auto"/>
              <w:jc w:val="left"/>
              <w:textAlignment w:val="baseline"/>
              <w:rPr>
                <w:rFonts w:hint="eastAsia" w:ascii="宋体" w:hAnsi="宋体" w:cs="宋体"/>
                <w:color w:val="auto"/>
                <w:kern w:val="0"/>
                <w:sz w:val="24"/>
                <w:szCs w:val="24"/>
                <w:highlight w:val="none"/>
              </w:rPr>
            </w:pPr>
          </w:p>
        </w:tc>
      </w:tr>
      <w:tr w14:paraId="6FD9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53" w:type="dxa"/>
            <w:noWrap w:val="0"/>
            <w:vAlign w:val="top"/>
          </w:tcPr>
          <w:p w14:paraId="6275BA0A">
            <w:pPr>
              <w:adjustRightInd w:val="0"/>
              <w:spacing w:line="360" w:lineRule="auto"/>
              <w:jc w:val="left"/>
              <w:textAlignment w:val="baseline"/>
              <w:rPr>
                <w:rFonts w:hint="eastAsia" w:ascii="宋体" w:hAnsi="宋体" w:cs="宋体"/>
                <w:color w:val="auto"/>
                <w:kern w:val="0"/>
                <w:sz w:val="24"/>
                <w:szCs w:val="24"/>
                <w:highlight w:val="none"/>
              </w:rPr>
            </w:pPr>
          </w:p>
        </w:tc>
        <w:tc>
          <w:tcPr>
            <w:tcW w:w="2075" w:type="dxa"/>
            <w:noWrap w:val="0"/>
            <w:vAlign w:val="top"/>
          </w:tcPr>
          <w:p w14:paraId="06A95D8C">
            <w:pPr>
              <w:adjustRightInd w:val="0"/>
              <w:spacing w:line="360" w:lineRule="auto"/>
              <w:jc w:val="left"/>
              <w:textAlignment w:val="baseline"/>
              <w:rPr>
                <w:rFonts w:hint="eastAsia" w:ascii="宋体" w:hAnsi="宋体" w:cs="宋体"/>
                <w:color w:val="auto"/>
                <w:kern w:val="0"/>
                <w:sz w:val="24"/>
                <w:szCs w:val="24"/>
                <w:highlight w:val="none"/>
              </w:rPr>
            </w:pPr>
          </w:p>
        </w:tc>
        <w:tc>
          <w:tcPr>
            <w:tcW w:w="3228" w:type="dxa"/>
            <w:noWrap w:val="0"/>
            <w:vAlign w:val="top"/>
          </w:tcPr>
          <w:p w14:paraId="4407859B">
            <w:pPr>
              <w:adjustRightInd w:val="0"/>
              <w:spacing w:line="360" w:lineRule="auto"/>
              <w:jc w:val="left"/>
              <w:textAlignment w:val="baseline"/>
              <w:rPr>
                <w:rFonts w:hint="eastAsia" w:ascii="宋体" w:hAnsi="宋体" w:cs="宋体"/>
                <w:color w:val="auto"/>
                <w:kern w:val="0"/>
                <w:sz w:val="24"/>
                <w:szCs w:val="24"/>
                <w:highlight w:val="none"/>
              </w:rPr>
            </w:pPr>
          </w:p>
        </w:tc>
        <w:tc>
          <w:tcPr>
            <w:tcW w:w="1882" w:type="dxa"/>
            <w:noWrap w:val="0"/>
            <w:vAlign w:val="top"/>
          </w:tcPr>
          <w:p w14:paraId="3A351981">
            <w:pPr>
              <w:adjustRightInd w:val="0"/>
              <w:spacing w:line="360" w:lineRule="auto"/>
              <w:jc w:val="left"/>
              <w:textAlignment w:val="baseline"/>
              <w:rPr>
                <w:rFonts w:hint="eastAsia" w:ascii="宋体" w:hAnsi="宋体" w:cs="宋体"/>
                <w:color w:val="auto"/>
                <w:kern w:val="0"/>
                <w:sz w:val="24"/>
                <w:szCs w:val="24"/>
                <w:highlight w:val="none"/>
              </w:rPr>
            </w:pPr>
          </w:p>
        </w:tc>
      </w:tr>
    </w:tbl>
    <w:p w14:paraId="1AA17BBE">
      <w:pPr>
        <w:adjustRightInd w:val="0"/>
        <w:spacing w:line="360" w:lineRule="auto"/>
        <w:jc w:val="left"/>
        <w:textAlignment w:val="baseline"/>
        <w:rPr>
          <w:rFonts w:hint="eastAsia" w:ascii="宋体" w:hAnsi="宋体" w:cs="宋体"/>
          <w:color w:val="auto"/>
          <w:kern w:val="0"/>
          <w:sz w:val="24"/>
          <w:szCs w:val="24"/>
          <w:highlight w:val="none"/>
        </w:rPr>
      </w:pPr>
    </w:p>
    <w:p w14:paraId="12E48702">
      <w:pPr>
        <w:autoSpaceDE w:val="0"/>
        <w:autoSpaceDN w:val="0"/>
        <w:adjustRightInd w:val="0"/>
        <w:spacing w:line="360" w:lineRule="auto"/>
        <w:ind w:firstLine="480" w:firstLineChars="200"/>
        <w:jc w:val="left"/>
        <w:textAlignment w:val="baseline"/>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说明：</w:t>
      </w:r>
    </w:p>
    <w:p w14:paraId="38971CEE">
      <w:pPr>
        <w:autoSpaceDE w:val="0"/>
        <w:autoSpaceDN w:val="0"/>
        <w:adjustRightInd w:val="0"/>
        <w:spacing w:line="360" w:lineRule="auto"/>
        <w:ind w:left="479" w:leftChars="228" w:firstLine="0" w:firstLineChars="0"/>
        <w:jc w:val="left"/>
        <w:textAlignment w:val="baseline"/>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1.本表后附合同复印件，合同签订时间以合同中体现的内容为准。（近三年指202</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zh-CN"/>
        </w:rPr>
        <w:t xml:space="preserve">年1月1日至今）   </w:t>
      </w:r>
    </w:p>
    <w:p w14:paraId="186C4A6C">
      <w:pPr>
        <w:autoSpaceDE w:val="0"/>
        <w:autoSpaceDN w:val="0"/>
        <w:adjustRightInd w:val="0"/>
        <w:spacing w:line="360" w:lineRule="auto"/>
        <w:ind w:firstLine="480" w:firstLineChars="200"/>
        <w:jc w:val="left"/>
        <w:textAlignment w:val="baseline"/>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2.供应商应如实列出以上情况，如有隐瞒，一经查实将导致其磋商响应文件被拒绝。</w:t>
      </w:r>
    </w:p>
    <w:p w14:paraId="5AD64B83">
      <w:pPr>
        <w:autoSpaceDE w:val="0"/>
        <w:autoSpaceDN w:val="0"/>
        <w:adjustRightInd w:val="0"/>
        <w:spacing w:line="360" w:lineRule="auto"/>
        <w:ind w:firstLine="480" w:firstLineChars="200"/>
        <w:jc w:val="left"/>
        <w:textAlignment w:val="baseline"/>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3.未按上述要求提供、填写的，评审时不予以考虑。</w:t>
      </w:r>
    </w:p>
    <w:p w14:paraId="51CBF221">
      <w:pPr>
        <w:adjustRightInd w:val="0"/>
        <w:spacing w:line="360" w:lineRule="auto"/>
        <w:ind w:right="-197" w:rightChars="-94"/>
        <w:jc w:val="left"/>
        <w:textAlignment w:val="baseline"/>
        <w:rPr>
          <w:rFonts w:hint="eastAsia" w:ascii="宋体" w:hAnsi="宋体" w:cs="宋体"/>
          <w:color w:val="auto"/>
          <w:kern w:val="0"/>
          <w:sz w:val="24"/>
          <w:szCs w:val="24"/>
          <w:highlight w:val="none"/>
        </w:rPr>
      </w:pPr>
    </w:p>
    <w:p w14:paraId="1A1A7B1D">
      <w:pPr>
        <w:adjustRightInd w:val="0"/>
        <w:spacing w:line="360" w:lineRule="auto"/>
        <w:ind w:right="540" w:rightChars="257" w:firstLine="3600" w:firstLineChars="1500"/>
        <w:jc w:val="left"/>
        <w:textAlignment w:val="baseline"/>
        <w:rPr>
          <w:rFonts w:hint="eastAsia" w:ascii="宋体" w:hAnsi="宋体" w:cs="宋体"/>
          <w:color w:val="auto"/>
          <w:kern w:val="0"/>
          <w:sz w:val="24"/>
          <w:szCs w:val="24"/>
          <w:highlight w:val="none"/>
        </w:rPr>
      </w:pPr>
    </w:p>
    <w:p w14:paraId="495AF4B1">
      <w:pPr>
        <w:adjustRightInd w:val="0"/>
        <w:spacing w:line="360" w:lineRule="auto"/>
        <w:ind w:right="540" w:rightChars="257" w:firstLine="3600" w:firstLineChars="1500"/>
        <w:jc w:val="left"/>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供应商名称（加盖公章）：</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p>
    <w:p w14:paraId="7DF4F141">
      <w:pPr>
        <w:adjustRightInd w:val="0"/>
        <w:spacing w:line="360" w:lineRule="auto"/>
        <w:ind w:left="210" w:leftChars="100" w:firstLine="3360" w:firstLineChars="14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p>
    <w:p w14:paraId="381B900C">
      <w:pPr>
        <w:adjustRightInd w:val="0"/>
        <w:spacing w:before="120" w:beforeLines="50" w:after="120" w:afterLines="50" w:line="360" w:lineRule="auto"/>
        <w:ind w:firstLine="3600" w:firstLineChars="1500"/>
        <w:textAlignment w:val="baseline"/>
        <w:outlineLvl w:val="1"/>
        <w:rPr>
          <w:rFonts w:ascii="宋体" w:hAnsi="宋体"/>
          <w:b/>
          <w:color w:val="auto"/>
          <w:kern w:val="0"/>
          <w:szCs w:val="21"/>
          <w:highlight w:val="none"/>
        </w:rPr>
      </w:pPr>
      <w:r>
        <w:rPr>
          <w:rFonts w:hint="eastAsia" w:ascii="宋体" w:hAnsi="宋体" w:cs="宋体"/>
          <w:color w:val="auto"/>
          <w:kern w:val="0"/>
          <w:sz w:val="24"/>
          <w:szCs w:val="24"/>
          <w:highlight w:val="none"/>
        </w:rPr>
        <w:t>日</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期：</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p>
    <w:p w14:paraId="0C74ACEA">
      <w:pPr>
        <w:rPr>
          <w:rFonts w:hint="eastAsia" w:hAnsi="宋体" w:cs="宋体"/>
          <w:b/>
          <w:bCs/>
          <w:color w:val="auto"/>
          <w:kern w:val="2"/>
          <w:sz w:val="32"/>
          <w:szCs w:val="32"/>
          <w:highlight w:val="none"/>
          <w:lang w:val="en-US" w:eastAsia="zh-CN" w:bidi="ar-SA"/>
        </w:rPr>
      </w:pPr>
    </w:p>
    <w:p w14:paraId="0901067A">
      <w:pPr>
        <w:rPr>
          <w:rFonts w:hint="eastAsia" w:hAnsi="宋体" w:cs="宋体"/>
          <w:b/>
          <w:bCs/>
          <w:color w:val="auto"/>
          <w:sz w:val="32"/>
          <w:szCs w:val="32"/>
          <w:highlight w:val="none"/>
        </w:rPr>
      </w:pPr>
      <w:r>
        <w:rPr>
          <w:rFonts w:hint="eastAsia" w:hAnsi="宋体" w:cs="宋体"/>
          <w:b/>
          <w:bCs/>
          <w:color w:val="auto"/>
          <w:kern w:val="2"/>
          <w:sz w:val="32"/>
          <w:szCs w:val="32"/>
          <w:highlight w:val="none"/>
          <w:lang w:val="en-US" w:eastAsia="zh-CN" w:bidi="ar-SA"/>
        </w:rPr>
        <w:br w:type="page"/>
      </w:r>
    </w:p>
    <w:p w14:paraId="35A12D8D">
      <w:pPr>
        <w:pStyle w:val="3"/>
        <w:keepNext w:val="0"/>
        <w:keepLines w:val="0"/>
        <w:pageBreakBefore w:val="0"/>
        <w:widowControl w:val="0"/>
        <w:numPr>
          <w:ilvl w:val="0"/>
          <w:numId w:val="0"/>
        </w:numPr>
        <w:tabs>
          <w:tab w:val="clear" w:pos="960"/>
        </w:tabs>
        <w:kinsoku/>
        <w:wordWrap/>
        <w:overflowPunct/>
        <w:topLinePunct w:val="0"/>
        <w:autoSpaceDE/>
        <w:autoSpaceDN/>
        <w:bidi w:val="0"/>
        <w:adjustRightInd/>
        <w:snapToGrid/>
        <w:spacing w:before="168" w:beforeLines="50" w:after="0" w:line="360" w:lineRule="auto"/>
        <w:jc w:val="center"/>
        <w:textAlignment w:val="auto"/>
        <w:outlineLvl w:val="1"/>
        <w:rPr>
          <w:rFonts w:hint="eastAsia" w:ascii="宋体" w:hAnsi="宋体" w:eastAsia="宋体" w:cs="宋体"/>
          <w:b w:val="0"/>
          <w:bCs/>
          <w:color w:val="auto"/>
          <w:sz w:val="28"/>
          <w:szCs w:val="28"/>
          <w:highlight w:val="none"/>
          <w:lang w:eastAsia="zh-CN"/>
        </w:rPr>
      </w:pPr>
      <w:r>
        <w:rPr>
          <w:rFonts w:hint="eastAsia"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val="en-US" w:eastAsia="zh-CN"/>
        </w:rPr>
        <w:t>、供应商认为需要提交的其他资料</w:t>
      </w:r>
    </w:p>
    <w:p w14:paraId="62777629">
      <w:pPr>
        <w:ind w:firstLine="560" w:firstLineChars="200"/>
        <w:rPr>
          <w:rFonts w:hint="eastAsia" w:ascii="宋体" w:hAnsi="宋体" w:eastAsia="宋体" w:cs="宋体"/>
          <w:b w:val="0"/>
          <w:bCs/>
          <w:color w:val="auto"/>
          <w:sz w:val="28"/>
          <w:szCs w:val="28"/>
          <w:highlight w:val="none"/>
          <w:lang w:eastAsia="zh-CN"/>
        </w:rPr>
      </w:pPr>
    </w:p>
    <w:p w14:paraId="39B3F2D8">
      <w:pPr>
        <w:pStyle w:val="5"/>
        <w:rPr>
          <w:rFonts w:hint="eastAsia" w:hAnsi="宋体" w:cs="宋体"/>
          <w:b/>
          <w:bCs/>
          <w:color w:val="auto"/>
          <w:sz w:val="32"/>
          <w:szCs w:val="32"/>
          <w:highlight w:val="none"/>
        </w:rPr>
      </w:pPr>
    </w:p>
    <w:p w14:paraId="3347E110">
      <w:pPr>
        <w:rPr>
          <w:rFonts w:hint="eastAsia" w:hAnsi="宋体" w:cs="宋体"/>
          <w:b/>
          <w:bCs/>
          <w:color w:val="auto"/>
          <w:sz w:val="32"/>
          <w:szCs w:val="32"/>
          <w:highlight w:val="none"/>
        </w:rPr>
      </w:pPr>
    </w:p>
    <w:p w14:paraId="35FD42F5">
      <w:pPr>
        <w:rPr>
          <w:rFonts w:hint="eastAsia"/>
          <w:color w:val="auto"/>
          <w:highlight w:val="none"/>
        </w:rPr>
      </w:pPr>
    </w:p>
    <w:p w14:paraId="6383A53F">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DBADD2C">
      <w:pPr>
        <w:spacing w:line="588" w:lineRule="exact"/>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p>
    <w:p w14:paraId="065167EE">
      <w:pPr>
        <w:spacing w:line="588" w:lineRule="exact"/>
        <w:ind w:firstLine="506" w:firstLineChars="200"/>
        <w:jc w:val="center"/>
        <w:rPr>
          <w:rFonts w:hint="eastAsia" w:ascii="宋体" w:hAnsi="宋体" w:cs="宋体"/>
          <w:color w:val="auto"/>
          <w:spacing w:val="-2"/>
          <w:szCs w:val="21"/>
          <w:highlight w:val="none"/>
        </w:rPr>
      </w:pPr>
      <w:r>
        <w:rPr>
          <w:rFonts w:hint="eastAsia" w:ascii="宋体" w:hAnsi="宋体" w:eastAsia="宋体" w:cs="宋体"/>
          <w:b/>
          <w:color w:val="auto"/>
          <w:spacing w:val="6"/>
          <w:sz w:val="24"/>
          <w:highlight w:val="none"/>
          <w:lang w:eastAsia="zh-CN"/>
        </w:rPr>
        <w:t>（</w:t>
      </w:r>
      <w:r>
        <w:rPr>
          <w:rFonts w:hint="eastAsia" w:ascii="宋体" w:hAnsi="宋体" w:eastAsia="宋体" w:cs="宋体"/>
          <w:b/>
          <w:color w:val="auto"/>
          <w:spacing w:val="6"/>
          <w:sz w:val="24"/>
          <w:highlight w:val="none"/>
          <w:lang w:val="en-US" w:eastAsia="zh-CN"/>
        </w:rPr>
        <w:t>一</w:t>
      </w:r>
      <w:r>
        <w:rPr>
          <w:rFonts w:hint="eastAsia" w:ascii="宋体" w:hAnsi="宋体" w:eastAsia="宋体" w:cs="宋体"/>
          <w:b/>
          <w:color w:val="auto"/>
          <w:spacing w:val="6"/>
          <w:sz w:val="24"/>
          <w:highlight w:val="none"/>
          <w:lang w:eastAsia="zh-CN"/>
        </w:rPr>
        <w:t>）</w:t>
      </w:r>
      <w:r>
        <w:rPr>
          <w:rFonts w:hint="eastAsia" w:ascii="宋体" w:hAnsi="宋体" w:cs="宋体"/>
          <w:b/>
          <w:color w:val="auto"/>
          <w:spacing w:val="6"/>
          <w:sz w:val="24"/>
          <w:highlight w:val="none"/>
        </w:rPr>
        <w:t>中小企业声明函</w:t>
      </w:r>
    </w:p>
    <w:p w14:paraId="2317AACF">
      <w:pPr>
        <w:spacing w:line="360" w:lineRule="auto"/>
        <w:ind w:firstLine="472" w:firstLineChars="200"/>
        <w:rPr>
          <w:rFonts w:hint="eastAsia" w:ascii="宋体" w:hAnsi="宋体" w:cs="宋体"/>
          <w:color w:val="auto"/>
          <w:spacing w:val="6"/>
          <w:sz w:val="24"/>
          <w:szCs w:val="24"/>
          <w:highlight w:val="none"/>
        </w:rPr>
      </w:pPr>
      <w:r>
        <w:rPr>
          <w:rFonts w:hint="eastAsia" w:ascii="宋体" w:hAnsi="宋体" w:cs="宋体"/>
          <w:color w:val="auto"/>
          <w:spacing w:val="-2"/>
          <w:sz w:val="24"/>
          <w:szCs w:val="24"/>
          <w:highlight w:val="none"/>
        </w:rPr>
        <w:t>本公司</w:t>
      </w:r>
      <w:r>
        <w:rPr>
          <w:rFonts w:hint="eastAsia" w:ascii="宋体" w:hAnsi="宋体" w:cs="宋体"/>
          <w:color w:val="auto"/>
          <w:spacing w:val="-2"/>
          <w:sz w:val="24"/>
          <w:szCs w:val="24"/>
          <w:highlight w:val="none"/>
          <w:lang w:eastAsia="zh-CN"/>
        </w:rPr>
        <w:t>（联合体）</w:t>
      </w:r>
      <w:r>
        <w:rPr>
          <w:rFonts w:hint="eastAsia" w:ascii="宋体" w:hAnsi="宋体" w:cs="宋体"/>
          <w:color w:val="auto"/>
          <w:spacing w:val="-2"/>
          <w:sz w:val="24"/>
          <w:szCs w:val="24"/>
          <w:highlight w:val="none"/>
        </w:rPr>
        <w:t>郑重声明，根据</w:t>
      </w:r>
      <w:r>
        <w:rPr>
          <w:rFonts w:hint="eastAsia" w:ascii="宋体" w:hAnsi="宋体" w:cs="宋体"/>
          <w:color w:val="auto"/>
          <w:spacing w:val="4"/>
          <w:sz w:val="24"/>
          <w:szCs w:val="24"/>
          <w:highlight w:val="none"/>
        </w:rPr>
        <w:t>《政府采购促进中小企业发展管理办法》（</w:t>
      </w:r>
      <w:r>
        <w:rPr>
          <w:rFonts w:hint="eastAsia" w:ascii="宋体" w:hAnsi="宋体" w:cs="宋体"/>
          <w:color w:val="auto"/>
          <w:spacing w:val="5"/>
          <w:sz w:val="24"/>
          <w:szCs w:val="24"/>
          <w:highlight w:val="none"/>
        </w:rPr>
        <w:t>财库</w:t>
      </w:r>
      <w:r>
        <w:rPr>
          <w:rFonts w:hint="eastAsia" w:ascii="宋体" w:hAnsi="宋体" w:cs="宋体"/>
          <w:color w:val="auto"/>
          <w:sz w:val="24"/>
          <w:szCs w:val="24"/>
          <w:highlight w:val="none"/>
        </w:rPr>
        <w:t>﹝2020﹞46</w:t>
      </w:r>
      <w:r>
        <w:rPr>
          <w:rFonts w:hint="eastAsia" w:ascii="宋体" w:hAnsi="宋体" w:cs="宋体"/>
          <w:color w:val="auto"/>
          <w:spacing w:val="-38"/>
          <w:sz w:val="24"/>
          <w:szCs w:val="24"/>
          <w:highlight w:val="none"/>
        </w:rPr>
        <w:t xml:space="preserve"> 号</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的规定，本公司（联合体）</w:t>
      </w:r>
      <w:r>
        <w:rPr>
          <w:rFonts w:hint="eastAsia" w:ascii="宋体" w:hAnsi="宋体" w:cs="宋体"/>
          <w:color w:val="auto"/>
          <w:spacing w:val="-2"/>
          <w:sz w:val="24"/>
          <w:szCs w:val="24"/>
          <w:highlight w:val="none"/>
        </w:rPr>
        <w:t>参加</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single"/>
          <w:lang w:val="zh-CN"/>
        </w:rPr>
        <w:t>（单位名称）</w:t>
      </w:r>
      <w:r>
        <w:rPr>
          <w:rFonts w:hint="eastAsia" w:ascii="宋体" w:hAnsi="宋体" w:cs="宋体"/>
          <w:color w:val="auto"/>
          <w:spacing w:val="-2"/>
          <w:sz w:val="24"/>
          <w:szCs w:val="24"/>
          <w:highlight w:val="none"/>
        </w:rPr>
        <w:t>的</w:t>
      </w:r>
      <w:r>
        <w:rPr>
          <w:rFonts w:hint="eastAsia" w:ascii="宋体" w:hAnsi="宋体" w:cs="宋体"/>
          <w:color w:val="auto"/>
          <w:spacing w:val="-2"/>
          <w:sz w:val="24"/>
          <w:szCs w:val="24"/>
          <w:highlight w:val="none"/>
          <w:u w:val="single"/>
          <w:lang w:val="zh-CN"/>
        </w:rPr>
        <w:t>（项目名称）</w:t>
      </w:r>
      <w:r>
        <w:rPr>
          <w:rFonts w:hint="eastAsia" w:ascii="宋体" w:hAnsi="宋体" w:cs="宋体"/>
          <w:color w:val="auto"/>
          <w:spacing w:val="-2"/>
          <w:sz w:val="24"/>
          <w:szCs w:val="24"/>
          <w:highlight w:val="none"/>
        </w:rPr>
        <w:t>采购活动，提供的服务全部由符合政策</w:t>
      </w:r>
      <w:r>
        <w:rPr>
          <w:rFonts w:hint="eastAsia" w:ascii="宋体" w:hAnsi="宋体" w:cs="宋体"/>
          <w:color w:val="auto"/>
          <w:sz w:val="24"/>
          <w:szCs w:val="24"/>
          <w:highlight w:val="none"/>
        </w:rPr>
        <w:t>要求的中小企业承接。相关企业（含联合体中的中小企业、签订分包意向协议的中小企业）的具体情况如下：</w:t>
      </w:r>
    </w:p>
    <w:p w14:paraId="68469039">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6"/>
          <w:sz w:val="24"/>
          <w:szCs w:val="24"/>
          <w:highlight w:val="none"/>
          <w:u w:val="single"/>
        </w:rPr>
        <w:t>（标的名称）</w:t>
      </w:r>
      <w:r>
        <w:rPr>
          <w:rFonts w:hint="eastAsia" w:ascii="宋体" w:hAnsi="宋体" w:cs="宋体"/>
          <w:color w:val="auto"/>
          <w:spacing w:val="6"/>
          <w:sz w:val="24"/>
          <w:szCs w:val="24"/>
          <w:highlight w:val="none"/>
        </w:rPr>
        <w:t>，属于</w:t>
      </w:r>
      <w:r>
        <w:rPr>
          <w:rFonts w:hint="eastAsia" w:ascii="宋体" w:hAnsi="宋体" w:cs="宋体"/>
          <w:color w:val="auto"/>
          <w:spacing w:val="6"/>
          <w:sz w:val="24"/>
          <w:szCs w:val="24"/>
          <w:highlight w:val="none"/>
          <w:u w:val="single"/>
        </w:rPr>
        <w:t xml:space="preserve">         （采购文件中明确的所属行业）</w:t>
      </w:r>
      <w:r>
        <w:rPr>
          <w:rFonts w:hint="eastAsia" w:ascii="宋体" w:hAnsi="宋体" w:cs="宋体"/>
          <w:color w:val="auto"/>
          <w:spacing w:val="6"/>
          <w:sz w:val="24"/>
          <w:szCs w:val="24"/>
          <w:highlight w:val="none"/>
        </w:rPr>
        <w:t>；承建（承接）企业为</w:t>
      </w:r>
      <w:r>
        <w:rPr>
          <w:rFonts w:hint="eastAsia" w:ascii="宋体" w:hAnsi="宋体" w:cs="宋体"/>
          <w:color w:val="auto"/>
          <w:spacing w:val="6"/>
          <w:sz w:val="24"/>
          <w:szCs w:val="24"/>
          <w:highlight w:val="none"/>
          <w:u w:val="single"/>
        </w:rPr>
        <w:t xml:space="preserve">    （企业名称）</w:t>
      </w:r>
      <w:r>
        <w:rPr>
          <w:rFonts w:hint="eastAsia" w:ascii="宋体" w:hAnsi="宋体" w:cs="宋体"/>
          <w:color w:val="auto"/>
          <w:spacing w:val="6"/>
          <w:sz w:val="24"/>
          <w:szCs w:val="24"/>
          <w:highlight w:val="none"/>
        </w:rPr>
        <w:t>，从业人员</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rPr>
        <w:t>人，营业收入为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rPr>
        <w:t>万元，资产总额为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万元，属于</w:t>
      </w:r>
      <w:r>
        <w:rPr>
          <w:rFonts w:hint="eastAsia" w:ascii="宋体" w:hAnsi="宋体" w:cs="宋体"/>
          <w:color w:val="auto"/>
          <w:spacing w:val="6"/>
          <w:sz w:val="24"/>
          <w:szCs w:val="24"/>
          <w:highlight w:val="none"/>
          <w:u w:val="single"/>
        </w:rPr>
        <w:t>（中型企业、小型企业、微型企业）</w:t>
      </w:r>
      <w:r>
        <w:rPr>
          <w:rFonts w:hint="eastAsia" w:ascii="宋体" w:hAnsi="宋体" w:cs="宋体"/>
          <w:color w:val="auto"/>
          <w:spacing w:val="6"/>
          <w:sz w:val="24"/>
          <w:szCs w:val="24"/>
          <w:highlight w:val="none"/>
        </w:rPr>
        <w:t>；</w:t>
      </w:r>
    </w:p>
    <w:p w14:paraId="630A0294">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2、</w:t>
      </w:r>
      <w:r>
        <w:rPr>
          <w:rFonts w:hint="eastAsia" w:ascii="宋体" w:hAnsi="宋体" w:cs="宋体"/>
          <w:color w:val="auto"/>
          <w:spacing w:val="6"/>
          <w:sz w:val="24"/>
          <w:szCs w:val="24"/>
          <w:highlight w:val="none"/>
          <w:u w:val="single"/>
        </w:rPr>
        <w:t>（标的名称）</w:t>
      </w:r>
      <w:r>
        <w:rPr>
          <w:rFonts w:hint="eastAsia" w:ascii="宋体" w:hAnsi="宋体" w:cs="宋体"/>
          <w:color w:val="auto"/>
          <w:spacing w:val="6"/>
          <w:sz w:val="24"/>
          <w:szCs w:val="24"/>
          <w:highlight w:val="none"/>
        </w:rPr>
        <w:t>，属于</w:t>
      </w:r>
      <w:r>
        <w:rPr>
          <w:rFonts w:hint="eastAsia" w:ascii="宋体" w:hAnsi="宋体" w:cs="宋体"/>
          <w:color w:val="auto"/>
          <w:spacing w:val="6"/>
          <w:sz w:val="24"/>
          <w:szCs w:val="24"/>
          <w:highlight w:val="none"/>
          <w:u w:val="single"/>
        </w:rPr>
        <w:t xml:space="preserve">       （采购文件中明确的所属行业）</w:t>
      </w:r>
      <w:r>
        <w:rPr>
          <w:rFonts w:hint="eastAsia" w:ascii="宋体" w:hAnsi="宋体" w:cs="宋体"/>
          <w:color w:val="auto"/>
          <w:spacing w:val="6"/>
          <w:sz w:val="24"/>
          <w:szCs w:val="24"/>
          <w:highlight w:val="none"/>
        </w:rPr>
        <w:t>；承建（承接）企业为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（企业名称），从业人员</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人，营业收入为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rPr>
        <w:t>万元，资产总额为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rPr>
        <w:tab/>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万元，属于</w:t>
      </w:r>
      <w:r>
        <w:rPr>
          <w:rFonts w:hint="eastAsia" w:ascii="宋体" w:hAnsi="宋体" w:cs="宋体"/>
          <w:color w:val="auto"/>
          <w:spacing w:val="6"/>
          <w:sz w:val="24"/>
          <w:szCs w:val="24"/>
          <w:highlight w:val="none"/>
          <w:u w:val="single"/>
        </w:rPr>
        <w:t>（中型企业、小型企业、微型企业）</w:t>
      </w:r>
      <w:r>
        <w:rPr>
          <w:rFonts w:hint="eastAsia" w:ascii="宋体" w:hAnsi="宋体" w:cs="宋体"/>
          <w:color w:val="auto"/>
          <w:spacing w:val="6"/>
          <w:sz w:val="24"/>
          <w:szCs w:val="24"/>
          <w:highlight w:val="none"/>
        </w:rPr>
        <w:t>；</w:t>
      </w:r>
    </w:p>
    <w:p w14:paraId="1ED8540D">
      <w:pPr>
        <w:pStyle w:val="10"/>
        <w:spacing w:before="2" w:line="360" w:lineRule="auto"/>
        <w:ind w:firstLine="480" w:firstLineChars="200"/>
        <w:jc w:val="left"/>
        <w:rPr>
          <w:rFonts w:hint="eastAsia" w:ascii="宋体" w:hAnsi="宋体" w:cs="宋体"/>
          <w:color w:val="auto"/>
          <w:sz w:val="24"/>
          <w:szCs w:val="24"/>
          <w:highlight w:val="none"/>
        </w:rPr>
      </w:pPr>
    </w:p>
    <w:p w14:paraId="3E853694">
      <w:pPr>
        <w:spacing w:line="360" w:lineRule="auto"/>
        <w:ind w:firstLine="720" w:firstLineChars="300"/>
        <w:rPr>
          <w:rFonts w:hint="eastAsia"/>
          <w:color w:val="auto"/>
          <w:sz w:val="24"/>
          <w:szCs w:val="24"/>
          <w:highlight w:val="none"/>
        </w:rPr>
      </w:pPr>
      <w:r>
        <w:rPr>
          <w:rFonts w:hint="eastAsia"/>
          <w:color w:val="auto"/>
          <w:sz w:val="24"/>
          <w:szCs w:val="24"/>
          <w:highlight w:val="none"/>
        </w:rPr>
        <w:t>……</w:t>
      </w:r>
    </w:p>
    <w:p w14:paraId="7FAFA87F">
      <w:pPr>
        <w:spacing w:line="360" w:lineRule="auto"/>
        <w:rPr>
          <w:rFonts w:hint="eastAsia"/>
          <w:color w:val="auto"/>
          <w:sz w:val="24"/>
          <w:szCs w:val="24"/>
          <w:highlight w:val="none"/>
        </w:rPr>
      </w:pPr>
    </w:p>
    <w:p w14:paraId="519DAA0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26CBB9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7BCFB038">
      <w:pPr>
        <w:adjustRightInd w:val="0"/>
        <w:snapToGrid w:val="0"/>
        <w:spacing w:line="360" w:lineRule="auto"/>
        <w:rPr>
          <w:rFonts w:hint="eastAsia" w:ascii="宋体" w:hAnsi="宋体" w:cs="宋体"/>
          <w:b/>
          <w:bCs/>
          <w:color w:val="auto"/>
          <w:sz w:val="24"/>
          <w:szCs w:val="24"/>
          <w:highlight w:val="none"/>
        </w:rPr>
      </w:pPr>
    </w:p>
    <w:p w14:paraId="31489B6F">
      <w:pPr>
        <w:adjustRightInd w:val="0"/>
        <w:snapToGrid w:val="0"/>
        <w:spacing w:line="360" w:lineRule="auto"/>
        <w:ind w:firstLine="4800" w:firstLineChars="2000"/>
        <w:rPr>
          <w:rFonts w:hint="eastAsia" w:ascii="宋体" w:hAnsi="宋体" w:cs="宋体"/>
          <w:color w:val="auto"/>
          <w:sz w:val="24"/>
          <w:szCs w:val="24"/>
          <w:highlight w:val="none"/>
        </w:rPr>
      </w:pPr>
    </w:p>
    <w:p w14:paraId="34BF1386">
      <w:pPr>
        <w:adjustRightInd w:val="0"/>
        <w:snapToGrid w:val="0"/>
        <w:spacing w:line="360" w:lineRule="auto"/>
        <w:ind w:firstLine="4800" w:firstLineChars="20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企业名称（盖章）： </w:t>
      </w:r>
      <w:r>
        <w:rPr>
          <w:rFonts w:hint="eastAsia" w:ascii="宋体" w:hAnsi="宋体" w:cs="宋体"/>
          <w:color w:val="auto"/>
          <w:sz w:val="24"/>
          <w:szCs w:val="24"/>
          <w:highlight w:val="none"/>
          <w:u w:val="single"/>
        </w:rPr>
        <w:t xml:space="preserve">           </w:t>
      </w:r>
    </w:p>
    <w:p w14:paraId="67CD90EF">
      <w:pPr>
        <w:adjustRightInd w:val="0"/>
        <w:snapToGrid w:val="0"/>
        <w:spacing w:line="360" w:lineRule="auto"/>
        <w:rPr>
          <w:rFonts w:hint="eastAsia" w:ascii="宋体" w:hAnsi="宋体" w:cs="宋体"/>
          <w:color w:val="auto"/>
          <w:sz w:val="24"/>
          <w:szCs w:val="24"/>
          <w:highlight w:val="none"/>
        </w:rPr>
      </w:pPr>
    </w:p>
    <w:p w14:paraId="0D34DAF0">
      <w:pPr>
        <w:adjustRightInd w:val="0"/>
        <w:snapToGrid w:val="0"/>
        <w:spacing w:line="360" w:lineRule="auto"/>
        <w:ind w:firstLine="4800" w:firstLineChars="2000"/>
        <w:rPr>
          <w:rFonts w:hint="eastAsia" w:ascii="宋体" w:hAnsi="宋体" w:cs="宋体"/>
          <w:b/>
          <w:bCs/>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p>
    <w:p w14:paraId="3F1E350F">
      <w:pPr>
        <w:pStyle w:val="10"/>
        <w:spacing w:line="360" w:lineRule="auto"/>
        <w:rPr>
          <w:rFonts w:hint="eastAsia"/>
          <w:color w:val="auto"/>
          <w:sz w:val="24"/>
          <w:szCs w:val="24"/>
          <w:highlight w:val="none"/>
        </w:rPr>
      </w:pPr>
    </w:p>
    <w:p w14:paraId="79C3314C">
      <w:pPr>
        <w:widowControl/>
        <w:spacing w:line="360" w:lineRule="auto"/>
        <w:ind w:firstLine="240" w:firstLineChars="100"/>
        <w:jc w:val="left"/>
        <w:rPr>
          <w:rFonts w:hint="eastAsia" w:ascii="宋体" w:hAnsi="宋体" w:cs="宋体"/>
          <w:color w:val="auto"/>
          <w:kern w:val="0"/>
          <w:sz w:val="24"/>
          <w:szCs w:val="24"/>
          <w:highlight w:val="none"/>
          <w:lang w:bidi="ar"/>
        </w:rPr>
      </w:pPr>
    </w:p>
    <w:p w14:paraId="152C2904">
      <w:pPr>
        <w:widowControl/>
        <w:spacing w:line="360" w:lineRule="auto"/>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注：</w:t>
      </w:r>
      <w:r>
        <w:rPr>
          <w:rFonts w:hint="eastAsia" w:ascii="宋体" w:hAnsi="宋体" w:cs="宋体"/>
          <w:color w:val="auto"/>
          <w:kern w:val="0"/>
          <w:sz w:val="24"/>
          <w:szCs w:val="24"/>
          <w:highlight w:val="none"/>
          <w:lang w:bidi="ar"/>
        </w:rPr>
        <w:t>从业人员、营业收入、资产总额填报上一年度数据，无上一年度数据的新成立企业可不填报。</w:t>
      </w:r>
    </w:p>
    <w:p w14:paraId="23460738">
      <w:pPr>
        <w:spacing w:line="600" w:lineRule="exact"/>
        <w:ind w:firstLine="480" w:firstLineChars="200"/>
        <w:jc w:val="left"/>
        <w:rPr>
          <w:rFonts w:hAnsi="宋体" w:cs="宋体"/>
          <w:color w:val="auto"/>
          <w:sz w:val="24"/>
          <w:szCs w:val="24"/>
          <w:highlight w:val="none"/>
        </w:rPr>
      </w:pPr>
    </w:p>
    <w:p w14:paraId="483E1DD3">
      <w:pPr>
        <w:jc w:val="center"/>
        <w:rPr>
          <w:rFonts w:hint="eastAsia" w:hAnsi="宋体" w:cs="宋体"/>
          <w:b/>
          <w:bCs/>
          <w:color w:val="auto"/>
          <w:szCs w:val="24"/>
          <w:highlight w:val="none"/>
        </w:rPr>
      </w:pPr>
    </w:p>
    <w:p w14:paraId="0617FB75">
      <w:pPr>
        <w:jc w:val="center"/>
        <w:rPr>
          <w:rFonts w:hint="eastAsia" w:hAnsi="宋体" w:cs="宋体"/>
          <w:b/>
          <w:bCs/>
          <w:color w:val="auto"/>
          <w:szCs w:val="24"/>
          <w:highlight w:val="none"/>
        </w:rPr>
      </w:pPr>
    </w:p>
    <w:p w14:paraId="176F6676">
      <w:pPr>
        <w:jc w:val="center"/>
        <w:rPr>
          <w:rFonts w:hint="eastAsia" w:hAnsi="宋体" w:cs="宋体"/>
          <w:b/>
          <w:bCs/>
          <w:color w:val="auto"/>
          <w:szCs w:val="24"/>
          <w:highlight w:val="none"/>
        </w:rPr>
      </w:pPr>
    </w:p>
    <w:p w14:paraId="525B7793">
      <w:pPr>
        <w:spacing w:line="600" w:lineRule="exact"/>
        <w:ind w:firstLine="480" w:firstLineChars="200"/>
        <w:jc w:val="center"/>
        <w:rPr>
          <w:rFonts w:hint="eastAsia" w:hAnsi="宋体" w:cs="宋体"/>
          <w:b/>
          <w:bCs/>
          <w:color w:val="auto"/>
          <w:sz w:val="24"/>
          <w:szCs w:val="24"/>
          <w:highlight w:val="none"/>
        </w:rPr>
      </w:pPr>
      <w:r>
        <w:rPr>
          <w:rFonts w:hint="eastAsia" w:hAnsi="宋体" w:cs="宋体"/>
          <w:b/>
          <w:bCs/>
          <w:color w:val="auto"/>
          <w:sz w:val="24"/>
          <w:szCs w:val="24"/>
          <w:highlight w:val="none"/>
        </w:rPr>
        <w:t>（二）残疾人福利性单位声明函</w:t>
      </w:r>
    </w:p>
    <w:p w14:paraId="10AFD4C7">
      <w:pPr>
        <w:spacing w:line="360" w:lineRule="auto"/>
        <w:ind w:firstLine="480" w:firstLineChars="200"/>
        <w:jc w:val="left"/>
        <w:rPr>
          <w:rFonts w:hint="eastAsia" w:hAnsi="宋体" w:cs="宋体"/>
          <w:color w:val="auto"/>
          <w:sz w:val="24"/>
          <w:szCs w:val="24"/>
          <w:highlight w:val="none"/>
        </w:rPr>
      </w:pPr>
    </w:p>
    <w:p w14:paraId="3DA5DF26">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项目编号：____）第___标段采购活动提供本单位制造的货物（由本单位承担工程/提供服务），或者提供其他残疾人福利性单位制造的货物（不包括使用非残疾人福利性单位注册商标的货物）。</w:t>
      </w:r>
    </w:p>
    <w:p w14:paraId="06E7747C">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15747E7F">
      <w:pPr>
        <w:spacing w:line="360" w:lineRule="auto"/>
        <w:ind w:firstLine="480" w:firstLineChars="200"/>
        <w:jc w:val="left"/>
        <w:rPr>
          <w:rFonts w:hAnsi="宋体" w:cs="宋体"/>
          <w:color w:val="auto"/>
          <w:sz w:val="24"/>
          <w:szCs w:val="24"/>
          <w:highlight w:val="none"/>
        </w:rPr>
      </w:pPr>
    </w:p>
    <w:p w14:paraId="7E6F558F">
      <w:pPr>
        <w:spacing w:line="360" w:lineRule="auto"/>
        <w:ind w:firstLine="3600" w:firstLineChars="1500"/>
        <w:jc w:val="left"/>
        <w:rPr>
          <w:rFonts w:hAnsi="宋体" w:cs="宋体"/>
          <w:color w:val="auto"/>
          <w:sz w:val="24"/>
          <w:szCs w:val="24"/>
          <w:highlight w:val="none"/>
        </w:rPr>
      </w:pPr>
      <w:r>
        <w:rPr>
          <w:rFonts w:hint="eastAsia" w:hAnsi="宋体" w:cs="宋体"/>
          <w:color w:val="auto"/>
          <w:sz w:val="24"/>
          <w:szCs w:val="24"/>
          <w:highlight w:val="none"/>
        </w:rPr>
        <w:t>供应商：（加盖公章）</w:t>
      </w:r>
    </w:p>
    <w:p w14:paraId="60264381">
      <w:pPr>
        <w:spacing w:line="360" w:lineRule="auto"/>
        <w:ind w:firstLine="3600" w:firstLineChars="1500"/>
        <w:jc w:val="left"/>
        <w:rPr>
          <w:rFonts w:hAnsi="宋体" w:cs="宋体"/>
          <w:color w:val="auto"/>
          <w:sz w:val="24"/>
          <w:szCs w:val="24"/>
          <w:highlight w:val="none"/>
        </w:rPr>
      </w:pPr>
      <w:r>
        <w:rPr>
          <w:rFonts w:hint="eastAsia" w:hAnsi="宋体" w:cs="宋体"/>
          <w:color w:val="auto"/>
          <w:sz w:val="24"/>
          <w:szCs w:val="24"/>
          <w:highlight w:val="none"/>
        </w:rPr>
        <w:t>法定代表人或授权代表：（签字或盖章）</w:t>
      </w:r>
    </w:p>
    <w:p w14:paraId="196C1CC1">
      <w:pPr>
        <w:spacing w:line="360" w:lineRule="auto"/>
        <w:ind w:firstLine="5040" w:firstLineChars="2100"/>
        <w:jc w:val="left"/>
        <w:rPr>
          <w:rFonts w:hAnsi="宋体" w:cs="宋体"/>
          <w:color w:val="auto"/>
          <w:sz w:val="24"/>
          <w:szCs w:val="24"/>
          <w:highlight w:val="none"/>
        </w:rPr>
      </w:pPr>
      <w:r>
        <w:rPr>
          <w:rFonts w:hint="eastAsia" w:hAnsi="宋体" w:cs="宋体"/>
          <w:color w:val="auto"/>
          <w:sz w:val="24"/>
          <w:szCs w:val="24"/>
          <w:highlight w:val="none"/>
        </w:rPr>
        <w:t>日　期：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年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日</w:t>
      </w:r>
    </w:p>
    <w:p w14:paraId="7AFCA13E">
      <w:pPr>
        <w:spacing w:line="360" w:lineRule="auto"/>
        <w:ind w:firstLine="440" w:firstLineChars="200"/>
        <w:jc w:val="left"/>
        <w:rPr>
          <w:rFonts w:hAnsi="宋体" w:cs="宋体"/>
          <w:color w:val="auto"/>
          <w:sz w:val="22"/>
          <w:szCs w:val="22"/>
          <w:highlight w:val="none"/>
        </w:rPr>
      </w:pPr>
    </w:p>
    <w:p w14:paraId="3437CBE1">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备注：根据《财政部 民政部 中国残疾人联合会关于促进残疾人就业政府采购政策的通知》（财库〔2017〕141号）的规定：</w:t>
      </w:r>
    </w:p>
    <w:p w14:paraId="59E4AE45">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一、享受政府采购支持政策的残疾人福利性单位应当同时满足以下条件：</w:t>
      </w:r>
    </w:p>
    <w:p w14:paraId="50FE32F6">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（一）安置的残疾人占本单位在职职工人数的比例不低于25%（含25%），并且安置的残疾人人数不少于10人（含10人）；</w:t>
      </w:r>
    </w:p>
    <w:p w14:paraId="118DD199">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（二）依法与安置的每位残疾人签订了一年以上（含一年）的劳动合同或服务协议；</w:t>
      </w:r>
    </w:p>
    <w:p w14:paraId="7F871640">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（三）为安置的每位残疾人按月足额缴纳了基本养老保险、基本医疗保险、失业保险、工伤保险和生育保险等社会保险费；</w:t>
      </w:r>
    </w:p>
    <w:p w14:paraId="5491EBEB">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（四）通过银行等金融机构向安置的每位残疾人，按月支付了不低于单位所在区县适用的经省级人民政府批准的月最低工资标准的工资；</w:t>
      </w:r>
    </w:p>
    <w:p w14:paraId="33BE1D79">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（五）提供本单位制造的货物、承担的工程或者服务（以下简称产品），或者提供其他残疾人福利性单位制造的货物（不包括使用非残疾人福利性单位注册商标的货物）。</w:t>
      </w:r>
    </w:p>
    <w:p w14:paraId="14D99DFE">
      <w:pPr>
        <w:spacing w:line="360" w:lineRule="auto"/>
        <w:ind w:firstLine="440" w:firstLineChars="200"/>
        <w:jc w:val="left"/>
        <w:rPr>
          <w:rFonts w:hAnsi="宋体" w:cs="宋体"/>
          <w:color w:val="auto"/>
          <w:sz w:val="22"/>
          <w:szCs w:val="22"/>
          <w:highlight w:val="none"/>
        </w:rPr>
      </w:pPr>
      <w:r>
        <w:rPr>
          <w:rFonts w:hint="eastAsia" w:hAnsi="宋体" w:cs="宋体"/>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3077E8">
      <w:pPr>
        <w:spacing w:line="360" w:lineRule="auto"/>
        <w:ind w:firstLine="440" w:firstLineChars="200"/>
        <w:jc w:val="left"/>
        <w:rPr>
          <w:rFonts w:hAnsi="宋体" w:cs="宋体"/>
          <w:color w:val="auto"/>
          <w:sz w:val="21"/>
          <w:szCs w:val="21"/>
          <w:highlight w:val="none"/>
        </w:rPr>
      </w:pPr>
      <w:r>
        <w:rPr>
          <w:rFonts w:hint="eastAsia" w:hAnsi="宋体" w:cs="宋体"/>
          <w:color w:val="auto"/>
          <w:sz w:val="22"/>
          <w:szCs w:val="22"/>
          <w:highlight w:val="none"/>
        </w:rPr>
        <w:t>二、中标、成交供应商为残疾人福利性单位的，采购人或者其委托的采购代理机构应当随中标、成交结果同时公告其《残疾人福利性单位声明函》，接受社会监督</w:t>
      </w:r>
      <w:r>
        <w:rPr>
          <w:rFonts w:hint="eastAsia" w:hAnsi="宋体" w:cs="宋体"/>
          <w:color w:val="auto"/>
          <w:sz w:val="21"/>
          <w:szCs w:val="21"/>
          <w:highlight w:val="none"/>
        </w:rPr>
        <w:t>。</w:t>
      </w:r>
    </w:p>
    <w:p w14:paraId="4DEEAC41">
      <w:pPr>
        <w:rPr>
          <w:rFonts w:hint="eastAsia" w:hAnsi="宋体" w:cs="宋体"/>
          <w:b/>
          <w:bCs/>
          <w:color w:val="auto"/>
          <w:sz w:val="24"/>
          <w:szCs w:val="24"/>
          <w:highlight w:val="none"/>
        </w:rPr>
      </w:pPr>
      <w:r>
        <w:rPr>
          <w:rFonts w:hint="eastAsia" w:hAnsi="宋体" w:cs="宋体"/>
          <w:b/>
          <w:bCs/>
          <w:color w:val="auto"/>
          <w:sz w:val="24"/>
          <w:szCs w:val="24"/>
          <w:highlight w:val="none"/>
        </w:rPr>
        <w:br w:type="page"/>
      </w:r>
    </w:p>
    <w:p w14:paraId="5326B6AD">
      <w:pPr>
        <w:spacing w:line="600" w:lineRule="exact"/>
        <w:ind w:firstLine="480" w:firstLineChars="200"/>
        <w:jc w:val="center"/>
        <w:rPr>
          <w:rFonts w:hAnsi="宋体" w:cs="宋体"/>
          <w:b/>
          <w:bCs/>
          <w:color w:val="auto"/>
          <w:sz w:val="24"/>
          <w:szCs w:val="24"/>
          <w:highlight w:val="none"/>
        </w:rPr>
      </w:pPr>
      <w:r>
        <w:rPr>
          <w:rFonts w:hint="eastAsia" w:hAnsi="宋体" w:cs="宋体"/>
          <w:b/>
          <w:bCs/>
          <w:color w:val="auto"/>
          <w:sz w:val="24"/>
          <w:szCs w:val="24"/>
          <w:highlight w:val="none"/>
        </w:rPr>
        <w:t>（三）监狱企业证明函</w:t>
      </w:r>
    </w:p>
    <w:p w14:paraId="05CF70D0">
      <w:pPr>
        <w:spacing w:line="360" w:lineRule="auto"/>
        <w:ind w:firstLine="480" w:firstLineChars="200"/>
        <w:jc w:val="left"/>
        <w:rPr>
          <w:rFonts w:hint="eastAsia" w:hAnsi="宋体" w:cs="宋体"/>
          <w:color w:val="auto"/>
          <w:sz w:val="24"/>
          <w:szCs w:val="24"/>
          <w:highlight w:val="none"/>
        </w:rPr>
      </w:pPr>
    </w:p>
    <w:p w14:paraId="4A67400A">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34045B">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监狱企业参加政府采购活动时，应当提供由省级以上监狱管理局、戒毒管理局（含新疆生产建设兵团）出具的属于监狱企业的证明文件。</w:t>
      </w:r>
    </w:p>
    <w:p w14:paraId="74F9211C">
      <w:pPr>
        <w:spacing w:line="600" w:lineRule="exact"/>
        <w:ind w:firstLine="480" w:firstLineChars="200"/>
        <w:jc w:val="left"/>
        <w:rPr>
          <w:rFonts w:hAnsi="宋体" w:cs="宋体"/>
          <w:color w:val="auto"/>
          <w:sz w:val="24"/>
          <w:szCs w:val="24"/>
          <w:highlight w:val="none"/>
        </w:rPr>
      </w:pPr>
    </w:p>
    <w:p w14:paraId="0007E4F7">
      <w:pPr>
        <w:rPr>
          <w:rFonts w:hAnsi="宋体" w:cs="宋体"/>
          <w:color w:val="auto"/>
          <w:szCs w:val="24"/>
          <w:highlight w:val="none"/>
        </w:rPr>
      </w:pPr>
    </w:p>
    <w:p w14:paraId="7FA4F8E7">
      <w:pPr>
        <w:pStyle w:val="5"/>
        <w:rPr>
          <w:rFonts w:hAnsi="宋体" w:cs="宋体"/>
          <w:color w:val="auto"/>
          <w:szCs w:val="24"/>
          <w:highlight w:val="none"/>
        </w:rPr>
      </w:pPr>
    </w:p>
    <w:p w14:paraId="771009A8">
      <w:pPr>
        <w:rPr>
          <w:rFonts w:hAnsi="宋体" w:cs="宋体"/>
          <w:color w:val="auto"/>
          <w:szCs w:val="24"/>
          <w:highlight w:val="none"/>
        </w:rPr>
      </w:pPr>
    </w:p>
    <w:p w14:paraId="79DABD35">
      <w:pPr>
        <w:pStyle w:val="5"/>
        <w:rPr>
          <w:rFonts w:hAnsi="宋体" w:cs="宋体"/>
          <w:color w:val="auto"/>
          <w:szCs w:val="24"/>
          <w:highlight w:val="none"/>
        </w:rPr>
      </w:pPr>
    </w:p>
    <w:p w14:paraId="2AF6C6E3">
      <w:pPr>
        <w:rPr>
          <w:rFonts w:hAnsi="宋体" w:cs="宋体"/>
          <w:color w:val="auto"/>
          <w:szCs w:val="24"/>
          <w:highlight w:val="none"/>
        </w:rPr>
      </w:pPr>
    </w:p>
    <w:p w14:paraId="2ABC7EEF">
      <w:pPr>
        <w:pStyle w:val="5"/>
        <w:rPr>
          <w:rFonts w:hAnsi="宋体" w:cs="宋体"/>
          <w:color w:val="auto"/>
          <w:szCs w:val="24"/>
          <w:highlight w:val="none"/>
        </w:rPr>
      </w:pPr>
    </w:p>
    <w:p w14:paraId="036B2C91">
      <w:pPr>
        <w:rPr>
          <w:rFonts w:hAnsi="宋体" w:cs="宋体"/>
          <w:color w:val="auto"/>
          <w:szCs w:val="24"/>
          <w:highlight w:val="none"/>
        </w:rPr>
      </w:pPr>
    </w:p>
    <w:p w14:paraId="60D5AAA6">
      <w:pPr>
        <w:pStyle w:val="5"/>
        <w:rPr>
          <w:rFonts w:hAnsi="宋体" w:cs="宋体"/>
          <w:color w:val="auto"/>
          <w:szCs w:val="24"/>
          <w:highlight w:val="none"/>
        </w:rPr>
      </w:pPr>
    </w:p>
    <w:p w14:paraId="7BAD5340">
      <w:pPr>
        <w:rPr>
          <w:rFonts w:hAnsi="宋体" w:cs="宋体"/>
          <w:color w:val="auto"/>
          <w:szCs w:val="24"/>
          <w:highlight w:val="none"/>
        </w:rPr>
      </w:pPr>
    </w:p>
    <w:p w14:paraId="660E043B">
      <w:pPr>
        <w:pStyle w:val="5"/>
        <w:rPr>
          <w:rFonts w:hAnsi="宋体" w:cs="宋体"/>
          <w:color w:val="auto"/>
          <w:szCs w:val="24"/>
          <w:highlight w:val="none"/>
        </w:rPr>
      </w:pPr>
    </w:p>
    <w:p w14:paraId="320201C0">
      <w:pPr>
        <w:rPr>
          <w:rFonts w:hAnsi="宋体" w:cs="宋体"/>
          <w:color w:val="auto"/>
          <w:szCs w:val="24"/>
          <w:highlight w:val="none"/>
        </w:rPr>
      </w:pPr>
    </w:p>
    <w:p w14:paraId="03C76163">
      <w:pPr>
        <w:pStyle w:val="5"/>
        <w:rPr>
          <w:rFonts w:hAnsi="宋体" w:cs="宋体"/>
          <w:color w:val="auto"/>
          <w:szCs w:val="24"/>
          <w:highlight w:val="none"/>
        </w:rPr>
      </w:pPr>
    </w:p>
    <w:p w14:paraId="3847EBC6">
      <w:pPr>
        <w:rPr>
          <w:rFonts w:hAnsi="宋体" w:cs="宋体"/>
          <w:color w:val="auto"/>
          <w:szCs w:val="24"/>
          <w:highlight w:val="none"/>
        </w:rPr>
      </w:pPr>
    </w:p>
    <w:p w14:paraId="42E520AE">
      <w:pPr>
        <w:pStyle w:val="21"/>
        <w:rPr>
          <w:rFonts w:hAnsi="宋体" w:cs="宋体"/>
          <w:color w:val="auto"/>
          <w:szCs w:val="24"/>
          <w:highlight w:val="none"/>
        </w:rPr>
      </w:pPr>
    </w:p>
    <w:p w14:paraId="11407619">
      <w:pPr>
        <w:pStyle w:val="21"/>
        <w:rPr>
          <w:rFonts w:hAnsi="宋体" w:cs="宋体"/>
          <w:color w:val="auto"/>
          <w:szCs w:val="24"/>
          <w:highlight w:val="none"/>
        </w:rPr>
      </w:pPr>
    </w:p>
    <w:p w14:paraId="6AFBF43A">
      <w:pPr>
        <w:rPr>
          <w:rFonts w:hAnsi="宋体" w:cs="宋体"/>
          <w:color w:val="auto"/>
          <w:szCs w:val="24"/>
          <w:highlight w:val="none"/>
        </w:rPr>
      </w:pPr>
    </w:p>
    <w:p w14:paraId="4B4671A7">
      <w:pPr>
        <w:rPr>
          <w:rFonts w:hAnsi="宋体" w:cs="宋体"/>
          <w:color w:val="auto"/>
          <w:szCs w:val="24"/>
          <w:highlight w:val="none"/>
        </w:rPr>
      </w:pPr>
    </w:p>
    <w:p w14:paraId="4D92AA4D">
      <w:pPr>
        <w:rPr>
          <w:rFonts w:hint="eastAsia" w:ascii="Times New Roman" w:hAnsi="宋体" w:cs="宋体"/>
          <w:b/>
          <w:bCs/>
          <w:color w:val="auto"/>
          <w:sz w:val="24"/>
          <w:szCs w:val="24"/>
          <w:highlight w:val="none"/>
          <w:lang w:eastAsia="zh-CN"/>
        </w:rPr>
      </w:pPr>
      <w:r>
        <w:rPr>
          <w:rFonts w:hint="eastAsia" w:ascii="Times New Roman" w:hAnsi="宋体" w:cs="宋体"/>
          <w:b/>
          <w:bCs/>
          <w:color w:val="auto"/>
          <w:sz w:val="24"/>
          <w:szCs w:val="24"/>
          <w:highlight w:val="none"/>
          <w:lang w:eastAsia="zh-CN"/>
        </w:rPr>
        <w:br w:type="page"/>
      </w:r>
    </w:p>
    <w:p w14:paraId="0841DE9C">
      <w:pPr>
        <w:spacing w:line="600" w:lineRule="exact"/>
        <w:ind w:firstLine="480" w:firstLineChars="200"/>
        <w:jc w:val="center"/>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关于信用融资的说明</w:t>
      </w:r>
    </w:p>
    <w:p w14:paraId="333082D1">
      <w:pPr>
        <w:pStyle w:val="7"/>
        <w:spacing w:line="360" w:lineRule="auto"/>
        <w:ind w:firstLine="573"/>
        <w:rPr>
          <w:rFonts w:ascii="宋体" w:hAnsi="宋体"/>
          <w:color w:val="auto"/>
          <w:sz w:val="24"/>
          <w:szCs w:val="24"/>
          <w:highlight w:val="none"/>
        </w:rPr>
      </w:pPr>
    </w:p>
    <w:p w14:paraId="2C3CB58E">
      <w:pPr>
        <w:pStyle w:val="7"/>
        <w:spacing w:line="360" w:lineRule="auto"/>
        <w:ind w:firstLine="573"/>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政府采购信用融资，是指银行业金融机构（以下简称银行）以政府采购诚信考核和信用审查为基础，凭借政府采购合同，按优于一般中小企业的贷款利率直接向申请贷款的投</w:t>
      </w:r>
      <w:r>
        <w:rPr>
          <w:rFonts w:hint="eastAsia" w:ascii="宋体" w:hAnsi="宋体" w:eastAsia="宋体"/>
          <w:color w:val="auto"/>
          <w:sz w:val="24"/>
          <w:szCs w:val="24"/>
          <w:highlight w:val="none"/>
          <w:lang w:eastAsia="zh-CN"/>
        </w:rPr>
        <w:t>供应商</w:t>
      </w:r>
      <w:r>
        <w:rPr>
          <w:rFonts w:hint="eastAsia" w:ascii="宋体" w:hAnsi="宋体"/>
          <w:color w:val="auto"/>
          <w:sz w:val="24"/>
          <w:szCs w:val="24"/>
          <w:highlight w:val="none"/>
        </w:rPr>
        <w:t>发放贷款的一种融资方式。</w:t>
      </w:r>
    </w:p>
    <w:p w14:paraId="439992A9">
      <w:pPr>
        <w:pStyle w:val="7"/>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2、各银行可自主决定是否提供政府采购信用融资以及融资额度，并与</w:t>
      </w:r>
      <w:r>
        <w:rPr>
          <w:rFonts w:hint="eastAsia" w:ascii="宋体" w:hAnsi="宋体" w:eastAsia="宋体"/>
          <w:color w:val="auto"/>
          <w:sz w:val="24"/>
          <w:szCs w:val="24"/>
          <w:highlight w:val="none"/>
          <w:lang w:eastAsia="zh-CN"/>
        </w:rPr>
        <w:t>供应商</w:t>
      </w:r>
      <w:r>
        <w:rPr>
          <w:rFonts w:hint="eastAsia" w:ascii="宋体" w:hAnsi="宋体"/>
          <w:color w:val="auto"/>
          <w:sz w:val="24"/>
          <w:szCs w:val="24"/>
          <w:highlight w:val="none"/>
        </w:rPr>
        <w:t>签订融资协议；各</w:t>
      </w:r>
      <w:r>
        <w:rPr>
          <w:rFonts w:hint="eastAsia" w:ascii="宋体" w:hAnsi="宋体" w:eastAsia="宋体"/>
          <w:color w:val="auto"/>
          <w:sz w:val="24"/>
          <w:szCs w:val="24"/>
          <w:highlight w:val="none"/>
          <w:lang w:eastAsia="zh-CN"/>
        </w:rPr>
        <w:t>供应商</w:t>
      </w:r>
      <w:r>
        <w:rPr>
          <w:rFonts w:hint="eastAsia" w:ascii="宋体" w:hAnsi="宋体"/>
          <w:color w:val="auto"/>
          <w:sz w:val="24"/>
          <w:szCs w:val="24"/>
          <w:highlight w:val="none"/>
        </w:rPr>
        <w:t>也可自行决定是否参加政府采购信用融资，并自愿选择合适的融资银行及在该银行开设银行账户。任何单位和个人均不得干预银企双方开展政府采购信用融资业务。</w:t>
      </w:r>
    </w:p>
    <w:p w14:paraId="72D68515">
      <w:pPr>
        <w:pStyle w:val="7"/>
        <w:spacing w:line="360" w:lineRule="auto"/>
        <w:ind w:firstLine="573"/>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具体详见陕西省财政厅关于印发《陕西省中小企业政府采购信用融资办法》（陕财办采〔2018〕23号）。</w:t>
      </w:r>
    </w:p>
    <w:p w14:paraId="1820BF86">
      <w:pPr>
        <w:pStyle w:val="7"/>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合作银行</w:t>
      </w:r>
      <w:r>
        <w:rPr>
          <w:rFonts w:ascii="宋体" w:hAnsi="宋体"/>
          <w:color w:val="auto"/>
          <w:sz w:val="24"/>
          <w:szCs w:val="24"/>
          <w:highlight w:val="none"/>
        </w:rPr>
        <w:t>如下：</w:t>
      </w:r>
    </w:p>
    <w:p w14:paraId="6F9BDFCE">
      <w:pPr>
        <w:pStyle w:val="7"/>
        <w:spacing w:line="360" w:lineRule="auto"/>
        <w:ind w:firstLine="573"/>
        <w:rPr>
          <w:rFonts w:ascii="宋体" w:hAnsi="宋体"/>
          <w:color w:val="auto"/>
          <w:sz w:val="24"/>
          <w:szCs w:val="24"/>
          <w:highlight w:val="none"/>
        </w:rPr>
      </w:pPr>
      <w:r>
        <w:rPr>
          <w:rFonts w:hint="eastAsia" w:ascii="宋体" w:hAnsi="宋体" w:eastAsia="宋体"/>
          <w:color w:val="auto"/>
          <w:sz w:val="24"/>
          <w:szCs w:val="24"/>
          <w:highlight w:val="none"/>
          <w:lang w:eastAsia="zh-CN"/>
        </w:rPr>
        <w:t>供应商</w:t>
      </w:r>
      <w:r>
        <w:rPr>
          <w:rFonts w:hint="eastAsia" w:ascii="宋体" w:hAnsi="宋体"/>
          <w:color w:val="auto"/>
          <w:sz w:val="24"/>
          <w:szCs w:val="24"/>
          <w:highlight w:val="none"/>
        </w:rPr>
        <w:t>可根据陕西省政府采购网上“</w:t>
      </w:r>
      <w:r>
        <w:rPr>
          <w:rFonts w:ascii="宋体" w:hAnsi="宋体"/>
          <w:color w:val="auto"/>
          <w:sz w:val="24"/>
          <w:szCs w:val="24"/>
          <w:highlight w:val="none"/>
        </w:rPr>
        <w:t>陕西省政府采购支持中小企业信用融资合作银行公告</w:t>
      </w:r>
      <w:r>
        <w:rPr>
          <w:rFonts w:hint="eastAsia" w:ascii="宋体" w:hAnsi="宋体"/>
          <w:color w:val="auto"/>
          <w:sz w:val="24"/>
          <w:szCs w:val="24"/>
          <w:highlight w:val="none"/>
        </w:rPr>
        <w:t>”进行查询。</w:t>
      </w:r>
    </w:p>
    <w:p w14:paraId="41B97555">
      <w:pPr>
        <w:pStyle w:val="10"/>
        <w:spacing w:before="215" w:line="360" w:lineRule="auto"/>
        <w:ind w:left="8" w:right="98" w:firstLine="475"/>
        <w:rPr>
          <w:rFonts w:ascii="宋体" w:hAnsi="宋体" w:eastAsia="宋体" w:cs="宋体"/>
          <w:color w:val="auto"/>
          <w:sz w:val="24"/>
          <w:szCs w:val="24"/>
          <w:highlight w:val="none"/>
        </w:rPr>
      </w:pPr>
    </w:p>
    <w:sectPr>
      <w:headerReference r:id="rId12" w:type="default"/>
      <w:footerReference r:id="rId13" w:type="default"/>
      <w:pgSz w:w="11906" w:h="16840"/>
      <w:pgMar w:top="1261" w:right="935" w:bottom="1340" w:left="1311" w:header="0" w:footer="11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2AF1">
    <w:pPr>
      <w:pStyle w:val="10"/>
      <w:spacing w:line="184" w:lineRule="auto"/>
      <w:ind w:left="4362"/>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766E0">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6766E0">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B7C0">
    <w:pPr>
      <w:pStyle w:val="10"/>
      <w:spacing w:line="184" w:lineRule="auto"/>
      <w:ind w:left="474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FAF6D">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8FAF6D">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E853">
    <w:pPr>
      <w:pStyle w:val="10"/>
      <w:spacing w:line="184" w:lineRule="auto"/>
      <w:ind w:left="459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ADD58">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6ADD58">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9EA5">
    <w:pPr>
      <w:pStyle w:val="10"/>
      <w:spacing w:line="184" w:lineRule="auto"/>
      <w:ind w:left="460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F20E5">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AF20E5">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4F5D">
    <w:pPr>
      <w:pStyle w:val="10"/>
      <w:spacing w:line="184" w:lineRule="auto"/>
      <w:ind w:left="4380"/>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4C847">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84C847">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E3C2">
    <w:pPr>
      <w:spacing w:before="1" w:line="175" w:lineRule="auto"/>
      <w:ind w:left="7943"/>
      <w:rPr>
        <w:rFonts w:ascii="宋体" w:hAnsi="宋体" w:eastAsia="宋体" w:cs="宋体"/>
        <w:sz w:val="31"/>
        <w:szCs w:val="31"/>
      </w:rPr>
    </w:pPr>
    <w:r>
      <w:rPr>
        <w:sz w:val="3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B441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FB441F">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2D3C5">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F83E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4F83E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CC47">
    <w:pPr>
      <w:pStyle w:val="10"/>
      <w:spacing w:line="184" w:lineRule="auto"/>
      <w:ind w:left="454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7352C">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17352C">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FAD6">
    <w:pPr>
      <w:pStyle w:val="15"/>
      <w:pBdr>
        <w:bottom w:val="none" w:color="auto" w:sz="0" w:space="1"/>
      </w:pBdr>
      <w:ind w:left="7770" w:hanging="7770" w:hangingChars="3700"/>
      <w:jc w:val="left"/>
      <w:rPr>
        <w:rFonts w:hint="eastAsia"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0000000A"/>
    <w:multiLevelType w:val="singleLevel"/>
    <w:tmpl w:val="0000000A"/>
    <w:lvl w:ilvl="0" w:tentative="0">
      <w:start w:val="1"/>
      <w:numFmt w:val="upperLetter"/>
      <w:pStyle w:val="3"/>
      <w:lvlText w:val="%1．"/>
      <w:lvlJc w:val="left"/>
      <w:pPr>
        <w:tabs>
          <w:tab w:val="left" w:pos="324"/>
        </w:tabs>
        <w:ind w:left="324" w:hanging="324"/>
      </w:pPr>
      <w:rPr>
        <w:rFonts w:hint="eastAsia" w:cs="Times New Roman"/>
      </w:rPr>
    </w:lvl>
  </w:abstractNum>
  <w:abstractNum w:abstractNumId="2">
    <w:nsid w:val="57374991"/>
    <w:multiLevelType w:val="singleLevel"/>
    <w:tmpl w:val="57374991"/>
    <w:lvl w:ilvl="0" w:tentative="0">
      <w:start w:val="1"/>
      <w:numFmt w:val="decimal"/>
      <w:lvlText w:val="%1."/>
      <w:lvlJc w:val="left"/>
      <w:pPr>
        <w:tabs>
          <w:tab w:val="left" w:pos="312"/>
        </w:tabs>
      </w:pPr>
    </w:lvl>
  </w:abstractNum>
  <w:abstractNum w:abstractNumId="3">
    <w:nsid w:val="780E4430"/>
    <w:multiLevelType w:val="singleLevel"/>
    <w:tmpl w:val="780E4430"/>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1YWYwYWEwY2YwM2ViOWEwYTJhNjFiNTE5NGMyYTQifQ=="/>
  </w:docVars>
  <w:rsids>
    <w:rsidRoot w:val="00000000"/>
    <w:rsid w:val="00044EF2"/>
    <w:rsid w:val="00066EBC"/>
    <w:rsid w:val="000A002F"/>
    <w:rsid w:val="001D0F5A"/>
    <w:rsid w:val="003D0404"/>
    <w:rsid w:val="00481283"/>
    <w:rsid w:val="004C0647"/>
    <w:rsid w:val="006E4A62"/>
    <w:rsid w:val="00BC757B"/>
    <w:rsid w:val="00BE1545"/>
    <w:rsid w:val="00C85F20"/>
    <w:rsid w:val="00E60A9C"/>
    <w:rsid w:val="00F907CF"/>
    <w:rsid w:val="011253ED"/>
    <w:rsid w:val="01913F5F"/>
    <w:rsid w:val="019422A6"/>
    <w:rsid w:val="01BF5575"/>
    <w:rsid w:val="020138B9"/>
    <w:rsid w:val="028440C8"/>
    <w:rsid w:val="028D7421"/>
    <w:rsid w:val="02936A01"/>
    <w:rsid w:val="02BA21E0"/>
    <w:rsid w:val="02BD7F0B"/>
    <w:rsid w:val="02D52B76"/>
    <w:rsid w:val="02FF0DA1"/>
    <w:rsid w:val="03086AA8"/>
    <w:rsid w:val="035B12CD"/>
    <w:rsid w:val="03C34149"/>
    <w:rsid w:val="03C662D6"/>
    <w:rsid w:val="03D26FD0"/>
    <w:rsid w:val="04056F6A"/>
    <w:rsid w:val="0414147C"/>
    <w:rsid w:val="04294F27"/>
    <w:rsid w:val="043B1FC0"/>
    <w:rsid w:val="04450638"/>
    <w:rsid w:val="044C6E68"/>
    <w:rsid w:val="04722D72"/>
    <w:rsid w:val="048A639D"/>
    <w:rsid w:val="04BA0275"/>
    <w:rsid w:val="04C82992"/>
    <w:rsid w:val="04DD5D12"/>
    <w:rsid w:val="04F41D37"/>
    <w:rsid w:val="04F80D9E"/>
    <w:rsid w:val="051C683A"/>
    <w:rsid w:val="05243941"/>
    <w:rsid w:val="052D6C99"/>
    <w:rsid w:val="058014BF"/>
    <w:rsid w:val="05E530D0"/>
    <w:rsid w:val="05E97064"/>
    <w:rsid w:val="05F17CC7"/>
    <w:rsid w:val="05FA4972"/>
    <w:rsid w:val="061F4C33"/>
    <w:rsid w:val="06210C4C"/>
    <w:rsid w:val="06336F8D"/>
    <w:rsid w:val="063F4ED6"/>
    <w:rsid w:val="06510766"/>
    <w:rsid w:val="06A765D7"/>
    <w:rsid w:val="071E0F8F"/>
    <w:rsid w:val="073E518E"/>
    <w:rsid w:val="074C3905"/>
    <w:rsid w:val="07536155"/>
    <w:rsid w:val="076170CE"/>
    <w:rsid w:val="07746E01"/>
    <w:rsid w:val="0790350F"/>
    <w:rsid w:val="07C75183"/>
    <w:rsid w:val="07D17DB0"/>
    <w:rsid w:val="07E21FBD"/>
    <w:rsid w:val="07EA49A8"/>
    <w:rsid w:val="080C0DE8"/>
    <w:rsid w:val="08115D13"/>
    <w:rsid w:val="081C4DA3"/>
    <w:rsid w:val="08225CD4"/>
    <w:rsid w:val="08354310"/>
    <w:rsid w:val="08362309"/>
    <w:rsid w:val="083D71F3"/>
    <w:rsid w:val="08444A26"/>
    <w:rsid w:val="08726929"/>
    <w:rsid w:val="08766BA9"/>
    <w:rsid w:val="087A0447"/>
    <w:rsid w:val="08BB45BC"/>
    <w:rsid w:val="08CE609D"/>
    <w:rsid w:val="08DE0208"/>
    <w:rsid w:val="09077801"/>
    <w:rsid w:val="090E2210"/>
    <w:rsid w:val="0926237D"/>
    <w:rsid w:val="09410F65"/>
    <w:rsid w:val="09414AC1"/>
    <w:rsid w:val="09B757E0"/>
    <w:rsid w:val="09BA2AC6"/>
    <w:rsid w:val="0A0C3321"/>
    <w:rsid w:val="0A1E12A6"/>
    <w:rsid w:val="0A3D1DA2"/>
    <w:rsid w:val="0A656ED5"/>
    <w:rsid w:val="0A6F1B02"/>
    <w:rsid w:val="0A7113D6"/>
    <w:rsid w:val="0A776860"/>
    <w:rsid w:val="0A80786B"/>
    <w:rsid w:val="0A825391"/>
    <w:rsid w:val="0A854E82"/>
    <w:rsid w:val="0A913826"/>
    <w:rsid w:val="0A9A10E9"/>
    <w:rsid w:val="0A9E5F43"/>
    <w:rsid w:val="0AA07F0D"/>
    <w:rsid w:val="0AB45767"/>
    <w:rsid w:val="0AB6328D"/>
    <w:rsid w:val="0ACE05D7"/>
    <w:rsid w:val="0AEC6CAF"/>
    <w:rsid w:val="0B0E131B"/>
    <w:rsid w:val="0B2527F9"/>
    <w:rsid w:val="0B494101"/>
    <w:rsid w:val="0B521208"/>
    <w:rsid w:val="0B552AA6"/>
    <w:rsid w:val="0B927856"/>
    <w:rsid w:val="0BED7182"/>
    <w:rsid w:val="0BF120E3"/>
    <w:rsid w:val="0BF40511"/>
    <w:rsid w:val="0C324B95"/>
    <w:rsid w:val="0C5114BF"/>
    <w:rsid w:val="0C5D3B7C"/>
    <w:rsid w:val="0C61547A"/>
    <w:rsid w:val="0CF12CA2"/>
    <w:rsid w:val="0D240297"/>
    <w:rsid w:val="0D49488C"/>
    <w:rsid w:val="0D5F5E5E"/>
    <w:rsid w:val="0D63594E"/>
    <w:rsid w:val="0D7116ED"/>
    <w:rsid w:val="0E0756D0"/>
    <w:rsid w:val="0E4312DC"/>
    <w:rsid w:val="0E5E4367"/>
    <w:rsid w:val="0E8042DE"/>
    <w:rsid w:val="0E8F62CF"/>
    <w:rsid w:val="0EB43F87"/>
    <w:rsid w:val="0F2F5DD8"/>
    <w:rsid w:val="0F607C6B"/>
    <w:rsid w:val="0F661726"/>
    <w:rsid w:val="0FAE4E7B"/>
    <w:rsid w:val="0FCB1589"/>
    <w:rsid w:val="10635C65"/>
    <w:rsid w:val="10686DD7"/>
    <w:rsid w:val="106A6956"/>
    <w:rsid w:val="10831E63"/>
    <w:rsid w:val="10A65B52"/>
    <w:rsid w:val="10E70644"/>
    <w:rsid w:val="10FD3B5F"/>
    <w:rsid w:val="112C42A9"/>
    <w:rsid w:val="114C66F9"/>
    <w:rsid w:val="11A71B81"/>
    <w:rsid w:val="11B5604C"/>
    <w:rsid w:val="11B81FE1"/>
    <w:rsid w:val="11EC3A38"/>
    <w:rsid w:val="11FF551A"/>
    <w:rsid w:val="122356AC"/>
    <w:rsid w:val="1246139A"/>
    <w:rsid w:val="12481006"/>
    <w:rsid w:val="12565184"/>
    <w:rsid w:val="12A83E03"/>
    <w:rsid w:val="12B72298"/>
    <w:rsid w:val="12B74046"/>
    <w:rsid w:val="12C0114D"/>
    <w:rsid w:val="12C81DAF"/>
    <w:rsid w:val="12CD386A"/>
    <w:rsid w:val="12DB77D0"/>
    <w:rsid w:val="12E52276"/>
    <w:rsid w:val="131349AD"/>
    <w:rsid w:val="131E5E73"/>
    <w:rsid w:val="13453400"/>
    <w:rsid w:val="135950FD"/>
    <w:rsid w:val="13877EBC"/>
    <w:rsid w:val="138E124B"/>
    <w:rsid w:val="13A91BE1"/>
    <w:rsid w:val="13BB7B66"/>
    <w:rsid w:val="13C24A51"/>
    <w:rsid w:val="13C94031"/>
    <w:rsid w:val="13DF5603"/>
    <w:rsid w:val="13E40E6B"/>
    <w:rsid w:val="13ED38B6"/>
    <w:rsid w:val="14087FF7"/>
    <w:rsid w:val="14223741"/>
    <w:rsid w:val="142B6741"/>
    <w:rsid w:val="143771ED"/>
    <w:rsid w:val="14667AD2"/>
    <w:rsid w:val="14700951"/>
    <w:rsid w:val="14777F31"/>
    <w:rsid w:val="147E4E1C"/>
    <w:rsid w:val="148368D6"/>
    <w:rsid w:val="14B51F18"/>
    <w:rsid w:val="14C33176"/>
    <w:rsid w:val="14E82BDD"/>
    <w:rsid w:val="14EA1DC6"/>
    <w:rsid w:val="153B0F5F"/>
    <w:rsid w:val="154871D8"/>
    <w:rsid w:val="155B6F0B"/>
    <w:rsid w:val="15877D00"/>
    <w:rsid w:val="15C56A7A"/>
    <w:rsid w:val="15D37DF4"/>
    <w:rsid w:val="15D62A35"/>
    <w:rsid w:val="15E056A4"/>
    <w:rsid w:val="15FA4976"/>
    <w:rsid w:val="160C28FB"/>
    <w:rsid w:val="161D68B6"/>
    <w:rsid w:val="1629535D"/>
    <w:rsid w:val="16506CFC"/>
    <w:rsid w:val="168340B4"/>
    <w:rsid w:val="168406E3"/>
    <w:rsid w:val="16921052"/>
    <w:rsid w:val="16B5089D"/>
    <w:rsid w:val="16D927DD"/>
    <w:rsid w:val="16E15B36"/>
    <w:rsid w:val="17465999"/>
    <w:rsid w:val="174F6F43"/>
    <w:rsid w:val="17562080"/>
    <w:rsid w:val="17887D5F"/>
    <w:rsid w:val="17912EAF"/>
    <w:rsid w:val="179E7583"/>
    <w:rsid w:val="17C3523B"/>
    <w:rsid w:val="17EC6540"/>
    <w:rsid w:val="18267CA4"/>
    <w:rsid w:val="183A374F"/>
    <w:rsid w:val="184C3483"/>
    <w:rsid w:val="18A60DE5"/>
    <w:rsid w:val="18B43502"/>
    <w:rsid w:val="18D6024A"/>
    <w:rsid w:val="18D70F9E"/>
    <w:rsid w:val="19193365"/>
    <w:rsid w:val="1921046B"/>
    <w:rsid w:val="194A1770"/>
    <w:rsid w:val="196565AA"/>
    <w:rsid w:val="19670574"/>
    <w:rsid w:val="196B5043"/>
    <w:rsid w:val="196E7C21"/>
    <w:rsid w:val="19792055"/>
    <w:rsid w:val="19AD7F51"/>
    <w:rsid w:val="19D454DE"/>
    <w:rsid w:val="1A004525"/>
    <w:rsid w:val="1A02029D"/>
    <w:rsid w:val="1A045DC3"/>
    <w:rsid w:val="1A0C4C78"/>
    <w:rsid w:val="1A2521DD"/>
    <w:rsid w:val="1A26564E"/>
    <w:rsid w:val="1A292A9E"/>
    <w:rsid w:val="1A327F98"/>
    <w:rsid w:val="1A473F02"/>
    <w:rsid w:val="1A6920CA"/>
    <w:rsid w:val="1A7F5449"/>
    <w:rsid w:val="1A8E14FD"/>
    <w:rsid w:val="1AB33345"/>
    <w:rsid w:val="1AC13CB4"/>
    <w:rsid w:val="1AD25EC1"/>
    <w:rsid w:val="1ADC6D40"/>
    <w:rsid w:val="1AEE4A81"/>
    <w:rsid w:val="1AF37BE5"/>
    <w:rsid w:val="1B244243"/>
    <w:rsid w:val="1B281F85"/>
    <w:rsid w:val="1B481CDF"/>
    <w:rsid w:val="1B4D379A"/>
    <w:rsid w:val="1B854C33"/>
    <w:rsid w:val="1B886580"/>
    <w:rsid w:val="1BDD2D6F"/>
    <w:rsid w:val="1BE35EAC"/>
    <w:rsid w:val="1C0F4EF3"/>
    <w:rsid w:val="1C3D380E"/>
    <w:rsid w:val="1C550F17"/>
    <w:rsid w:val="1C627E7C"/>
    <w:rsid w:val="1C6963B1"/>
    <w:rsid w:val="1C6E7E6B"/>
    <w:rsid w:val="1C850D11"/>
    <w:rsid w:val="1CB17D58"/>
    <w:rsid w:val="1CF92E79"/>
    <w:rsid w:val="1D1E067A"/>
    <w:rsid w:val="1D547061"/>
    <w:rsid w:val="1D6F5C49"/>
    <w:rsid w:val="1D84317E"/>
    <w:rsid w:val="1D943902"/>
    <w:rsid w:val="1DAB47A7"/>
    <w:rsid w:val="1E026ABD"/>
    <w:rsid w:val="1E1265D5"/>
    <w:rsid w:val="1E396257"/>
    <w:rsid w:val="1E3C449A"/>
    <w:rsid w:val="1E4C1AE7"/>
    <w:rsid w:val="1E641526"/>
    <w:rsid w:val="1E7D4396"/>
    <w:rsid w:val="1E827BFE"/>
    <w:rsid w:val="1E9B2A6E"/>
    <w:rsid w:val="1E9F255E"/>
    <w:rsid w:val="1EA1006F"/>
    <w:rsid w:val="1EB458DE"/>
    <w:rsid w:val="1EE2244B"/>
    <w:rsid w:val="1EEE2B9E"/>
    <w:rsid w:val="1F0341B0"/>
    <w:rsid w:val="1F3802BD"/>
    <w:rsid w:val="1F3A2287"/>
    <w:rsid w:val="1F7F3C12"/>
    <w:rsid w:val="1F923E71"/>
    <w:rsid w:val="1FE521F3"/>
    <w:rsid w:val="201400DE"/>
    <w:rsid w:val="20322F5E"/>
    <w:rsid w:val="20390790"/>
    <w:rsid w:val="2040567B"/>
    <w:rsid w:val="2085139A"/>
    <w:rsid w:val="20B83463"/>
    <w:rsid w:val="20C0056A"/>
    <w:rsid w:val="20C04DFC"/>
    <w:rsid w:val="20C556F9"/>
    <w:rsid w:val="20D52267"/>
    <w:rsid w:val="211F1734"/>
    <w:rsid w:val="218250DB"/>
    <w:rsid w:val="21986530"/>
    <w:rsid w:val="21BF6A73"/>
    <w:rsid w:val="21D818E3"/>
    <w:rsid w:val="21ED538F"/>
    <w:rsid w:val="21F030D1"/>
    <w:rsid w:val="21FA3013"/>
    <w:rsid w:val="220F79FB"/>
    <w:rsid w:val="223B5668"/>
    <w:rsid w:val="226B2757"/>
    <w:rsid w:val="228850B7"/>
    <w:rsid w:val="22CA1B74"/>
    <w:rsid w:val="22CC769A"/>
    <w:rsid w:val="22E06CA1"/>
    <w:rsid w:val="2337267A"/>
    <w:rsid w:val="23445482"/>
    <w:rsid w:val="234E6301"/>
    <w:rsid w:val="2351194D"/>
    <w:rsid w:val="23867849"/>
    <w:rsid w:val="23906919"/>
    <w:rsid w:val="23A221A9"/>
    <w:rsid w:val="23FF78C4"/>
    <w:rsid w:val="240B2444"/>
    <w:rsid w:val="24284DA4"/>
    <w:rsid w:val="24286AD0"/>
    <w:rsid w:val="2435301D"/>
    <w:rsid w:val="244F6828"/>
    <w:rsid w:val="24612064"/>
    <w:rsid w:val="247B3126"/>
    <w:rsid w:val="2480698E"/>
    <w:rsid w:val="2482605D"/>
    <w:rsid w:val="24AE34FB"/>
    <w:rsid w:val="24C34ACD"/>
    <w:rsid w:val="24C525F3"/>
    <w:rsid w:val="24D665AE"/>
    <w:rsid w:val="24ED38F7"/>
    <w:rsid w:val="24F01D26"/>
    <w:rsid w:val="24F904EE"/>
    <w:rsid w:val="250E1CE4"/>
    <w:rsid w:val="25147083"/>
    <w:rsid w:val="25286897"/>
    <w:rsid w:val="253F05F7"/>
    <w:rsid w:val="253F4153"/>
    <w:rsid w:val="254479BB"/>
    <w:rsid w:val="255D295A"/>
    <w:rsid w:val="25DF5936"/>
    <w:rsid w:val="25EB04D3"/>
    <w:rsid w:val="25EF3DCB"/>
    <w:rsid w:val="25F82552"/>
    <w:rsid w:val="25FD7B6A"/>
    <w:rsid w:val="26103D41"/>
    <w:rsid w:val="26280FB8"/>
    <w:rsid w:val="265D67DB"/>
    <w:rsid w:val="268D5392"/>
    <w:rsid w:val="268F456F"/>
    <w:rsid w:val="26A00BFC"/>
    <w:rsid w:val="26A5092E"/>
    <w:rsid w:val="26B40B71"/>
    <w:rsid w:val="26CD1C32"/>
    <w:rsid w:val="27160EE4"/>
    <w:rsid w:val="274C6FFB"/>
    <w:rsid w:val="275E4DF0"/>
    <w:rsid w:val="27617694"/>
    <w:rsid w:val="27653C19"/>
    <w:rsid w:val="276E2ACE"/>
    <w:rsid w:val="278422F1"/>
    <w:rsid w:val="279770BC"/>
    <w:rsid w:val="27CB2CC7"/>
    <w:rsid w:val="27FC457D"/>
    <w:rsid w:val="28164F13"/>
    <w:rsid w:val="283830DC"/>
    <w:rsid w:val="283C7070"/>
    <w:rsid w:val="28793E20"/>
    <w:rsid w:val="28887BBF"/>
    <w:rsid w:val="28B766F6"/>
    <w:rsid w:val="28E16FD0"/>
    <w:rsid w:val="29064F88"/>
    <w:rsid w:val="2920604A"/>
    <w:rsid w:val="292A6EC8"/>
    <w:rsid w:val="2933596C"/>
    <w:rsid w:val="294C6E3F"/>
    <w:rsid w:val="29DA08EE"/>
    <w:rsid w:val="2A151926"/>
    <w:rsid w:val="2A297180"/>
    <w:rsid w:val="2A2D4EC2"/>
    <w:rsid w:val="2A7A3E7F"/>
    <w:rsid w:val="2A9F38E6"/>
    <w:rsid w:val="2AAD7DB1"/>
    <w:rsid w:val="2B4A3852"/>
    <w:rsid w:val="2B5C5333"/>
    <w:rsid w:val="2B661D4E"/>
    <w:rsid w:val="2B727E46"/>
    <w:rsid w:val="2B7408CF"/>
    <w:rsid w:val="2B836D64"/>
    <w:rsid w:val="2B944ACD"/>
    <w:rsid w:val="2BA07916"/>
    <w:rsid w:val="2BAD5B8F"/>
    <w:rsid w:val="2BB4516F"/>
    <w:rsid w:val="2BBB474F"/>
    <w:rsid w:val="2BC96E6C"/>
    <w:rsid w:val="2BCA04EF"/>
    <w:rsid w:val="2C0954BB"/>
    <w:rsid w:val="2C273B93"/>
    <w:rsid w:val="2C532BDA"/>
    <w:rsid w:val="2C5F5A25"/>
    <w:rsid w:val="2C701096"/>
    <w:rsid w:val="2C7843EE"/>
    <w:rsid w:val="2C892A75"/>
    <w:rsid w:val="2CEF2903"/>
    <w:rsid w:val="2D383D8F"/>
    <w:rsid w:val="2D683038"/>
    <w:rsid w:val="2D6A49B6"/>
    <w:rsid w:val="2DA60AE7"/>
    <w:rsid w:val="2DAF5BEE"/>
    <w:rsid w:val="2DEC583C"/>
    <w:rsid w:val="2E0E500A"/>
    <w:rsid w:val="2E220AB6"/>
    <w:rsid w:val="2E2E745B"/>
    <w:rsid w:val="2E36630F"/>
    <w:rsid w:val="2E3B3926"/>
    <w:rsid w:val="2E3B56D4"/>
    <w:rsid w:val="2E410741"/>
    <w:rsid w:val="2E652751"/>
    <w:rsid w:val="2E6609A2"/>
    <w:rsid w:val="2E7F3812"/>
    <w:rsid w:val="2E980D78"/>
    <w:rsid w:val="2EAC7101"/>
    <w:rsid w:val="2EB21E3A"/>
    <w:rsid w:val="2EC15BD9"/>
    <w:rsid w:val="2ECE479A"/>
    <w:rsid w:val="2F0106CB"/>
    <w:rsid w:val="2F261EE0"/>
    <w:rsid w:val="2F45680A"/>
    <w:rsid w:val="2F8F3F29"/>
    <w:rsid w:val="2FB35E69"/>
    <w:rsid w:val="2FBC45F2"/>
    <w:rsid w:val="2FCA5E76"/>
    <w:rsid w:val="300541EB"/>
    <w:rsid w:val="30156509"/>
    <w:rsid w:val="30191A45"/>
    <w:rsid w:val="3025488D"/>
    <w:rsid w:val="30313232"/>
    <w:rsid w:val="306C426A"/>
    <w:rsid w:val="30703D5A"/>
    <w:rsid w:val="3086532C"/>
    <w:rsid w:val="30986E0D"/>
    <w:rsid w:val="309A0DD7"/>
    <w:rsid w:val="309F1F4A"/>
    <w:rsid w:val="30DF4A3C"/>
    <w:rsid w:val="31010E56"/>
    <w:rsid w:val="3115220C"/>
    <w:rsid w:val="31490108"/>
    <w:rsid w:val="31A309E6"/>
    <w:rsid w:val="31DB3455"/>
    <w:rsid w:val="31E3230A"/>
    <w:rsid w:val="31EF5153"/>
    <w:rsid w:val="3203475A"/>
    <w:rsid w:val="3207249C"/>
    <w:rsid w:val="3207424B"/>
    <w:rsid w:val="321B5F48"/>
    <w:rsid w:val="3253123E"/>
    <w:rsid w:val="3255145A"/>
    <w:rsid w:val="325A2F5E"/>
    <w:rsid w:val="325B6344"/>
    <w:rsid w:val="327D275F"/>
    <w:rsid w:val="32A41A99"/>
    <w:rsid w:val="32B36180"/>
    <w:rsid w:val="32CE6B16"/>
    <w:rsid w:val="32EE08F1"/>
    <w:rsid w:val="32FE389F"/>
    <w:rsid w:val="33095DA0"/>
    <w:rsid w:val="334D0383"/>
    <w:rsid w:val="335903B1"/>
    <w:rsid w:val="33704071"/>
    <w:rsid w:val="33707BE1"/>
    <w:rsid w:val="338813BB"/>
    <w:rsid w:val="33C9713C"/>
    <w:rsid w:val="33F00D0E"/>
    <w:rsid w:val="34076784"/>
    <w:rsid w:val="344D6161"/>
    <w:rsid w:val="344F3C87"/>
    <w:rsid w:val="348778C5"/>
    <w:rsid w:val="34AC2E87"/>
    <w:rsid w:val="34D569AD"/>
    <w:rsid w:val="34E73EBF"/>
    <w:rsid w:val="34EE524E"/>
    <w:rsid w:val="34FF38FF"/>
    <w:rsid w:val="353510CF"/>
    <w:rsid w:val="35357321"/>
    <w:rsid w:val="355359F9"/>
    <w:rsid w:val="3569521C"/>
    <w:rsid w:val="357065AB"/>
    <w:rsid w:val="357D65D2"/>
    <w:rsid w:val="35B53FBD"/>
    <w:rsid w:val="35B77D36"/>
    <w:rsid w:val="35DA0E16"/>
    <w:rsid w:val="36080591"/>
    <w:rsid w:val="36266C69"/>
    <w:rsid w:val="3639699D"/>
    <w:rsid w:val="36551616"/>
    <w:rsid w:val="36716136"/>
    <w:rsid w:val="367774C5"/>
    <w:rsid w:val="368816D2"/>
    <w:rsid w:val="36962041"/>
    <w:rsid w:val="36B3674F"/>
    <w:rsid w:val="36C26D87"/>
    <w:rsid w:val="36F154C9"/>
    <w:rsid w:val="36F32FEF"/>
    <w:rsid w:val="37144D14"/>
    <w:rsid w:val="375A12C0"/>
    <w:rsid w:val="375A4E1C"/>
    <w:rsid w:val="37667C65"/>
    <w:rsid w:val="37826121"/>
    <w:rsid w:val="37A20571"/>
    <w:rsid w:val="37BC5AD7"/>
    <w:rsid w:val="37C87FD8"/>
    <w:rsid w:val="37DE5A4E"/>
    <w:rsid w:val="37F45271"/>
    <w:rsid w:val="381C20D2"/>
    <w:rsid w:val="382471D8"/>
    <w:rsid w:val="382A0C93"/>
    <w:rsid w:val="383733B0"/>
    <w:rsid w:val="38543F62"/>
    <w:rsid w:val="385B52F0"/>
    <w:rsid w:val="387B3FB2"/>
    <w:rsid w:val="387C0DC3"/>
    <w:rsid w:val="38816836"/>
    <w:rsid w:val="388D4D7E"/>
    <w:rsid w:val="388F0AF6"/>
    <w:rsid w:val="38B62526"/>
    <w:rsid w:val="38BE762D"/>
    <w:rsid w:val="38D66725"/>
    <w:rsid w:val="38DE382B"/>
    <w:rsid w:val="391B05DB"/>
    <w:rsid w:val="391B4A7F"/>
    <w:rsid w:val="3986014B"/>
    <w:rsid w:val="39925AC2"/>
    <w:rsid w:val="399B34CA"/>
    <w:rsid w:val="3A1C285D"/>
    <w:rsid w:val="3A25774B"/>
    <w:rsid w:val="3A2E4DC8"/>
    <w:rsid w:val="3A4A0A8D"/>
    <w:rsid w:val="3A52627F"/>
    <w:rsid w:val="3A726921"/>
    <w:rsid w:val="3A761882"/>
    <w:rsid w:val="3A824DB6"/>
    <w:rsid w:val="3A970136"/>
    <w:rsid w:val="3AB02FA5"/>
    <w:rsid w:val="3AD924FC"/>
    <w:rsid w:val="3AD969A0"/>
    <w:rsid w:val="3B050D89"/>
    <w:rsid w:val="3B251BE5"/>
    <w:rsid w:val="3B2E2848"/>
    <w:rsid w:val="3B3B6D13"/>
    <w:rsid w:val="3B4D6C66"/>
    <w:rsid w:val="3B530501"/>
    <w:rsid w:val="3B9338B9"/>
    <w:rsid w:val="3BA174BE"/>
    <w:rsid w:val="3BA743A8"/>
    <w:rsid w:val="3BAE1BDB"/>
    <w:rsid w:val="3BCB453B"/>
    <w:rsid w:val="3C11224A"/>
    <w:rsid w:val="3C153A08"/>
    <w:rsid w:val="3C1E28BD"/>
    <w:rsid w:val="3C6D114E"/>
    <w:rsid w:val="3C722C08"/>
    <w:rsid w:val="3C7A0581"/>
    <w:rsid w:val="3CA91B16"/>
    <w:rsid w:val="3CCC1C2D"/>
    <w:rsid w:val="3D006466"/>
    <w:rsid w:val="3D2E4D81"/>
    <w:rsid w:val="3D510A70"/>
    <w:rsid w:val="3D64203D"/>
    <w:rsid w:val="3DA05553"/>
    <w:rsid w:val="3DB72FC9"/>
    <w:rsid w:val="3DBC05DF"/>
    <w:rsid w:val="3DD07BE6"/>
    <w:rsid w:val="3DFD4754"/>
    <w:rsid w:val="3E0E6B7D"/>
    <w:rsid w:val="3E524A9F"/>
    <w:rsid w:val="3E66679D"/>
    <w:rsid w:val="3E691DE9"/>
    <w:rsid w:val="3E8E4B07"/>
    <w:rsid w:val="3EA45105"/>
    <w:rsid w:val="3EDC25BB"/>
    <w:rsid w:val="3EE80F60"/>
    <w:rsid w:val="3EF97F78"/>
    <w:rsid w:val="3F2F3033"/>
    <w:rsid w:val="3F367F1D"/>
    <w:rsid w:val="3F8213B4"/>
    <w:rsid w:val="3FA255B3"/>
    <w:rsid w:val="3FB05F21"/>
    <w:rsid w:val="3FBF6165"/>
    <w:rsid w:val="3FDA11F0"/>
    <w:rsid w:val="3FE8039F"/>
    <w:rsid w:val="3FF903C7"/>
    <w:rsid w:val="405961D5"/>
    <w:rsid w:val="405C5F46"/>
    <w:rsid w:val="4077328B"/>
    <w:rsid w:val="409475F1"/>
    <w:rsid w:val="410C362B"/>
    <w:rsid w:val="410F0A26"/>
    <w:rsid w:val="411E6EBB"/>
    <w:rsid w:val="419306C2"/>
    <w:rsid w:val="41AA074E"/>
    <w:rsid w:val="41D1217F"/>
    <w:rsid w:val="41E579D9"/>
    <w:rsid w:val="41F320F5"/>
    <w:rsid w:val="421B135F"/>
    <w:rsid w:val="42350960"/>
    <w:rsid w:val="428216CB"/>
    <w:rsid w:val="428E1E1E"/>
    <w:rsid w:val="42DC702D"/>
    <w:rsid w:val="42DF6B1E"/>
    <w:rsid w:val="42F51E9D"/>
    <w:rsid w:val="43123CB1"/>
    <w:rsid w:val="432D5ADB"/>
    <w:rsid w:val="434150E2"/>
    <w:rsid w:val="43574906"/>
    <w:rsid w:val="43686B13"/>
    <w:rsid w:val="439E2535"/>
    <w:rsid w:val="43A833B4"/>
    <w:rsid w:val="43D917BF"/>
    <w:rsid w:val="43FB7987"/>
    <w:rsid w:val="440D6D0B"/>
    <w:rsid w:val="441B5933"/>
    <w:rsid w:val="441D16AC"/>
    <w:rsid w:val="44224F14"/>
    <w:rsid w:val="444906F3"/>
    <w:rsid w:val="44A771C7"/>
    <w:rsid w:val="44AD1609"/>
    <w:rsid w:val="44BB27AC"/>
    <w:rsid w:val="44C935E1"/>
    <w:rsid w:val="44EB17AA"/>
    <w:rsid w:val="452627E2"/>
    <w:rsid w:val="45B20519"/>
    <w:rsid w:val="45D1299F"/>
    <w:rsid w:val="45DA1E4C"/>
    <w:rsid w:val="45EE1552"/>
    <w:rsid w:val="46364CA7"/>
    <w:rsid w:val="463D6035"/>
    <w:rsid w:val="463F7FFF"/>
    <w:rsid w:val="4642189D"/>
    <w:rsid w:val="464D40A7"/>
    <w:rsid w:val="46712183"/>
    <w:rsid w:val="4685178A"/>
    <w:rsid w:val="46C422B2"/>
    <w:rsid w:val="46C71DA3"/>
    <w:rsid w:val="46E26BDC"/>
    <w:rsid w:val="46F43381"/>
    <w:rsid w:val="46FA2178"/>
    <w:rsid w:val="47486A40"/>
    <w:rsid w:val="474B2595"/>
    <w:rsid w:val="47631ACB"/>
    <w:rsid w:val="476B0980"/>
    <w:rsid w:val="476E221E"/>
    <w:rsid w:val="477912EF"/>
    <w:rsid w:val="47841A42"/>
    <w:rsid w:val="479B74B7"/>
    <w:rsid w:val="479E2B03"/>
    <w:rsid w:val="47A01D37"/>
    <w:rsid w:val="47B02837"/>
    <w:rsid w:val="47C7611D"/>
    <w:rsid w:val="47F50289"/>
    <w:rsid w:val="48052B82"/>
    <w:rsid w:val="48054931"/>
    <w:rsid w:val="48276F9D"/>
    <w:rsid w:val="48335942"/>
    <w:rsid w:val="48362D3C"/>
    <w:rsid w:val="48455675"/>
    <w:rsid w:val="4851401A"/>
    <w:rsid w:val="48662CAB"/>
    <w:rsid w:val="48912668"/>
    <w:rsid w:val="489C3D58"/>
    <w:rsid w:val="48BC5937"/>
    <w:rsid w:val="48CC3FBA"/>
    <w:rsid w:val="4914740C"/>
    <w:rsid w:val="49180694"/>
    <w:rsid w:val="491D0BB5"/>
    <w:rsid w:val="492227FD"/>
    <w:rsid w:val="49262DB0"/>
    <w:rsid w:val="493E352A"/>
    <w:rsid w:val="495C2C76"/>
    <w:rsid w:val="497D499A"/>
    <w:rsid w:val="49861AA1"/>
    <w:rsid w:val="49BA174B"/>
    <w:rsid w:val="49BF4FB3"/>
    <w:rsid w:val="49E35145"/>
    <w:rsid w:val="49FB2E52"/>
    <w:rsid w:val="4A0A0924"/>
    <w:rsid w:val="4A606796"/>
    <w:rsid w:val="4A842484"/>
    <w:rsid w:val="4A8F0E29"/>
    <w:rsid w:val="4AA743C5"/>
    <w:rsid w:val="4AB60164"/>
    <w:rsid w:val="4AF8077D"/>
    <w:rsid w:val="4B0C247A"/>
    <w:rsid w:val="4B0D06CC"/>
    <w:rsid w:val="4B272E10"/>
    <w:rsid w:val="4B2C0426"/>
    <w:rsid w:val="4B2E419E"/>
    <w:rsid w:val="4B3774F7"/>
    <w:rsid w:val="4B5A4F93"/>
    <w:rsid w:val="4B992186"/>
    <w:rsid w:val="4BA91A77"/>
    <w:rsid w:val="4BB01057"/>
    <w:rsid w:val="4BC44B03"/>
    <w:rsid w:val="4BED4059"/>
    <w:rsid w:val="4C07336D"/>
    <w:rsid w:val="4C0D64AA"/>
    <w:rsid w:val="4C267013"/>
    <w:rsid w:val="4C2F4672"/>
    <w:rsid w:val="4C35155C"/>
    <w:rsid w:val="4C79769B"/>
    <w:rsid w:val="4CC748AA"/>
    <w:rsid w:val="4CD34FFD"/>
    <w:rsid w:val="4CD62D3F"/>
    <w:rsid w:val="4CE216E4"/>
    <w:rsid w:val="4CF558F2"/>
    <w:rsid w:val="4D4759EB"/>
    <w:rsid w:val="4D477799"/>
    <w:rsid w:val="4D4E28D6"/>
    <w:rsid w:val="4D7020FE"/>
    <w:rsid w:val="4D862070"/>
    <w:rsid w:val="4DBF3025"/>
    <w:rsid w:val="4DEA6AA2"/>
    <w:rsid w:val="4DF06083"/>
    <w:rsid w:val="4E28581D"/>
    <w:rsid w:val="4E2B2C17"/>
    <w:rsid w:val="4E347D1E"/>
    <w:rsid w:val="4E434405"/>
    <w:rsid w:val="4E477347"/>
    <w:rsid w:val="4E590352"/>
    <w:rsid w:val="4E5C1022"/>
    <w:rsid w:val="4E93713A"/>
    <w:rsid w:val="4EB175C0"/>
    <w:rsid w:val="4EF86F9D"/>
    <w:rsid w:val="4F343D4D"/>
    <w:rsid w:val="4F536B56"/>
    <w:rsid w:val="4F674123"/>
    <w:rsid w:val="4F675ED1"/>
    <w:rsid w:val="4F6E3703"/>
    <w:rsid w:val="4F8C7E3E"/>
    <w:rsid w:val="4F9E2270"/>
    <w:rsid w:val="4FF13D33"/>
    <w:rsid w:val="4FF534DD"/>
    <w:rsid w:val="500D6A78"/>
    <w:rsid w:val="501716A5"/>
    <w:rsid w:val="50485D02"/>
    <w:rsid w:val="5060129E"/>
    <w:rsid w:val="509B1F39"/>
    <w:rsid w:val="50AE29B9"/>
    <w:rsid w:val="50B74C36"/>
    <w:rsid w:val="50EC2B32"/>
    <w:rsid w:val="5102452F"/>
    <w:rsid w:val="512247A5"/>
    <w:rsid w:val="513A21B0"/>
    <w:rsid w:val="517A638F"/>
    <w:rsid w:val="517F5754"/>
    <w:rsid w:val="51915487"/>
    <w:rsid w:val="51986815"/>
    <w:rsid w:val="519A258E"/>
    <w:rsid w:val="51B22A66"/>
    <w:rsid w:val="51B727A0"/>
    <w:rsid w:val="51B7313F"/>
    <w:rsid w:val="51C27D36"/>
    <w:rsid w:val="51D51818"/>
    <w:rsid w:val="520420FD"/>
    <w:rsid w:val="52151C14"/>
    <w:rsid w:val="52377DDC"/>
    <w:rsid w:val="52783F92"/>
    <w:rsid w:val="5285323E"/>
    <w:rsid w:val="52B26F28"/>
    <w:rsid w:val="52BD6966"/>
    <w:rsid w:val="52DA40DA"/>
    <w:rsid w:val="52EA4E4F"/>
    <w:rsid w:val="531B415F"/>
    <w:rsid w:val="53346A12"/>
    <w:rsid w:val="53456529"/>
    <w:rsid w:val="534F55FA"/>
    <w:rsid w:val="53751DF0"/>
    <w:rsid w:val="53760DD8"/>
    <w:rsid w:val="539B083F"/>
    <w:rsid w:val="53A72D40"/>
    <w:rsid w:val="543C3DD0"/>
    <w:rsid w:val="54554E92"/>
    <w:rsid w:val="546A3DAE"/>
    <w:rsid w:val="5486504B"/>
    <w:rsid w:val="548F2152"/>
    <w:rsid w:val="54A61249"/>
    <w:rsid w:val="54C17E31"/>
    <w:rsid w:val="54CD2C7A"/>
    <w:rsid w:val="54E65AEA"/>
    <w:rsid w:val="551408A9"/>
    <w:rsid w:val="554C3B9F"/>
    <w:rsid w:val="55515659"/>
    <w:rsid w:val="55A82D9F"/>
    <w:rsid w:val="55BE6DED"/>
    <w:rsid w:val="55F36710"/>
    <w:rsid w:val="56206DD9"/>
    <w:rsid w:val="567315FF"/>
    <w:rsid w:val="56981066"/>
    <w:rsid w:val="56B511F4"/>
    <w:rsid w:val="56CF0F2B"/>
    <w:rsid w:val="56D06587"/>
    <w:rsid w:val="56D8626A"/>
    <w:rsid w:val="56DC0F52"/>
    <w:rsid w:val="56ED13B1"/>
    <w:rsid w:val="57032983"/>
    <w:rsid w:val="571E156B"/>
    <w:rsid w:val="572C012C"/>
    <w:rsid w:val="57452F9B"/>
    <w:rsid w:val="574A2360"/>
    <w:rsid w:val="57783188"/>
    <w:rsid w:val="579E08FE"/>
    <w:rsid w:val="57AC6B77"/>
    <w:rsid w:val="57BE68AA"/>
    <w:rsid w:val="57D165DD"/>
    <w:rsid w:val="57F66044"/>
    <w:rsid w:val="5802460E"/>
    <w:rsid w:val="580C3AB9"/>
    <w:rsid w:val="588E44CE"/>
    <w:rsid w:val="589917F1"/>
    <w:rsid w:val="58BF0B2C"/>
    <w:rsid w:val="58E32A6C"/>
    <w:rsid w:val="58EE31BF"/>
    <w:rsid w:val="59183E56"/>
    <w:rsid w:val="59301A29"/>
    <w:rsid w:val="59401C6C"/>
    <w:rsid w:val="595E3938"/>
    <w:rsid w:val="59945B14"/>
    <w:rsid w:val="59BD32BD"/>
    <w:rsid w:val="59EC0C94"/>
    <w:rsid w:val="59F9006D"/>
    <w:rsid w:val="5A266684"/>
    <w:rsid w:val="5A2E7D17"/>
    <w:rsid w:val="5A3C389B"/>
    <w:rsid w:val="5A47702B"/>
    <w:rsid w:val="5A4A08C9"/>
    <w:rsid w:val="5A4C2893"/>
    <w:rsid w:val="5A8B5169"/>
    <w:rsid w:val="5AA47FD9"/>
    <w:rsid w:val="5AB126F6"/>
    <w:rsid w:val="5ACB7C5C"/>
    <w:rsid w:val="5AD54636"/>
    <w:rsid w:val="5ADF3707"/>
    <w:rsid w:val="5AE34FA5"/>
    <w:rsid w:val="5AEE56F8"/>
    <w:rsid w:val="5AF80325"/>
    <w:rsid w:val="5AF97AF9"/>
    <w:rsid w:val="5B2555BE"/>
    <w:rsid w:val="5B484E08"/>
    <w:rsid w:val="5B5163B3"/>
    <w:rsid w:val="5B6836FC"/>
    <w:rsid w:val="5B9067AF"/>
    <w:rsid w:val="5BB6101F"/>
    <w:rsid w:val="5BD5593D"/>
    <w:rsid w:val="5BD91F04"/>
    <w:rsid w:val="5C531CB7"/>
    <w:rsid w:val="5C5F50E3"/>
    <w:rsid w:val="5C904CB9"/>
    <w:rsid w:val="5D1256CE"/>
    <w:rsid w:val="5D137698"/>
    <w:rsid w:val="5D1C479E"/>
    <w:rsid w:val="5D1F428F"/>
    <w:rsid w:val="5D8F6D1E"/>
    <w:rsid w:val="5D92680F"/>
    <w:rsid w:val="5D9A6865"/>
    <w:rsid w:val="5DB6074F"/>
    <w:rsid w:val="5DD60DF1"/>
    <w:rsid w:val="5DED613B"/>
    <w:rsid w:val="5DF179D9"/>
    <w:rsid w:val="5DFF4054"/>
    <w:rsid w:val="5E532442"/>
    <w:rsid w:val="5E6F08FE"/>
    <w:rsid w:val="5F131BD1"/>
    <w:rsid w:val="5F351B48"/>
    <w:rsid w:val="5F601C40"/>
    <w:rsid w:val="5F617FFB"/>
    <w:rsid w:val="5F750196"/>
    <w:rsid w:val="5F8F74AA"/>
    <w:rsid w:val="5FA2748E"/>
    <w:rsid w:val="5FEA46E0"/>
    <w:rsid w:val="605F3B9E"/>
    <w:rsid w:val="607F05FD"/>
    <w:rsid w:val="608508AD"/>
    <w:rsid w:val="608C39E9"/>
    <w:rsid w:val="60A96349"/>
    <w:rsid w:val="60CE7B5E"/>
    <w:rsid w:val="60D20D9C"/>
    <w:rsid w:val="61005AF5"/>
    <w:rsid w:val="614B38A4"/>
    <w:rsid w:val="6151253D"/>
    <w:rsid w:val="615362B5"/>
    <w:rsid w:val="616E7593"/>
    <w:rsid w:val="617050B9"/>
    <w:rsid w:val="617D5FFF"/>
    <w:rsid w:val="61812E22"/>
    <w:rsid w:val="6198016C"/>
    <w:rsid w:val="61A44D62"/>
    <w:rsid w:val="61BE6766"/>
    <w:rsid w:val="61BF1B9C"/>
    <w:rsid w:val="61C251E9"/>
    <w:rsid w:val="61E909C7"/>
    <w:rsid w:val="61F47A98"/>
    <w:rsid w:val="62397BA1"/>
    <w:rsid w:val="626B762E"/>
    <w:rsid w:val="62802E5A"/>
    <w:rsid w:val="628C7CD0"/>
    <w:rsid w:val="62B17737"/>
    <w:rsid w:val="62C31218"/>
    <w:rsid w:val="630A6E47"/>
    <w:rsid w:val="633F4D43"/>
    <w:rsid w:val="634316F9"/>
    <w:rsid w:val="63604CB9"/>
    <w:rsid w:val="63972DD1"/>
    <w:rsid w:val="63A159FD"/>
    <w:rsid w:val="63B05C41"/>
    <w:rsid w:val="63CC234F"/>
    <w:rsid w:val="643C74D4"/>
    <w:rsid w:val="644B5969"/>
    <w:rsid w:val="64C574CA"/>
    <w:rsid w:val="64E93AA5"/>
    <w:rsid w:val="64F6295B"/>
    <w:rsid w:val="65000502"/>
    <w:rsid w:val="650962AD"/>
    <w:rsid w:val="650C334B"/>
    <w:rsid w:val="652561BA"/>
    <w:rsid w:val="65717652"/>
    <w:rsid w:val="65766A16"/>
    <w:rsid w:val="65896749"/>
    <w:rsid w:val="65A05841"/>
    <w:rsid w:val="663A5C95"/>
    <w:rsid w:val="663F505A"/>
    <w:rsid w:val="6695111E"/>
    <w:rsid w:val="669B4986"/>
    <w:rsid w:val="66A355E9"/>
    <w:rsid w:val="66B23A7E"/>
    <w:rsid w:val="66D57E15"/>
    <w:rsid w:val="6707201B"/>
    <w:rsid w:val="673E5311"/>
    <w:rsid w:val="67486190"/>
    <w:rsid w:val="677F6056"/>
    <w:rsid w:val="67874F0A"/>
    <w:rsid w:val="678C688C"/>
    <w:rsid w:val="67BF6452"/>
    <w:rsid w:val="67C63C85"/>
    <w:rsid w:val="67DE2B76"/>
    <w:rsid w:val="67E4235D"/>
    <w:rsid w:val="67FD341E"/>
    <w:rsid w:val="68273FF7"/>
    <w:rsid w:val="684352D5"/>
    <w:rsid w:val="68580655"/>
    <w:rsid w:val="689C6793"/>
    <w:rsid w:val="68B25FB7"/>
    <w:rsid w:val="68D4417F"/>
    <w:rsid w:val="68E51EE8"/>
    <w:rsid w:val="690802CD"/>
    <w:rsid w:val="691C78D4"/>
    <w:rsid w:val="691E364C"/>
    <w:rsid w:val="693D2E71"/>
    <w:rsid w:val="69594684"/>
    <w:rsid w:val="695B21AB"/>
    <w:rsid w:val="695E7EED"/>
    <w:rsid w:val="696574CD"/>
    <w:rsid w:val="696D1EDE"/>
    <w:rsid w:val="69770E1C"/>
    <w:rsid w:val="69AF0748"/>
    <w:rsid w:val="69F30635"/>
    <w:rsid w:val="69F85C4B"/>
    <w:rsid w:val="6A0B3BD1"/>
    <w:rsid w:val="6A5512F0"/>
    <w:rsid w:val="6A570BC4"/>
    <w:rsid w:val="6A627569"/>
    <w:rsid w:val="6AC00E5F"/>
    <w:rsid w:val="6B086362"/>
    <w:rsid w:val="6B144D07"/>
    <w:rsid w:val="6B2A452A"/>
    <w:rsid w:val="6B2D401B"/>
    <w:rsid w:val="6B3B2294"/>
    <w:rsid w:val="6B4078AA"/>
    <w:rsid w:val="6B544BE8"/>
    <w:rsid w:val="6BA3281B"/>
    <w:rsid w:val="6BD526E8"/>
    <w:rsid w:val="6BE75F78"/>
    <w:rsid w:val="6BFB1A23"/>
    <w:rsid w:val="6C4433CA"/>
    <w:rsid w:val="6C5630FD"/>
    <w:rsid w:val="6C6475C8"/>
    <w:rsid w:val="6C77554D"/>
    <w:rsid w:val="6C8049DE"/>
    <w:rsid w:val="6C97174C"/>
    <w:rsid w:val="6CBA6410"/>
    <w:rsid w:val="6CF03552"/>
    <w:rsid w:val="6CF47A31"/>
    <w:rsid w:val="6D003795"/>
    <w:rsid w:val="6D1C7EA3"/>
    <w:rsid w:val="6D3F4118"/>
    <w:rsid w:val="6D45389E"/>
    <w:rsid w:val="6D4F64CA"/>
    <w:rsid w:val="6D567859"/>
    <w:rsid w:val="6D5910F7"/>
    <w:rsid w:val="6D747CDF"/>
    <w:rsid w:val="6D7D3037"/>
    <w:rsid w:val="6D806684"/>
    <w:rsid w:val="6D981C1F"/>
    <w:rsid w:val="6D997745"/>
    <w:rsid w:val="6DA73C10"/>
    <w:rsid w:val="6DCA78FF"/>
    <w:rsid w:val="6DD32C57"/>
    <w:rsid w:val="6DEE183F"/>
    <w:rsid w:val="6E02353D"/>
    <w:rsid w:val="6E3336F6"/>
    <w:rsid w:val="6E602011"/>
    <w:rsid w:val="6E623FDB"/>
    <w:rsid w:val="6E8757F0"/>
    <w:rsid w:val="6EA563D0"/>
    <w:rsid w:val="6EBB05F6"/>
    <w:rsid w:val="6EDC5B3C"/>
    <w:rsid w:val="6EE90259"/>
    <w:rsid w:val="6EEE586F"/>
    <w:rsid w:val="6EF2710D"/>
    <w:rsid w:val="6EF32E85"/>
    <w:rsid w:val="6F143527"/>
    <w:rsid w:val="6F5E2375"/>
    <w:rsid w:val="6F63625D"/>
    <w:rsid w:val="6F724713"/>
    <w:rsid w:val="6F751AEC"/>
    <w:rsid w:val="6F7723CE"/>
    <w:rsid w:val="6F7E4E45"/>
    <w:rsid w:val="6F80296B"/>
    <w:rsid w:val="6FEC6252"/>
    <w:rsid w:val="70291255"/>
    <w:rsid w:val="703B0F88"/>
    <w:rsid w:val="70447E3C"/>
    <w:rsid w:val="70671D7D"/>
    <w:rsid w:val="70B0102E"/>
    <w:rsid w:val="70B14DA6"/>
    <w:rsid w:val="71092E34"/>
    <w:rsid w:val="71103ABD"/>
    <w:rsid w:val="71184E25"/>
    <w:rsid w:val="71510EDC"/>
    <w:rsid w:val="715E0C2A"/>
    <w:rsid w:val="718A1777"/>
    <w:rsid w:val="718B55F7"/>
    <w:rsid w:val="71A1306D"/>
    <w:rsid w:val="71AD1A11"/>
    <w:rsid w:val="71D376CA"/>
    <w:rsid w:val="71DE1BCB"/>
    <w:rsid w:val="71EA67C2"/>
    <w:rsid w:val="71FD4EBA"/>
    <w:rsid w:val="724C4D86"/>
    <w:rsid w:val="728C5ACB"/>
    <w:rsid w:val="7294672D"/>
    <w:rsid w:val="72A03324"/>
    <w:rsid w:val="72C2773E"/>
    <w:rsid w:val="72C94629"/>
    <w:rsid w:val="72D74F98"/>
    <w:rsid w:val="72D8187A"/>
    <w:rsid w:val="72D92ECE"/>
    <w:rsid w:val="72E476B5"/>
    <w:rsid w:val="72E90827"/>
    <w:rsid w:val="72E96A79"/>
    <w:rsid w:val="72F378F8"/>
    <w:rsid w:val="72FA0C86"/>
    <w:rsid w:val="7306587D"/>
    <w:rsid w:val="731735E6"/>
    <w:rsid w:val="732D105C"/>
    <w:rsid w:val="73577749"/>
    <w:rsid w:val="737A1DC7"/>
    <w:rsid w:val="737F118B"/>
    <w:rsid w:val="738F5872"/>
    <w:rsid w:val="73A0182E"/>
    <w:rsid w:val="73CF5C6F"/>
    <w:rsid w:val="73E01C2A"/>
    <w:rsid w:val="73E159A2"/>
    <w:rsid w:val="7400407A"/>
    <w:rsid w:val="7420471D"/>
    <w:rsid w:val="74654825"/>
    <w:rsid w:val="7476258E"/>
    <w:rsid w:val="74B3733F"/>
    <w:rsid w:val="752913AF"/>
    <w:rsid w:val="75363ACC"/>
    <w:rsid w:val="75410DEE"/>
    <w:rsid w:val="75491A51"/>
    <w:rsid w:val="75A924F0"/>
    <w:rsid w:val="75B50E95"/>
    <w:rsid w:val="75CD4430"/>
    <w:rsid w:val="75F45E61"/>
    <w:rsid w:val="76746FA2"/>
    <w:rsid w:val="768C6099"/>
    <w:rsid w:val="769E7B7B"/>
    <w:rsid w:val="76A03194"/>
    <w:rsid w:val="76A809F9"/>
    <w:rsid w:val="76D417EE"/>
    <w:rsid w:val="775A1CF3"/>
    <w:rsid w:val="77A967D7"/>
    <w:rsid w:val="77AD0FBE"/>
    <w:rsid w:val="77CD4BBB"/>
    <w:rsid w:val="77D45F4A"/>
    <w:rsid w:val="77D772CE"/>
    <w:rsid w:val="77F75794"/>
    <w:rsid w:val="77FC72FD"/>
    <w:rsid w:val="783B1B25"/>
    <w:rsid w:val="784A620C"/>
    <w:rsid w:val="78E35D19"/>
    <w:rsid w:val="78E55F35"/>
    <w:rsid w:val="78FB3062"/>
    <w:rsid w:val="79077C59"/>
    <w:rsid w:val="791D747D"/>
    <w:rsid w:val="79202AC9"/>
    <w:rsid w:val="79226841"/>
    <w:rsid w:val="79425135"/>
    <w:rsid w:val="79474E50"/>
    <w:rsid w:val="79586707"/>
    <w:rsid w:val="79694470"/>
    <w:rsid w:val="79712057"/>
    <w:rsid w:val="799D05BD"/>
    <w:rsid w:val="799E021F"/>
    <w:rsid w:val="79A92E6E"/>
    <w:rsid w:val="79C43D9C"/>
    <w:rsid w:val="79F3642F"/>
    <w:rsid w:val="79F503F9"/>
    <w:rsid w:val="79FF6B82"/>
    <w:rsid w:val="7A7F64D2"/>
    <w:rsid w:val="7A835A05"/>
    <w:rsid w:val="7A903C7E"/>
    <w:rsid w:val="7AB12572"/>
    <w:rsid w:val="7AB160CE"/>
    <w:rsid w:val="7AD149C3"/>
    <w:rsid w:val="7B2A40D3"/>
    <w:rsid w:val="7B8E523F"/>
    <w:rsid w:val="7B9559F0"/>
    <w:rsid w:val="7BB51BEE"/>
    <w:rsid w:val="7BB73BB8"/>
    <w:rsid w:val="7BBA1482"/>
    <w:rsid w:val="7BEE3731"/>
    <w:rsid w:val="7BF85F7F"/>
    <w:rsid w:val="7BFF2E69"/>
    <w:rsid w:val="7C036DFE"/>
    <w:rsid w:val="7C044924"/>
    <w:rsid w:val="7C0E7550"/>
    <w:rsid w:val="7C4165F9"/>
    <w:rsid w:val="7C5807CC"/>
    <w:rsid w:val="7C887303"/>
    <w:rsid w:val="7CC04CEF"/>
    <w:rsid w:val="7CC320E9"/>
    <w:rsid w:val="7CCF063B"/>
    <w:rsid w:val="7CF30790"/>
    <w:rsid w:val="7D00429B"/>
    <w:rsid w:val="7D1172F8"/>
    <w:rsid w:val="7D2C4132"/>
    <w:rsid w:val="7D386087"/>
    <w:rsid w:val="7D3D17B0"/>
    <w:rsid w:val="7D511DEB"/>
    <w:rsid w:val="7D6C593A"/>
    <w:rsid w:val="7D741635"/>
    <w:rsid w:val="7D780418"/>
    <w:rsid w:val="7D87580C"/>
    <w:rsid w:val="7DAB14FB"/>
    <w:rsid w:val="7DB52379"/>
    <w:rsid w:val="7DB61C4E"/>
    <w:rsid w:val="7DEE13E8"/>
    <w:rsid w:val="7DF369FE"/>
    <w:rsid w:val="7E235535"/>
    <w:rsid w:val="7E372D8F"/>
    <w:rsid w:val="7E3808B5"/>
    <w:rsid w:val="7E3A462D"/>
    <w:rsid w:val="7E655B4E"/>
    <w:rsid w:val="7E7933A7"/>
    <w:rsid w:val="7EE82DC1"/>
    <w:rsid w:val="7EF944E8"/>
    <w:rsid w:val="7EFC7B34"/>
    <w:rsid w:val="7F20739B"/>
    <w:rsid w:val="7F2826D7"/>
    <w:rsid w:val="7F376DBE"/>
    <w:rsid w:val="7F477001"/>
    <w:rsid w:val="7F8244DD"/>
    <w:rsid w:val="7FA36202"/>
    <w:rsid w:val="7FA41032"/>
    <w:rsid w:val="7FBB7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numPr>
        <w:ilvl w:val="0"/>
        <w:numId w:val="1"/>
      </w:numPr>
      <w:tabs>
        <w:tab w:val="left" w:pos="960"/>
      </w:tabs>
      <w:jc w:val="center"/>
      <w:outlineLvl w:val="1"/>
    </w:pPr>
    <w:rPr>
      <w:rFonts w:ascii="黑体" w:hAnsi="Times New Roman" w:eastAsia="黑体"/>
      <w:color w:val="000000"/>
      <w:sz w:val="28"/>
      <w:szCs w:val="24"/>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outlineLvl w:val="3"/>
    </w:pPr>
    <w:rPr>
      <w:color w:val="FF0000"/>
      <w:sz w:val="28"/>
      <w:u w:val="single"/>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rPr>
  </w:style>
  <w:style w:type="paragraph" w:styleId="8">
    <w:name w:val="toa heading"/>
    <w:basedOn w:val="1"/>
    <w:next w:val="1"/>
    <w:qFormat/>
    <w:uiPriority w:val="0"/>
    <w:pPr>
      <w:spacing w:before="120"/>
    </w:pPr>
    <w:rPr>
      <w:rFonts w:ascii="Cambria" w:hAnsi="Cambria" w:eastAsia="宋体" w:cs="Times New Roman"/>
      <w:sz w:val="24"/>
    </w:rPr>
  </w:style>
  <w:style w:type="paragraph" w:styleId="9">
    <w:name w:val="annotation text"/>
    <w:basedOn w:val="1"/>
    <w:qFormat/>
    <w:uiPriority w:val="0"/>
    <w:pPr>
      <w:jc w:val="left"/>
    </w:pPr>
  </w:style>
  <w:style w:type="paragraph" w:styleId="10">
    <w:name w:val="Body Text"/>
    <w:basedOn w:val="1"/>
    <w:next w:val="1"/>
    <w:semiHidden/>
    <w:qFormat/>
    <w:uiPriority w:val="0"/>
    <w:rPr>
      <w:rFonts w:ascii="Arial" w:hAnsi="Arial" w:eastAsia="Arial" w:cs="Arial"/>
      <w:sz w:val="21"/>
      <w:szCs w:val="21"/>
      <w:lang w:val="en-US" w:eastAsia="en-US" w:bidi="ar-SA"/>
    </w:rPr>
  </w:style>
  <w:style w:type="paragraph" w:styleId="11">
    <w:name w:val="Body Text Indent"/>
    <w:basedOn w:val="1"/>
    <w:next w:val="12"/>
    <w:qFormat/>
    <w:uiPriority w:val="0"/>
    <w:pPr>
      <w:spacing w:line="640" w:lineRule="exact"/>
      <w:ind w:firstLine="585"/>
    </w:pPr>
    <w:rPr>
      <w:rFonts w:ascii="楷体_GB2312" w:eastAsia="楷体_GB2312"/>
      <w:sz w:val="32"/>
    </w:rPr>
  </w:style>
  <w:style w:type="paragraph" w:styleId="12">
    <w:name w:val="Body Text First Indent 2"/>
    <w:basedOn w:val="11"/>
    <w:qFormat/>
    <w:uiPriority w:val="0"/>
    <w:pPr>
      <w:ind w:firstLine="420" w:firstLineChars="200"/>
    </w:pPr>
  </w:style>
  <w:style w:type="paragraph" w:styleId="13">
    <w:name w:val="Plain Text"/>
    <w:basedOn w:val="1"/>
    <w:qFormat/>
    <w:uiPriority w:val="0"/>
    <w:rPr>
      <w:rFonts w:ascii="宋体" w:hAnsi="Courier New"/>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unhideWhenUsed/>
    <w:qFormat/>
    <w:uiPriority w:val="39"/>
    <w:pPr>
      <w:ind w:left="1260" w:leftChars="600"/>
    </w:pPr>
    <w:rPr>
      <w:rFonts w:ascii="宋体"/>
      <w:kern w:val="0"/>
      <w:sz w:val="24"/>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qFormat/>
    <w:uiPriority w:val="99"/>
    <w:pPr>
      <w:spacing w:before="240" w:after="60"/>
      <w:jc w:val="center"/>
      <w:outlineLvl w:val="0"/>
    </w:pPr>
    <w:rPr>
      <w:rFonts w:ascii="Cambria" w:hAnsi="Cambria" w:cs="Cambria"/>
      <w:b/>
      <w:bCs/>
      <w:sz w:val="32"/>
      <w:szCs w:val="32"/>
    </w:rPr>
  </w:style>
  <w:style w:type="paragraph" w:styleId="20">
    <w:name w:val="annotation subject"/>
    <w:basedOn w:val="9"/>
    <w:next w:val="1"/>
    <w:qFormat/>
    <w:uiPriority w:val="0"/>
    <w:rPr>
      <w:b/>
      <w:bCs/>
    </w:rPr>
  </w:style>
  <w:style w:type="paragraph" w:styleId="21">
    <w:name w:val="Body Text First Indent"/>
    <w:basedOn w:val="10"/>
    <w:qFormat/>
    <w:uiPriority w:val="0"/>
    <w:pPr>
      <w:spacing w:line="312" w:lineRule="auto"/>
      <w:ind w:firstLine="420"/>
    </w:pPr>
  </w:style>
  <w:style w:type="table" w:styleId="23">
    <w:name w:val="Table Grid"/>
    <w:basedOn w:val="2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rFonts w:cs="Times New Roman"/>
      <w:b/>
    </w:rPr>
  </w:style>
  <w:style w:type="paragraph" w:customStyle="1" w:styleId="26">
    <w:name w:val="UserStyle_0"/>
    <w:qFormat/>
    <w:uiPriority w:val="0"/>
    <w:pPr>
      <w:textAlignment w:val="baseline"/>
    </w:pPr>
    <w:rPr>
      <w:rFonts w:ascii="Calibri" w:hAnsi="Calibri" w:eastAsia="宋体" w:cs="Times New Roman"/>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RFI Heading 2nd Level Char"/>
    <w:basedOn w:val="1"/>
    <w:next w:val="31"/>
    <w:autoRedefine/>
    <w:qFormat/>
    <w:uiPriority w:val="0"/>
    <w:pPr>
      <w:widowControl/>
      <w:spacing w:before="240" w:after="240"/>
      <w:ind w:left="1152" w:hanging="1152"/>
      <w:outlineLvl w:val="1"/>
    </w:pPr>
    <w:rPr>
      <w:rFonts w:ascii="Arial (W1)" w:eastAsia="Times New Roman"/>
      <w:b/>
      <w:color w:val="3366FF"/>
      <w:sz w:val="24"/>
    </w:rPr>
  </w:style>
  <w:style w:type="paragraph" w:customStyle="1" w:styleId="31">
    <w:name w:val="Normal 0.51"/>
    <w:basedOn w:val="1"/>
    <w:next w:val="1"/>
    <w:autoRedefine/>
    <w:qFormat/>
    <w:uiPriority w:val="0"/>
    <w:pPr>
      <w:widowControl/>
      <w:spacing w:before="180" w:after="120"/>
      <w:ind w:left="720"/>
    </w:pPr>
    <w:rPr>
      <w:sz w:val="24"/>
    </w:rPr>
  </w:style>
  <w:style w:type="paragraph" w:customStyle="1" w:styleId="32">
    <w:name w:val="Heading4"/>
    <w:basedOn w:val="1"/>
    <w:next w:val="1"/>
    <w:autoRedefine/>
    <w:qFormat/>
    <w:uiPriority w:val="0"/>
    <w:pPr>
      <w:keepNext/>
      <w:spacing w:line="600" w:lineRule="exact"/>
      <w:jc w:val="center"/>
    </w:pPr>
    <w:rPr>
      <w:rFonts w:ascii="楷体_GB2312" w:eastAsia="楷体_GB2312"/>
      <w:sz w:val="32"/>
    </w:rPr>
  </w:style>
  <w:style w:type="paragraph" w:customStyle="1"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14065</Words>
  <Characters>15112</Characters>
  <TotalTime>18</TotalTime>
  <ScaleCrop>false</ScaleCrop>
  <LinksUpToDate>false</LinksUpToDate>
  <CharactersWithSpaces>15615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2023-04-21T18:02:00Z</dcterms:created>
  <dc:creator>暖洋洋^O^</dc:creator>
  <cp:lastModifiedBy>暖洋洋^O^</cp:lastModifiedBy>
  <cp:lastPrinted>2025-06-04T07:21:00Z</cp:lastPrinted>
  <dcterms:modified xsi:type="dcterms:W3CDTF">2025-09-16T03:39:35Z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2024-09-10T11:57:03Z</vt:filetime>
  </property>
  <property fmtid="{D5CDD505-2E9C-101B-9397-08002B2CF9AE}" pid="4" name="KSOProductBuildVer">
    <vt:lpwstr>2052-12.1.0.22529</vt:lpwstr>
  </property>
  <property fmtid="{D5CDD505-2E9C-101B-9397-08002B2CF9AE}" pid="5" name="ICV">
    <vt:lpwstr>F7C5A69C4C6D49E4B8522DA8AF18AB58_13</vt:lpwstr>
  </property>
  <property fmtid="{D5CDD505-2E9C-101B-9397-08002B2CF9AE}" pid="6" name="KSOTemplateDocerSaveRecord">
    <vt:lpwstr>eyJoZGlkIjoiZDU5YWJhZDBhYmNhMGQ4N2Y1NjkxNTQ4M2Y5OTdiMTEiLCJ1c2VySWQiOiIyMjkyODkxOTUifQ==</vt:lpwstr>
  </property>
</Properties>
</file>