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186E">
      <w:pPr>
        <w:numPr>
          <w:ilvl w:val="0"/>
          <w:numId w:val="0"/>
        </w:numPr>
        <w:bidi w:val="0"/>
        <w:spacing w:line="480" w:lineRule="auto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zh-CN"/>
        </w:rPr>
      </w:pPr>
      <w:r>
        <w:rPr>
          <w:rStyle w:val="6"/>
          <w:rFonts w:hint="eastAsia" w:ascii="宋体" w:hAnsi="宋体" w:eastAsia="宋体" w:cs="宋体"/>
          <w:color w:val="auto"/>
          <w:szCs w:val="30"/>
          <w:highlight w:val="none"/>
          <w:lang w:val="zh-CN"/>
        </w:rPr>
        <w:t>采购内容及要求</w:t>
      </w:r>
    </w:p>
    <w:p w14:paraId="358F1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一、项目概况</w:t>
      </w:r>
    </w:p>
    <w:p w14:paraId="6A3C31A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对5G智慧杆与无人机应用系统进行维护，包含硬、软件运维服务、应急处置服务、系统安全加固服务、飞行安全及图像传输提升服务、云服务网络租赁、保险服务等，保障设备及系统安全运行。</w:t>
      </w:r>
    </w:p>
    <w:p w14:paraId="05916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本项目所属行业为软件和信息技术服务业。</w:t>
      </w:r>
    </w:p>
    <w:p w14:paraId="49356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二、服务内容及要求</w:t>
      </w:r>
    </w:p>
    <w:p w14:paraId="772536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一）硬件运维服务，对所有硬件设备进行安全检查、维护维修、更换损坏配件（非人为损坏）等，保障硬件正常运行。若单次维修所需更换配件费用大于2万元，乙方不承担配件费用，需出具损耗报告等文件报告甲方，由甲方决定是否进行更换，甲方仅承担设备采购费用，其余安装调试产生的费用由乙方承担，并对更换的设备提供质保至维护期结束。</w:t>
      </w:r>
    </w:p>
    <w:p w14:paraId="3837AA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（二）应急处置服务，1名超视距飞手不定期对无人机状态进行检查，在无人机飞行巡查中出现不可控突发状况后，20分钟内安全妥善的处置工作。</w:t>
      </w:r>
    </w:p>
    <w:p w14:paraId="306C02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（三）软件运维服务，对智慧杆平台软件、大疆无人机飞控系统、复亚无人机操作系统等软件进行检查和维护。</w:t>
      </w:r>
    </w:p>
    <w:p w14:paraId="5B55C8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（四）保险服务，包括无人机机身机损险、挂载设备（云台相机）险、第三者责任保险。</w:t>
      </w:r>
    </w:p>
    <w:p w14:paraId="3A1A7B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（五）系统安全加固服务，包括对防火墙特征库更新、系统访问登录加密证书授权、服务器漏扫与更新修复等安全服务。</w:t>
      </w:r>
    </w:p>
    <w:p w14:paraId="78B8F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（六）飞行安全及图像传输提升服务，包括开通RTK定位服务、开通无人机4G/5G图传功能，提升飞行安全与飞行能力。</w:t>
      </w:r>
    </w:p>
    <w:p w14:paraId="25E746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（七）网络云服务，对现使用的云服务进行续费或迁移部署至本地机房。</w:t>
      </w:r>
    </w:p>
    <w:p w14:paraId="4A7A99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八）维护服务清单详见附件1（为现有需要运维的工作内容，具体维护设备以实际现场设备为准。服务频次为服务期限内最低服务频次，如有增加，以采购人通知为准。增加服务频次仅针对于临时现场安全检查、飞手临时备勤、临时通知提供维护报告等不产生实际费用的服务频次，不涉及电池、飞手人数、保险数量等按实体数量产生费用的服务。）</w:t>
      </w:r>
    </w:p>
    <w:p w14:paraId="5E2C120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（九）拟维护软硬件现用品牌型号详见附件2。</w:t>
      </w:r>
    </w:p>
    <w:p w14:paraId="600FC58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三、商务要求：</w:t>
      </w:r>
    </w:p>
    <w:p w14:paraId="3367DFB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服务期：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一年。</w:t>
      </w:r>
    </w:p>
    <w:p w14:paraId="4BEF6000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★为实质性要求，不可偏离</w:t>
      </w:r>
    </w:p>
    <w:p w14:paraId="6315F1A6">
      <w:pPr>
        <w:spacing w:line="600" w:lineRule="auto"/>
        <w:ind w:left="0" w:leftChars="0" w:firstLine="0" w:firstLineChars="0"/>
        <w:jc w:val="left"/>
        <w:outlineLvl w:val="9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附件1：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维护服务清单</w:t>
      </w:r>
    </w:p>
    <w:tbl>
      <w:tblPr>
        <w:tblStyle w:val="4"/>
        <w:tblW w:w="49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88"/>
        <w:gridCol w:w="1291"/>
        <w:gridCol w:w="2569"/>
        <w:gridCol w:w="582"/>
        <w:gridCol w:w="468"/>
        <w:gridCol w:w="2470"/>
      </w:tblGrid>
      <w:tr w14:paraId="0114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大类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运维服务名称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3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60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硬件运维服务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无人机标准易损件更换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TB60电池更换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19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共3处复亚A30机库内含12组24块电池，根据损耗及预算经费情况更换4组8块。</w:t>
            </w:r>
          </w:p>
        </w:tc>
      </w:tr>
      <w:tr w14:paraId="360F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无人机维护、机场设备维护、智慧杆维护、户外基础及管线、机房设备及指挥大屏维护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对所有硬件设备进行安全检查、维护维修、更换损坏配件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（非人为损坏）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等，每季度提供一次维护报告，特殊检查维护时间根据甲方要求进行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876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F0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应急处置服务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运维应急故障处置服务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1名超视距飞手工作时间根据采购人要求，不定期对无人机状态进行检查，飞行中若机场及无人机出现失联、失控等紧急情况后，20分钟内到达现场进行应急处置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7F5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故障应急处置运维人员需持CAAC-多旋翼-超视距证</w:t>
            </w:r>
          </w:p>
        </w:tc>
      </w:tr>
      <w:tr w14:paraId="7A6B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软件运维服务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无人机飞控系统维护、配套软件运维、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云控平台系统维护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对智慧杆平台软件、大疆无人机飞控系统、复亚无人机操作系统等软件进行检查和维护，每季度提供一次维护报告，特殊检查维护时间根据甲方要求进行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68B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7E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保险及其他服务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无人机机身保险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无人机机损险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CB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1年保险</w:t>
            </w:r>
          </w:p>
        </w:tc>
      </w:tr>
      <w:tr w14:paraId="1C42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6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无人机第三方责任险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9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无人机第三方责任险(单台200W)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53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1年保险</w:t>
            </w:r>
          </w:p>
        </w:tc>
      </w:tr>
      <w:tr w14:paraId="3920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5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无人机深度保养服务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7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除备用机外，其余3台无人机每年返厂深度保养一次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F77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A7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1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负载机身保险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H20T相机机身保险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A5D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1年保险</w:t>
            </w:r>
          </w:p>
        </w:tc>
      </w:tr>
      <w:tr w14:paraId="1112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系统安全加固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服务授权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防火墙特征库更新授权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防火墙防病毒特征库及入侵检测特征库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91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1年授权</w:t>
            </w:r>
          </w:p>
        </w:tc>
      </w:tr>
      <w:tr w14:paraId="1767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访问登录加密认证证书授权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云控平台和无人机飞控系统均采用https加密协议访问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A1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drone.nyjmqzfzd.com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与spms.nyjmqzfzd.com   DigiCert 标准证书</w:t>
            </w:r>
          </w:p>
        </w:tc>
      </w:tr>
      <w:tr w14:paraId="074E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服务器漏扫与漏洞修复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至少每月开展一次漏洞扫描与修复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0F37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EF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飞行安全及图像传输提升服务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RTK定位服务(厘米级)</w:t>
            </w:r>
          </w:p>
        </w:tc>
        <w:tc>
          <w:tcPr>
            <w:tcW w:w="1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通过第三方的实时动态差分定位技术，提供高精度定位服务，具有覆盖广、响应快、稳定性强的优势，解决降落、悬停时定位不准问题。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4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仅针对3座机库开通此服务，备用机暂不开通</w:t>
            </w:r>
          </w:p>
        </w:tc>
      </w:tr>
      <w:tr w14:paraId="6391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7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2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4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5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5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F8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EB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3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8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9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E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48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87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智慧杆云服务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E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智慧杆云服务迁移或续期、域名续期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现有3处智慧杆设备继续租用云服务或迁移部署至本地机房，包含产生的所有费用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17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原有云资源：（1）分布式缓存服务：redis.single.xu1.large.16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规格16 GB关系型数据库；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（2）公网IP：10Mbps；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（3）对象存储服务：rds.mysql.c6.xlarge.4.ha | 4 vCPUs | 16 GB(通用增强Ⅱ型)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存储空间 超高IO 500GB；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（4）公网IP：10Mbps；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（5）对象存储服务：公网流出流量包|1TB；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（6）弹性云主机：通用型 | s6.2xlarge.4 | 8vCPUs | 32 GiB，高IO | 40GB，高IO | 500GB；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（7）分布式消息服务：Kafka实例，基准带宽 100 MB/s | 分区上限 300 个 | 代理个数 3 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高IO | 600GB；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（8）标准存储 | 存储资源包 | 100GB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（9）通用型 | s6.2xlarge.4 | 8vCPUs | 32 GiB，高IO | 40GB，高IO | 500GB。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若乙方选择迁移至本地服务器，所产生的费用均由乙方承担，甲方不进行费用增补。</w:t>
            </w:r>
          </w:p>
        </w:tc>
      </w:tr>
    </w:tbl>
    <w:p w14:paraId="76B0D4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A95EA"/>
    <w:multiLevelType w:val="singleLevel"/>
    <w:tmpl w:val="93FA95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黑体" w:hAnsi="黑体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jc w:val="left"/>
    </w:pPr>
    <w:rPr>
      <w:rFonts w:ascii="Copperplate Gothic Bold" w:hAnsi="Copperplate Gothic Bold"/>
      <w:sz w:val="28"/>
    </w:rPr>
  </w:style>
  <w:style w:type="character" w:customStyle="1" w:styleId="6">
    <w:name w:val="标题 1 字符"/>
    <w:link w:val="2"/>
    <w:uiPriority w:val="0"/>
    <w:rPr>
      <w:rFonts w:ascii="黑体" w:hAnsi="黑体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2025-09-24T06:26:05Z</dcterms:created>
  <dc:creator>陕西海佳</dc:creator>
  <cp:lastModifiedBy>张曼君</cp:lastModifiedBy>
  <dcterms:modified xsi:type="dcterms:W3CDTF">2025-09-24T07:20:04Z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eyJoZGlkIjoiY2M1NWZjOTI0MzZlNzdjZTNiMGIwOWFhODBmMDVjOTciLCJ1c2VySWQiOiIxMjgwNjI5MzYxIn0=</vt:lpwstr>
  </property>
  <property fmtid="{D5CDD505-2E9C-101B-9397-08002B2CF9AE}" pid="4" name="ICV">
    <vt:lpwstr>FB91CC3F6B4D40FBA39F21E0D07039F8_12</vt:lpwstr>
  </property>
</Properties>
</file>