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pPr w:leftFromText="180" w:rightFromText="180" w:vertAnchor="text" w:horzAnchor="page" w:tblpX="1900" w:tblpY="13"/>
        <w:tblOverlap w:val="never"/>
        <w:tblW w:w="8317" w:type="dxa"/>
        <w:tblInd w:w="0" w:type="dxa"/>
        <w:tblLayout w:type="fixed"/>
        <w:tblCellMar>
          <w:top w:w="0" w:type="dxa"/>
          <w:left w:w="108" w:type="dxa"/>
          <w:bottom w:w="0" w:type="dxa"/>
          <w:right w:w="108" w:type="dxa"/>
        </w:tblCellMar>
      </w:tblPr>
      <w:tblGrid>
        <w:gridCol w:w="548"/>
        <w:gridCol w:w="776"/>
        <w:gridCol w:w="747"/>
        <w:gridCol w:w="3899"/>
        <w:gridCol w:w="499"/>
        <w:gridCol w:w="1848"/>
      </w:tblGrid>
      <w:tr w14:paraId="663E78F3">
        <w:tblPrEx>
          <w:tblCellMar>
            <w:top w:w="0" w:type="dxa"/>
            <w:left w:w="108" w:type="dxa"/>
            <w:bottom w:w="0" w:type="dxa"/>
            <w:right w:w="108" w:type="dxa"/>
          </w:tblCellMar>
        </w:tblPrEx>
        <w:trPr>
          <w:trHeight w:val="35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773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957">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建设要求</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26F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建设内容</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BA73">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参数</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6B1E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F85B">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备注</w:t>
            </w:r>
          </w:p>
        </w:tc>
      </w:tr>
      <w:tr w14:paraId="1DF9B6A2">
        <w:tblPrEx>
          <w:tblCellMar>
            <w:top w:w="0" w:type="dxa"/>
            <w:left w:w="108" w:type="dxa"/>
            <w:bottom w:w="0" w:type="dxa"/>
            <w:right w:w="108" w:type="dxa"/>
          </w:tblCellMar>
        </w:tblPrEx>
        <w:trPr>
          <w:trHeight w:val="737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DD78">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A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5G工程实践仿真教学平台（核心产品）</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87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5G工程实践仿真教学平台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BD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▲1.平台符合B/S架构，支持浏览器访问，例如谷歌浏览器。</w:t>
            </w:r>
          </w:p>
          <w:p w14:paraId="17F939F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2.支持分布式处理架构，采用分布式资源分发与访问。</w:t>
            </w:r>
          </w:p>
          <w:p w14:paraId="4F3238D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▲3.平台支持300+用户同时访问本地服务器进行实验的能力。</w:t>
            </w:r>
          </w:p>
          <w:p w14:paraId="54BB3DBC">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4.支持对5G网络规划、建设、维护、优化四个环节的主要工作进行参与，明确5G工程中主要岗位的构成及工作内容分工情况。</w:t>
            </w:r>
          </w:p>
          <w:p w14:paraId="2E3C46E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5.支持对5G机房设备的组成情况，具体设备组成及设备识别，对不同设备间的连接关系（架构组成）及相关设备的作用有相对直观的认知。</w:t>
            </w:r>
          </w:p>
          <w:p w14:paraId="59785A6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6.支持对勘站规划环节的重点工作进行了解：涉及对射频天线规划工程规范的认识，如以正北方向为0度进行方位角设置、天线挂高的概念及设置规范、天线下倾角的概念及设置规则（大或者小对网络覆盖的影响）。</w:t>
            </w:r>
          </w:p>
          <w:p w14:paraId="793085B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7.支持对勘站环节涉及的设备选型问题的了解：如AAU的选型，不同AAU类型的关键性能参数对覆盖或容量有怎样的影响，规划阶段设备选型的依据有哪些。</w:t>
            </w:r>
          </w:p>
          <w:p w14:paraId="5585CF8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8.支持对AAU与BBU间设备接口的识别，及设备间连接传输媒介选型类别的了解，涉及光纤型号的选择（支持≥6种光纤型号的选择），AAU电源类型的选择（交流电或者直流电），对不同电源类型使用场景的探究。</w:t>
            </w:r>
          </w:p>
          <w:p w14:paraId="09788F52">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9.支持对登录基站的方式和作用的了解，登录地址的来源（分为实体教学型基站和仿真界面两种）。</w:t>
            </w:r>
          </w:p>
          <w:p w14:paraId="711F059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10.支持对5G机房设备：核心网、业务服务器、BBU、OMC服务器供电方式的了解，选择配置正确的供电模式。</w:t>
            </w:r>
          </w:p>
          <w:p w14:paraId="4E276D8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11.支持对5G BBU不同类型进行板卡布配环节操作练习（以EMB6216为例），了解具体板卡分布（主控板板、基带板、风扇单元、电源单元等），对不同板卡作用的了解及不同板卡涉及设备接口的识别。</w:t>
            </w:r>
          </w:p>
          <w:p w14:paraId="59A1492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12.支持对5G双模基站具体板卡分布的操作和网元布配整体设备连接的操作练习。</w:t>
            </w:r>
          </w:p>
          <w:p w14:paraId="1B813697">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▲13.支持GPS安装工程认知功能，包括连接器、GPS馈线、GPS避雷针、GPS下跳线、接地线等，通过模拟搭建环节，掌握GPS工程安装部件组成。</w:t>
            </w:r>
          </w:p>
          <w:p w14:paraId="4718004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14.支持真实工程实践案例的版本升级（BBU和AAU）全过程、告警日志解析实验。</w:t>
            </w:r>
          </w:p>
          <w:p w14:paraId="7ECF207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15.支持小区网络规划环节涉及小区参数配置规则的了解：带宽、帧结构、子载波间隔、跟踪区编号、网络码等参数。</w:t>
            </w:r>
          </w:p>
          <w:p w14:paraId="6B1E8246">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16.支持对5G基站实际运维场景中BBU、AAU、核心网、业务服务器、OMC服务器等设备间硬件设备连接配置（涉及硬件接口识别、辅材具体类型选择、光模块类型的选择），设备间路由关系配置、IP地址配置。</w:t>
            </w:r>
          </w:p>
          <w:p w14:paraId="0C78A50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17.支持对5G进行小区网络规划涉及主要参数配置（PCI、频点、功率），NR本地小区规划参数配置，NR邻区配置规则梳理，进行邻区关系和邻区信息配置。</w:t>
            </w:r>
          </w:p>
          <w:p w14:paraId="0B60B3A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18.支持对5G核心网主要网元功能模块功能识别，包括AMF、SMF、UDM、AUSF、UPF、PCF、NRF、NEF），了解核心网鉴权机制，完成签约号码设置，以及在核心网角度配置与核心网存在传输关系的传输路径配置，硬件接口和传输辅材正确配置。</w:t>
            </w:r>
          </w:p>
          <w:p w14:paraId="17D9A00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19.支持对5G业务服务器在5G端到端业务中的作用的理解，对业务服务器存在传输关系的设备选择和传输信息配置。</w:t>
            </w:r>
          </w:p>
          <w:p w14:paraId="12DE195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20.支持对OMC服务器在5G网络维护中的主要作用进行了解，对与OMC服务器存在连接关系的设备进行传输信息的配置。</w:t>
            </w:r>
          </w:p>
          <w:p w14:paraId="6D8014A5">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21.支持5G基站开通调测相关参数验证功能，采用开通调测流程图为主线，关联勘站规划参数、BBU配置参数、核心网配置参数、OMC配置参数、业务服务器配置参数，校验功能显示配置正确的节点和错误的节点，针对错误的节点生成具有网元信息的详细告警信息，可进一步理解不同参数对开通调测流程的影响。</w:t>
            </w:r>
          </w:p>
          <w:p w14:paraId="65A4F48D">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22.支持5G业务验证功能，模拟现场优化工作中单站验证测试工作内容，进行单站优化网络下载速率测试相关参数配置，包括对业务运行次数、业务运行时间间隔、服务器地址、终端号码、网络模式、小区ID等进行配置，网络正确开通且下载测试配置正确可打印终端开机入网信令流程。</w:t>
            </w:r>
          </w:p>
          <w:p w14:paraId="0446B3B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23.支持对5G行业应用与5G网络关联关系验证，5G网络开通前提下可进行C-V2X业务的进行。</w:t>
            </w:r>
          </w:p>
          <w:p w14:paraId="276A56C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▲24.支持对车联网设定场景下架构的搭建，涉及车载单元、路侧单元、路灯的配置，基于要求进行车联网不同模式的选择及配置，了解C-V2X的具体应用原理。</w:t>
            </w:r>
          </w:p>
          <w:p w14:paraId="35906A43">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25.支持车联网模式下按照要求进行防碰撞场景的搭建，涉及车载单元模块相关参数配置，对比V2V模式和V2N模式的差异，涉及通信接口，通信频段，进行车速的配置，支持校验功能，对车联网场景各参数配置，动态测试效果验证。</w:t>
            </w:r>
          </w:p>
          <w:p w14:paraId="00494EE1">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▲26.支持用户管理，为学生创建账号用于仿真平台的登录练习或考试，授权用户数大于等于300。</w:t>
            </w:r>
          </w:p>
          <w:p w14:paraId="1763CC9B">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27.支持班级/组管理，为学生分配班级或组。</w:t>
            </w:r>
          </w:p>
          <w:p w14:paraId="6AAD18FE">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▲28.支持任务管理，按学生、班级/组以及模块下发练习或考试任务。</w:t>
            </w:r>
          </w:p>
          <w:p w14:paraId="0DA4C9C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29.支持成绩查询，对学生的考试或练习成绩进行查询。</w:t>
            </w:r>
          </w:p>
          <w:p w14:paraId="05DEC7B8">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30.支持实验指导手册管理，实验手册分为学生版和教师版，学生版用于指导学生的实训操作，教师版对实训结果解析。</w:t>
            </w:r>
          </w:p>
          <w:p w14:paraId="4EA09630">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31.支持待处理/已完成操作，教师下发的任务，学生可登录账号查看自己的学习任务，在指定的时间内完成教学任务。</w:t>
            </w:r>
          </w:p>
          <w:p w14:paraId="01AEA00F">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▲32.承诺无任何知识产权纠纷，需提供计算机软件著作权。</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13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7F62">
            <w:pPr>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w:t>
            </w:r>
          </w:p>
        </w:tc>
      </w:tr>
      <w:tr w14:paraId="0D7BCEF6">
        <w:tblPrEx>
          <w:tblCellMar>
            <w:top w:w="0" w:type="dxa"/>
            <w:left w:w="108" w:type="dxa"/>
            <w:bottom w:w="0" w:type="dxa"/>
            <w:right w:w="108" w:type="dxa"/>
          </w:tblCellMar>
        </w:tblPrEx>
        <w:trPr>
          <w:trHeight w:val="70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B23">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776" w:type="dxa"/>
            <w:vMerge w:val="restart"/>
            <w:tcBorders>
              <w:top w:val="single" w:color="000000" w:sz="4" w:space="0"/>
              <w:left w:val="single" w:color="000000" w:sz="4" w:space="0"/>
              <w:right w:val="single" w:color="000000" w:sz="4" w:space="0"/>
            </w:tcBorders>
            <w:shd w:val="clear" w:color="auto" w:fill="auto"/>
            <w:vAlign w:val="center"/>
          </w:tcPr>
          <w:p w14:paraId="25E39FBB">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承载设备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7D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仿真教学承载平台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82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1.2U 机架式服务器，处理器CPU≥32核，内存≥64GB DDR4 内存。硬盘≥512GB SSD+2TB，须配置3.5 英寸或2.5 英寸硬盘，≥2个GE接口,配置双电源。</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20E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C46F">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02055C2D">
        <w:tblPrEx>
          <w:tblCellMar>
            <w:top w:w="0" w:type="dxa"/>
            <w:left w:w="108" w:type="dxa"/>
            <w:bottom w:w="0" w:type="dxa"/>
            <w:right w:w="108" w:type="dxa"/>
          </w:tblCellMar>
        </w:tblPrEx>
        <w:trPr>
          <w:trHeight w:val="14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77ED">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3</w:t>
            </w:r>
          </w:p>
        </w:tc>
        <w:tc>
          <w:tcPr>
            <w:tcW w:w="776" w:type="dxa"/>
            <w:vMerge w:val="continue"/>
            <w:tcBorders>
              <w:left w:val="single" w:color="000000" w:sz="4" w:space="0"/>
              <w:right w:val="single" w:color="000000" w:sz="4" w:space="0"/>
            </w:tcBorders>
            <w:shd w:val="clear" w:color="auto" w:fill="auto"/>
            <w:vAlign w:val="center"/>
          </w:tcPr>
          <w:p w14:paraId="0968A0A8">
            <w:pPr>
              <w:widowControl/>
              <w:jc w:val="center"/>
              <w:textAlignment w:val="center"/>
              <w:rPr>
                <w:rFonts w:ascii="仿宋" w:hAnsi="仿宋" w:eastAsia="仿宋" w:cs="仿宋"/>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138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教学大屏</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6C0D">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1.支持双屏幕（32:9）及三屏幕（48:9）拼接展示，相邻两个屏幕间的拼接缝隙≤0.5mm。整机外观尺寸：宽≥1900mm，高≥1150mm，厚≤90mm；屏幕尺寸≥86英寸，分辨率≥3840×2160。</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2.嵌入式系统版本≥Android 13，内存≥4GB，存储空间≥32GB。</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3.支持全通道，支持4K界面显示。</w:t>
            </w:r>
          </w:p>
          <w:p w14:paraId="5E37FD2C">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4.支持Windows系统和Android系统中进行≥40点触控。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5.整机内置2.2声道扬声器，高音扬声器≥2个，中低音扬声器≥2个，额定总功率≥60W。内置阵列麦克风，拾音角度≥180°，可用于对教室环境音频进行采集，拾音距离≥12m。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6.整机无需外接无线网卡，在Android和Windows系统下可实现Wi-Fi无线上网连接、AP无线热点发射和BT蓝牙连接功能。 Wi-Fi和AP热点工作距离≥12m。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7.整机支持智能手机与整机在同一局域网内，可实现配对，一键投屏。</w:t>
            </w:r>
          </w:p>
          <w:p w14:paraId="24F861A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8.整机内置摄像头，像素值≥800 万。</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▲9.内置广角高清摄像头，视场角≥150°，水平视场角≥135°，支持输出4:3、16:9比例的图片和视频；在清晰度为3840x2160分辨率下，支持≥30帧的视频输出。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10.内置电脑配置：≥Intel 酷睿系列i5CPU；运行内存≥8G；固态硬盘≥512GB。</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B68E">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4797">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69249E17">
        <w:tblPrEx>
          <w:tblCellMar>
            <w:top w:w="0" w:type="dxa"/>
            <w:left w:w="108" w:type="dxa"/>
            <w:bottom w:w="0" w:type="dxa"/>
            <w:right w:w="108" w:type="dxa"/>
          </w:tblCellMar>
        </w:tblPrEx>
        <w:trPr>
          <w:trHeight w:val="4042"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E88A">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4</w:t>
            </w:r>
          </w:p>
        </w:tc>
        <w:tc>
          <w:tcPr>
            <w:tcW w:w="776" w:type="dxa"/>
            <w:vMerge w:val="continue"/>
            <w:tcBorders>
              <w:left w:val="single" w:color="000000" w:sz="4" w:space="0"/>
              <w:bottom w:val="nil"/>
              <w:right w:val="single" w:color="000000" w:sz="4" w:space="0"/>
            </w:tcBorders>
            <w:shd w:val="clear" w:color="auto" w:fill="auto"/>
            <w:vAlign w:val="center"/>
          </w:tcPr>
          <w:p w14:paraId="04BEC6D6">
            <w:pPr>
              <w:jc w:val="center"/>
              <w:rPr>
                <w:rFonts w:ascii="仿宋" w:hAnsi="仿宋" w:eastAsia="仿宋" w:cs="仿宋"/>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BB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双屏联动软件</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E0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课件演示：支持同步演示，即支持多屏同步放映演示页同一页；支持上下页联动放映演示页，一块屏幕放映当前演示页面，其他屏幕分别放映前、后页白板：支持多屏共同作为一个画板,通过滑动画板实现板书和资源内容穿越屏幕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 2.支持在双屏画布上展示 32:9比例，三屏画布上展示48:9比例的图片资源，支持通过画板移动缩放调整合适的演示尺寸。</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 3.支持多屏设为拓展模式，一体化展示一张无限(无限滑动,没有边界)画板，支持滑动画板实现板书和资源内容穿越屏幕展示。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触控跟随：教师授课开始前，在所有屏幕均显示相同的开始授课界面，当教师在屏幕触发开始授课按钮后，自动选中该屏幕作为主讲屏。教师授课过程中，当教师通过点击任一屏幕时，工具栏会自动跟随教师的触控进行显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5.屏幕扩展：支持将文件、白板、通话、学生端投屏、小组研讨功能界面发送到扩展屏展示讲解，实现主屏切换课件、副屏辅助讲解的双线教学模式。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投屏：支持教师访问后台，将个人笔记本电脑的画面投送到教师授课端设备，学生端自动跟随演示画面；支持教师将授课端设备的系统桌面画面直接共享到学生端；共享过程中教师端可随时结束投屏共享；授课过程中，支持学生随时申请投屏，经老师同意后开始共享至其他学生端，学生自动跟随投屏人屏幕画面。</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9729">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D34A">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2E77210C">
        <w:tblPrEx>
          <w:tblCellMar>
            <w:top w:w="0" w:type="dxa"/>
            <w:left w:w="108" w:type="dxa"/>
            <w:bottom w:w="0" w:type="dxa"/>
            <w:right w:w="108" w:type="dxa"/>
          </w:tblCellMar>
        </w:tblPrEx>
        <w:trPr>
          <w:trHeight w:val="53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AE3">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5</w:t>
            </w:r>
          </w:p>
        </w:tc>
        <w:tc>
          <w:tcPr>
            <w:tcW w:w="776" w:type="dxa"/>
            <w:tcBorders>
              <w:top w:val="single" w:color="000000" w:sz="4" w:space="0"/>
              <w:left w:val="single" w:color="000000" w:sz="4" w:space="0"/>
              <w:bottom w:val="nil"/>
              <w:right w:val="single" w:color="000000" w:sz="4" w:space="0"/>
            </w:tcBorders>
            <w:shd w:val="clear" w:color="auto" w:fill="auto"/>
            <w:vAlign w:val="center"/>
          </w:tcPr>
          <w:p w14:paraId="54FB6A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广播投屏设备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5B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65英寸显示屏</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E1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LED屏幕：≥ 65英寸，屏幕比例：16:9， HDMI接口数:≥2，带网络、USB、AV等接口，分辨率：3840*2160。支持加电自启。            </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7E53">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671">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05F00A1C">
        <w:tblPrEx>
          <w:tblCellMar>
            <w:top w:w="0" w:type="dxa"/>
            <w:left w:w="108" w:type="dxa"/>
            <w:bottom w:w="0" w:type="dxa"/>
            <w:right w:w="108" w:type="dxa"/>
          </w:tblCellMar>
        </w:tblPrEx>
        <w:trPr>
          <w:trHeight w:val="123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497">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6</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26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扩音设备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AE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音频主机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C0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1.≥3.5英寸触控屏，≥4路MIC输入，≥2路立体声输入，≥2路立体声输出，≥1 个RS232接口，≥1 个RS485接口，≥2*120W功放输出；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2、内置音频AI处理芯片，具有音频采集、音频处理（反馈抑制、噪声抑制）、声压检测、自动调音等功能。</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036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8876">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1F28C430">
        <w:tblPrEx>
          <w:tblCellMar>
            <w:top w:w="0" w:type="dxa"/>
            <w:left w:w="108" w:type="dxa"/>
            <w:bottom w:w="0" w:type="dxa"/>
            <w:right w:w="108" w:type="dxa"/>
          </w:tblCellMar>
        </w:tblPrEx>
        <w:trPr>
          <w:trHeight w:val="53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59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64EC">
            <w:pPr>
              <w:jc w:val="center"/>
              <w:rPr>
                <w:rFonts w:ascii="仿宋" w:hAnsi="仿宋" w:eastAsia="仿宋" w:cs="仿宋"/>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B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阵列麦克风</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78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电容式，频率响应：80Hz—18000Hz，灵敏度≥-35dB，48V幻象电源供电，声压级≥135dB SPL，信噪比≥70dB;</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51DC">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0E47">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361155CF">
        <w:tblPrEx>
          <w:tblCellMar>
            <w:top w:w="0" w:type="dxa"/>
            <w:left w:w="108" w:type="dxa"/>
            <w:bottom w:w="0" w:type="dxa"/>
            <w:right w:w="108" w:type="dxa"/>
          </w:tblCellMar>
        </w:tblPrEx>
        <w:trPr>
          <w:trHeight w:val="70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375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A62D">
            <w:pPr>
              <w:jc w:val="center"/>
              <w:rPr>
                <w:rFonts w:ascii="仿宋" w:hAnsi="仿宋" w:eastAsia="仿宋" w:cs="仿宋"/>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CE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无源音箱</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BA7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2个，≥4英寸，阻抗≥8Ω，功率≥60W，灵敏度（1W/1m）≥85dB，声压级（1W/1m）：≥105dB，频率响应：110Hz~18kHz（±3dB），扩散角度：垂直≥40°，水平≥90°。</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5B8D">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F9A7">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4549A64E">
        <w:tblPrEx>
          <w:tblCellMar>
            <w:top w:w="0" w:type="dxa"/>
            <w:left w:w="108" w:type="dxa"/>
            <w:bottom w:w="0" w:type="dxa"/>
            <w:right w:w="108" w:type="dxa"/>
          </w:tblCellMar>
        </w:tblPrEx>
        <w:trPr>
          <w:trHeight w:val="14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AD6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9</w:t>
            </w:r>
          </w:p>
        </w:tc>
        <w:tc>
          <w:tcPr>
            <w:tcW w:w="776" w:type="dxa"/>
            <w:tcBorders>
              <w:top w:val="nil"/>
              <w:left w:val="single" w:color="000000" w:sz="4" w:space="0"/>
              <w:bottom w:val="single" w:color="000000" w:sz="4" w:space="0"/>
              <w:right w:val="single" w:color="000000" w:sz="4" w:space="0"/>
            </w:tcBorders>
            <w:shd w:val="clear" w:color="auto" w:fill="auto"/>
            <w:vAlign w:val="center"/>
          </w:tcPr>
          <w:p w14:paraId="24A951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机柜</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B7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机柜</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C94E">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1.高度规格：18U。</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2.宽度与深度：匹配服务器、音频主机、交换机尺寸要求。</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3.材质：主体采用优质冷轧钢板，厚度≥1.2mm。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4.承重能力：静态承重≥500kg。支持标准 19 英寸设备安装。</w:t>
            </w:r>
          </w:p>
          <w:p w14:paraId="6828A1FB">
            <w:pPr>
              <w:widowControl/>
              <w:jc w:val="left"/>
              <w:textAlignment w:val="center"/>
            </w:pPr>
            <w:r>
              <w:rPr>
                <w:rFonts w:hint="eastAsia" w:ascii="仿宋" w:hAnsi="仿宋" w:eastAsia="仿宋" w:cs="仿宋"/>
                <w:color w:val="000000"/>
                <w:kern w:val="0"/>
                <w:sz w:val="20"/>
                <w:szCs w:val="20"/>
                <w:lang w:bidi="ar"/>
              </w:rPr>
              <w:t>5.配备8位PDU1个，托盘2个。</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02B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C280">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0CCC4F1E">
        <w:tblPrEx>
          <w:tblCellMar>
            <w:top w:w="0" w:type="dxa"/>
            <w:left w:w="108" w:type="dxa"/>
            <w:bottom w:w="0" w:type="dxa"/>
            <w:right w:w="108" w:type="dxa"/>
          </w:tblCellMar>
        </w:tblPrEx>
        <w:trPr>
          <w:trHeight w:val="123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D734">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A9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立式空调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20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立式空调</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89D8">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1.空调类型：柜机；</w:t>
            </w:r>
          </w:p>
          <w:p w14:paraId="6C00F6A3">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2.匹数：5 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3.冷暖类型：冷暖型，变频，制热量：13820W(3500-15870),制冷量：12120W(3100-13110)；</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4.能效等级：2级及以上；</w:t>
            </w:r>
          </w:p>
          <w:p w14:paraId="7C02BCE1">
            <w:pPr>
              <w:widowControl/>
              <w:jc w:val="left"/>
              <w:textAlignment w:val="center"/>
            </w:pPr>
            <w:r>
              <w:rPr>
                <w:rFonts w:hint="eastAsia" w:ascii="仿宋" w:hAnsi="仿宋" w:eastAsia="仿宋" w:cs="仿宋"/>
                <w:color w:val="000000"/>
                <w:kern w:val="0"/>
                <w:sz w:val="20"/>
                <w:szCs w:val="20"/>
                <w:lang w:bidi="ar"/>
              </w:rPr>
              <w:t>★5.须提供节能产品认证证书。</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F2B6">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E40C">
            <w:pPr>
              <w:jc w:val="center"/>
              <w:rPr>
                <w:rFonts w:ascii="仿宋" w:hAnsi="仿宋" w:eastAsia="仿宋" w:cs="仿宋"/>
                <w:color w:val="FF0000"/>
                <w:sz w:val="20"/>
                <w:szCs w:val="20"/>
              </w:rPr>
            </w:pPr>
            <w:r>
              <w:rPr>
                <w:rFonts w:hint="eastAsia" w:ascii="仿宋" w:hAnsi="仿宋" w:eastAsia="仿宋" w:cs="仿宋"/>
                <w:sz w:val="20"/>
                <w:szCs w:val="20"/>
              </w:rPr>
              <w:t>/</w:t>
            </w:r>
          </w:p>
        </w:tc>
      </w:tr>
      <w:tr w14:paraId="2B72E84D">
        <w:tblPrEx>
          <w:tblCellMar>
            <w:top w:w="0" w:type="dxa"/>
            <w:left w:w="108" w:type="dxa"/>
            <w:bottom w:w="0" w:type="dxa"/>
            <w:right w:w="108" w:type="dxa"/>
          </w:tblCellMar>
        </w:tblPrEx>
        <w:trPr>
          <w:trHeight w:val="70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F29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E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交换机</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2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交换机</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A2A">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1.端口规格：≥24个千兆电口+2千兆光口</w:t>
            </w:r>
            <w:r>
              <w:rPr>
                <w:rFonts w:hint="eastAsia"/>
              </w:rPr>
              <w:t>，</w:t>
            </w:r>
            <w:r>
              <w:rPr>
                <w:rFonts w:hint="eastAsia" w:ascii="仿宋" w:hAnsi="仿宋" w:eastAsia="仿宋" w:cs="仿宋"/>
                <w:color w:val="000000"/>
                <w:kern w:val="0"/>
                <w:sz w:val="20"/>
                <w:szCs w:val="20"/>
                <w:lang w:bidi="ar"/>
              </w:rPr>
              <w:t>交换容量≥52Gbps，转发率≥38.7Mpps； 10/100/1000M 自适应 RJ45 端口，支持 POE + 供电。</w:t>
            </w:r>
          </w:p>
          <w:p w14:paraId="44604304">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2.POE 供电参数：整机支持≥190W POE 供电，单端口最大供电功率 30W。</w:t>
            </w:r>
          </w:p>
          <w:p w14:paraId="3BF7CE6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3.传输速率：支持10/100/1000Mbit/s 传输速率，支持半双工、全双工、自协商工作模式。</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89CE">
            <w:pPr>
              <w:widowControl/>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0BF">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配置两台，防止</w:t>
            </w:r>
          </w:p>
          <w:p w14:paraId="0D45023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单台故障导致系统整体无法使用</w:t>
            </w:r>
          </w:p>
        </w:tc>
      </w:tr>
      <w:tr w14:paraId="611AADEE">
        <w:tblPrEx>
          <w:tblCellMar>
            <w:top w:w="0" w:type="dxa"/>
            <w:left w:w="108" w:type="dxa"/>
            <w:bottom w:w="0" w:type="dxa"/>
            <w:right w:w="108" w:type="dxa"/>
          </w:tblCellMar>
        </w:tblPrEx>
        <w:trPr>
          <w:trHeight w:val="68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9029">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6B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智能实验柜</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61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智能实验柜</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5BB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一、硬件：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1、柜体材质：金属；自带≥10英寸液晶触控信息屏；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2、开柜方式：智能电锁，开锁弹开；</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3、面板门：亚克力、玻璃可选；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4、借还方式：同时支持校园一卡通卡、二代居民身份证、帐号密码、扫码借还设备多种使用方式；</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5、自助借还读写器：工作频率:13.56M，兼容校园一卡通卡、二代居民身份证；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6、工作模式：刷卡/帐号密码/扫码电动开柜取/还设备，关柜自动记录借/还设备信息；</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7、平铺式/壁挂式天线，可按设备的标签的具体安装情况定制；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8、满足24小时自助借还使用要求，不受金属柜子屏蔽；不受近距离后排人员干扰，抗干扰能力强；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9、能实现对RFID设备标签非接触式识读，实时判断设备设备的借/还信息，并记录形成报表。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10、设备柜不需要安装屏蔽膜，精准区分每个设备所在柜格；</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11、双开门 单柜4层，1000mm*600mm*1800mm；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二、软件：</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1、通过软件在设备柜上就能实现设备信息录入功能；</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2、实现智能实验室设备管理柜设备借取、归还、报修、盘点自助完成，信息自动后台数据更新；</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3、实现实时监控设备，实时记录设备状态，可远程一键开柜；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实现实时盘点，盘点信息会通过网络传输到服务器的盘点界面；并可远程一键盘点清晰直观的了解盘点信息，显示实时管理柜设备库存数量，并通过管理系统的数据处理形成整个区域所有智能设备管理柜盘点结果；</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5.实现智慧查找提醒，准确定位设备所在的柜内位置；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6、实现集中统计设备的借还数据；统计借取情况，接口实时监控、盘点功能，可为实现实验设备行为分析、了解学生实验兴趣、针对性引导兴趣等大数据分析功能提供数据；</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7、支持设备柜区域内通借通还，多点借还；</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8、有权限管理功能，可授权、冻结、开通借阅卡片、帐号、扫码手机号；</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3E3E">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A44B">
            <w:pPr>
              <w:jc w:val="center"/>
              <w:rPr>
                <w:rFonts w:ascii="仿宋" w:hAnsi="仿宋" w:eastAsia="仿宋" w:cs="仿宋"/>
                <w:color w:val="FF0000"/>
                <w:sz w:val="20"/>
                <w:szCs w:val="20"/>
              </w:rPr>
            </w:pPr>
            <w:r>
              <w:drawing>
                <wp:inline distT="0" distB="0" distL="114300" distR="114300">
                  <wp:extent cx="854710" cy="1482090"/>
                  <wp:effectExtent l="0" t="0" r="1397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854710" cy="1482090"/>
                          </a:xfrm>
                          <a:prstGeom prst="rect">
                            <a:avLst/>
                          </a:prstGeom>
                          <a:noFill/>
                          <a:ln>
                            <a:noFill/>
                          </a:ln>
                        </pic:spPr>
                      </pic:pic>
                    </a:graphicData>
                  </a:graphic>
                </wp:inline>
              </w:drawing>
            </w:r>
          </w:p>
        </w:tc>
      </w:tr>
      <w:tr w14:paraId="429DE973">
        <w:tblPrEx>
          <w:tblCellMar>
            <w:top w:w="0" w:type="dxa"/>
            <w:left w:w="108" w:type="dxa"/>
            <w:bottom w:w="0" w:type="dxa"/>
            <w:right w:w="108" w:type="dxa"/>
          </w:tblCellMar>
        </w:tblPrEx>
        <w:trPr>
          <w:trHeight w:val="2112"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77C0">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D6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讲台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AABD">
            <w:pPr>
              <w:jc w:val="left"/>
              <w:rPr>
                <w:rFonts w:ascii="仿宋" w:hAnsi="仿宋" w:eastAsia="仿宋" w:cs="仿宋"/>
                <w:color w:val="000000"/>
                <w:sz w:val="20"/>
                <w:szCs w:val="20"/>
              </w:rPr>
            </w:pPr>
            <w:r>
              <w:rPr>
                <w:rFonts w:hint="eastAsia" w:ascii="仿宋" w:hAnsi="仿宋" w:eastAsia="仿宋" w:cs="仿宋"/>
                <w:color w:val="000000"/>
                <w:kern w:val="0"/>
                <w:sz w:val="20"/>
                <w:szCs w:val="20"/>
                <w:lang w:bidi="ar"/>
              </w:rPr>
              <w:t>讲台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DAF">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参考尺寸：715*475*750-1050mm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桌面：一体成型圆弧桌面,内芯采用≥20mm E1级密度板，PVC吸塑，表面桌面配置有凹槽，可以放置手机、ipad、笔等物品，桌面参考尺寸：715*475*20mm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桌架：采用铝制五金铸造成型，桌子高度可自由调节，高度可调节范围/750-1050mm。</w:t>
            </w:r>
          </w:p>
          <w:p w14:paraId="76D26ED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升降结构：一键式气动升降，桌面底部设有折叠开关。</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底座：采用铝制五金铸造成型，配PU静音刹车轮</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22344">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AB5D">
            <w:pPr>
              <w:widowControl/>
              <w:textAlignment w:val="center"/>
              <w:rPr>
                <w:rFonts w:ascii="仿宋" w:hAnsi="仿宋" w:eastAsia="仿宋" w:cs="仿宋"/>
                <w:color w:val="FF0000"/>
                <w:sz w:val="20"/>
                <w:szCs w:val="20"/>
              </w:rPr>
            </w:pPr>
            <w:r>
              <w:rPr>
                <w:rFonts w:hint="eastAsia" w:ascii="仿宋" w:hAnsi="仿宋" w:eastAsia="仿宋" w:cs="仿宋"/>
                <w:color w:val="FF0000"/>
                <w:kern w:val="0"/>
                <w:sz w:val="20"/>
                <w:szCs w:val="20"/>
                <w:lang w:bidi="ar"/>
              </w:rPr>
              <w:drawing>
                <wp:inline distT="0" distB="0" distL="114300" distR="114300">
                  <wp:extent cx="894715" cy="917575"/>
                  <wp:effectExtent l="0" t="0" r="4445" b="1206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894715" cy="917575"/>
                          </a:xfrm>
                          <a:prstGeom prst="rect">
                            <a:avLst/>
                          </a:prstGeom>
                          <a:noFill/>
                          <a:ln w="9525">
                            <a:noFill/>
                          </a:ln>
                        </pic:spPr>
                      </pic:pic>
                    </a:graphicData>
                  </a:graphic>
                </wp:inline>
              </w:drawing>
            </w:r>
          </w:p>
        </w:tc>
      </w:tr>
      <w:tr w14:paraId="1E8F7144">
        <w:tblPrEx>
          <w:tblCellMar>
            <w:top w:w="0" w:type="dxa"/>
            <w:left w:w="108" w:type="dxa"/>
            <w:bottom w:w="0" w:type="dxa"/>
            <w:right w:w="108" w:type="dxa"/>
          </w:tblCellMar>
        </w:tblPrEx>
        <w:trPr>
          <w:trHeight w:val="167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C96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7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定制六边形操作台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564">
            <w:pPr>
              <w:jc w:val="left"/>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定制六边形操作台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08A2">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参考尺寸：φ1600*750</w:t>
            </w:r>
          </w:p>
          <w:p w14:paraId="4C68F762">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基材要求：采用E1级三聚氰胺饰面板，桌面厚度：≥20mm。</w:t>
            </w:r>
          </w:p>
          <w:p w14:paraId="71E73DD8">
            <w:pPr>
              <w:pStyle w:val="2"/>
              <w:ind w:firstLine="0" w:firstLineChars="0"/>
              <w:rPr>
                <w:rFonts w:ascii="仿宋" w:hAnsi="仿宋" w:eastAsia="仿宋" w:cs="仿宋"/>
                <w:kern w:val="0"/>
                <w:sz w:val="20"/>
                <w:szCs w:val="20"/>
                <w:lang w:bidi="ar"/>
              </w:rPr>
            </w:pPr>
            <w:r>
              <w:rPr>
                <w:rFonts w:hint="eastAsia" w:ascii="仿宋" w:hAnsi="仿宋" w:eastAsia="仿宋" w:cs="仿宋"/>
                <w:kern w:val="0"/>
                <w:sz w:val="20"/>
                <w:szCs w:val="20"/>
                <w:lang w:bidi="ar"/>
              </w:rPr>
              <w:t>桌腿：优质高精度一级冷轧钢板和钢管组合焊接成型，长脚管采用蛋形钢管561*60*30，壁厚≥1.2mm（不含喷涂厚度）</w:t>
            </w:r>
          </w:p>
          <w:p w14:paraId="4F3C801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定制要求：每套桌子含6个五孔插座，6个网线口，每套桌子预留6个扩展口</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505E">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07B4">
            <w:pPr>
              <w:widowControl/>
              <w:textAlignment w:val="center"/>
              <w:rPr>
                <w:rFonts w:ascii="仿宋" w:hAnsi="仿宋" w:eastAsia="仿宋" w:cs="仿宋"/>
                <w:color w:val="FF0000"/>
                <w:sz w:val="20"/>
                <w:szCs w:val="20"/>
              </w:rPr>
            </w:pPr>
            <w:r>
              <w:rPr>
                <w:rFonts w:hint="eastAsia" w:ascii="仿宋" w:hAnsi="仿宋" w:eastAsia="仿宋" w:cs="仿宋"/>
                <w:color w:val="FF0000"/>
                <w:kern w:val="0"/>
                <w:sz w:val="20"/>
                <w:szCs w:val="20"/>
                <w:lang w:bidi="ar"/>
              </w:rPr>
              <w:drawing>
                <wp:inline distT="0" distB="0" distL="114300" distR="114300">
                  <wp:extent cx="879475" cy="1172845"/>
                  <wp:effectExtent l="0" t="0" r="4445" b="63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879475" cy="1172845"/>
                          </a:xfrm>
                          <a:prstGeom prst="rect">
                            <a:avLst/>
                          </a:prstGeom>
                          <a:noFill/>
                          <a:ln w="9525">
                            <a:noFill/>
                          </a:ln>
                        </pic:spPr>
                      </pic:pic>
                    </a:graphicData>
                  </a:graphic>
                </wp:inline>
              </w:drawing>
            </w:r>
          </w:p>
        </w:tc>
      </w:tr>
      <w:tr w14:paraId="2A758716">
        <w:tblPrEx>
          <w:tblCellMar>
            <w:top w:w="0" w:type="dxa"/>
            <w:left w:w="108" w:type="dxa"/>
            <w:bottom w:w="0" w:type="dxa"/>
            <w:right w:w="108" w:type="dxa"/>
          </w:tblCellMar>
        </w:tblPrEx>
        <w:trPr>
          <w:trHeight w:val="123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EE4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28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培训椅</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BE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培训椅</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976">
            <w:pPr>
              <w:widowControl/>
              <w:numPr>
                <w:ilvl w:val="0"/>
                <w:numId w:val="2"/>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面料，采用网布面料；颜色可选，背架PA+30%玻纤；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2.辅料：采用≥45#高密度、高弹力定型海绵；</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3.扶手：PA+玻纤扶手；架子：Q235碳素钢；</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4.功能：座板可翻起、可全折叠；5.参考尺寸：L610*W555*H835；             </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51C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42</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2371">
            <w:pPr>
              <w:widowControl/>
              <w:textAlignment w:val="center"/>
              <w:rPr>
                <w:rFonts w:ascii="仿宋" w:hAnsi="仿宋" w:eastAsia="仿宋" w:cs="仿宋"/>
                <w:color w:val="FF0000"/>
                <w:sz w:val="20"/>
                <w:szCs w:val="20"/>
              </w:rPr>
            </w:pPr>
            <w:r>
              <w:rPr>
                <w:rFonts w:hint="eastAsia" w:ascii="仿宋" w:hAnsi="仿宋" w:eastAsia="仿宋" w:cs="仿宋"/>
                <w:color w:val="FF0000"/>
                <w:kern w:val="0"/>
                <w:sz w:val="20"/>
                <w:szCs w:val="20"/>
                <w:lang w:bidi="ar"/>
              </w:rPr>
              <w:drawing>
                <wp:inline distT="0" distB="0" distL="114300" distR="114300">
                  <wp:extent cx="899160" cy="1165860"/>
                  <wp:effectExtent l="0" t="0" r="0" b="762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7"/>
                          <a:stretch>
                            <a:fillRect/>
                          </a:stretch>
                        </pic:blipFill>
                        <pic:spPr>
                          <a:xfrm>
                            <a:off x="0" y="0"/>
                            <a:ext cx="899160" cy="1165860"/>
                          </a:xfrm>
                          <a:prstGeom prst="rect">
                            <a:avLst/>
                          </a:prstGeom>
                          <a:noFill/>
                          <a:ln w="9525">
                            <a:noFill/>
                          </a:ln>
                        </pic:spPr>
                      </pic:pic>
                    </a:graphicData>
                  </a:graphic>
                </wp:inline>
              </w:drawing>
            </w:r>
          </w:p>
        </w:tc>
      </w:tr>
      <w:tr w14:paraId="38EB38DE">
        <w:tblPrEx>
          <w:tblCellMar>
            <w:top w:w="0" w:type="dxa"/>
            <w:left w:w="108" w:type="dxa"/>
            <w:bottom w:w="0" w:type="dxa"/>
            <w:right w:w="108" w:type="dxa"/>
          </w:tblCellMar>
        </w:tblPrEx>
        <w:trPr>
          <w:trHeight w:val="193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315">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16</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00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防盗门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E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防盗门</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1722">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包含智能门锁：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开锁方式：手机、指纹、人脸、密码、临时密码、智能卡、机械钥匙。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锁体类型：电子锁体，三防精钢锁体，防强磁干扰。</w:t>
            </w:r>
          </w:p>
          <w:p w14:paraId="5BA64BFE">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锁芯等级：C 级。</w:t>
            </w:r>
          </w:p>
          <w:p w14:paraId="15BE248B">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连接方式：支持 2.4GHz Wi-Fi 连接。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应急电源接口：Type-C 接口。</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防盗门板材：锌合金 门面板材≥0.8mm，门框板材≥1.8mm。漆面：专用烤漆，</w:t>
            </w:r>
          </w:p>
          <w:p w14:paraId="3A8CB71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尺寸：门宽约1.5米，高约2米</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0250">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94CC">
            <w:pPr>
              <w:widowControl/>
              <w:textAlignment w:val="center"/>
              <w:rPr>
                <w:rFonts w:ascii="仿宋" w:hAnsi="仿宋" w:eastAsia="仿宋" w:cs="仿宋"/>
                <w:color w:val="FF0000"/>
                <w:sz w:val="20"/>
                <w:szCs w:val="20"/>
              </w:rPr>
            </w:pPr>
            <w:r>
              <w:rPr>
                <w:rFonts w:hint="eastAsia" w:ascii="仿宋" w:hAnsi="仿宋" w:eastAsia="仿宋" w:cs="仿宋"/>
                <w:color w:val="FF0000"/>
                <w:kern w:val="0"/>
                <w:sz w:val="20"/>
                <w:szCs w:val="20"/>
                <w:lang w:bidi="ar"/>
              </w:rPr>
              <w:drawing>
                <wp:inline distT="0" distB="0" distL="114300" distR="114300">
                  <wp:extent cx="905510" cy="1285240"/>
                  <wp:effectExtent l="0" t="0" r="8890" b="1016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8"/>
                          <a:stretch>
                            <a:fillRect/>
                          </a:stretch>
                        </pic:blipFill>
                        <pic:spPr>
                          <a:xfrm>
                            <a:off x="0" y="0"/>
                            <a:ext cx="905510" cy="1285240"/>
                          </a:xfrm>
                          <a:prstGeom prst="rect">
                            <a:avLst/>
                          </a:prstGeom>
                          <a:noFill/>
                          <a:ln w="9525">
                            <a:noFill/>
                          </a:ln>
                        </pic:spPr>
                      </pic:pic>
                    </a:graphicData>
                  </a:graphic>
                </wp:inline>
              </w:drawing>
            </w:r>
          </w:p>
        </w:tc>
      </w:tr>
      <w:tr w14:paraId="54D8BE64">
        <w:tblPrEx>
          <w:tblCellMar>
            <w:top w:w="0" w:type="dxa"/>
            <w:left w:w="108" w:type="dxa"/>
            <w:bottom w:w="0" w:type="dxa"/>
            <w:right w:w="108" w:type="dxa"/>
          </w:tblCellMar>
        </w:tblPrEx>
        <w:trPr>
          <w:trHeight w:val="176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5F8F">
            <w:pPr>
              <w:widowControl/>
              <w:jc w:val="center"/>
              <w:textAlignment w:val="center"/>
              <w:rPr>
                <w:rFonts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17</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D2A7">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教室改造</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B7A">
            <w:pPr>
              <w:widowControl/>
              <w:jc w:val="center"/>
              <w:textAlignment w:val="center"/>
              <w:rPr>
                <w:rFonts w:ascii="仿宋" w:hAnsi="仿宋" w:eastAsia="仿宋" w:cs="仿宋"/>
                <w:color w:val="000000"/>
                <w:kern w:val="0"/>
                <w:sz w:val="20"/>
                <w:szCs w:val="20"/>
                <w:lang w:bidi="ar"/>
              </w:rPr>
            </w:pP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613">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1.改造墙内原有线路不动，增加明装线槽及明装墙插（约123.5㎡）；</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2.改造及部署含国标六类网线（约123.5㎡）。</w:t>
            </w:r>
          </w:p>
          <w:p w14:paraId="3803C6B5">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3.教室面积123.5㎡，墙面开裂、脱落部分需要重新挂网粉刷打磨，整体乳胶漆两遍。</w:t>
            </w:r>
          </w:p>
          <w:p w14:paraId="03EAE340">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4.成品保护及卫生保洁约123.5㎡。</w:t>
            </w:r>
          </w:p>
          <w:p w14:paraId="651CCB64">
            <w:pPr>
              <w:widowControl/>
              <w:jc w:val="left"/>
              <w:textAlignment w:val="center"/>
            </w:pPr>
            <w:r>
              <w:rPr>
                <w:rFonts w:hint="eastAsia" w:ascii="仿宋" w:hAnsi="仿宋" w:eastAsia="仿宋" w:cs="仿宋"/>
                <w:kern w:val="0"/>
                <w:sz w:val="20"/>
                <w:szCs w:val="20"/>
                <w:lang w:bidi="ar"/>
              </w:rPr>
              <w:t>5.配1200*300LED平板灯≥16个，功率≥36瓦。</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9D90">
            <w:pPr>
              <w:widowControl/>
              <w:jc w:val="center"/>
              <w:textAlignment w:val="center"/>
              <w:rPr>
                <w:rFonts w:ascii="仿宋" w:hAnsi="仿宋" w:eastAsia="仿宋" w:cs="仿宋"/>
                <w:b/>
                <w:bCs/>
                <w:color w:val="000000"/>
                <w:kern w:val="0"/>
                <w:sz w:val="20"/>
                <w:szCs w:val="20"/>
                <w:lang w:bidi="ar"/>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55CF">
            <w:pPr>
              <w:widowControl/>
              <w:textAlignment w:val="center"/>
              <w:rPr>
                <w:rFonts w:ascii="仿宋" w:hAnsi="仿宋" w:eastAsia="仿宋" w:cs="仿宋"/>
                <w:color w:val="FF0000"/>
                <w:kern w:val="0"/>
                <w:sz w:val="20"/>
                <w:szCs w:val="20"/>
                <w:lang w:bidi="ar"/>
              </w:rPr>
            </w:pPr>
            <w:bookmarkStart w:id="0" w:name="_GoBack"/>
            <w:bookmarkEnd w:id="0"/>
          </w:p>
        </w:tc>
      </w:tr>
    </w:tbl>
    <w:p w14:paraId="0B91C0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4A9A"/>
    <w:multiLevelType w:val="multilevel"/>
    <w:tmpl w:val="2E4C4A9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8"/>
      <w:suff w:val="nothing"/>
      <w:lvlText w:val=""/>
      <w:lvlJc w:val="left"/>
      <w:pPr>
        <w:tabs>
          <w:tab w:val="left" w:pos="0"/>
        </w:tabs>
        <w:ind w:left="0" w:firstLine="0"/>
      </w:pPr>
    </w:lvl>
    <w:lvl w:ilvl="6" w:tentative="0">
      <w:start w:val="1"/>
      <w:numFmt w:val="none"/>
      <w:pStyle w:val="9"/>
      <w:suff w:val="nothing"/>
      <w:lvlText w:val=""/>
      <w:lvlJc w:val="left"/>
      <w:pPr>
        <w:tabs>
          <w:tab w:val="left" w:pos="0"/>
        </w:tabs>
        <w:ind w:left="0" w:firstLine="0"/>
      </w:pPr>
    </w:lvl>
    <w:lvl w:ilvl="7" w:tentative="0">
      <w:start w:val="1"/>
      <w:numFmt w:val="none"/>
      <w:pStyle w:val="10"/>
      <w:suff w:val="nothing"/>
      <w:lvlText w:val=""/>
      <w:lvlJc w:val="left"/>
      <w:pPr>
        <w:tabs>
          <w:tab w:val="left" w:pos="0"/>
        </w:tabs>
        <w:ind w:left="0" w:firstLine="0"/>
      </w:pPr>
    </w:lvl>
    <w:lvl w:ilvl="8" w:tentative="0">
      <w:start w:val="1"/>
      <w:numFmt w:val="none"/>
      <w:pStyle w:val="11"/>
      <w:suff w:val="nothing"/>
      <w:lvlText w:val=""/>
      <w:lvlJc w:val="left"/>
      <w:pPr>
        <w:tabs>
          <w:tab w:val="left" w:pos="0"/>
        </w:tabs>
        <w:ind w:left="0" w:firstLine="0"/>
      </w:pPr>
    </w:lvl>
  </w:abstractNum>
  <w:abstractNum w:abstractNumId="1">
    <w:nsid w:val="6336588B"/>
    <w:multiLevelType w:val="singleLevel"/>
    <w:tmpl w:val="6336588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091A"/>
    <w:rsid w:val="008B2575"/>
    <w:rsid w:val="00DB32E3"/>
    <w:rsid w:val="0122477A"/>
    <w:rsid w:val="01642471"/>
    <w:rsid w:val="01895924"/>
    <w:rsid w:val="01901310"/>
    <w:rsid w:val="02935D81"/>
    <w:rsid w:val="04983E33"/>
    <w:rsid w:val="05E4328A"/>
    <w:rsid w:val="06A64813"/>
    <w:rsid w:val="06B06A0F"/>
    <w:rsid w:val="06C61DD8"/>
    <w:rsid w:val="07356D81"/>
    <w:rsid w:val="084E2544"/>
    <w:rsid w:val="08A27D3E"/>
    <w:rsid w:val="08CA027A"/>
    <w:rsid w:val="08E60174"/>
    <w:rsid w:val="099E7555"/>
    <w:rsid w:val="0AAB74A3"/>
    <w:rsid w:val="0B544018"/>
    <w:rsid w:val="0C497634"/>
    <w:rsid w:val="0C526E46"/>
    <w:rsid w:val="0CD932CC"/>
    <w:rsid w:val="0CFC3EA7"/>
    <w:rsid w:val="0D2F4AA3"/>
    <w:rsid w:val="0D8D4779"/>
    <w:rsid w:val="0E0E18EA"/>
    <w:rsid w:val="0ED778A8"/>
    <w:rsid w:val="0FB9496E"/>
    <w:rsid w:val="10042EA3"/>
    <w:rsid w:val="10727FC8"/>
    <w:rsid w:val="10772722"/>
    <w:rsid w:val="10BA5E5F"/>
    <w:rsid w:val="11C120F7"/>
    <w:rsid w:val="1256048E"/>
    <w:rsid w:val="1257460D"/>
    <w:rsid w:val="1266351F"/>
    <w:rsid w:val="12D772CA"/>
    <w:rsid w:val="12FC2C80"/>
    <w:rsid w:val="14125CD7"/>
    <w:rsid w:val="145041F2"/>
    <w:rsid w:val="147B5520"/>
    <w:rsid w:val="14A517BF"/>
    <w:rsid w:val="154752AC"/>
    <w:rsid w:val="15AA2B03"/>
    <w:rsid w:val="15E63261"/>
    <w:rsid w:val="16F54EDB"/>
    <w:rsid w:val="174370C9"/>
    <w:rsid w:val="17D252BA"/>
    <w:rsid w:val="17F17BA2"/>
    <w:rsid w:val="185F6706"/>
    <w:rsid w:val="188E3A9B"/>
    <w:rsid w:val="18A223F2"/>
    <w:rsid w:val="18C86714"/>
    <w:rsid w:val="18CD4B53"/>
    <w:rsid w:val="18DE63DD"/>
    <w:rsid w:val="18FE30F6"/>
    <w:rsid w:val="19042933"/>
    <w:rsid w:val="193B2D26"/>
    <w:rsid w:val="19DD0836"/>
    <w:rsid w:val="19E8711D"/>
    <w:rsid w:val="1A614BC8"/>
    <w:rsid w:val="1A880F5D"/>
    <w:rsid w:val="1AB62BAE"/>
    <w:rsid w:val="1B44340C"/>
    <w:rsid w:val="1BB204B7"/>
    <w:rsid w:val="1BDC4741"/>
    <w:rsid w:val="1C1414EC"/>
    <w:rsid w:val="1C225F9F"/>
    <w:rsid w:val="1D181F30"/>
    <w:rsid w:val="1D3344B9"/>
    <w:rsid w:val="1E663172"/>
    <w:rsid w:val="1F0E2B86"/>
    <w:rsid w:val="1F3642C6"/>
    <w:rsid w:val="1F601FBE"/>
    <w:rsid w:val="206A183A"/>
    <w:rsid w:val="20720677"/>
    <w:rsid w:val="23622162"/>
    <w:rsid w:val="238245F2"/>
    <w:rsid w:val="23A45F21"/>
    <w:rsid w:val="24B03759"/>
    <w:rsid w:val="25774EEE"/>
    <w:rsid w:val="25BC70EA"/>
    <w:rsid w:val="25CA10DB"/>
    <w:rsid w:val="269E3F9C"/>
    <w:rsid w:val="26A81D32"/>
    <w:rsid w:val="26B3022A"/>
    <w:rsid w:val="26E74871"/>
    <w:rsid w:val="270C4509"/>
    <w:rsid w:val="27756A38"/>
    <w:rsid w:val="27B05B28"/>
    <w:rsid w:val="281D66F4"/>
    <w:rsid w:val="28611463"/>
    <w:rsid w:val="28914C16"/>
    <w:rsid w:val="2910443B"/>
    <w:rsid w:val="299023C6"/>
    <w:rsid w:val="29CE3CF8"/>
    <w:rsid w:val="2A526E4B"/>
    <w:rsid w:val="2B5621F6"/>
    <w:rsid w:val="2B696B30"/>
    <w:rsid w:val="2C267465"/>
    <w:rsid w:val="2D002460"/>
    <w:rsid w:val="2D393894"/>
    <w:rsid w:val="2D4927C2"/>
    <w:rsid w:val="2E5363CC"/>
    <w:rsid w:val="2E5D3029"/>
    <w:rsid w:val="2EC92CDF"/>
    <w:rsid w:val="2F9D0391"/>
    <w:rsid w:val="30624432"/>
    <w:rsid w:val="30FD598A"/>
    <w:rsid w:val="312F01A6"/>
    <w:rsid w:val="31AA6943"/>
    <w:rsid w:val="31DF032B"/>
    <w:rsid w:val="31E079BB"/>
    <w:rsid w:val="31F5271A"/>
    <w:rsid w:val="32034FD9"/>
    <w:rsid w:val="32056A2F"/>
    <w:rsid w:val="321253A2"/>
    <w:rsid w:val="324029C4"/>
    <w:rsid w:val="3255145A"/>
    <w:rsid w:val="325D7875"/>
    <w:rsid w:val="32B8068C"/>
    <w:rsid w:val="332532F7"/>
    <w:rsid w:val="33922D90"/>
    <w:rsid w:val="33A35879"/>
    <w:rsid w:val="34060359"/>
    <w:rsid w:val="34435D28"/>
    <w:rsid w:val="34763666"/>
    <w:rsid w:val="354F77D2"/>
    <w:rsid w:val="375955DE"/>
    <w:rsid w:val="38137AD8"/>
    <w:rsid w:val="39073866"/>
    <w:rsid w:val="39340367"/>
    <w:rsid w:val="39C04C69"/>
    <w:rsid w:val="39F7221A"/>
    <w:rsid w:val="3A282FB0"/>
    <w:rsid w:val="3A3E57B0"/>
    <w:rsid w:val="3A4F0BDB"/>
    <w:rsid w:val="3A5405D4"/>
    <w:rsid w:val="3AF9432F"/>
    <w:rsid w:val="3B543581"/>
    <w:rsid w:val="3B576B35"/>
    <w:rsid w:val="3BC64B80"/>
    <w:rsid w:val="3BDD58AD"/>
    <w:rsid w:val="3C17210D"/>
    <w:rsid w:val="3C327268"/>
    <w:rsid w:val="3C460C02"/>
    <w:rsid w:val="3E047890"/>
    <w:rsid w:val="3E864749"/>
    <w:rsid w:val="3EB7436F"/>
    <w:rsid w:val="3F242515"/>
    <w:rsid w:val="3F685FD2"/>
    <w:rsid w:val="40005FC9"/>
    <w:rsid w:val="4000691C"/>
    <w:rsid w:val="40092EF8"/>
    <w:rsid w:val="40156C88"/>
    <w:rsid w:val="404550CF"/>
    <w:rsid w:val="405C5BEA"/>
    <w:rsid w:val="40AE755B"/>
    <w:rsid w:val="415A4DDA"/>
    <w:rsid w:val="415D5C35"/>
    <w:rsid w:val="423A3A2D"/>
    <w:rsid w:val="43035753"/>
    <w:rsid w:val="430C542B"/>
    <w:rsid w:val="43F00E3D"/>
    <w:rsid w:val="44D747CE"/>
    <w:rsid w:val="44F53A6B"/>
    <w:rsid w:val="4503393E"/>
    <w:rsid w:val="45083D9F"/>
    <w:rsid w:val="46166F98"/>
    <w:rsid w:val="46505A6B"/>
    <w:rsid w:val="469C3BBF"/>
    <w:rsid w:val="46A739FD"/>
    <w:rsid w:val="46EB5340"/>
    <w:rsid w:val="471D1659"/>
    <w:rsid w:val="474C6A6A"/>
    <w:rsid w:val="47A766FD"/>
    <w:rsid w:val="48205870"/>
    <w:rsid w:val="4882187E"/>
    <w:rsid w:val="48D4782C"/>
    <w:rsid w:val="49A63177"/>
    <w:rsid w:val="4A210D1B"/>
    <w:rsid w:val="4AA20AFD"/>
    <w:rsid w:val="4ABB78AB"/>
    <w:rsid w:val="4BC70C56"/>
    <w:rsid w:val="4C5D3125"/>
    <w:rsid w:val="4C9B6E85"/>
    <w:rsid w:val="4CC02446"/>
    <w:rsid w:val="4CCC4F2F"/>
    <w:rsid w:val="4CE2515B"/>
    <w:rsid w:val="4D16789A"/>
    <w:rsid w:val="4D8A271A"/>
    <w:rsid w:val="4DFF437E"/>
    <w:rsid w:val="4E78161D"/>
    <w:rsid w:val="4EA2774B"/>
    <w:rsid w:val="4ECD17BC"/>
    <w:rsid w:val="4ECD77C8"/>
    <w:rsid w:val="4FAA79A4"/>
    <w:rsid w:val="4FED5402"/>
    <w:rsid w:val="50084D18"/>
    <w:rsid w:val="5032295C"/>
    <w:rsid w:val="50517375"/>
    <w:rsid w:val="506444A8"/>
    <w:rsid w:val="50A51E7D"/>
    <w:rsid w:val="50F0666F"/>
    <w:rsid w:val="51006C1D"/>
    <w:rsid w:val="51266EDF"/>
    <w:rsid w:val="51627BA7"/>
    <w:rsid w:val="51800044"/>
    <w:rsid w:val="51990283"/>
    <w:rsid w:val="53475632"/>
    <w:rsid w:val="53D654FE"/>
    <w:rsid w:val="53DC2107"/>
    <w:rsid w:val="53FA4D3E"/>
    <w:rsid w:val="558B1687"/>
    <w:rsid w:val="55F1274B"/>
    <w:rsid w:val="560A265D"/>
    <w:rsid w:val="5756053D"/>
    <w:rsid w:val="57777269"/>
    <w:rsid w:val="578B5227"/>
    <w:rsid w:val="57A51F6A"/>
    <w:rsid w:val="57B13673"/>
    <w:rsid w:val="585B5A56"/>
    <w:rsid w:val="59501B08"/>
    <w:rsid w:val="59937E8D"/>
    <w:rsid w:val="59A368EF"/>
    <w:rsid w:val="5A1F7CD2"/>
    <w:rsid w:val="5A7557DC"/>
    <w:rsid w:val="5A9000B3"/>
    <w:rsid w:val="5A913ADF"/>
    <w:rsid w:val="5ABA67C2"/>
    <w:rsid w:val="5AC5124E"/>
    <w:rsid w:val="5B2607D7"/>
    <w:rsid w:val="5BB04BC5"/>
    <w:rsid w:val="5BB53B97"/>
    <w:rsid w:val="5D8549BB"/>
    <w:rsid w:val="5D9739FA"/>
    <w:rsid w:val="5D9F23D4"/>
    <w:rsid w:val="5DEA4125"/>
    <w:rsid w:val="5E771155"/>
    <w:rsid w:val="5E7C361A"/>
    <w:rsid w:val="5E8D2615"/>
    <w:rsid w:val="5FAA6618"/>
    <w:rsid w:val="5FC86CD6"/>
    <w:rsid w:val="5FDA4E80"/>
    <w:rsid w:val="600E24AE"/>
    <w:rsid w:val="60182901"/>
    <w:rsid w:val="60854409"/>
    <w:rsid w:val="609B3995"/>
    <w:rsid w:val="60B90E7D"/>
    <w:rsid w:val="614B7F89"/>
    <w:rsid w:val="61DF6FF8"/>
    <w:rsid w:val="62290EAB"/>
    <w:rsid w:val="627672C0"/>
    <w:rsid w:val="62B123F2"/>
    <w:rsid w:val="62B27782"/>
    <w:rsid w:val="62F4491D"/>
    <w:rsid w:val="63815B89"/>
    <w:rsid w:val="6396195F"/>
    <w:rsid w:val="64002BAD"/>
    <w:rsid w:val="651A62B7"/>
    <w:rsid w:val="65817FA6"/>
    <w:rsid w:val="658A49F1"/>
    <w:rsid w:val="65DD37E3"/>
    <w:rsid w:val="661A68E8"/>
    <w:rsid w:val="667B6071"/>
    <w:rsid w:val="67092226"/>
    <w:rsid w:val="67965E53"/>
    <w:rsid w:val="68D71481"/>
    <w:rsid w:val="68DF0229"/>
    <w:rsid w:val="69D201BA"/>
    <w:rsid w:val="6B2D064E"/>
    <w:rsid w:val="6B62607F"/>
    <w:rsid w:val="6BCF4328"/>
    <w:rsid w:val="6C381592"/>
    <w:rsid w:val="6CD56CA7"/>
    <w:rsid w:val="6D880B82"/>
    <w:rsid w:val="6DA9506F"/>
    <w:rsid w:val="6DB6013B"/>
    <w:rsid w:val="6E366146"/>
    <w:rsid w:val="6F460498"/>
    <w:rsid w:val="6F4A6F49"/>
    <w:rsid w:val="6F5C460C"/>
    <w:rsid w:val="70071703"/>
    <w:rsid w:val="70171875"/>
    <w:rsid w:val="709F4370"/>
    <w:rsid w:val="7127647D"/>
    <w:rsid w:val="714E2BAB"/>
    <w:rsid w:val="722A508C"/>
    <w:rsid w:val="728D286D"/>
    <w:rsid w:val="72944BF7"/>
    <w:rsid w:val="72EF3A9D"/>
    <w:rsid w:val="74EB2F57"/>
    <w:rsid w:val="752E254E"/>
    <w:rsid w:val="753A65E0"/>
    <w:rsid w:val="75EE47DA"/>
    <w:rsid w:val="761D2CBF"/>
    <w:rsid w:val="763B4AE8"/>
    <w:rsid w:val="77925931"/>
    <w:rsid w:val="78B23F20"/>
    <w:rsid w:val="790120C4"/>
    <w:rsid w:val="791F5DD1"/>
    <w:rsid w:val="797D25F3"/>
    <w:rsid w:val="7A1A1907"/>
    <w:rsid w:val="7A5D5752"/>
    <w:rsid w:val="7BBA2A07"/>
    <w:rsid w:val="7BDA54A6"/>
    <w:rsid w:val="7D2B742D"/>
    <w:rsid w:val="7DAC6B74"/>
    <w:rsid w:val="7E3C0DBE"/>
    <w:rsid w:val="7E4F394A"/>
    <w:rsid w:val="7E8402B2"/>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numPr>
        <w:ilvl w:val="0"/>
        <w:numId w:val="1"/>
      </w:numPr>
      <w:jc w:val="center"/>
      <w:outlineLvl w:val="0"/>
    </w:pPr>
    <w:rPr>
      <w:rFonts w:eastAsia="宋体" w:cstheme="minorBidi"/>
      <w:b/>
      <w:sz w:val="30"/>
    </w:rPr>
  </w:style>
  <w:style w:type="paragraph" w:styleId="4">
    <w:name w:val="heading 2"/>
    <w:basedOn w:val="1"/>
    <w:next w:val="1"/>
    <w:link w:val="25"/>
    <w:semiHidden/>
    <w:unhideWhenUsed/>
    <w:qFormat/>
    <w:uiPriority w:val="0"/>
    <w:pPr>
      <w:keepNext/>
      <w:keepLines/>
      <w:spacing w:before="100" w:after="100" w:line="360" w:lineRule="auto"/>
      <w:outlineLvl w:val="1"/>
    </w:pPr>
    <w:rPr>
      <w:rFonts w:ascii="宋体" w:hAnsi="宋体" w:eastAsia="宋体"/>
      <w:b/>
      <w:bCs/>
      <w:sz w:val="28"/>
      <w:szCs w:val="18"/>
    </w:rPr>
  </w:style>
  <w:style w:type="paragraph" w:styleId="5">
    <w:name w:val="heading 3"/>
    <w:basedOn w:val="1"/>
    <w:next w:val="1"/>
    <w:link w:val="27"/>
    <w:autoRedefine/>
    <w:semiHidden/>
    <w:unhideWhenUsed/>
    <w:qFormat/>
    <w:uiPriority w:val="0"/>
    <w:pPr>
      <w:keepNext/>
      <w:keepLines/>
      <w:pageBreakBefore w:val="0"/>
      <w:spacing w:before="100" w:after="100"/>
      <w:jc w:val="left"/>
      <w:outlineLvl w:val="2"/>
    </w:pPr>
    <w:rPr>
      <w:rFonts w:ascii="Times New Roman" w:hAnsi="Times New Roman" w:eastAsia="宋体" w:cs="Times New Roman"/>
      <w:b/>
      <w:sz w:val="28"/>
      <w:szCs w:val="32"/>
    </w:rPr>
  </w:style>
  <w:style w:type="paragraph" w:styleId="6">
    <w:name w:val="heading 4"/>
    <w:basedOn w:val="1"/>
    <w:next w:val="1"/>
    <w:link w:val="26"/>
    <w:autoRedefine/>
    <w:semiHidden/>
    <w:unhideWhenUsed/>
    <w:qFormat/>
    <w:uiPriority w:val="0"/>
    <w:pPr>
      <w:keepNext/>
      <w:keepLines/>
      <w:spacing w:line="360" w:lineRule="auto"/>
      <w:jc w:val="left"/>
      <w:outlineLvl w:val="3"/>
    </w:pPr>
    <w:rPr>
      <w:rFonts w:ascii="Arial" w:hAnsi="Arial" w:eastAsia="宋体" w:cs="Times New Roman"/>
      <w:b/>
      <w:sz w:val="24"/>
      <w:szCs w:val="20"/>
    </w:rPr>
  </w:style>
  <w:style w:type="paragraph" w:styleId="7">
    <w:name w:val="heading 5"/>
    <w:basedOn w:val="1"/>
    <w:next w:val="1"/>
    <w:link w:val="29"/>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sz w:val="28"/>
    </w:rPr>
  </w:style>
  <w:style w:type="paragraph" w:styleId="8">
    <w:name w:val="heading 6"/>
    <w:basedOn w:val="1"/>
    <w:next w:val="1"/>
    <w:link w:val="31"/>
    <w:semiHidden/>
    <w:unhideWhenUsed/>
    <w:qFormat/>
    <w:uiPriority w:val="0"/>
    <w:pPr>
      <w:keepNext/>
      <w:keepLines/>
      <w:widowControl/>
      <w:numPr>
        <w:ilvl w:val="5"/>
        <w:numId w:val="1"/>
      </w:numPr>
      <w:tabs>
        <w:tab w:val="left" w:pos="1440"/>
      </w:tabs>
      <w:spacing w:before="100" w:after="100" w:line="360" w:lineRule="auto"/>
      <w:ind w:left="0" w:right="0" w:firstLine="0"/>
      <w:jc w:val="left"/>
      <w:outlineLvl w:val="5"/>
    </w:pPr>
    <w:rPr>
      <w:rFonts w:ascii="Arial" w:hAnsi="Arial" w:eastAsia="宋体" w:cs="Arial"/>
      <w:b/>
      <w:kern w:val="0"/>
      <w:szCs w:val="20"/>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0"/>
      <w:outlineLvl w:val="6"/>
    </w:pPr>
    <w:rPr>
      <w:rFonts w:ascii="Times New Roman" w:hAnsi="Times New Roman" w:eastAsia="宋体" w:cs="Times New Roman"/>
      <w:b/>
    </w:rPr>
  </w:style>
  <w:style w:type="paragraph" w:styleId="10">
    <w:name w:val="heading 8"/>
    <w:basedOn w:val="1"/>
    <w:next w:val="1"/>
    <w:autoRedefine/>
    <w:semiHidden/>
    <w:unhideWhenUsed/>
    <w:qFormat/>
    <w:uiPriority w:val="0"/>
    <w:pPr>
      <w:keepNext/>
      <w:keepLines/>
      <w:numPr>
        <w:ilvl w:val="7"/>
        <w:numId w:val="1"/>
      </w:numPr>
      <w:tabs>
        <w:tab w:val="left" w:pos="1418"/>
        <w:tab w:val="clear" w:pos="0"/>
      </w:tabs>
      <w:spacing w:before="240" w:beforeLines="0" w:beforeAutospacing="0" w:after="64" w:afterLines="0" w:afterAutospacing="0" w:line="317" w:lineRule="auto"/>
      <w:ind w:left="0" w:firstLine="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tabs>
        <w:tab w:val="left" w:pos="1559"/>
        <w:tab w:val="clear" w:pos="0"/>
      </w:tabs>
      <w:spacing w:before="240" w:beforeLines="0" w:beforeAutospacing="0" w:after="64" w:afterLines="0" w:afterAutospacing="0" w:line="317" w:lineRule="auto"/>
      <w:ind w:left="0" w:firstLine="0"/>
      <w:outlineLvl w:val="8"/>
    </w:pPr>
    <w:rPr>
      <w:rFonts w:ascii="Arial" w:hAnsi="Arial" w:eastAsia="黑体"/>
      <w:sz w:val="21"/>
    </w:rPr>
  </w:style>
  <w:style w:type="character" w:default="1" w:styleId="24">
    <w:name w:val="Default Paragraph Font"/>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rmal Indent"/>
    <w:basedOn w:val="1"/>
    <w:link w:val="30"/>
    <w:autoRedefine/>
    <w:qFormat/>
    <w:uiPriority w:val="0"/>
    <w:pPr>
      <w:autoSpaceDE w:val="0"/>
      <w:autoSpaceDN w:val="0"/>
      <w:adjustRightInd w:val="0"/>
      <w:spacing w:line="360" w:lineRule="auto"/>
      <w:ind w:firstLine="585"/>
    </w:pPr>
    <w:rPr>
      <w:rFonts w:ascii="楷体_GB2312" w:hAnsi="楷体_GB2312" w:eastAsia="宋体"/>
      <w:sz w:val="24"/>
      <w:szCs w:val="32"/>
    </w:rPr>
  </w:style>
  <w:style w:type="paragraph" w:styleId="12">
    <w:name w:val="table of authorities"/>
    <w:basedOn w:val="1"/>
    <w:next w:val="1"/>
    <w:qFormat/>
    <w:uiPriority w:val="0"/>
    <w:pPr>
      <w:ind w:left="420" w:leftChars="200"/>
    </w:pPr>
  </w:style>
  <w:style w:type="paragraph" w:styleId="13">
    <w:name w:val="Body Text"/>
    <w:basedOn w:val="1"/>
    <w:next w:val="1"/>
    <w:link w:val="36"/>
    <w:unhideWhenUsed/>
    <w:qFormat/>
    <w:uiPriority w:val="99"/>
    <w:pPr>
      <w:suppressAutoHyphens w:val="0"/>
      <w:adjustRightInd w:val="0"/>
      <w:spacing w:line="360" w:lineRule="auto"/>
      <w:ind w:firstLine="0" w:firstLineChars="0"/>
      <w:textAlignment w:val="baseline"/>
    </w:pPr>
    <w:rPr>
      <w:rFonts w:eastAsia="宋体" w:asciiTheme="minorAscii" w:hAnsiTheme="minorAscii"/>
      <w:szCs w:val="20"/>
    </w:rPr>
  </w:style>
  <w:style w:type="paragraph" w:styleId="14">
    <w:name w:val="Body Text Indent"/>
    <w:basedOn w:val="1"/>
    <w:qFormat/>
    <w:uiPriority w:val="0"/>
    <w:pPr>
      <w:spacing w:after="120" w:afterLines="0" w:afterAutospacing="0"/>
      <w:ind w:left="420" w:leftChars="200"/>
    </w:pPr>
  </w:style>
  <w:style w:type="paragraph" w:styleId="15">
    <w:name w:val="Block Text"/>
    <w:basedOn w:val="1"/>
    <w:qFormat/>
    <w:uiPriority w:val="0"/>
    <w:pPr>
      <w:spacing w:after="120" w:afterLines="0" w:afterAutospacing="0"/>
      <w:ind w:left="1440" w:leftChars="700" w:rightChars="700"/>
    </w:pPr>
  </w:style>
  <w:style w:type="paragraph" w:styleId="16">
    <w:name w:val="Plain Text"/>
    <w:basedOn w:val="1"/>
    <w:link w:val="37"/>
    <w:qFormat/>
    <w:uiPriority w:val="0"/>
    <w:pPr>
      <w:spacing w:line="360" w:lineRule="auto"/>
      <w:ind w:firstLine="0" w:firstLineChars="0"/>
    </w:pPr>
    <w:rPr>
      <w:rFonts w:ascii="宋体" w:hAnsi="宋体" w:eastAsia="宋体" w:cs="宋体"/>
      <w:b/>
      <w:bCs/>
      <w:sz w:val="24"/>
      <w:highlight w:val="none"/>
    </w:rPr>
  </w:style>
  <w:style w:type="paragraph" w:styleId="17">
    <w:name w:val="Body Text Indent 2"/>
    <w:basedOn w:val="1"/>
    <w:qFormat/>
    <w:uiPriority w:val="0"/>
    <w:pPr>
      <w:ind w:firstLine="480" w:firstLineChars="200"/>
    </w:pPr>
    <w:rPr>
      <w:rFonts w:ascii="仿宋_GB2312" w:hAnsi="仿宋_GB2312" w:eastAsia="宋体"/>
    </w:rPr>
  </w:style>
  <w:style w:type="paragraph" w:styleId="18">
    <w:name w:val="footer"/>
    <w:basedOn w:val="1"/>
    <w:link w:val="32"/>
    <w:qFormat/>
    <w:uiPriority w:val="0"/>
    <w:pPr>
      <w:tabs>
        <w:tab w:val="center" w:pos="4153"/>
        <w:tab w:val="right" w:pos="8306"/>
      </w:tabs>
      <w:snapToGrid w:val="0"/>
      <w:jc w:val="left"/>
    </w:pPr>
    <w:rPr>
      <w:rFonts w:eastAsia="宋体"/>
      <w:sz w:val="24"/>
      <w:szCs w:val="18"/>
    </w:rPr>
  </w:style>
  <w:style w:type="paragraph" w:styleId="19">
    <w:name w:val="Normal (Web)"/>
    <w:basedOn w:val="1"/>
    <w:qFormat/>
    <w:uiPriority w:val="0"/>
    <w:pPr>
      <w:widowControl/>
      <w:spacing w:beforeLines="0" w:beforeAutospacing="0" w:afterLines="0" w:afterAutospacing="0"/>
      <w:jc w:val="left"/>
    </w:pPr>
    <w:rPr>
      <w:rFonts w:ascii="宋体" w:hAnsi="宋体" w:eastAsia="宋体" w:cs="宋体"/>
      <w:color w:val="000000"/>
      <w:kern w:val="0"/>
      <w:szCs w:val="24"/>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13"/>
    <w:next w:val="1"/>
    <w:link w:val="34"/>
    <w:autoRedefine/>
    <w:qFormat/>
    <w:uiPriority w:val="0"/>
    <w:pPr>
      <w:tabs>
        <w:tab w:val="left" w:pos="567"/>
      </w:tabs>
      <w:spacing w:after="0"/>
      <w:ind w:firstLine="0" w:firstLineChars="0"/>
      <w:jc w:val="left"/>
    </w:pPr>
    <w:rPr>
      <w:rFonts w:ascii="宋体" w:hAnsi="宋体" w:eastAsia="宋体" w:cs="宋体"/>
      <w:color w:val="000000" w:themeColor="text1"/>
      <w:kern w:val="0"/>
      <w:szCs w:val="32"/>
      <w14:shadow w14:blurRad="38100" w14:dist="19050" w14:dir="2700000" w14:sx="100000" w14:sy="100000" w14:kx="0" w14:ky="0" w14:algn="tl">
        <w14:schemeClr w14:val="dk1">
          <w14:alpha w14:val="60000"/>
        </w14:schemeClr>
      </w14:shadow>
      <w14:textFill>
        <w14:solidFill>
          <w14:schemeClr w14:val="tx1"/>
        </w14:solidFill>
      </w14:textFill>
    </w:rPr>
  </w:style>
  <w:style w:type="paragraph" w:styleId="22">
    <w:name w:val="Body Text First Indent 2"/>
    <w:basedOn w:val="14"/>
    <w:qFormat/>
    <w:uiPriority w:val="0"/>
    <w:pPr>
      <w:spacing w:line="360" w:lineRule="auto"/>
      <w:ind w:left="0" w:leftChars="0" w:firstLine="0" w:firstLineChars="0"/>
    </w:pPr>
    <w:rPr>
      <w:rFonts w:ascii="Times New Roman" w:hAnsi="Times New Roman" w:eastAsia="宋体"/>
      <w:sz w:val="24"/>
      <w:szCs w:val="20"/>
    </w:rPr>
  </w:style>
  <w:style w:type="character" w:customStyle="1" w:styleId="25">
    <w:name w:val="标题 2 Char"/>
    <w:link w:val="4"/>
    <w:autoRedefine/>
    <w:qFormat/>
    <w:uiPriority w:val="0"/>
    <w:rPr>
      <w:rFonts w:ascii="宋体" w:hAnsi="宋体" w:eastAsia="宋体"/>
      <w:b/>
      <w:bCs/>
      <w:kern w:val="2"/>
      <w:sz w:val="28"/>
      <w:szCs w:val="18"/>
    </w:rPr>
  </w:style>
  <w:style w:type="character" w:customStyle="1" w:styleId="26">
    <w:name w:val="标题 4 Char1"/>
    <w:link w:val="6"/>
    <w:qFormat/>
    <w:uiPriority w:val="0"/>
    <w:rPr>
      <w:rFonts w:ascii="Arial" w:hAnsi="Arial" w:eastAsia="宋体" w:cs="Times New Roman"/>
      <w:b/>
      <w:kern w:val="2"/>
      <w:sz w:val="24"/>
    </w:rPr>
  </w:style>
  <w:style w:type="character" w:customStyle="1" w:styleId="27">
    <w:name w:val="标题 3 Char"/>
    <w:link w:val="5"/>
    <w:qFormat/>
    <w:uiPriority w:val="0"/>
    <w:rPr>
      <w:rFonts w:ascii="Times New Roman" w:hAnsi="Times New Roman" w:eastAsia="宋体" w:cs="Times New Roman"/>
      <w:b/>
      <w:sz w:val="28"/>
      <w:szCs w:val="32"/>
    </w:rPr>
  </w:style>
  <w:style w:type="character" w:customStyle="1" w:styleId="28">
    <w:name w:val="标题 1 Char"/>
    <w:basedOn w:val="24"/>
    <w:link w:val="3"/>
    <w:autoRedefine/>
    <w:qFormat/>
    <w:uiPriority w:val="0"/>
    <w:rPr>
      <w:rFonts w:ascii="宋体" w:hAnsi="宋体" w:eastAsia="宋体" w:cstheme="minorBidi"/>
      <w:b/>
      <w:color w:val="000000" w:themeColor="text1"/>
      <w:sz w:val="30"/>
      <w:szCs w:val="40"/>
      <w14:textFill>
        <w14:solidFill>
          <w14:schemeClr w14:val="tx1"/>
        </w14:solidFill>
      </w14:textFill>
    </w:rPr>
  </w:style>
  <w:style w:type="character" w:customStyle="1" w:styleId="29">
    <w:name w:val="标题 5 Char"/>
    <w:link w:val="7"/>
    <w:qFormat/>
    <w:uiPriority w:val="9"/>
    <w:rPr>
      <w:rFonts w:ascii="Times New Roman" w:hAnsi="Times New Roman" w:eastAsia="宋体" w:cs="Times New Roman"/>
      <w:b/>
      <w:sz w:val="28"/>
    </w:rPr>
  </w:style>
  <w:style w:type="character" w:customStyle="1" w:styleId="30">
    <w:name w:val="正文缩进 Char"/>
    <w:link w:val="2"/>
    <w:qFormat/>
    <w:uiPriority w:val="0"/>
    <w:rPr>
      <w:rFonts w:ascii="楷体_GB2312" w:hAnsi="楷体_GB2312" w:eastAsia="宋体"/>
      <w:sz w:val="24"/>
    </w:rPr>
  </w:style>
  <w:style w:type="character" w:customStyle="1" w:styleId="31">
    <w:name w:val="标题 6 Char"/>
    <w:link w:val="8"/>
    <w:autoRedefine/>
    <w:qFormat/>
    <w:uiPriority w:val="0"/>
    <w:rPr>
      <w:rFonts w:ascii="Arial" w:hAnsi="Arial" w:eastAsia="宋体" w:cs="Arial"/>
      <w:b/>
      <w:color w:val="000000"/>
      <w:kern w:val="0"/>
      <w:sz w:val="24"/>
      <w:szCs w:val="24"/>
      <w:lang w:val="zh-CN" w:eastAsia="zh-CN" w:bidi="ar-SA"/>
    </w:rPr>
  </w:style>
  <w:style w:type="character" w:customStyle="1" w:styleId="32">
    <w:name w:val="页脚 Char"/>
    <w:basedOn w:val="24"/>
    <w:link w:val="18"/>
    <w:semiHidden/>
    <w:qFormat/>
    <w:uiPriority w:val="99"/>
    <w:rPr>
      <w:rFonts w:eastAsia="宋体"/>
      <w:sz w:val="24"/>
      <w:szCs w:val="18"/>
    </w:rPr>
  </w:style>
  <w:style w:type="character" w:customStyle="1" w:styleId="33">
    <w:name w:val="正文文本 Char"/>
    <w:basedOn w:val="24"/>
    <w:link w:val="13"/>
    <w:qFormat/>
    <w:uiPriority w:val="0"/>
    <w:rPr>
      <w:rFonts w:ascii="宋体" w:hAnsi="宋体" w:eastAsia="宋体" w:cs="Times New Roman"/>
      <w:sz w:val="24"/>
      <w:szCs w:val="24"/>
    </w:rPr>
  </w:style>
  <w:style w:type="character" w:customStyle="1" w:styleId="34">
    <w:name w:val="正文首行缩进 字符"/>
    <w:basedOn w:val="35"/>
    <w:link w:val="21"/>
    <w:qFormat/>
    <w:uiPriority w:val="0"/>
    <w:rPr>
      <w:rFonts w:ascii="宋体" w:hAnsi="宋体" w:eastAsia="宋体" w:cs="宋体"/>
      <w:color w:val="000000" w:themeColor="text1"/>
      <w:kern w:val="0"/>
      <w:sz w:val="24"/>
      <w:szCs w:val="32"/>
      <w14:shadow w14:blurRad="38100" w14:dist="19050" w14:dir="2700000" w14:sx="100000" w14:sy="100000" w14:kx="0" w14:ky="0" w14:algn="tl">
        <w14:schemeClr w14:val="dk1">
          <w14:alpha w14:val="60000"/>
        </w14:schemeClr>
      </w14:shadow>
      <w14:textFill>
        <w14:solidFill>
          <w14:schemeClr w14:val="tx1"/>
        </w14:solidFill>
      </w14:textFill>
    </w:rPr>
  </w:style>
  <w:style w:type="character" w:customStyle="1" w:styleId="35">
    <w:name w:val="正文文本 字符"/>
    <w:basedOn w:val="24"/>
    <w:link w:val="13"/>
    <w:semiHidden/>
    <w:qFormat/>
    <w:uiPriority w:val="99"/>
    <w:rPr>
      <w:rFonts w:ascii="宋体" w:hAnsi="宋体" w:eastAsia="宋体" w:cs="宋体"/>
      <w:sz w:val="24"/>
      <w:szCs w:val="24"/>
    </w:rPr>
  </w:style>
  <w:style w:type="character" w:customStyle="1" w:styleId="36">
    <w:name w:val="正文文本 字符1"/>
    <w:basedOn w:val="24"/>
    <w:link w:val="13"/>
    <w:semiHidden/>
    <w:qFormat/>
    <w:uiPriority w:val="99"/>
    <w:rPr>
      <w:rFonts w:ascii="宋体" w:hAnsi="宋体" w:eastAsia="宋体" w:cstheme="minorBidi"/>
      <w:sz w:val="24"/>
      <w:szCs w:val="24"/>
    </w:rPr>
  </w:style>
  <w:style w:type="character" w:customStyle="1" w:styleId="37">
    <w:name w:val="纯文本 Char"/>
    <w:link w:val="16"/>
    <w:qFormat/>
    <w:uiPriority w:val="0"/>
    <w:rPr>
      <w:rFonts w:ascii="宋体" w:hAnsi="宋体" w:eastAsia="宋体" w:cs="宋体"/>
      <w:b/>
      <w:bCs/>
      <w:kern w:val="2"/>
      <w:sz w:val="24"/>
      <w:szCs w:val="24"/>
      <w:highlight w:val="none"/>
      <w:lang w:val="en-US" w:eastAsia="zh-CN" w:bidi="ar-SA"/>
    </w:rPr>
  </w:style>
  <w:style w:type="character" w:customStyle="1" w:styleId="38">
    <w:name w:val="NormalCharacter"/>
    <w:link w:val="1"/>
    <w:semiHidden/>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2021-08-03T09:54:00Z</dcterms:created>
  <dc:creator>Administrator</dc:creator>
  <cp:lastModifiedBy>中经招标</cp:lastModifiedBy>
  <dcterms:modified xsi:type="dcterms:W3CDTF">2025-09-24T09:15:08Z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88B583E752434448A24BA0A70744A295</vt:lpwstr>
  </property>
  <property fmtid="{D5CDD505-2E9C-101B-9397-08002B2CF9AE}" pid="4" name="KSOTemplateDocerSaveRecord">
    <vt:lpwstr>eyJoZGlkIjoiOWJlNDY3NTNiN2U3N2MxMDhiMGU5MzkyYmQzNThmMzYifQ==</vt:lpwstr>
  </property>
</Properties>
</file>