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07945">
      <w:pPr>
        <w:outlineLvl w:val="9"/>
        <w:rPr>
          <w:rFonts w:hint="eastAsia" w:hAnsi="宋体" w:eastAsia="宋体" w:cs="宋体"/>
          <w:b/>
          <w:bCs/>
          <w:kern w:val="2"/>
          <w:sz w:val="32"/>
          <w:szCs w:val="32"/>
          <w:highlight w:val="none"/>
          <w:lang w:eastAsia="zh-CN"/>
        </w:rPr>
      </w:pPr>
      <w:bookmarkStart w:id="0" w:name="_Toc27249"/>
      <w:r>
        <w:rPr>
          <w:rFonts w:hint="eastAsia" w:hAnsi="宋体" w:cs="宋体"/>
          <w:b/>
          <w:bCs/>
          <w:kern w:val="2"/>
          <w:sz w:val="32"/>
          <w:szCs w:val="32"/>
          <w:highlight w:val="none"/>
        </w:rPr>
        <w:t>项目编号:</w:t>
      </w:r>
      <w:bookmarkEnd w:id="0"/>
      <w:r>
        <w:rPr>
          <w:rFonts w:hint="eastAsia" w:hAnsi="宋体" w:cs="宋体"/>
          <w:b/>
          <w:bCs/>
          <w:kern w:val="2"/>
          <w:sz w:val="32"/>
          <w:szCs w:val="32"/>
          <w:highlight w:val="none"/>
          <w:lang w:eastAsia="zh-CN"/>
        </w:rPr>
        <w:t>SXZCZB2025-ZCGK-0821</w:t>
      </w:r>
    </w:p>
    <w:p w14:paraId="7FDD7BFD">
      <w:pPr>
        <w:jc w:val="center"/>
        <w:rPr>
          <w:rFonts w:hAnsi="宋体" w:cs="宋体"/>
          <w:b/>
          <w:sz w:val="52"/>
          <w:szCs w:val="52"/>
        </w:rPr>
      </w:pPr>
    </w:p>
    <w:p w14:paraId="54D58653">
      <w:pPr>
        <w:pStyle w:val="9"/>
        <w:bidi w:val="0"/>
      </w:pPr>
    </w:p>
    <w:p w14:paraId="5E974C79"/>
    <w:p w14:paraId="475D8F93">
      <w:pPr>
        <w:pStyle w:val="11"/>
        <w:jc w:val="center"/>
        <w:rPr>
          <w:rFonts w:hAnsi="宋体" w:cs="宋体"/>
          <w:b/>
          <w:sz w:val="40"/>
          <w:szCs w:val="40"/>
        </w:rPr>
      </w:pPr>
    </w:p>
    <w:p w14:paraId="66332008">
      <w:pPr>
        <w:spacing w:line="780" w:lineRule="auto"/>
        <w:jc w:val="center"/>
        <w:outlineLvl w:val="9"/>
        <w:rPr>
          <w:rFonts w:hint="eastAsia" w:ascii="Helvetica" w:hAnsi="Helvetica" w:eastAsia="宋体" w:cs="Helvetica"/>
          <w:b/>
          <w:bCs/>
          <w:i w:val="0"/>
          <w:iCs w:val="0"/>
          <w:caps w:val="0"/>
          <w:color w:val="auto"/>
          <w:spacing w:val="0"/>
          <w:sz w:val="36"/>
          <w:szCs w:val="36"/>
          <w:shd w:val="clear" w:fill="FFFFFF"/>
          <w:vertAlign w:val="baseline"/>
          <w:lang w:eastAsia="zh-CN"/>
        </w:rPr>
      </w:pPr>
      <w:r>
        <w:rPr>
          <w:rFonts w:hint="eastAsia" w:ascii="Helvetica" w:hAnsi="Helvetica" w:cs="Helvetica"/>
          <w:b/>
          <w:bCs/>
          <w:i w:val="0"/>
          <w:iCs w:val="0"/>
          <w:caps w:val="0"/>
          <w:color w:val="auto"/>
          <w:spacing w:val="0"/>
          <w:sz w:val="36"/>
          <w:szCs w:val="36"/>
          <w:shd w:val="clear" w:fill="FFFFFF"/>
          <w:vertAlign w:val="baseline"/>
          <w:lang w:eastAsia="zh-CN"/>
        </w:rPr>
        <w:t>关于洛川县公立医院改革与高质量发展示范项目紧密型医共体制度建设、人才培训项目</w:t>
      </w:r>
    </w:p>
    <w:p w14:paraId="638CBB5C">
      <w:pPr>
        <w:spacing w:line="780" w:lineRule="auto"/>
        <w:jc w:val="center"/>
        <w:rPr>
          <w:rFonts w:hint="eastAsia" w:ascii="Helvetica" w:hAnsi="Helvetica" w:eastAsia="宋体" w:cs="Helvetica"/>
          <w:b/>
          <w:bCs/>
          <w:i w:val="0"/>
          <w:iCs w:val="0"/>
          <w:caps w:val="0"/>
          <w:color w:val="auto"/>
          <w:spacing w:val="0"/>
          <w:sz w:val="48"/>
          <w:szCs w:val="48"/>
          <w:shd w:val="clear" w:fill="FFFFFF"/>
          <w:vertAlign w:val="baseline"/>
          <w:lang w:eastAsia="zh-CN"/>
        </w:rPr>
      </w:pPr>
    </w:p>
    <w:p w14:paraId="40639D8D">
      <w:pPr>
        <w:pStyle w:val="13"/>
        <w:rPr>
          <w:rFonts w:ascii="宋体" w:hAnsi="宋体" w:cs="宋体"/>
        </w:rPr>
      </w:pPr>
    </w:p>
    <w:p w14:paraId="6F48AB80">
      <w:pPr>
        <w:spacing w:line="780" w:lineRule="auto"/>
        <w:jc w:val="center"/>
        <w:rPr>
          <w:rFonts w:hint="eastAsia" w:hAnsi="宋体" w:eastAsia="宋体" w:cs="宋体"/>
          <w:b/>
          <w:sz w:val="72"/>
          <w:szCs w:val="72"/>
          <w:lang w:val="en-US" w:eastAsia="zh-CN"/>
        </w:rPr>
      </w:pPr>
      <w:r>
        <w:rPr>
          <w:rFonts w:hint="eastAsia" w:hAnsi="宋体" w:cs="宋体"/>
          <w:b/>
          <w:sz w:val="72"/>
          <w:szCs w:val="72"/>
        </w:rPr>
        <w:t>招 标 文 件</w:t>
      </w:r>
      <w:r>
        <w:rPr>
          <w:rFonts w:hint="eastAsia" w:hAnsi="宋体" w:cs="宋体"/>
          <w:b/>
          <w:sz w:val="72"/>
          <w:szCs w:val="72"/>
          <w:lang w:val="en-US" w:eastAsia="zh-CN"/>
        </w:rPr>
        <w:t xml:space="preserve"> </w:t>
      </w:r>
    </w:p>
    <w:p w14:paraId="5DF2E044">
      <w:pPr>
        <w:rPr>
          <w:rFonts w:hAnsi="宋体" w:cs="宋体"/>
        </w:rPr>
      </w:pPr>
      <w:bookmarkStart w:id="1" w:name="_Toc363463325"/>
    </w:p>
    <w:p w14:paraId="23361F0E">
      <w:pPr>
        <w:rPr>
          <w:rFonts w:hAnsi="宋体" w:cs="宋体"/>
        </w:rPr>
      </w:pPr>
    </w:p>
    <w:bookmarkEnd w:id="1"/>
    <w:p w14:paraId="515FAFE4">
      <w:pPr>
        <w:rPr>
          <w:rFonts w:hAnsi="宋体" w:cs="宋体"/>
          <w:sz w:val="18"/>
          <w:szCs w:val="18"/>
        </w:rPr>
      </w:pPr>
    </w:p>
    <w:p w14:paraId="70C62D68">
      <w:pPr>
        <w:rPr>
          <w:rFonts w:hAnsi="宋体" w:cs="宋体"/>
          <w:sz w:val="18"/>
          <w:szCs w:val="18"/>
        </w:rPr>
      </w:pPr>
    </w:p>
    <w:p w14:paraId="265D87A2">
      <w:pPr>
        <w:rPr>
          <w:rFonts w:hAnsi="宋体" w:cs="宋体"/>
          <w:sz w:val="18"/>
          <w:szCs w:val="18"/>
        </w:rPr>
      </w:pPr>
    </w:p>
    <w:p w14:paraId="1BEA2738">
      <w:pPr>
        <w:rPr>
          <w:rFonts w:hAnsi="宋体" w:cs="宋体"/>
          <w:sz w:val="18"/>
          <w:szCs w:val="18"/>
        </w:rPr>
      </w:pPr>
    </w:p>
    <w:p w14:paraId="39A45BAB">
      <w:pPr>
        <w:rPr>
          <w:rFonts w:hAnsi="宋体" w:cs="宋体"/>
          <w:sz w:val="18"/>
          <w:szCs w:val="18"/>
        </w:rPr>
      </w:pPr>
    </w:p>
    <w:p w14:paraId="360E6599">
      <w:pPr>
        <w:pStyle w:val="22"/>
      </w:pPr>
    </w:p>
    <w:p w14:paraId="5322F4B6">
      <w:pPr>
        <w:pStyle w:val="7"/>
        <w:ind w:firstLine="360"/>
        <w:rPr>
          <w:rFonts w:ascii="宋体" w:hAnsi="宋体" w:eastAsia="宋体" w:cs="宋体"/>
          <w:sz w:val="18"/>
          <w:szCs w:val="18"/>
        </w:rPr>
      </w:pPr>
    </w:p>
    <w:p w14:paraId="04752042">
      <w:pPr>
        <w:pStyle w:val="7"/>
        <w:ind w:firstLine="360"/>
        <w:rPr>
          <w:rFonts w:ascii="宋体" w:hAnsi="宋体" w:eastAsia="宋体" w:cs="宋体"/>
          <w:sz w:val="18"/>
          <w:szCs w:val="18"/>
        </w:rPr>
      </w:pPr>
    </w:p>
    <w:p w14:paraId="0134158E">
      <w:pPr>
        <w:pStyle w:val="7"/>
        <w:ind w:firstLine="360"/>
        <w:rPr>
          <w:rFonts w:ascii="宋体" w:hAnsi="宋体" w:eastAsia="宋体" w:cs="宋体"/>
          <w:sz w:val="18"/>
          <w:szCs w:val="18"/>
        </w:rPr>
      </w:pPr>
    </w:p>
    <w:p w14:paraId="1FDE7846">
      <w:pPr>
        <w:spacing w:line="360" w:lineRule="auto"/>
        <w:jc w:val="center"/>
        <w:outlineLvl w:val="9"/>
        <w:rPr>
          <w:rFonts w:hint="eastAsia" w:hAnsi="宋体" w:eastAsia="宋体" w:cs="宋体"/>
          <w:b/>
          <w:sz w:val="24"/>
          <w:szCs w:val="24"/>
          <w:lang w:eastAsia="zh-CN"/>
        </w:rPr>
      </w:pPr>
      <w:bookmarkStart w:id="2" w:name="_Toc11298"/>
      <w:r>
        <w:rPr>
          <w:rFonts w:hint="eastAsia" w:hAnsi="宋体" w:cs="宋体"/>
          <w:b/>
          <w:sz w:val="24"/>
          <w:szCs w:val="24"/>
        </w:rPr>
        <w:t>招标人：</w:t>
      </w:r>
      <w:bookmarkEnd w:id="2"/>
      <w:r>
        <w:rPr>
          <w:rFonts w:hint="eastAsia" w:hAnsi="宋体" w:cs="宋体"/>
          <w:b/>
          <w:sz w:val="24"/>
          <w:szCs w:val="24"/>
          <w:lang w:eastAsia="zh-CN"/>
        </w:rPr>
        <w:t>洛川县卫生健康局</w:t>
      </w:r>
    </w:p>
    <w:p w14:paraId="57AE9408">
      <w:pPr>
        <w:spacing w:line="360" w:lineRule="auto"/>
        <w:jc w:val="center"/>
        <w:outlineLvl w:val="9"/>
        <w:rPr>
          <w:rFonts w:hint="eastAsia" w:hAnsi="宋体" w:eastAsia="宋体" w:cs="宋体"/>
          <w:b/>
          <w:sz w:val="24"/>
          <w:szCs w:val="24"/>
          <w:lang w:eastAsia="zh-CN"/>
        </w:rPr>
      </w:pPr>
      <w:bookmarkStart w:id="3" w:name="_Toc27270"/>
      <w:r>
        <w:rPr>
          <w:rFonts w:hint="eastAsia" w:hAnsi="宋体" w:cs="宋体"/>
          <w:b/>
          <w:sz w:val="24"/>
          <w:szCs w:val="24"/>
        </w:rPr>
        <w:t>招标代理机构：</w:t>
      </w:r>
      <w:r>
        <w:rPr>
          <w:rFonts w:hint="eastAsia" w:hAnsi="宋体" w:cs="宋体"/>
          <w:b/>
          <w:sz w:val="24"/>
          <w:szCs w:val="24"/>
          <w:lang w:eastAsia="zh-CN"/>
        </w:rPr>
        <w:t>陕西至诚项目管理集团有限公司</w:t>
      </w:r>
      <w:bookmarkEnd w:id="3"/>
    </w:p>
    <w:p w14:paraId="6D0E991D">
      <w:pPr>
        <w:tabs>
          <w:tab w:val="left" w:pos="525"/>
        </w:tabs>
        <w:spacing w:line="360" w:lineRule="auto"/>
        <w:ind w:left="-2" w:leftChars="-1" w:firstLine="1"/>
        <w:jc w:val="center"/>
        <w:rPr>
          <w:rFonts w:hint="eastAsia" w:hAnsi="宋体" w:eastAsia="宋体" w:cs="宋体"/>
          <w:b/>
          <w:sz w:val="36"/>
          <w:szCs w:val="36"/>
          <w:lang w:val="en-US" w:eastAsia="zh-CN"/>
        </w:rPr>
        <w:sectPr>
          <w:headerReference r:id="rId4" w:type="first"/>
          <w:footerReference r:id="rId6" w:type="first"/>
          <w:headerReference r:id="rId3" w:type="default"/>
          <w:footerReference r:id="rId5" w:type="default"/>
          <w:pgSz w:w="11906" w:h="16838"/>
          <w:pgMar w:top="1440" w:right="1800" w:bottom="1440" w:left="1800" w:header="1134" w:footer="992" w:gutter="0"/>
          <w:pgNumType w:start="1"/>
          <w:cols w:space="720" w:num="1"/>
          <w:titlePg/>
          <w:docGrid w:type="lines" w:linePitch="333" w:charSpace="0"/>
        </w:sectPr>
      </w:pPr>
      <w:r>
        <w:rPr>
          <w:rFonts w:hint="eastAsia" w:hAnsi="宋体" w:cs="宋体"/>
          <w:b/>
          <w:sz w:val="24"/>
          <w:szCs w:val="24"/>
        </w:rPr>
        <w:t>二〇二</w:t>
      </w:r>
      <w:r>
        <w:rPr>
          <w:rFonts w:hint="eastAsia" w:hAnsi="宋体" w:cs="宋体"/>
          <w:b/>
          <w:sz w:val="24"/>
          <w:szCs w:val="24"/>
          <w:lang w:val="en-US" w:eastAsia="zh-CN"/>
        </w:rPr>
        <w:t>五</w:t>
      </w:r>
      <w:r>
        <w:rPr>
          <w:rFonts w:hint="eastAsia" w:hAnsi="宋体" w:cs="宋体"/>
          <w:b/>
          <w:sz w:val="24"/>
          <w:szCs w:val="24"/>
        </w:rPr>
        <w:t>年</w:t>
      </w:r>
      <w:r>
        <w:rPr>
          <w:rFonts w:hint="eastAsia" w:hAnsi="宋体" w:cs="宋体"/>
          <w:b/>
          <w:sz w:val="24"/>
          <w:szCs w:val="24"/>
          <w:lang w:val="en-US" w:eastAsia="zh-CN"/>
        </w:rPr>
        <w:t>八月</w:t>
      </w:r>
    </w:p>
    <w:p w14:paraId="2573F8BB">
      <w:pPr>
        <w:spacing w:line="360" w:lineRule="auto"/>
        <w:jc w:val="center"/>
        <w:rPr>
          <w:rFonts w:hint="default"/>
          <w:sz w:val="28"/>
          <w:szCs w:val="28"/>
          <w:lang w:val="en-US"/>
        </w:rPr>
      </w:pPr>
      <w:sdt>
        <w:sdtPr>
          <w:rPr>
            <w:rFonts w:ascii="宋体" w:hAnsi="宋体" w:eastAsia="宋体" w:cs="Times New Roman"/>
            <w:sz w:val="21"/>
            <w:lang w:val="en-US" w:eastAsia="zh-CN" w:bidi="ar-SA"/>
          </w:rPr>
          <w:id w:val="147457177"/>
          <w:showingPlcHdr/>
          <w15:color w:val="DBDBDB"/>
          <w:docPartObj>
            <w:docPartGallery w:val="Table of Contents"/>
            <w:docPartUnique/>
          </w:docPartObj>
        </w:sdtPr>
        <w:sdtEndPr>
          <w:rPr>
            <w:rFonts w:ascii="宋体" w:hAnsi="宋体" w:eastAsia="宋体" w:cs="Times New Roman"/>
            <w:sz w:val="28"/>
            <w:szCs w:val="28"/>
            <w:lang w:val="en-US" w:eastAsia="zh-CN" w:bidi="ar-SA"/>
          </w:rPr>
        </w:sdtEndPr>
        <w:sdtContent>
          <w:r>
            <w:rPr>
              <w:rFonts w:hint="eastAsia" w:hAnsi="宋体" w:cs="Times New Roman"/>
              <w:sz w:val="28"/>
              <w:szCs w:val="28"/>
              <w:lang w:val="en-US" w:eastAsia="zh-CN" w:bidi="ar-SA"/>
            </w:rPr>
            <w:t xml:space="preserve">     </w:t>
          </w:r>
        </w:sdtContent>
      </w:sdt>
      <w:r>
        <w:rPr>
          <w:rFonts w:hint="eastAsia" w:hAnsi="宋体" w:cs="Times New Roman"/>
          <w:sz w:val="28"/>
          <w:szCs w:val="28"/>
          <w:lang w:val="en-US" w:eastAsia="zh-CN" w:bidi="ar-SA"/>
        </w:rPr>
        <w:t>目录</w:t>
      </w:r>
    </w:p>
    <w:p w14:paraId="506C2C0C">
      <w:pPr>
        <w:pStyle w:val="15"/>
        <w:tabs>
          <w:tab w:val="right" w:leader="dot" w:pos="8306"/>
          <w:tab w:val="clear" w:pos="1418"/>
          <w:tab w:val="clear" w:pos="8302"/>
        </w:tabs>
        <w:rPr>
          <w:sz w:val="28"/>
          <w:szCs w:val="21"/>
        </w:rPr>
      </w:pPr>
      <w:r>
        <w:rPr>
          <w:rFonts w:hint="eastAsia"/>
          <w:lang w:val="en-US" w:eastAsia="zh-CN"/>
        </w:rPr>
        <w:fldChar w:fldCharType="begin"/>
      </w:r>
      <w:r>
        <w:rPr>
          <w:rFonts w:hint="eastAsia"/>
          <w:lang w:val="en-US" w:eastAsia="zh-CN"/>
        </w:rPr>
        <w:instrText xml:space="preserve">TOC \o "1-1" \h \u </w:instrText>
      </w:r>
      <w:r>
        <w:rPr>
          <w:rFonts w:hint="eastAsia"/>
          <w:lang w:val="en-US" w:eastAsia="zh-CN"/>
        </w:rPr>
        <w:fldChar w:fldCharType="separate"/>
      </w:r>
      <w:r>
        <w:rPr>
          <w:rFonts w:hint="eastAsia"/>
          <w:sz w:val="28"/>
          <w:szCs w:val="21"/>
          <w:lang w:val="en-US" w:eastAsia="zh-CN"/>
        </w:rPr>
        <w:fldChar w:fldCharType="begin"/>
      </w:r>
      <w:r>
        <w:rPr>
          <w:rFonts w:hint="eastAsia"/>
          <w:sz w:val="28"/>
          <w:szCs w:val="21"/>
          <w:lang w:val="en-US" w:eastAsia="zh-CN"/>
        </w:rPr>
        <w:instrText xml:space="preserve"> HYPERLINK \l _Toc20637 </w:instrText>
      </w:r>
      <w:r>
        <w:rPr>
          <w:rFonts w:hint="eastAsia"/>
          <w:sz w:val="28"/>
          <w:szCs w:val="21"/>
          <w:lang w:val="en-US" w:eastAsia="zh-CN"/>
        </w:rPr>
        <w:fldChar w:fldCharType="separate"/>
      </w:r>
      <w:r>
        <w:rPr>
          <w:rFonts w:hint="eastAsia" w:ascii="宋体" w:hAnsi="宋体" w:eastAsia="宋体" w:cs="宋体"/>
          <w:sz w:val="28"/>
          <w:szCs w:val="22"/>
          <w:lang w:val="en-US" w:eastAsia="zh-CN"/>
        </w:rPr>
        <w:t>第一章 招标公告</w:t>
      </w:r>
      <w:r>
        <w:rPr>
          <w:sz w:val="28"/>
          <w:szCs w:val="21"/>
        </w:rPr>
        <w:tab/>
      </w:r>
      <w:r>
        <w:rPr>
          <w:sz w:val="28"/>
          <w:szCs w:val="21"/>
        </w:rPr>
        <w:fldChar w:fldCharType="begin"/>
      </w:r>
      <w:r>
        <w:rPr>
          <w:sz w:val="28"/>
          <w:szCs w:val="21"/>
        </w:rPr>
        <w:instrText xml:space="preserve"> PAGEREF _Toc20637 \h </w:instrText>
      </w:r>
      <w:r>
        <w:rPr>
          <w:sz w:val="28"/>
          <w:szCs w:val="21"/>
        </w:rPr>
        <w:fldChar w:fldCharType="separate"/>
      </w:r>
      <w:r>
        <w:rPr>
          <w:sz w:val="28"/>
          <w:szCs w:val="21"/>
        </w:rPr>
        <w:t>1</w:t>
      </w:r>
      <w:r>
        <w:rPr>
          <w:sz w:val="28"/>
          <w:szCs w:val="21"/>
        </w:rPr>
        <w:fldChar w:fldCharType="end"/>
      </w:r>
      <w:r>
        <w:rPr>
          <w:rFonts w:hint="eastAsia"/>
          <w:sz w:val="28"/>
          <w:szCs w:val="21"/>
          <w:lang w:val="en-US" w:eastAsia="zh-CN"/>
        </w:rPr>
        <w:fldChar w:fldCharType="end"/>
      </w:r>
    </w:p>
    <w:p w14:paraId="53921C6B">
      <w:pPr>
        <w:pStyle w:val="15"/>
        <w:tabs>
          <w:tab w:val="right" w:leader="dot" w:pos="8306"/>
          <w:tab w:val="clear" w:pos="1418"/>
          <w:tab w:val="clear" w:pos="8302"/>
        </w:tabs>
        <w:rPr>
          <w:sz w:val="28"/>
          <w:szCs w:val="21"/>
        </w:rPr>
      </w:pPr>
      <w:r>
        <w:rPr>
          <w:rFonts w:hint="eastAsia"/>
          <w:sz w:val="28"/>
          <w:szCs w:val="21"/>
          <w:lang w:val="en-US" w:eastAsia="zh-CN"/>
        </w:rPr>
        <w:fldChar w:fldCharType="begin"/>
      </w:r>
      <w:r>
        <w:rPr>
          <w:rFonts w:hint="eastAsia"/>
          <w:sz w:val="28"/>
          <w:szCs w:val="21"/>
          <w:lang w:val="en-US" w:eastAsia="zh-CN"/>
        </w:rPr>
        <w:instrText xml:space="preserve"> HYPERLINK \l _Toc5294 </w:instrText>
      </w:r>
      <w:r>
        <w:rPr>
          <w:rFonts w:hint="eastAsia"/>
          <w:sz w:val="28"/>
          <w:szCs w:val="21"/>
          <w:lang w:val="en-US" w:eastAsia="zh-CN"/>
        </w:rPr>
        <w:fldChar w:fldCharType="separate"/>
      </w:r>
      <w:r>
        <w:rPr>
          <w:rFonts w:hint="eastAsia" w:ascii="宋体" w:eastAsia="宋体" w:cs="宋体"/>
          <w:sz w:val="28"/>
          <w:szCs w:val="28"/>
        </w:rPr>
        <w:t>第二章  投标人须知</w:t>
      </w:r>
      <w:r>
        <w:rPr>
          <w:sz w:val="28"/>
          <w:szCs w:val="21"/>
        </w:rPr>
        <w:tab/>
      </w:r>
      <w:r>
        <w:rPr>
          <w:sz w:val="28"/>
          <w:szCs w:val="21"/>
        </w:rPr>
        <w:fldChar w:fldCharType="begin"/>
      </w:r>
      <w:r>
        <w:rPr>
          <w:sz w:val="28"/>
          <w:szCs w:val="21"/>
        </w:rPr>
        <w:instrText xml:space="preserve"> PAGEREF _Toc5294 \h </w:instrText>
      </w:r>
      <w:r>
        <w:rPr>
          <w:sz w:val="28"/>
          <w:szCs w:val="21"/>
        </w:rPr>
        <w:fldChar w:fldCharType="separate"/>
      </w:r>
      <w:r>
        <w:rPr>
          <w:sz w:val="28"/>
          <w:szCs w:val="21"/>
        </w:rPr>
        <w:t>6</w:t>
      </w:r>
      <w:r>
        <w:rPr>
          <w:sz w:val="28"/>
          <w:szCs w:val="21"/>
        </w:rPr>
        <w:fldChar w:fldCharType="end"/>
      </w:r>
      <w:r>
        <w:rPr>
          <w:rFonts w:hint="eastAsia"/>
          <w:sz w:val="28"/>
          <w:szCs w:val="21"/>
          <w:lang w:val="en-US" w:eastAsia="zh-CN"/>
        </w:rPr>
        <w:fldChar w:fldCharType="end"/>
      </w:r>
    </w:p>
    <w:p w14:paraId="34C57918">
      <w:pPr>
        <w:pStyle w:val="15"/>
        <w:tabs>
          <w:tab w:val="right" w:leader="dot" w:pos="8306"/>
          <w:tab w:val="clear" w:pos="1418"/>
          <w:tab w:val="clear" w:pos="8302"/>
        </w:tabs>
        <w:rPr>
          <w:sz w:val="28"/>
          <w:szCs w:val="21"/>
        </w:rPr>
      </w:pPr>
      <w:r>
        <w:rPr>
          <w:rFonts w:hint="eastAsia"/>
          <w:sz w:val="28"/>
          <w:szCs w:val="21"/>
          <w:lang w:val="en-US" w:eastAsia="zh-CN"/>
        </w:rPr>
        <w:fldChar w:fldCharType="begin"/>
      </w:r>
      <w:r>
        <w:rPr>
          <w:rFonts w:hint="eastAsia"/>
          <w:sz w:val="28"/>
          <w:szCs w:val="21"/>
          <w:lang w:val="en-US" w:eastAsia="zh-CN"/>
        </w:rPr>
        <w:instrText xml:space="preserve"> HYPERLINK \l _Toc21181 </w:instrText>
      </w:r>
      <w:r>
        <w:rPr>
          <w:rFonts w:hint="eastAsia"/>
          <w:sz w:val="28"/>
          <w:szCs w:val="21"/>
          <w:lang w:val="en-US" w:eastAsia="zh-CN"/>
        </w:rPr>
        <w:fldChar w:fldCharType="separate"/>
      </w:r>
      <w:r>
        <w:rPr>
          <w:rFonts w:hint="eastAsia" w:ascii="宋体" w:eastAsia="宋体" w:cs="宋体"/>
          <w:sz w:val="28"/>
          <w:szCs w:val="28"/>
        </w:rPr>
        <w:t>第三章 评标办法</w:t>
      </w:r>
      <w:r>
        <w:rPr>
          <w:sz w:val="28"/>
          <w:szCs w:val="21"/>
        </w:rPr>
        <w:tab/>
      </w:r>
      <w:r>
        <w:rPr>
          <w:sz w:val="28"/>
          <w:szCs w:val="21"/>
        </w:rPr>
        <w:fldChar w:fldCharType="begin"/>
      </w:r>
      <w:r>
        <w:rPr>
          <w:sz w:val="28"/>
          <w:szCs w:val="21"/>
        </w:rPr>
        <w:instrText xml:space="preserve"> PAGEREF _Toc21181 \h </w:instrText>
      </w:r>
      <w:r>
        <w:rPr>
          <w:sz w:val="28"/>
          <w:szCs w:val="21"/>
        </w:rPr>
        <w:fldChar w:fldCharType="separate"/>
      </w:r>
      <w:r>
        <w:rPr>
          <w:sz w:val="28"/>
          <w:szCs w:val="21"/>
        </w:rPr>
        <w:t>24</w:t>
      </w:r>
      <w:r>
        <w:rPr>
          <w:sz w:val="28"/>
          <w:szCs w:val="21"/>
        </w:rPr>
        <w:fldChar w:fldCharType="end"/>
      </w:r>
      <w:r>
        <w:rPr>
          <w:rFonts w:hint="eastAsia"/>
          <w:sz w:val="28"/>
          <w:szCs w:val="21"/>
          <w:lang w:val="en-US" w:eastAsia="zh-CN"/>
        </w:rPr>
        <w:fldChar w:fldCharType="end"/>
      </w:r>
    </w:p>
    <w:p w14:paraId="08C2D1E3">
      <w:pPr>
        <w:pStyle w:val="15"/>
        <w:tabs>
          <w:tab w:val="right" w:leader="dot" w:pos="8306"/>
          <w:tab w:val="clear" w:pos="1418"/>
          <w:tab w:val="clear" w:pos="8302"/>
        </w:tabs>
        <w:rPr>
          <w:sz w:val="28"/>
          <w:szCs w:val="21"/>
        </w:rPr>
      </w:pPr>
      <w:r>
        <w:rPr>
          <w:rFonts w:hint="eastAsia"/>
          <w:sz w:val="28"/>
          <w:szCs w:val="21"/>
          <w:lang w:val="en-US" w:eastAsia="zh-CN"/>
        </w:rPr>
        <w:fldChar w:fldCharType="begin"/>
      </w:r>
      <w:r>
        <w:rPr>
          <w:rFonts w:hint="eastAsia"/>
          <w:sz w:val="28"/>
          <w:szCs w:val="21"/>
          <w:lang w:val="en-US" w:eastAsia="zh-CN"/>
        </w:rPr>
        <w:instrText xml:space="preserve"> HYPERLINK \l _Toc3773 </w:instrText>
      </w:r>
      <w:r>
        <w:rPr>
          <w:rFonts w:hint="eastAsia"/>
          <w:sz w:val="28"/>
          <w:szCs w:val="21"/>
          <w:lang w:val="en-US" w:eastAsia="zh-CN"/>
        </w:rPr>
        <w:fldChar w:fldCharType="separate"/>
      </w:r>
      <w:r>
        <w:rPr>
          <w:rFonts w:hint="eastAsia" w:ascii="宋体" w:hAnsi="宋体" w:eastAsia="宋体" w:cs="宋体"/>
          <w:sz w:val="28"/>
          <w:szCs w:val="28"/>
          <w:lang w:eastAsia="zh-CN"/>
        </w:rPr>
        <w:t xml:space="preserve">第四章 </w:t>
      </w:r>
      <w:r>
        <w:rPr>
          <w:rFonts w:hint="eastAsia" w:ascii="宋体" w:hAnsi="宋体" w:eastAsia="宋体" w:cs="宋体"/>
          <w:sz w:val="28"/>
          <w:szCs w:val="28"/>
          <w:highlight w:val="none"/>
        </w:rPr>
        <w:t>合同</w:t>
      </w:r>
      <w:r>
        <w:rPr>
          <w:rFonts w:hint="eastAsia" w:ascii="宋体" w:hAnsi="宋体" w:eastAsia="宋体" w:cs="宋体"/>
          <w:sz w:val="28"/>
          <w:szCs w:val="28"/>
          <w:highlight w:val="none"/>
          <w:lang w:eastAsia="zh-CN"/>
        </w:rPr>
        <w:t>文本及条款</w:t>
      </w:r>
      <w:r>
        <w:rPr>
          <w:sz w:val="28"/>
          <w:szCs w:val="21"/>
        </w:rPr>
        <w:tab/>
      </w:r>
      <w:r>
        <w:rPr>
          <w:sz w:val="28"/>
          <w:szCs w:val="21"/>
        </w:rPr>
        <w:fldChar w:fldCharType="begin"/>
      </w:r>
      <w:r>
        <w:rPr>
          <w:sz w:val="28"/>
          <w:szCs w:val="21"/>
        </w:rPr>
        <w:instrText xml:space="preserve"> PAGEREF _Toc3773 \h </w:instrText>
      </w:r>
      <w:r>
        <w:rPr>
          <w:sz w:val="28"/>
          <w:szCs w:val="21"/>
        </w:rPr>
        <w:fldChar w:fldCharType="separate"/>
      </w:r>
      <w:r>
        <w:rPr>
          <w:sz w:val="28"/>
          <w:szCs w:val="21"/>
        </w:rPr>
        <w:t>37</w:t>
      </w:r>
      <w:r>
        <w:rPr>
          <w:sz w:val="28"/>
          <w:szCs w:val="21"/>
        </w:rPr>
        <w:fldChar w:fldCharType="end"/>
      </w:r>
      <w:r>
        <w:rPr>
          <w:rFonts w:hint="eastAsia"/>
          <w:sz w:val="28"/>
          <w:szCs w:val="21"/>
          <w:lang w:val="en-US" w:eastAsia="zh-CN"/>
        </w:rPr>
        <w:fldChar w:fldCharType="end"/>
      </w:r>
    </w:p>
    <w:p w14:paraId="7EC67B8B">
      <w:pPr>
        <w:pStyle w:val="15"/>
        <w:tabs>
          <w:tab w:val="right" w:leader="dot" w:pos="8306"/>
          <w:tab w:val="clear" w:pos="1418"/>
          <w:tab w:val="clear" w:pos="8302"/>
        </w:tabs>
        <w:rPr>
          <w:sz w:val="28"/>
          <w:szCs w:val="21"/>
        </w:rPr>
      </w:pPr>
      <w:r>
        <w:rPr>
          <w:rFonts w:hint="eastAsia"/>
          <w:sz w:val="28"/>
          <w:szCs w:val="21"/>
          <w:lang w:val="en-US" w:eastAsia="zh-CN"/>
        </w:rPr>
        <w:fldChar w:fldCharType="begin"/>
      </w:r>
      <w:r>
        <w:rPr>
          <w:rFonts w:hint="eastAsia"/>
          <w:sz w:val="28"/>
          <w:szCs w:val="21"/>
          <w:lang w:val="en-US" w:eastAsia="zh-CN"/>
        </w:rPr>
        <w:instrText xml:space="preserve"> HYPERLINK \l _Toc31075 </w:instrText>
      </w:r>
      <w:r>
        <w:rPr>
          <w:rFonts w:hint="eastAsia"/>
          <w:sz w:val="28"/>
          <w:szCs w:val="21"/>
          <w:lang w:val="en-US" w:eastAsia="zh-CN"/>
        </w:rPr>
        <w:fldChar w:fldCharType="separate"/>
      </w:r>
      <w:r>
        <w:rPr>
          <w:rFonts w:hint="eastAsia"/>
          <w:bCs/>
          <w:sz w:val="28"/>
          <w:szCs w:val="21"/>
          <w:lang w:val="en-US" w:eastAsia="zh-CN"/>
        </w:rPr>
        <w:t>第五章 招标内容及技术要求</w:t>
      </w:r>
      <w:r>
        <w:rPr>
          <w:sz w:val="28"/>
          <w:szCs w:val="21"/>
        </w:rPr>
        <w:tab/>
      </w:r>
      <w:r>
        <w:rPr>
          <w:sz w:val="28"/>
          <w:szCs w:val="21"/>
        </w:rPr>
        <w:fldChar w:fldCharType="begin"/>
      </w:r>
      <w:r>
        <w:rPr>
          <w:sz w:val="28"/>
          <w:szCs w:val="21"/>
        </w:rPr>
        <w:instrText xml:space="preserve"> PAGEREF _Toc31075 \h </w:instrText>
      </w:r>
      <w:r>
        <w:rPr>
          <w:sz w:val="28"/>
          <w:szCs w:val="21"/>
        </w:rPr>
        <w:fldChar w:fldCharType="separate"/>
      </w:r>
      <w:r>
        <w:rPr>
          <w:sz w:val="28"/>
          <w:szCs w:val="21"/>
        </w:rPr>
        <w:t>41</w:t>
      </w:r>
      <w:r>
        <w:rPr>
          <w:sz w:val="28"/>
          <w:szCs w:val="21"/>
        </w:rPr>
        <w:fldChar w:fldCharType="end"/>
      </w:r>
      <w:r>
        <w:rPr>
          <w:rFonts w:hint="eastAsia"/>
          <w:sz w:val="28"/>
          <w:szCs w:val="21"/>
          <w:lang w:val="en-US" w:eastAsia="zh-CN"/>
        </w:rPr>
        <w:fldChar w:fldCharType="end"/>
      </w:r>
    </w:p>
    <w:p w14:paraId="290743A1">
      <w:pPr>
        <w:pStyle w:val="15"/>
        <w:tabs>
          <w:tab w:val="right" w:leader="dot" w:pos="8306"/>
          <w:tab w:val="clear" w:pos="1418"/>
          <w:tab w:val="clear" w:pos="8302"/>
        </w:tabs>
      </w:pPr>
      <w:r>
        <w:rPr>
          <w:rFonts w:hint="eastAsia"/>
          <w:sz w:val="28"/>
          <w:szCs w:val="21"/>
          <w:lang w:val="en-US" w:eastAsia="zh-CN"/>
        </w:rPr>
        <w:fldChar w:fldCharType="begin"/>
      </w:r>
      <w:r>
        <w:rPr>
          <w:rFonts w:hint="eastAsia"/>
          <w:sz w:val="28"/>
          <w:szCs w:val="21"/>
          <w:lang w:val="en-US" w:eastAsia="zh-CN"/>
        </w:rPr>
        <w:instrText xml:space="preserve"> HYPERLINK \l _Toc6642 </w:instrText>
      </w:r>
      <w:r>
        <w:rPr>
          <w:rFonts w:hint="eastAsia"/>
          <w:sz w:val="28"/>
          <w:szCs w:val="21"/>
          <w:lang w:val="en-US" w:eastAsia="zh-CN"/>
        </w:rPr>
        <w:fldChar w:fldCharType="separate"/>
      </w:r>
      <w:r>
        <w:rPr>
          <w:rFonts w:hint="eastAsia" w:ascii="宋体" w:eastAsia="宋体" w:cs="宋体"/>
          <w:bCs/>
          <w:sz w:val="28"/>
          <w:szCs w:val="28"/>
          <w:highlight w:val="none"/>
        </w:rPr>
        <w:t>第六章  投标文件构成及格式</w:t>
      </w:r>
      <w:r>
        <w:rPr>
          <w:sz w:val="28"/>
          <w:szCs w:val="21"/>
        </w:rPr>
        <w:tab/>
      </w:r>
      <w:r>
        <w:rPr>
          <w:sz w:val="28"/>
          <w:szCs w:val="21"/>
        </w:rPr>
        <w:fldChar w:fldCharType="begin"/>
      </w:r>
      <w:r>
        <w:rPr>
          <w:sz w:val="28"/>
          <w:szCs w:val="21"/>
        </w:rPr>
        <w:instrText xml:space="preserve"> PAGEREF _Toc6642 \h </w:instrText>
      </w:r>
      <w:r>
        <w:rPr>
          <w:sz w:val="28"/>
          <w:szCs w:val="21"/>
        </w:rPr>
        <w:fldChar w:fldCharType="separate"/>
      </w:r>
      <w:r>
        <w:rPr>
          <w:sz w:val="28"/>
          <w:szCs w:val="21"/>
        </w:rPr>
        <w:t>45</w:t>
      </w:r>
      <w:r>
        <w:rPr>
          <w:sz w:val="28"/>
          <w:szCs w:val="21"/>
        </w:rPr>
        <w:fldChar w:fldCharType="end"/>
      </w:r>
      <w:r>
        <w:rPr>
          <w:rFonts w:hint="eastAsia"/>
          <w:sz w:val="28"/>
          <w:szCs w:val="21"/>
          <w:lang w:val="en-US" w:eastAsia="zh-CN"/>
        </w:rPr>
        <w:fldChar w:fldCharType="end"/>
      </w:r>
    </w:p>
    <w:p w14:paraId="7C2E5DC8">
      <w:pPr>
        <w:rPr>
          <w:rFonts w:hint="eastAsia"/>
          <w:lang w:val="en-US" w:eastAsia="zh-CN"/>
        </w:rPr>
      </w:pPr>
      <w:r>
        <w:rPr>
          <w:rFonts w:hint="eastAsia"/>
          <w:lang w:val="en-US" w:eastAsia="zh-CN"/>
        </w:rPr>
        <w:fldChar w:fldCharType="end"/>
      </w:r>
    </w:p>
    <w:p w14:paraId="08F54562">
      <w:pPr>
        <w:bidi w:val="0"/>
        <w:spacing w:line="360" w:lineRule="auto"/>
        <w:rPr>
          <w:rFonts w:hint="eastAsia"/>
          <w:lang w:val="en-US" w:eastAsia="zh-CN"/>
        </w:rPr>
      </w:pPr>
    </w:p>
    <w:p w14:paraId="19F4AB26">
      <w:pPr>
        <w:bidi w:val="0"/>
        <w:rPr>
          <w:rFonts w:hint="eastAsia"/>
          <w:lang w:val="en-US" w:eastAsia="zh-CN"/>
        </w:rPr>
      </w:pPr>
    </w:p>
    <w:p w14:paraId="0DF1792B">
      <w:pPr>
        <w:bidi w:val="0"/>
        <w:rPr>
          <w:rFonts w:hint="eastAsia"/>
          <w:lang w:val="en-US" w:eastAsia="zh-CN"/>
        </w:rPr>
      </w:pPr>
    </w:p>
    <w:p w14:paraId="01A75271">
      <w:pPr>
        <w:bidi w:val="0"/>
        <w:rPr>
          <w:rFonts w:hint="eastAsia"/>
          <w:lang w:val="en-US" w:eastAsia="zh-CN"/>
        </w:rPr>
      </w:pPr>
    </w:p>
    <w:p w14:paraId="605078D9">
      <w:pPr>
        <w:tabs>
          <w:tab w:val="center" w:pos="4153"/>
        </w:tabs>
        <w:bidi w:val="0"/>
        <w:jc w:val="left"/>
        <w:rPr>
          <w:rFonts w:hint="eastAsia"/>
          <w:lang w:val="en-US" w:eastAsia="zh-CN"/>
        </w:rPr>
        <w:sectPr>
          <w:headerReference r:id="rId8" w:type="first"/>
          <w:footerReference r:id="rId10" w:type="first"/>
          <w:headerReference r:id="rId7" w:type="default"/>
          <w:footerReference r:id="rId9" w:type="default"/>
          <w:pgSz w:w="11906" w:h="16838"/>
          <w:pgMar w:top="1440" w:right="1800" w:bottom="1440" w:left="1800" w:header="1134" w:footer="992" w:gutter="0"/>
          <w:pgNumType w:fmt="decimal" w:start="1"/>
          <w:cols w:space="720" w:num="1"/>
          <w:docGrid w:type="lines" w:linePitch="333" w:charSpace="0"/>
        </w:sectPr>
      </w:pPr>
    </w:p>
    <w:p w14:paraId="03140D20">
      <w:pPr>
        <w:spacing w:before="216" w:line="220" w:lineRule="auto"/>
        <w:ind w:left="3142"/>
        <w:rPr>
          <w:rFonts w:ascii="宋体" w:hAnsi="宋体" w:eastAsia="宋体" w:cs="宋体"/>
          <w:sz w:val="52"/>
          <w:szCs w:val="52"/>
        </w:rPr>
      </w:pPr>
      <w:bookmarkStart w:id="4" w:name="_Toc26849"/>
      <w:bookmarkStart w:id="5" w:name="_Toc31289"/>
      <w:bookmarkStart w:id="6" w:name="_Toc23576"/>
      <w:bookmarkStart w:id="7" w:name="_Toc17725"/>
      <w:bookmarkStart w:id="8" w:name="_Toc28504"/>
      <w:bookmarkStart w:id="9" w:name="_Toc2917"/>
      <w:bookmarkStart w:id="10" w:name="_Toc21029"/>
      <w:r>
        <w:rPr>
          <w:rFonts w:ascii="宋体" w:hAnsi="宋体" w:eastAsia="宋体" w:cs="宋体"/>
          <w:b/>
          <w:bCs/>
          <w:spacing w:val="-9"/>
          <w:sz w:val="52"/>
          <w:szCs w:val="52"/>
        </w:rPr>
        <w:t>注意事项</w:t>
      </w:r>
    </w:p>
    <w:p w14:paraId="0BE0456A">
      <w:pPr>
        <w:spacing w:before="222" w:line="325" w:lineRule="auto"/>
        <w:ind w:left="24" w:right="99" w:firstLine="498"/>
        <w:rPr>
          <w:rFonts w:hint="eastAsia" w:ascii="宋体" w:hAnsi="宋体" w:eastAsia="宋体" w:cs="宋体"/>
          <w:sz w:val="21"/>
          <w:szCs w:val="21"/>
        </w:rPr>
      </w:pPr>
      <w:r>
        <w:rPr>
          <w:rFonts w:hint="eastAsia" w:ascii="宋体" w:hAnsi="宋体" w:eastAsia="宋体" w:cs="宋体"/>
          <w:spacing w:val="-1"/>
          <w:sz w:val="21"/>
          <w:szCs w:val="21"/>
        </w:rPr>
        <w:t>1、本项目采用电子化投标与纸质投标并行的方式。投标人须使用数字认证</w:t>
      </w:r>
      <w:r>
        <w:rPr>
          <w:rFonts w:hint="eastAsia" w:ascii="宋体" w:hAnsi="宋体" w:eastAsia="宋体" w:cs="宋体"/>
          <w:spacing w:val="4"/>
          <w:sz w:val="21"/>
          <w:szCs w:val="21"/>
        </w:rPr>
        <w:t xml:space="preserve"> </w:t>
      </w:r>
      <w:r>
        <w:rPr>
          <w:rFonts w:hint="eastAsia" w:ascii="宋体" w:hAnsi="宋体" w:eastAsia="宋体" w:cs="宋体"/>
          <w:spacing w:val="-3"/>
          <w:sz w:val="21"/>
          <w:szCs w:val="21"/>
        </w:rPr>
        <w:t>证书对电子投标文件进行签章、加密、递交及开标时解密等相关招投标事</w:t>
      </w:r>
      <w:r>
        <w:rPr>
          <w:rFonts w:hint="eastAsia" w:ascii="宋体" w:hAnsi="宋体" w:eastAsia="宋体" w:cs="宋体"/>
          <w:spacing w:val="-4"/>
          <w:sz w:val="21"/>
          <w:szCs w:val="21"/>
        </w:rPr>
        <w:t>宜。</w:t>
      </w:r>
      <w:r>
        <w:rPr>
          <w:rFonts w:hint="eastAsia" w:ascii="宋体" w:hAnsi="宋体" w:eastAsia="宋体" w:cs="宋体"/>
          <w:spacing w:val="2"/>
          <w:sz w:val="21"/>
          <w:szCs w:val="21"/>
        </w:rPr>
        <w:t>开标当日，投标人法定代表人或其授权代表需提前登 录“不见面开标 ”系统，收到主持人“开始解密 ”指令后，使用CA 锁（必须与加密文件时的 CA 锁为同一把锁）在线对电子投标文件进行解密。如因投标人自身原因造成无法解投标文件，按无效投标对待。</w:t>
      </w:r>
    </w:p>
    <w:p w14:paraId="1766A513">
      <w:pPr>
        <w:spacing w:before="182" w:line="219" w:lineRule="auto"/>
        <w:ind w:left="508"/>
        <w:rPr>
          <w:rFonts w:hint="eastAsia" w:ascii="宋体" w:hAnsi="宋体" w:eastAsia="宋体" w:cs="宋体"/>
          <w:sz w:val="21"/>
          <w:szCs w:val="21"/>
        </w:rPr>
      </w:pPr>
      <w:r>
        <w:rPr>
          <w:rFonts w:hint="eastAsia" w:ascii="宋体" w:hAnsi="宋体" w:eastAsia="宋体" w:cs="宋体"/>
          <w:spacing w:val="-1"/>
          <w:sz w:val="21"/>
          <w:szCs w:val="21"/>
        </w:rPr>
        <w:t>2、电子开标、评标无法进行时，采购代理机构将启用纸质投标文件。</w:t>
      </w:r>
    </w:p>
    <w:p w14:paraId="55B17666">
      <w:pPr>
        <w:spacing w:before="182" w:line="325" w:lineRule="auto"/>
        <w:ind w:left="27" w:right="99" w:firstLine="482"/>
        <w:rPr>
          <w:rFonts w:hint="eastAsia" w:ascii="宋体" w:hAnsi="宋体" w:eastAsia="宋体" w:cs="宋体"/>
          <w:sz w:val="21"/>
          <w:szCs w:val="21"/>
        </w:rPr>
      </w:pPr>
      <w:r>
        <w:rPr>
          <w:rFonts w:hint="eastAsia" w:ascii="宋体" w:hAnsi="宋体" w:eastAsia="宋体" w:cs="宋体"/>
          <w:spacing w:val="11"/>
          <w:sz w:val="21"/>
          <w:szCs w:val="21"/>
        </w:rPr>
        <w:t>3、制作电子投标文件。投标人须在“全国公共资源交易中心平合(陕西</w:t>
      </w:r>
      <w:r>
        <w:rPr>
          <w:rFonts w:hint="eastAsia" w:ascii="宋体" w:hAnsi="宋体" w:eastAsia="宋体" w:cs="宋体"/>
          <w:spacing w:val="12"/>
          <w:sz w:val="21"/>
          <w:szCs w:val="21"/>
        </w:rPr>
        <w:t xml:space="preserve"> </w:t>
      </w:r>
      <w:r>
        <w:rPr>
          <w:rFonts w:hint="eastAsia" w:ascii="宋体" w:hAnsi="宋体" w:eastAsia="宋体" w:cs="宋体"/>
          <w:spacing w:val="-5"/>
          <w:sz w:val="21"/>
          <w:szCs w:val="21"/>
        </w:rPr>
        <w:t>省)</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"http:/www.sxggzyjy.cn/" </w:instrText>
      </w:r>
      <w:r>
        <w:rPr>
          <w:rFonts w:hint="eastAsia" w:ascii="宋体" w:hAnsi="宋体" w:eastAsia="宋体" w:cs="宋体"/>
          <w:sz w:val="21"/>
          <w:szCs w:val="21"/>
        </w:rPr>
        <w:fldChar w:fldCharType="separate"/>
      </w:r>
      <w:r>
        <w:rPr>
          <w:rFonts w:hint="eastAsia" w:ascii="宋体" w:hAnsi="宋体" w:eastAsia="宋体" w:cs="宋体"/>
          <w:spacing w:val="-5"/>
          <w:sz w:val="21"/>
          <w:szCs w:val="21"/>
        </w:rPr>
        <w:t>http:/www.sxggzyjy.cn/</w:t>
      </w:r>
      <w:r>
        <w:rPr>
          <w:rFonts w:hint="eastAsia" w:ascii="宋体" w:hAnsi="宋体" w:eastAsia="宋体" w:cs="宋体"/>
          <w:spacing w:val="-5"/>
          <w:sz w:val="21"/>
          <w:szCs w:val="21"/>
        </w:rPr>
        <w:fldChar w:fldCharType="end"/>
      </w:r>
      <w:r>
        <w:rPr>
          <w:rFonts w:hint="eastAsia" w:ascii="宋体" w:hAnsi="宋体" w:eastAsia="宋体" w:cs="宋体"/>
          <w:spacing w:val="-5"/>
          <w:sz w:val="21"/>
          <w:szCs w:val="21"/>
        </w:rPr>
        <w:t>的“服务指南”栏目“下载专区”中，免费下载“陕</w:t>
      </w:r>
      <w:r>
        <w:rPr>
          <w:rFonts w:hint="eastAsia" w:ascii="宋体" w:hAnsi="宋体" w:eastAsia="宋体" w:cs="宋体"/>
          <w:spacing w:val="4"/>
          <w:sz w:val="21"/>
          <w:szCs w:val="21"/>
        </w:rPr>
        <w:t xml:space="preserve"> </w:t>
      </w:r>
      <w:r>
        <w:rPr>
          <w:rFonts w:hint="eastAsia" w:ascii="宋体" w:hAnsi="宋体" w:eastAsia="宋体" w:cs="宋体"/>
          <w:spacing w:val="-1"/>
          <w:sz w:val="21"/>
          <w:szCs w:val="21"/>
        </w:rPr>
        <w:t>西省公共资源交易平台政府采购电子标书制作工具)</w:t>
      </w:r>
      <w:r>
        <w:rPr>
          <w:rFonts w:hint="eastAsia" w:ascii="宋体" w:hAnsi="宋体" w:eastAsia="宋体" w:cs="宋体"/>
          <w:spacing w:val="-79"/>
          <w:sz w:val="21"/>
          <w:szCs w:val="21"/>
        </w:rPr>
        <w:t xml:space="preserve"> </w:t>
      </w:r>
      <w:r>
        <w:rPr>
          <w:rFonts w:hint="eastAsia" w:ascii="宋体" w:hAnsi="宋体" w:eastAsia="宋体" w:cs="宋体"/>
          <w:spacing w:val="-1"/>
          <w:sz w:val="21"/>
          <w:szCs w:val="21"/>
        </w:rPr>
        <w:t>”，并升级至最新版本，使</w:t>
      </w:r>
      <w:r>
        <w:rPr>
          <w:rFonts w:hint="eastAsia" w:ascii="宋体" w:hAnsi="宋体" w:eastAsia="宋体" w:cs="宋体"/>
          <w:sz w:val="21"/>
          <w:szCs w:val="21"/>
        </w:rPr>
        <w:t xml:space="preserve"> </w:t>
      </w:r>
      <w:r>
        <w:rPr>
          <w:rFonts w:hint="eastAsia" w:ascii="宋体" w:hAnsi="宋体" w:eastAsia="宋体" w:cs="宋体"/>
          <w:spacing w:val="1"/>
          <w:sz w:val="21"/>
          <w:szCs w:val="21"/>
        </w:rPr>
        <w:t>用该客户端制作电子投标文件，制作扩展名为“.</w:t>
      </w:r>
      <w:r>
        <w:rPr>
          <w:rFonts w:hint="eastAsia" w:ascii="宋体" w:hAnsi="宋体" w:eastAsia="宋体" w:cs="宋体"/>
          <w:sz w:val="21"/>
          <w:szCs w:val="21"/>
        </w:rPr>
        <w:t>SXSTF</w:t>
      </w:r>
      <w:r>
        <w:rPr>
          <w:rFonts w:hint="eastAsia" w:ascii="宋体" w:hAnsi="宋体" w:eastAsia="宋体" w:cs="宋体"/>
          <w:spacing w:val="-77"/>
          <w:sz w:val="21"/>
          <w:szCs w:val="21"/>
        </w:rPr>
        <w:t xml:space="preserve"> </w:t>
      </w:r>
      <w:r>
        <w:rPr>
          <w:rFonts w:hint="eastAsia" w:ascii="宋体" w:hAnsi="宋体" w:eastAsia="宋体" w:cs="宋体"/>
          <w:spacing w:val="1"/>
          <w:sz w:val="21"/>
          <w:szCs w:val="21"/>
        </w:rPr>
        <w:t>”的电子投标文件。</w:t>
      </w:r>
      <w:r>
        <w:rPr>
          <w:rFonts w:hint="eastAsia" w:ascii="宋体" w:hAnsi="宋体" w:eastAsia="宋体" w:cs="宋体"/>
          <w:spacing w:val="-88"/>
          <w:sz w:val="21"/>
          <w:szCs w:val="21"/>
        </w:rPr>
        <w:t xml:space="preserve"> </w:t>
      </w:r>
      <w:r>
        <w:rPr>
          <w:rFonts w:hint="eastAsia" w:ascii="宋体" w:hAnsi="宋体" w:eastAsia="宋体" w:cs="宋体"/>
          <w:spacing w:val="1"/>
          <w:sz w:val="21"/>
          <w:szCs w:val="21"/>
        </w:rPr>
        <w:t>”</w:t>
      </w:r>
    </w:p>
    <w:p w14:paraId="35A9BE14">
      <w:pPr>
        <w:spacing w:before="181" w:line="332" w:lineRule="auto"/>
        <w:ind w:left="24" w:right="99" w:firstLine="480"/>
        <w:rPr>
          <w:rFonts w:hint="eastAsia" w:ascii="宋体" w:hAnsi="宋体" w:eastAsia="宋体" w:cs="宋体"/>
          <w:sz w:val="21"/>
          <w:szCs w:val="21"/>
        </w:rPr>
      </w:pPr>
      <w:r>
        <w:rPr>
          <w:rFonts w:hint="eastAsia" w:ascii="宋体" w:hAnsi="宋体" w:eastAsia="宋体" w:cs="宋体"/>
          <w:spacing w:val="-19"/>
          <w:sz w:val="21"/>
          <w:szCs w:val="21"/>
        </w:rPr>
        <w:t>4</w:t>
      </w:r>
      <w:r>
        <w:rPr>
          <w:rFonts w:hint="eastAsia" w:ascii="宋体" w:hAnsi="宋体" w:eastAsia="宋体" w:cs="宋体"/>
          <w:spacing w:val="-36"/>
          <w:sz w:val="21"/>
          <w:szCs w:val="21"/>
        </w:rPr>
        <w:t xml:space="preserve"> </w:t>
      </w:r>
      <w:r>
        <w:rPr>
          <w:rFonts w:hint="eastAsia" w:ascii="宋体" w:hAnsi="宋体" w:eastAsia="宋体" w:cs="宋体"/>
          <w:spacing w:val="-19"/>
          <w:sz w:val="21"/>
          <w:szCs w:val="21"/>
        </w:rPr>
        <w:t>、</w:t>
      </w:r>
      <w:r>
        <w:rPr>
          <w:rFonts w:hint="eastAsia" w:ascii="宋体" w:hAnsi="宋体" w:eastAsia="宋体" w:cs="宋体"/>
          <w:spacing w:val="-59"/>
          <w:sz w:val="21"/>
          <w:szCs w:val="21"/>
        </w:rPr>
        <w:t xml:space="preserve"> </w:t>
      </w:r>
      <w:r>
        <w:rPr>
          <w:rFonts w:hint="eastAsia" w:ascii="宋体" w:hAnsi="宋体" w:eastAsia="宋体" w:cs="宋体"/>
          <w:spacing w:val="-19"/>
          <w:sz w:val="21"/>
          <w:szCs w:val="21"/>
        </w:rPr>
        <w:t>递</w:t>
      </w:r>
      <w:r>
        <w:rPr>
          <w:rFonts w:hint="eastAsia" w:ascii="宋体" w:hAnsi="宋体" w:eastAsia="宋体" w:cs="宋体"/>
          <w:spacing w:val="-58"/>
          <w:sz w:val="21"/>
          <w:szCs w:val="21"/>
        </w:rPr>
        <w:t xml:space="preserve"> </w:t>
      </w:r>
      <w:r>
        <w:rPr>
          <w:rFonts w:hint="eastAsia" w:ascii="宋体" w:hAnsi="宋体" w:eastAsia="宋体" w:cs="宋体"/>
          <w:spacing w:val="-19"/>
          <w:sz w:val="21"/>
          <w:szCs w:val="21"/>
        </w:rPr>
        <w:t>交</w:t>
      </w:r>
      <w:r>
        <w:rPr>
          <w:rFonts w:hint="eastAsia" w:ascii="宋体" w:hAnsi="宋体" w:eastAsia="宋体" w:cs="宋体"/>
          <w:spacing w:val="-32"/>
          <w:sz w:val="21"/>
          <w:szCs w:val="21"/>
        </w:rPr>
        <w:t xml:space="preserve"> </w:t>
      </w:r>
      <w:r>
        <w:rPr>
          <w:rFonts w:hint="eastAsia" w:ascii="宋体" w:hAnsi="宋体" w:eastAsia="宋体" w:cs="宋体"/>
          <w:spacing w:val="-19"/>
          <w:sz w:val="21"/>
          <w:szCs w:val="21"/>
        </w:rPr>
        <w:t>电</w:t>
      </w:r>
      <w:r>
        <w:rPr>
          <w:rFonts w:hint="eastAsia" w:ascii="宋体" w:hAnsi="宋体" w:eastAsia="宋体" w:cs="宋体"/>
          <w:spacing w:val="-59"/>
          <w:sz w:val="21"/>
          <w:szCs w:val="21"/>
        </w:rPr>
        <w:t xml:space="preserve"> </w:t>
      </w:r>
      <w:r>
        <w:rPr>
          <w:rFonts w:hint="eastAsia" w:ascii="宋体" w:hAnsi="宋体" w:eastAsia="宋体" w:cs="宋体"/>
          <w:spacing w:val="-19"/>
          <w:sz w:val="21"/>
          <w:szCs w:val="21"/>
        </w:rPr>
        <w:t>子</w:t>
      </w:r>
      <w:r>
        <w:rPr>
          <w:rFonts w:hint="eastAsia" w:ascii="宋体" w:hAnsi="宋体" w:eastAsia="宋体" w:cs="宋体"/>
          <w:spacing w:val="-60"/>
          <w:sz w:val="21"/>
          <w:szCs w:val="21"/>
        </w:rPr>
        <w:t xml:space="preserve"> </w:t>
      </w:r>
      <w:r>
        <w:rPr>
          <w:rFonts w:hint="eastAsia" w:ascii="宋体" w:hAnsi="宋体" w:eastAsia="宋体" w:cs="宋体"/>
          <w:spacing w:val="-19"/>
          <w:sz w:val="21"/>
          <w:szCs w:val="21"/>
        </w:rPr>
        <w:t>投</w:t>
      </w:r>
      <w:r>
        <w:rPr>
          <w:rFonts w:hint="eastAsia" w:ascii="宋体" w:hAnsi="宋体" w:eastAsia="宋体" w:cs="宋体"/>
          <w:spacing w:val="-59"/>
          <w:sz w:val="21"/>
          <w:szCs w:val="21"/>
        </w:rPr>
        <w:t xml:space="preserve"> </w:t>
      </w:r>
      <w:r>
        <w:rPr>
          <w:rFonts w:hint="eastAsia" w:ascii="宋体" w:hAnsi="宋体" w:eastAsia="宋体" w:cs="宋体"/>
          <w:spacing w:val="-19"/>
          <w:sz w:val="21"/>
          <w:szCs w:val="21"/>
        </w:rPr>
        <w:t>标</w:t>
      </w:r>
      <w:r>
        <w:rPr>
          <w:rFonts w:hint="eastAsia" w:ascii="宋体" w:hAnsi="宋体" w:eastAsia="宋体" w:cs="宋体"/>
          <w:spacing w:val="-59"/>
          <w:sz w:val="21"/>
          <w:szCs w:val="21"/>
        </w:rPr>
        <w:t xml:space="preserve"> </w:t>
      </w:r>
      <w:r>
        <w:rPr>
          <w:rFonts w:hint="eastAsia" w:ascii="宋体" w:hAnsi="宋体" w:eastAsia="宋体" w:cs="宋体"/>
          <w:spacing w:val="-19"/>
          <w:sz w:val="21"/>
          <w:szCs w:val="21"/>
        </w:rPr>
        <w:t>文</w:t>
      </w:r>
      <w:r>
        <w:rPr>
          <w:rFonts w:hint="eastAsia" w:ascii="宋体" w:hAnsi="宋体" w:eastAsia="宋体" w:cs="宋体"/>
          <w:spacing w:val="-63"/>
          <w:sz w:val="21"/>
          <w:szCs w:val="21"/>
        </w:rPr>
        <w:t xml:space="preserve"> </w:t>
      </w:r>
      <w:r>
        <w:rPr>
          <w:rFonts w:hint="eastAsia" w:ascii="宋体" w:hAnsi="宋体" w:eastAsia="宋体" w:cs="宋体"/>
          <w:spacing w:val="-19"/>
          <w:sz w:val="21"/>
          <w:szCs w:val="21"/>
        </w:rPr>
        <w:t>件</w:t>
      </w:r>
      <w:r>
        <w:rPr>
          <w:rFonts w:hint="eastAsia" w:ascii="宋体" w:hAnsi="宋体" w:eastAsia="宋体" w:cs="宋体"/>
          <w:spacing w:val="-37"/>
          <w:sz w:val="21"/>
          <w:szCs w:val="21"/>
        </w:rPr>
        <w:t xml:space="preserve"> </w:t>
      </w:r>
      <w:r>
        <w:rPr>
          <w:rFonts w:hint="eastAsia" w:ascii="宋体" w:hAnsi="宋体" w:eastAsia="宋体" w:cs="宋体"/>
          <w:spacing w:val="-19"/>
          <w:sz w:val="21"/>
          <w:szCs w:val="21"/>
        </w:rPr>
        <w:t>。</w:t>
      </w:r>
      <w:r>
        <w:rPr>
          <w:rFonts w:hint="eastAsia" w:ascii="宋体" w:hAnsi="宋体" w:eastAsia="宋体" w:cs="宋体"/>
          <w:spacing w:val="-55"/>
          <w:sz w:val="21"/>
          <w:szCs w:val="21"/>
        </w:rPr>
        <w:t xml:space="preserve"> </w:t>
      </w:r>
      <w:r>
        <w:rPr>
          <w:rFonts w:hint="eastAsia" w:ascii="宋体" w:hAnsi="宋体" w:eastAsia="宋体" w:cs="宋体"/>
          <w:spacing w:val="-19"/>
          <w:sz w:val="21"/>
          <w:szCs w:val="21"/>
        </w:rPr>
        <w:t>登</w:t>
      </w:r>
      <w:r>
        <w:rPr>
          <w:rFonts w:hint="eastAsia" w:ascii="宋体" w:hAnsi="宋体" w:eastAsia="宋体" w:cs="宋体"/>
          <w:spacing w:val="-62"/>
          <w:sz w:val="21"/>
          <w:szCs w:val="21"/>
        </w:rPr>
        <w:t xml:space="preserve"> </w:t>
      </w:r>
      <w:r>
        <w:rPr>
          <w:rFonts w:hint="eastAsia" w:ascii="宋体" w:hAnsi="宋体" w:eastAsia="宋体" w:cs="宋体"/>
          <w:spacing w:val="-19"/>
          <w:sz w:val="21"/>
          <w:szCs w:val="21"/>
        </w:rPr>
        <w:t>录</w:t>
      </w:r>
      <w:r>
        <w:rPr>
          <w:rFonts w:hint="eastAsia" w:ascii="宋体" w:hAnsi="宋体" w:eastAsia="宋体" w:cs="宋体"/>
          <w:spacing w:val="-60"/>
          <w:sz w:val="21"/>
          <w:szCs w:val="21"/>
        </w:rPr>
        <w:t xml:space="preserve"> </w:t>
      </w:r>
      <w:r>
        <w:rPr>
          <w:rFonts w:hint="eastAsia" w:ascii="宋体" w:hAnsi="宋体" w:eastAsia="宋体" w:cs="宋体"/>
          <w:spacing w:val="-19"/>
          <w:sz w:val="21"/>
          <w:szCs w:val="21"/>
        </w:rPr>
        <w:t>全</w:t>
      </w:r>
      <w:r>
        <w:rPr>
          <w:rFonts w:hint="eastAsia" w:ascii="宋体" w:hAnsi="宋体" w:eastAsia="宋体" w:cs="宋体"/>
          <w:spacing w:val="-37"/>
          <w:sz w:val="21"/>
          <w:szCs w:val="21"/>
        </w:rPr>
        <w:t xml:space="preserve"> </w:t>
      </w:r>
      <w:r>
        <w:rPr>
          <w:rFonts w:hint="eastAsia" w:ascii="宋体" w:hAnsi="宋体" w:eastAsia="宋体" w:cs="宋体"/>
          <w:spacing w:val="-19"/>
          <w:sz w:val="21"/>
          <w:szCs w:val="21"/>
        </w:rPr>
        <w:t>国</w:t>
      </w:r>
      <w:r>
        <w:rPr>
          <w:rFonts w:hint="eastAsia" w:ascii="宋体" w:hAnsi="宋体" w:eastAsia="宋体" w:cs="宋体"/>
          <w:spacing w:val="-53"/>
          <w:sz w:val="21"/>
          <w:szCs w:val="21"/>
        </w:rPr>
        <w:t xml:space="preserve"> </w:t>
      </w:r>
      <w:r>
        <w:rPr>
          <w:rFonts w:hint="eastAsia" w:ascii="宋体" w:hAnsi="宋体" w:eastAsia="宋体" w:cs="宋体"/>
          <w:spacing w:val="-19"/>
          <w:sz w:val="21"/>
          <w:szCs w:val="21"/>
        </w:rPr>
        <w:t>公</w:t>
      </w:r>
      <w:r>
        <w:rPr>
          <w:rFonts w:hint="eastAsia" w:ascii="宋体" w:hAnsi="宋体" w:eastAsia="宋体" w:cs="宋体"/>
          <w:spacing w:val="-63"/>
          <w:sz w:val="21"/>
          <w:szCs w:val="21"/>
        </w:rPr>
        <w:t xml:space="preserve"> </w:t>
      </w:r>
      <w:r>
        <w:rPr>
          <w:rFonts w:hint="eastAsia" w:ascii="宋体" w:hAnsi="宋体" w:eastAsia="宋体" w:cs="宋体"/>
          <w:spacing w:val="-19"/>
          <w:sz w:val="21"/>
          <w:szCs w:val="21"/>
        </w:rPr>
        <w:t>共</w:t>
      </w:r>
      <w:r>
        <w:rPr>
          <w:rFonts w:hint="eastAsia" w:ascii="宋体" w:hAnsi="宋体" w:eastAsia="宋体" w:cs="宋体"/>
          <w:spacing w:val="-50"/>
          <w:sz w:val="21"/>
          <w:szCs w:val="21"/>
        </w:rPr>
        <w:t xml:space="preserve"> </w:t>
      </w:r>
      <w:r>
        <w:rPr>
          <w:rFonts w:hint="eastAsia" w:ascii="宋体" w:hAnsi="宋体" w:eastAsia="宋体" w:cs="宋体"/>
          <w:spacing w:val="-19"/>
          <w:sz w:val="21"/>
          <w:szCs w:val="21"/>
        </w:rPr>
        <w:t>资</w:t>
      </w:r>
      <w:r>
        <w:rPr>
          <w:rFonts w:hint="eastAsia" w:ascii="宋体" w:hAnsi="宋体" w:eastAsia="宋体" w:cs="宋体"/>
          <w:spacing w:val="-61"/>
          <w:sz w:val="21"/>
          <w:szCs w:val="21"/>
        </w:rPr>
        <w:t xml:space="preserve"> </w:t>
      </w:r>
      <w:r>
        <w:rPr>
          <w:rFonts w:hint="eastAsia" w:ascii="宋体" w:hAnsi="宋体" w:eastAsia="宋体" w:cs="宋体"/>
          <w:spacing w:val="-19"/>
          <w:sz w:val="21"/>
          <w:szCs w:val="21"/>
        </w:rPr>
        <w:t>源</w:t>
      </w:r>
      <w:r>
        <w:rPr>
          <w:rFonts w:hint="eastAsia" w:ascii="宋体" w:hAnsi="宋体" w:eastAsia="宋体" w:cs="宋体"/>
          <w:spacing w:val="-58"/>
          <w:sz w:val="21"/>
          <w:szCs w:val="21"/>
        </w:rPr>
        <w:t xml:space="preserve"> </w:t>
      </w:r>
      <w:r>
        <w:rPr>
          <w:rFonts w:hint="eastAsia" w:ascii="宋体" w:hAnsi="宋体" w:eastAsia="宋体" w:cs="宋体"/>
          <w:spacing w:val="-19"/>
          <w:sz w:val="21"/>
          <w:szCs w:val="21"/>
        </w:rPr>
        <w:t>交</w:t>
      </w:r>
      <w:r>
        <w:rPr>
          <w:rFonts w:hint="eastAsia" w:ascii="宋体" w:hAnsi="宋体" w:eastAsia="宋体" w:cs="宋体"/>
          <w:spacing w:val="-45"/>
          <w:sz w:val="21"/>
          <w:szCs w:val="21"/>
        </w:rPr>
        <w:t xml:space="preserve"> </w:t>
      </w:r>
      <w:r>
        <w:rPr>
          <w:rFonts w:hint="eastAsia" w:ascii="宋体" w:hAnsi="宋体" w:eastAsia="宋体" w:cs="宋体"/>
          <w:spacing w:val="-19"/>
          <w:sz w:val="21"/>
          <w:szCs w:val="21"/>
        </w:rPr>
        <w:t>易</w:t>
      </w:r>
      <w:r>
        <w:rPr>
          <w:rFonts w:hint="eastAsia" w:ascii="宋体" w:hAnsi="宋体" w:eastAsia="宋体" w:cs="宋体"/>
          <w:spacing w:val="-37"/>
          <w:sz w:val="21"/>
          <w:szCs w:val="21"/>
        </w:rPr>
        <w:t xml:space="preserve"> </w:t>
      </w:r>
      <w:r>
        <w:rPr>
          <w:rFonts w:hint="eastAsia" w:ascii="宋体" w:hAnsi="宋体" w:eastAsia="宋体" w:cs="宋体"/>
          <w:spacing w:val="-19"/>
          <w:sz w:val="21"/>
          <w:szCs w:val="21"/>
        </w:rPr>
        <w:t>中</w:t>
      </w:r>
      <w:r>
        <w:rPr>
          <w:rFonts w:hint="eastAsia" w:ascii="宋体" w:hAnsi="宋体" w:eastAsia="宋体" w:cs="宋体"/>
          <w:spacing w:val="-55"/>
          <w:sz w:val="21"/>
          <w:szCs w:val="21"/>
        </w:rPr>
        <w:t xml:space="preserve"> </w:t>
      </w:r>
      <w:r>
        <w:rPr>
          <w:rFonts w:hint="eastAsia" w:ascii="宋体" w:hAnsi="宋体" w:eastAsia="宋体" w:cs="宋体"/>
          <w:spacing w:val="-19"/>
          <w:sz w:val="21"/>
          <w:szCs w:val="21"/>
        </w:rPr>
        <w:t>心</w:t>
      </w:r>
      <w:r>
        <w:rPr>
          <w:rFonts w:hint="eastAsia" w:ascii="宋体" w:hAnsi="宋体" w:eastAsia="宋体" w:cs="宋体"/>
          <w:spacing w:val="-61"/>
          <w:sz w:val="21"/>
          <w:szCs w:val="21"/>
        </w:rPr>
        <w:t xml:space="preserve"> </w:t>
      </w:r>
      <w:r>
        <w:rPr>
          <w:rFonts w:hint="eastAsia" w:ascii="宋体" w:hAnsi="宋体" w:eastAsia="宋体" w:cs="宋体"/>
          <w:spacing w:val="-19"/>
          <w:sz w:val="21"/>
          <w:szCs w:val="21"/>
        </w:rPr>
        <w:t>平</w:t>
      </w:r>
      <w:r>
        <w:rPr>
          <w:rFonts w:hint="eastAsia" w:ascii="宋体" w:hAnsi="宋体" w:eastAsia="宋体" w:cs="宋体"/>
          <w:spacing w:val="-41"/>
          <w:sz w:val="21"/>
          <w:szCs w:val="21"/>
        </w:rPr>
        <w:t xml:space="preserve"> </w:t>
      </w:r>
      <w:r>
        <w:rPr>
          <w:rFonts w:hint="eastAsia" w:ascii="宋体" w:hAnsi="宋体" w:eastAsia="宋体" w:cs="宋体"/>
          <w:spacing w:val="-19"/>
          <w:sz w:val="21"/>
          <w:szCs w:val="21"/>
        </w:rPr>
        <w:t>台 (</w:t>
      </w:r>
      <w:r>
        <w:rPr>
          <w:rFonts w:hint="eastAsia" w:ascii="宋体" w:hAnsi="宋体" w:eastAsia="宋体" w:cs="宋体"/>
          <w:spacing w:val="-43"/>
          <w:sz w:val="21"/>
          <w:szCs w:val="21"/>
        </w:rPr>
        <w:t xml:space="preserve"> </w:t>
      </w:r>
      <w:r>
        <w:rPr>
          <w:rFonts w:hint="eastAsia" w:ascii="宋体" w:hAnsi="宋体" w:eastAsia="宋体" w:cs="宋体"/>
          <w:spacing w:val="-19"/>
          <w:sz w:val="21"/>
          <w:szCs w:val="21"/>
        </w:rPr>
        <w:t>陕</w:t>
      </w:r>
      <w:r>
        <w:rPr>
          <w:rFonts w:hint="eastAsia" w:ascii="宋体" w:hAnsi="宋体" w:eastAsia="宋体" w:cs="宋体"/>
          <w:spacing w:val="-54"/>
          <w:sz w:val="21"/>
          <w:szCs w:val="21"/>
        </w:rPr>
        <w:t xml:space="preserve"> </w:t>
      </w:r>
      <w:r>
        <w:rPr>
          <w:rFonts w:hint="eastAsia" w:ascii="宋体" w:hAnsi="宋体" w:eastAsia="宋体" w:cs="宋体"/>
          <w:spacing w:val="-19"/>
          <w:sz w:val="21"/>
          <w:szCs w:val="21"/>
        </w:rPr>
        <w:t>西</w:t>
      </w:r>
      <w:r>
        <w:rPr>
          <w:rFonts w:hint="eastAsia" w:ascii="宋体" w:hAnsi="宋体" w:eastAsia="宋体" w:cs="宋体"/>
          <w:sz w:val="21"/>
          <w:szCs w:val="21"/>
        </w:rPr>
        <w:t xml:space="preserve"> 省)</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"http:/www.sxggzyjy.cn/" </w:instrText>
      </w:r>
      <w:r>
        <w:rPr>
          <w:rFonts w:hint="eastAsia" w:ascii="宋体" w:hAnsi="宋体" w:eastAsia="宋体" w:cs="宋体"/>
          <w:sz w:val="21"/>
          <w:szCs w:val="21"/>
        </w:rPr>
        <w:fldChar w:fldCharType="separate"/>
      </w:r>
      <w:r>
        <w:rPr>
          <w:rFonts w:hint="eastAsia" w:ascii="宋体" w:hAnsi="宋体" w:eastAsia="宋体" w:cs="宋体"/>
          <w:sz w:val="21"/>
          <w:szCs w:val="21"/>
        </w:rPr>
        <w:t>http:/www.sxggzyjy.cn/</w:t>
      </w:r>
      <w:r>
        <w:rPr>
          <w:rFonts w:hint="eastAsia" w:ascii="宋体" w:hAnsi="宋体" w:eastAsia="宋体" w:cs="宋体"/>
          <w:sz w:val="21"/>
          <w:szCs w:val="21"/>
        </w:rPr>
        <w:fldChar w:fldCharType="end"/>
      </w:r>
      <w:r>
        <w:rPr>
          <w:rFonts w:hint="eastAsia" w:ascii="宋体" w:hAnsi="宋体" w:eastAsia="宋体" w:cs="宋体"/>
          <w:sz w:val="21"/>
          <w:szCs w:val="21"/>
        </w:rPr>
        <w:t>),选择“电子交易平台-陕西政府采购交易系统-企</w:t>
      </w:r>
      <w:r>
        <w:rPr>
          <w:rFonts w:hint="eastAsia" w:ascii="宋体" w:hAnsi="宋体" w:eastAsia="宋体" w:cs="宋体"/>
          <w:spacing w:val="9"/>
          <w:sz w:val="21"/>
          <w:szCs w:val="21"/>
        </w:rPr>
        <w:t xml:space="preserve"> </w:t>
      </w:r>
      <w:r>
        <w:rPr>
          <w:rFonts w:hint="eastAsia" w:ascii="宋体" w:hAnsi="宋体" w:eastAsia="宋体" w:cs="宋体"/>
          <w:spacing w:val="-2"/>
          <w:sz w:val="21"/>
          <w:szCs w:val="21"/>
        </w:rPr>
        <w:t>业端</w:t>
      </w:r>
      <w:r>
        <w:rPr>
          <w:rFonts w:hint="eastAsia" w:ascii="宋体" w:hAnsi="宋体" w:eastAsia="宋体" w:cs="宋体"/>
          <w:spacing w:val="-70"/>
          <w:sz w:val="21"/>
          <w:szCs w:val="21"/>
        </w:rPr>
        <w:t xml:space="preserve"> </w:t>
      </w:r>
      <w:r>
        <w:rPr>
          <w:rFonts w:hint="eastAsia" w:ascii="宋体" w:hAnsi="宋体" w:eastAsia="宋体" w:cs="宋体"/>
          <w:spacing w:val="-2"/>
          <w:sz w:val="21"/>
          <w:szCs w:val="21"/>
        </w:rPr>
        <w:t>”进行登录，登录后选择“交易乙方</w:t>
      </w:r>
      <w:r>
        <w:rPr>
          <w:rFonts w:hint="eastAsia" w:ascii="宋体" w:hAnsi="宋体" w:eastAsia="宋体" w:cs="宋体"/>
          <w:spacing w:val="-91"/>
          <w:sz w:val="21"/>
          <w:szCs w:val="21"/>
        </w:rPr>
        <w:t xml:space="preserve"> </w:t>
      </w:r>
      <w:r>
        <w:rPr>
          <w:rFonts w:hint="eastAsia" w:ascii="宋体" w:hAnsi="宋体" w:eastAsia="宋体" w:cs="宋体"/>
          <w:spacing w:val="-2"/>
          <w:sz w:val="21"/>
          <w:szCs w:val="21"/>
        </w:rPr>
        <w:t>”身份进入，进入菜单“采购业务-我</w:t>
      </w:r>
      <w:r>
        <w:rPr>
          <w:rFonts w:hint="eastAsia" w:ascii="宋体" w:hAnsi="宋体" w:eastAsia="宋体" w:cs="宋体"/>
          <w:sz w:val="21"/>
          <w:szCs w:val="21"/>
        </w:rPr>
        <w:t xml:space="preserve"> </w:t>
      </w:r>
      <w:r>
        <w:rPr>
          <w:rFonts w:hint="eastAsia" w:ascii="宋体" w:hAnsi="宋体" w:eastAsia="宋体" w:cs="宋体"/>
          <w:spacing w:val="-4"/>
          <w:sz w:val="21"/>
          <w:szCs w:val="21"/>
        </w:rPr>
        <w:t>的项目-项目流程-上传响应文件</w:t>
      </w:r>
      <w:r>
        <w:rPr>
          <w:rFonts w:hint="eastAsia" w:ascii="宋体" w:hAnsi="宋体" w:eastAsia="宋体" w:cs="宋体"/>
          <w:spacing w:val="-84"/>
          <w:sz w:val="21"/>
          <w:szCs w:val="21"/>
        </w:rPr>
        <w:t xml:space="preserve"> </w:t>
      </w:r>
      <w:r>
        <w:rPr>
          <w:rFonts w:hint="eastAsia" w:ascii="宋体" w:hAnsi="宋体" w:eastAsia="宋体" w:cs="宋体"/>
          <w:spacing w:val="-4"/>
          <w:sz w:val="21"/>
          <w:szCs w:val="21"/>
        </w:rPr>
        <w:t>”，上传加密的电子投标文件。上传成功后，电</w:t>
      </w:r>
      <w:r>
        <w:rPr>
          <w:rFonts w:hint="eastAsia" w:ascii="宋体" w:hAnsi="宋体" w:eastAsia="宋体" w:cs="宋体"/>
          <w:sz w:val="21"/>
          <w:szCs w:val="21"/>
        </w:rPr>
        <w:t xml:space="preserve"> </w:t>
      </w:r>
      <w:r>
        <w:rPr>
          <w:rFonts w:hint="eastAsia" w:ascii="宋体" w:hAnsi="宋体" w:eastAsia="宋体" w:cs="宋体"/>
          <w:spacing w:val="-1"/>
          <w:sz w:val="21"/>
          <w:szCs w:val="21"/>
        </w:rPr>
        <w:t>子化平台将予以记录。</w:t>
      </w:r>
    </w:p>
    <w:p w14:paraId="7CBA4747">
      <w:pPr>
        <w:spacing w:before="182" w:line="325" w:lineRule="auto"/>
        <w:ind w:left="23" w:right="99" w:firstLine="486"/>
        <w:rPr>
          <w:rFonts w:hint="eastAsia" w:ascii="宋体" w:hAnsi="宋体" w:eastAsia="宋体" w:cs="宋体"/>
          <w:sz w:val="21"/>
          <w:szCs w:val="21"/>
        </w:rPr>
      </w:pPr>
      <w:r>
        <w:rPr>
          <w:rFonts w:hint="eastAsia" w:ascii="宋体" w:hAnsi="宋体" w:eastAsia="宋体" w:cs="宋体"/>
          <w:spacing w:val="-3"/>
          <w:sz w:val="21"/>
          <w:szCs w:val="21"/>
        </w:rPr>
        <w:t>5、投标单位拒绝对电子投标文件进行解密的、因</w:t>
      </w:r>
      <w:r>
        <w:rPr>
          <w:rFonts w:hint="eastAsia" w:ascii="宋体" w:hAnsi="宋体" w:eastAsia="宋体" w:cs="宋体"/>
          <w:spacing w:val="-4"/>
          <w:sz w:val="21"/>
          <w:szCs w:val="21"/>
        </w:rPr>
        <w:t>投标单位自身原因(如未带</w:t>
      </w:r>
      <w:r>
        <w:rPr>
          <w:rFonts w:hint="eastAsia" w:ascii="宋体" w:hAnsi="宋体" w:eastAsia="宋体" w:cs="宋体"/>
          <w:sz w:val="21"/>
          <w:szCs w:val="21"/>
        </w:rPr>
        <w:t xml:space="preserve"> </w:t>
      </w:r>
      <w:r>
        <w:rPr>
          <w:rFonts w:hint="eastAsia" w:ascii="宋体" w:hAnsi="宋体" w:eastAsia="宋体" w:cs="宋体"/>
          <w:spacing w:val="-1"/>
          <w:sz w:val="21"/>
          <w:szCs w:val="21"/>
        </w:rPr>
        <w:t>CA</w:t>
      </w:r>
      <w:r>
        <w:rPr>
          <w:rFonts w:hint="eastAsia" w:ascii="宋体" w:hAnsi="宋体" w:eastAsia="宋体" w:cs="宋体"/>
          <w:spacing w:val="-51"/>
          <w:sz w:val="21"/>
          <w:szCs w:val="21"/>
        </w:rPr>
        <w:t xml:space="preserve"> </w:t>
      </w:r>
      <w:r>
        <w:rPr>
          <w:rFonts w:hint="eastAsia" w:ascii="宋体" w:hAnsi="宋体" w:eastAsia="宋体" w:cs="宋体"/>
          <w:spacing w:val="-1"/>
          <w:sz w:val="21"/>
          <w:szCs w:val="21"/>
        </w:rPr>
        <w:t>锁、或所带</w:t>
      </w:r>
      <w:r>
        <w:rPr>
          <w:rFonts w:hint="eastAsia" w:ascii="宋体" w:hAnsi="宋体" w:eastAsia="宋体" w:cs="宋体"/>
          <w:spacing w:val="-52"/>
          <w:sz w:val="21"/>
          <w:szCs w:val="21"/>
        </w:rPr>
        <w:t xml:space="preserve"> </w:t>
      </w:r>
      <w:r>
        <w:rPr>
          <w:rFonts w:hint="eastAsia" w:ascii="宋体" w:hAnsi="宋体" w:eastAsia="宋体" w:cs="宋体"/>
          <w:spacing w:val="-1"/>
          <w:sz w:val="21"/>
          <w:szCs w:val="21"/>
        </w:rPr>
        <w:t>CA</w:t>
      </w:r>
      <w:r>
        <w:rPr>
          <w:rFonts w:hint="eastAsia" w:ascii="宋体" w:hAnsi="宋体" w:eastAsia="宋体" w:cs="宋体"/>
          <w:spacing w:val="-51"/>
          <w:sz w:val="21"/>
          <w:szCs w:val="21"/>
        </w:rPr>
        <w:t xml:space="preserve"> </w:t>
      </w:r>
      <w:r>
        <w:rPr>
          <w:rFonts w:hint="eastAsia" w:ascii="宋体" w:hAnsi="宋体" w:eastAsia="宋体" w:cs="宋体"/>
          <w:spacing w:val="-1"/>
          <w:sz w:val="21"/>
          <w:szCs w:val="21"/>
        </w:rPr>
        <w:t>锁与制作电子投标文件使</w:t>
      </w:r>
      <w:r>
        <w:rPr>
          <w:rFonts w:hint="eastAsia" w:ascii="宋体" w:hAnsi="宋体" w:eastAsia="宋体" w:cs="宋体"/>
          <w:spacing w:val="-2"/>
          <w:sz w:val="21"/>
          <w:szCs w:val="21"/>
        </w:rPr>
        <w:t>用的</w:t>
      </w:r>
      <w:r>
        <w:rPr>
          <w:rFonts w:hint="eastAsia" w:ascii="宋体" w:hAnsi="宋体" w:eastAsia="宋体" w:cs="宋体"/>
          <w:spacing w:val="-52"/>
          <w:sz w:val="21"/>
          <w:szCs w:val="21"/>
        </w:rPr>
        <w:t xml:space="preserve"> </w:t>
      </w:r>
      <w:r>
        <w:rPr>
          <w:rFonts w:hint="eastAsia" w:ascii="宋体" w:hAnsi="宋体" w:eastAsia="宋体" w:cs="宋体"/>
          <w:spacing w:val="-2"/>
          <w:sz w:val="21"/>
          <w:szCs w:val="21"/>
        </w:rPr>
        <w:t>CA</w:t>
      </w:r>
      <w:r>
        <w:rPr>
          <w:rFonts w:hint="eastAsia" w:ascii="宋体" w:hAnsi="宋体" w:eastAsia="宋体" w:cs="宋体"/>
          <w:spacing w:val="-51"/>
          <w:sz w:val="21"/>
          <w:szCs w:val="21"/>
        </w:rPr>
        <w:t xml:space="preserve"> </w:t>
      </w:r>
      <w:r>
        <w:rPr>
          <w:rFonts w:hint="eastAsia" w:ascii="宋体" w:hAnsi="宋体" w:eastAsia="宋体" w:cs="宋体"/>
          <w:spacing w:val="-2"/>
          <w:sz w:val="21"/>
          <w:szCs w:val="21"/>
        </w:rPr>
        <w:t>锁不一致、或沿用旧版招标</w:t>
      </w:r>
      <w:r>
        <w:rPr>
          <w:rFonts w:hint="eastAsia" w:ascii="宋体" w:hAnsi="宋体" w:eastAsia="宋体" w:cs="宋体"/>
          <w:sz w:val="21"/>
          <w:szCs w:val="21"/>
        </w:rPr>
        <w:t xml:space="preserve"> 文件编制投标文件等情形)导致在规定时间内无法解密投标</w:t>
      </w:r>
      <w:r>
        <w:rPr>
          <w:rFonts w:hint="eastAsia" w:ascii="宋体" w:hAnsi="宋体" w:eastAsia="宋体" w:cs="宋体"/>
          <w:spacing w:val="-1"/>
          <w:sz w:val="21"/>
          <w:szCs w:val="21"/>
        </w:rPr>
        <w:t>文件的、上传的电子</w:t>
      </w:r>
      <w:r>
        <w:rPr>
          <w:rFonts w:hint="eastAsia" w:ascii="宋体" w:hAnsi="宋体" w:eastAsia="宋体" w:cs="宋体"/>
          <w:sz w:val="21"/>
          <w:szCs w:val="21"/>
        </w:rPr>
        <w:t xml:space="preserve"> </w:t>
      </w:r>
      <w:r>
        <w:rPr>
          <w:rFonts w:hint="eastAsia" w:ascii="宋体" w:hAnsi="宋体" w:eastAsia="宋体" w:cs="宋体"/>
          <w:spacing w:val="-1"/>
          <w:sz w:val="21"/>
          <w:szCs w:val="21"/>
        </w:rPr>
        <w:t>投标文件无法打开的都将按照无效处理。</w:t>
      </w:r>
    </w:p>
    <w:p w14:paraId="5D227CE4">
      <w:pPr>
        <w:spacing w:before="183" w:line="313" w:lineRule="auto"/>
        <w:ind w:left="26" w:right="99" w:firstLine="480"/>
        <w:rPr>
          <w:rFonts w:hint="eastAsia" w:ascii="宋体" w:hAnsi="宋体" w:eastAsia="宋体" w:cs="宋体"/>
          <w:sz w:val="21"/>
          <w:szCs w:val="21"/>
        </w:rPr>
      </w:pPr>
      <w:r>
        <w:rPr>
          <w:rFonts w:hint="eastAsia" w:ascii="宋体" w:hAnsi="宋体" w:eastAsia="宋体" w:cs="宋体"/>
          <w:sz w:val="21"/>
          <w:szCs w:val="21"/>
        </w:rPr>
        <w:t>6、已报名单位如不参与项目投标，须在递交</w:t>
      </w:r>
      <w:r>
        <w:rPr>
          <w:rFonts w:hint="eastAsia" w:ascii="宋体" w:hAnsi="宋体" w:eastAsia="宋体" w:cs="宋体"/>
          <w:spacing w:val="-1"/>
          <w:sz w:val="21"/>
          <w:szCs w:val="21"/>
        </w:rPr>
        <w:t>投标文件截止时间至少前一日</w:t>
      </w:r>
      <w:r>
        <w:rPr>
          <w:rFonts w:hint="eastAsia" w:ascii="宋体" w:hAnsi="宋体" w:eastAsia="宋体" w:cs="宋体"/>
          <w:sz w:val="21"/>
          <w:szCs w:val="21"/>
        </w:rPr>
        <w:t xml:space="preserve"> </w:t>
      </w:r>
      <w:r>
        <w:rPr>
          <w:rFonts w:hint="eastAsia" w:ascii="宋体" w:hAnsi="宋体" w:eastAsia="宋体" w:cs="宋体"/>
          <w:spacing w:val="-3"/>
          <w:sz w:val="21"/>
          <w:szCs w:val="21"/>
        </w:rPr>
        <w:t>以书面形式告知采购代理机构</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"mailto:sxzyzbgs@163.com）。否则，采购代理机构将向财政部门如实反应相关情况。投标人一年内累计出现三次该情形，将被监督部门记录为失信行为。" </w:instrText>
      </w:r>
      <w:r>
        <w:rPr>
          <w:rFonts w:hint="eastAsia" w:ascii="宋体" w:hAnsi="宋体" w:eastAsia="宋体" w:cs="宋体"/>
          <w:sz w:val="21"/>
          <w:szCs w:val="21"/>
        </w:rPr>
        <w:fldChar w:fldCharType="separate"/>
      </w:r>
      <w:r>
        <w:rPr>
          <w:rFonts w:hint="eastAsia" w:ascii="宋体" w:hAnsi="宋体" w:eastAsia="宋体" w:cs="宋体"/>
          <w:spacing w:val="-3"/>
          <w:sz w:val="21"/>
          <w:szCs w:val="21"/>
        </w:rPr>
        <w:t>。否则，采购代理机构将向财政部门如</w:t>
      </w:r>
      <w:r>
        <w:rPr>
          <w:rFonts w:hint="eastAsia" w:ascii="宋体" w:hAnsi="宋体" w:eastAsia="宋体" w:cs="宋体"/>
          <w:spacing w:val="-4"/>
          <w:sz w:val="21"/>
          <w:szCs w:val="21"/>
        </w:rPr>
        <w:t>实反应相关</w:t>
      </w:r>
      <w:r>
        <w:rPr>
          <w:rFonts w:hint="eastAsia" w:ascii="宋体" w:hAnsi="宋体" w:eastAsia="宋体" w:cs="宋体"/>
          <w:spacing w:val="-4"/>
          <w:sz w:val="21"/>
          <w:szCs w:val="21"/>
        </w:rPr>
        <w:fldChar w:fldCharType="end"/>
      </w: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"mailto:sxzyzbgs@163.com）。否则，采购代理机构将向财政部门如实反应相关情况。投标人一年内累计出现三次该情形，将被监督部门记录为失信行为。" </w:instrText>
      </w:r>
      <w:r>
        <w:rPr>
          <w:rFonts w:hint="eastAsia" w:ascii="宋体" w:hAnsi="宋体" w:eastAsia="宋体" w:cs="宋体"/>
          <w:sz w:val="21"/>
          <w:szCs w:val="21"/>
        </w:rPr>
        <w:fldChar w:fldCharType="separate"/>
      </w:r>
      <w:r>
        <w:rPr>
          <w:rFonts w:hint="eastAsia" w:ascii="宋体" w:hAnsi="宋体" w:eastAsia="宋体" w:cs="宋体"/>
          <w:sz w:val="21"/>
          <w:szCs w:val="21"/>
        </w:rPr>
        <w:t>情况。投标人一年内累计出现三次该情形，将被</w:t>
      </w:r>
      <w:r>
        <w:rPr>
          <w:rFonts w:hint="eastAsia" w:ascii="宋体" w:hAnsi="宋体" w:eastAsia="宋体" w:cs="宋体"/>
          <w:spacing w:val="-1"/>
          <w:sz w:val="21"/>
          <w:szCs w:val="21"/>
        </w:rPr>
        <w:t>监督部门记录为失信行为。</w:t>
      </w:r>
      <w:r>
        <w:rPr>
          <w:rFonts w:hint="eastAsia" w:ascii="宋体" w:hAnsi="宋体" w:eastAsia="宋体" w:cs="宋体"/>
          <w:spacing w:val="-1"/>
          <w:sz w:val="21"/>
          <w:szCs w:val="21"/>
        </w:rPr>
        <w:fldChar w:fldCharType="end"/>
      </w:r>
    </w:p>
    <w:p w14:paraId="44A1C3AF">
      <w:pPr>
        <w:spacing w:before="182" w:line="325" w:lineRule="auto"/>
        <w:ind w:left="25" w:firstLine="485"/>
        <w:rPr>
          <w:rFonts w:hint="eastAsia" w:ascii="宋体" w:hAnsi="宋体" w:eastAsia="宋体" w:cs="宋体"/>
          <w:sz w:val="21"/>
          <w:szCs w:val="21"/>
        </w:rPr>
      </w:pPr>
      <w:r>
        <w:rPr>
          <w:rFonts w:hint="eastAsia" w:ascii="宋体" w:hAnsi="宋体" w:eastAsia="宋体" w:cs="宋体"/>
          <w:spacing w:val="-1"/>
          <w:sz w:val="21"/>
          <w:szCs w:val="21"/>
        </w:rPr>
        <w:t>7、根据陕西省财政厅关于政府采购投标人注册登记有关事项的通知，如所</w:t>
      </w:r>
      <w:r>
        <w:rPr>
          <w:rFonts w:hint="eastAsia" w:ascii="宋体" w:hAnsi="宋体" w:eastAsia="宋体" w:cs="宋体"/>
          <w:spacing w:val="8"/>
          <w:sz w:val="21"/>
          <w:szCs w:val="21"/>
        </w:rPr>
        <w:t xml:space="preserve">  </w:t>
      </w:r>
      <w:r>
        <w:rPr>
          <w:rFonts w:hint="eastAsia" w:ascii="宋体" w:hAnsi="宋体" w:eastAsia="宋体" w:cs="宋体"/>
          <w:spacing w:val="-2"/>
          <w:sz w:val="21"/>
          <w:szCs w:val="21"/>
        </w:rPr>
        <w:t>投本项目的投标人未在陕西省政府采购网（</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"http://www.ccgp-shaanxi.gov.cn/" </w:instrText>
      </w:r>
      <w:r>
        <w:rPr>
          <w:rFonts w:hint="eastAsia" w:ascii="宋体" w:hAnsi="宋体" w:eastAsia="宋体" w:cs="宋体"/>
          <w:sz w:val="21"/>
          <w:szCs w:val="21"/>
        </w:rPr>
        <w:fldChar w:fldCharType="separate"/>
      </w:r>
      <w:r>
        <w:rPr>
          <w:rFonts w:hint="eastAsia" w:ascii="宋体" w:hAnsi="宋体" w:eastAsia="宋体" w:cs="宋体"/>
          <w:spacing w:val="-2"/>
          <w:sz w:val="21"/>
          <w:szCs w:val="21"/>
        </w:rPr>
        <w:t>http</w:t>
      </w:r>
      <w:r>
        <w:rPr>
          <w:rFonts w:hint="eastAsia" w:ascii="宋体" w:hAnsi="宋体" w:eastAsia="宋体" w:cs="宋体"/>
          <w:spacing w:val="-3"/>
          <w:sz w:val="21"/>
          <w:szCs w:val="21"/>
        </w:rPr>
        <w:t>://www.ccgp-shaanxi.gov.cn/</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w:t>
      </w:r>
      <w:r>
        <w:rPr>
          <w:rFonts w:hint="eastAsia" w:ascii="宋体" w:hAnsi="宋体" w:eastAsia="宋体" w:cs="宋体"/>
          <w:sz w:val="21"/>
          <w:szCs w:val="21"/>
        </w:rPr>
        <w:t xml:space="preserve"> </w:t>
      </w:r>
      <w:r>
        <w:rPr>
          <w:rFonts w:hint="eastAsia" w:ascii="宋体" w:hAnsi="宋体" w:eastAsia="宋体" w:cs="宋体"/>
          <w:spacing w:val="-3"/>
          <w:sz w:val="21"/>
          <w:szCs w:val="21"/>
        </w:rPr>
        <w:t>注册登记加入陕西省政府采购投标人库的，应按要求及时办理注册登记</w:t>
      </w:r>
      <w:r>
        <w:rPr>
          <w:rFonts w:hint="eastAsia" w:ascii="宋体" w:hAnsi="宋体" w:eastAsia="宋体" w:cs="宋体"/>
          <w:spacing w:val="-4"/>
          <w:sz w:val="21"/>
          <w:szCs w:val="21"/>
        </w:rPr>
        <w:t>，并接受</w:t>
      </w:r>
      <w:r>
        <w:rPr>
          <w:rFonts w:hint="eastAsia" w:ascii="宋体" w:hAnsi="宋体" w:eastAsia="宋体" w:cs="宋体"/>
          <w:spacing w:val="-2"/>
          <w:sz w:val="21"/>
          <w:szCs w:val="21"/>
        </w:rPr>
        <w:t>财政部门监督管理。</w:t>
      </w:r>
    </w:p>
    <w:p w14:paraId="4CC9F9E4">
      <w:pPr>
        <w:spacing w:line="325" w:lineRule="auto"/>
        <w:rPr>
          <w:rFonts w:ascii="宋体" w:hAnsi="宋体" w:eastAsia="宋体" w:cs="宋体"/>
          <w:sz w:val="21"/>
          <w:szCs w:val="21"/>
        </w:rPr>
        <w:sectPr>
          <w:pgSz w:w="11906" w:h="16839"/>
          <w:pgMar w:top="1431" w:right="1702" w:bottom="0" w:left="1785" w:header="0" w:footer="0" w:gutter="0"/>
          <w:cols w:space="720" w:num="1"/>
        </w:sectPr>
      </w:pPr>
    </w:p>
    <w:p w14:paraId="17777F48">
      <w:pPr>
        <w:pStyle w:val="2"/>
        <w:jc w:val="center"/>
        <w:rPr>
          <w:rFonts w:hint="eastAsia" w:ascii="宋体" w:hAnsi="宋体" w:eastAsia="宋体" w:cs="宋体"/>
          <w:color w:val="auto"/>
          <w:sz w:val="21"/>
          <w:szCs w:val="21"/>
        </w:rPr>
      </w:pPr>
      <w:bookmarkStart w:id="11" w:name="_Toc20637"/>
      <w:bookmarkStart w:id="12" w:name="_Toc2635"/>
      <w:r>
        <w:rPr>
          <w:rFonts w:hint="eastAsia" w:ascii="宋体" w:hAnsi="宋体" w:eastAsia="宋体" w:cs="宋体"/>
          <w:color w:val="auto"/>
          <w:sz w:val="21"/>
          <w:szCs w:val="21"/>
          <w:lang w:val="en-US" w:eastAsia="zh-CN"/>
        </w:rPr>
        <w:t xml:space="preserve">第一章 </w:t>
      </w:r>
      <w:bookmarkEnd w:id="4"/>
      <w:bookmarkEnd w:id="5"/>
      <w:bookmarkEnd w:id="6"/>
      <w:bookmarkEnd w:id="7"/>
      <w:bookmarkEnd w:id="8"/>
      <w:bookmarkEnd w:id="9"/>
      <w:bookmarkStart w:id="13" w:name="_Toc2929"/>
      <w:bookmarkStart w:id="14" w:name="_Toc389582035"/>
      <w:bookmarkStart w:id="15" w:name="_Toc426457692"/>
      <w:bookmarkStart w:id="16" w:name="_Toc14139"/>
      <w:bookmarkStart w:id="17" w:name="_Toc30304"/>
      <w:bookmarkStart w:id="18" w:name="_Toc6096"/>
      <w:r>
        <w:rPr>
          <w:rFonts w:hint="eastAsia" w:ascii="宋体" w:hAnsi="宋体" w:eastAsia="宋体" w:cs="宋体"/>
          <w:color w:val="auto"/>
          <w:sz w:val="21"/>
          <w:szCs w:val="21"/>
          <w:lang w:val="en-US" w:eastAsia="zh-CN"/>
        </w:rPr>
        <w:t>招标公告</w:t>
      </w:r>
      <w:bookmarkEnd w:id="10"/>
      <w:bookmarkEnd w:id="11"/>
      <w:bookmarkEnd w:id="12"/>
    </w:p>
    <w:p w14:paraId="137F3F9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color w:val="auto"/>
          <w:sz w:val="21"/>
          <w:szCs w:val="21"/>
        </w:rPr>
      </w:pPr>
      <w:bookmarkStart w:id="19" w:name="_Toc26660"/>
      <w:r>
        <w:rPr>
          <w:rStyle w:val="20"/>
          <w:b/>
          <w:bCs/>
          <w:i w:val="0"/>
          <w:iCs w:val="0"/>
          <w:caps w:val="0"/>
          <w:color w:val="auto"/>
          <w:spacing w:val="0"/>
          <w:sz w:val="21"/>
          <w:szCs w:val="21"/>
          <w:bdr w:val="none" w:color="auto" w:sz="0" w:space="0"/>
          <w:shd w:val="clear" w:fill="FFFFFF"/>
        </w:rPr>
        <w:t>项目概况</w:t>
      </w:r>
    </w:p>
    <w:p w14:paraId="29654F0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关于洛川县公立医院改革与高质量发展示范项目紧密型医共体制度建设、人才培训项目</w:t>
      </w:r>
      <w:r>
        <w:rPr>
          <w:rFonts w:hint="eastAsia" w:ascii="微软雅黑" w:hAnsi="微软雅黑" w:eastAsia="微软雅黑" w:cs="微软雅黑"/>
          <w:i w:val="0"/>
          <w:iCs w:val="0"/>
          <w:caps w:val="0"/>
          <w:color w:val="auto"/>
          <w:spacing w:val="0"/>
          <w:sz w:val="21"/>
          <w:szCs w:val="21"/>
          <w:bdr w:val="none" w:color="auto" w:sz="0" w:space="0"/>
          <w:shd w:val="clear" w:fill="FFFFFF"/>
        </w:rPr>
        <w:t>招标项目的潜在投标人应在全国公共资源交易平台（陕西省·延安市）获取招标文件，并于 2025年09月28日 14时30分 （北京时间）前递交投标文件。</w:t>
      </w:r>
    </w:p>
    <w:p w14:paraId="11E09A8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20"/>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14:paraId="0F1B2D2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项目编号：SXZCZB2025-ZCGK-0821</w:t>
      </w:r>
    </w:p>
    <w:p w14:paraId="1479DBB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项目名称：关于洛川县公立医院改革与高质量发展示范项目紧密型医共体制度建设、人才培训项目</w:t>
      </w:r>
    </w:p>
    <w:p w14:paraId="3EC5EE1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采购方式：公开招标</w:t>
      </w:r>
    </w:p>
    <w:p w14:paraId="3807980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预算金额：2,000,000.00元</w:t>
      </w:r>
    </w:p>
    <w:p w14:paraId="2F63B86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14:paraId="4EA962F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合同包1(公立医院改革与高质量发展示范项目紧密型医共体制度建设):</w:t>
      </w:r>
    </w:p>
    <w:p w14:paraId="625C36E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合同包预算金额：1,000,000.00元</w:t>
      </w:r>
    </w:p>
    <w:p w14:paraId="45676DA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合同包最高限价：920,000.00元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2"/>
        <w:gridCol w:w="2044"/>
        <w:gridCol w:w="2622"/>
        <w:gridCol w:w="662"/>
        <w:gridCol w:w="1261"/>
        <w:gridCol w:w="1500"/>
      </w:tblGrid>
      <w:tr w14:paraId="3E49E6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3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F3E224A">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126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21F4CC6">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160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17937A8">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42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E2010BB">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84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771E871">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51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75461F3">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r>
      <w:tr w14:paraId="3667A0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3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05EC1D7">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126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ABF0135">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社会组织建设与管理服务</w:t>
            </w:r>
          </w:p>
        </w:tc>
        <w:tc>
          <w:tcPr>
            <w:tcW w:w="160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B184B7D">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公立医院改革与高质量发展示范项目紧密型医共体制度建设</w:t>
            </w:r>
          </w:p>
        </w:tc>
        <w:tc>
          <w:tcPr>
            <w:tcW w:w="42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158DB0F">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84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D7E40E4">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51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380DB98">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1,000,000.00</w:t>
            </w:r>
          </w:p>
        </w:tc>
      </w:tr>
    </w:tbl>
    <w:p w14:paraId="2F48CCA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14:paraId="0F8D1CF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合同履行期限：无</w:t>
      </w:r>
    </w:p>
    <w:p w14:paraId="12DA266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合同包2(公立医院改革与高质量发展示范项目紧密型医共体人才培训):</w:t>
      </w:r>
    </w:p>
    <w:p w14:paraId="1584416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合同包预算金额：1,000,000.00元</w:t>
      </w:r>
      <w:bookmarkStart w:id="288" w:name="_GoBack"/>
      <w:bookmarkEnd w:id="288"/>
    </w:p>
    <w:p w14:paraId="1FF96F8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合同包最高限价：920,000.00元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2"/>
        <w:gridCol w:w="2044"/>
        <w:gridCol w:w="2622"/>
        <w:gridCol w:w="662"/>
        <w:gridCol w:w="1261"/>
        <w:gridCol w:w="1500"/>
      </w:tblGrid>
      <w:tr w14:paraId="0572F1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3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4141C53">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126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63B9252">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160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867BD2A">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42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BC1EF4C">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84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74CE7DC">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51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85F35AB">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r>
      <w:tr w14:paraId="0268F2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3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5CC441F">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2-1</w:t>
            </w:r>
          </w:p>
        </w:tc>
        <w:tc>
          <w:tcPr>
            <w:tcW w:w="126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4B32D50">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培训服务</w:t>
            </w:r>
          </w:p>
        </w:tc>
        <w:tc>
          <w:tcPr>
            <w:tcW w:w="160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B9A7FC1">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公立医院改革与高质量发展示范项目紧密型医共体人才培训</w:t>
            </w:r>
          </w:p>
        </w:tc>
        <w:tc>
          <w:tcPr>
            <w:tcW w:w="42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4F3CAEF">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84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34CF637">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51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85772B8">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1,000,000.00</w:t>
            </w:r>
          </w:p>
        </w:tc>
      </w:tr>
    </w:tbl>
    <w:p w14:paraId="0A1DFF2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14:paraId="662DADF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合同履行期限：无</w:t>
      </w:r>
    </w:p>
    <w:p w14:paraId="32B5269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20"/>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14:paraId="571E2B3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14:paraId="56E842C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14:paraId="150920D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合同包1(公立医院改革与高质量发展示范项目紧密型医共体制度建设)落实政府采购政策需满足的资格要求如下:</w:t>
      </w:r>
    </w:p>
    <w:p w14:paraId="4167F05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（8）《关于印发环境标志产品政府采购品目清单的通知》--（财库〔2019〕18号）；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（9）《关于印发节能产品政府采购品目清单的通知》--（财库〔2019〕19号）；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（10）《关于发布参与实施政府采购节能产品、环境标志产品认证机构名录的公告》—2019年第16号；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（11）《关于运用政府采购政策支持乡村产业振兴的通知》（财库〔2021〕19号）；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（12）陕西省财政厅关于印发《陕西省中小企业政府采购信用融资办法》（陕财办采〔2018〕23号），相关政策、业务流程、办理平台（详见http://www.ccgp-shaanxi.gov.cn/zcdservice/zcd/shanxi/）；</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（13）《陕西省财政厅关于加快推进我省中小企业政府采购信用融资工作的通知》（陕财办采〔2020〕15号）；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（14）《关于进一步加强政府绿色采购有关问题的通知》（陕财办采〔2021〕29号）；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（15）《陕西省财政厅陕西省工业和信息化厅关于运用政府采购政策支持首台（套）及创新产品有关事项的通知》（陕财办采〔2021〕17号）；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（16）《关于进一步加大政府采购支持中小企业力度的通知》（财库〔2022〕19号）、《关于落实政府采购支持中小企业政策有关事项的通知》（陕财办采函〔2022〕10号）；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（17）其他需要落实的政府采购政策。</w:t>
      </w:r>
    </w:p>
    <w:p w14:paraId="256E146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合同包2(公立医院改革与高质量发展示范项目紧密型医共体人才培训)落实政府采购政策需满足的资格要求如下:</w:t>
      </w:r>
    </w:p>
    <w:p w14:paraId="7EEBBE4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同合同包1</w:t>
      </w:r>
    </w:p>
    <w:p w14:paraId="070E9DF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14:paraId="709D847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合同包1(公立医院改革与高质量发展示范项目紧密型医共体制度建设)特定资格要求如下:</w:t>
      </w:r>
    </w:p>
    <w:p w14:paraId="1F24E1B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（1）提供合格有效的法人或者其他组织的营业执照等证明文件，自然人的身份证明；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（2）提供法定代表人授权书（附法定代表人、被授权人身份证复印件，法定代表人直接参加投标，须提供法定代表人身份证明及身份证复印件）；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（3）提供 2024 年度的财务审计报告（成立时间至提交投标文件截止时间不足一年的可提供成立后任意时段的资产负债表）或开标时间前六个月内银行出具的资信证明；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（4）税收缴纳证明：提供投标截止日前近一年内任意一个月的纳税证明或完税证明（任意税种），依法免税的单位应提供相关证明材料；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（6）提供具有履行本合同所必需的设备和专业技术能力的说明及承诺书；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（7）供应商通过“信用中国”网站(www.creditchina.gov.cn)、中国政府采购网(www.ccgp.gov.cn)等查询相关主体信用记录；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（8）参加政府采购活动前 3 年内，在经营活动中没有重大违法记录的书面声明；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（9）提供中小企业声明函；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（10）本项目不接受联合体投标（提供承诺书）。</w:t>
      </w:r>
    </w:p>
    <w:p w14:paraId="274FB08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合同包2(公立医院改革与高质量发展示范项目紧密型医共体人才培训)特定资格要求如下:</w:t>
      </w:r>
    </w:p>
    <w:p w14:paraId="2D98E2E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同合同包1</w:t>
      </w:r>
    </w:p>
    <w:p w14:paraId="697E0C5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20"/>
          <w:rFonts w:hint="eastAsia" w:ascii="微软雅黑" w:hAnsi="微软雅黑" w:eastAsia="微软雅黑" w:cs="微软雅黑"/>
          <w:b/>
          <w:bCs/>
          <w:i w:val="0"/>
          <w:iCs w:val="0"/>
          <w:caps w:val="0"/>
          <w:color w:val="auto"/>
          <w:spacing w:val="0"/>
          <w:sz w:val="21"/>
          <w:szCs w:val="21"/>
          <w:bdr w:val="none" w:color="auto" w:sz="0" w:space="0"/>
          <w:shd w:val="clear" w:fill="FFFFFF"/>
        </w:rPr>
        <w:t>三、获取招标文件</w:t>
      </w:r>
    </w:p>
    <w:p w14:paraId="3AEB55E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 2025年09月08日 至 2025年09月12日 ，每天上午 09:00:00 至 12:00:00 ，下午 14:00:00 至 17:00:00 （北京时间）</w:t>
      </w:r>
    </w:p>
    <w:p w14:paraId="6031F8E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途径：全国公共资源交易平台（陕西省·延安市）</w:t>
      </w:r>
    </w:p>
    <w:p w14:paraId="37416A9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方式：在线获取</w:t>
      </w:r>
    </w:p>
    <w:p w14:paraId="79F1686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 0元</w:t>
      </w:r>
    </w:p>
    <w:p w14:paraId="68C28D6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20"/>
          <w:rFonts w:hint="eastAsia" w:ascii="微软雅黑" w:hAnsi="微软雅黑" w:eastAsia="微软雅黑" w:cs="微软雅黑"/>
          <w:b/>
          <w:bCs/>
          <w:i w:val="0"/>
          <w:iCs w:val="0"/>
          <w:caps w:val="0"/>
          <w:color w:val="auto"/>
          <w:spacing w:val="0"/>
          <w:sz w:val="21"/>
          <w:szCs w:val="21"/>
          <w:bdr w:val="none" w:color="auto" w:sz="0" w:space="0"/>
          <w:shd w:val="clear" w:fill="FFFFFF"/>
        </w:rPr>
        <w:t>四、提交投标文件截止时间、开标时间和地点</w:t>
      </w:r>
    </w:p>
    <w:p w14:paraId="64F432D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 2025年09月28日 14时30分00秒 （北京时间）</w:t>
      </w:r>
    </w:p>
    <w:p w14:paraId="3C6F1E6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提交投标文件地点：全国公共资源交易平台（陕西省·延安市）网站【首页电子交易平台〉陕西政府采购交易系统〉企业端】在线提交及延安市公共资源交易中心交易五厅</w:t>
      </w:r>
    </w:p>
    <w:p w14:paraId="65C4862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开标地点：全国公共资源交易平台（陕西省·延安市）网站【首页电子交易平台〉陕西政府采购交易系统〉企业端】在线提交及延安市公共资源交易中心交易五厅</w:t>
      </w:r>
    </w:p>
    <w:p w14:paraId="75B3954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20"/>
          <w:rFonts w:hint="eastAsia" w:ascii="微软雅黑" w:hAnsi="微软雅黑" w:eastAsia="微软雅黑" w:cs="微软雅黑"/>
          <w:b/>
          <w:bCs/>
          <w:i w:val="0"/>
          <w:iCs w:val="0"/>
          <w:caps w:val="0"/>
          <w:color w:val="auto"/>
          <w:spacing w:val="0"/>
          <w:sz w:val="21"/>
          <w:szCs w:val="21"/>
          <w:bdr w:val="none" w:color="auto" w:sz="0" w:space="0"/>
          <w:shd w:val="clear" w:fill="FFFFFF"/>
        </w:rPr>
        <w:t>五、公告期限</w:t>
      </w:r>
    </w:p>
    <w:p w14:paraId="7B73ED5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自本公告发布之日起5个工作日。</w:t>
      </w:r>
    </w:p>
    <w:p w14:paraId="5B6DEE0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20"/>
          <w:rFonts w:hint="eastAsia" w:ascii="微软雅黑" w:hAnsi="微软雅黑" w:eastAsia="微软雅黑" w:cs="微软雅黑"/>
          <w:b/>
          <w:bCs/>
          <w:i w:val="0"/>
          <w:iCs w:val="0"/>
          <w:caps w:val="0"/>
          <w:color w:val="auto"/>
          <w:spacing w:val="0"/>
          <w:sz w:val="21"/>
          <w:szCs w:val="21"/>
          <w:bdr w:val="none" w:color="auto" w:sz="0" w:space="0"/>
          <w:shd w:val="clear" w:fill="FFFFFF"/>
        </w:rPr>
        <w:t>六、其他补充事宜</w:t>
      </w:r>
    </w:p>
    <w:p w14:paraId="7143338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1、报名登记：（1）投标人使用捆绑 CA 证书登录延安市公共资源交易中心，选择电子交易平台中的陕西政府采购交易系统进行登录，登录后选择“交易乙方”身份进入投标人界面进行网上报名。（2）招标文件的获取：投标单位报名登记后，务必在报名期限内登录延安市公共资源交易中心，选择“交易乙方”身份进入投标人界面下载招标文件，逾期下载通道将关闭，未及时下载招标文件，影响后续开评标活动后果供应商自负。（3）本项目采用电子化投标的方式，相关操作流程详见全国公共资源交易平台（陕西省）网站[服务指南-下载专区]中的《陕西省公共资源交易中心政府采购项目投标指南》；（4）电子招标文件技术支持：4009280095、4009980000。</w:t>
      </w:r>
    </w:p>
    <w:p w14:paraId="67A986F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2、本项目采用电子化及纸质化投标并行的方式，投标人须在投标文件递交截止时间前将纸质版投标文件递交至延安市公共资源交易中心交易五厅，逾期递交纸质版投标文件的按无效投标处理。</w:t>
      </w:r>
    </w:p>
    <w:p w14:paraId="7142877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3、根据陕西省财政厅关于政府采购投标人注册登记有关事项的通知，如所投本项目的投标人未在陕西省政府采购网注册登记加入陕西省政府采购投标人库的，应按要求及时办理注册登记，并接受财政部门监督管理。</w:t>
      </w:r>
    </w:p>
    <w:p w14:paraId="4712565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4.本项目专门面向中小企业采购。</w:t>
      </w:r>
    </w:p>
    <w:p w14:paraId="0BFAFFA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20"/>
          <w:rFonts w:hint="eastAsia" w:ascii="微软雅黑" w:hAnsi="微软雅黑" w:eastAsia="微软雅黑" w:cs="微软雅黑"/>
          <w:b/>
          <w:bCs/>
          <w:i w:val="0"/>
          <w:iCs w:val="0"/>
          <w:caps w:val="0"/>
          <w:color w:val="auto"/>
          <w:spacing w:val="0"/>
          <w:sz w:val="21"/>
          <w:szCs w:val="21"/>
          <w:bdr w:val="none" w:color="auto" w:sz="0" w:space="0"/>
          <w:shd w:val="clear" w:fill="FFFFFF"/>
        </w:rPr>
        <w:t>七、对本次招标提出询问，请按以下方式联系。</w:t>
      </w:r>
    </w:p>
    <w:p w14:paraId="4E07E5E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14:paraId="2FE0EC1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名称：洛川县卫生健康局</w:t>
      </w:r>
    </w:p>
    <w:p w14:paraId="55F931A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地址：洛川县朝阳东路</w:t>
      </w:r>
    </w:p>
    <w:p w14:paraId="79DA920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联系方式：15991108779</w:t>
      </w:r>
    </w:p>
    <w:p w14:paraId="46F2BE1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14:paraId="167CD23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名称：陕西至诚项目管理集团有限公司</w:t>
      </w:r>
    </w:p>
    <w:p w14:paraId="4CFC21B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地址：陕西省西安市经济技术开发区未央路171-1号银池道拉斯财富中心21楼03室</w:t>
      </w:r>
    </w:p>
    <w:p w14:paraId="7F58F83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联系方式：029-88219779</w:t>
      </w:r>
    </w:p>
    <w:p w14:paraId="7624D8D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14:paraId="234AFAA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项目联系人：倪沛、胡晓均、王欣玫</w:t>
      </w:r>
    </w:p>
    <w:p w14:paraId="6C1BFF2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电话：029-88219779</w:t>
      </w:r>
    </w:p>
    <w:p w14:paraId="3E98737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陕西至诚项目管理集团有限公司</w:t>
      </w:r>
    </w:p>
    <w:p w14:paraId="475B52A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宋体" w:hAnsi="宋体" w:eastAsia="宋体" w:cs="宋体"/>
          <w:i w:val="0"/>
          <w:iCs w:val="0"/>
          <w:caps w:val="0"/>
          <w:color w:val="auto"/>
          <w:spacing w:val="0"/>
          <w:sz w:val="21"/>
          <w:szCs w:val="21"/>
        </w:rPr>
      </w:pPr>
    </w:p>
    <w:p w14:paraId="4AA56EF7">
      <w:pPr>
        <w:rPr>
          <w:color w:val="auto"/>
        </w:rPr>
      </w:pPr>
    </w:p>
    <w:p w14:paraId="10938F03">
      <w:pPr>
        <w:pStyle w:val="32"/>
        <w:keepNext w:val="0"/>
        <w:keepLines w:val="0"/>
        <w:pageBreakBefore w:val="0"/>
        <w:kinsoku/>
        <w:wordWrap/>
        <w:overflowPunct/>
        <w:topLinePunct w:val="0"/>
        <w:autoSpaceDE/>
        <w:autoSpaceDN/>
        <w:bidi w:val="0"/>
        <w:adjustRightInd/>
        <w:snapToGrid/>
        <w:spacing w:line="480" w:lineRule="auto"/>
        <w:ind w:firstLine="420" w:firstLineChars="200"/>
        <w:jc w:val="right"/>
        <w:textAlignment w:val="auto"/>
        <w:rPr>
          <w:rFonts w:hint="eastAsia" w:ascii="宋体" w:hAnsi="宋体" w:eastAsia="宋体" w:cs="宋体"/>
          <w:sz w:val="21"/>
          <w:szCs w:val="21"/>
          <w:highlight w:val="yellow"/>
          <w:lang w:val="en-US" w:eastAsia="zh-CN"/>
        </w:rPr>
      </w:pPr>
    </w:p>
    <w:p w14:paraId="41605305">
      <w:pPr>
        <w:rPr>
          <w:rFonts w:hint="eastAsia" w:ascii="宋体" w:eastAsia="宋体" w:cs="宋体"/>
          <w:sz w:val="36"/>
          <w:szCs w:val="36"/>
          <w:highlight w:val="yellow"/>
        </w:rPr>
      </w:pPr>
      <w:r>
        <w:rPr>
          <w:rFonts w:hint="eastAsia" w:ascii="宋体" w:eastAsia="宋体" w:cs="宋体"/>
          <w:sz w:val="36"/>
          <w:szCs w:val="36"/>
          <w:highlight w:val="yellow"/>
        </w:rPr>
        <w:br w:type="page"/>
      </w:r>
    </w:p>
    <w:p w14:paraId="776A272C">
      <w:pPr>
        <w:pStyle w:val="2"/>
        <w:jc w:val="center"/>
        <w:rPr>
          <w:rStyle w:val="21"/>
          <w:rFonts w:ascii="宋体" w:eastAsia="宋体" w:cs="宋体"/>
          <w:b/>
          <w:sz w:val="24"/>
          <w:szCs w:val="24"/>
        </w:rPr>
      </w:pPr>
      <w:bookmarkStart w:id="20" w:name="_Toc29318"/>
      <w:bookmarkStart w:id="21" w:name="_Toc5294"/>
      <w:bookmarkStart w:id="22" w:name="_Toc19624"/>
      <w:r>
        <w:rPr>
          <w:rFonts w:hint="eastAsia" w:ascii="宋体" w:eastAsia="宋体" w:cs="宋体"/>
          <w:sz w:val="24"/>
          <w:szCs w:val="24"/>
        </w:rPr>
        <w:t>第二</w:t>
      </w:r>
      <w:r>
        <w:rPr>
          <w:rStyle w:val="21"/>
          <w:rFonts w:hint="eastAsia" w:ascii="宋体" w:eastAsia="宋体" w:cs="宋体"/>
          <w:b/>
          <w:sz w:val="24"/>
          <w:szCs w:val="24"/>
        </w:rPr>
        <w:t xml:space="preserve">章  </w:t>
      </w:r>
      <w:bookmarkEnd w:id="13"/>
      <w:bookmarkEnd w:id="14"/>
      <w:r>
        <w:rPr>
          <w:rStyle w:val="21"/>
          <w:rFonts w:hint="eastAsia" w:ascii="宋体" w:eastAsia="宋体" w:cs="宋体"/>
          <w:b/>
          <w:sz w:val="24"/>
          <w:szCs w:val="24"/>
        </w:rPr>
        <w:t>投标人须知</w:t>
      </w:r>
      <w:bookmarkEnd w:id="15"/>
      <w:bookmarkEnd w:id="16"/>
      <w:bookmarkEnd w:id="19"/>
      <w:bookmarkEnd w:id="20"/>
      <w:bookmarkEnd w:id="21"/>
      <w:bookmarkEnd w:id="22"/>
    </w:p>
    <w:bookmarkEnd w:id="17"/>
    <w:bookmarkEnd w:id="18"/>
    <w:p w14:paraId="26434334">
      <w:pPr>
        <w:pStyle w:val="3"/>
        <w:spacing w:before="120" w:after="120"/>
        <w:jc w:val="center"/>
        <w:rPr>
          <w:rFonts w:ascii="宋体" w:hAnsi="宋体" w:cs="宋体"/>
          <w:sz w:val="24"/>
          <w:szCs w:val="24"/>
        </w:rPr>
      </w:pPr>
      <w:bookmarkStart w:id="23" w:name="_Toc30222"/>
      <w:bookmarkStart w:id="24" w:name="_Toc18306"/>
      <w:bookmarkStart w:id="25" w:name="_Toc426457693"/>
      <w:bookmarkStart w:id="26" w:name="_Toc17539"/>
      <w:bookmarkStart w:id="27" w:name="_Toc23108"/>
      <w:bookmarkStart w:id="28" w:name="_Toc11975"/>
      <w:bookmarkStart w:id="29" w:name="_Toc11969"/>
      <w:bookmarkStart w:id="30" w:name="_Toc17040"/>
      <w:r>
        <w:rPr>
          <w:rFonts w:hint="eastAsia" w:ascii="宋体" w:hAnsi="宋体" w:cs="宋体"/>
          <w:sz w:val="24"/>
          <w:szCs w:val="24"/>
        </w:rPr>
        <w:t>投标人须知前附表</w:t>
      </w:r>
      <w:bookmarkEnd w:id="23"/>
      <w:bookmarkEnd w:id="24"/>
      <w:bookmarkEnd w:id="25"/>
      <w:bookmarkEnd w:id="26"/>
      <w:bookmarkEnd w:id="27"/>
      <w:bookmarkEnd w:id="28"/>
      <w:bookmarkEnd w:id="29"/>
      <w:bookmarkEnd w:id="30"/>
    </w:p>
    <w:tbl>
      <w:tblPr>
        <w:tblStyle w:val="17"/>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43"/>
        <w:gridCol w:w="1550"/>
        <w:gridCol w:w="6266"/>
      </w:tblGrid>
      <w:tr w14:paraId="4D640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325" w:type="pct"/>
          </w:tcPr>
          <w:p w14:paraId="68355A9C">
            <w:pPr>
              <w:spacing w:before="166" w:beforeLines="50"/>
              <w:jc w:val="center"/>
              <w:rPr>
                <w:rFonts w:hAnsi="宋体" w:cs="宋体"/>
                <w:b/>
                <w:sz w:val="21"/>
                <w:szCs w:val="21"/>
              </w:rPr>
            </w:pPr>
            <w:r>
              <w:rPr>
                <w:rFonts w:hint="eastAsia" w:hAnsi="宋体" w:cs="宋体"/>
                <w:b/>
                <w:sz w:val="21"/>
                <w:szCs w:val="21"/>
              </w:rPr>
              <w:t>序号</w:t>
            </w:r>
          </w:p>
        </w:tc>
        <w:tc>
          <w:tcPr>
            <w:tcW w:w="927" w:type="pct"/>
            <w:vAlign w:val="center"/>
          </w:tcPr>
          <w:p w14:paraId="00F1F452">
            <w:pPr>
              <w:spacing w:before="166" w:beforeLines="50"/>
              <w:jc w:val="center"/>
              <w:rPr>
                <w:rFonts w:hAnsi="宋体" w:cs="宋体"/>
                <w:b/>
                <w:sz w:val="21"/>
                <w:szCs w:val="21"/>
              </w:rPr>
            </w:pPr>
            <w:r>
              <w:rPr>
                <w:rFonts w:hint="eastAsia" w:hAnsi="宋体" w:cs="宋体"/>
                <w:b/>
                <w:sz w:val="21"/>
                <w:szCs w:val="21"/>
              </w:rPr>
              <w:t>条款号</w:t>
            </w:r>
          </w:p>
        </w:tc>
        <w:tc>
          <w:tcPr>
            <w:tcW w:w="3746" w:type="pct"/>
          </w:tcPr>
          <w:p w14:paraId="4564DF1D">
            <w:pPr>
              <w:spacing w:before="166" w:beforeLines="50"/>
              <w:jc w:val="center"/>
              <w:rPr>
                <w:rFonts w:hAnsi="宋体" w:cs="宋体"/>
                <w:b/>
                <w:sz w:val="21"/>
                <w:szCs w:val="21"/>
              </w:rPr>
            </w:pPr>
            <w:r>
              <w:rPr>
                <w:rFonts w:hint="eastAsia" w:hAnsi="宋体" w:cs="宋体"/>
                <w:b/>
                <w:sz w:val="21"/>
                <w:szCs w:val="21"/>
              </w:rPr>
              <w:t xml:space="preserve">编 列 内 容 </w:t>
            </w:r>
          </w:p>
        </w:tc>
      </w:tr>
      <w:tr w14:paraId="250B6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325" w:type="pct"/>
            <w:vAlign w:val="center"/>
          </w:tcPr>
          <w:p w14:paraId="7F9F894F">
            <w:pPr>
              <w:jc w:val="center"/>
              <w:rPr>
                <w:rFonts w:hAnsi="宋体" w:cs="宋体"/>
                <w:sz w:val="21"/>
                <w:szCs w:val="21"/>
              </w:rPr>
            </w:pPr>
            <w:r>
              <w:rPr>
                <w:rFonts w:hint="eastAsia" w:hAnsi="宋体" w:cs="宋体"/>
                <w:sz w:val="21"/>
                <w:szCs w:val="21"/>
              </w:rPr>
              <w:t>1</w:t>
            </w:r>
          </w:p>
        </w:tc>
        <w:tc>
          <w:tcPr>
            <w:tcW w:w="927" w:type="pct"/>
            <w:vAlign w:val="center"/>
          </w:tcPr>
          <w:p w14:paraId="29D1DFC4">
            <w:pPr>
              <w:jc w:val="center"/>
              <w:rPr>
                <w:rFonts w:hint="default" w:hAnsi="宋体" w:eastAsia="宋体" w:cs="宋体"/>
                <w:sz w:val="21"/>
                <w:szCs w:val="21"/>
                <w:highlight w:val="none"/>
                <w:lang w:val="en-US" w:eastAsia="zh-CN"/>
              </w:rPr>
            </w:pPr>
            <w:r>
              <w:rPr>
                <w:rFonts w:hint="eastAsia" w:hAnsi="宋体" w:cs="宋体"/>
                <w:sz w:val="21"/>
                <w:szCs w:val="21"/>
                <w:highlight w:val="none"/>
                <w:lang w:val="en-US" w:eastAsia="zh-CN"/>
              </w:rPr>
              <w:t>采购人</w:t>
            </w:r>
          </w:p>
        </w:tc>
        <w:tc>
          <w:tcPr>
            <w:tcW w:w="3746" w:type="pct"/>
          </w:tcPr>
          <w:p w14:paraId="5AC2CF07">
            <w:pPr>
              <w:spacing w:line="360" w:lineRule="auto"/>
              <w:rPr>
                <w:rFonts w:hint="eastAsia" w:hAnsi="宋体" w:eastAsia="宋体" w:cs="宋体"/>
                <w:sz w:val="21"/>
                <w:szCs w:val="21"/>
                <w:highlight w:val="none"/>
                <w:lang w:eastAsia="zh-CN"/>
              </w:rPr>
            </w:pPr>
            <w:r>
              <w:rPr>
                <w:rFonts w:hint="eastAsia" w:hAnsi="宋体" w:cs="宋体"/>
                <w:sz w:val="21"/>
                <w:szCs w:val="21"/>
                <w:highlight w:val="none"/>
              </w:rPr>
              <w:t>名称：</w:t>
            </w:r>
            <w:r>
              <w:rPr>
                <w:rFonts w:hint="eastAsia" w:hAnsi="宋体" w:cs="宋体"/>
                <w:sz w:val="21"/>
                <w:szCs w:val="21"/>
                <w:highlight w:val="none"/>
                <w:lang w:eastAsia="zh-CN"/>
              </w:rPr>
              <w:t>洛川县卫生健康局</w:t>
            </w:r>
          </w:p>
          <w:p w14:paraId="46735B14">
            <w:pPr>
              <w:spacing w:line="360" w:lineRule="auto"/>
              <w:rPr>
                <w:rFonts w:hint="eastAsia" w:hAnsi="宋体" w:cs="宋体"/>
                <w:sz w:val="21"/>
                <w:szCs w:val="21"/>
                <w:highlight w:val="none"/>
              </w:rPr>
            </w:pPr>
            <w:r>
              <w:rPr>
                <w:rFonts w:hint="eastAsia" w:hAnsi="宋体" w:cs="宋体"/>
                <w:sz w:val="21"/>
                <w:szCs w:val="21"/>
                <w:highlight w:val="none"/>
              </w:rPr>
              <w:t>地址：</w:t>
            </w:r>
            <w:r>
              <w:rPr>
                <w:rFonts w:hint="eastAsia" w:cs="宋体"/>
                <w:i w:val="0"/>
                <w:iCs w:val="0"/>
                <w:caps w:val="0"/>
                <w:color w:val="333333"/>
                <w:spacing w:val="0"/>
                <w:sz w:val="21"/>
                <w:szCs w:val="21"/>
                <w:highlight w:val="none"/>
                <w:shd w:val="clear" w:color="auto" w:fill="FFFFFF"/>
                <w:lang w:val="en-US" w:eastAsia="zh-CN"/>
              </w:rPr>
              <w:t>洛川县朝阳东路</w:t>
            </w:r>
          </w:p>
          <w:p w14:paraId="6DBAAFCD">
            <w:pPr>
              <w:spacing w:line="360" w:lineRule="auto"/>
              <w:rPr>
                <w:rFonts w:hint="default" w:hAnsi="宋体" w:cs="宋体"/>
                <w:sz w:val="21"/>
                <w:szCs w:val="21"/>
                <w:highlight w:val="none"/>
                <w:lang w:val="en-US"/>
              </w:rPr>
            </w:pPr>
            <w:r>
              <w:rPr>
                <w:rFonts w:hint="eastAsia" w:hAnsi="宋体" w:cs="宋体"/>
                <w:sz w:val="21"/>
                <w:szCs w:val="21"/>
                <w:highlight w:val="none"/>
              </w:rPr>
              <w:t>联系方式：15991108779</w:t>
            </w:r>
          </w:p>
        </w:tc>
      </w:tr>
      <w:tr w14:paraId="282FC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325" w:type="pct"/>
            <w:vAlign w:val="center"/>
          </w:tcPr>
          <w:p w14:paraId="0B379238">
            <w:pPr>
              <w:jc w:val="center"/>
              <w:rPr>
                <w:rFonts w:hint="eastAsia" w:hAnsi="宋体" w:eastAsia="宋体" w:cs="宋体"/>
                <w:sz w:val="21"/>
                <w:szCs w:val="21"/>
                <w:lang w:val="en-US" w:eastAsia="zh-CN"/>
              </w:rPr>
            </w:pPr>
            <w:r>
              <w:rPr>
                <w:rFonts w:hint="eastAsia" w:hAnsi="宋体" w:cs="宋体"/>
                <w:sz w:val="21"/>
                <w:szCs w:val="21"/>
                <w:lang w:val="en-US" w:eastAsia="zh-CN"/>
              </w:rPr>
              <w:t>2</w:t>
            </w:r>
          </w:p>
        </w:tc>
        <w:tc>
          <w:tcPr>
            <w:tcW w:w="927" w:type="pct"/>
            <w:vAlign w:val="center"/>
          </w:tcPr>
          <w:p w14:paraId="653629B0">
            <w:pPr>
              <w:jc w:val="center"/>
              <w:rPr>
                <w:rFonts w:hint="eastAsia" w:hAnsi="宋体" w:cs="宋体"/>
                <w:sz w:val="21"/>
                <w:szCs w:val="21"/>
                <w:lang w:val="en-US" w:eastAsia="zh-CN"/>
              </w:rPr>
            </w:pPr>
            <w:r>
              <w:rPr>
                <w:rFonts w:hint="eastAsia" w:hAnsi="宋体" w:cs="宋体"/>
                <w:sz w:val="21"/>
                <w:szCs w:val="21"/>
                <w:lang w:val="en-US" w:eastAsia="zh-CN"/>
              </w:rPr>
              <w:t>招标代理机构</w:t>
            </w:r>
          </w:p>
        </w:tc>
        <w:tc>
          <w:tcPr>
            <w:tcW w:w="3746" w:type="pct"/>
          </w:tcPr>
          <w:p w14:paraId="3C8C14B9">
            <w:pPr>
              <w:spacing w:line="360" w:lineRule="auto"/>
              <w:rPr>
                <w:rFonts w:hint="eastAsia" w:hAnsi="宋体" w:cs="宋体"/>
                <w:sz w:val="21"/>
                <w:szCs w:val="21"/>
              </w:rPr>
            </w:pPr>
            <w:r>
              <w:rPr>
                <w:rFonts w:hint="eastAsia" w:hAnsi="宋体" w:cs="宋体"/>
                <w:sz w:val="21"/>
                <w:szCs w:val="21"/>
              </w:rPr>
              <w:t>名称：陕西至诚项目管理集团有限公司</w:t>
            </w:r>
          </w:p>
          <w:p w14:paraId="4197398B">
            <w:pPr>
              <w:spacing w:line="360" w:lineRule="auto"/>
              <w:rPr>
                <w:rFonts w:hint="eastAsia" w:ascii="宋体" w:hAnsi="宋体" w:eastAsia="宋体" w:cs="宋体"/>
                <w:sz w:val="21"/>
                <w:szCs w:val="21"/>
                <w:highlight w:val="none"/>
              </w:rPr>
            </w:pPr>
            <w:r>
              <w:rPr>
                <w:rFonts w:hint="eastAsia" w:hAnsi="宋体" w:cs="宋体"/>
                <w:sz w:val="21"/>
                <w:szCs w:val="21"/>
              </w:rPr>
              <w:t>地址：</w:t>
            </w:r>
            <w:r>
              <w:rPr>
                <w:rFonts w:hint="eastAsia" w:ascii="宋体" w:hAnsi="宋体" w:eastAsia="宋体" w:cs="宋体"/>
                <w:sz w:val="21"/>
                <w:szCs w:val="21"/>
                <w:highlight w:val="none"/>
              </w:rPr>
              <w:t>陕西省西安市经济技术开发区未央路171-1号银池道拉斯财富中心21楼03室</w:t>
            </w:r>
          </w:p>
          <w:p w14:paraId="3520329F">
            <w:pPr>
              <w:spacing w:line="360" w:lineRule="auto"/>
              <w:rPr>
                <w:rFonts w:hint="eastAsia" w:hAnsi="宋体" w:cs="宋体"/>
                <w:sz w:val="21"/>
                <w:szCs w:val="21"/>
              </w:rPr>
            </w:pPr>
            <w:r>
              <w:rPr>
                <w:rFonts w:hint="eastAsia" w:hAnsi="宋体" w:cs="宋体"/>
                <w:sz w:val="21"/>
                <w:szCs w:val="21"/>
              </w:rPr>
              <w:t>联系人：倪沛、胡晓均、王欣玫</w:t>
            </w:r>
          </w:p>
          <w:p w14:paraId="486EFD95">
            <w:pPr>
              <w:spacing w:line="360" w:lineRule="auto"/>
              <w:rPr>
                <w:rFonts w:hint="eastAsia" w:hAnsi="宋体" w:eastAsia="宋体" w:cs="宋体"/>
                <w:sz w:val="21"/>
                <w:szCs w:val="21"/>
                <w:lang w:val="en-US" w:eastAsia="zh-CN"/>
              </w:rPr>
            </w:pPr>
            <w:r>
              <w:rPr>
                <w:rFonts w:hint="eastAsia" w:hAnsi="宋体" w:cs="宋体"/>
                <w:sz w:val="21"/>
                <w:szCs w:val="21"/>
              </w:rPr>
              <w:t>电话：</w:t>
            </w:r>
            <w:r>
              <w:rPr>
                <w:rFonts w:hint="eastAsia" w:hAnsi="宋体" w:cs="宋体"/>
                <w:sz w:val="21"/>
                <w:szCs w:val="21"/>
                <w:lang w:eastAsia="zh-CN"/>
              </w:rPr>
              <w:t>029-88219779</w:t>
            </w:r>
          </w:p>
        </w:tc>
      </w:tr>
      <w:tr w14:paraId="17EE2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325" w:type="pct"/>
            <w:vAlign w:val="center"/>
          </w:tcPr>
          <w:p w14:paraId="455C2FD0">
            <w:pPr>
              <w:jc w:val="center"/>
              <w:rPr>
                <w:rFonts w:hint="eastAsia" w:hAnsi="宋体" w:eastAsia="宋体" w:cs="宋体"/>
                <w:sz w:val="21"/>
                <w:szCs w:val="21"/>
                <w:lang w:eastAsia="zh-CN"/>
              </w:rPr>
            </w:pPr>
            <w:r>
              <w:rPr>
                <w:rFonts w:hint="eastAsia" w:hAnsi="宋体" w:cs="宋体"/>
                <w:sz w:val="21"/>
                <w:szCs w:val="21"/>
                <w:lang w:val="en-US" w:eastAsia="zh-CN"/>
              </w:rPr>
              <w:t>3</w:t>
            </w:r>
          </w:p>
        </w:tc>
        <w:tc>
          <w:tcPr>
            <w:tcW w:w="927" w:type="pct"/>
            <w:vAlign w:val="center"/>
          </w:tcPr>
          <w:p w14:paraId="5074151B">
            <w:pPr>
              <w:jc w:val="center"/>
              <w:rPr>
                <w:rFonts w:hint="default" w:hAnsi="宋体" w:eastAsia="宋体" w:cs="宋体"/>
                <w:sz w:val="21"/>
                <w:szCs w:val="21"/>
                <w:lang w:val="en-US" w:eastAsia="zh-CN"/>
              </w:rPr>
            </w:pPr>
            <w:r>
              <w:rPr>
                <w:rFonts w:hint="eastAsia" w:hAnsi="宋体" w:cs="宋体"/>
                <w:sz w:val="21"/>
                <w:szCs w:val="21"/>
                <w:lang w:val="en-US" w:eastAsia="zh-CN"/>
              </w:rPr>
              <w:t>项目名称</w:t>
            </w:r>
          </w:p>
        </w:tc>
        <w:tc>
          <w:tcPr>
            <w:tcW w:w="3746" w:type="pct"/>
            <w:vAlign w:val="center"/>
          </w:tcPr>
          <w:p w14:paraId="442A27BD">
            <w:pPr>
              <w:rPr>
                <w:rFonts w:hint="eastAsia" w:hAnsi="宋体" w:eastAsia="宋体" w:cs="宋体"/>
                <w:sz w:val="21"/>
                <w:szCs w:val="21"/>
                <w:lang w:eastAsia="zh-CN"/>
              </w:rPr>
            </w:pPr>
            <w:r>
              <w:rPr>
                <w:rFonts w:hint="eastAsia" w:hAnsi="宋体" w:cs="宋体"/>
                <w:sz w:val="21"/>
                <w:szCs w:val="21"/>
                <w:lang w:eastAsia="zh-CN"/>
              </w:rPr>
              <w:t>关于洛川县公立医院改革与高质量发展示范项目紧密型医共体制度建设、人才培训项目</w:t>
            </w:r>
          </w:p>
        </w:tc>
      </w:tr>
      <w:tr w14:paraId="66777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325" w:type="pct"/>
            <w:vAlign w:val="center"/>
          </w:tcPr>
          <w:p w14:paraId="0A5D3086">
            <w:pPr>
              <w:jc w:val="center"/>
              <w:rPr>
                <w:rFonts w:hint="eastAsia" w:hAnsi="宋体" w:eastAsia="宋体" w:cs="宋体"/>
                <w:sz w:val="21"/>
                <w:szCs w:val="21"/>
                <w:lang w:eastAsia="zh-CN"/>
              </w:rPr>
            </w:pPr>
            <w:r>
              <w:rPr>
                <w:rFonts w:hint="eastAsia" w:hAnsi="宋体" w:cs="宋体"/>
                <w:sz w:val="21"/>
                <w:szCs w:val="21"/>
                <w:lang w:val="en-US" w:eastAsia="zh-CN"/>
              </w:rPr>
              <w:t>4</w:t>
            </w:r>
          </w:p>
        </w:tc>
        <w:tc>
          <w:tcPr>
            <w:tcW w:w="927" w:type="pct"/>
            <w:vAlign w:val="center"/>
          </w:tcPr>
          <w:p w14:paraId="23378C1D">
            <w:pPr>
              <w:spacing w:line="360" w:lineRule="auto"/>
              <w:jc w:val="center"/>
              <w:rPr>
                <w:rFonts w:hint="default" w:hAnsi="宋体" w:eastAsia="宋体" w:cs="宋体"/>
                <w:sz w:val="21"/>
                <w:szCs w:val="21"/>
                <w:highlight w:val="none"/>
                <w:lang w:val="en-US" w:eastAsia="zh-CN"/>
              </w:rPr>
            </w:pPr>
            <w:r>
              <w:rPr>
                <w:rFonts w:hint="eastAsia" w:hAnsi="宋体" w:cs="宋体"/>
                <w:sz w:val="21"/>
                <w:szCs w:val="21"/>
                <w:highlight w:val="none"/>
                <w:lang w:val="en-US" w:eastAsia="zh-CN"/>
              </w:rPr>
              <w:t>项目地点</w:t>
            </w:r>
          </w:p>
        </w:tc>
        <w:tc>
          <w:tcPr>
            <w:tcW w:w="3746" w:type="pct"/>
            <w:vAlign w:val="center"/>
          </w:tcPr>
          <w:p w14:paraId="29B35787">
            <w:pPr>
              <w:spacing w:line="360" w:lineRule="auto"/>
              <w:rPr>
                <w:rFonts w:hint="eastAsia" w:hAnsi="宋体" w:eastAsia="宋体" w:cs="宋体"/>
                <w:sz w:val="21"/>
                <w:szCs w:val="21"/>
                <w:highlight w:val="none"/>
                <w:lang w:eastAsia="zh-CN"/>
              </w:rPr>
            </w:pPr>
            <w:r>
              <w:rPr>
                <w:rFonts w:hint="eastAsia" w:hAnsi="宋体" w:eastAsia="宋体" w:cs="宋体"/>
                <w:sz w:val="21"/>
                <w:szCs w:val="21"/>
                <w:highlight w:val="none"/>
                <w:lang w:eastAsia="zh-CN"/>
              </w:rPr>
              <w:t>洛川县</w:t>
            </w:r>
          </w:p>
        </w:tc>
      </w:tr>
      <w:tr w14:paraId="57284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63" w:hRule="atLeast"/>
          <w:jc w:val="center"/>
        </w:trPr>
        <w:tc>
          <w:tcPr>
            <w:tcW w:w="325" w:type="pct"/>
            <w:vAlign w:val="center"/>
          </w:tcPr>
          <w:p w14:paraId="2818F4F4">
            <w:pPr>
              <w:jc w:val="center"/>
              <w:rPr>
                <w:rFonts w:hint="eastAsia" w:hAnsi="宋体" w:eastAsia="宋体" w:cs="宋体"/>
                <w:sz w:val="21"/>
                <w:szCs w:val="21"/>
                <w:lang w:eastAsia="zh-CN"/>
              </w:rPr>
            </w:pPr>
            <w:r>
              <w:rPr>
                <w:rFonts w:hint="eastAsia" w:hAnsi="宋体" w:cs="宋体"/>
                <w:sz w:val="21"/>
                <w:szCs w:val="21"/>
                <w:lang w:val="en-US" w:eastAsia="zh-CN"/>
              </w:rPr>
              <w:t>5</w:t>
            </w:r>
          </w:p>
        </w:tc>
        <w:tc>
          <w:tcPr>
            <w:tcW w:w="927" w:type="pct"/>
            <w:vAlign w:val="center"/>
          </w:tcPr>
          <w:p w14:paraId="67FB72CB">
            <w:pPr>
              <w:jc w:val="center"/>
              <w:rPr>
                <w:rFonts w:hint="default" w:hAnsi="宋体" w:eastAsia="宋体" w:cs="宋体"/>
                <w:sz w:val="21"/>
                <w:szCs w:val="21"/>
                <w:lang w:val="en-US" w:eastAsia="zh-CN"/>
              </w:rPr>
            </w:pPr>
            <w:r>
              <w:rPr>
                <w:rFonts w:hint="eastAsia" w:hAnsi="宋体" w:cs="宋体"/>
                <w:sz w:val="21"/>
                <w:szCs w:val="21"/>
                <w:lang w:val="en-US" w:eastAsia="zh-CN"/>
              </w:rPr>
              <w:t>资金来源</w:t>
            </w:r>
          </w:p>
        </w:tc>
        <w:tc>
          <w:tcPr>
            <w:tcW w:w="3746" w:type="pct"/>
            <w:vAlign w:val="center"/>
          </w:tcPr>
          <w:p w14:paraId="7F0E5085">
            <w:pPr>
              <w:rPr>
                <w:rFonts w:hAnsi="宋体" w:cs="宋体"/>
                <w:sz w:val="21"/>
                <w:szCs w:val="21"/>
              </w:rPr>
            </w:pPr>
            <w:r>
              <w:rPr>
                <w:rFonts w:hint="eastAsia" w:hAnsi="宋体" w:cs="宋体"/>
                <w:sz w:val="21"/>
                <w:szCs w:val="21"/>
              </w:rPr>
              <w:t>财政性资金</w:t>
            </w:r>
          </w:p>
        </w:tc>
      </w:tr>
      <w:tr w14:paraId="06922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63" w:hRule="atLeast"/>
          <w:jc w:val="center"/>
        </w:trPr>
        <w:tc>
          <w:tcPr>
            <w:tcW w:w="325" w:type="pct"/>
            <w:vAlign w:val="center"/>
          </w:tcPr>
          <w:p w14:paraId="3B145B24">
            <w:pPr>
              <w:jc w:val="center"/>
              <w:rPr>
                <w:rFonts w:hint="default" w:hAnsi="宋体" w:cs="宋体"/>
                <w:sz w:val="21"/>
                <w:szCs w:val="21"/>
                <w:lang w:val="en-US" w:eastAsia="zh-CN"/>
              </w:rPr>
            </w:pPr>
            <w:r>
              <w:rPr>
                <w:rFonts w:hint="eastAsia" w:hAnsi="宋体" w:cs="宋体"/>
                <w:sz w:val="21"/>
                <w:szCs w:val="21"/>
                <w:lang w:val="en-US" w:eastAsia="zh-CN"/>
              </w:rPr>
              <w:t>6</w:t>
            </w:r>
          </w:p>
        </w:tc>
        <w:tc>
          <w:tcPr>
            <w:tcW w:w="927" w:type="pct"/>
            <w:vAlign w:val="center"/>
          </w:tcPr>
          <w:p w14:paraId="3B9E56FD">
            <w:pPr>
              <w:jc w:val="center"/>
              <w:rPr>
                <w:rFonts w:hint="eastAsia" w:hAnsi="宋体" w:cs="宋体"/>
                <w:sz w:val="21"/>
                <w:szCs w:val="21"/>
                <w:lang w:val="en-US" w:eastAsia="zh-CN"/>
              </w:rPr>
            </w:pPr>
            <w:r>
              <w:rPr>
                <w:rFonts w:hint="eastAsia" w:hAnsi="宋体" w:cs="宋体"/>
                <w:sz w:val="21"/>
                <w:szCs w:val="21"/>
                <w:lang w:val="en-US" w:eastAsia="zh-CN"/>
              </w:rPr>
              <w:t>资金落实情况</w:t>
            </w:r>
          </w:p>
        </w:tc>
        <w:tc>
          <w:tcPr>
            <w:tcW w:w="3746" w:type="pct"/>
            <w:vAlign w:val="center"/>
          </w:tcPr>
          <w:p w14:paraId="427E4810">
            <w:pPr>
              <w:rPr>
                <w:rFonts w:hint="eastAsia" w:hAnsi="宋体" w:cs="宋体"/>
                <w:sz w:val="21"/>
                <w:szCs w:val="21"/>
              </w:rPr>
            </w:pPr>
            <w:r>
              <w:rPr>
                <w:rFonts w:hint="eastAsia" w:hAnsi="宋体" w:cs="宋体"/>
                <w:sz w:val="21"/>
                <w:szCs w:val="21"/>
              </w:rPr>
              <w:t>已落实</w:t>
            </w:r>
          </w:p>
        </w:tc>
      </w:tr>
      <w:tr w14:paraId="55270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325" w:type="pct"/>
            <w:vAlign w:val="center"/>
          </w:tcPr>
          <w:p w14:paraId="21B1C340">
            <w:pPr>
              <w:jc w:val="center"/>
              <w:rPr>
                <w:rFonts w:hint="eastAsia" w:hAnsi="宋体" w:eastAsia="宋体" w:cs="宋体"/>
                <w:sz w:val="21"/>
                <w:szCs w:val="21"/>
                <w:lang w:eastAsia="zh-CN"/>
              </w:rPr>
            </w:pPr>
            <w:r>
              <w:rPr>
                <w:rFonts w:hint="eastAsia" w:hAnsi="宋体" w:cs="宋体"/>
                <w:sz w:val="21"/>
                <w:szCs w:val="21"/>
                <w:lang w:val="en-US" w:eastAsia="zh-CN"/>
              </w:rPr>
              <w:t>7</w:t>
            </w:r>
          </w:p>
        </w:tc>
        <w:tc>
          <w:tcPr>
            <w:tcW w:w="927" w:type="pct"/>
            <w:vAlign w:val="center"/>
          </w:tcPr>
          <w:p w14:paraId="1AF5566B">
            <w:pPr>
              <w:jc w:val="center"/>
              <w:rPr>
                <w:rFonts w:hint="default" w:hAnsi="宋体" w:eastAsia="宋体" w:cs="宋体"/>
                <w:sz w:val="21"/>
                <w:szCs w:val="21"/>
                <w:highlight w:val="none"/>
                <w:lang w:val="en-US" w:eastAsia="zh-CN"/>
              </w:rPr>
            </w:pPr>
            <w:r>
              <w:rPr>
                <w:rFonts w:hint="eastAsia" w:hAnsi="宋体" w:cs="宋体"/>
                <w:sz w:val="21"/>
                <w:szCs w:val="21"/>
                <w:highlight w:val="none"/>
                <w:lang w:val="en-US" w:eastAsia="zh-CN"/>
              </w:rPr>
              <w:t>最高限价</w:t>
            </w:r>
          </w:p>
        </w:tc>
        <w:tc>
          <w:tcPr>
            <w:tcW w:w="3746" w:type="pct"/>
            <w:vAlign w:val="center"/>
          </w:tcPr>
          <w:p w14:paraId="26BEF207">
            <w:pPr>
              <w:spacing w:line="360" w:lineRule="auto"/>
              <w:rPr>
                <w:rFonts w:hint="default" w:hAnsi="宋体" w:eastAsia="宋体" w:cs="宋体"/>
                <w:sz w:val="21"/>
                <w:szCs w:val="21"/>
                <w:highlight w:val="none"/>
                <w:lang w:val="en-US" w:eastAsia="zh-CN"/>
              </w:rPr>
            </w:pPr>
            <w:r>
              <w:rPr>
                <w:rFonts w:hint="default" w:hAnsi="宋体" w:eastAsia="宋体" w:cs="宋体"/>
                <w:sz w:val="21"/>
                <w:szCs w:val="21"/>
                <w:highlight w:val="none"/>
                <w:lang w:val="en-US" w:eastAsia="zh-CN"/>
              </w:rPr>
              <w:t>合同包1(公立医院改革与高质量发展示范项目紧密型医共体制度建设)：920,000.00 元</w:t>
            </w:r>
          </w:p>
          <w:p w14:paraId="4E5996E5">
            <w:pPr>
              <w:spacing w:line="360" w:lineRule="auto"/>
              <w:rPr>
                <w:rFonts w:hint="default" w:hAnsi="宋体" w:eastAsia="宋体" w:cs="宋体"/>
                <w:sz w:val="21"/>
                <w:szCs w:val="21"/>
                <w:highlight w:val="none"/>
                <w:lang w:val="en-US" w:eastAsia="zh-CN"/>
              </w:rPr>
            </w:pPr>
            <w:r>
              <w:rPr>
                <w:rFonts w:hint="default" w:hAnsi="宋体" w:eastAsia="宋体" w:cs="宋体"/>
                <w:sz w:val="21"/>
                <w:szCs w:val="21"/>
                <w:highlight w:val="none"/>
                <w:lang w:val="en-US" w:eastAsia="zh-CN"/>
              </w:rPr>
              <w:t>合同包2(公立医院改革与高质量发展示范项目紧密型医共体人才培训)：920,000.00 元</w:t>
            </w:r>
          </w:p>
        </w:tc>
      </w:tr>
      <w:tr w14:paraId="72DEB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2" w:hRule="atLeast"/>
          <w:jc w:val="center"/>
        </w:trPr>
        <w:tc>
          <w:tcPr>
            <w:tcW w:w="325" w:type="pct"/>
            <w:vAlign w:val="center"/>
          </w:tcPr>
          <w:p w14:paraId="68CEC192">
            <w:pPr>
              <w:spacing w:after="166" w:afterLines="50"/>
              <w:jc w:val="center"/>
              <w:rPr>
                <w:rFonts w:hint="eastAsia" w:hAnsi="宋体" w:eastAsia="宋体" w:cs="宋体"/>
                <w:sz w:val="21"/>
                <w:szCs w:val="21"/>
                <w:lang w:eastAsia="zh-CN"/>
              </w:rPr>
            </w:pPr>
            <w:r>
              <w:rPr>
                <w:rFonts w:hint="eastAsia" w:hAnsi="宋体" w:cs="宋体"/>
                <w:sz w:val="21"/>
                <w:szCs w:val="21"/>
                <w:lang w:val="en-US" w:eastAsia="zh-CN"/>
              </w:rPr>
              <w:t>8</w:t>
            </w:r>
          </w:p>
        </w:tc>
        <w:tc>
          <w:tcPr>
            <w:tcW w:w="927" w:type="pct"/>
            <w:vAlign w:val="center"/>
          </w:tcPr>
          <w:p w14:paraId="611820EE">
            <w:pPr>
              <w:spacing w:after="166" w:afterLines="50"/>
              <w:jc w:val="center"/>
              <w:rPr>
                <w:rFonts w:hint="default" w:hAnsi="宋体" w:eastAsia="宋体" w:cs="宋体"/>
                <w:sz w:val="21"/>
                <w:szCs w:val="21"/>
                <w:highlight w:val="none"/>
                <w:lang w:val="en-US" w:eastAsia="zh-CN"/>
              </w:rPr>
            </w:pPr>
            <w:r>
              <w:rPr>
                <w:rFonts w:hint="eastAsia" w:hAnsi="宋体" w:cs="宋体"/>
                <w:sz w:val="21"/>
                <w:szCs w:val="21"/>
                <w:highlight w:val="none"/>
                <w:lang w:val="en-US" w:eastAsia="zh-CN"/>
              </w:rPr>
              <w:t>招标范围</w:t>
            </w:r>
          </w:p>
        </w:tc>
        <w:tc>
          <w:tcPr>
            <w:tcW w:w="3746" w:type="pct"/>
          </w:tcPr>
          <w:p w14:paraId="31BE95E4">
            <w:pPr>
              <w:spacing w:line="500" w:lineRule="exact"/>
              <w:rPr>
                <w:rFonts w:hint="eastAsia" w:hAnsi="宋体" w:eastAsia="宋体" w:cs="宋体"/>
                <w:sz w:val="21"/>
                <w:szCs w:val="21"/>
                <w:highlight w:val="none"/>
                <w:lang w:eastAsia="zh-CN"/>
              </w:rPr>
            </w:pPr>
            <w:r>
              <w:rPr>
                <w:rFonts w:hint="eastAsia" w:hAnsi="宋体" w:cs="宋体"/>
                <w:sz w:val="21"/>
                <w:szCs w:val="21"/>
                <w:highlight w:val="none"/>
                <w:lang w:val="en-US" w:eastAsia="zh-CN"/>
              </w:rPr>
              <w:t>详见“</w:t>
            </w:r>
            <w:r>
              <w:rPr>
                <w:rFonts w:hint="eastAsia" w:hAnsi="宋体" w:cs="宋体"/>
                <w:sz w:val="21"/>
                <w:szCs w:val="21"/>
                <w:highlight w:val="none"/>
              </w:rPr>
              <w:t>第五章  招标内容及技术要求</w:t>
            </w:r>
            <w:r>
              <w:rPr>
                <w:rFonts w:hint="eastAsia" w:hAnsi="宋体" w:cs="宋体"/>
                <w:sz w:val="21"/>
                <w:szCs w:val="21"/>
                <w:highlight w:val="none"/>
                <w:lang w:eastAsia="zh-CN"/>
              </w:rPr>
              <w:t>”</w:t>
            </w:r>
          </w:p>
        </w:tc>
      </w:tr>
      <w:tr w14:paraId="3FB29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6" w:hRule="atLeast"/>
          <w:jc w:val="center"/>
        </w:trPr>
        <w:tc>
          <w:tcPr>
            <w:tcW w:w="325" w:type="pct"/>
            <w:vAlign w:val="center"/>
          </w:tcPr>
          <w:p w14:paraId="2EB85BEF">
            <w:pPr>
              <w:spacing w:after="166" w:afterLines="50"/>
              <w:jc w:val="center"/>
              <w:rPr>
                <w:rFonts w:hint="default" w:hAnsi="宋体" w:cs="宋体"/>
                <w:sz w:val="21"/>
                <w:szCs w:val="21"/>
                <w:lang w:val="en-US" w:eastAsia="zh-CN"/>
              </w:rPr>
            </w:pPr>
            <w:r>
              <w:rPr>
                <w:rFonts w:hint="eastAsia" w:hAnsi="宋体" w:cs="宋体"/>
                <w:sz w:val="21"/>
                <w:szCs w:val="21"/>
                <w:lang w:val="en-US" w:eastAsia="zh-CN"/>
              </w:rPr>
              <w:t>9</w:t>
            </w:r>
          </w:p>
        </w:tc>
        <w:tc>
          <w:tcPr>
            <w:tcW w:w="927" w:type="pct"/>
            <w:vAlign w:val="center"/>
          </w:tcPr>
          <w:p w14:paraId="56E489CE">
            <w:pPr>
              <w:spacing w:after="166" w:afterLines="50"/>
              <w:jc w:val="center"/>
              <w:rPr>
                <w:rFonts w:hint="default" w:hAnsi="宋体" w:cs="宋体"/>
                <w:sz w:val="21"/>
                <w:szCs w:val="21"/>
                <w:highlight w:val="none"/>
                <w:lang w:val="en-US" w:eastAsia="zh-CN"/>
              </w:rPr>
            </w:pPr>
            <w:r>
              <w:rPr>
                <w:rFonts w:hint="eastAsia" w:hAnsi="宋体" w:cs="宋体"/>
                <w:sz w:val="21"/>
                <w:szCs w:val="21"/>
                <w:highlight w:val="none"/>
                <w:lang w:val="en-US" w:eastAsia="zh-CN"/>
              </w:rPr>
              <w:t>服务期</w:t>
            </w:r>
          </w:p>
        </w:tc>
        <w:tc>
          <w:tcPr>
            <w:tcW w:w="3746" w:type="pct"/>
          </w:tcPr>
          <w:p w14:paraId="13161716">
            <w:pPr>
              <w:spacing w:line="500" w:lineRule="exact"/>
              <w:rPr>
                <w:rFonts w:hint="default" w:hAnsi="宋体" w:eastAsia="宋体" w:cs="宋体"/>
                <w:sz w:val="21"/>
                <w:szCs w:val="21"/>
                <w:highlight w:val="none"/>
                <w:lang w:val="en-US" w:eastAsia="zh-CN"/>
              </w:rPr>
            </w:pPr>
            <w:r>
              <w:rPr>
                <w:rFonts w:hint="default" w:hAnsi="宋体" w:eastAsia="宋体" w:cs="宋体"/>
                <w:sz w:val="21"/>
                <w:szCs w:val="21"/>
                <w:highlight w:val="none"/>
                <w:lang w:val="en-US" w:eastAsia="zh-CN"/>
              </w:rPr>
              <w:t>自合同签订之日起</w:t>
            </w:r>
            <w:r>
              <w:rPr>
                <w:rFonts w:hint="eastAsia" w:hAnsi="宋体" w:cs="宋体"/>
                <w:sz w:val="21"/>
                <w:szCs w:val="21"/>
                <w:highlight w:val="none"/>
                <w:lang w:val="en-US" w:eastAsia="zh-CN"/>
              </w:rPr>
              <w:t>90</w:t>
            </w:r>
            <w:r>
              <w:rPr>
                <w:rFonts w:hint="default" w:hAnsi="宋体" w:eastAsia="宋体" w:cs="宋体"/>
                <w:sz w:val="21"/>
                <w:szCs w:val="21"/>
                <w:highlight w:val="none"/>
                <w:lang w:val="en-US" w:eastAsia="zh-CN"/>
              </w:rPr>
              <w:t>日历天</w:t>
            </w:r>
          </w:p>
        </w:tc>
      </w:tr>
      <w:tr w14:paraId="668F2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80" w:hRule="atLeast"/>
          <w:jc w:val="center"/>
        </w:trPr>
        <w:tc>
          <w:tcPr>
            <w:tcW w:w="325" w:type="pct"/>
            <w:vAlign w:val="center"/>
          </w:tcPr>
          <w:p w14:paraId="589AA9E9">
            <w:pPr>
              <w:spacing w:after="166" w:afterLines="50"/>
              <w:jc w:val="center"/>
              <w:rPr>
                <w:rFonts w:hint="default" w:hAnsi="宋体" w:cs="宋体"/>
                <w:sz w:val="21"/>
                <w:szCs w:val="21"/>
                <w:lang w:val="en-US" w:eastAsia="zh-CN"/>
              </w:rPr>
            </w:pPr>
            <w:r>
              <w:rPr>
                <w:rFonts w:hint="eastAsia" w:hAnsi="宋体" w:cs="宋体"/>
                <w:sz w:val="21"/>
                <w:szCs w:val="21"/>
                <w:lang w:val="en-US" w:eastAsia="zh-CN"/>
              </w:rPr>
              <w:t>10</w:t>
            </w:r>
          </w:p>
        </w:tc>
        <w:tc>
          <w:tcPr>
            <w:tcW w:w="927" w:type="pct"/>
            <w:vAlign w:val="center"/>
          </w:tcPr>
          <w:p w14:paraId="4D336DC8">
            <w:pPr>
              <w:spacing w:after="166" w:afterLines="50"/>
              <w:jc w:val="center"/>
              <w:rPr>
                <w:rFonts w:hint="eastAsia" w:hAnsi="宋体" w:cs="宋体"/>
                <w:sz w:val="21"/>
                <w:szCs w:val="21"/>
                <w:highlight w:val="yellow"/>
                <w:lang w:val="en-US" w:eastAsia="zh-CN"/>
              </w:rPr>
            </w:pPr>
            <w:r>
              <w:rPr>
                <w:rFonts w:hint="eastAsia" w:hAnsi="宋体" w:cs="宋体"/>
                <w:sz w:val="21"/>
                <w:szCs w:val="21"/>
                <w:highlight w:val="none"/>
                <w:lang w:val="en-US" w:eastAsia="zh-CN"/>
              </w:rPr>
              <w:t>质量标准及验收标准</w:t>
            </w:r>
          </w:p>
        </w:tc>
        <w:tc>
          <w:tcPr>
            <w:tcW w:w="3746" w:type="pct"/>
          </w:tcPr>
          <w:p w14:paraId="1C8D4384">
            <w:pPr>
              <w:spacing w:line="500" w:lineRule="exact"/>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rPr>
              <w:t>质量要求：达到国家现行</w:t>
            </w:r>
            <w:r>
              <w:rPr>
                <w:rFonts w:hint="eastAsia" w:hAnsi="宋体" w:cs="宋体"/>
                <w:spacing w:val="4"/>
                <w:sz w:val="21"/>
                <w:szCs w:val="21"/>
                <w:highlight w:val="none"/>
                <w:lang w:val="en-US" w:eastAsia="zh-CN"/>
              </w:rPr>
              <w:t>质量验收“合格”</w:t>
            </w:r>
            <w:r>
              <w:rPr>
                <w:rFonts w:hint="eastAsia" w:ascii="宋体" w:hAnsi="宋体" w:eastAsia="宋体" w:cs="宋体"/>
                <w:spacing w:val="4"/>
                <w:sz w:val="21"/>
                <w:szCs w:val="21"/>
                <w:highlight w:val="none"/>
              </w:rPr>
              <w:t>标准</w:t>
            </w:r>
          </w:p>
          <w:p w14:paraId="6B358175">
            <w:pPr>
              <w:spacing w:line="500" w:lineRule="exact"/>
              <w:rPr>
                <w:rFonts w:hint="eastAsia" w:hAnsi="宋体" w:cs="宋体"/>
                <w:sz w:val="21"/>
                <w:szCs w:val="21"/>
                <w:highlight w:val="yellow"/>
              </w:rPr>
            </w:pPr>
            <w:r>
              <w:rPr>
                <w:rFonts w:hint="eastAsia" w:ascii="宋体" w:hAnsi="宋体" w:eastAsia="宋体" w:cs="宋体"/>
                <w:spacing w:val="4"/>
                <w:sz w:val="21"/>
                <w:szCs w:val="21"/>
                <w:highlight w:val="none"/>
              </w:rPr>
              <w:t>验收标准：国家标准、行业标准及</w:t>
            </w:r>
            <w:r>
              <w:rPr>
                <w:rFonts w:hint="eastAsia" w:ascii="宋体" w:hAnsi="宋体" w:eastAsia="宋体" w:cs="宋体"/>
                <w:spacing w:val="4"/>
                <w:sz w:val="21"/>
                <w:szCs w:val="21"/>
                <w:highlight w:val="none"/>
                <w:lang w:val="en-US" w:eastAsia="zh-CN"/>
              </w:rPr>
              <w:t>采购人</w:t>
            </w:r>
            <w:r>
              <w:rPr>
                <w:rFonts w:hint="eastAsia" w:ascii="宋体" w:hAnsi="宋体" w:eastAsia="宋体" w:cs="宋体"/>
                <w:spacing w:val="4"/>
                <w:sz w:val="21"/>
                <w:szCs w:val="21"/>
                <w:highlight w:val="none"/>
              </w:rPr>
              <w:t>要求。</w:t>
            </w:r>
          </w:p>
        </w:tc>
      </w:tr>
      <w:tr w14:paraId="71735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325" w:type="pct"/>
            <w:vAlign w:val="center"/>
          </w:tcPr>
          <w:p w14:paraId="2385CBE2">
            <w:pPr>
              <w:jc w:val="center"/>
              <w:rPr>
                <w:rFonts w:hint="default" w:hAnsi="宋体" w:eastAsia="宋体" w:cs="宋体"/>
                <w:sz w:val="21"/>
                <w:szCs w:val="21"/>
                <w:lang w:val="en-US" w:eastAsia="zh-CN"/>
              </w:rPr>
            </w:pPr>
            <w:r>
              <w:rPr>
                <w:rFonts w:hint="eastAsia" w:hAnsi="宋体" w:cs="宋体"/>
                <w:sz w:val="21"/>
                <w:szCs w:val="21"/>
                <w:lang w:val="en-US" w:eastAsia="zh-CN"/>
              </w:rPr>
              <w:t>11</w:t>
            </w:r>
          </w:p>
        </w:tc>
        <w:tc>
          <w:tcPr>
            <w:tcW w:w="927" w:type="pct"/>
            <w:vAlign w:val="center"/>
          </w:tcPr>
          <w:p w14:paraId="6F91EDD3">
            <w:pPr>
              <w:jc w:val="center"/>
              <w:rPr>
                <w:rFonts w:hint="eastAsia" w:hAnsi="宋体" w:eastAsia="宋体" w:cs="宋体"/>
                <w:sz w:val="21"/>
                <w:szCs w:val="21"/>
                <w:lang w:eastAsia="zh-CN"/>
              </w:rPr>
            </w:pPr>
            <w:r>
              <w:rPr>
                <w:rFonts w:hint="eastAsia" w:ascii="宋体" w:hAnsi="宋体"/>
                <w:color w:val="auto"/>
                <w:sz w:val="21"/>
                <w:szCs w:val="21"/>
              </w:rPr>
              <w:t>投标人资质条件</w:t>
            </w:r>
            <w:r>
              <w:rPr>
                <w:rFonts w:hint="eastAsia" w:hAnsi="宋体"/>
                <w:color w:val="auto"/>
                <w:sz w:val="21"/>
                <w:szCs w:val="21"/>
                <w:lang w:val="en-US" w:eastAsia="zh-CN"/>
              </w:rPr>
              <w:t xml:space="preserve"> </w:t>
            </w:r>
          </w:p>
        </w:tc>
        <w:tc>
          <w:tcPr>
            <w:tcW w:w="3746" w:type="pct"/>
          </w:tcPr>
          <w:p w14:paraId="2D86794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rPr>
                <w:rFonts w:hint="eastAsia" w:hAnsi="宋体" w:cs="宋体"/>
                <w:color w:val="auto"/>
                <w:kern w:val="0"/>
                <w:sz w:val="21"/>
                <w:szCs w:val="21"/>
                <w:highlight w:val="none"/>
                <w:lang w:val="en-US" w:eastAsia="zh-CN" w:bidi="ar"/>
              </w:rPr>
            </w:pPr>
            <w:r>
              <w:rPr>
                <w:rFonts w:hint="eastAsia" w:hAnsi="宋体" w:cs="宋体"/>
                <w:color w:val="auto"/>
                <w:kern w:val="0"/>
                <w:sz w:val="21"/>
                <w:szCs w:val="21"/>
                <w:highlight w:val="none"/>
                <w:lang w:val="en-US" w:eastAsia="zh-CN" w:bidi="ar"/>
              </w:rPr>
              <w:t>合同包1-合同包2：</w:t>
            </w:r>
          </w:p>
          <w:p w14:paraId="4A5AF8C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提供合格有效的法人或者其他组织的营业执照等证明文件，自然人的身份证明；</w:t>
            </w:r>
          </w:p>
          <w:p w14:paraId="2925E6F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 xml:space="preserve">提供法定代表人授权书（附法定代表人、被授权人身份证复印件，法定代表人直接参加投标，须提供法定代表人身份证明及身份证复印件）； </w:t>
            </w:r>
          </w:p>
          <w:p w14:paraId="5455076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提供 2024 年度的财务审计报告（成立时间至提交投标文件截止时间不足一年的可提供成立后任意时段的资产负债表）或开标时间前六个月内银行出具的资信证明；</w:t>
            </w:r>
          </w:p>
          <w:p w14:paraId="0362335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 xml:space="preserve">税收缴纳证明：提供投标截止日前近一年内任意一个月的纳税证明或完税证明（任意税种），依法免税的单位应提供相关证明材料； </w:t>
            </w:r>
          </w:p>
          <w:p w14:paraId="0716071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社会保障资金缴纳证明：提供投标截止日前近一年内任意一个月的社会保障资金缴存单据或社保机构开具的社会保险参保缴费情况证明，依法不需要缴纳社会保障资金的单位应提供相关证明材料；</w:t>
            </w:r>
          </w:p>
          <w:p w14:paraId="4D20393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提供具有履行本合同所必需的设备和专业技术能力的说明及承诺书；</w:t>
            </w:r>
          </w:p>
          <w:p w14:paraId="661FE4D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 xml:space="preserve">供应商通过“信用中国”网站(www.creditchina.gov.cn)、中国政府采购网(www.ccgp.gov.cn)等查询相关主体信用记录； </w:t>
            </w:r>
          </w:p>
          <w:p w14:paraId="3E60A34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val="en-US" w:eastAsia="zh-CN" w:bidi="ar"/>
              </w:rPr>
              <w:t>参加政府采购活动前 3 年内，在经营活动中没有重大违法记录的书面声明；</w:t>
            </w:r>
          </w:p>
          <w:p w14:paraId="6B8372C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val="en-US" w:eastAsia="zh-CN" w:bidi="ar"/>
              </w:rPr>
              <w:t xml:space="preserve">提供中小企业声明函； </w:t>
            </w:r>
          </w:p>
          <w:p w14:paraId="489EF95B">
            <w:pPr>
              <w:ind w:firstLine="420" w:firstLineChars="200"/>
              <w:rPr>
                <w:rFonts w:hAnsi="宋体" w:cs="宋体"/>
                <w:sz w:val="21"/>
                <w:szCs w:val="21"/>
                <w:highlight w:val="none"/>
              </w:rPr>
            </w:pPr>
            <w:r>
              <w:rPr>
                <w:rFonts w:hint="eastAsia" w:ascii="宋体" w:hAnsi="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val="en-US" w:eastAsia="zh-CN" w:bidi="ar"/>
              </w:rPr>
              <w:t xml:space="preserve">本项目不接受联合体投标（提供承诺书）; </w:t>
            </w:r>
          </w:p>
        </w:tc>
      </w:tr>
      <w:tr w14:paraId="653B8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50" w:hRule="atLeast"/>
          <w:jc w:val="center"/>
        </w:trPr>
        <w:tc>
          <w:tcPr>
            <w:tcW w:w="325" w:type="pct"/>
            <w:vAlign w:val="center"/>
          </w:tcPr>
          <w:p w14:paraId="43042CB0">
            <w:pPr>
              <w:jc w:val="center"/>
              <w:rPr>
                <w:rFonts w:hint="default" w:hAnsi="宋体" w:eastAsia="宋体" w:cs="宋体"/>
                <w:sz w:val="21"/>
                <w:szCs w:val="21"/>
                <w:lang w:val="en-US" w:eastAsia="zh-CN"/>
              </w:rPr>
            </w:pPr>
            <w:r>
              <w:rPr>
                <w:rFonts w:hint="eastAsia" w:hAnsi="宋体" w:cs="宋体"/>
                <w:sz w:val="21"/>
                <w:szCs w:val="21"/>
                <w:lang w:val="en-US" w:eastAsia="zh-CN"/>
              </w:rPr>
              <w:t>12</w:t>
            </w:r>
          </w:p>
        </w:tc>
        <w:tc>
          <w:tcPr>
            <w:tcW w:w="927" w:type="pct"/>
            <w:vAlign w:val="center"/>
          </w:tcPr>
          <w:p w14:paraId="0D612A65">
            <w:pPr>
              <w:jc w:val="center"/>
              <w:rPr>
                <w:rFonts w:hAnsi="宋体" w:cs="宋体"/>
                <w:sz w:val="21"/>
                <w:szCs w:val="21"/>
              </w:rPr>
            </w:pPr>
            <w:r>
              <w:rPr>
                <w:rFonts w:hint="eastAsia" w:hAnsi="宋体" w:cs="宋体"/>
                <w:sz w:val="21"/>
                <w:szCs w:val="21"/>
                <w:lang w:val="en-US" w:eastAsia="zh-CN"/>
              </w:rPr>
              <w:t>是否接受联合体投标</w:t>
            </w:r>
          </w:p>
        </w:tc>
        <w:tc>
          <w:tcPr>
            <w:tcW w:w="3746" w:type="pct"/>
          </w:tcPr>
          <w:p w14:paraId="3983E7B5">
            <w:pPr>
              <w:spacing w:line="500" w:lineRule="exact"/>
              <w:rPr>
                <w:rFonts w:hAnsi="宋体" w:cs="宋体"/>
                <w:sz w:val="21"/>
                <w:szCs w:val="21"/>
              </w:rPr>
            </w:pPr>
            <w:r>
              <w:rPr>
                <w:rFonts w:hint="eastAsia" w:hAnsi="宋体" w:cs="宋体"/>
                <w:color w:val="auto"/>
                <w:sz w:val="21"/>
                <w:szCs w:val="21"/>
                <w:lang w:val="en-US" w:eastAsia="zh-CN"/>
              </w:rPr>
              <w:t>不</w:t>
            </w:r>
            <w:r>
              <w:rPr>
                <w:rFonts w:hint="eastAsia" w:ascii="宋体" w:hAnsi="宋体" w:cs="宋体"/>
                <w:color w:val="auto"/>
                <w:sz w:val="21"/>
                <w:szCs w:val="21"/>
              </w:rPr>
              <w:t>接受</w:t>
            </w:r>
          </w:p>
        </w:tc>
      </w:tr>
      <w:tr w14:paraId="1FC06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8" w:hRule="atLeast"/>
          <w:jc w:val="center"/>
        </w:trPr>
        <w:tc>
          <w:tcPr>
            <w:tcW w:w="325" w:type="pct"/>
            <w:vAlign w:val="center"/>
          </w:tcPr>
          <w:p w14:paraId="6C6B93D9">
            <w:pPr>
              <w:jc w:val="center"/>
              <w:rPr>
                <w:rFonts w:hint="default" w:hAnsi="宋体" w:cs="宋体"/>
                <w:sz w:val="21"/>
                <w:szCs w:val="21"/>
                <w:lang w:val="en-US" w:eastAsia="zh-CN"/>
              </w:rPr>
            </w:pPr>
            <w:r>
              <w:rPr>
                <w:rFonts w:hint="eastAsia" w:hAnsi="宋体" w:cs="宋体"/>
                <w:sz w:val="21"/>
                <w:szCs w:val="21"/>
                <w:lang w:val="en-US" w:eastAsia="zh-CN"/>
              </w:rPr>
              <w:t>13</w:t>
            </w:r>
          </w:p>
        </w:tc>
        <w:tc>
          <w:tcPr>
            <w:tcW w:w="927" w:type="pct"/>
            <w:vAlign w:val="center"/>
          </w:tcPr>
          <w:p w14:paraId="3BB69D44">
            <w:pPr>
              <w:jc w:val="center"/>
              <w:rPr>
                <w:rFonts w:hint="eastAsia" w:hAnsi="宋体" w:cs="宋体"/>
                <w:sz w:val="21"/>
                <w:szCs w:val="21"/>
                <w:lang w:val="en-US" w:eastAsia="zh-CN"/>
              </w:rPr>
            </w:pPr>
            <w:r>
              <w:rPr>
                <w:rFonts w:ascii="宋体" w:hAnsi="宋体"/>
                <w:color w:val="auto"/>
                <w:sz w:val="21"/>
                <w:szCs w:val="21"/>
              </w:rPr>
              <w:t>踏勘现场</w:t>
            </w:r>
          </w:p>
        </w:tc>
        <w:tc>
          <w:tcPr>
            <w:tcW w:w="3746" w:type="pct"/>
          </w:tcPr>
          <w:p w14:paraId="35F36724">
            <w:pPr>
              <w:spacing w:line="500" w:lineRule="exact"/>
              <w:rPr>
                <w:rFonts w:hint="eastAsia" w:ascii="宋体" w:hAnsi="宋体" w:eastAsia="宋体" w:cs="宋体"/>
                <w:color w:val="auto"/>
                <w:sz w:val="21"/>
                <w:szCs w:val="21"/>
                <w:lang w:val="en-US" w:eastAsia="zh-CN"/>
              </w:rPr>
            </w:pPr>
            <w:r>
              <w:rPr>
                <w:rFonts w:hint="eastAsia" w:ascii="宋体" w:hAnsi="宋体" w:cs="宋体"/>
                <w:color w:val="auto"/>
                <w:sz w:val="21"/>
                <w:szCs w:val="21"/>
              </w:rPr>
              <w:t>不组织</w:t>
            </w:r>
            <w:r>
              <w:rPr>
                <w:rFonts w:hint="eastAsia" w:hAnsi="宋体" w:cs="宋体"/>
                <w:color w:val="auto"/>
                <w:sz w:val="21"/>
                <w:szCs w:val="21"/>
                <w:lang w:val="en-US" w:eastAsia="zh-CN"/>
              </w:rPr>
              <w:t xml:space="preserve"> （自行</w:t>
            </w:r>
            <w:r>
              <w:rPr>
                <w:rFonts w:ascii="宋体" w:hAnsi="宋体"/>
                <w:color w:val="auto"/>
                <w:sz w:val="21"/>
                <w:szCs w:val="21"/>
              </w:rPr>
              <w:t>踏勘</w:t>
            </w:r>
            <w:r>
              <w:rPr>
                <w:rFonts w:hint="eastAsia" w:hAnsi="宋体" w:cs="宋体"/>
                <w:color w:val="auto"/>
                <w:sz w:val="21"/>
                <w:szCs w:val="21"/>
                <w:lang w:val="en-US" w:eastAsia="zh-CN"/>
              </w:rPr>
              <w:t>）</w:t>
            </w:r>
          </w:p>
        </w:tc>
      </w:tr>
      <w:tr w14:paraId="7B6E08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0" w:hRule="atLeast"/>
          <w:jc w:val="center"/>
        </w:trPr>
        <w:tc>
          <w:tcPr>
            <w:tcW w:w="325" w:type="pct"/>
            <w:vAlign w:val="center"/>
          </w:tcPr>
          <w:p w14:paraId="331EEDDF">
            <w:pPr>
              <w:jc w:val="center"/>
              <w:rPr>
                <w:rFonts w:hint="default" w:hAnsi="宋体" w:cs="宋体"/>
                <w:sz w:val="21"/>
                <w:szCs w:val="21"/>
                <w:lang w:val="en-US" w:eastAsia="zh-CN"/>
              </w:rPr>
            </w:pPr>
            <w:r>
              <w:rPr>
                <w:rFonts w:hint="eastAsia" w:hAnsi="宋体" w:cs="宋体"/>
                <w:sz w:val="21"/>
                <w:szCs w:val="21"/>
                <w:lang w:val="en-US" w:eastAsia="zh-CN"/>
              </w:rPr>
              <w:t>14</w:t>
            </w:r>
          </w:p>
        </w:tc>
        <w:tc>
          <w:tcPr>
            <w:tcW w:w="927" w:type="pct"/>
            <w:vAlign w:val="center"/>
          </w:tcPr>
          <w:p w14:paraId="20D3583F">
            <w:pPr>
              <w:jc w:val="center"/>
              <w:rPr>
                <w:rFonts w:ascii="宋体" w:hAnsi="宋体"/>
                <w:color w:val="auto"/>
                <w:sz w:val="21"/>
                <w:szCs w:val="21"/>
              </w:rPr>
            </w:pPr>
            <w:r>
              <w:rPr>
                <w:rFonts w:ascii="宋体" w:hAnsi="宋体"/>
                <w:color w:val="auto"/>
                <w:sz w:val="21"/>
                <w:szCs w:val="21"/>
              </w:rPr>
              <w:t>询问和质疑</w:t>
            </w:r>
          </w:p>
        </w:tc>
        <w:tc>
          <w:tcPr>
            <w:tcW w:w="3746" w:type="pct"/>
          </w:tcPr>
          <w:p w14:paraId="21D7D5C8">
            <w:pPr>
              <w:spacing w:line="500" w:lineRule="exact"/>
              <w:rPr>
                <w:rFonts w:hint="eastAsia" w:ascii="宋体" w:hAnsi="宋体" w:cs="宋体"/>
                <w:color w:val="auto"/>
                <w:sz w:val="21"/>
                <w:szCs w:val="21"/>
              </w:rPr>
            </w:pPr>
            <w:r>
              <w:rPr>
                <w:rFonts w:hint="eastAsia" w:ascii="宋体" w:hAnsi="宋体" w:cs="宋体"/>
                <w:color w:val="auto"/>
                <w:sz w:val="21"/>
                <w:szCs w:val="21"/>
              </w:rPr>
              <w:t>已经购买招标文件的投标人对招标文件有询问或者质疑的，可以在本项目采购文件公告期限届满之日起7个工作日内，以书面形式（同时须将此书面文件电子版一份发送至SXZCXMGLJT@163.com电子邮箱</w:t>
            </w:r>
            <w:r>
              <w:rPr>
                <w:rFonts w:ascii="宋体" w:hAnsi="宋体" w:cs="宋体"/>
                <w:color w:val="auto"/>
                <w:sz w:val="21"/>
                <w:szCs w:val="21"/>
              </w:rPr>
              <w:t>）</w:t>
            </w:r>
            <w:r>
              <w:rPr>
                <w:rFonts w:hint="eastAsia" w:ascii="宋体" w:hAnsi="宋体" w:cs="宋体"/>
                <w:color w:val="auto"/>
                <w:sz w:val="21"/>
                <w:szCs w:val="21"/>
              </w:rPr>
              <w:t>向招标代理机构提出，在此之后提出的询问和质疑均为无效，采购代理机构不予受理。</w:t>
            </w:r>
          </w:p>
        </w:tc>
      </w:tr>
      <w:tr w14:paraId="170AEA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50" w:hRule="atLeast"/>
          <w:jc w:val="center"/>
        </w:trPr>
        <w:tc>
          <w:tcPr>
            <w:tcW w:w="325" w:type="pct"/>
            <w:vAlign w:val="center"/>
          </w:tcPr>
          <w:p w14:paraId="75030473">
            <w:pPr>
              <w:jc w:val="center"/>
              <w:rPr>
                <w:rFonts w:hint="default" w:hAnsi="宋体" w:cs="宋体"/>
                <w:sz w:val="21"/>
                <w:szCs w:val="21"/>
                <w:lang w:val="en-US" w:eastAsia="zh-CN"/>
              </w:rPr>
            </w:pPr>
            <w:r>
              <w:rPr>
                <w:rFonts w:hint="eastAsia" w:hAnsi="宋体" w:cs="宋体"/>
                <w:sz w:val="21"/>
                <w:szCs w:val="21"/>
                <w:lang w:val="en-US" w:eastAsia="zh-CN"/>
              </w:rPr>
              <w:t>15</w:t>
            </w:r>
          </w:p>
        </w:tc>
        <w:tc>
          <w:tcPr>
            <w:tcW w:w="927" w:type="pct"/>
            <w:vAlign w:val="center"/>
          </w:tcPr>
          <w:p w14:paraId="7F2F9A4B">
            <w:pPr>
              <w:jc w:val="center"/>
              <w:rPr>
                <w:rFonts w:ascii="宋体" w:hAnsi="宋体"/>
                <w:color w:val="auto"/>
                <w:sz w:val="21"/>
                <w:szCs w:val="21"/>
              </w:rPr>
            </w:pPr>
            <w:r>
              <w:rPr>
                <w:rFonts w:hint="eastAsia" w:ascii="宋体" w:hAnsi="宋体"/>
                <w:color w:val="auto"/>
                <w:sz w:val="21"/>
                <w:szCs w:val="21"/>
              </w:rPr>
              <w:t>答   疑</w:t>
            </w:r>
          </w:p>
        </w:tc>
        <w:tc>
          <w:tcPr>
            <w:tcW w:w="3746" w:type="pct"/>
          </w:tcPr>
          <w:p w14:paraId="4D55298B">
            <w:pPr>
              <w:spacing w:line="500" w:lineRule="exact"/>
              <w:rPr>
                <w:rFonts w:hint="eastAsia" w:ascii="宋体" w:hAnsi="宋体" w:cs="宋体"/>
                <w:color w:val="auto"/>
                <w:sz w:val="21"/>
                <w:szCs w:val="21"/>
              </w:rPr>
            </w:pPr>
            <w:r>
              <w:rPr>
                <w:rFonts w:hint="eastAsia" w:ascii="宋体" w:hAnsi="宋体" w:cs="宋体"/>
                <w:color w:val="auto"/>
                <w:sz w:val="21"/>
                <w:szCs w:val="21"/>
              </w:rPr>
              <w:t>对于投标人在规定时间内依法提出的询问和质疑，</w:t>
            </w:r>
            <w:r>
              <w:rPr>
                <w:rFonts w:hint="eastAsia" w:ascii="宋体" w:hAnsi="宋体" w:cs="宋体"/>
                <w:color w:val="auto"/>
                <w:sz w:val="21"/>
                <w:szCs w:val="21"/>
                <w:lang w:val="en-US" w:eastAsia="zh-CN"/>
              </w:rPr>
              <w:t>采购</w:t>
            </w:r>
            <w:r>
              <w:rPr>
                <w:rFonts w:hint="eastAsia" w:ascii="宋体" w:hAnsi="宋体" w:cs="宋体"/>
                <w:color w:val="auto"/>
                <w:sz w:val="21"/>
                <w:szCs w:val="21"/>
              </w:rPr>
              <w:t>代理机构将在三个工作日内答复询问，七个工作日内答复质疑。若对招标文件做出实质性变动，则按照相关规定延长投标截止时间。</w:t>
            </w:r>
          </w:p>
        </w:tc>
      </w:tr>
      <w:tr w14:paraId="543B6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50" w:hRule="atLeast"/>
          <w:jc w:val="center"/>
        </w:trPr>
        <w:tc>
          <w:tcPr>
            <w:tcW w:w="325" w:type="pct"/>
            <w:vAlign w:val="center"/>
          </w:tcPr>
          <w:p w14:paraId="7235A75E">
            <w:pPr>
              <w:jc w:val="center"/>
              <w:rPr>
                <w:rFonts w:hint="default" w:hAnsi="宋体" w:cs="宋体"/>
                <w:sz w:val="21"/>
                <w:szCs w:val="21"/>
                <w:lang w:val="en-US" w:eastAsia="zh-CN"/>
              </w:rPr>
            </w:pPr>
            <w:r>
              <w:rPr>
                <w:rFonts w:hint="eastAsia" w:hAnsi="宋体" w:cs="宋体"/>
                <w:sz w:val="21"/>
                <w:szCs w:val="21"/>
                <w:lang w:val="en-US" w:eastAsia="zh-CN"/>
              </w:rPr>
              <w:t>16</w:t>
            </w:r>
          </w:p>
        </w:tc>
        <w:tc>
          <w:tcPr>
            <w:tcW w:w="927" w:type="pct"/>
            <w:vAlign w:val="center"/>
          </w:tcPr>
          <w:p w14:paraId="10B2FAA3">
            <w:pPr>
              <w:jc w:val="center"/>
              <w:rPr>
                <w:rFonts w:hint="eastAsia" w:ascii="宋体" w:hAnsi="宋体"/>
                <w:color w:val="auto"/>
                <w:sz w:val="21"/>
                <w:szCs w:val="21"/>
              </w:rPr>
            </w:pPr>
            <w:r>
              <w:rPr>
                <w:rFonts w:hint="eastAsia" w:ascii="宋体" w:hAnsi="宋体"/>
                <w:color w:val="auto"/>
                <w:sz w:val="21"/>
                <w:szCs w:val="21"/>
              </w:rPr>
              <w:t>投标有效期</w:t>
            </w:r>
          </w:p>
        </w:tc>
        <w:tc>
          <w:tcPr>
            <w:tcW w:w="3746" w:type="pct"/>
          </w:tcPr>
          <w:p w14:paraId="075D54E7">
            <w:pPr>
              <w:spacing w:line="500" w:lineRule="exact"/>
              <w:rPr>
                <w:rFonts w:hint="eastAsia" w:ascii="宋体" w:hAnsi="宋体" w:cs="宋体"/>
                <w:color w:val="auto"/>
                <w:sz w:val="21"/>
                <w:szCs w:val="21"/>
              </w:rPr>
            </w:pPr>
            <w:r>
              <w:rPr>
                <w:rFonts w:hint="eastAsia" w:ascii="宋体" w:hAnsi="宋体"/>
                <w:color w:val="auto"/>
                <w:sz w:val="21"/>
                <w:szCs w:val="21"/>
              </w:rPr>
              <w:t>投标文件</w:t>
            </w:r>
            <w:r>
              <w:rPr>
                <w:rFonts w:ascii="宋体" w:hAnsi="宋体"/>
                <w:color w:val="auto"/>
                <w:sz w:val="21"/>
                <w:szCs w:val="21"/>
              </w:rPr>
              <w:t>从投标截止之日算起</w:t>
            </w:r>
            <w:r>
              <w:rPr>
                <w:rFonts w:hint="eastAsia" w:ascii="宋体" w:hAnsi="宋体"/>
                <w:color w:val="auto"/>
                <w:sz w:val="21"/>
                <w:szCs w:val="21"/>
              </w:rPr>
              <w:t>，投标有效期为90天。中标人的投标文件有效期自动延长至项目质保期结束。</w:t>
            </w:r>
          </w:p>
        </w:tc>
      </w:tr>
      <w:tr w14:paraId="1CC08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50" w:hRule="atLeast"/>
          <w:jc w:val="center"/>
        </w:trPr>
        <w:tc>
          <w:tcPr>
            <w:tcW w:w="325" w:type="pct"/>
            <w:vAlign w:val="center"/>
          </w:tcPr>
          <w:p w14:paraId="3F1DD22A">
            <w:pPr>
              <w:jc w:val="center"/>
              <w:rPr>
                <w:rFonts w:hint="default" w:hAnsi="宋体" w:cs="宋体"/>
                <w:sz w:val="21"/>
                <w:szCs w:val="21"/>
                <w:lang w:val="en-US" w:eastAsia="zh-CN"/>
              </w:rPr>
            </w:pPr>
            <w:r>
              <w:rPr>
                <w:rFonts w:hint="eastAsia" w:hAnsi="宋体" w:cs="宋体"/>
                <w:sz w:val="21"/>
                <w:szCs w:val="21"/>
                <w:lang w:val="en-US" w:eastAsia="zh-CN"/>
              </w:rPr>
              <w:t>17</w:t>
            </w:r>
          </w:p>
        </w:tc>
        <w:tc>
          <w:tcPr>
            <w:tcW w:w="927" w:type="pct"/>
            <w:vAlign w:val="center"/>
          </w:tcPr>
          <w:p w14:paraId="007515D5">
            <w:pPr>
              <w:jc w:val="center"/>
              <w:rPr>
                <w:rFonts w:hint="eastAsia" w:ascii="宋体" w:hAnsi="宋体"/>
                <w:color w:val="auto"/>
                <w:sz w:val="21"/>
                <w:szCs w:val="21"/>
              </w:rPr>
            </w:pPr>
            <w:r>
              <w:rPr>
                <w:rFonts w:hint="eastAsia" w:ascii="宋体" w:hAnsi="宋体"/>
                <w:color w:val="auto"/>
                <w:sz w:val="21"/>
                <w:szCs w:val="21"/>
              </w:rPr>
              <w:t>投标保证金</w:t>
            </w:r>
          </w:p>
        </w:tc>
        <w:tc>
          <w:tcPr>
            <w:tcW w:w="3746" w:type="pct"/>
          </w:tcPr>
          <w:p w14:paraId="1235718E">
            <w:pPr>
              <w:spacing w:line="500" w:lineRule="exact"/>
              <w:rPr>
                <w:rFonts w:hint="eastAsia" w:ascii="宋体" w:hAnsi="宋体" w:eastAsia="宋体"/>
                <w:color w:val="auto"/>
                <w:sz w:val="21"/>
                <w:szCs w:val="21"/>
                <w:lang w:val="en-US" w:eastAsia="zh-CN"/>
              </w:rPr>
            </w:pPr>
            <w:r>
              <w:rPr>
                <w:rFonts w:hint="eastAsia" w:hAnsi="宋体"/>
                <w:color w:val="auto"/>
                <w:sz w:val="21"/>
                <w:szCs w:val="21"/>
                <w:lang w:val="en-US" w:eastAsia="zh-CN"/>
              </w:rPr>
              <w:t>无</w:t>
            </w:r>
          </w:p>
        </w:tc>
      </w:tr>
      <w:tr w14:paraId="36F430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50" w:hRule="atLeast"/>
          <w:jc w:val="center"/>
        </w:trPr>
        <w:tc>
          <w:tcPr>
            <w:tcW w:w="325" w:type="pct"/>
            <w:vAlign w:val="center"/>
          </w:tcPr>
          <w:p w14:paraId="526DD88E">
            <w:pPr>
              <w:jc w:val="center"/>
              <w:rPr>
                <w:rFonts w:hint="default" w:hAnsi="宋体" w:cs="宋体"/>
                <w:sz w:val="21"/>
                <w:szCs w:val="21"/>
                <w:lang w:val="en-US" w:eastAsia="zh-CN"/>
              </w:rPr>
            </w:pPr>
            <w:r>
              <w:rPr>
                <w:rFonts w:hint="eastAsia" w:hAnsi="宋体" w:cs="宋体"/>
                <w:sz w:val="21"/>
                <w:szCs w:val="21"/>
                <w:lang w:val="en-US" w:eastAsia="zh-CN"/>
              </w:rPr>
              <w:t>18</w:t>
            </w:r>
          </w:p>
        </w:tc>
        <w:tc>
          <w:tcPr>
            <w:tcW w:w="927" w:type="pct"/>
            <w:vAlign w:val="center"/>
          </w:tcPr>
          <w:p w14:paraId="2D624489">
            <w:pPr>
              <w:jc w:val="center"/>
              <w:rPr>
                <w:rFonts w:hint="eastAsia" w:ascii="宋体" w:hAnsi="宋体"/>
                <w:color w:val="auto"/>
                <w:sz w:val="21"/>
                <w:szCs w:val="21"/>
              </w:rPr>
            </w:pPr>
            <w:r>
              <w:rPr>
                <w:rFonts w:hint="eastAsia" w:ascii="宋体" w:hAnsi="宋体"/>
                <w:color w:val="auto"/>
                <w:sz w:val="21"/>
                <w:szCs w:val="21"/>
              </w:rPr>
              <w:t>是否允许递交备选投标方案</w:t>
            </w:r>
          </w:p>
        </w:tc>
        <w:tc>
          <w:tcPr>
            <w:tcW w:w="3746" w:type="pct"/>
          </w:tcPr>
          <w:p w14:paraId="2CB58592">
            <w:pPr>
              <w:spacing w:line="500" w:lineRule="exact"/>
              <w:rPr>
                <w:rFonts w:hint="eastAsia" w:hAnsi="宋体"/>
                <w:color w:val="auto"/>
                <w:sz w:val="21"/>
                <w:szCs w:val="21"/>
                <w:lang w:val="en-US" w:eastAsia="zh-CN"/>
              </w:rPr>
            </w:pPr>
            <w:r>
              <w:rPr>
                <w:rFonts w:hint="eastAsia" w:ascii="宋体" w:hAnsi="宋体"/>
                <w:color w:val="auto"/>
                <w:sz w:val="21"/>
                <w:szCs w:val="21"/>
              </w:rPr>
              <w:t>不允许</w:t>
            </w:r>
          </w:p>
        </w:tc>
      </w:tr>
      <w:tr w14:paraId="4470D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10" w:hRule="atLeast"/>
          <w:jc w:val="center"/>
        </w:trPr>
        <w:tc>
          <w:tcPr>
            <w:tcW w:w="325" w:type="pct"/>
            <w:vAlign w:val="center"/>
          </w:tcPr>
          <w:p w14:paraId="645C275A">
            <w:pPr>
              <w:spacing w:after="166" w:afterLines="50"/>
              <w:jc w:val="center"/>
              <w:rPr>
                <w:rFonts w:hint="default" w:hAnsi="宋体" w:eastAsia="宋体" w:cs="宋体"/>
                <w:sz w:val="21"/>
                <w:szCs w:val="21"/>
                <w:lang w:val="en-US" w:eastAsia="zh-CN"/>
              </w:rPr>
            </w:pPr>
            <w:r>
              <w:rPr>
                <w:rFonts w:hint="eastAsia" w:hAnsi="宋体" w:cs="宋体"/>
                <w:sz w:val="21"/>
                <w:szCs w:val="21"/>
                <w:lang w:val="en-US" w:eastAsia="zh-CN"/>
              </w:rPr>
              <w:t>19</w:t>
            </w:r>
          </w:p>
        </w:tc>
        <w:tc>
          <w:tcPr>
            <w:tcW w:w="927" w:type="pct"/>
            <w:vAlign w:val="center"/>
          </w:tcPr>
          <w:p w14:paraId="7AD82386">
            <w:pPr>
              <w:spacing w:after="166" w:afterLines="50"/>
              <w:jc w:val="center"/>
              <w:rPr>
                <w:rFonts w:hAnsi="宋体" w:cs="宋体"/>
                <w:sz w:val="21"/>
                <w:szCs w:val="21"/>
              </w:rPr>
            </w:pPr>
            <w:r>
              <w:rPr>
                <w:rFonts w:hint="eastAsia" w:ascii="宋体" w:hAnsi="宋体" w:eastAsia="宋体" w:cs="宋体"/>
                <w:b w:val="0"/>
                <w:bCs w:val="0"/>
                <w:kern w:val="2"/>
                <w:sz w:val="21"/>
                <w:szCs w:val="21"/>
                <w:lang w:val="en-US" w:eastAsia="zh-CN" w:bidi="ar-SA"/>
              </w:rPr>
              <w:t>本项目所属行业</w:t>
            </w:r>
          </w:p>
        </w:tc>
        <w:tc>
          <w:tcPr>
            <w:tcW w:w="3746" w:type="pct"/>
            <w:vAlign w:val="center"/>
          </w:tcPr>
          <w:p w14:paraId="29B6AC6A">
            <w:pPr>
              <w:spacing w:line="360" w:lineRule="auto"/>
              <w:rPr>
                <w:rFonts w:hAnsi="宋体" w:cs="宋体"/>
                <w:sz w:val="21"/>
                <w:szCs w:val="21"/>
              </w:rPr>
            </w:pPr>
            <w:r>
              <w:rPr>
                <w:rFonts w:hint="eastAsia" w:ascii="宋体" w:hAnsi="宋体" w:eastAsia="宋体" w:cs="宋体"/>
                <w:b w:val="0"/>
                <w:bCs w:val="0"/>
                <w:kern w:val="2"/>
                <w:sz w:val="21"/>
                <w:szCs w:val="21"/>
                <w:lang w:val="en-US" w:eastAsia="zh-CN" w:bidi="ar-SA"/>
              </w:rPr>
              <w:t>其他未列明行业</w:t>
            </w:r>
          </w:p>
        </w:tc>
      </w:tr>
      <w:tr w14:paraId="1B660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8" w:hRule="atLeast"/>
          <w:jc w:val="center"/>
        </w:trPr>
        <w:tc>
          <w:tcPr>
            <w:tcW w:w="325" w:type="pct"/>
            <w:vAlign w:val="center"/>
          </w:tcPr>
          <w:p w14:paraId="6EFF9BA6">
            <w:pPr>
              <w:spacing w:after="166" w:afterLines="50"/>
              <w:jc w:val="center"/>
              <w:rPr>
                <w:rFonts w:hint="default" w:hAnsi="宋体" w:eastAsia="宋体" w:cs="宋体"/>
                <w:sz w:val="21"/>
                <w:szCs w:val="21"/>
                <w:lang w:val="en-US" w:eastAsia="zh-CN"/>
              </w:rPr>
            </w:pPr>
            <w:r>
              <w:rPr>
                <w:rFonts w:hint="eastAsia" w:hAnsi="宋体" w:cs="宋体"/>
                <w:sz w:val="21"/>
                <w:szCs w:val="21"/>
                <w:lang w:val="en-US" w:eastAsia="zh-CN"/>
              </w:rPr>
              <w:t>20</w:t>
            </w:r>
          </w:p>
        </w:tc>
        <w:tc>
          <w:tcPr>
            <w:tcW w:w="927" w:type="pct"/>
            <w:vAlign w:val="center"/>
          </w:tcPr>
          <w:p w14:paraId="491499D8">
            <w:pPr>
              <w:spacing w:after="166" w:afterLines="50"/>
              <w:jc w:val="center"/>
              <w:rPr>
                <w:rFonts w:hint="eastAsia" w:hAnsi="宋体" w:eastAsia="宋体" w:cs="宋体"/>
                <w:sz w:val="21"/>
                <w:szCs w:val="21"/>
                <w:lang w:eastAsia="zh-CN"/>
              </w:rPr>
            </w:pPr>
            <w:r>
              <w:rPr>
                <w:rFonts w:hint="eastAsia" w:ascii="宋体" w:hAnsi="宋体"/>
                <w:color w:val="auto"/>
                <w:sz w:val="21"/>
                <w:szCs w:val="21"/>
              </w:rPr>
              <w:t>分包</w:t>
            </w:r>
          </w:p>
        </w:tc>
        <w:tc>
          <w:tcPr>
            <w:tcW w:w="3746" w:type="pct"/>
            <w:vAlign w:val="center"/>
          </w:tcPr>
          <w:p w14:paraId="3290166D">
            <w:pPr>
              <w:spacing w:line="360" w:lineRule="auto"/>
              <w:rPr>
                <w:rFonts w:hAnsi="宋体" w:cs="宋体"/>
                <w:sz w:val="21"/>
                <w:szCs w:val="21"/>
                <w:highlight w:val="none"/>
              </w:rPr>
            </w:pPr>
            <w:r>
              <w:rPr>
                <w:rFonts w:hint="eastAsia" w:ascii="宋体" w:hAnsi="宋体" w:eastAsia="宋体" w:cs="宋体"/>
                <w:b/>
                <w:bCs/>
                <w:kern w:val="2"/>
                <w:sz w:val="21"/>
                <w:szCs w:val="21"/>
                <w:highlight w:val="none"/>
                <w:lang w:val="en-US" w:eastAsia="zh-CN" w:bidi="ar-SA"/>
              </w:rPr>
              <w:t>本项目不允许分包</w:t>
            </w:r>
          </w:p>
        </w:tc>
      </w:tr>
      <w:tr w14:paraId="55A50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5" w:hRule="atLeast"/>
          <w:jc w:val="center"/>
        </w:trPr>
        <w:tc>
          <w:tcPr>
            <w:tcW w:w="325" w:type="pct"/>
            <w:vAlign w:val="center"/>
          </w:tcPr>
          <w:p w14:paraId="2D8FCE8B">
            <w:pPr>
              <w:spacing w:after="166" w:afterLines="50"/>
              <w:jc w:val="center"/>
              <w:rPr>
                <w:rFonts w:hint="default" w:hAnsi="宋体" w:eastAsia="宋体" w:cs="宋体"/>
                <w:sz w:val="21"/>
                <w:szCs w:val="21"/>
                <w:lang w:val="en-US" w:eastAsia="zh-CN"/>
              </w:rPr>
            </w:pPr>
            <w:r>
              <w:rPr>
                <w:rFonts w:hint="eastAsia" w:hAnsi="宋体" w:cs="宋体"/>
                <w:sz w:val="21"/>
                <w:szCs w:val="21"/>
                <w:lang w:val="en-US" w:eastAsia="zh-CN"/>
              </w:rPr>
              <w:t>21</w:t>
            </w:r>
          </w:p>
        </w:tc>
        <w:tc>
          <w:tcPr>
            <w:tcW w:w="927" w:type="pct"/>
            <w:vAlign w:val="center"/>
          </w:tcPr>
          <w:p w14:paraId="6EEAC9F9">
            <w:pPr>
              <w:spacing w:after="166" w:afterLines="50"/>
              <w:jc w:val="center"/>
              <w:rPr>
                <w:rFonts w:hAnsi="宋体" w:cs="宋体"/>
                <w:sz w:val="21"/>
                <w:szCs w:val="21"/>
              </w:rPr>
            </w:pPr>
            <w:r>
              <w:rPr>
                <w:rFonts w:hint="eastAsia" w:ascii="宋体" w:hAnsi="宋体"/>
                <w:color w:val="auto"/>
                <w:sz w:val="21"/>
                <w:szCs w:val="21"/>
              </w:rPr>
              <w:t>偏离</w:t>
            </w:r>
          </w:p>
        </w:tc>
        <w:tc>
          <w:tcPr>
            <w:tcW w:w="3746" w:type="pct"/>
          </w:tcPr>
          <w:p w14:paraId="5EF24BD9">
            <w:pPr>
              <w:spacing w:line="360" w:lineRule="auto"/>
              <w:rPr>
                <w:rFonts w:hAnsi="宋体" w:cs="宋体"/>
                <w:sz w:val="21"/>
                <w:szCs w:val="21"/>
              </w:rPr>
            </w:pPr>
            <w:r>
              <w:rPr>
                <w:rFonts w:hint="eastAsia" w:hAnsi="宋体" w:cs="宋体"/>
                <w:sz w:val="21"/>
                <w:szCs w:val="21"/>
              </w:rPr>
              <w:t>不满足评标办法中初步评审标准的，视为发生重大偏离，其投标被否决。其余偏离视为细微偏离，评标委员会将通过澄清方式对细微偏离进行澄清或修改。</w:t>
            </w:r>
          </w:p>
        </w:tc>
      </w:tr>
      <w:tr w14:paraId="611CF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5" w:hRule="atLeast"/>
          <w:jc w:val="center"/>
        </w:trPr>
        <w:tc>
          <w:tcPr>
            <w:tcW w:w="325" w:type="pct"/>
            <w:vAlign w:val="center"/>
          </w:tcPr>
          <w:p w14:paraId="3AC4BFC9">
            <w:pPr>
              <w:spacing w:after="166" w:afterLines="50"/>
              <w:jc w:val="center"/>
              <w:rPr>
                <w:rFonts w:hint="default" w:hAnsi="宋体" w:eastAsia="宋体" w:cs="宋体"/>
                <w:sz w:val="21"/>
                <w:szCs w:val="21"/>
                <w:lang w:val="en-US" w:eastAsia="zh-CN"/>
              </w:rPr>
            </w:pPr>
            <w:r>
              <w:rPr>
                <w:rFonts w:hint="eastAsia" w:hAnsi="宋体" w:cs="宋体"/>
                <w:sz w:val="21"/>
                <w:szCs w:val="21"/>
                <w:lang w:val="en-US" w:eastAsia="zh-CN"/>
              </w:rPr>
              <w:t>22</w:t>
            </w:r>
          </w:p>
        </w:tc>
        <w:tc>
          <w:tcPr>
            <w:tcW w:w="927" w:type="pct"/>
            <w:vAlign w:val="center"/>
          </w:tcPr>
          <w:p w14:paraId="1879540D">
            <w:pPr>
              <w:spacing w:after="166" w:afterLines="50"/>
              <w:jc w:val="both"/>
              <w:rPr>
                <w:rFonts w:hint="default" w:hAnsi="宋体" w:cs="宋体"/>
                <w:sz w:val="21"/>
                <w:szCs w:val="21"/>
                <w:highlight w:val="none"/>
                <w:lang w:val="en-US"/>
              </w:rPr>
            </w:pPr>
            <w:r>
              <w:rPr>
                <w:rFonts w:hint="eastAsia" w:hAnsi="宋体" w:cs="宋体"/>
                <w:sz w:val="21"/>
                <w:szCs w:val="21"/>
                <w:highlight w:val="none"/>
                <w:lang w:val="en-US" w:eastAsia="zh-CN"/>
              </w:rPr>
              <w:t>投标截止时间</w:t>
            </w:r>
          </w:p>
        </w:tc>
        <w:tc>
          <w:tcPr>
            <w:tcW w:w="3746" w:type="pct"/>
            <w:vAlign w:val="center"/>
          </w:tcPr>
          <w:p w14:paraId="05340374">
            <w:pPr>
              <w:spacing w:line="360" w:lineRule="auto"/>
              <w:jc w:val="both"/>
              <w:rPr>
                <w:rFonts w:hint="eastAsia" w:hAnsi="宋体" w:eastAsia="宋体" w:cs="宋体"/>
                <w:sz w:val="21"/>
                <w:szCs w:val="21"/>
                <w:highlight w:val="none"/>
                <w:lang w:eastAsia="zh-CN"/>
              </w:rPr>
            </w:pPr>
            <w:r>
              <w:rPr>
                <w:rFonts w:hint="eastAsia" w:ascii="宋体" w:hAnsi="宋体" w:eastAsia="宋体" w:cs="宋体"/>
                <w:sz w:val="21"/>
                <w:szCs w:val="21"/>
                <w:highlight w:val="none"/>
              </w:rPr>
              <w:t>2025年</w:t>
            </w:r>
            <w:r>
              <w:rPr>
                <w:rFonts w:hint="eastAsia" w:ascii="宋体" w:hAnsi="宋体" w:eastAsia="宋体" w:cs="宋体"/>
                <w:sz w:val="21"/>
                <w:szCs w:val="21"/>
                <w:highlight w:val="none"/>
                <w:lang w:val="en-US" w:eastAsia="zh-CN"/>
              </w:rPr>
              <w:t>09</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28</w:t>
            </w:r>
            <w:r>
              <w:rPr>
                <w:rFonts w:hint="eastAsia" w:ascii="宋体" w:hAnsi="宋体" w:eastAsia="宋体" w:cs="宋体"/>
                <w:sz w:val="21"/>
                <w:szCs w:val="21"/>
                <w:highlight w:val="none"/>
              </w:rPr>
              <w:t>日</w:t>
            </w:r>
            <w:r>
              <w:rPr>
                <w:rFonts w:hint="eastAsia" w:ascii="宋体" w:hAnsi="宋体" w:eastAsia="宋体" w:cs="宋体"/>
                <w:sz w:val="21"/>
                <w:szCs w:val="21"/>
                <w:highlight w:val="none"/>
                <w:lang w:val="en-US" w:eastAsia="zh-CN"/>
              </w:rPr>
              <w:t>14</w:t>
            </w:r>
            <w:r>
              <w:rPr>
                <w:rFonts w:hint="eastAsia" w:ascii="宋体" w:hAnsi="宋体" w:eastAsia="宋体" w:cs="宋体"/>
                <w:sz w:val="21"/>
                <w:szCs w:val="21"/>
                <w:highlight w:val="none"/>
              </w:rPr>
              <w:t>时</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分00秒</w:t>
            </w:r>
          </w:p>
        </w:tc>
      </w:tr>
      <w:tr w14:paraId="6990F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5" w:hRule="atLeast"/>
          <w:jc w:val="center"/>
        </w:trPr>
        <w:tc>
          <w:tcPr>
            <w:tcW w:w="325" w:type="pct"/>
            <w:vAlign w:val="center"/>
          </w:tcPr>
          <w:p w14:paraId="2F921603">
            <w:pPr>
              <w:spacing w:after="166" w:afterLines="50"/>
              <w:jc w:val="center"/>
              <w:rPr>
                <w:rFonts w:hint="default" w:hAnsi="宋体" w:cs="宋体"/>
                <w:sz w:val="21"/>
                <w:szCs w:val="21"/>
                <w:lang w:val="en-US" w:eastAsia="zh-CN"/>
              </w:rPr>
            </w:pPr>
            <w:r>
              <w:rPr>
                <w:rFonts w:hint="eastAsia" w:hAnsi="宋体" w:cs="宋体"/>
                <w:sz w:val="21"/>
                <w:szCs w:val="21"/>
                <w:lang w:val="en-US" w:eastAsia="zh-CN"/>
              </w:rPr>
              <w:t>23</w:t>
            </w:r>
          </w:p>
        </w:tc>
        <w:tc>
          <w:tcPr>
            <w:tcW w:w="927" w:type="pct"/>
            <w:vAlign w:val="center"/>
          </w:tcPr>
          <w:p w14:paraId="5D9479DB">
            <w:pPr>
              <w:spacing w:after="166" w:afterLines="50"/>
              <w:jc w:val="left"/>
              <w:rPr>
                <w:rFonts w:hint="eastAsia" w:hAnsi="宋体" w:cs="宋体"/>
                <w:sz w:val="21"/>
                <w:szCs w:val="21"/>
                <w:lang w:val="en-US" w:eastAsia="zh-CN"/>
              </w:rPr>
            </w:pPr>
            <w:r>
              <w:rPr>
                <w:rFonts w:hint="eastAsia" w:ascii="宋体" w:hAnsi="宋体"/>
                <w:color w:val="auto"/>
                <w:sz w:val="21"/>
                <w:szCs w:val="21"/>
              </w:rPr>
              <w:t>评标委员会的组建</w:t>
            </w:r>
          </w:p>
        </w:tc>
        <w:tc>
          <w:tcPr>
            <w:tcW w:w="3746" w:type="pct"/>
          </w:tcPr>
          <w:p w14:paraId="3C3C6EA5">
            <w:pPr>
              <w:spacing w:line="360" w:lineRule="auto"/>
              <w:jc w:val="left"/>
              <w:rPr>
                <w:rFonts w:hint="eastAsia" w:ascii="宋体" w:hAnsi="宋体"/>
                <w:color w:val="auto"/>
                <w:sz w:val="21"/>
                <w:szCs w:val="21"/>
              </w:rPr>
            </w:pPr>
            <w:r>
              <w:rPr>
                <w:rFonts w:hint="eastAsia" w:ascii="宋体" w:hAnsi="宋体"/>
                <w:color w:val="auto"/>
                <w:sz w:val="21"/>
                <w:szCs w:val="21"/>
              </w:rPr>
              <w:t>评标委员会构成：依法组成。</w:t>
            </w:r>
          </w:p>
          <w:p w14:paraId="3F1553FB">
            <w:pPr>
              <w:spacing w:line="360" w:lineRule="auto"/>
              <w:jc w:val="left"/>
              <w:rPr>
                <w:rFonts w:hint="eastAsia" w:ascii="宋体" w:hAnsi="宋体"/>
                <w:color w:val="auto"/>
                <w:sz w:val="21"/>
                <w:szCs w:val="21"/>
              </w:rPr>
            </w:pPr>
            <w:r>
              <w:rPr>
                <w:rFonts w:hint="eastAsia" w:ascii="宋体" w:hAnsi="宋体"/>
                <w:color w:val="auto"/>
                <w:sz w:val="21"/>
                <w:szCs w:val="21"/>
              </w:rPr>
              <w:t>评标委员会构成：5人，其中采购人代表 1人，评标专家 4 人。</w:t>
            </w:r>
          </w:p>
          <w:p w14:paraId="703F6701">
            <w:pPr>
              <w:spacing w:line="360" w:lineRule="auto"/>
              <w:jc w:val="left"/>
              <w:rPr>
                <w:rFonts w:hint="eastAsia" w:hAnsi="宋体" w:cs="宋体"/>
                <w:sz w:val="21"/>
                <w:szCs w:val="21"/>
              </w:rPr>
            </w:pPr>
            <w:r>
              <w:rPr>
                <w:rFonts w:hint="eastAsia" w:ascii="宋体" w:hAnsi="宋体"/>
                <w:color w:val="auto"/>
                <w:sz w:val="21"/>
                <w:szCs w:val="21"/>
              </w:rPr>
              <w:t>评标专家确定方式：陕西省政府采购网评审专家库中随机抽取专家。</w:t>
            </w:r>
          </w:p>
        </w:tc>
      </w:tr>
      <w:tr w14:paraId="3C7E4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5" w:hRule="atLeast"/>
          <w:jc w:val="center"/>
        </w:trPr>
        <w:tc>
          <w:tcPr>
            <w:tcW w:w="325" w:type="pct"/>
            <w:vAlign w:val="center"/>
          </w:tcPr>
          <w:p w14:paraId="60F984E4">
            <w:pPr>
              <w:spacing w:after="166" w:afterLines="50"/>
              <w:jc w:val="center"/>
              <w:rPr>
                <w:rFonts w:hint="default" w:hAnsi="宋体" w:cs="宋体"/>
                <w:sz w:val="21"/>
                <w:szCs w:val="21"/>
                <w:lang w:val="en-US" w:eastAsia="zh-CN"/>
              </w:rPr>
            </w:pPr>
            <w:r>
              <w:rPr>
                <w:rFonts w:hint="eastAsia" w:hAnsi="宋体" w:cs="宋体"/>
                <w:sz w:val="21"/>
                <w:szCs w:val="21"/>
                <w:lang w:val="en-US" w:eastAsia="zh-CN"/>
              </w:rPr>
              <w:t>24</w:t>
            </w:r>
          </w:p>
        </w:tc>
        <w:tc>
          <w:tcPr>
            <w:tcW w:w="927" w:type="pct"/>
            <w:vAlign w:val="center"/>
          </w:tcPr>
          <w:p w14:paraId="53AB5D5A">
            <w:pPr>
              <w:adjustRightInd w:val="0"/>
              <w:snapToGrid w:val="0"/>
              <w:spacing w:line="360" w:lineRule="auto"/>
              <w:jc w:val="cente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开标时间和地点</w:t>
            </w:r>
          </w:p>
        </w:tc>
        <w:tc>
          <w:tcPr>
            <w:tcW w:w="3746" w:type="pct"/>
            <w:vAlign w:val="center"/>
          </w:tcPr>
          <w:p w14:paraId="397FC58B">
            <w:pPr>
              <w:adjustRightInd w:val="0"/>
              <w:snapToGrid w:val="0"/>
              <w:spacing w:line="360" w:lineRule="auto"/>
              <w:jc w:val="left"/>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rPr>
              <w:t>开标时间：2025年</w:t>
            </w:r>
            <w:r>
              <w:rPr>
                <w:rFonts w:hint="eastAsia" w:ascii="宋体" w:hAnsi="宋体" w:eastAsia="宋体" w:cs="宋体"/>
                <w:sz w:val="21"/>
                <w:szCs w:val="21"/>
                <w:highlight w:val="none"/>
                <w:lang w:val="en-US" w:eastAsia="zh-CN"/>
              </w:rPr>
              <w:t>09</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28</w:t>
            </w:r>
            <w:r>
              <w:rPr>
                <w:rFonts w:hint="eastAsia" w:ascii="宋体" w:hAnsi="宋体" w:eastAsia="宋体" w:cs="宋体"/>
                <w:sz w:val="21"/>
                <w:szCs w:val="21"/>
                <w:highlight w:val="none"/>
              </w:rPr>
              <w:t>日</w:t>
            </w:r>
            <w:r>
              <w:rPr>
                <w:rFonts w:hint="eastAsia" w:ascii="宋体" w:hAnsi="宋体" w:eastAsia="宋体" w:cs="宋体"/>
                <w:sz w:val="21"/>
                <w:szCs w:val="21"/>
                <w:highlight w:val="none"/>
                <w:lang w:val="en-US" w:eastAsia="zh-CN"/>
              </w:rPr>
              <w:t>14</w:t>
            </w:r>
            <w:r>
              <w:rPr>
                <w:rFonts w:hint="eastAsia" w:ascii="宋体" w:hAnsi="宋体" w:eastAsia="宋体" w:cs="宋体"/>
                <w:sz w:val="21"/>
                <w:szCs w:val="21"/>
                <w:highlight w:val="none"/>
              </w:rPr>
              <w:t>时</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分00秒</w:t>
            </w:r>
          </w:p>
          <w:p w14:paraId="7F0241DB">
            <w:pPr>
              <w:adjustRightInd w:val="0"/>
              <w:snapToGrid w:val="0"/>
              <w:spacing w:line="360" w:lineRule="auto"/>
              <w:jc w:val="left"/>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开标地点：全国公共资源交易平台（陕西省·延安市）网站【首页】不见面开标大厅〉及延安市公共资源交易中心交易五厅</w:t>
            </w:r>
          </w:p>
        </w:tc>
      </w:tr>
      <w:tr w14:paraId="168BB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0" w:hRule="atLeast"/>
          <w:jc w:val="center"/>
        </w:trPr>
        <w:tc>
          <w:tcPr>
            <w:tcW w:w="325" w:type="pct"/>
            <w:vAlign w:val="center"/>
          </w:tcPr>
          <w:p w14:paraId="7E950A3C">
            <w:pPr>
              <w:jc w:val="center"/>
              <w:rPr>
                <w:rFonts w:hint="default" w:hAnsi="宋体" w:eastAsia="宋体" w:cs="宋体"/>
                <w:sz w:val="21"/>
                <w:szCs w:val="21"/>
                <w:lang w:val="en-US" w:eastAsia="zh-CN"/>
              </w:rPr>
            </w:pPr>
            <w:r>
              <w:rPr>
                <w:rFonts w:hint="eastAsia" w:hAnsi="宋体" w:cs="宋体"/>
                <w:sz w:val="21"/>
                <w:szCs w:val="21"/>
                <w:lang w:val="en-US" w:eastAsia="zh-CN"/>
              </w:rPr>
              <w:t>25</w:t>
            </w:r>
          </w:p>
        </w:tc>
        <w:tc>
          <w:tcPr>
            <w:tcW w:w="927" w:type="pct"/>
            <w:vAlign w:val="center"/>
          </w:tcPr>
          <w:p w14:paraId="73B71831">
            <w:pPr>
              <w:spacing w:after="166" w:afterLines="50" w:line="360" w:lineRule="auto"/>
              <w:jc w:val="center"/>
              <w:rPr>
                <w:rFonts w:hint="eastAsia" w:ascii="宋体" w:hAnsi="宋体" w:eastAsia="宋体" w:cs="宋体"/>
                <w:sz w:val="21"/>
                <w:szCs w:val="21"/>
                <w:lang w:val="en-US" w:eastAsia="zh-CN" w:bidi="ar-SA"/>
              </w:rPr>
            </w:pPr>
            <w:r>
              <w:rPr>
                <w:rFonts w:hint="eastAsia" w:ascii="宋体" w:hAnsi="宋体"/>
                <w:color w:val="auto"/>
                <w:sz w:val="21"/>
                <w:szCs w:val="21"/>
              </w:rPr>
              <w:t>是否授权评标委员会确定中标候选人</w:t>
            </w:r>
          </w:p>
        </w:tc>
        <w:tc>
          <w:tcPr>
            <w:tcW w:w="3746" w:type="pct"/>
            <w:vAlign w:val="top"/>
          </w:tcPr>
          <w:p w14:paraId="0CEE11CA">
            <w:pPr>
              <w:spacing w:line="360" w:lineRule="auto"/>
              <w:rPr>
                <w:rFonts w:hint="eastAsia" w:ascii="宋体" w:hAnsi="宋体"/>
                <w:color w:val="auto"/>
                <w:sz w:val="21"/>
                <w:szCs w:val="21"/>
              </w:rPr>
            </w:pPr>
          </w:p>
          <w:p w14:paraId="4E31F0F4">
            <w:pPr>
              <w:spacing w:line="360" w:lineRule="auto"/>
              <w:ind w:firstLine="210" w:firstLineChars="100"/>
              <w:rPr>
                <w:rFonts w:hint="eastAsia" w:ascii="宋体" w:hAnsi="宋体" w:eastAsia="宋体" w:cs="宋体"/>
                <w:sz w:val="21"/>
                <w:szCs w:val="21"/>
                <w:lang w:val="en-US" w:eastAsia="zh-CN" w:bidi="ar-SA"/>
              </w:rPr>
            </w:pPr>
            <w:r>
              <w:rPr>
                <w:rFonts w:hint="eastAsia" w:ascii="宋体" w:hAnsi="宋体"/>
                <w:color w:val="auto"/>
                <w:sz w:val="21"/>
                <w:szCs w:val="21"/>
              </w:rPr>
              <w:t>否，由评标委员会推选得分较高的前三名为中标候选人</w:t>
            </w:r>
          </w:p>
        </w:tc>
      </w:tr>
      <w:tr w14:paraId="0379D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06" w:hRule="atLeast"/>
          <w:jc w:val="center"/>
        </w:trPr>
        <w:tc>
          <w:tcPr>
            <w:tcW w:w="325" w:type="pct"/>
            <w:vAlign w:val="center"/>
          </w:tcPr>
          <w:p w14:paraId="26B423CC">
            <w:pPr>
              <w:jc w:val="center"/>
              <w:rPr>
                <w:rFonts w:hint="default" w:hAnsi="宋体" w:eastAsia="宋体" w:cs="宋体"/>
                <w:sz w:val="21"/>
                <w:szCs w:val="21"/>
                <w:lang w:val="en-US" w:eastAsia="zh-CN"/>
              </w:rPr>
            </w:pPr>
            <w:r>
              <w:rPr>
                <w:rFonts w:hint="eastAsia" w:hAnsi="宋体" w:cs="宋体"/>
                <w:sz w:val="21"/>
                <w:szCs w:val="21"/>
                <w:lang w:val="en-US" w:eastAsia="zh-CN"/>
              </w:rPr>
              <w:t>26</w:t>
            </w:r>
          </w:p>
        </w:tc>
        <w:tc>
          <w:tcPr>
            <w:tcW w:w="927" w:type="pct"/>
            <w:vAlign w:val="center"/>
          </w:tcPr>
          <w:p w14:paraId="1E3B0D7D">
            <w:pPr>
              <w:jc w:val="center"/>
              <w:rPr>
                <w:rFonts w:hint="default" w:ascii="宋体" w:hAnsi="宋体" w:eastAsia="宋体" w:cs="宋体"/>
                <w:sz w:val="21"/>
                <w:szCs w:val="21"/>
                <w:lang w:val="en-US" w:eastAsia="zh-CN" w:bidi="ar-SA"/>
              </w:rPr>
            </w:pPr>
            <w:r>
              <w:rPr>
                <w:rFonts w:hint="eastAsia" w:hAnsi="宋体" w:cs="宋体"/>
                <w:sz w:val="21"/>
                <w:szCs w:val="21"/>
                <w:lang w:val="en-US" w:eastAsia="zh-CN"/>
              </w:rPr>
              <w:t>评标办法</w:t>
            </w:r>
          </w:p>
        </w:tc>
        <w:tc>
          <w:tcPr>
            <w:tcW w:w="3746" w:type="pct"/>
            <w:vAlign w:val="center"/>
          </w:tcPr>
          <w:p w14:paraId="194F835C">
            <w:pPr>
              <w:jc w:val="left"/>
              <w:rPr>
                <w:rFonts w:ascii="宋体" w:hAnsi="宋体" w:eastAsia="宋体" w:cs="宋体"/>
                <w:b/>
                <w:bCs/>
                <w:sz w:val="21"/>
                <w:szCs w:val="21"/>
                <w:lang w:val="en-US" w:eastAsia="zh-CN" w:bidi="ar-SA"/>
              </w:rPr>
            </w:pPr>
            <w:r>
              <w:rPr>
                <w:rFonts w:hint="eastAsia" w:hAnsi="宋体" w:cs="宋体"/>
                <w:b/>
                <w:bCs/>
                <w:sz w:val="21"/>
                <w:szCs w:val="21"/>
              </w:rPr>
              <w:t>评标方法：综合评分法（详见第五章）。</w:t>
            </w:r>
          </w:p>
        </w:tc>
      </w:tr>
      <w:tr w14:paraId="2E346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25" w:type="pct"/>
            <w:vAlign w:val="center"/>
          </w:tcPr>
          <w:p w14:paraId="6BE25831">
            <w:pPr>
              <w:jc w:val="center"/>
              <w:rPr>
                <w:rFonts w:hint="default" w:hAnsi="宋体" w:eastAsia="宋体" w:cs="宋体"/>
                <w:sz w:val="21"/>
                <w:szCs w:val="21"/>
                <w:lang w:val="en-US" w:eastAsia="zh-CN"/>
              </w:rPr>
            </w:pPr>
            <w:r>
              <w:rPr>
                <w:rFonts w:hint="eastAsia" w:hAnsi="宋体" w:cs="宋体"/>
                <w:sz w:val="21"/>
                <w:szCs w:val="21"/>
                <w:lang w:val="en-US" w:eastAsia="zh-CN"/>
              </w:rPr>
              <w:t>27</w:t>
            </w:r>
          </w:p>
        </w:tc>
        <w:tc>
          <w:tcPr>
            <w:tcW w:w="927" w:type="pct"/>
            <w:vAlign w:val="center"/>
          </w:tcPr>
          <w:p w14:paraId="3A590A01">
            <w:pPr>
              <w:jc w:val="center"/>
              <w:rPr>
                <w:rFonts w:hint="default" w:ascii="宋体" w:hAnsi="宋体" w:eastAsia="宋体" w:cs="宋体"/>
                <w:sz w:val="21"/>
                <w:szCs w:val="21"/>
                <w:lang w:val="en-US" w:eastAsia="zh-CN" w:bidi="ar-SA"/>
              </w:rPr>
            </w:pPr>
            <w:r>
              <w:rPr>
                <w:rFonts w:hint="eastAsia" w:hAnsi="宋体" w:cs="宋体"/>
                <w:sz w:val="21"/>
                <w:szCs w:val="21"/>
                <w:lang w:val="en-US" w:eastAsia="zh-CN"/>
              </w:rPr>
              <w:t>代理服务费</w:t>
            </w:r>
          </w:p>
        </w:tc>
        <w:tc>
          <w:tcPr>
            <w:tcW w:w="3746" w:type="pct"/>
            <w:vAlign w:val="center"/>
          </w:tcPr>
          <w:p w14:paraId="6E39A828">
            <w:pPr>
              <w:spacing w:line="520" w:lineRule="exact"/>
              <w:rPr>
                <w:rFonts w:hAnsi="宋体" w:cs="宋体"/>
                <w:sz w:val="21"/>
                <w:szCs w:val="21"/>
              </w:rPr>
            </w:pPr>
            <w:r>
              <w:rPr>
                <w:rFonts w:hint="eastAsia" w:hAnsi="宋体" w:cs="宋体"/>
                <w:sz w:val="21"/>
                <w:szCs w:val="21"/>
              </w:rPr>
              <w:t xml:space="preserve">招标代理服务费： </w:t>
            </w:r>
          </w:p>
          <w:p w14:paraId="36DE966C">
            <w:pPr>
              <w:spacing w:line="500" w:lineRule="exact"/>
              <w:ind w:firstLine="420" w:firstLineChars="200"/>
              <w:rPr>
                <w:rFonts w:hint="eastAsia" w:hAnsi="宋体" w:eastAsia="宋体" w:cs="宋体"/>
                <w:sz w:val="21"/>
                <w:szCs w:val="21"/>
                <w:lang w:val="en-US" w:eastAsia="zh-CN"/>
              </w:rPr>
            </w:pPr>
            <w:r>
              <w:rPr>
                <w:rFonts w:hint="eastAsia" w:hAnsi="宋体" w:cs="宋体"/>
                <w:sz w:val="21"/>
                <w:szCs w:val="21"/>
              </w:rPr>
              <w:t>招标代理服务费的计算方法：依据国家计委颁布《招标代理服务收费管理暂行办法》（计价格[2002]1980号）文件的有关规定执行</w:t>
            </w:r>
            <w:r>
              <w:rPr>
                <w:rFonts w:hint="eastAsia" w:hAnsi="宋体" w:cs="宋体"/>
                <w:sz w:val="21"/>
                <w:szCs w:val="21"/>
                <w:lang w:eastAsia="zh-CN"/>
              </w:rPr>
              <w:t>。</w:t>
            </w:r>
          </w:p>
          <w:p w14:paraId="59EABA17">
            <w:pPr>
              <w:spacing w:line="500" w:lineRule="exact"/>
              <w:ind w:firstLine="420" w:firstLineChars="200"/>
              <w:rPr>
                <w:rFonts w:hint="default" w:ascii="宋体" w:hAnsi="宋体" w:eastAsia="宋体" w:cs="宋体"/>
                <w:sz w:val="21"/>
                <w:szCs w:val="21"/>
                <w:lang w:val="en-US" w:eastAsia="zh-CN" w:bidi="ar-SA"/>
              </w:rPr>
            </w:pPr>
            <w:r>
              <w:rPr>
                <w:rFonts w:hint="eastAsia" w:hAnsi="宋体" w:cs="宋体"/>
                <w:sz w:val="21"/>
                <w:szCs w:val="21"/>
              </w:rPr>
              <w:t>中标单位在领取中标通知书前，须向采购代理机构一次性支付招标代理服务费。</w:t>
            </w:r>
          </w:p>
        </w:tc>
      </w:tr>
      <w:tr w14:paraId="6651A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325" w:type="pct"/>
            <w:vAlign w:val="center"/>
          </w:tcPr>
          <w:p w14:paraId="6015D7BD">
            <w:pPr>
              <w:jc w:val="center"/>
              <w:rPr>
                <w:rFonts w:hint="default" w:hAnsi="宋体" w:eastAsia="宋体" w:cs="宋体"/>
                <w:sz w:val="21"/>
                <w:szCs w:val="21"/>
                <w:lang w:val="en-US" w:eastAsia="zh-CN"/>
              </w:rPr>
            </w:pPr>
            <w:r>
              <w:rPr>
                <w:rFonts w:hint="eastAsia" w:hAnsi="宋体" w:cs="宋体"/>
                <w:sz w:val="21"/>
                <w:szCs w:val="21"/>
                <w:lang w:val="en-US" w:eastAsia="zh-CN"/>
              </w:rPr>
              <w:t>28</w:t>
            </w:r>
          </w:p>
        </w:tc>
        <w:tc>
          <w:tcPr>
            <w:tcW w:w="927" w:type="pct"/>
            <w:vAlign w:val="center"/>
          </w:tcPr>
          <w:p w14:paraId="4E98F66B">
            <w:pPr>
              <w:jc w:val="center"/>
              <w:rPr>
                <w:rFonts w:hint="eastAsia" w:ascii="宋体" w:hAnsi="宋体" w:eastAsia="宋体" w:cs="宋体"/>
                <w:sz w:val="21"/>
                <w:szCs w:val="21"/>
                <w:lang w:val="en-US" w:eastAsia="zh-CN" w:bidi="ar-SA"/>
              </w:rPr>
            </w:pPr>
            <w:r>
              <w:rPr>
                <w:rFonts w:hint="eastAsia" w:ascii="宋体" w:hAnsi="宋体" w:cs="宋体"/>
                <w:color w:val="auto"/>
                <w:sz w:val="21"/>
                <w:szCs w:val="21"/>
              </w:rPr>
              <w:t>报价方式</w:t>
            </w:r>
          </w:p>
        </w:tc>
        <w:tc>
          <w:tcPr>
            <w:tcW w:w="3746" w:type="pct"/>
            <w:vAlign w:val="center"/>
          </w:tcPr>
          <w:p w14:paraId="1ADA7791">
            <w:pPr>
              <w:spacing w:line="500" w:lineRule="exact"/>
              <w:ind w:firstLine="420" w:firstLineChars="200"/>
              <w:rPr>
                <w:rFonts w:hint="default" w:ascii="宋体" w:hAnsi="宋体" w:eastAsia="宋体" w:cs="宋体"/>
                <w:sz w:val="21"/>
                <w:szCs w:val="21"/>
                <w:lang w:val="en-US" w:eastAsia="zh-CN" w:bidi="ar-SA"/>
              </w:rPr>
            </w:pPr>
            <w:r>
              <w:rPr>
                <w:rFonts w:hint="default" w:ascii="宋体" w:hAnsi="宋体" w:eastAsia="宋体" w:cs="宋体"/>
                <w:sz w:val="21"/>
                <w:szCs w:val="21"/>
                <w:lang w:val="en-US" w:eastAsia="zh-CN" w:bidi="ar-SA"/>
              </w:rPr>
              <w:t>投标报价应是完成招标内容所需的全部费用，包括但不限于人工费、</w:t>
            </w:r>
            <w:r>
              <w:rPr>
                <w:rFonts w:hint="eastAsia" w:hAnsi="宋体" w:cs="宋体"/>
                <w:sz w:val="21"/>
                <w:szCs w:val="21"/>
                <w:lang w:val="en-US" w:eastAsia="zh-CN" w:bidi="ar-SA"/>
              </w:rPr>
              <w:t>制度</w:t>
            </w:r>
            <w:r>
              <w:rPr>
                <w:rFonts w:hint="default" w:ascii="宋体" w:hAnsi="宋体" w:eastAsia="宋体" w:cs="宋体"/>
                <w:sz w:val="21"/>
                <w:szCs w:val="21"/>
                <w:lang w:val="en-US" w:eastAsia="zh-CN" w:bidi="ar-SA"/>
              </w:rPr>
              <w:t>编制费、</w:t>
            </w:r>
            <w:r>
              <w:rPr>
                <w:rFonts w:hint="eastAsia" w:hAnsi="宋体" w:cs="宋体"/>
                <w:sz w:val="21"/>
                <w:szCs w:val="21"/>
                <w:lang w:val="en-US" w:eastAsia="zh-CN" w:bidi="ar-SA"/>
              </w:rPr>
              <w:t>培训</w:t>
            </w:r>
            <w:r>
              <w:rPr>
                <w:rFonts w:hint="default" w:ascii="宋体" w:hAnsi="宋体" w:eastAsia="宋体" w:cs="宋体"/>
                <w:sz w:val="21"/>
                <w:szCs w:val="21"/>
                <w:lang w:val="en-US" w:eastAsia="zh-CN" w:bidi="ar-SA"/>
              </w:rPr>
              <w:t>费、交通 费、差旅费、食宿费、专家评审费、</w:t>
            </w:r>
            <w:r>
              <w:rPr>
                <w:rFonts w:hint="eastAsia" w:hAnsi="宋体" w:cs="宋体"/>
                <w:sz w:val="21"/>
                <w:szCs w:val="21"/>
                <w:lang w:val="en-US" w:eastAsia="zh-CN" w:bidi="ar-SA"/>
              </w:rPr>
              <w:t>资料</w:t>
            </w:r>
            <w:r>
              <w:rPr>
                <w:rFonts w:hint="default" w:ascii="宋体" w:hAnsi="宋体" w:eastAsia="宋体" w:cs="宋体"/>
                <w:sz w:val="21"/>
                <w:szCs w:val="21"/>
                <w:lang w:val="en-US" w:eastAsia="zh-CN" w:bidi="ar-SA"/>
              </w:rPr>
              <w:t>文件费、税金、招标代理费等其他一切相关费用。</w:t>
            </w:r>
          </w:p>
        </w:tc>
      </w:tr>
      <w:tr w14:paraId="2539E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325" w:type="pct"/>
            <w:vAlign w:val="center"/>
          </w:tcPr>
          <w:p w14:paraId="6E6944B0">
            <w:pPr>
              <w:widowControl/>
              <w:spacing w:line="360" w:lineRule="auto"/>
              <w:jc w:val="center"/>
              <w:rPr>
                <w:rFonts w:hint="default" w:hAnsi="宋体" w:eastAsia="宋体" w:cs="宋体"/>
                <w:b/>
                <w:bCs/>
                <w:sz w:val="21"/>
                <w:szCs w:val="21"/>
                <w:lang w:val="en-US" w:eastAsia="zh-CN"/>
              </w:rPr>
            </w:pPr>
            <w:r>
              <w:rPr>
                <w:rFonts w:hint="eastAsia" w:hAnsi="宋体" w:cs="宋体"/>
                <w:b/>
                <w:bCs/>
                <w:sz w:val="21"/>
                <w:szCs w:val="21"/>
                <w:lang w:val="en-US" w:eastAsia="zh-CN"/>
              </w:rPr>
              <w:t>29</w:t>
            </w:r>
          </w:p>
        </w:tc>
        <w:tc>
          <w:tcPr>
            <w:tcW w:w="927" w:type="pct"/>
            <w:vAlign w:val="center"/>
          </w:tcPr>
          <w:p w14:paraId="7BFD2C91">
            <w:pPr>
              <w:widowControl/>
              <w:spacing w:line="360" w:lineRule="auto"/>
              <w:jc w:val="center"/>
              <w:rPr>
                <w:rFonts w:hAnsi="宋体" w:cs="宋体"/>
                <w:b/>
                <w:bCs/>
                <w:sz w:val="21"/>
                <w:szCs w:val="21"/>
              </w:rPr>
            </w:pPr>
            <w:r>
              <w:rPr>
                <w:rFonts w:hint="eastAsia" w:ascii="宋体" w:hAnsi="宋体" w:cs="宋体"/>
                <w:color w:val="auto"/>
                <w:sz w:val="21"/>
                <w:szCs w:val="21"/>
              </w:rPr>
              <w:t>特殊情况处理</w:t>
            </w:r>
          </w:p>
        </w:tc>
        <w:tc>
          <w:tcPr>
            <w:tcW w:w="3746" w:type="pct"/>
            <w:vAlign w:val="center"/>
          </w:tcPr>
          <w:p w14:paraId="51CE8221">
            <w:pPr>
              <w:spacing w:line="360" w:lineRule="auto"/>
              <w:rPr>
                <w:rFonts w:hAnsi="宋体" w:cs="宋体"/>
                <w:b/>
                <w:bCs/>
                <w:sz w:val="21"/>
                <w:szCs w:val="21"/>
              </w:rPr>
            </w:pPr>
            <w:r>
              <w:rPr>
                <w:rFonts w:hint="eastAsia" w:ascii="宋体" w:hAnsi="宋体" w:cs="宋体"/>
                <w:color w:val="auto"/>
                <w:sz w:val="21"/>
                <w:szCs w:val="21"/>
              </w:rPr>
              <w:t>当有效投标人不足3家时，按相关法律及规定执行。</w:t>
            </w:r>
          </w:p>
        </w:tc>
      </w:tr>
      <w:tr w14:paraId="6BFB4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325" w:type="pct"/>
            <w:vAlign w:val="center"/>
          </w:tcPr>
          <w:p w14:paraId="3D9977BE">
            <w:pPr>
              <w:widowControl/>
              <w:spacing w:line="360" w:lineRule="auto"/>
              <w:jc w:val="center"/>
              <w:rPr>
                <w:rFonts w:hint="default" w:hAnsi="宋体" w:eastAsia="宋体" w:cs="宋体"/>
                <w:b/>
                <w:bCs/>
                <w:sz w:val="21"/>
                <w:szCs w:val="21"/>
                <w:lang w:val="en-US" w:eastAsia="zh-CN"/>
              </w:rPr>
            </w:pPr>
            <w:r>
              <w:rPr>
                <w:rFonts w:hint="eastAsia" w:hAnsi="宋体" w:cs="宋体"/>
                <w:b/>
                <w:bCs/>
                <w:sz w:val="21"/>
                <w:szCs w:val="21"/>
                <w:lang w:val="en-US" w:eastAsia="zh-CN"/>
              </w:rPr>
              <w:t>30</w:t>
            </w:r>
          </w:p>
        </w:tc>
        <w:tc>
          <w:tcPr>
            <w:tcW w:w="927" w:type="pct"/>
            <w:vAlign w:val="center"/>
          </w:tcPr>
          <w:p w14:paraId="78FF2273">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需要补充的</w:t>
            </w:r>
          </w:p>
          <w:p w14:paraId="2C5BFB40">
            <w:pPr>
              <w:widowControl/>
              <w:spacing w:line="360" w:lineRule="auto"/>
              <w:jc w:val="center"/>
              <w:rPr>
                <w:rFonts w:hint="eastAsia" w:hAnsi="宋体" w:cs="宋体"/>
                <w:b/>
                <w:bCs/>
                <w:sz w:val="21"/>
                <w:szCs w:val="21"/>
              </w:rPr>
            </w:pPr>
            <w:r>
              <w:rPr>
                <w:rFonts w:hint="eastAsia" w:ascii="宋体" w:hAnsi="宋体" w:eastAsia="宋体" w:cs="宋体"/>
                <w:sz w:val="21"/>
                <w:szCs w:val="21"/>
              </w:rPr>
              <w:t>其他内容</w:t>
            </w:r>
          </w:p>
        </w:tc>
        <w:tc>
          <w:tcPr>
            <w:tcW w:w="3746" w:type="pct"/>
            <w:vAlign w:val="center"/>
          </w:tcPr>
          <w:p w14:paraId="6C657509">
            <w:pPr>
              <w:adjustRightInd w:val="0"/>
              <w:snapToGrid w:val="0"/>
              <w:spacing w:line="360" w:lineRule="auto"/>
              <w:rPr>
                <w:rFonts w:hint="eastAsia" w:hAnsi="宋体" w:cs="宋体"/>
                <w:sz w:val="21"/>
                <w:szCs w:val="21"/>
                <w:highlight w:val="yellow"/>
                <w:lang w:eastAsia="zh-CN"/>
              </w:rPr>
            </w:pPr>
            <w:r>
              <w:rPr>
                <w:rFonts w:hint="eastAsia" w:ascii="宋体" w:hAnsi="宋体" w:eastAsia="宋体" w:cs="宋体"/>
                <w:sz w:val="21"/>
                <w:szCs w:val="21"/>
                <w:lang w:eastAsia="zh-CN"/>
              </w:rPr>
              <w:t>本项目项目所属行业类别：其他未列明行业</w:t>
            </w:r>
          </w:p>
          <w:p w14:paraId="0E527AD9">
            <w:pPr>
              <w:adjustRightInd w:val="0"/>
              <w:snapToGrid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本招标文件未明确的其他事项，按照有关法律、法规或省市有关规定执行。本招标文件由</w:t>
            </w:r>
            <w:r>
              <w:rPr>
                <w:rFonts w:hint="eastAsia" w:ascii="宋体" w:hAnsi="宋体" w:eastAsia="宋体" w:cs="宋体"/>
                <w:sz w:val="21"/>
                <w:szCs w:val="21"/>
                <w:lang w:eastAsia="zh-CN"/>
              </w:rPr>
              <w:t>采购人</w:t>
            </w:r>
            <w:r>
              <w:rPr>
                <w:rFonts w:hint="eastAsia" w:ascii="宋体" w:hAnsi="宋体" w:eastAsia="宋体" w:cs="宋体"/>
                <w:sz w:val="21"/>
                <w:szCs w:val="21"/>
              </w:rPr>
              <w:t>和招标代理机构负责解释</w:t>
            </w:r>
            <w:r>
              <w:rPr>
                <w:rFonts w:hint="eastAsia" w:ascii="宋体" w:hAnsi="宋体" w:eastAsia="宋体" w:cs="宋体"/>
                <w:sz w:val="21"/>
                <w:szCs w:val="21"/>
                <w:lang w:eastAsia="zh-CN"/>
              </w:rPr>
              <w:t>。</w:t>
            </w:r>
          </w:p>
          <w:p w14:paraId="2EE9669E">
            <w:pPr>
              <w:spacing w:line="360" w:lineRule="auto"/>
              <w:rPr>
                <w:rFonts w:hint="eastAsia" w:hAnsi="宋体" w:cs="宋体"/>
                <w:b/>
                <w:bCs/>
                <w:sz w:val="21"/>
                <w:szCs w:val="21"/>
              </w:rPr>
            </w:pPr>
            <w:r>
              <w:rPr>
                <w:rFonts w:hint="eastAsia" w:ascii="宋体" w:hAnsi="宋体" w:eastAsia="宋体" w:cs="宋体"/>
                <w:sz w:val="21"/>
                <w:szCs w:val="21"/>
                <w:lang w:val="en-US" w:eastAsia="zh-CN"/>
              </w:rPr>
              <w:t>本项目为专门面向中小企业项目。</w:t>
            </w:r>
          </w:p>
        </w:tc>
      </w:tr>
      <w:tr w14:paraId="48344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325" w:type="pct"/>
            <w:vAlign w:val="center"/>
          </w:tcPr>
          <w:p w14:paraId="05609A2D">
            <w:pPr>
              <w:widowControl/>
              <w:spacing w:line="360" w:lineRule="auto"/>
              <w:jc w:val="center"/>
              <w:rPr>
                <w:rFonts w:hint="default" w:hAnsi="宋体" w:cs="宋体"/>
                <w:b/>
                <w:bCs/>
                <w:sz w:val="21"/>
                <w:szCs w:val="21"/>
                <w:lang w:val="en-US" w:eastAsia="zh-CN"/>
              </w:rPr>
            </w:pPr>
            <w:r>
              <w:rPr>
                <w:rFonts w:hint="eastAsia" w:hAnsi="宋体" w:cs="宋体"/>
                <w:b/>
                <w:bCs/>
                <w:sz w:val="21"/>
                <w:szCs w:val="21"/>
                <w:lang w:val="en-US" w:eastAsia="zh-CN"/>
              </w:rPr>
              <w:t>31</w:t>
            </w:r>
          </w:p>
        </w:tc>
        <w:tc>
          <w:tcPr>
            <w:tcW w:w="927" w:type="pct"/>
            <w:vAlign w:val="center"/>
          </w:tcPr>
          <w:p w14:paraId="055EE9DC">
            <w:pPr>
              <w:widowControl/>
              <w:spacing w:line="360" w:lineRule="auto"/>
              <w:jc w:val="center"/>
              <w:rPr>
                <w:rFonts w:hint="default" w:ascii="宋体" w:hAnsi="宋体" w:eastAsia="宋体" w:cs="宋体"/>
                <w:sz w:val="21"/>
                <w:szCs w:val="21"/>
                <w:lang w:val="en-US" w:eastAsia="zh-CN"/>
              </w:rPr>
            </w:pPr>
            <w:r>
              <w:rPr>
                <w:rFonts w:hint="eastAsia" w:hAnsi="宋体" w:cs="宋体"/>
                <w:sz w:val="21"/>
                <w:szCs w:val="21"/>
                <w:lang w:val="en-US" w:eastAsia="zh-CN"/>
              </w:rPr>
              <w:t>投标文件密封</w:t>
            </w:r>
          </w:p>
        </w:tc>
        <w:tc>
          <w:tcPr>
            <w:tcW w:w="3746" w:type="pct"/>
            <w:shd w:val="clear" w:color="auto" w:fill="auto"/>
            <w:vAlign w:val="center"/>
          </w:tcPr>
          <w:p w14:paraId="31990EB0">
            <w:pPr>
              <w:spacing w:line="360" w:lineRule="auto"/>
              <w:ind w:left="360" w:hanging="315" w:hangingChars="150"/>
              <w:rPr>
                <w:rFonts w:ascii="宋体" w:hAnsi="宋体" w:cs="宋体"/>
                <w:sz w:val="21"/>
                <w:szCs w:val="21"/>
                <w:highlight w:val="none"/>
              </w:rPr>
            </w:pPr>
            <w:r>
              <w:rPr>
                <w:rFonts w:hint="eastAsia" w:ascii="宋体" w:hAnsi="宋体" w:cs="宋体"/>
                <w:sz w:val="21"/>
                <w:szCs w:val="21"/>
                <w:highlight w:val="none"/>
              </w:rPr>
              <w:t>1、投标文件正、副本应分别装订成册，装订应牢固、不易拆散和换页，不得采用活页装订。封袋应加贴封条，并在封线处由法定代表人或委托代理人签字盖章后加盖投标人公章。</w:t>
            </w:r>
          </w:p>
          <w:p w14:paraId="079AB2DC">
            <w:pPr>
              <w:spacing w:line="360" w:lineRule="auto"/>
              <w:rPr>
                <w:rFonts w:ascii="宋体" w:hAnsi="宋体" w:cs="宋体"/>
                <w:sz w:val="21"/>
                <w:szCs w:val="21"/>
                <w:highlight w:val="none"/>
              </w:rPr>
            </w:pPr>
            <w:r>
              <w:rPr>
                <w:rFonts w:hint="eastAsia" w:ascii="宋体" w:hAnsi="宋体" w:cs="宋体"/>
                <w:sz w:val="21"/>
                <w:szCs w:val="21"/>
                <w:highlight w:val="none"/>
              </w:rPr>
              <w:t>2、密封包装方式：</w:t>
            </w:r>
          </w:p>
          <w:p w14:paraId="48993BE7">
            <w:pPr>
              <w:spacing w:line="360" w:lineRule="auto"/>
              <w:ind w:firstLine="210" w:firstLineChars="100"/>
              <w:rPr>
                <w:rFonts w:ascii="宋体" w:hAnsi="宋体" w:cs="宋体"/>
                <w:sz w:val="21"/>
                <w:szCs w:val="21"/>
                <w:highlight w:val="none"/>
              </w:rPr>
            </w:pPr>
            <w:r>
              <w:rPr>
                <w:rFonts w:hint="eastAsia" w:ascii="宋体" w:hAnsi="宋体" w:cs="宋体"/>
                <w:sz w:val="21"/>
                <w:szCs w:val="21"/>
                <w:highlight w:val="none"/>
              </w:rPr>
              <w:t>（1）投标文件正本、开标一览表、电子版一包密封。</w:t>
            </w:r>
          </w:p>
          <w:p w14:paraId="38AAA4D7">
            <w:pPr>
              <w:spacing w:line="360" w:lineRule="auto"/>
              <w:ind w:firstLine="210" w:firstLineChars="100"/>
              <w:rPr>
                <w:rFonts w:ascii="宋体" w:hAnsi="宋体" w:cs="宋体"/>
                <w:sz w:val="21"/>
                <w:szCs w:val="21"/>
                <w:highlight w:val="none"/>
              </w:rPr>
            </w:pPr>
            <w:r>
              <w:rPr>
                <w:rFonts w:hint="eastAsia" w:ascii="宋体" w:hAnsi="宋体" w:cs="宋体"/>
                <w:sz w:val="21"/>
                <w:szCs w:val="21"/>
                <w:highlight w:val="none"/>
              </w:rPr>
              <w:t>（2）投标文件所有副本一包密封。</w:t>
            </w:r>
          </w:p>
          <w:p w14:paraId="488C35DC">
            <w:pPr>
              <w:spacing w:line="360" w:lineRule="auto"/>
              <w:rPr>
                <w:rFonts w:ascii="宋体" w:hAnsi="宋体" w:cs="宋体"/>
                <w:sz w:val="21"/>
                <w:szCs w:val="21"/>
                <w:highlight w:val="none"/>
              </w:rPr>
            </w:pPr>
            <w:r>
              <w:rPr>
                <w:rFonts w:hint="eastAsia" w:ascii="宋体" w:hAnsi="宋体" w:cs="宋体"/>
                <w:sz w:val="21"/>
                <w:szCs w:val="21"/>
                <w:highlight w:val="none"/>
              </w:rPr>
              <w:t>3、外层包装请按以下要求标记：</w:t>
            </w:r>
          </w:p>
          <w:p w14:paraId="1ABFE690">
            <w:pPr>
              <w:spacing w:line="360" w:lineRule="auto"/>
              <w:ind w:firstLine="315" w:firstLineChars="150"/>
              <w:rPr>
                <w:rFonts w:ascii="宋体" w:hAnsi="宋体" w:cs="宋体"/>
                <w:sz w:val="21"/>
                <w:szCs w:val="21"/>
                <w:highlight w:val="none"/>
              </w:rPr>
            </w:pPr>
            <w:r>
              <w:rPr>
                <w:rFonts w:hint="eastAsia" w:ascii="宋体" w:hAnsi="宋体" w:cs="宋体"/>
                <w:sz w:val="21"/>
                <w:szCs w:val="21"/>
                <w:highlight w:val="none"/>
              </w:rPr>
              <w:t xml:space="preserve">项目名称： </w:t>
            </w:r>
          </w:p>
          <w:p w14:paraId="306A0F45">
            <w:pPr>
              <w:spacing w:line="360" w:lineRule="auto"/>
              <w:ind w:firstLine="315" w:firstLineChars="150"/>
              <w:rPr>
                <w:rFonts w:ascii="宋体" w:hAnsi="宋体" w:cs="宋体"/>
                <w:sz w:val="21"/>
                <w:szCs w:val="21"/>
                <w:highlight w:val="none"/>
              </w:rPr>
            </w:pPr>
            <w:r>
              <w:rPr>
                <w:rFonts w:hint="eastAsia" w:ascii="宋体" w:hAnsi="宋体" w:cs="宋体"/>
                <w:sz w:val="21"/>
                <w:szCs w:val="21"/>
                <w:highlight w:val="none"/>
              </w:rPr>
              <w:t>项目编号：</w:t>
            </w:r>
          </w:p>
          <w:p w14:paraId="71BCE0A1">
            <w:pPr>
              <w:spacing w:line="360" w:lineRule="auto"/>
              <w:ind w:firstLine="315" w:firstLineChars="150"/>
              <w:rPr>
                <w:rFonts w:ascii="宋体" w:hAnsi="宋体" w:cs="宋体"/>
                <w:sz w:val="21"/>
                <w:szCs w:val="21"/>
                <w:highlight w:val="none"/>
              </w:rPr>
            </w:pPr>
            <w:r>
              <w:rPr>
                <w:rFonts w:hint="eastAsia" w:ascii="宋体" w:hAnsi="宋体" w:cs="宋体"/>
                <w:sz w:val="21"/>
                <w:szCs w:val="21"/>
                <w:highlight w:val="none"/>
              </w:rPr>
              <w:t>包号：第  包</w:t>
            </w:r>
          </w:p>
          <w:p w14:paraId="40BC276C">
            <w:pPr>
              <w:spacing w:line="360" w:lineRule="auto"/>
              <w:ind w:firstLine="315" w:firstLineChars="150"/>
              <w:rPr>
                <w:rFonts w:ascii="宋体" w:hAnsi="宋体" w:cs="宋体"/>
                <w:sz w:val="21"/>
                <w:szCs w:val="21"/>
                <w:highlight w:val="none"/>
              </w:rPr>
            </w:pPr>
            <w:r>
              <w:rPr>
                <w:rFonts w:hint="eastAsia" w:ascii="宋体" w:hAnsi="宋体" w:cs="宋体"/>
                <w:sz w:val="21"/>
                <w:szCs w:val="21"/>
                <w:highlight w:val="none"/>
              </w:rPr>
              <w:t>投标人名称：</w:t>
            </w:r>
          </w:p>
          <w:p w14:paraId="428980A2">
            <w:pPr>
              <w:spacing w:line="360" w:lineRule="auto"/>
              <w:ind w:firstLine="315" w:firstLineChars="150"/>
              <w:rPr>
                <w:rFonts w:ascii="宋体" w:hAnsi="宋体" w:cs="宋体"/>
                <w:sz w:val="21"/>
                <w:szCs w:val="21"/>
                <w:highlight w:val="none"/>
              </w:rPr>
            </w:pPr>
            <w:r>
              <w:rPr>
                <w:rFonts w:hint="eastAsia" w:ascii="宋体" w:hAnsi="宋体" w:cs="宋体"/>
                <w:sz w:val="21"/>
                <w:szCs w:val="21"/>
                <w:highlight w:val="none"/>
              </w:rPr>
              <w:t>内容：“正本”或“副本”</w:t>
            </w:r>
          </w:p>
          <w:p w14:paraId="1CE88123">
            <w:pPr>
              <w:spacing w:line="360" w:lineRule="auto"/>
              <w:rPr>
                <w:rFonts w:hint="eastAsia" w:ascii="宋体" w:hAnsi="宋体" w:eastAsia="宋体" w:cs="宋体"/>
                <w:sz w:val="24"/>
                <w:szCs w:val="24"/>
                <w:highlight w:val="none"/>
                <w:lang w:val="en-US" w:eastAsia="zh-CN" w:bidi="ar-SA"/>
              </w:rPr>
            </w:pPr>
            <w:r>
              <w:rPr>
                <w:rFonts w:hint="eastAsia" w:ascii="宋体" w:hAnsi="宋体" w:cs="宋体"/>
                <w:sz w:val="21"/>
                <w:szCs w:val="21"/>
                <w:highlight w:val="none"/>
              </w:rPr>
              <w:t>投标文件在</w:t>
            </w:r>
            <w:r>
              <w:rPr>
                <w:rFonts w:hint="eastAsia" w:ascii="宋体" w:hAnsi="宋体" w:cs="宋体"/>
                <w:sz w:val="21"/>
                <w:szCs w:val="21"/>
                <w:highlight w:val="none"/>
                <w:u w:val="single"/>
              </w:rPr>
              <w:t xml:space="preserve"> 202</w:t>
            </w:r>
            <w:r>
              <w:rPr>
                <w:rFonts w:hint="eastAsia" w:ascii="宋体" w:hAnsi="宋体" w:cs="宋体"/>
                <w:sz w:val="21"/>
                <w:szCs w:val="21"/>
                <w:highlight w:val="none"/>
                <w:u w:val="single"/>
                <w:lang w:val="en-US" w:eastAsia="zh-CN"/>
              </w:rPr>
              <w:t>5</w:t>
            </w:r>
            <w:r>
              <w:rPr>
                <w:rFonts w:hint="eastAsia" w:ascii="宋体" w:hAnsi="宋体" w:cs="宋体"/>
                <w:sz w:val="21"/>
                <w:szCs w:val="21"/>
                <w:highlight w:val="none"/>
                <w:u w:val="single"/>
              </w:rPr>
              <w:t xml:space="preserve"> </w:t>
            </w:r>
            <w:r>
              <w:rPr>
                <w:rFonts w:hint="eastAsia" w:ascii="宋体" w:hAnsi="宋体" w:cs="宋体"/>
                <w:sz w:val="21"/>
                <w:szCs w:val="21"/>
                <w:highlight w:val="none"/>
              </w:rPr>
              <w:t>年</w:t>
            </w:r>
            <w:r>
              <w:rPr>
                <w:rFonts w:hint="eastAsia" w:ascii="宋体" w:hAnsi="宋体" w:cs="宋体"/>
                <w:sz w:val="21"/>
                <w:szCs w:val="21"/>
                <w:highlight w:val="none"/>
                <w:u w:val="single"/>
              </w:rPr>
              <w:t xml:space="preserve">   </w:t>
            </w:r>
            <w:r>
              <w:rPr>
                <w:rFonts w:hint="eastAsia" w:ascii="宋体" w:hAnsi="宋体" w:cs="宋体"/>
                <w:sz w:val="21"/>
                <w:szCs w:val="21"/>
                <w:highlight w:val="none"/>
              </w:rPr>
              <w:t>月</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日</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时</w:t>
            </w:r>
            <w:r>
              <w:rPr>
                <w:rFonts w:hint="eastAsia" w:ascii="宋体" w:hAnsi="宋体" w:cs="宋体"/>
                <w:sz w:val="21"/>
                <w:szCs w:val="21"/>
                <w:highlight w:val="none"/>
                <w:u w:val="single"/>
              </w:rPr>
              <w:t xml:space="preserve">   </w:t>
            </w:r>
            <w:r>
              <w:rPr>
                <w:rFonts w:hint="eastAsia" w:ascii="宋体" w:hAnsi="宋体" w:cs="宋体"/>
                <w:sz w:val="21"/>
                <w:szCs w:val="21"/>
                <w:highlight w:val="none"/>
              </w:rPr>
              <w:t>分前不得开启；</w:t>
            </w:r>
          </w:p>
        </w:tc>
      </w:tr>
      <w:tr w14:paraId="2CCAC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5000" w:type="pct"/>
            <w:gridSpan w:val="3"/>
            <w:vAlign w:val="center"/>
          </w:tcPr>
          <w:p w14:paraId="0C870D7D">
            <w:pPr>
              <w:spacing w:line="360" w:lineRule="auto"/>
              <w:rPr>
                <w:rFonts w:hint="eastAsia" w:ascii="宋体" w:hAnsi="宋体" w:eastAsia="宋体" w:cs="宋体"/>
                <w:b/>
                <w:sz w:val="21"/>
                <w:szCs w:val="21"/>
              </w:rPr>
            </w:pPr>
            <w:r>
              <w:rPr>
                <w:rFonts w:hint="eastAsia" w:ascii="宋体" w:hAnsi="宋体" w:eastAsia="宋体" w:cs="宋体"/>
                <w:b/>
                <w:sz w:val="21"/>
                <w:szCs w:val="21"/>
              </w:rPr>
              <w:t>本表是对</w:t>
            </w:r>
            <w:r>
              <w:rPr>
                <w:rFonts w:hint="eastAsia" w:ascii="宋体" w:hAnsi="宋体" w:eastAsia="宋体" w:cs="宋体"/>
                <w:b/>
                <w:sz w:val="21"/>
                <w:szCs w:val="21"/>
                <w:lang w:eastAsia="zh-CN"/>
              </w:rPr>
              <w:t>供应商</w:t>
            </w:r>
            <w:r>
              <w:rPr>
                <w:rFonts w:hint="eastAsia" w:ascii="宋体" w:hAnsi="宋体" w:eastAsia="宋体" w:cs="宋体"/>
                <w:b/>
                <w:sz w:val="21"/>
                <w:szCs w:val="21"/>
              </w:rPr>
              <w:t>须知的提示、补充和修改，如有矛盾，应以本表为准。如本表未说明的，以本招标文件内容为准。</w:t>
            </w:r>
          </w:p>
          <w:p w14:paraId="0EA7728E">
            <w:pPr>
              <w:spacing w:line="360" w:lineRule="auto"/>
              <w:rPr>
                <w:rFonts w:hint="eastAsia" w:hAnsi="宋体" w:cs="宋体"/>
                <w:b/>
                <w:sz w:val="21"/>
                <w:szCs w:val="21"/>
                <w:lang w:val="en-US" w:eastAsia="zh-CN"/>
              </w:rPr>
            </w:pPr>
            <w:r>
              <w:rPr>
                <w:rFonts w:hint="eastAsia" w:hAnsi="宋体" w:cs="宋体"/>
                <w:b/>
                <w:sz w:val="21"/>
                <w:szCs w:val="21"/>
                <w:lang w:val="en-US" w:eastAsia="zh-CN"/>
              </w:rPr>
              <w:t>注：</w:t>
            </w:r>
          </w:p>
          <w:p w14:paraId="5C20F159">
            <w:pPr>
              <w:numPr>
                <w:ilvl w:val="0"/>
                <w:numId w:val="1"/>
              </w:numPr>
              <w:spacing w:line="360" w:lineRule="auto"/>
              <w:rPr>
                <w:rFonts w:hint="eastAsia" w:hAnsi="宋体" w:cs="宋体"/>
                <w:b/>
                <w:sz w:val="21"/>
                <w:szCs w:val="21"/>
                <w:lang w:val="en-US" w:eastAsia="zh-CN"/>
              </w:rPr>
            </w:pPr>
            <w:r>
              <w:rPr>
                <w:rFonts w:hint="eastAsia" w:hAnsi="宋体" w:cs="宋体"/>
                <w:b/>
                <w:sz w:val="21"/>
                <w:szCs w:val="21"/>
                <w:lang w:val="en-US" w:eastAsia="zh-CN"/>
              </w:rPr>
              <w:t>本项目采用电子化投标与纸质投标并行的方式。投标人须使用数字认证 证书对电子投标文件进行签章、加密、递交及开标时解密等相关招投标事宜。开标当日，投标人法定代表人或其授权代表需提前登 录“不见面开标 ”系统，收到主持人“开始解密 ”指令后，使用CA 锁（必须与加密文件时的 CA 锁为同一把锁）在线对电子投标文件进行解密。如因投标人自身原因造成无法解投标文件，按无效投标对待。</w:t>
            </w:r>
          </w:p>
          <w:p w14:paraId="189D56E3">
            <w:pPr>
              <w:numPr>
                <w:ilvl w:val="0"/>
                <w:numId w:val="1"/>
              </w:numPr>
              <w:spacing w:line="360" w:lineRule="auto"/>
              <w:rPr>
                <w:rFonts w:hint="eastAsia" w:hAnsi="宋体" w:cs="宋体"/>
                <w:b/>
                <w:sz w:val="21"/>
                <w:szCs w:val="21"/>
                <w:lang w:val="en-US" w:eastAsia="zh-CN"/>
              </w:rPr>
            </w:pPr>
            <w:r>
              <w:rPr>
                <w:rFonts w:hint="eastAsia" w:hAnsi="宋体" w:cs="宋体"/>
                <w:b/>
                <w:sz w:val="21"/>
                <w:szCs w:val="21"/>
                <w:lang w:val="en-US" w:eastAsia="zh-CN"/>
              </w:rPr>
              <w:t>纸质版投标文件按要求密封，并在投标递交截止时间前递交。</w:t>
            </w:r>
          </w:p>
          <w:p w14:paraId="7143BCB3">
            <w:pPr>
              <w:numPr>
                <w:ilvl w:val="0"/>
                <w:numId w:val="1"/>
              </w:numPr>
              <w:spacing w:line="360" w:lineRule="auto"/>
              <w:rPr>
                <w:rFonts w:hint="eastAsia" w:hAnsi="宋体" w:cs="宋体"/>
                <w:b/>
                <w:sz w:val="21"/>
                <w:szCs w:val="21"/>
                <w:highlight w:val="none"/>
                <w:lang w:val="en-US" w:eastAsia="zh-CN"/>
              </w:rPr>
            </w:pPr>
            <w:r>
              <w:rPr>
                <w:rFonts w:hint="eastAsia" w:hAnsi="宋体" w:cs="宋体"/>
                <w:b/>
                <w:sz w:val="21"/>
                <w:szCs w:val="21"/>
                <w:lang w:val="en-US" w:eastAsia="zh-CN"/>
              </w:rPr>
              <w:t>提交投标文件地点：全国公共资源交易平台（陕西省·延安市）网站【首页电子交易平台〉陕西政府采购交易系统〉企业端】在线提</w:t>
            </w:r>
            <w:r>
              <w:rPr>
                <w:rFonts w:hint="eastAsia" w:hAnsi="宋体" w:cs="宋体"/>
                <w:b/>
                <w:sz w:val="21"/>
                <w:szCs w:val="21"/>
                <w:highlight w:val="none"/>
                <w:lang w:val="en-US" w:eastAsia="zh-CN"/>
              </w:rPr>
              <w:t>交及延安市公共资源交易中心交易五厅</w:t>
            </w:r>
          </w:p>
          <w:p w14:paraId="6975702C">
            <w:pPr>
              <w:numPr>
                <w:ilvl w:val="0"/>
                <w:numId w:val="1"/>
              </w:numPr>
              <w:spacing w:line="360" w:lineRule="auto"/>
              <w:rPr>
                <w:rFonts w:hint="eastAsia" w:hAnsi="宋体" w:cs="宋体"/>
                <w:b/>
                <w:sz w:val="21"/>
                <w:szCs w:val="21"/>
                <w:highlight w:val="none"/>
                <w:lang w:val="en-US" w:eastAsia="zh-CN"/>
              </w:rPr>
            </w:pPr>
            <w:r>
              <w:rPr>
                <w:rFonts w:hint="eastAsia" w:hAnsi="宋体" w:cs="宋体"/>
                <w:b/>
                <w:sz w:val="21"/>
                <w:szCs w:val="21"/>
                <w:highlight w:val="none"/>
                <w:lang w:val="en-US" w:eastAsia="zh-CN"/>
              </w:rPr>
              <w:t>开标地点：全国公共资源交易平台（陕西省·延安市）网站【首页】不见面</w:t>
            </w:r>
          </w:p>
          <w:p w14:paraId="22718C08">
            <w:pPr>
              <w:numPr>
                <w:ilvl w:val="0"/>
                <w:numId w:val="1"/>
              </w:numPr>
              <w:spacing w:line="360" w:lineRule="auto"/>
              <w:rPr>
                <w:rFonts w:hint="eastAsia" w:hAnsi="宋体" w:cs="宋体"/>
                <w:b/>
                <w:sz w:val="21"/>
                <w:szCs w:val="21"/>
                <w:lang w:val="en-US" w:eastAsia="zh-CN"/>
              </w:rPr>
            </w:pPr>
            <w:r>
              <w:rPr>
                <w:rFonts w:hint="eastAsia" w:hAnsi="宋体" w:cs="宋体"/>
                <w:b/>
                <w:sz w:val="21"/>
                <w:szCs w:val="21"/>
                <w:highlight w:val="none"/>
                <w:lang w:val="en-US" w:eastAsia="zh-CN"/>
              </w:rPr>
              <w:t>开标大厅〉及延安市公共资源交易中心交易五厅</w:t>
            </w:r>
          </w:p>
        </w:tc>
      </w:tr>
    </w:tbl>
    <w:p w14:paraId="16660D12">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center"/>
        <w:textAlignment w:val="auto"/>
        <w:outlineLvl w:val="9"/>
        <w:rPr>
          <w:rFonts w:hAnsi="宋体" w:cs="宋体"/>
          <w:color w:val="auto"/>
          <w:sz w:val="32"/>
          <w:szCs w:val="32"/>
          <w:highlight w:val="none"/>
        </w:rPr>
      </w:pPr>
      <w:r>
        <w:rPr>
          <w:rFonts w:hint="eastAsia" w:hAnsi="宋体" w:cs="宋体"/>
        </w:rPr>
        <w:br w:type="page"/>
      </w:r>
      <w:bookmarkStart w:id="31" w:name="_Toc6721"/>
      <w:bookmarkStart w:id="32" w:name="_Toc8418"/>
      <w:bookmarkStart w:id="33" w:name="_Toc363474023"/>
      <w:r>
        <w:rPr>
          <w:rFonts w:hint="eastAsia" w:hAnsi="宋体" w:cs="宋体"/>
          <w:color w:val="auto"/>
          <w:sz w:val="24"/>
          <w:szCs w:val="24"/>
          <w:highlight w:val="none"/>
          <w:lang w:val="en-US" w:eastAsia="zh-CN"/>
        </w:rPr>
        <w:t xml:space="preserve">      </w:t>
      </w:r>
      <w:bookmarkStart w:id="34" w:name="_Toc14806"/>
      <w:r>
        <w:rPr>
          <w:rFonts w:hint="eastAsia" w:hAnsi="宋体" w:cs="宋体"/>
          <w:b/>
          <w:color w:val="auto"/>
          <w:sz w:val="24"/>
          <w:szCs w:val="24"/>
          <w:highlight w:val="none"/>
        </w:rPr>
        <w:t>一.总  则</w:t>
      </w:r>
      <w:bookmarkEnd w:id="34"/>
    </w:p>
    <w:p w14:paraId="0D0F5EBF">
      <w:pPr>
        <w:shd w:val="clear" w:color="auto" w:fill="auto"/>
        <w:spacing w:line="360" w:lineRule="auto"/>
        <w:outlineLvl w:val="9"/>
        <w:rPr>
          <w:rFonts w:hAnsi="宋体" w:cs="宋体"/>
          <w:b/>
          <w:color w:val="auto"/>
          <w:sz w:val="21"/>
          <w:szCs w:val="21"/>
          <w:highlight w:val="none"/>
        </w:rPr>
      </w:pPr>
      <w:bookmarkStart w:id="35" w:name="_Toc22338"/>
      <w:r>
        <w:rPr>
          <w:rFonts w:hint="eastAsia" w:hAnsi="宋体" w:cs="宋体"/>
          <w:b/>
          <w:color w:val="auto"/>
          <w:sz w:val="21"/>
          <w:szCs w:val="21"/>
          <w:highlight w:val="none"/>
        </w:rPr>
        <w:t>1.资金来源</w:t>
      </w:r>
      <w:bookmarkEnd w:id="35"/>
    </w:p>
    <w:p w14:paraId="6CA5ED1B">
      <w:pPr>
        <w:keepNext w:val="0"/>
        <w:keepLines w:val="0"/>
        <w:pageBreakBefore w:val="0"/>
        <w:widowControl w:val="0"/>
        <w:shd w:val="clear" w:color="auto" w:fill="auto"/>
        <w:kinsoku/>
        <w:wordWrap/>
        <w:overflowPunct/>
        <w:topLinePunct w:val="0"/>
        <w:autoSpaceDE/>
        <w:autoSpaceDN/>
        <w:bidi w:val="0"/>
        <w:snapToGrid w:val="0"/>
        <w:spacing w:line="360" w:lineRule="auto"/>
        <w:ind w:firstLine="420" w:firstLineChars="200"/>
        <w:textAlignment w:val="auto"/>
        <w:rPr>
          <w:rFonts w:hAnsi="宋体" w:cs="宋体"/>
          <w:color w:val="auto"/>
          <w:sz w:val="21"/>
          <w:szCs w:val="21"/>
          <w:highlight w:val="none"/>
        </w:rPr>
      </w:pPr>
      <w:r>
        <w:rPr>
          <w:rFonts w:hint="eastAsia" w:hAnsi="宋体" w:cs="宋体"/>
          <w:color w:val="auto"/>
          <w:sz w:val="21"/>
          <w:szCs w:val="21"/>
          <w:highlight w:val="none"/>
        </w:rPr>
        <w:t>1.1本次招标采购所签合同使用财政资金支付，资金已落实到位。</w:t>
      </w:r>
    </w:p>
    <w:p w14:paraId="075F0F01">
      <w:pPr>
        <w:keepNext w:val="0"/>
        <w:keepLines w:val="0"/>
        <w:pageBreakBefore w:val="0"/>
        <w:widowControl w:val="0"/>
        <w:numPr>
          <w:ilvl w:val="0"/>
          <w:numId w:val="2"/>
        </w:numPr>
        <w:shd w:val="clear" w:color="auto" w:fill="auto"/>
        <w:kinsoku/>
        <w:wordWrap/>
        <w:overflowPunct/>
        <w:topLinePunct w:val="0"/>
        <w:autoSpaceDE/>
        <w:autoSpaceDN/>
        <w:bidi w:val="0"/>
        <w:snapToGrid w:val="0"/>
        <w:spacing w:line="360" w:lineRule="auto"/>
        <w:textAlignment w:val="auto"/>
        <w:outlineLvl w:val="9"/>
        <w:rPr>
          <w:rFonts w:hAnsi="宋体" w:cs="宋体"/>
          <w:b/>
          <w:color w:val="auto"/>
          <w:sz w:val="21"/>
          <w:szCs w:val="21"/>
          <w:highlight w:val="none"/>
        </w:rPr>
      </w:pPr>
      <w:bookmarkStart w:id="36" w:name="_Toc28856"/>
      <w:r>
        <w:rPr>
          <w:rFonts w:hint="eastAsia" w:hAnsi="宋体" w:cs="宋体"/>
          <w:b/>
          <w:color w:val="auto"/>
          <w:sz w:val="21"/>
          <w:szCs w:val="21"/>
          <w:highlight w:val="none"/>
        </w:rPr>
        <w:t>名词解释</w:t>
      </w:r>
      <w:bookmarkEnd w:id="36"/>
    </w:p>
    <w:p w14:paraId="20977451">
      <w:pPr>
        <w:keepNext w:val="0"/>
        <w:keepLines w:val="0"/>
        <w:pageBreakBefore w:val="0"/>
        <w:widowControl w:val="0"/>
        <w:shd w:val="clear" w:color="auto" w:fill="auto"/>
        <w:tabs>
          <w:tab w:val="left" w:pos="7665"/>
        </w:tabs>
        <w:kinsoku/>
        <w:wordWrap/>
        <w:overflowPunct/>
        <w:topLinePunct w:val="0"/>
        <w:autoSpaceDE/>
        <w:autoSpaceDN/>
        <w:bidi w:val="0"/>
        <w:snapToGrid w:val="0"/>
        <w:spacing w:line="360" w:lineRule="auto"/>
        <w:ind w:firstLine="420" w:firstLineChars="200"/>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rPr>
        <w:t>2.1采购人：</w:t>
      </w:r>
      <w:r>
        <w:rPr>
          <w:rFonts w:hint="eastAsia" w:hAnsi="宋体" w:cs="宋体"/>
          <w:color w:val="auto"/>
          <w:sz w:val="21"/>
          <w:szCs w:val="21"/>
          <w:highlight w:val="none"/>
          <w:lang w:eastAsia="zh-CN"/>
        </w:rPr>
        <w:t>洛川县卫生健康局</w:t>
      </w:r>
    </w:p>
    <w:p w14:paraId="425E176F">
      <w:pPr>
        <w:keepNext w:val="0"/>
        <w:keepLines w:val="0"/>
        <w:pageBreakBefore w:val="0"/>
        <w:widowControl w:val="0"/>
        <w:shd w:val="clear" w:color="auto" w:fill="auto"/>
        <w:tabs>
          <w:tab w:val="left" w:pos="7665"/>
        </w:tabs>
        <w:kinsoku/>
        <w:wordWrap/>
        <w:overflowPunct/>
        <w:topLinePunct w:val="0"/>
        <w:autoSpaceDE/>
        <w:autoSpaceDN/>
        <w:bidi w:val="0"/>
        <w:snapToGrid w:val="0"/>
        <w:spacing w:line="360" w:lineRule="auto"/>
        <w:ind w:firstLine="420" w:firstLineChars="200"/>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rPr>
        <w:t>2.2监督机构：同级人民政府财政部门</w:t>
      </w:r>
      <w:r>
        <w:rPr>
          <w:rFonts w:hint="eastAsia" w:hAnsi="宋体" w:cs="宋体"/>
          <w:color w:val="auto"/>
          <w:sz w:val="21"/>
          <w:szCs w:val="21"/>
          <w:highlight w:val="none"/>
          <w:lang w:eastAsia="zh-CN"/>
        </w:rPr>
        <w:t>。</w:t>
      </w:r>
    </w:p>
    <w:p w14:paraId="542C7FFF">
      <w:pPr>
        <w:keepNext w:val="0"/>
        <w:keepLines w:val="0"/>
        <w:pageBreakBefore w:val="0"/>
        <w:widowControl w:val="0"/>
        <w:shd w:val="clear" w:color="auto" w:fill="auto"/>
        <w:tabs>
          <w:tab w:val="left" w:pos="7665"/>
        </w:tabs>
        <w:kinsoku/>
        <w:wordWrap/>
        <w:overflowPunct/>
        <w:topLinePunct w:val="0"/>
        <w:autoSpaceDE/>
        <w:autoSpaceDN/>
        <w:bidi w:val="0"/>
        <w:snapToGrid w:val="0"/>
        <w:spacing w:line="360" w:lineRule="auto"/>
        <w:ind w:firstLine="420" w:firstLineChars="200"/>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rPr>
        <w:t>2.3采购代理机构：陕西至诚项目管理集团有限公司</w:t>
      </w:r>
      <w:r>
        <w:rPr>
          <w:rFonts w:hint="eastAsia" w:hAnsi="宋体" w:cs="宋体"/>
          <w:color w:val="auto"/>
          <w:sz w:val="21"/>
          <w:szCs w:val="21"/>
          <w:highlight w:val="none"/>
          <w:lang w:eastAsia="zh-CN"/>
        </w:rPr>
        <w:t>。</w:t>
      </w:r>
    </w:p>
    <w:p w14:paraId="3A2165FD">
      <w:pPr>
        <w:keepNext w:val="0"/>
        <w:keepLines w:val="0"/>
        <w:pageBreakBefore w:val="0"/>
        <w:widowControl w:val="0"/>
        <w:shd w:val="clear" w:color="auto" w:fill="auto"/>
        <w:tabs>
          <w:tab w:val="left" w:pos="7665"/>
        </w:tabs>
        <w:kinsoku/>
        <w:wordWrap/>
        <w:overflowPunct/>
        <w:topLinePunct w:val="0"/>
        <w:autoSpaceDE/>
        <w:autoSpaceDN/>
        <w:bidi w:val="0"/>
        <w:snapToGrid w:val="0"/>
        <w:spacing w:line="360" w:lineRule="auto"/>
        <w:ind w:firstLine="420" w:firstLineChars="200"/>
        <w:textAlignment w:val="auto"/>
        <w:rPr>
          <w:rFonts w:hAnsi="宋体" w:cs="宋体"/>
          <w:color w:val="auto"/>
          <w:sz w:val="21"/>
          <w:szCs w:val="21"/>
          <w:highlight w:val="none"/>
        </w:rPr>
      </w:pPr>
      <w:r>
        <w:rPr>
          <w:rFonts w:hint="eastAsia" w:hAnsi="宋体" w:cs="宋体"/>
          <w:color w:val="auto"/>
          <w:sz w:val="21"/>
          <w:szCs w:val="21"/>
          <w:highlight w:val="none"/>
        </w:rPr>
        <w:t>2.4</w:t>
      </w:r>
      <w:r>
        <w:rPr>
          <w:rFonts w:hint="eastAsia" w:hAnsi="宋体" w:cs="宋体"/>
          <w:color w:val="auto"/>
          <w:sz w:val="21"/>
          <w:szCs w:val="21"/>
          <w:highlight w:val="none"/>
          <w:lang w:eastAsia="zh-CN"/>
        </w:rPr>
        <w:t>投标人</w:t>
      </w:r>
      <w:r>
        <w:rPr>
          <w:rFonts w:hint="eastAsia" w:hAnsi="宋体" w:cs="宋体"/>
          <w:color w:val="auto"/>
          <w:sz w:val="21"/>
          <w:szCs w:val="21"/>
          <w:highlight w:val="none"/>
        </w:rPr>
        <w:t>：是指响应和符合招标文件规定资格条件且参与投标竞争的法人、其他组织或者自然人。</w:t>
      </w:r>
    </w:p>
    <w:p w14:paraId="5AEDAB0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 w:val="21"/>
          <w:szCs w:val="21"/>
          <w:highlight w:val="none"/>
        </w:rPr>
      </w:pPr>
      <w:r>
        <w:rPr>
          <w:rFonts w:hint="eastAsia" w:hAnsi="宋体" w:cs="宋体"/>
          <w:color w:val="auto"/>
          <w:sz w:val="21"/>
          <w:szCs w:val="21"/>
          <w:highlight w:val="none"/>
        </w:rPr>
        <w:t>2.5产品是指本招标文件中第四章所述所有产品。</w:t>
      </w:r>
    </w:p>
    <w:p w14:paraId="57B6731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 w:val="21"/>
          <w:szCs w:val="21"/>
          <w:highlight w:val="none"/>
        </w:rPr>
      </w:pPr>
      <w:r>
        <w:rPr>
          <w:rFonts w:hint="eastAsia" w:hAnsi="宋体" w:cs="宋体"/>
          <w:color w:val="auto"/>
          <w:sz w:val="21"/>
          <w:szCs w:val="21"/>
          <w:highlight w:val="none"/>
        </w:rPr>
        <w:t>2.6服务是指供应商为满足招标文件要求而提供的服务。</w:t>
      </w:r>
    </w:p>
    <w:p w14:paraId="55456A8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 w:val="21"/>
          <w:szCs w:val="21"/>
          <w:highlight w:val="none"/>
        </w:rPr>
      </w:pPr>
      <w:r>
        <w:rPr>
          <w:rFonts w:hint="eastAsia" w:hAnsi="宋体" w:cs="宋体"/>
          <w:color w:val="auto"/>
          <w:sz w:val="21"/>
          <w:szCs w:val="21"/>
          <w:highlight w:val="none"/>
        </w:rPr>
        <w:t>2.7节能产品或者环保产品是指财政部发布的《节能产品政府采购清单》或《环境标志产品政府采购清单》的产品。</w:t>
      </w:r>
    </w:p>
    <w:p w14:paraId="5E04FC1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 w:val="21"/>
          <w:szCs w:val="21"/>
          <w:highlight w:val="none"/>
        </w:rPr>
      </w:pPr>
      <w:r>
        <w:rPr>
          <w:rFonts w:hint="eastAsia" w:hAnsi="宋体" w:cs="宋体"/>
          <w:color w:val="auto"/>
          <w:sz w:val="21"/>
          <w:szCs w:val="21"/>
          <w:highlight w:val="none"/>
        </w:rPr>
        <w:t>2.8进口产品是指通过中国海关报关验放进入中国境内且产自关境外的产品，详见《关于政府采购进口产品管理有关问题的通知》(财库[2007]119号)。</w:t>
      </w:r>
    </w:p>
    <w:p w14:paraId="2482B60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 w:val="21"/>
          <w:szCs w:val="21"/>
          <w:highlight w:val="none"/>
        </w:rPr>
      </w:pPr>
      <w:r>
        <w:rPr>
          <w:rFonts w:hint="eastAsia" w:hAnsi="宋体" w:cs="宋体"/>
          <w:color w:val="auto"/>
          <w:sz w:val="21"/>
          <w:szCs w:val="21"/>
          <w:highlight w:val="none"/>
        </w:rPr>
        <w:t>2.9中小企业是指符合《工业和信息化部、国家统计局、国家发展和改革委员会、财政部关于印发中小企业划型标准规定的通知》（工信部联企业[2011]300号）规定的对中小企业的划分标准的企业。</w:t>
      </w:r>
    </w:p>
    <w:p w14:paraId="1BB0628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 w:val="21"/>
          <w:szCs w:val="21"/>
          <w:highlight w:val="none"/>
        </w:rPr>
      </w:pPr>
      <w:r>
        <w:rPr>
          <w:rFonts w:hint="eastAsia" w:hAnsi="宋体" w:cs="宋体"/>
          <w:color w:val="auto"/>
          <w:sz w:val="21"/>
          <w:szCs w:val="21"/>
          <w:highlight w:val="none"/>
        </w:rPr>
        <w:t>2.10监狱企业是指由司法部认定的为罪犯、戒毒人员提供生产项目和劳动对象，且全部产权属于司法部监狱管理局、戒毒管理局、直属煤矿管理局，各省、自治区、直辖市监狱管理局、戒毒管理局</w:t>
      </w:r>
      <w:r>
        <w:rPr>
          <w:rFonts w:hint="eastAsia" w:hAnsi="宋体" w:cs="宋体"/>
          <w:color w:val="auto"/>
          <w:sz w:val="21"/>
          <w:szCs w:val="21"/>
          <w:highlight w:val="none"/>
          <w:lang w:eastAsia="zh-CN"/>
        </w:rPr>
        <w:t>、</w:t>
      </w:r>
      <w:r>
        <w:rPr>
          <w:rFonts w:hint="eastAsia" w:hAnsi="宋体" w:cs="宋体"/>
          <w:color w:val="auto"/>
          <w:sz w:val="21"/>
          <w:szCs w:val="21"/>
          <w:highlight w:val="none"/>
        </w:rPr>
        <w:t>各地（设区的市）监狱、强制隔离戒毒所、戒毒康复所，以及新疆生产建设兵团监狱管理局、戒毒管理局的企业。</w:t>
      </w:r>
    </w:p>
    <w:p w14:paraId="3E4E07C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 w:val="21"/>
          <w:szCs w:val="21"/>
          <w:highlight w:val="none"/>
        </w:rPr>
      </w:pPr>
      <w:r>
        <w:rPr>
          <w:rFonts w:hint="eastAsia" w:hAnsi="宋体" w:cs="宋体"/>
          <w:color w:val="auto"/>
          <w:sz w:val="21"/>
          <w:szCs w:val="21"/>
          <w:highlight w:val="none"/>
        </w:rPr>
        <w:t>2.11残疾人福利性单位是指符合《三部门联合发布关于促进残疾人就业政府采购政策的通知》财库〔2017〕141号规定的对残疾人福利性单位划分标准的单位。</w:t>
      </w:r>
    </w:p>
    <w:p w14:paraId="627BB74D">
      <w:pPr>
        <w:keepNext w:val="0"/>
        <w:keepLines w:val="0"/>
        <w:pageBreakBefore w:val="0"/>
        <w:widowControl w:val="0"/>
        <w:shd w:val="clear" w:color="auto" w:fill="auto"/>
        <w:kinsoku/>
        <w:wordWrap/>
        <w:overflowPunct/>
        <w:topLinePunct w:val="0"/>
        <w:autoSpaceDE/>
        <w:autoSpaceDN/>
        <w:bidi w:val="0"/>
        <w:snapToGrid w:val="0"/>
        <w:spacing w:line="360" w:lineRule="auto"/>
        <w:textAlignment w:val="auto"/>
        <w:outlineLvl w:val="9"/>
        <w:rPr>
          <w:rFonts w:hAnsi="宋体" w:cs="宋体"/>
          <w:b/>
          <w:color w:val="auto"/>
          <w:sz w:val="21"/>
          <w:szCs w:val="21"/>
          <w:highlight w:val="none"/>
        </w:rPr>
      </w:pPr>
      <w:bookmarkStart w:id="37" w:name="_Toc8788"/>
      <w:r>
        <w:rPr>
          <w:rFonts w:hint="eastAsia" w:hAnsi="宋体" w:cs="宋体"/>
          <w:b/>
          <w:color w:val="auto"/>
          <w:sz w:val="21"/>
          <w:szCs w:val="21"/>
          <w:highlight w:val="none"/>
        </w:rPr>
        <w:t>3.合格的供应商</w:t>
      </w:r>
      <w:bookmarkEnd w:id="37"/>
    </w:p>
    <w:p w14:paraId="20116B0E">
      <w:pPr>
        <w:keepNext w:val="0"/>
        <w:keepLines w:val="0"/>
        <w:pageBreakBefore w:val="0"/>
        <w:widowControl w:val="0"/>
        <w:shd w:val="clear" w:color="auto" w:fill="auto"/>
        <w:tabs>
          <w:tab w:val="left" w:pos="851"/>
        </w:tabs>
        <w:kinsoku/>
        <w:wordWrap/>
        <w:overflowPunct/>
        <w:topLinePunct w:val="0"/>
        <w:autoSpaceDE/>
        <w:autoSpaceDN/>
        <w:bidi w:val="0"/>
        <w:snapToGrid w:val="0"/>
        <w:spacing w:line="360" w:lineRule="auto"/>
        <w:ind w:firstLine="420" w:firstLineChars="200"/>
        <w:textAlignment w:val="auto"/>
        <w:rPr>
          <w:rFonts w:hAnsi="宋体" w:cs="宋体"/>
          <w:color w:val="auto"/>
          <w:sz w:val="21"/>
          <w:szCs w:val="21"/>
          <w:highlight w:val="none"/>
        </w:rPr>
      </w:pPr>
      <w:r>
        <w:rPr>
          <w:rFonts w:hint="eastAsia" w:hAnsi="宋体" w:cs="宋体"/>
          <w:color w:val="auto"/>
          <w:sz w:val="21"/>
          <w:szCs w:val="21"/>
          <w:highlight w:val="none"/>
        </w:rPr>
        <w:t>3.1《政府采购法》第二十二条第一款规定的供应商基本资格条件:</w:t>
      </w:r>
    </w:p>
    <w:p w14:paraId="0B0E6F09">
      <w:pPr>
        <w:keepNext w:val="0"/>
        <w:keepLines w:val="0"/>
        <w:pageBreakBefore w:val="0"/>
        <w:widowControl w:val="0"/>
        <w:shd w:val="clear" w:color="auto" w:fill="auto"/>
        <w:kinsoku/>
        <w:wordWrap/>
        <w:overflowPunct/>
        <w:topLinePunct w:val="0"/>
        <w:autoSpaceDE/>
        <w:autoSpaceDN/>
        <w:bidi w:val="0"/>
        <w:snapToGrid w:val="0"/>
        <w:spacing w:line="360" w:lineRule="auto"/>
        <w:ind w:firstLine="420" w:firstLineChars="200"/>
        <w:textAlignment w:val="auto"/>
        <w:rPr>
          <w:rFonts w:hAnsi="宋体" w:cs="宋体"/>
          <w:color w:val="auto"/>
          <w:sz w:val="21"/>
          <w:szCs w:val="21"/>
          <w:highlight w:val="none"/>
        </w:rPr>
      </w:pPr>
      <w:r>
        <w:rPr>
          <w:rFonts w:hint="eastAsia" w:hAnsi="宋体" w:cs="宋体"/>
          <w:color w:val="auto"/>
          <w:sz w:val="21"/>
          <w:szCs w:val="21"/>
          <w:highlight w:val="none"/>
        </w:rPr>
        <w:t xml:space="preserve">   （1）具有独立承担民事责任的能力；</w:t>
      </w:r>
    </w:p>
    <w:p w14:paraId="2DFC9370">
      <w:pPr>
        <w:keepNext w:val="0"/>
        <w:keepLines w:val="0"/>
        <w:pageBreakBefore w:val="0"/>
        <w:widowControl w:val="0"/>
        <w:shd w:val="clear" w:color="auto" w:fill="auto"/>
        <w:kinsoku/>
        <w:wordWrap/>
        <w:overflowPunct/>
        <w:topLinePunct w:val="0"/>
        <w:autoSpaceDE/>
        <w:autoSpaceDN/>
        <w:bidi w:val="0"/>
        <w:snapToGrid w:val="0"/>
        <w:spacing w:line="360" w:lineRule="auto"/>
        <w:ind w:firstLine="420" w:firstLineChars="200"/>
        <w:textAlignment w:val="auto"/>
        <w:rPr>
          <w:rFonts w:hAnsi="宋体" w:cs="宋体"/>
          <w:color w:val="auto"/>
          <w:sz w:val="21"/>
          <w:szCs w:val="21"/>
          <w:highlight w:val="none"/>
        </w:rPr>
      </w:pPr>
      <w:r>
        <w:rPr>
          <w:rFonts w:hint="eastAsia" w:hAnsi="宋体" w:cs="宋体"/>
          <w:color w:val="auto"/>
          <w:sz w:val="21"/>
          <w:szCs w:val="21"/>
          <w:highlight w:val="none"/>
        </w:rPr>
        <w:t xml:space="preserve">   （2）具有良好的商业信誉和健全的财务会计制度；</w:t>
      </w:r>
    </w:p>
    <w:p w14:paraId="03B8E383">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 xml:space="preserve">   （3）具有履行合同所必需的设备和专业技术能力；</w:t>
      </w:r>
    </w:p>
    <w:p w14:paraId="2F8EDD9A">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 xml:space="preserve">   （4）有依法缴纳税收的良好记录；</w:t>
      </w:r>
    </w:p>
    <w:p w14:paraId="2454D89D">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 xml:space="preserve">   （5）参加政府采购活动前三年内，在经营活动中没有重大违法记录；</w:t>
      </w:r>
    </w:p>
    <w:p w14:paraId="1DE35ED2">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 xml:space="preserve">   （6）法律、行政法规规定的其他条件。</w:t>
      </w:r>
    </w:p>
    <w:p w14:paraId="4FCB795E">
      <w:pPr>
        <w:shd w:val="clear" w:color="auto" w:fill="auto"/>
        <w:spacing w:line="360" w:lineRule="auto"/>
        <w:ind w:firstLine="420" w:firstLineChars="200"/>
        <w:rPr>
          <w:rFonts w:hAnsi="宋体" w:cs="宋体"/>
          <w:color w:val="auto"/>
          <w:sz w:val="21"/>
          <w:szCs w:val="21"/>
          <w:highlight w:val="none"/>
        </w:rPr>
      </w:pPr>
      <w:r>
        <w:rPr>
          <w:rFonts w:hAnsi="宋体" w:cs="宋体"/>
          <w:color w:val="auto"/>
          <w:sz w:val="21"/>
          <w:szCs w:val="21"/>
          <w:highlight w:val="none"/>
        </w:rPr>
        <w:t>3.2</w:t>
      </w:r>
      <w:r>
        <w:rPr>
          <w:rFonts w:hint="eastAsia" w:hAnsi="宋体" w:cs="宋体"/>
          <w:color w:val="auto"/>
          <w:sz w:val="21"/>
          <w:szCs w:val="21"/>
          <w:highlight w:val="none"/>
        </w:rPr>
        <w:t>根据本次采购项目的特殊要求，规定的供应商特殊条件（见供应商须知前附表）。</w:t>
      </w:r>
    </w:p>
    <w:p w14:paraId="6B9DFD57">
      <w:pPr>
        <w:shd w:val="clear" w:color="auto" w:fill="auto"/>
        <w:spacing w:line="360" w:lineRule="auto"/>
        <w:ind w:firstLine="420" w:firstLineChars="200"/>
        <w:rPr>
          <w:rFonts w:hint="eastAsia" w:hAnsi="宋体" w:cs="宋体"/>
          <w:color w:val="auto"/>
          <w:sz w:val="21"/>
          <w:szCs w:val="21"/>
          <w:highlight w:val="none"/>
        </w:rPr>
      </w:pPr>
      <w:r>
        <w:rPr>
          <w:rFonts w:hAnsi="宋体" w:cs="宋体"/>
          <w:color w:val="auto"/>
          <w:sz w:val="21"/>
          <w:szCs w:val="21"/>
          <w:highlight w:val="none"/>
        </w:rPr>
        <w:t>3.3</w:t>
      </w:r>
      <w:r>
        <w:rPr>
          <w:rFonts w:hint="eastAsia" w:hAnsi="宋体" w:cs="宋体"/>
          <w:color w:val="auto"/>
          <w:sz w:val="21"/>
          <w:szCs w:val="21"/>
          <w:highlight w:val="none"/>
        </w:rPr>
        <w:t>单位负责人为同一人或者存在直接控股、管理关系的不同供应商，不得参加同一合同项下的政府采购活动。</w:t>
      </w:r>
    </w:p>
    <w:p w14:paraId="02CEB199">
      <w:pPr>
        <w:shd w:val="clear" w:color="auto" w:fill="auto"/>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除单一来源采购项目外，为采购项目提供整体设计、规范编制或者项目管理、监理、检测等服务的供应商，不得再参加该采购项目的其他采购活动，否则均为无效投标。</w:t>
      </w:r>
    </w:p>
    <w:p w14:paraId="4ADD748A">
      <w:pPr>
        <w:shd w:val="clear" w:color="auto" w:fill="auto"/>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支机构参与本项目须出具总公司为其参与项目投标及履约行为承担民事责任的承诺书，法定代表人为同一人的两个及两个以上的法人，母公司、全资子公司及其控股公司，都不得在同一项目（分包的按包）的采购中同时参与投标，否则均为无效投标。</w:t>
      </w:r>
    </w:p>
    <w:p w14:paraId="6A8FCB31">
      <w:pPr>
        <w:shd w:val="clear" w:color="auto" w:fill="auto"/>
        <w:spacing w:line="360" w:lineRule="auto"/>
        <w:ind w:firstLine="420" w:firstLineChars="200"/>
        <w:rPr>
          <w:rFonts w:hAnsi="宋体" w:cs="宋体"/>
          <w:color w:val="auto"/>
          <w:sz w:val="21"/>
          <w:szCs w:val="21"/>
          <w:highlight w:val="none"/>
        </w:rPr>
      </w:pPr>
      <w:r>
        <w:rPr>
          <w:rFonts w:hAnsi="宋体" w:cs="宋体"/>
          <w:color w:val="auto"/>
          <w:sz w:val="21"/>
          <w:szCs w:val="21"/>
          <w:highlight w:val="none"/>
        </w:rPr>
        <w:t>3.4</w:t>
      </w:r>
      <w:r>
        <w:rPr>
          <w:rFonts w:hint="eastAsia" w:hAnsi="宋体" w:cs="宋体"/>
          <w:color w:val="auto"/>
          <w:sz w:val="21"/>
          <w:szCs w:val="21"/>
          <w:highlight w:val="none"/>
        </w:rPr>
        <w:t>供应商必须在陕西至诚</w:t>
      </w:r>
      <w:r>
        <w:rPr>
          <w:rFonts w:hint="eastAsia" w:hAnsi="宋体" w:cs="宋体"/>
          <w:color w:val="auto"/>
          <w:sz w:val="21"/>
          <w:szCs w:val="21"/>
          <w:highlight w:val="none"/>
          <w:lang w:val="en-US" w:eastAsia="zh-CN"/>
        </w:rPr>
        <w:t>项目管理祭坛</w:t>
      </w:r>
      <w:r>
        <w:rPr>
          <w:rFonts w:hint="eastAsia" w:hAnsi="宋体" w:cs="宋体"/>
          <w:color w:val="auto"/>
          <w:sz w:val="21"/>
          <w:szCs w:val="21"/>
          <w:highlight w:val="none"/>
          <w:lang w:eastAsia="zh-CN"/>
        </w:rPr>
        <w:t>报名并领取</w:t>
      </w:r>
      <w:r>
        <w:rPr>
          <w:rFonts w:hint="eastAsia" w:hAnsi="宋体" w:cs="宋体"/>
          <w:color w:val="auto"/>
          <w:sz w:val="21"/>
          <w:szCs w:val="21"/>
          <w:highlight w:val="none"/>
        </w:rPr>
        <w:t>招标文件，方可参加投标。</w:t>
      </w:r>
    </w:p>
    <w:p w14:paraId="5C3AC9A4">
      <w:pPr>
        <w:shd w:val="clear" w:color="auto" w:fill="auto"/>
        <w:spacing w:line="360" w:lineRule="auto"/>
        <w:ind w:firstLine="420" w:firstLineChars="200"/>
        <w:rPr>
          <w:rFonts w:hint="eastAsia" w:hAnsi="宋体" w:eastAsia="宋体" w:cs="宋体"/>
          <w:color w:val="auto"/>
          <w:sz w:val="21"/>
          <w:szCs w:val="21"/>
          <w:highlight w:val="none"/>
          <w:lang w:eastAsia="zh-CN"/>
        </w:rPr>
      </w:pPr>
      <w:bookmarkStart w:id="38" w:name="OLE_LINK33"/>
      <w:r>
        <w:rPr>
          <w:rFonts w:hAnsi="宋体" w:cs="宋体"/>
          <w:color w:val="auto"/>
          <w:sz w:val="21"/>
          <w:szCs w:val="21"/>
          <w:highlight w:val="none"/>
        </w:rPr>
        <w:t>3.</w:t>
      </w:r>
      <w:bookmarkEnd w:id="38"/>
      <w:r>
        <w:rPr>
          <w:rFonts w:hAnsi="宋体" w:cs="宋体"/>
          <w:color w:val="auto"/>
          <w:sz w:val="21"/>
          <w:szCs w:val="21"/>
          <w:highlight w:val="none"/>
        </w:rPr>
        <w:t>5</w:t>
      </w:r>
      <w:r>
        <w:rPr>
          <w:rFonts w:hint="eastAsia" w:hAnsi="宋体" w:cs="宋体"/>
          <w:color w:val="auto"/>
          <w:sz w:val="21"/>
          <w:szCs w:val="21"/>
          <w:highlight w:val="none"/>
        </w:rPr>
        <w:t>联合体投标</w:t>
      </w:r>
      <w:r>
        <w:rPr>
          <w:rFonts w:hint="eastAsia" w:hAnsi="宋体" w:cs="宋体"/>
          <w:color w:val="auto"/>
          <w:sz w:val="21"/>
          <w:szCs w:val="21"/>
          <w:highlight w:val="none"/>
          <w:lang w:eastAsia="zh-CN"/>
        </w:rPr>
        <w:t>。</w:t>
      </w:r>
    </w:p>
    <w:p w14:paraId="33482F7B">
      <w:pPr>
        <w:shd w:val="clear" w:color="auto" w:fill="auto"/>
        <w:spacing w:line="360" w:lineRule="auto"/>
        <w:ind w:firstLine="420" w:firstLineChars="200"/>
        <w:rPr>
          <w:rFonts w:hAnsi="宋体" w:cs="宋体"/>
          <w:color w:val="auto"/>
          <w:sz w:val="21"/>
          <w:szCs w:val="21"/>
          <w:highlight w:val="none"/>
        </w:rPr>
      </w:pPr>
      <w:r>
        <w:rPr>
          <w:rFonts w:hAnsi="宋体" w:cs="宋体"/>
          <w:color w:val="auto"/>
          <w:sz w:val="21"/>
          <w:szCs w:val="21"/>
          <w:highlight w:val="none"/>
        </w:rPr>
        <w:t>3.5.1</w:t>
      </w:r>
      <w:r>
        <w:rPr>
          <w:rFonts w:hint="eastAsia" w:hAnsi="宋体" w:cs="宋体"/>
          <w:color w:val="auto"/>
          <w:sz w:val="21"/>
          <w:szCs w:val="21"/>
          <w:highlight w:val="none"/>
        </w:rPr>
        <w:t>如果在招标文件中接受联合体投标（见供应商须知前附表），则两个以上供应商可以组成一个投标联合体，以一个供应商的身份投标。以联合体形式参加投标的，联合体各方均应当符合《中华人民共和国政府采购法》及实施条例规定的条件。采购人根据采购项目的特殊要求规定供应商特定条件的，联合体各方中至少应当有一方符合采购人规定的特定条件。</w:t>
      </w:r>
    </w:p>
    <w:p w14:paraId="2B818124">
      <w:pPr>
        <w:shd w:val="clear" w:color="auto" w:fill="auto"/>
        <w:spacing w:line="360" w:lineRule="auto"/>
        <w:ind w:firstLine="409" w:firstLineChars="195"/>
        <w:rPr>
          <w:rFonts w:hAnsi="宋体" w:cs="宋体"/>
          <w:color w:val="auto"/>
          <w:sz w:val="21"/>
          <w:szCs w:val="21"/>
          <w:highlight w:val="none"/>
        </w:rPr>
      </w:pPr>
      <w:r>
        <w:rPr>
          <w:rFonts w:hAnsi="宋体" w:cs="宋体"/>
          <w:color w:val="auto"/>
          <w:sz w:val="21"/>
          <w:szCs w:val="21"/>
          <w:highlight w:val="none"/>
        </w:rPr>
        <w:t>3.5.2</w:t>
      </w:r>
      <w:r>
        <w:rPr>
          <w:rFonts w:hint="eastAsia" w:hAnsi="宋体" w:cs="宋体"/>
          <w:color w:val="auto"/>
          <w:sz w:val="21"/>
          <w:szCs w:val="21"/>
          <w:highlight w:val="none"/>
        </w:rPr>
        <w:t>联合体各方之间应当签订共同投标协议，明确约定联合体各方承担的工作和相应的责任，并将共同投标协议连同投标文件一并提交采购代理机构。联合体各方签订共同投标协议后，不得再以自己名义单独在同一项目中投标，也不得组成新的联合体参加同一项目投标。</w:t>
      </w:r>
    </w:p>
    <w:p w14:paraId="425A8723">
      <w:pPr>
        <w:pStyle w:val="10"/>
        <w:shd w:val="clear" w:color="auto" w:fill="auto"/>
        <w:spacing w:line="360" w:lineRule="auto"/>
        <w:ind w:firstLine="420" w:firstLineChars="200"/>
        <w:rPr>
          <w:rFonts w:ascii="宋体" w:cs="宋体"/>
          <w:color w:val="auto"/>
          <w:sz w:val="21"/>
          <w:szCs w:val="21"/>
          <w:highlight w:val="none"/>
        </w:rPr>
      </w:pPr>
      <w:r>
        <w:rPr>
          <w:rFonts w:ascii="宋体" w:hAnsi="宋体" w:cs="宋体"/>
          <w:color w:val="auto"/>
          <w:sz w:val="21"/>
          <w:szCs w:val="21"/>
          <w:highlight w:val="none"/>
        </w:rPr>
        <w:t>3.5.3</w:t>
      </w:r>
      <w:r>
        <w:rPr>
          <w:rFonts w:hint="eastAsia" w:ascii="宋体" w:hAnsi="宋体" w:cs="宋体"/>
          <w:color w:val="auto"/>
          <w:sz w:val="21"/>
          <w:szCs w:val="21"/>
          <w:highlight w:val="none"/>
        </w:rPr>
        <w:t>联合体各方应当共同与采购人签订采购合同，就采购合同约定的事项对采购人承担连带责任。</w:t>
      </w:r>
    </w:p>
    <w:p w14:paraId="71BA93A4">
      <w:pPr>
        <w:shd w:val="clear" w:color="auto" w:fill="auto"/>
        <w:spacing w:line="360" w:lineRule="auto"/>
        <w:ind w:firstLine="420" w:firstLineChars="200"/>
        <w:rPr>
          <w:rFonts w:hint="eastAsia" w:hAnsi="宋体" w:cs="宋体"/>
          <w:color w:val="auto"/>
          <w:sz w:val="21"/>
          <w:szCs w:val="21"/>
          <w:highlight w:val="none"/>
          <w:lang w:val="en-US" w:eastAsia="zh-CN"/>
        </w:rPr>
      </w:pPr>
      <w:r>
        <w:rPr>
          <w:rFonts w:hAnsi="宋体" w:cs="宋体"/>
          <w:color w:val="auto"/>
          <w:sz w:val="21"/>
          <w:szCs w:val="21"/>
          <w:highlight w:val="none"/>
        </w:rPr>
        <w:t>3.6</w:t>
      </w:r>
      <w:r>
        <w:rPr>
          <w:rFonts w:hint="eastAsia" w:hAnsi="宋体" w:cs="宋体"/>
          <w:color w:val="auto"/>
          <w:sz w:val="21"/>
          <w:szCs w:val="21"/>
          <w:highlight w:val="none"/>
          <w:lang w:val="en-US" w:eastAsia="zh-CN"/>
        </w:rPr>
        <w:t>本项目不接受联合体投标。</w:t>
      </w:r>
    </w:p>
    <w:p w14:paraId="3EA4D047">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投标费用自理。不论投标的结果如何，供应商均应自行承担所有与参加投标有关的费用。</w:t>
      </w:r>
    </w:p>
    <w:p w14:paraId="70D94490">
      <w:pPr>
        <w:shd w:val="clear" w:color="auto" w:fill="auto"/>
        <w:tabs>
          <w:tab w:val="left" w:pos="747"/>
        </w:tabs>
        <w:snapToGrid w:val="0"/>
        <w:spacing w:line="360" w:lineRule="auto"/>
        <w:outlineLvl w:val="9"/>
        <w:rPr>
          <w:rFonts w:hint="default" w:hAnsi="宋体" w:eastAsia="宋体" w:cs="宋体"/>
          <w:b/>
          <w:bCs/>
          <w:color w:val="auto"/>
          <w:sz w:val="21"/>
          <w:szCs w:val="21"/>
          <w:highlight w:val="none"/>
          <w:lang w:val="en-US" w:eastAsia="zh-CN"/>
        </w:rPr>
      </w:pPr>
      <w:bookmarkStart w:id="39" w:name="_Toc14954"/>
      <w:r>
        <w:rPr>
          <w:rFonts w:hint="eastAsia" w:hAnsi="宋体" w:cs="宋体"/>
          <w:b/>
          <w:bCs/>
          <w:color w:val="auto"/>
          <w:sz w:val="21"/>
          <w:szCs w:val="21"/>
          <w:highlight w:val="none"/>
        </w:rPr>
        <w:t>4.合格的货物（产品）和服务</w:t>
      </w:r>
      <w:bookmarkEnd w:id="39"/>
      <w:r>
        <w:rPr>
          <w:rFonts w:hint="eastAsia" w:hAnsi="宋体" w:cs="宋体"/>
          <w:b/>
          <w:bCs/>
          <w:color w:val="auto"/>
          <w:sz w:val="21"/>
          <w:szCs w:val="21"/>
          <w:highlight w:val="none"/>
          <w:lang w:eastAsia="zh-CN"/>
        </w:rPr>
        <w:t>（</w:t>
      </w:r>
      <w:r>
        <w:rPr>
          <w:rFonts w:hint="eastAsia" w:hAnsi="宋体" w:cs="宋体"/>
          <w:b/>
          <w:bCs/>
          <w:color w:val="auto"/>
          <w:sz w:val="21"/>
          <w:szCs w:val="21"/>
          <w:highlight w:val="none"/>
          <w:lang w:val="en-US" w:eastAsia="zh-CN"/>
        </w:rPr>
        <w:t>如有）</w:t>
      </w:r>
    </w:p>
    <w:p w14:paraId="47990EC5">
      <w:pPr>
        <w:shd w:val="clear" w:color="auto" w:fill="auto"/>
        <w:tabs>
          <w:tab w:val="left" w:pos="747"/>
        </w:tabs>
        <w:snapToGrid w:val="0"/>
        <w:spacing w:line="360" w:lineRule="auto"/>
        <w:ind w:firstLine="420" w:firstLineChars="200"/>
        <w:rPr>
          <w:rFonts w:hAnsi="宋体" w:cs="宋体"/>
          <w:color w:val="auto"/>
          <w:sz w:val="21"/>
          <w:szCs w:val="21"/>
          <w:highlight w:val="none"/>
        </w:rPr>
      </w:pPr>
      <w:r>
        <w:rPr>
          <w:rFonts w:hAnsi="宋体" w:cs="宋体"/>
          <w:color w:val="auto"/>
          <w:sz w:val="21"/>
          <w:szCs w:val="21"/>
          <w:highlight w:val="none"/>
        </w:rPr>
        <w:t>4.1</w:t>
      </w:r>
      <w:r>
        <w:rPr>
          <w:rFonts w:hint="eastAsia" w:hAnsi="宋体" w:cs="宋体"/>
          <w:color w:val="auto"/>
          <w:sz w:val="21"/>
          <w:szCs w:val="21"/>
          <w:highlight w:val="none"/>
          <w:lang w:eastAsia="zh-CN"/>
        </w:rPr>
        <w:t>投标人</w:t>
      </w:r>
      <w:r>
        <w:rPr>
          <w:rFonts w:hint="eastAsia" w:hAnsi="宋体" w:cs="宋体"/>
          <w:color w:val="auto"/>
          <w:sz w:val="21"/>
          <w:szCs w:val="21"/>
          <w:highlight w:val="none"/>
        </w:rPr>
        <w:t>提供的所有货物和服务，必须是合法生产、合法来源（提供产品来源渠道合法的证明文件：包括但不限于销售协议、代理协议、原厂授权等），符合国家有关标准要求，并满足招标文件规定的规格、参数、质量、价格、有效期、售后服务及供应商须承担的运输、安装、技术支持、培训和招标文件规定的其它伴随服务等要求。</w:t>
      </w:r>
    </w:p>
    <w:p w14:paraId="507C8856">
      <w:pPr>
        <w:shd w:val="clear" w:color="auto" w:fill="auto"/>
        <w:tabs>
          <w:tab w:val="left" w:pos="747"/>
        </w:tabs>
        <w:snapToGrid w:val="0"/>
        <w:spacing w:line="360" w:lineRule="auto"/>
        <w:ind w:firstLine="420" w:firstLineChars="200"/>
        <w:rPr>
          <w:rFonts w:hAnsi="宋体" w:cs="宋体"/>
          <w:color w:val="auto"/>
          <w:sz w:val="21"/>
          <w:szCs w:val="21"/>
          <w:highlight w:val="none"/>
        </w:rPr>
      </w:pPr>
      <w:r>
        <w:rPr>
          <w:rFonts w:hAnsi="宋体" w:cs="宋体"/>
          <w:color w:val="auto"/>
          <w:sz w:val="21"/>
          <w:szCs w:val="21"/>
          <w:highlight w:val="none"/>
        </w:rPr>
        <w:t>4.2</w:t>
      </w:r>
      <w:r>
        <w:rPr>
          <w:rFonts w:hint="eastAsia" w:hAnsi="宋体" w:cs="宋体"/>
          <w:color w:val="auto"/>
          <w:sz w:val="21"/>
          <w:szCs w:val="21"/>
          <w:highlight w:val="none"/>
        </w:rPr>
        <w:t>采购人有权拒绝接受任何不合格的产品和服务，由此产生的费用及相关后果均由供应商自行承担。</w:t>
      </w:r>
    </w:p>
    <w:p w14:paraId="3BC3D8E8">
      <w:pPr>
        <w:shd w:val="clear" w:color="auto" w:fill="auto"/>
        <w:spacing w:line="360" w:lineRule="auto"/>
        <w:outlineLvl w:val="9"/>
        <w:rPr>
          <w:rFonts w:hAnsi="宋体" w:cs="宋体"/>
          <w:b/>
          <w:color w:val="auto"/>
          <w:sz w:val="21"/>
          <w:szCs w:val="21"/>
          <w:highlight w:val="none"/>
        </w:rPr>
      </w:pPr>
      <w:bookmarkStart w:id="40" w:name="_Toc31991"/>
      <w:r>
        <w:rPr>
          <w:rFonts w:hint="eastAsia" w:hAnsi="宋体" w:cs="宋体"/>
          <w:b/>
          <w:color w:val="auto"/>
          <w:sz w:val="21"/>
          <w:szCs w:val="21"/>
          <w:highlight w:val="none"/>
        </w:rPr>
        <w:t>5.投标文件内容的真实性</w:t>
      </w:r>
      <w:bookmarkEnd w:id="40"/>
    </w:p>
    <w:p w14:paraId="2DB40811">
      <w:pPr>
        <w:shd w:val="clear" w:color="auto" w:fill="auto"/>
        <w:spacing w:line="360" w:lineRule="auto"/>
        <w:ind w:firstLine="420" w:firstLineChars="200"/>
        <w:rPr>
          <w:rFonts w:hAnsi="宋体" w:cs="宋体"/>
          <w:color w:val="auto"/>
          <w:sz w:val="24"/>
          <w:szCs w:val="24"/>
          <w:highlight w:val="none"/>
        </w:rPr>
      </w:pPr>
      <w:r>
        <w:rPr>
          <w:rFonts w:hint="eastAsia" w:hAnsi="宋体" w:cs="宋体"/>
          <w:color w:val="auto"/>
          <w:sz w:val="21"/>
          <w:szCs w:val="21"/>
          <w:highlight w:val="none"/>
        </w:rPr>
        <w:t>5.1供应商应保证其投标文件中所提供的所有投标资料、信息是真实的，并且来源于合法的渠道。因投标文件中所提供的投标资料、信息不真实或者其来源不合法而导致的所有法律责任，由供应商自行承担。</w:t>
      </w:r>
    </w:p>
    <w:p w14:paraId="3ECC8A85">
      <w:pPr>
        <w:shd w:val="clear" w:color="auto" w:fill="auto"/>
        <w:spacing w:before="333" w:beforeLines="100" w:line="360" w:lineRule="auto"/>
        <w:jc w:val="center"/>
        <w:outlineLvl w:val="9"/>
        <w:rPr>
          <w:rFonts w:hAnsi="宋体" w:cs="宋体"/>
          <w:b/>
          <w:color w:val="auto"/>
          <w:sz w:val="24"/>
          <w:szCs w:val="24"/>
          <w:highlight w:val="none"/>
        </w:rPr>
      </w:pPr>
      <w:bookmarkStart w:id="41" w:name="_Toc363474018"/>
      <w:bookmarkStart w:id="42" w:name="_Toc363473973"/>
      <w:bookmarkStart w:id="43" w:name="_Toc21955"/>
      <w:bookmarkStart w:id="44" w:name="_Toc403077640"/>
      <w:bookmarkStart w:id="45" w:name="_Toc23474"/>
      <w:r>
        <w:rPr>
          <w:rFonts w:hint="eastAsia" w:hAnsi="宋体" w:cs="宋体"/>
          <w:b/>
          <w:color w:val="auto"/>
          <w:sz w:val="24"/>
          <w:szCs w:val="24"/>
          <w:highlight w:val="none"/>
        </w:rPr>
        <w:t>二、招标文件</w:t>
      </w:r>
      <w:bookmarkEnd w:id="41"/>
      <w:bookmarkEnd w:id="42"/>
      <w:bookmarkEnd w:id="43"/>
      <w:bookmarkEnd w:id="44"/>
      <w:bookmarkEnd w:id="45"/>
    </w:p>
    <w:p w14:paraId="3B16AA7B">
      <w:pPr>
        <w:shd w:val="clear" w:color="auto" w:fill="auto"/>
        <w:spacing w:line="360" w:lineRule="auto"/>
        <w:outlineLvl w:val="9"/>
        <w:rPr>
          <w:rFonts w:hAnsi="宋体" w:cs="宋体"/>
          <w:b/>
          <w:color w:val="auto"/>
          <w:sz w:val="21"/>
          <w:szCs w:val="21"/>
          <w:highlight w:val="none"/>
        </w:rPr>
      </w:pPr>
      <w:bookmarkStart w:id="46" w:name="_Toc5575"/>
      <w:r>
        <w:rPr>
          <w:rFonts w:hint="eastAsia" w:hAnsi="宋体" w:cs="宋体"/>
          <w:b/>
          <w:color w:val="auto"/>
          <w:sz w:val="21"/>
          <w:szCs w:val="21"/>
          <w:highlight w:val="none"/>
        </w:rPr>
        <w:t>6.招标文件构成</w:t>
      </w:r>
      <w:bookmarkEnd w:id="46"/>
    </w:p>
    <w:p w14:paraId="030E387E">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6.1 招标文件要求提供的货物、服务，招标程序和合同条件在招标文件中均有说明。招标文件共六章，内容如下：</w:t>
      </w:r>
    </w:p>
    <w:p w14:paraId="46C7572F">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第一章 招标公告</w:t>
      </w:r>
    </w:p>
    <w:p w14:paraId="22C18B22">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第二章 投标人须知</w:t>
      </w:r>
    </w:p>
    <w:p w14:paraId="68255F9F">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 xml:space="preserve">   投标人须知前附表</w:t>
      </w:r>
    </w:p>
    <w:p w14:paraId="06A1B3D6">
      <w:pPr>
        <w:shd w:val="clear" w:color="auto" w:fill="auto"/>
        <w:spacing w:line="360" w:lineRule="auto"/>
        <w:ind w:firstLine="420" w:firstLineChars="200"/>
        <w:outlineLvl w:val="9"/>
        <w:rPr>
          <w:rFonts w:hAnsi="宋体" w:cs="宋体"/>
          <w:color w:val="auto"/>
          <w:sz w:val="21"/>
          <w:szCs w:val="21"/>
          <w:highlight w:val="none"/>
        </w:rPr>
      </w:pPr>
      <w:bookmarkStart w:id="47" w:name="_Toc18536"/>
      <w:bookmarkStart w:id="48" w:name="_Toc13028"/>
      <w:bookmarkStart w:id="49" w:name="_Toc215"/>
      <w:r>
        <w:rPr>
          <w:rFonts w:hint="eastAsia" w:hAnsi="宋体" w:cs="宋体"/>
          <w:color w:val="auto"/>
          <w:sz w:val="21"/>
          <w:szCs w:val="21"/>
          <w:highlight w:val="none"/>
        </w:rPr>
        <w:t>第三章 评标方法</w:t>
      </w:r>
      <w:bookmarkEnd w:id="47"/>
      <w:bookmarkEnd w:id="48"/>
      <w:bookmarkEnd w:id="49"/>
    </w:p>
    <w:p w14:paraId="626EFAC7">
      <w:pPr>
        <w:shd w:val="clear" w:color="auto" w:fill="auto"/>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第四章 合同条款及格式</w:t>
      </w:r>
    </w:p>
    <w:p w14:paraId="44BB2EC1">
      <w:pPr>
        <w:shd w:val="clear" w:color="auto" w:fill="auto"/>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 xml:space="preserve">第五章 </w:t>
      </w:r>
      <w:r>
        <w:rPr>
          <w:rFonts w:hint="eastAsia" w:hAnsi="宋体" w:cs="宋体"/>
          <w:color w:val="auto"/>
          <w:sz w:val="21"/>
          <w:szCs w:val="21"/>
          <w:highlight w:val="none"/>
          <w:lang w:eastAsia="zh-CN"/>
        </w:rPr>
        <w:t>招标</w:t>
      </w:r>
      <w:r>
        <w:rPr>
          <w:rFonts w:hint="eastAsia" w:hAnsi="宋体" w:cs="宋体"/>
          <w:color w:val="auto"/>
          <w:sz w:val="21"/>
          <w:szCs w:val="21"/>
          <w:highlight w:val="none"/>
        </w:rPr>
        <w:t>内容及技术要求</w:t>
      </w:r>
    </w:p>
    <w:p w14:paraId="3F0BBFE3">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 xml:space="preserve">第六章 投标文件构成及格式  </w:t>
      </w:r>
    </w:p>
    <w:p w14:paraId="42C54762">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6.2</w:t>
      </w:r>
      <w:r>
        <w:rPr>
          <w:rFonts w:hint="eastAsia" w:hAnsi="宋体" w:cs="宋体"/>
          <w:color w:val="auto"/>
          <w:sz w:val="21"/>
          <w:szCs w:val="21"/>
          <w:highlight w:val="none"/>
          <w:lang w:eastAsia="zh-CN"/>
        </w:rPr>
        <w:t>投标人</w:t>
      </w:r>
      <w:r>
        <w:rPr>
          <w:rFonts w:hint="eastAsia" w:hAnsi="宋体" w:cs="宋体"/>
          <w:color w:val="auto"/>
          <w:sz w:val="21"/>
          <w:szCs w:val="21"/>
          <w:highlight w:val="none"/>
        </w:rPr>
        <w:t>应认真阅读招标文件中所有的事项、格式、条款和规范等要求。如果投标人没有按照招标文件要求提交全部资料，或者投标文件没有对招标文件在各方面都做出实质性响应，由此带来不利于投标人的评标结果，其风险由供应商承担。</w:t>
      </w:r>
    </w:p>
    <w:p w14:paraId="0EEC0D40">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6.3本招标文件的解释权归陕西至诚</w:t>
      </w:r>
      <w:r>
        <w:rPr>
          <w:rFonts w:hint="eastAsia" w:hAnsi="宋体" w:cs="宋体"/>
          <w:color w:val="auto"/>
          <w:sz w:val="21"/>
          <w:szCs w:val="21"/>
          <w:highlight w:val="none"/>
          <w:lang w:val="en-US" w:eastAsia="zh-CN"/>
        </w:rPr>
        <w:t>项目管理集团有限公司</w:t>
      </w:r>
      <w:r>
        <w:rPr>
          <w:rFonts w:hint="eastAsia" w:hAnsi="宋体" w:cs="宋体"/>
          <w:color w:val="auto"/>
          <w:sz w:val="21"/>
          <w:szCs w:val="21"/>
          <w:highlight w:val="none"/>
        </w:rPr>
        <w:t>，如发现招标文件内容与现行法律法规不相符的情况，以现行法律法规为准。</w:t>
      </w:r>
    </w:p>
    <w:p w14:paraId="578FEE8C">
      <w:pPr>
        <w:shd w:val="clear" w:color="auto" w:fill="auto"/>
        <w:spacing w:line="360" w:lineRule="auto"/>
        <w:outlineLvl w:val="9"/>
        <w:rPr>
          <w:rFonts w:hAnsi="宋体" w:cs="宋体"/>
          <w:b/>
          <w:color w:val="auto"/>
          <w:sz w:val="21"/>
          <w:szCs w:val="21"/>
          <w:highlight w:val="none"/>
        </w:rPr>
      </w:pPr>
      <w:bookmarkStart w:id="50" w:name="_Toc15825"/>
      <w:r>
        <w:rPr>
          <w:rFonts w:hint="eastAsia" w:hAnsi="宋体" w:cs="宋体"/>
          <w:b/>
          <w:color w:val="auto"/>
          <w:sz w:val="21"/>
          <w:szCs w:val="21"/>
          <w:highlight w:val="none"/>
        </w:rPr>
        <w:t>7.招标文件的修改和澄清</w:t>
      </w:r>
      <w:bookmarkEnd w:id="50"/>
    </w:p>
    <w:p w14:paraId="13D9F119">
      <w:pPr>
        <w:shd w:val="clear" w:color="auto" w:fill="auto"/>
        <w:tabs>
          <w:tab w:val="left" w:pos="720"/>
        </w:tabs>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7.1 在投标截止时间前，采购代理机构无论出于何种原因，可以对已发出招标文件进行必要的澄清或者修改，但不得修改采购标的和资格条件。</w:t>
      </w:r>
    </w:p>
    <w:p w14:paraId="66FB0C54">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7.2 澄清或者修改的内容可能影响投标文件编制的，采购代理机构应当在投标文件截止时间</w:t>
      </w:r>
      <w:r>
        <w:rPr>
          <w:rFonts w:hint="eastAsia" w:hAnsi="宋体" w:cs="宋体"/>
          <w:bCs/>
          <w:color w:val="auto"/>
          <w:sz w:val="21"/>
          <w:szCs w:val="21"/>
          <w:highlight w:val="none"/>
        </w:rPr>
        <w:t>15日前，以书面形式将澄清或者修改的内容通知所有获取招标文件的潜在供应商，同时在原信息发布媒体上发布变更公告。该澄清或者修改的内容为招标文件的组成部分。如果澄清或者修改发出的时间距规定的投标截止时间不足15日，将相应</w:t>
      </w:r>
      <w:r>
        <w:rPr>
          <w:rFonts w:hint="eastAsia" w:hAnsi="宋体" w:cs="宋体"/>
          <w:color w:val="auto"/>
          <w:sz w:val="21"/>
          <w:szCs w:val="21"/>
          <w:highlight w:val="none"/>
        </w:rPr>
        <w:t>顺延投标截止时间。</w:t>
      </w:r>
    </w:p>
    <w:p w14:paraId="111E11A1">
      <w:pPr>
        <w:pStyle w:val="9"/>
        <w:shd w:val="clear" w:color="auto" w:fill="auto"/>
        <w:spacing w:line="360" w:lineRule="auto"/>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7.3在投标文件递交截止时间前，采购代理机构可以视采购具体情况，延长投标截止时间和开标时间并在财政部门指定的媒体上发布变更公告，同时将变更时间书面通知获取招标文件的潜在供应商。</w:t>
      </w:r>
    </w:p>
    <w:p w14:paraId="48627C77">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7.4已经购买招标文件的供应商对招标文件有疑问的，均应在购买招标文件后7个工作日内以书面形式向采购代理机构提出。采购代理机构视情况采用适当方式予以澄清或以书面形式予以答复，涉及变更的内容在财政部门指定的媒体上发布变更公告，并以书面形式通知所有购买招标文件的潜在供应商，且作为招标文件的组成部分。</w:t>
      </w:r>
    </w:p>
    <w:p w14:paraId="360AB8AC">
      <w:pPr>
        <w:shd w:val="clear" w:color="auto" w:fill="auto"/>
        <w:spacing w:line="360" w:lineRule="auto"/>
        <w:ind w:firstLine="420" w:firstLineChars="200"/>
        <w:outlineLvl w:val="9"/>
        <w:rPr>
          <w:rFonts w:hAnsi="宋体" w:cs="宋体"/>
          <w:color w:val="auto"/>
          <w:sz w:val="24"/>
          <w:szCs w:val="24"/>
          <w:highlight w:val="none"/>
        </w:rPr>
      </w:pPr>
      <w:bookmarkStart w:id="51" w:name="_Toc10882"/>
      <w:r>
        <w:rPr>
          <w:rFonts w:hint="eastAsia" w:hAnsi="宋体" w:cs="宋体"/>
          <w:color w:val="auto"/>
          <w:sz w:val="21"/>
          <w:szCs w:val="21"/>
          <w:highlight w:val="none"/>
        </w:rPr>
        <w:t>7.5供应商在收到上述通知后，应立即向采购代理机构回函确认。</w:t>
      </w:r>
      <w:bookmarkEnd w:id="51"/>
    </w:p>
    <w:p w14:paraId="2521D9D7">
      <w:pPr>
        <w:shd w:val="clear" w:color="auto" w:fill="auto"/>
        <w:spacing w:line="360" w:lineRule="auto"/>
        <w:rPr>
          <w:rFonts w:hAnsi="宋体" w:cs="宋体"/>
          <w:color w:val="auto"/>
          <w:sz w:val="24"/>
          <w:szCs w:val="24"/>
          <w:highlight w:val="none"/>
        </w:rPr>
      </w:pPr>
    </w:p>
    <w:p w14:paraId="523AC3F4">
      <w:pPr>
        <w:shd w:val="clear" w:color="auto" w:fill="auto"/>
        <w:spacing w:line="360" w:lineRule="auto"/>
        <w:jc w:val="center"/>
        <w:rPr>
          <w:rFonts w:hAnsi="宋体" w:cs="宋体"/>
          <w:b/>
          <w:color w:val="auto"/>
          <w:sz w:val="24"/>
          <w:szCs w:val="24"/>
          <w:highlight w:val="none"/>
        </w:rPr>
      </w:pPr>
      <w:bookmarkStart w:id="52" w:name="_Toc403077641"/>
      <w:bookmarkStart w:id="53" w:name="_Toc363474019"/>
      <w:bookmarkStart w:id="54" w:name="_Toc363473974"/>
      <w:r>
        <w:rPr>
          <w:rFonts w:hint="eastAsia" w:hAnsi="宋体" w:cs="宋体"/>
          <w:b/>
          <w:color w:val="auto"/>
          <w:sz w:val="24"/>
          <w:szCs w:val="24"/>
          <w:highlight w:val="none"/>
        </w:rPr>
        <w:t>三.投标文件的编制</w:t>
      </w:r>
      <w:bookmarkEnd w:id="52"/>
      <w:bookmarkEnd w:id="53"/>
      <w:bookmarkEnd w:id="54"/>
    </w:p>
    <w:p w14:paraId="44A89FE4">
      <w:pPr>
        <w:shd w:val="clear" w:color="auto" w:fill="auto"/>
        <w:spacing w:line="360" w:lineRule="auto"/>
        <w:outlineLvl w:val="9"/>
        <w:rPr>
          <w:rFonts w:hAnsi="宋体" w:cs="宋体"/>
          <w:b/>
          <w:color w:val="auto"/>
          <w:sz w:val="21"/>
          <w:szCs w:val="21"/>
          <w:highlight w:val="none"/>
        </w:rPr>
      </w:pPr>
      <w:bookmarkStart w:id="55" w:name="_Toc13878"/>
      <w:r>
        <w:rPr>
          <w:rFonts w:hint="eastAsia" w:hAnsi="宋体" w:cs="宋体"/>
          <w:b/>
          <w:color w:val="auto"/>
          <w:sz w:val="21"/>
          <w:szCs w:val="21"/>
          <w:highlight w:val="none"/>
        </w:rPr>
        <w:t>8. 投标语言和投标货币</w:t>
      </w:r>
      <w:bookmarkEnd w:id="55"/>
    </w:p>
    <w:p w14:paraId="3029B591">
      <w:pPr>
        <w:shd w:val="clear" w:color="auto" w:fill="auto"/>
        <w:spacing w:line="360" w:lineRule="auto"/>
        <w:ind w:firstLine="420" w:firstLineChars="200"/>
        <w:rPr>
          <w:rFonts w:hAnsi="宋体" w:cs="宋体"/>
          <w:b/>
          <w:color w:val="auto"/>
          <w:sz w:val="21"/>
          <w:szCs w:val="21"/>
          <w:highlight w:val="none"/>
        </w:rPr>
      </w:pPr>
      <w:r>
        <w:rPr>
          <w:rFonts w:hint="eastAsia" w:hAnsi="宋体" w:cs="宋体"/>
          <w:color w:val="auto"/>
          <w:sz w:val="21"/>
          <w:szCs w:val="21"/>
          <w:highlight w:val="none"/>
        </w:rPr>
        <w:t>8.1供应商提交的投标文件以及供应商与采购代理机构就有关投标的所有来往函电均应使用中文。</w:t>
      </w:r>
    </w:p>
    <w:p w14:paraId="037C0245">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8.2投标应以人民币报价。任何包含非人民币报价的投标将按无效投标处理。</w:t>
      </w:r>
    </w:p>
    <w:p w14:paraId="517688E7">
      <w:pPr>
        <w:shd w:val="clear" w:color="auto" w:fill="auto"/>
        <w:spacing w:line="360" w:lineRule="auto"/>
        <w:outlineLvl w:val="9"/>
        <w:rPr>
          <w:rFonts w:hAnsi="宋体" w:cs="宋体"/>
          <w:b/>
          <w:color w:val="auto"/>
          <w:sz w:val="21"/>
          <w:szCs w:val="21"/>
          <w:highlight w:val="none"/>
        </w:rPr>
      </w:pPr>
      <w:bookmarkStart w:id="56" w:name="_Toc15795"/>
      <w:r>
        <w:rPr>
          <w:rFonts w:hint="eastAsia" w:hAnsi="宋体" w:cs="宋体"/>
          <w:b/>
          <w:color w:val="auto"/>
          <w:sz w:val="21"/>
          <w:szCs w:val="21"/>
          <w:highlight w:val="none"/>
        </w:rPr>
        <w:t>9.投标文件的构成</w:t>
      </w:r>
      <w:bookmarkEnd w:id="56"/>
    </w:p>
    <w:p w14:paraId="0346768E">
      <w:pPr>
        <w:shd w:val="clear" w:color="auto" w:fill="auto"/>
        <w:spacing w:line="360" w:lineRule="auto"/>
        <w:ind w:firstLine="420" w:firstLineChars="200"/>
        <w:outlineLvl w:val="9"/>
        <w:rPr>
          <w:rFonts w:hAnsi="宋体" w:cs="宋体"/>
          <w:color w:val="auto"/>
          <w:sz w:val="21"/>
          <w:szCs w:val="21"/>
          <w:highlight w:val="none"/>
        </w:rPr>
      </w:pPr>
      <w:bookmarkStart w:id="57" w:name="_Toc1949"/>
      <w:r>
        <w:rPr>
          <w:rFonts w:hint="eastAsia" w:hAnsi="宋体" w:cs="宋体"/>
          <w:color w:val="auto"/>
          <w:sz w:val="21"/>
          <w:szCs w:val="21"/>
          <w:highlight w:val="none"/>
        </w:rPr>
        <w:t>9.1 供应商提交的投标文件应包括下列部分的内容：</w:t>
      </w:r>
      <w:bookmarkEnd w:id="57"/>
    </w:p>
    <w:p w14:paraId="28EA78B7">
      <w:pPr>
        <w:shd w:val="clear" w:color="auto" w:fill="auto"/>
        <w:spacing w:line="360" w:lineRule="auto"/>
        <w:ind w:firstLine="420" w:firstLineChars="200"/>
        <w:rPr>
          <w:rFonts w:hint="eastAsia" w:hAnsi="宋体" w:eastAsia="宋体" w:cs="宋体"/>
          <w:color w:val="auto"/>
          <w:sz w:val="21"/>
          <w:szCs w:val="21"/>
          <w:highlight w:val="none"/>
          <w:lang w:eastAsia="zh-CN"/>
        </w:rPr>
      </w:pPr>
      <w:r>
        <w:rPr>
          <w:rFonts w:hint="eastAsia" w:hAnsi="宋体" w:cs="宋体"/>
          <w:color w:val="auto"/>
          <w:sz w:val="21"/>
          <w:szCs w:val="21"/>
          <w:highlight w:val="none"/>
        </w:rPr>
        <w:t>（1）按照供应商须知的要求和招标文件规定的格式填写的投标函、投标报价表、法定代表人或负责人授权书</w:t>
      </w:r>
      <w:r>
        <w:rPr>
          <w:rFonts w:hint="eastAsia" w:hAnsi="宋体" w:cs="宋体"/>
          <w:color w:val="auto"/>
          <w:sz w:val="21"/>
          <w:szCs w:val="21"/>
          <w:highlight w:val="none"/>
          <w:lang w:eastAsia="zh-CN"/>
        </w:rPr>
        <w:t>；</w:t>
      </w:r>
    </w:p>
    <w:p w14:paraId="47945E73">
      <w:pPr>
        <w:shd w:val="clear" w:color="auto" w:fill="auto"/>
        <w:spacing w:line="360" w:lineRule="auto"/>
        <w:ind w:firstLine="420" w:firstLineChars="200"/>
        <w:rPr>
          <w:rFonts w:hint="eastAsia" w:hAnsi="宋体" w:eastAsia="宋体" w:cs="宋体"/>
          <w:color w:val="auto"/>
          <w:sz w:val="21"/>
          <w:szCs w:val="21"/>
          <w:highlight w:val="none"/>
          <w:lang w:eastAsia="zh-CN"/>
        </w:rPr>
      </w:pPr>
      <w:r>
        <w:rPr>
          <w:rFonts w:hint="eastAsia" w:hAnsi="宋体" w:cs="宋体"/>
          <w:color w:val="auto"/>
          <w:sz w:val="21"/>
          <w:szCs w:val="21"/>
          <w:highlight w:val="none"/>
        </w:rPr>
        <w:t>（2）按照招标文件的要求编制的投标方案说明书，内容至少应包括对本项目的所有服务内容的理解与认知，针对本项目具有详细的进度计划及服务方案，技术服务响应表，技术服务质量保证方案，技术服务成果说明以及相关的人员配备等</w:t>
      </w:r>
      <w:r>
        <w:rPr>
          <w:rFonts w:hint="eastAsia" w:hAnsi="宋体" w:cs="宋体"/>
          <w:color w:val="auto"/>
          <w:sz w:val="21"/>
          <w:szCs w:val="21"/>
          <w:highlight w:val="none"/>
          <w:lang w:eastAsia="zh-CN"/>
        </w:rPr>
        <w:t>；</w:t>
      </w:r>
    </w:p>
    <w:p w14:paraId="63618335">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 xml:space="preserve">（3）按照招标文件供应商须知前附表的要求提交的资格证明文件；  </w:t>
      </w:r>
    </w:p>
    <w:p w14:paraId="3EEEB1D9">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（4）按照本须知第14条要求提交的投标保证金；</w:t>
      </w:r>
    </w:p>
    <w:p w14:paraId="6D52F5CA">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（5）招标文件中要求的其他证明文件。</w:t>
      </w:r>
    </w:p>
    <w:p w14:paraId="7E86F631">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9.2 本项目各包不允许提供备选方案</w:t>
      </w:r>
      <w:r>
        <w:rPr>
          <w:rFonts w:hint="eastAsia" w:hAnsi="宋体" w:cs="宋体"/>
          <w:color w:val="auto"/>
          <w:sz w:val="21"/>
          <w:szCs w:val="21"/>
          <w:highlight w:val="none"/>
          <w:lang w:eastAsia="zh-CN"/>
        </w:rPr>
        <w:t>，</w:t>
      </w:r>
      <w:r>
        <w:rPr>
          <w:rFonts w:hint="eastAsia" w:hAnsi="宋体" w:cs="宋体"/>
          <w:color w:val="auto"/>
          <w:sz w:val="21"/>
          <w:szCs w:val="21"/>
          <w:highlight w:val="none"/>
        </w:rPr>
        <w:t>每个供应商只允许提交一个投标方案，否则，其投标将按照无效投标处理。</w:t>
      </w:r>
    </w:p>
    <w:p w14:paraId="1CE843C4">
      <w:pPr>
        <w:shd w:val="clear" w:color="auto" w:fill="auto"/>
        <w:spacing w:line="360" w:lineRule="auto"/>
        <w:ind w:firstLine="420" w:firstLineChars="200"/>
        <w:rPr>
          <w:rFonts w:hAnsi="宋体" w:cs="宋体"/>
          <w:b/>
          <w:bCs/>
          <w:color w:val="auto"/>
          <w:sz w:val="21"/>
          <w:szCs w:val="21"/>
          <w:highlight w:val="none"/>
        </w:rPr>
      </w:pPr>
      <w:r>
        <w:rPr>
          <w:rFonts w:hint="eastAsia" w:hAnsi="宋体" w:cs="宋体"/>
          <w:color w:val="auto"/>
          <w:sz w:val="21"/>
          <w:szCs w:val="21"/>
          <w:highlight w:val="none"/>
        </w:rPr>
        <w:t>9.3 供应商可根据自身的资质情况和经营范围进行投标，但不得将其子目自行分解或针对该项目中的品目进行不完全投标，任何不完全的投标将按无效投标处理。</w:t>
      </w:r>
    </w:p>
    <w:p w14:paraId="7FAFC8F5">
      <w:pPr>
        <w:shd w:val="clear" w:color="auto" w:fill="auto"/>
        <w:spacing w:line="360" w:lineRule="auto"/>
        <w:outlineLvl w:val="9"/>
        <w:rPr>
          <w:rFonts w:hAnsi="宋体" w:cs="宋体"/>
          <w:b/>
          <w:color w:val="auto"/>
          <w:sz w:val="21"/>
          <w:szCs w:val="21"/>
          <w:highlight w:val="none"/>
        </w:rPr>
      </w:pPr>
      <w:bookmarkStart w:id="58" w:name="_Toc10284"/>
      <w:r>
        <w:rPr>
          <w:rFonts w:hint="eastAsia" w:hAnsi="宋体" w:cs="宋体"/>
          <w:b/>
          <w:color w:val="auto"/>
          <w:sz w:val="21"/>
          <w:szCs w:val="21"/>
          <w:highlight w:val="none"/>
        </w:rPr>
        <w:t>10.投标文件格式</w:t>
      </w:r>
      <w:bookmarkEnd w:id="58"/>
    </w:p>
    <w:p w14:paraId="2273EB50">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10.1 供应商应按照招标文件中第六章所提供的格式和要求制作投标文件，明确表达投标意愿，详细说明投标方案、承诺及价格。</w:t>
      </w:r>
    </w:p>
    <w:p w14:paraId="58D4A4D4">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10.2按招标文件第9条的内容及要求和第六章提供的格式和要求编写其投标文件，供应商不得缺少或留空任何招标文件要求填写的表格或提交的资料。</w:t>
      </w:r>
    </w:p>
    <w:p w14:paraId="3890662C">
      <w:pPr>
        <w:shd w:val="clear" w:color="auto" w:fill="auto"/>
        <w:spacing w:line="360" w:lineRule="auto"/>
        <w:outlineLvl w:val="9"/>
        <w:rPr>
          <w:rFonts w:hAnsi="宋体" w:cs="宋体"/>
          <w:b/>
          <w:color w:val="auto"/>
          <w:sz w:val="21"/>
          <w:szCs w:val="21"/>
          <w:highlight w:val="none"/>
        </w:rPr>
      </w:pPr>
      <w:bookmarkStart w:id="59" w:name="_Toc11593"/>
      <w:r>
        <w:rPr>
          <w:rFonts w:hint="eastAsia" w:hAnsi="宋体" w:cs="宋体"/>
          <w:b/>
          <w:color w:val="auto"/>
          <w:sz w:val="21"/>
          <w:szCs w:val="21"/>
          <w:highlight w:val="none"/>
        </w:rPr>
        <w:t>11.投标报价</w:t>
      </w:r>
      <w:bookmarkEnd w:id="59"/>
    </w:p>
    <w:p w14:paraId="3B5A9FCE">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11.1投标人应在投标报价表中标明完成本次招标所要求的所有服务且验收合格的全部费用，</w:t>
      </w:r>
      <w:r>
        <w:rPr>
          <w:rFonts w:hint="eastAsia" w:hAnsi="宋体" w:cs="宋体"/>
          <w:color w:val="auto"/>
          <w:sz w:val="21"/>
          <w:szCs w:val="21"/>
          <w:highlight w:val="none"/>
          <w:lang w:val="en-US" w:eastAsia="zh-CN"/>
        </w:rPr>
        <w:t>包括但不限于人工费、制度编制费、培训费、交通 费、差旅费、食宿费、专家评审费、资料文件费、税金、招标代理费等其他一切相关费用。</w:t>
      </w:r>
      <w:r>
        <w:rPr>
          <w:rFonts w:hint="eastAsia" w:hAnsi="宋体" w:cs="宋体"/>
          <w:color w:val="auto"/>
          <w:sz w:val="21"/>
          <w:szCs w:val="21"/>
          <w:highlight w:val="none"/>
        </w:rPr>
        <w:t>投标报价表中标明本次服务的所有单项价格和总价，任何有选择的报价将不予接受，否则按无效投标处理。</w:t>
      </w:r>
    </w:p>
    <w:p w14:paraId="04FAA9D1">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11.2投标报价表中标明的价格应为履行合同的固定价格。</w:t>
      </w:r>
    </w:p>
    <w:p w14:paraId="161CF840">
      <w:pPr>
        <w:shd w:val="clear" w:color="auto" w:fill="auto"/>
        <w:spacing w:line="360" w:lineRule="auto"/>
        <w:ind w:right="617" w:rightChars="257" w:firstLine="420" w:firstLineChars="200"/>
        <w:rPr>
          <w:rFonts w:hAnsi="宋体" w:cs="宋体"/>
          <w:color w:val="auto"/>
          <w:sz w:val="21"/>
          <w:szCs w:val="21"/>
          <w:highlight w:val="none"/>
        </w:rPr>
      </w:pPr>
      <w:r>
        <w:rPr>
          <w:rFonts w:hint="eastAsia" w:hAnsi="宋体" w:cs="宋体"/>
          <w:color w:val="auto"/>
          <w:sz w:val="21"/>
          <w:szCs w:val="21"/>
          <w:highlight w:val="none"/>
        </w:rPr>
        <w:t>11.3投标报价：总价（精确到小数点后</w:t>
      </w:r>
      <w:r>
        <w:rPr>
          <w:rFonts w:hint="eastAsia" w:hAnsi="宋体" w:cs="宋体"/>
          <w:color w:val="auto"/>
          <w:sz w:val="21"/>
          <w:szCs w:val="21"/>
          <w:highlight w:val="none"/>
          <w:lang w:val="en-US" w:eastAsia="zh-CN"/>
        </w:rPr>
        <w:t>两</w:t>
      </w:r>
      <w:r>
        <w:rPr>
          <w:rFonts w:hint="eastAsia" w:hAnsi="宋体" w:cs="宋体"/>
          <w:color w:val="auto"/>
          <w:sz w:val="21"/>
          <w:szCs w:val="21"/>
          <w:highlight w:val="none"/>
        </w:rPr>
        <w:t>位）。</w:t>
      </w:r>
    </w:p>
    <w:p w14:paraId="5268D9AC">
      <w:pPr>
        <w:shd w:val="clear" w:color="auto" w:fill="auto"/>
        <w:spacing w:line="360" w:lineRule="auto"/>
        <w:outlineLvl w:val="9"/>
        <w:rPr>
          <w:rFonts w:hAnsi="宋体" w:cs="宋体"/>
          <w:b/>
          <w:color w:val="auto"/>
          <w:sz w:val="21"/>
          <w:szCs w:val="21"/>
          <w:highlight w:val="none"/>
        </w:rPr>
      </w:pPr>
      <w:bookmarkStart w:id="60" w:name="_Toc1155"/>
      <w:r>
        <w:rPr>
          <w:rFonts w:hint="eastAsia" w:hAnsi="宋体" w:cs="宋体"/>
          <w:b/>
          <w:color w:val="auto"/>
          <w:sz w:val="21"/>
          <w:szCs w:val="21"/>
          <w:highlight w:val="none"/>
        </w:rPr>
        <w:t>12.证明供应商合格和资格的文件</w:t>
      </w:r>
      <w:bookmarkEnd w:id="60"/>
    </w:p>
    <w:p w14:paraId="3FD9CED3">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12.1供应商应按照招标文件“投标人须知前附表”的要求，在投标文件中提交合格的资格证明文件。如果资格证明文件不齐全或不合格的，其投标将按无效投标处理。</w:t>
      </w:r>
    </w:p>
    <w:p w14:paraId="3DF5213C">
      <w:pPr>
        <w:shd w:val="clear" w:color="auto" w:fill="auto"/>
        <w:spacing w:line="360" w:lineRule="auto"/>
        <w:outlineLvl w:val="9"/>
        <w:rPr>
          <w:rFonts w:hAnsi="宋体" w:cs="宋体"/>
          <w:color w:val="auto"/>
          <w:sz w:val="21"/>
          <w:szCs w:val="21"/>
          <w:highlight w:val="none"/>
        </w:rPr>
      </w:pPr>
      <w:bookmarkStart w:id="61" w:name="_Toc14928"/>
      <w:r>
        <w:rPr>
          <w:rFonts w:hint="eastAsia" w:hAnsi="宋体" w:cs="宋体"/>
          <w:b/>
          <w:color w:val="auto"/>
          <w:sz w:val="21"/>
          <w:szCs w:val="21"/>
          <w:highlight w:val="none"/>
        </w:rPr>
        <w:t>13.证明所提供的服务符合招标文件规定的文件</w:t>
      </w:r>
      <w:bookmarkEnd w:id="61"/>
    </w:p>
    <w:p w14:paraId="29F678E4">
      <w:pPr>
        <w:shd w:val="clear" w:color="auto" w:fill="auto"/>
        <w:spacing w:line="360" w:lineRule="auto"/>
        <w:ind w:firstLine="420" w:firstLineChars="200"/>
        <w:rPr>
          <w:rFonts w:hAnsi="宋体" w:cs="宋体"/>
          <w:color w:val="auto"/>
          <w:sz w:val="21"/>
          <w:szCs w:val="21"/>
          <w:highlight w:val="none"/>
        </w:rPr>
      </w:pPr>
      <w:r>
        <w:rPr>
          <w:rFonts w:hAnsi="宋体" w:cs="宋体"/>
          <w:color w:val="auto"/>
          <w:sz w:val="21"/>
          <w:szCs w:val="21"/>
          <w:highlight w:val="none"/>
        </w:rPr>
        <w:t>1</w:t>
      </w:r>
      <w:r>
        <w:rPr>
          <w:rFonts w:hint="eastAsia" w:hAnsi="宋体" w:cs="宋体"/>
          <w:color w:val="auto"/>
          <w:sz w:val="21"/>
          <w:szCs w:val="21"/>
          <w:highlight w:val="none"/>
          <w:lang w:val="en-US" w:eastAsia="zh-CN"/>
        </w:rPr>
        <w:t>3</w:t>
      </w:r>
      <w:r>
        <w:rPr>
          <w:rFonts w:hAnsi="宋体" w:cs="宋体"/>
          <w:color w:val="auto"/>
          <w:sz w:val="21"/>
          <w:szCs w:val="21"/>
          <w:highlight w:val="none"/>
        </w:rPr>
        <w:t>.1</w:t>
      </w:r>
      <w:r>
        <w:rPr>
          <w:rFonts w:hint="eastAsia" w:hAnsi="宋体" w:cs="宋体"/>
          <w:color w:val="auto"/>
          <w:sz w:val="21"/>
          <w:szCs w:val="21"/>
          <w:highlight w:val="none"/>
        </w:rPr>
        <w:t>供应商应在投标文件中提交产品和服务满足招标文件要求并符合国家法律法规、行业管理部门要求的其他强制性标准的证明文件。缺少证明文件或证明文件不合格的投标，与招标文件要求有重大偏离的投标，不符合国家法律法规、行业管理部门要求的其他强制性标准的投标将按无效投标处理。</w:t>
      </w:r>
    </w:p>
    <w:p w14:paraId="672CF8CB">
      <w:pPr>
        <w:shd w:val="clear" w:color="auto" w:fill="auto"/>
        <w:spacing w:line="360" w:lineRule="auto"/>
        <w:ind w:firstLine="420" w:firstLineChars="200"/>
        <w:rPr>
          <w:rFonts w:hAnsi="宋体" w:cs="宋体"/>
          <w:color w:val="auto"/>
          <w:sz w:val="21"/>
          <w:szCs w:val="21"/>
          <w:highlight w:val="none"/>
        </w:rPr>
      </w:pPr>
      <w:r>
        <w:rPr>
          <w:rFonts w:hAnsi="宋体" w:cs="宋体"/>
          <w:color w:val="auto"/>
          <w:sz w:val="21"/>
          <w:szCs w:val="21"/>
          <w:highlight w:val="none"/>
        </w:rPr>
        <w:t>1</w:t>
      </w:r>
      <w:r>
        <w:rPr>
          <w:rFonts w:hint="eastAsia" w:hAnsi="宋体" w:cs="宋体"/>
          <w:color w:val="auto"/>
          <w:sz w:val="21"/>
          <w:szCs w:val="21"/>
          <w:highlight w:val="none"/>
          <w:lang w:val="en-US" w:eastAsia="zh-CN"/>
        </w:rPr>
        <w:t>3</w:t>
      </w:r>
      <w:r>
        <w:rPr>
          <w:rFonts w:hAnsi="宋体" w:cs="宋体"/>
          <w:color w:val="auto"/>
          <w:sz w:val="21"/>
          <w:szCs w:val="21"/>
          <w:highlight w:val="none"/>
        </w:rPr>
        <w:t>.2</w:t>
      </w:r>
      <w:r>
        <w:rPr>
          <w:rFonts w:hint="eastAsia" w:hAnsi="宋体" w:cs="宋体"/>
          <w:color w:val="auto"/>
          <w:sz w:val="21"/>
          <w:szCs w:val="21"/>
          <w:highlight w:val="none"/>
        </w:rPr>
        <w:t>上述证明文件可以是文字资料、图纸、图片、数据、宣传彩页等，所有证明文件表达意思必须统一（如需供应商提供样品，样品必须与投标文件的表述完全符合）。包括：</w:t>
      </w:r>
    </w:p>
    <w:p w14:paraId="7A2AB252">
      <w:pPr>
        <w:shd w:val="clear" w:color="auto" w:fill="auto"/>
        <w:spacing w:line="360" w:lineRule="auto"/>
        <w:ind w:firstLine="420" w:firstLineChars="200"/>
        <w:outlineLvl w:val="9"/>
        <w:rPr>
          <w:rFonts w:hAnsi="宋体" w:cs="宋体"/>
          <w:color w:val="auto"/>
          <w:sz w:val="21"/>
          <w:szCs w:val="21"/>
          <w:highlight w:val="none"/>
        </w:rPr>
      </w:pPr>
      <w:bookmarkStart w:id="62" w:name="_Toc22763"/>
      <w:r>
        <w:rPr>
          <w:rFonts w:hint="eastAsia" w:hAnsi="宋体" w:cs="宋体"/>
          <w:color w:val="auto"/>
          <w:sz w:val="21"/>
          <w:szCs w:val="21"/>
          <w:highlight w:val="none"/>
        </w:rPr>
        <w:t>（</w:t>
      </w:r>
      <w:r>
        <w:rPr>
          <w:rFonts w:hAnsi="宋体" w:cs="宋体"/>
          <w:color w:val="auto"/>
          <w:sz w:val="21"/>
          <w:szCs w:val="21"/>
          <w:highlight w:val="none"/>
        </w:rPr>
        <w:t>1)</w:t>
      </w:r>
      <w:r>
        <w:rPr>
          <w:rFonts w:hint="eastAsia" w:hAnsi="宋体" w:cs="宋体"/>
          <w:color w:val="auto"/>
          <w:sz w:val="21"/>
          <w:szCs w:val="21"/>
          <w:highlight w:val="none"/>
        </w:rPr>
        <w:t>产品主要技术指标和性能的详细说明；</w:t>
      </w:r>
      <w:bookmarkEnd w:id="62"/>
    </w:p>
    <w:p w14:paraId="5609D5C4">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w:t>
      </w:r>
      <w:r>
        <w:rPr>
          <w:rFonts w:hAnsi="宋体" w:cs="宋体"/>
          <w:color w:val="auto"/>
          <w:sz w:val="21"/>
          <w:szCs w:val="21"/>
          <w:highlight w:val="none"/>
        </w:rPr>
        <w:t>2</w:t>
      </w:r>
      <w:r>
        <w:rPr>
          <w:rFonts w:hint="eastAsia" w:hAnsi="宋体" w:cs="宋体"/>
          <w:color w:val="auto"/>
          <w:sz w:val="21"/>
          <w:szCs w:val="21"/>
          <w:highlight w:val="none"/>
        </w:rPr>
        <w:t>）生产厂家出具的、相应的产品功能证明材料（包括但不限于测试报告、官网和功能截图等）；</w:t>
      </w:r>
    </w:p>
    <w:p w14:paraId="5A1ABA3D">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w:t>
      </w:r>
      <w:r>
        <w:rPr>
          <w:rFonts w:hAnsi="宋体" w:cs="宋体"/>
          <w:color w:val="auto"/>
          <w:sz w:val="21"/>
          <w:szCs w:val="21"/>
          <w:highlight w:val="none"/>
        </w:rPr>
        <w:t>3)</w:t>
      </w:r>
      <w:r>
        <w:rPr>
          <w:rFonts w:hint="eastAsia" w:hAnsi="宋体" w:cs="宋体"/>
          <w:color w:val="auto"/>
          <w:sz w:val="21"/>
          <w:szCs w:val="21"/>
          <w:highlight w:val="none"/>
        </w:rPr>
        <w:t>逐条对招标文件提出的技术要求和商务要求进行应答，说明所提供的产品和服务对招标的技术和商务要求是否做出了实质性响应并提供支持文件；</w:t>
      </w:r>
    </w:p>
    <w:p w14:paraId="5BEE187A">
      <w:pPr>
        <w:shd w:val="clear" w:color="auto" w:fill="auto"/>
        <w:spacing w:line="360" w:lineRule="auto"/>
        <w:ind w:firstLine="420" w:firstLineChars="200"/>
        <w:outlineLvl w:val="9"/>
        <w:rPr>
          <w:rFonts w:hAnsi="宋体" w:cs="宋体"/>
          <w:color w:val="auto"/>
          <w:sz w:val="21"/>
          <w:szCs w:val="21"/>
          <w:highlight w:val="none"/>
        </w:rPr>
      </w:pPr>
      <w:bookmarkStart w:id="63" w:name="_Toc9669"/>
      <w:r>
        <w:rPr>
          <w:rFonts w:hint="eastAsia" w:hAnsi="宋体" w:cs="宋体"/>
          <w:color w:val="auto"/>
          <w:sz w:val="21"/>
          <w:szCs w:val="21"/>
          <w:highlight w:val="none"/>
        </w:rPr>
        <w:t>（</w:t>
      </w:r>
      <w:r>
        <w:rPr>
          <w:rFonts w:hAnsi="宋体" w:cs="宋体"/>
          <w:color w:val="auto"/>
          <w:sz w:val="21"/>
          <w:szCs w:val="21"/>
          <w:highlight w:val="none"/>
        </w:rPr>
        <w:t>4</w:t>
      </w:r>
      <w:r>
        <w:rPr>
          <w:rFonts w:hint="eastAsia" w:hAnsi="宋体" w:cs="宋体"/>
          <w:color w:val="auto"/>
          <w:sz w:val="21"/>
          <w:szCs w:val="21"/>
          <w:highlight w:val="none"/>
        </w:rPr>
        <w:t>）供货范围和服务内容的详细说明。</w:t>
      </w:r>
      <w:bookmarkEnd w:id="63"/>
    </w:p>
    <w:p w14:paraId="4B581A0D">
      <w:pPr>
        <w:shd w:val="clear" w:color="auto" w:fill="auto"/>
        <w:spacing w:line="360" w:lineRule="auto"/>
        <w:rPr>
          <w:rFonts w:hAnsi="宋体" w:cs="宋体"/>
          <w:color w:val="auto"/>
          <w:sz w:val="21"/>
          <w:szCs w:val="21"/>
          <w:highlight w:val="none"/>
        </w:rPr>
      </w:pPr>
      <w:r>
        <w:rPr>
          <w:rFonts w:hint="eastAsia" w:hAnsi="宋体" w:cs="宋体"/>
          <w:b/>
          <w:color w:val="auto"/>
          <w:sz w:val="21"/>
          <w:szCs w:val="21"/>
          <w:highlight w:val="none"/>
        </w:rPr>
        <w:t>14.投标保证金</w:t>
      </w:r>
      <w:r>
        <w:rPr>
          <w:rFonts w:hint="eastAsia" w:hAnsi="宋体" w:cs="宋体"/>
          <w:color w:val="auto"/>
          <w:sz w:val="21"/>
          <w:szCs w:val="21"/>
          <w:highlight w:val="none"/>
        </w:rPr>
        <w:t>：</w:t>
      </w:r>
      <w:r>
        <w:rPr>
          <w:rFonts w:hint="eastAsia" w:hAnsi="宋体" w:cs="宋体"/>
          <w:color w:val="auto"/>
          <w:sz w:val="21"/>
          <w:szCs w:val="21"/>
          <w:highlight w:val="none"/>
          <w:lang w:eastAsia="zh-CN"/>
        </w:rPr>
        <w:t>本项目各包不缴纳投标保证金</w:t>
      </w:r>
      <w:r>
        <w:rPr>
          <w:rFonts w:hint="eastAsia" w:hAnsi="宋体" w:cs="宋体"/>
          <w:color w:val="auto"/>
          <w:sz w:val="21"/>
          <w:szCs w:val="21"/>
          <w:highlight w:val="none"/>
        </w:rPr>
        <w:t>。</w:t>
      </w:r>
    </w:p>
    <w:p w14:paraId="62E33002">
      <w:pPr>
        <w:shd w:val="clear" w:color="auto" w:fill="auto"/>
        <w:spacing w:line="360" w:lineRule="auto"/>
        <w:rPr>
          <w:rFonts w:hAnsi="宋体" w:cs="宋体"/>
          <w:b/>
          <w:color w:val="auto"/>
          <w:sz w:val="21"/>
          <w:szCs w:val="21"/>
          <w:highlight w:val="none"/>
        </w:rPr>
      </w:pPr>
      <w:r>
        <w:rPr>
          <w:rFonts w:hint="eastAsia" w:hAnsi="宋体" w:cs="宋体"/>
          <w:b/>
          <w:color w:val="auto"/>
          <w:sz w:val="21"/>
          <w:szCs w:val="21"/>
          <w:highlight w:val="none"/>
        </w:rPr>
        <w:t>15.投标有效期</w:t>
      </w:r>
    </w:p>
    <w:p w14:paraId="2DC936F8">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15.1投标有效期从递交投标文件的截止之日起90天。投标文件应在投标有效期内保持有效。投标有效期不满足规定有效期的投标文件将被视为无效投标而拒绝。</w:t>
      </w:r>
    </w:p>
    <w:p w14:paraId="5D3BD02A">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15.2特殊情况下，在原投标有效期期满之前，采购代理机构可向供应商提出延长投标有效期的要求。这种要求与答复均应以书面的形式。供应商可以拒绝采购代理机构的这种要求,其投标保证金也不被没收。同意延长的供应商既不能要求也不允许修改其投标文件。</w:t>
      </w:r>
    </w:p>
    <w:p w14:paraId="749D5CE6">
      <w:pPr>
        <w:numPr>
          <w:ilvl w:val="0"/>
          <w:numId w:val="3"/>
        </w:numPr>
        <w:shd w:val="clear" w:color="auto" w:fill="auto"/>
        <w:spacing w:line="360" w:lineRule="auto"/>
        <w:outlineLvl w:val="9"/>
        <w:rPr>
          <w:rFonts w:hAnsi="宋体" w:cs="宋体"/>
          <w:b/>
          <w:color w:val="auto"/>
          <w:sz w:val="21"/>
          <w:szCs w:val="21"/>
          <w:highlight w:val="none"/>
        </w:rPr>
      </w:pPr>
      <w:bookmarkStart w:id="64" w:name="_Toc19244"/>
      <w:r>
        <w:rPr>
          <w:rFonts w:hint="eastAsia" w:hAnsi="宋体" w:cs="宋体"/>
          <w:b/>
          <w:color w:val="auto"/>
          <w:sz w:val="21"/>
          <w:szCs w:val="21"/>
          <w:highlight w:val="none"/>
        </w:rPr>
        <w:t>投标文件的式样和签署</w:t>
      </w:r>
      <w:bookmarkEnd w:id="64"/>
    </w:p>
    <w:p w14:paraId="33B8BB12">
      <w:pPr>
        <w:shd w:val="clear" w:color="auto" w:fill="auto"/>
        <w:spacing w:line="360" w:lineRule="auto"/>
        <w:ind w:firstLine="420" w:firstLineChars="200"/>
        <w:rPr>
          <w:rFonts w:hint="eastAsia" w:ascii="宋体" w:hAnsi="宋体" w:eastAsia="宋体" w:cs="宋体"/>
          <w:color w:val="auto"/>
          <w:sz w:val="21"/>
          <w:szCs w:val="21"/>
          <w:highlight w:val="none"/>
        </w:rPr>
      </w:pPr>
      <w:bookmarkStart w:id="65" w:name="_Toc403077642"/>
      <w:bookmarkStart w:id="66" w:name="_Toc363474020"/>
      <w:bookmarkStart w:id="67" w:name="_Toc363473975"/>
      <w:r>
        <w:rPr>
          <w:rFonts w:hint="eastAsia" w:ascii="宋体" w:hAnsi="宋体" w:eastAsia="宋体" w:cs="宋体"/>
          <w:color w:val="auto"/>
          <w:sz w:val="21"/>
          <w:szCs w:val="21"/>
          <w:highlight w:val="none"/>
        </w:rPr>
        <w:t>为确保采购项目顺利开展，本项目采用电子投标文件的方式进行。供应商在投标时须提供电子投标文件（*.SXSTF））。编制电子投标文件时，应使用最新发布的电子招标文件及专用制作工具进行编制。并使用数字认证证书（CA）对电子投标文件进行签署、加密、递交及开标时解密等相关操作。</w:t>
      </w:r>
    </w:p>
    <w:p w14:paraId="47697D5D">
      <w:pPr>
        <w:shd w:val="clear" w:color="auto" w:fill="auto"/>
        <w:spacing w:line="360" w:lineRule="auto"/>
        <w:ind w:firstLine="420" w:firstLineChars="200"/>
        <w:outlineLvl w:val="9"/>
        <w:rPr>
          <w:rFonts w:hint="eastAsia" w:ascii="宋体" w:hAnsi="宋体" w:eastAsia="宋体" w:cs="宋体"/>
          <w:color w:val="auto"/>
          <w:sz w:val="21"/>
          <w:szCs w:val="21"/>
          <w:highlight w:val="none"/>
        </w:rPr>
      </w:pPr>
      <w:bookmarkStart w:id="68" w:name="_Toc25924"/>
      <w:r>
        <w:rPr>
          <w:rFonts w:hint="eastAsia" w:ascii="宋体" w:hAnsi="宋体" w:eastAsia="宋体" w:cs="宋体"/>
          <w:color w:val="auto"/>
          <w:sz w:val="21"/>
          <w:szCs w:val="21"/>
          <w:highlight w:val="none"/>
        </w:rPr>
        <w:t>（1）电子招标文件下载</w:t>
      </w:r>
      <w:bookmarkEnd w:id="68"/>
    </w:p>
    <w:p w14:paraId="061ECC2A">
      <w:pPr>
        <w:shd w:val="clear" w:color="auto" w:fill="auto"/>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登录全国公共资源交易平台（陕西省）网站[电子交易平台-企业端]后，在[我的项目]中点击“项目流程-交易文件下载”下载电子招标文件（*.SXSZF）；投标供应商须在投标文件发售截止日期前登录电子交易平台下载招标文件，否则责任自负；</w:t>
      </w:r>
    </w:p>
    <w:p w14:paraId="4837A272">
      <w:pPr>
        <w:shd w:val="clear" w:color="auto" w:fill="auto"/>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特别注意：</w:t>
      </w:r>
    </w:p>
    <w:p w14:paraId="38399D45">
      <w:pPr>
        <w:shd w:val="clear" w:color="auto" w:fill="auto"/>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该项目如有变更文件，则应点击“项目流程&gt;答疑文件下载”下载更新后的电子招标文件（*.SXSCF），使用旧版电子招标文件制作的电子投标文件，系统将拒绝接收。</w:t>
      </w:r>
    </w:p>
    <w:p w14:paraId="27F71694">
      <w:pPr>
        <w:shd w:val="clear" w:color="auto" w:fill="auto"/>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子招标文件需要使用专用软件打开、浏览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册》；</w:t>
      </w:r>
    </w:p>
    <w:p w14:paraId="3E60CC43">
      <w:pPr>
        <w:shd w:val="clear" w:color="auto" w:fill="auto"/>
        <w:spacing w:line="360" w:lineRule="auto"/>
        <w:ind w:firstLine="420" w:firstLineChars="200"/>
        <w:outlineLvl w:val="9"/>
        <w:rPr>
          <w:rFonts w:hint="eastAsia" w:ascii="宋体" w:hAnsi="宋体" w:eastAsia="宋体" w:cs="宋体"/>
          <w:color w:val="auto"/>
          <w:sz w:val="21"/>
          <w:szCs w:val="21"/>
          <w:highlight w:val="none"/>
        </w:rPr>
      </w:pPr>
      <w:bookmarkStart w:id="69" w:name="_Toc11649"/>
      <w:r>
        <w:rPr>
          <w:rFonts w:hint="eastAsia" w:ascii="宋体" w:hAnsi="宋体" w:eastAsia="宋体" w:cs="宋体"/>
          <w:color w:val="auto"/>
          <w:sz w:val="21"/>
          <w:szCs w:val="21"/>
          <w:highlight w:val="none"/>
        </w:rPr>
        <w:t>（3）制作电子投标文件</w:t>
      </w:r>
      <w:bookmarkEnd w:id="69"/>
    </w:p>
    <w:p w14:paraId="677C205E">
      <w:pPr>
        <w:shd w:val="clear" w:color="auto" w:fill="auto"/>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电子投标文件同样需要使用上述软件进行编制。在编制过程中，如有技术性问题，请先翻阅操作手册或致电软件开发商，技术支持热线：4009280095、4009980000。</w:t>
      </w:r>
    </w:p>
    <w:p w14:paraId="339DC784">
      <w:pPr>
        <w:shd w:val="clear" w:color="auto" w:fill="auto"/>
        <w:spacing w:before="333" w:beforeLines="100" w:after="333" w:afterLines="100" w:line="360" w:lineRule="auto"/>
        <w:jc w:val="center"/>
        <w:rPr>
          <w:rFonts w:hAnsi="宋体" w:cs="宋体"/>
          <w:b/>
          <w:color w:val="auto"/>
          <w:sz w:val="24"/>
          <w:szCs w:val="24"/>
          <w:highlight w:val="none"/>
        </w:rPr>
      </w:pPr>
      <w:r>
        <w:rPr>
          <w:rFonts w:hint="eastAsia" w:hAnsi="宋体" w:cs="宋体"/>
          <w:b/>
          <w:color w:val="auto"/>
          <w:sz w:val="24"/>
          <w:szCs w:val="24"/>
          <w:highlight w:val="none"/>
        </w:rPr>
        <w:t>四.投标文件的递交</w:t>
      </w:r>
      <w:bookmarkEnd w:id="65"/>
      <w:bookmarkEnd w:id="66"/>
      <w:bookmarkEnd w:id="67"/>
    </w:p>
    <w:p w14:paraId="22C10110">
      <w:pPr>
        <w:shd w:val="clear" w:color="auto" w:fill="auto"/>
        <w:spacing w:line="360" w:lineRule="auto"/>
        <w:rPr>
          <w:rFonts w:hint="eastAsia" w:hAnsi="宋体" w:cs="宋体"/>
          <w:b/>
          <w:color w:val="auto"/>
          <w:sz w:val="21"/>
          <w:szCs w:val="21"/>
          <w:highlight w:val="none"/>
          <w:lang w:val="en-US" w:eastAsia="zh-CN"/>
        </w:rPr>
      </w:pPr>
      <w:r>
        <w:rPr>
          <w:rFonts w:hint="eastAsia" w:hAnsi="宋体" w:cs="宋体"/>
          <w:b/>
          <w:color w:val="auto"/>
          <w:sz w:val="21"/>
          <w:szCs w:val="21"/>
          <w:highlight w:val="none"/>
        </w:rPr>
        <w:t>17.投标文件的密封和标记</w:t>
      </w:r>
      <w:r>
        <w:rPr>
          <w:rFonts w:hint="eastAsia" w:hAnsi="宋体" w:cs="宋体"/>
          <w:b/>
          <w:color w:val="auto"/>
          <w:sz w:val="21"/>
          <w:szCs w:val="21"/>
          <w:highlight w:val="none"/>
          <w:lang w:val="en-US" w:eastAsia="zh-CN"/>
        </w:rPr>
        <w:t>:详见投标人须知前附表</w:t>
      </w:r>
    </w:p>
    <w:p w14:paraId="1F95F19E">
      <w:pPr>
        <w:shd w:val="clear" w:color="auto" w:fill="auto"/>
        <w:spacing w:line="360" w:lineRule="auto"/>
        <w:rPr>
          <w:rFonts w:hint="eastAsia" w:hAnsi="宋体" w:eastAsia="宋体" w:cs="宋体"/>
          <w:b/>
          <w:color w:val="auto"/>
          <w:sz w:val="21"/>
          <w:szCs w:val="21"/>
          <w:highlight w:val="none"/>
          <w:lang w:eastAsia="zh-CN"/>
        </w:rPr>
      </w:pPr>
      <w:r>
        <w:rPr>
          <w:rFonts w:hint="eastAsia" w:hAnsi="宋体" w:cs="宋体"/>
          <w:b/>
          <w:color w:val="auto"/>
          <w:sz w:val="21"/>
          <w:szCs w:val="21"/>
          <w:highlight w:val="none"/>
        </w:rPr>
        <w:t>18．投标文件的递交</w:t>
      </w:r>
      <w:r>
        <w:rPr>
          <w:rFonts w:hint="eastAsia" w:hAnsi="宋体" w:cs="宋体"/>
          <w:b/>
          <w:color w:val="auto"/>
          <w:sz w:val="21"/>
          <w:szCs w:val="21"/>
          <w:highlight w:val="none"/>
          <w:lang w:eastAsia="zh-CN"/>
        </w:rPr>
        <w:t>：</w:t>
      </w:r>
      <w:r>
        <w:rPr>
          <w:rFonts w:hint="eastAsia" w:ascii="宋体" w:hAnsi="宋体" w:eastAsia="宋体" w:cs="宋体"/>
          <w:sz w:val="21"/>
          <w:szCs w:val="21"/>
          <w:highlight w:val="none"/>
        </w:rPr>
        <w:t>全</w:t>
      </w:r>
      <w:r>
        <w:rPr>
          <w:rFonts w:hint="eastAsia" w:ascii="宋体" w:hAnsi="宋体" w:eastAsia="宋体" w:cs="宋体"/>
          <w:sz w:val="21"/>
          <w:szCs w:val="21"/>
        </w:rPr>
        <w:t>国公共资源交易平台（陕西省·延安市）网站【首页电子交易平台〉陕西政府采购交易系统〉企业端】在线提交</w:t>
      </w:r>
      <w:r>
        <w:rPr>
          <w:rFonts w:hint="eastAsia" w:ascii="宋体" w:hAnsi="宋体" w:eastAsia="宋体" w:cs="宋体"/>
          <w:sz w:val="21"/>
          <w:szCs w:val="21"/>
          <w:highlight w:val="none"/>
        </w:rPr>
        <w:t>及延安市公共资源交易中心交易五厅</w:t>
      </w:r>
    </w:p>
    <w:p w14:paraId="607A5A21">
      <w:pPr>
        <w:shd w:val="clear" w:color="auto" w:fill="auto"/>
        <w:spacing w:line="360" w:lineRule="auto"/>
        <w:outlineLvl w:val="9"/>
        <w:rPr>
          <w:rFonts w:hAnsi="宋体" w:cs="宋体"/>
          <w:b/>
          <w:color w:val="auto"/>
          <w:sz w:val="21"/>
          <w:szCs w:val="21"/>
          <w:highlight w:val="none"/>
        </w:rPr>
      </w:pPr>
      <w:bookmarkStart w:id="70" w:name="_Toc12525"/>
      <w:r>
        <w:rPr>
          <w:rFonts w:hint="eastAsia" w:hAnsi="宋体" w:cs="宋体"/>
          <w:b/>
          <w:color w:val="auto"/>
          <w:sz w:val="21"/>
          <w:szCs w:val="21"/>
          <w:highlight w:val="none"/>
        </w:rPr>
        <w:t>19．迟交的投标文件</w:t>
      </w:r>
      <w:bookmarkEnd w:id="70"/>
    </w:p>
    <w:p w14:paraId="7473BDBC">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19.1按照招标文件的规定，在递交投标文件的截止时间之后送达的投标文件，为无效投标文件，采购代理机构将拒绝接收。</w:t>
      </w:r>
    </w:p>
    <w:p w14:paraId="69CE229A">
      <w:pPr>
        <w:shd w:val="clear" w:color="auto" w:fill="auto"/>
        <w:spacing w:line="360" w:lineRule="auto"/>
        <w:outlineLvl w:val="9"/>
        <w:rPr>
          <w:rFonts w:hAnsi="宋体" w:cs="宋体"/>
          <w:b/>
          <w:color w:val="auto"/>
          <w:sz w:val="21"/>
          <w:szCs w:val="21"/>
          <w:highlight w:val="none"/>
        </w:rPr>
      </w:pPr>
      <w:bookmarkStart w:id="71" w:name="_Toc29488"/>
      <w:r>
        <w:rPr>
          <w:rFonts w:hint="eastAsia" w:hAnsi="宋体" w:cs="宋体"/>
          <w:b/>
          <w:color w:val="auto"/>
          <w:sz w:val="21"/>
          <w:szCs w:val="21"/>
          <w:highlight w:val="none"/>
        </w:rPr>
        <w:t>20．投标的修改与撤回</w:t>
      </w:r>
      <w:bookmarkEnd w:id="71"/>
    </w:p>
    <w:p w14:paraId="26CCF452">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20.1 供应商在递交投标文件后，可以修改或撤回其投标文件，也可以提出价格变动声明，但供应商必须在规定的投标文件递交截止时间之前将修改或撤回或变动价格的书面通知文件递交到采购代理机构。</w:t>
      </w:r>
    </w:p>
    <w:p w14:paraId="76F136B2">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20.2 供应商的修改或撤回或变动价格的通知应按本须知第17条的规定编制、密封、标记和递交。</w:t>
      </w:r>
    </w:p>
    <w:p w14:paraId="6AB8F227">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20.3 在投标文件递交截止时间之后，供应商不得对其投标做任何修改或撤回。</w:t>
      </w:r>
    </w:p>
    <w:p w14:paraId="391B3799">
      <w:pPr>
        <w:shd w:val="clear" w:color="auto" w:fill="auto"/>
        <w:spacing w:line="360" w:lineRule="auto"/>
        <w:jc w:val="center"/>
        <w:outlineLvl w:val="9"/>
        <w:rPr>
          <w:rFonts w:hAnsi="宋体" w:cs="宋体"/>
          <w:b/>
          <w:color w:val="auto"/>
          <w:sz w:val="24"/>
          <w:szCs w:val="24"/>
          <w:highlight w:val="none"/>
        </w:rPr>
      </w:pPr>
      <w:bookmarkStart w:id="72" w:name="_Toc363474021"/>
      <w:bookmarkStart w:id="73" w:name="_Toc403077643"/>
      <w:bookmarkStart w:id="74" w:name="_Toc25605"/>
      <w:bookmarkStart w:id="75" w:name="_Toc363473976"/>
      <w:r>
        <w:rPr>
          <w:rFonts w:hint="eastAsia" w:hAnsi="宋体" w:cs="宋体"/>
          <w:b/>
          <w:color w:val="auto"/>
          <w:sz w:val="24"/>
          <w:szCs w:val="24"/>
          <w:highlight w:val="none"/>
        </w:rPr>
        <w:t>五.开标与评标</w:t>
      </w:r>
      <w:bookmarkEnd w:id="72"/>
      <w:bookmarkEnd w:id="73"/>
      <w:bookmarkEnd w:id="74"/>
      <w:bookmarkEnd w:id="75"/>
    </w:p>
    <w:p w14:paraId="61E7109C">
      <w:pPr>
        <w:shd w:val="clear" w:color="auto" w:fill="auto"/>
        <w:spacing w:line="360" w:lineRule="auto"/>
        <w:outlineLvl w:val="9"/>
        <w:rPr>
          <w:rFonts w:hAnsi="宋体" w:cs="宋体"/>
          <w:b/>
          <w:color w:val="auto"/>
          <w:sz w:val="21"/>
          <w:szCs w:val="21"/>
          <w:highlight w:val="none"/>
        </w:rPr>
      </w:pPr>
      <w:bookmarkStart w:id="76" w:name="_Toc21271"/>
      <w:r>
        <w:rPr>
          <w:rFonts w:hint="eastAsia" w:hAnsi="宋体" w:cs="宋体"/>
          <w:b/>
          <w:color w:val="auto"/>
          <w:sz w:val="21"/>
          <w:szCs w:val="21"/>
          <w:highlight w:val="none"/>
        </w:rPr>
        <w:t>21.开标</w:t>
      </w:r>
      <w:bookmarkEnd w:id="76"/>
    </w:p>
    <w:p w14:paraId="3650613E">
      <w:pPr>
        <w:shd w:val="clear" w:color="auto" w:fill="auto"/>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 采购代理机构在规定的时间和地点组织公开开标。开标时所有供应商代表自愿参加，参加开标的代表应</w:t>
      </w:r>
      <w:r>
        <w:rPr>
          <w:rFonts w:hint="eastAsia" w:ascii="宋体" w:hAnsi="宋体" w:eastAsia="宋体" w:cs="宋体"/>
          <w:color w:val="auto"/>
          <w:sz w:val="21"/>
          <w:szCs w:val="21"/>
          <w:highlight w:val="none"/>
          <w:lang w:val="en-US" w:eastAsia="zh-CN"/>
        </w:rPr>
        <w:t>再不见面开标大厅</w:t>
      </w:r>
      <w:r>
        <w:rPr>
          <w:rFonts w:hint="eastAsia" w:ascii="宋体" w:hAnsi="宋体" w:eastAsia="宋体" w:cs="宋体"/>
          <w:color w:val="auto"/>
          <w:sz w:val="21"/>
          <w:szCs w:val="21"/>
          <w:highlight w:val="none"/>
        </w:rPr>
        <w:t>签到以证明其出席。</w:t>
      </w:r>
    </w:p>
    <w:p w14:paraId="1037BF88">
      <w:pPr>
        <w:shd w:val="clear" w:color="auto" w:fill="auto"/>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 开标时，采购代理机构当众</w:t>
      </w:r>
      <w:r>
        <w:rPr>
          <w:rFonts w:hint="eastAsia" w:ascii="宋体" w:hAnsi="宋体" w:eastAsia="宋体" w:cs="宋体"/>
          <w:color w:val="auto"/>
          <w:sz w:val="21"/>
          <w:szCs w:val="21"/>
          <w:highlight w:val="none"/>
          <w:lang w:val="en-US" w:eastAsia="zh-CN"/>
        </w:rPr>
        <w:t>公布</w:t>
      </w:r>
      <w:r>
        <w:rPr>
          <w:rFonts w:hint="eastAsia" w:ascii="宋体" w:hAnsi="宋体" w:eastAsia="宋体" w:cs="宋体"/>
          <w:color w:val="auto"/>
          <w:sz w:val="21"/>
          <w:szCs w:val="21"/>
          <w:highlight w:val="none"/>
        </w:rPr>
        <w:t>供应商名称、投标价格、价格折扣、修改或撤回或变动价格的书面通知（如果有），以及采购代理机构认为合适的其他内容。未在开标时</w:t>
      </w:r>
      <w:r>
        <w:rPr>
          <w:rFonts w:hint="eastAsia" w:ascii="宋体" w:hAnsi="宋体" w:eastAsia="宋体" w:cs="宋体"/>
          <w:color w:val="auto"/>
          <w:sz w:val="21"/>
          <w:szCs w:val="21"/>
          <w:highlight w:val="none"/>
          <w:lang w:val="en-US" w:eastAsia="zh-CN"/>
        </w:rPr>
        <w:t>公布</w:t>
      </w:r>
      <w:r>
        <w:rPr>
          <w:rFonts w:hint="eastAsia" w:ascii="宋体" w:hAnsi="宋体" w:eastAsia="宋体" w:cs="宋体"/>
          <w:color w:val="auto"/>
          <w:sz w:val="21"/>
          <w:szCs w:val="21"/>
          <w:highlight w:val="none"/>
        </w:rPr>
        <w:t>的投标价格和价格折扣，评标时不予承认。</w:t>
      </w:r>
    </w:p>
    <w:p w14:paraId="467BCB6A">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21.3只有在开标时</w:t>
      </w:r>
      <w:r>
        <w:rPr>
          <w:rFonts w:hint="eastAsia" w:hAnsi="宋体" w:cs="宋体"/>
          <w:color w:val="auto"/>
          <w:sz w:val="21"/>
          <w:szCs w:val="21"/>
          <w:highlight w:val="none"/>
          <w:lang w:val="en-US" w:eastAsia="zh-CN"/>
        </w:rPr>
        <w:t>公布</w:t>
      </w:r>
      <w:r>
        <w:rPr>
          <w:rFonts w:hint="eastAsia" w:hAnsi="宋体" w:cs="宋体"/>
          <w:color w:val="auto"/>
          <w:sz w:val="21"/>
          <w:szCs w:val="21"/>
          <w:highlight w:val="none"/>
        </w:rPr>
        <w:t>的价格和价格变动声明，评标时才能考虑。</w:t>
      </w:r>
    </w:p>
    <w:p w14:paraId="52E89215">
      <w:pPr>
        <w:shd w:val="clear" w:color="auto" w:fill="auto"/>
        <w:spacing w:line="360" w:lineRule="auto"/>
        <w:ind w:firstLine="420" w:firstLineChars="200"/>
        <w:outlineLvl w:val="9"/>
        <w:rPr>
          <w:rFonts w:hAnsi="宋体" w:cs="宋体"/>
          <w:color w:val="auto"/>
          <w:sz w:val="21"/>
          <w:szCs w:val="21"/>
          <w:highlight w:val="none"/>
        </w:rPr>
      </w:pPr>
      <w:bookmarkStart w:id="77" w:name="_Toc18397"/>
      <w:r>
        <w:rPr>
          <w:rFonts w:hint="eastAsia" w:hAnsi="宋体" w:cs="宋体"/>
          <w:color w:val="auto"/>
          <w:sz w:val="21"/>
          <w:szCs w:val="21"/>
          <w:highlight w:val="none"/>
        </w:rPr>
        <w:t>21.</w:t>
      </w:r>
      <w:r>
        <w:rPr>
          <w:rFonts w:hint="eastAsia" w:hAnsi="宋体" w:cs="宋体"/>
          <w:color w:val="auto"/>
          <w:sz w:val="21"/>
          <w:szCs w:val="21"/>
          <w:highlight w:val="none"/>
          <w:lang w:val="en-US" w:eastAsia="zh-CN"/>
        </w:rPr>
        <w:t>4</w:t>
      </w:r>
      <w:r>
        <w:rPr>
          <w:rFonts w:hint="eastAsia" w:hAnsi="宋体" w:cs="宋体"/>
          <w:color w:val="auto"/>
          <w:sz w:val="21"/>
          <w:szCs w:val="21"/>
          <w:highlight w:val="none"/>
        </w:rPr>
        <w:t xml:space="preserve"> 采购代理机构将做开标记录，存档备查。</w:t>
      </w:r>
      <w:bookmarkEnd w:id="77"/>
    </w:p>
    <w:p w14:paraId="507330B4">
      <w:pPr>
        <w:shd w:val="clear" w:color="auto" w:fill="auto"/>
        <w:spacing w:line="360" w:lineRule="auto"/>
        <w:outlineLvl w:val="9"/>
        <w:rPr>
          <w:rFonts w:hAnsi="宋体" w:cs="宋体"/>
          <w:b/>
          <w:color w:val="auto"/>
          <w:sz w:val="21"/>
          <w:szCs w:val="21"/>
          <w:highlight w:val="none"/>
        </w:rPr>
      </w:pPr>
      <w:bookmarkStart w:id="78" w:name="_Toc20364"/>
      <w:r>
        <w:rPr>
          <w:rFonts w:hint="eastAsia" w:hAnsi="宋体" w:cs="宋体"/>
          <w:b/>
          <w:color w:val="auto"/>
          <w:sz w:val="21"/>
          <w:szCs w:val="21"/>
          <w:highlight w:val="none"/>
        </w:rPr>
        <w:t>22．评标组织及评标原则</w:t>
      </w:r>
      <w:bookmarkEnd w:id="78"/>
    </w:p>
    <w:p w14:paraId="57457634">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22.1</w:t>
      </w:r>
      <w:r>
        <w:rPr>
          <w:rFonts w:hint="eastAsia" w:hAnsi="宋体"/>
          <w:color w:val="auto"/>
          <w:sz w:val="21"/>
          <w:szCs w:val="21"/>
          <w:highlight w:val="none"/>
        </w:rPr>
        <w:t>按照《中华人民共和国政府采购法》、中华人民共和国</w:t>
      </w:r>
      <w:r>
        <w:rPr>
          <w:rFonts w:hAnsi="宋体"/>
          <w:color w:val="auto"/>
          <w:sz w:val="21"/>
          <w:szCs w:val="21"/>
          <w:highlight w:val="none"/>
        </w:rPr>
        <w:t>2015</w:t>
      </w:r>
      <w:r>
        <w:rPr>
          <w:rFonts w:hint="eastAsia" w:hAnsi="宋体"/>
          <w:color w:val="auto"/>
          <w:sz w:val="21"/>
          <w:szCs w:val="21"/>
          <w:highlight w:val="none"/>
        </w:rPr>
        <w:t>年第</w:t>
      </w:r>
      <w:r>
        <w:rPr>
          <w:rFonts w:hAnsi="宋体"/>
          <w:color w:val="auto"/>
          <w:sz w:val="21"/>
          <w:szCs w:val="21"/>
          <w:highlight w:val="none"/>
        </w:rPr>
        <w:t>658</w:t>
      </w:r>
      <w:r>
        <w:rPr>
          <w:rFonts w:hint="eastAsia" w:hAnsi="宋体"/>
          <w:color w:val="auto"/>
          <w:sz w:val="21"/>
          <w:szCs w:val="21"/>
          <w:highlight w:val="none"/>
        </w:rPr>
        <w:t>号国务院令</w:t>
      </w:r>
      <w:r>
        <w:rPr>
          <w:rFonts w:hAnsi="宋体"/>
          <w:color w:val="auto"/>
          <w:sz w:val="21"/>
          <w:szCs w:val="21"/>
          <w:highlight w:val="none"/>
        </w:rPr>
        <w:t>--</w:t>
      </w:r>
      <w:r>
        <w:rPr>
          <w:rFonts w:hint="eastAsia" w:hAnsi="宋体"/>
          <w:color w:val="auto"/>
          <w:sz w:val="21"/>
          <w:szCs w:val="21"/>
          <w:highlight w:val="none"/>
        </w:rPr>
        <w:t>《中华人民共和国政府采购法实施条例》和中华人民共和国财政部</w:t>
      </w:r>
      <w:r>
        <w:rPr>
          <w:rFonts w:hAnsi="宋体"/>
          <w:color w:val="auto"/>
          <w:sz w:val="21"/>
          <w:szCs w:val="21"/>
          <w:highlight w:val="none"/>
        </w:rPr>
        <w:t>2017</w:t>
      </w:r>
      <w:r>
        <w:rPr>
          <w:rFonts w:hint="eastAsia" w:hAnsi="宋体"/>
          <w:color w:val="auto"/>
          <w:sz w:val="21"/>
          <w:szCs w:val="21"/>
          <w:highlight w:val="none"/>
        </w:rPr>
        <w:t>年第</w:t>
      </w:r>
      <w:r>
        <w:rPr>
          <w:rFonts w:hAnsi="宋体"/>
          <w:color w:val="auto"/>
          <w:sz w:val="21"/>
          <w:szCs w:val="21"/>
          <w:highlight w:val="none"/>
        </w:rPr>
        <w:t>87</w:t>
      </w:r>
      <w:r>
        <w:rPr>
          <w:rFonts w:hint="eastAsia" w:hAnsi="宋体"/>
          <w:color w:val="auto"/>
          <w:sz w:val="21"/>
          <w:szCs w:val="21"/>
          <w:highlight w:val="none"/>
        </w:rPr>
        <w:t>号部长令</w:t>
      </w:r>
      <w:r>
        <w:rPr>
          <w:rFonts w:hAnsi="宋体"/>
          <w:color w:val="auto"/>
          <w:sz w:val="21"/>
          <w:szCs w:val="21"/>
          <w:highlight w:val="none"/>
        </w:rPr>
        <w:t>--</w:t>
      </w:r>
      <w:r>
        <w:rPr>
          <w:rFonts w:hint="eastAsia" w:hAnsi="宋体"/>
          <w:color w:val="auto"/>
          <w:sz w:val="21"/>
          <w:szCs w:val="21"/>
          <w:highlight w:val="none"/>
        </w:rPr>
        <w:t>《政府采购服务和服务招标投标管理办法》的规定，依法组建评标委员会。评标委员会按照招标文件规定的评标方法独立进行评标工作</w:t>
      </w:r>
      <w:r>
        <w:rPr>
          <w:rFonts w:hint="eastAsia" w:hAnsi="宋体" w:cs="宋体"/>
          <w:color w:val="auto"/>
          <w:sz w:val="21"/>
          <w:szCs w:val="21"/>
          <w:highlight w:val="none"/>
        </w:rPr>
        <w:t>。</w:t>
      </w:r>
    </w:p>
    <w:p w14:paraId="41F13612">
      <w:pPr>
        <w:shd w:val="clear" w:color="auto" w:fill="auto"/>
        <w:spacing w:line="360" w:lineRule="auto"/>
        <w:ind w:firstLine="420" w:firstLineChars="200"/>
        <w:outlineLvl w:val="9"/>
        <w:rPr>
          <w:rFonts w:hAnsi="宋体" w:cs="宋体"/>
          <w:color w:val="auto"/>
          <w:sz w:val="21"/>
          <w:szCs w:val="21"/>
          <w:highlight w:val="none"/>
        </w:rPr>
      </w:pPr>
      <w:bookmarkStart w:id="79" w:name="_Toc17067"/>
      <w:r>
        <w:rPr>
          <w:rFonts w:hint="eastAsia" w:hAnsi="宋体" w:cs="宋体"/>
          <w:color w:val="auto"/>
          <w:sz w:val="21"/>
          <w:szCs w:val="21"/>
          <w:highlight w:val="none"/>
        </w:rPr>
        <w:t>22.2 评标委员会负责具体评标事务，并独立履行下列职责：</w:t>
      </w:r>
      <w:bookmarkEnd w:id="79"/>
    </w:p>
    <w:p w14:paraId="0CDE6A7D">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（1）审查、评价投标文件是否符合招标文件的商务、技术、服务等实质性要求；</w:t>
      </w:r>
    </w:p>
    <w:p w14:paraId="03B654A5">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（2）要求供应商对投标文件有关事项作出澄清或者说明；</w:t>
      </w:r>
    </w:p>
    <w:p w14:paraId="398FDAB7">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（3）对投标文件进行比较和评价；</w:t>
      </w:r>
    </w:p>
    <w:p w14:paraId="1B3E97FE">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（4）确定中标候选人名单，以及根据采购人委托直接确定中标人；</w:t>
      </w:r>
    </w:p>
    <w:p w14:paraId="099F5773">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（5）向采购人、采购代理机构或者有关部门报告评标中发现的违法行为。</w:t>
      </w:r>
    </w:p>
    <w:p w14:paraId="22F524DB">
      <w:pPr>
        <w:shd w:val="clear" w:color="auto" w:fill="auto"/>
        <w:spacing w:line="360" w:lineRule="auto"/>
        <w:ind w:firstLine="420" w:firstLineChars="200"/>
        <w:outlineLvl w:val="9"/>
        <w:rPr>
          <w:rFonts w:hAnsi="宋体" w:cs="宋体"/>
          <w:color w:val="auto"/>
          <w:sz w:val="21"/>
          <w:szCs w:val="21"/>
          <w:highlight w:val="none"/>
        </w:rPr>
      </w:pPr>
      <w:bookmarkStart w:id="80" w:name="_Toc22074"/>
      <w:r>
        <w:rPr>
          <w:rFonts w:hint="eastAsia" w:hAnsi="宋体" w:cs="宋体"/>
          <w:color w:val="auto"/>
          <w:sz w:val="21"/>
          <w:szCs w:val="21"/>
          <w:highlight w:val="none"/>
        </w:rPr>
        <w:t>22.3 采购代理机构负责组织评标工作并履行下列职责：</w:t>
      </w:r>
      <w:bookmarkEnd w:id="80"/>
    </w:p>
    <w:p w14:paraId="49865F0C">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（1）核对评审专家身份和采购人代表授权函，对评审专家在政府采购活动中的职责履行情况予以记录，并及时将有关违法违规行为向财政部门报告；</w:t>
      </w:r>
    </w:p>
    <w:p w14:paraId="77C6563A">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（2）宣布评标纪律；</w:t>
      </w:r>
    </w:p>
    <w:p w14:paraId="09C7D3CB">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（3）公布供应商名单，告知评标专家应当回避的情形；</w:t>
      </w:r>
    </w:p>
    <w:p w14:paraId="0732C02B">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（4）组织评标委员会推选评标组长，采购人代表不得担任组长；</w:t>
      </w:r>
    </w:p>
    <w:p w14:paraId="40EEE872">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（5）在评标期间采取必要的通讯管理措施，保证评标活动不受外界干扰；</w:t>
      </w:r>
    </w:p>
    <w:p w14:paraId="31B8D5A8">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（6）根据评标委员会的要求介绍政府采购相关政策法规、招标文件；</w:t>
      </w:r>
    </w:p>
    <w:p w14:paraId="342E2FE1">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 xml:space="preserve">（7）维护评标秩序，监督评标委员会依照评标文件规定的评审程序、方法和标准进行独立评审，及时制止和纠正采购人代表、评审专家的倾向性言论或违法违规行为； </w:t>
      </w:r>
    </w:p>
    <w:p w14:paraId="75305384">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（8）核对评标结果，有《政府采购货物和服务招标投标管理办法》第六十四条规定情形的，要求评标委员会复核或书面说明理由，评标委员会拒绝的，应予记录并向本级财政部门报告；</w:t>
      </w:r>
    </w:p>
    <w:p w14:paraId="49130E7A">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（9）评审工作完成后，按照规定向评审专家支付劳务报酬和异地评审差旅费；</w:t>
      </w:r>
    </w:p>
    <w:p w14:paraId="2FD1CFAF">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（10）处理与评标有关的其他事项。</w:t>
      </w:r>
    </w:p>
    <w:p w14:paraId="366D5424">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22.4招标文件和投标文件是评标的依据。在评标中，不得改变招标文件中规定的评标标准、方法和中标条件。供应商不得在开标后使用任何方式对投标文件的实质性内容做任何更改。</w:t>
      </w:r>
    </w:p>
    <w:p w14:paraId="4B7FA515">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22.5在评标期间，对投标文件中含义不明确、同类问题表述不一致或者有明显文字和计算错误的内容，评标委员会可以书面形式（由评标委员会专家签字）要求供应商作出必要的澄清、说明或者纠正。供应商的澄清、说明或者补正应当采用书面形式，由其授权的代表签字，并不得超出投标文件的范围或者改变投标文件的实质性内容。</w:t>
      </w:r>
    </w:p>
    <w:p w14:paraId="554F8505">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22.6如果供应商在澄清规定期限内，未能答复或拒绝答复评委会提出的澄清要求，将由评委会根据其投标文件按最大风险进行评标。</w:t>
      </w:r>
    </w:p>
    <w:p w14:paraId="37F724FC">
      <w:pPr>
        <w:shd w:val="clear" w:color="auto" w:fill="auto"/>
        <w:spacing w:line="360" w:lineRule="auto"/>
        <w:ind w:firstLine="420" w:firstLineChars="200"/>
        <w:outlineLvl w:val="9"/>
        <w:rPr>
          <w:rFonts w:hAnsi="宋体" w:cs="宋体"/>
          <w:color w:val="auto"/>
          <w:sz w:val="21"/>
          <w:szCs w:val="21"/>
          <w:highlight w:val="none"/>
        </w:rPr>
      </w:pPr>
      <w:bookmarkStart w:id="81" w:name="_Toc29307"/>
      <w:r>
        <w:rPr>
          <w:rFonts w:hint="eastAsia" w:hAnsi="宋体" w:cs="宋体"/>
          <w:color w:val="auto"/>
          <w:sz w:val="21"/>
          <w:szCs w:val="21"/>
          <w:highlight w:val="none"/>
        </w:rPr>
        <w:t>22.7投标文件的初审（含资格性、符合性审查）</w:t>
      </w:r>
      <w:bookmarkEnd w:id="81"/>
    </w:p>
    <w:p w14:paraId="6F0A81C3">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22.7.1采购人或采购代理机构将审查资格证明文件是否合格齐全，评标委员会审查投标文件是否完整、有效、响应等。</w:t>
      </w:r>
    </w:p>
    <w:p w14:paraId="4599F198">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22.7.2投标文件报价出现前后不一致的，按照下列规定修正：</w:t>
      </w:r>
    </w:p>
    <w:p w14:paraId="4F10535D">
      <w:pPr>
        <w:numPr>
          <w:ilvl w:val="0"/>
          <w:numId w:val="4"/>
        </w:num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投标文件中开标一览表(报价表)内容与投标文件中相应内容不一致的，以开标一览表(报价表)为准；</w:t>
      </w:r>
    </w:p>
    <w:p w14:paraId="76952236">
      <w:pPr>
        <w:numPr>
          <w:ilvl w:val="0"/>
          <w:numId w:val="4"/>
        </w:num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投标文件的大写金额和小写金额不一致的，以大写金额为准；</w:t>
      </w:r>
    </w:p>
    <w:p w14:paraId="3782E28B">
      <w:pPr>
        <w:numPr>
          <w:ilvl w:val="0"/>
          <w:numId w:val="4"/>
        </w:num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单价金额小数点或者百分比有明显错位的，以总价为准，并修改单价；</w:t>
      </w:r>
    </w:p>
    <w:p w14:paraId="23A6EF1A">
      <w:pPr>
        <w:numPr>
          <w:ilvl w:val="0"/>
          <w:numId w:val="4"/>
        </w:num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总价金额与按单价汇总金额不一致的，以单价金额计算结果为准。</w:t>
      </w:r>
    </w:p>
    <w:p w14:paraId="7D6C4F02">
      <w:pPr>
        <w:widowControl/>
        <w:shd w:val="clear" w:color="auto" w:fill="auto"/>
        <w:autoSpaceDE w:val="0"/>
        <w:autoSpaceDN w:val="0"/>
        <w:spacing w:line="360" w:lineRule="auto"/>
        <w:ind w:right="51" w:firstLine="422" w:firstLineChars="200"/>
        <w:textAlignment w:val="bottom"/>
        <w:rPr>
          <w:rFonts w:hAnsi="宋体" w:cs="宋体"/>
          <w:color w:val="auto"/>
          <w:sz w:val="21"/>
          <w:szCs w:val="21"/>
          <w:highlight w:val="none"/>
        </w:rPr>
      </w:pPr>
      <w:r>
        <w:rPr>
          <w:rFonts w:hint="eastAsia" w:hAnsi="宋体" w:cs="宋体"/>
          <w:b/>
          <w:color w:val="auto"/>
          <w:sz w:val="21"/>
          <w:szCs w:val="21"/>
          <w:highlight w:val="none"/>
        </w:rPr>
        <w:t>按上述修正的顺序和方法调整的投标报价应对供应商具有约束力。如果供应商不接受修正后的价格，其投标将按无效投标处理。</w:t>
      </w:r>
    </w:p>
    <w:p w14:paraId="42733E20">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22.7.3在详细评标之前，根据本须知第22.5.4条的规定，评标委员会要审查每份投标文件是否实质上响应了招标文件的要求。对关键条文的偏离、保留或反对将被认为是实质上的偏离。评标委员会决定投标的响应性只根据投标文件本身的内容，而不寻求外部的证据。</w:t>
      </w:r>
    </w:p>
    <w:p w14:paraId="7DB131BA">
      <w:pPr>
        <w:shd w:val="clear" w:color="auto" w:fill="auto"/>
        <w:spacing w:line="360" w:lineRule="auto"/>
        <w:ind w:firstLine="422" w:firstLineChars="200"/>
        <w:rPr>
          <w:rFonts w:hAnsi="宋体" w:cs="宋体"/>
          <w:b/>
          <w:bCs/>
          <w:color w:val="auto"/>
          <w:sz w:val="21"/>
          <w:szCs w:val="21"/>
          <w:highlight w:val="none"/>
        </w:rPr>
      </w:pPr>
      <w:r>
        <w:rPr>
          <w:rFonts w:hint="eastAsia" w:hAnsi="宋体" w:cs="宋体"/>
          <w:b/>
          <w:bCs/>
          <w:color w:val="auto"/>
          <w:sz w:val="21"/>
          <w:szCs w:val="21"/>
          <w:highlight w:val="none"/>
        </w:rPr>
        <w:t>22.7.4实质上没有响应招标文件要求的投标将按无效投标处理。供应商不得通过修正或撤销不合要求的偏离从而使其投标成为实质性响应的投标。如发现下列情况之一的，其投标将构成非实质性响应，按无效投标处理：</w:t>
      </w:r>
    </w:p>
    <w:p w14:paraId="479B1F09">
      <w:pPr>
        <w:shd w:val="clear" w:color="auto" w:fill="auto"/>
        <w:tabs>
          <w:tab w:val="left" w:pos="1260"/>
        </w:tabs>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1）没有按照招标文件要求提供投标文件或投标文件构成有重大缺项；</w:t>
      </w:r>
    </w:p>
    <w:p w14:paraId="357813A8">
      <w:pPr>
        <w:shd w:val="clear" w:color="auto" w:fill="auto"/>
        <w:kinsoku w:val="0"/>
        <w:spacing w:line="360" w:lineRule="auto"/>
        <w:ind w:firstLine="420" w:firstLineChars="200"/>
        <w:rPr>
          <w:rFonts w:hAnsi="宋体" w:cs="宋体"/>
          <w:color w:val="auto"/>
          <w:spacing w:val="-6"/>
          <w:sz w:val="21"/>
          <w:szCs w:val="21"/>
          <w:highlight w:val="none"/>
        </w:rPr>
      </w:pPr>
      <w:r>
        <w:rPr>
          <w:rFonts w:hint="eastAsia" w:hAnsi="宋体" w:cs="宋体"/>
          <w:color w:val="auto"/>
          <w:sz w:val="21"/>
          <w:szCs w:val="21"/>
          <w:highlight w:val="none"/>
        </w:rPr>
        <w:t>2）投标</w:t>
      </w:r>
      <w:r>
        <w:rPr>
          <w:rFonts w:hint="eastAsia" w:hAnsi="宋体" w:cs="宋体"/>
          <w:color w:val="auto"/>
          <w:spacing w:val="-6"/>
          <w:sz w:val="21"/>
          <w:szCs w:val="21"/>
          <w:highlight w:val="none"/>
        </w:rPr>
        <w:t>文件</w:t>
      </w:r>
      <w:r>
        <w:rPr>
          <w:rFonts w:hint="eastAsia" w:hAnsi="宋体" w:cs="宋体"/>
          <w:color w:val="auto"/>
          <w:sz w:val="21"/>
          <w:szCs w:val="21"/>
          <w:highlight w:val="none"/>
        </w:rPr>
        <w:t>未按招标文件要求签署、盖章的；</w:t>
      </w:r>
    </w:p>
    <w:p w14:paraId="53F8D4F1">
      <w:pPr>
        <w:shd w:val="clear" w:color="auto" w:fill="auto"/>
        <w:tabs>
          <w:tab w:val="left" w:pos="1260"/>
        </w:tabs>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3</w:t>
      </w:r>
      <w:r>
        <w:rPr>
          <w:rFonts w:hint="eastAsia" w:hAnsi="宋体" w:cs="宋体"/>
          <w:color w:val="auto"/>
          <w:sz w:val="21"/>
          <w:szCs w:val="21"/>
          <w:highlight w:val="none"/>
        </w:rPr>
        <w:t>）不具备招标文件中规定的资格要求的；</w:t>
      </w:r>
    </w:p>
    <w:p w14:paraId="798DF493">
      <w:pPr>
        <w:shd w:val="clear" w:color="auto" w:fill="auto"/>
        <w:tabs>
          <w:tab w:val="left" w:pos="1260"/>
        </w:tabs>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4</w:t>
      </w:r>
      <w:r>
        <w:rPr>
          <w:rFonts w:hint="eastAsia" w:hAnsi="宋体" w:cs="宋体"/>
          <w:color w:val="auto"/>
          <w:sz w:val="21"/>
          <w:szCs w:val="21"/>
          <w:highlight w:val="none"/>
        </w:rPr>
        <w:t>）</w:t>
      </w:r>
      <w:r>
        <w:rPr>
          <w:rFonts w:hint="eastAsia" w:hAnsi="宋体" w:cs="宋体"/>
          <w:color w:val="auto"/>
          <w:spacing w:val="-6"/>
          <w:sz w:val="21"/>
          <w:szCs w:val="21"/>
          <w:highlight w:val="none"/>
        </w:rPr>
        <w:t>无投标</w:t>
      </w:r>
      <w:r>
        <w:rPr>
          <w:rFonts w:hint="eastAsia" w:hAnsi="宋体" w:cs="宋体"/>
          <w:color w:val="auto"/>
          <w:sz w:val="21"/>
          <w:szCs w:val="21"/>
          <w:highlight w:val="none"/>
        </w:rPr>
        <w:t>有效期</w:t>
      </w:r>
      <w:r>
        <w:rPr>
          <w:rFonts w:hint="eastAsia" w:hAnsi="宋体" w:cs="宋体"/>
          <w:color w:val="auto"/>
          <w:spacing w:val="-6"/>
          <w:sz w:val="21"/>
          <w:szCs w:val="21"/>
          <w:highlight w:val="none"/>
        </w:rPr>
        <w:t>或有效期达不到招标文件要求的</w:t>
      </w:r>
      <w:r>
        <w:rPr>
          <w:rFonts w:hint="eastAsia" w:hAnsi="宋体" w:cs="宋体"/>
          <w:color w:val="auto"/>
          <w:sz w:val="21"/>
          <w:szCs w:val="21"/>
          <w:highlight w:val="none"/>
        </w:rPr>
        <w:t>；</w:t>
      </w:r>
    </w:p>
    <w:p w14:paraId="62EF13FD">
      <w:pPr>
        <w:shd w:val="clear" w:color="auto" w:fill="auto"/>
        <w:tabs>
          <w:tab w:val="left" w:pos="1260"/>
        </w:tabs>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5</w:t>
      </w:r>
      <w:r>
        <w:rPr>
          <w:rFonts w:hint="eastAsia" w:hAnsi="宋体" w:cs="宋体"/>
          <w:color w:val="auto"/>
          <w:sz w:val="21"/>
          <w:szCs w:val="21"/>
          <w:highlight w:val="none"/>
        </w:rPr>
        <w:t>）存在有重大缺漏项和重大技术偏离的投标货物（产品）；</w:t>
      </w:r>
    </w:p>
    <w:p w14:paraId="50906A0D">
      <w:pPr>
        <w:shd w:val="clear" w:color="auto" w:fill="auto"/>
        <w:tabs>
          <w:tab w:val="left" w:pos="1260"/>
        </w:tabs>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6</w:t>
      </w:r>
      <w:r>
        <w:rPr>
          <w:rFonts w:hint="eastAsia" w:hAnsi="宋体" w:cs="宋体"/>
          <w:color w:val="auto"/>
          <w:sz w:val="21"/>
          <w:szCs w:val="21"/>
          <w:highlight w:val="none"/>
        </w:rPr>
        <w:t>）供应商有串通投标、以他人名义投标、弄虚作假、行贿等违法行为的；</w:t>
      </w:r>
    </w:p>
    <w:p w14:paraId="730DCB75">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7</w:t>
      </w:r>
      <w:r>
        <w:rPr>
          <w:rFonts w:hint="eastAsia" w:hAnsi="宋体" w:cs="宋体"/>
          <w:color w:val="auto"/>
          <w:sz w:val="21"/>
          <w:szCs w:val="21"/>
          <w:highlight w:val="none"/>
        </w:rPr>
        <w:t>）投标总报价超过招标文件公布的采购预算或者最高限价的；</w:t>
      </w:r>
    </w:p>
    <w:p w14:paraId="382079B2">
      <w:pPr>
        <w:pStyle w:val="16"/>
        <w:shd w:val="clear" w:color="auto" w:fill="auto"/>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lang w:val="en-US" w:eastAsia="zh-CN"/>
        </w:rPr>
        <w:t>8</w:t>
      </w:r>
      <w:r>
        <w:rPr>
          <w:rFonts w:hint="eastAsia" w:cs="宋体"/>
          <w:color w:val="auto"/>
          <w:sz w:val="21"/>
          <w:szCs w:val="21"/>
          <w:highlight w:val="none"/>
        </w:rPr>
        <w:t>）投标文件含有采购人不能接受的附加条件的；</w:t>
      </w:r>
    </w:p>
    <w:p w14:paraId="6D58049B">
      <w:pPr>
        <w:pStyle w:val="16"/>
        <w:shd w:val="clear" w:color="auto" w:fill="auto"/>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lang w:val="en-US" w:eastAsia="zh-CN"/>
        </w:rPr>
        <w:t>9</w:t>
      </w:r>
      <w:r>
        <w:rPr>
          <w:rFonts w:hint="eastAsia" w:cs="宋体"/>
          <w:color w:val="auto"/>
          <w:sz w:val="21"/>
          <w:szCs w:val="21"/>
          <w:highlight w:val="none"/>
        </w:rPr>
        <w:t>）供应商被列入失信被执行人、重大税收违法案件当事人名单、政府采购严重违法失信行为记录名单的；</w:t>
      </w:r>
    </w:p>
    <w:p w14:paraId="77DD8A01">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val="en-US" w:eastAsia="zh-CN"/>
        </w:rPr>
        <w:t>0</w:t>
      </w:r>
      <w:r>
        <w:rPr>
          <w:rFonts w:hint="eastAsia" w:hAnsi="宋体" w:cs="宋体"/>
          <w:color w:val="auto"/>
          <w:sz w:val="21"/>
          <w:szCs w:val="21"/>
          <w:highlight w:val="none"/>
        </w:rPr>
        <w:t>）法律、法规规定的其他无效情形。</w:t>
      </w:r>
    </w:p>
    <w:p w14:paraId="47DC080C">
      <w:pPr>
        <w:shd w:val="clear" w:color="auto" w:fill="auto"/>
        <w:spacing w:line="360" w:lineRule="auto"/>
        <w:ind w:firstLine="420" w:firstLineChars="200"/>
        <w:outlineLvl w:val="9"/>
        <w:rPr>
          <w:rFonts w:hAnsi="宋体" w:cs="宋体"/>
          <w:color w:val="auto"/>
          <w:sz w:val="21"/>
          <w:szCs w:val="21"/>
          <w:highlight w:val="none"/>
        </w:rPr>
      </w:pPr>
      <w:bookmarkStart w:id="82" w:name="_Toc32736"/>
      <w:r>
        <w:rPr>
          <w:rFonts w:hint="eastAsia" w:hAnsi="宋体" w:cs="宋体"/>
          <w:color w:val="auto"/>
          <w:sz w:val="21"/>
          <w:szCs w:val="21"/>
          <w:highlight w:val="none"/>
        </w:rPr>
        <w:t>22.8投标文件的详细评审</w:t>
      </w:r>
      <w:bookmarkEnd w:id="82"/>
    </w:p>
    <w:p w14:paraId="0390AF41">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22.8.1评标委员会将按照本须知第22.5.4条规定，只对确定为实质性响应招标文件要求的投标进行详细评审。</w:t>
      </w:r>
    </w:p>
    <w:p w14:paraId="6C54563F">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22.8.2详细评审按照第五章“评标方法”的评标方法进行。</w:t>
      </w:r>
    </w:p>
    <w:p w14:paraId="28416D73">
      <w:pPr>
        <w:shd w:val="clear" w:color="auto" w:fill="auto"/>
        <w:spacing w:line="360" w:lineRule="auto"/>
        <w:ind w:firstLine="420" w:firstLineChars="200"/>
        <w:outlineLvl w:val="9"/>
        <w:rPr>
          <w:rFonts w:hAnsi="宋体" w:cs="宋体"/>
          <w:color w:val="auto"/>
          <w:sz w:val="21"/>
          <w:szCs w:val="21"/>
          <w:highlight w:val="none"/>
        </w:rPr>
      </w:pPr>
      <w:bookmarkStart w:id="83" w:name="_Toc15463"/>
      <w:r>
        <w:rPr>
          <w:rFonts w:hint="eastAsia" w:hAnsi="宋体" w:cs="宋体"/>
          <w:color w:val="auto"/>
          <w:sz w:val="21"/>
          <w:szCs w:val="21"/>
          <w:highlight w:val="none"/>
        </w:rPr>
        <w:t>22.9中标候选人的确定</w:t>
      </w:r>
      <w:bookmarkEnd w:id="83"/>
    </w:p>
    <w:p w14:paraId="29870A1B">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评标委员会完成评标后，向采购人提出书面评标报告，并推荐三名中标候选人，标明排列顺序。</w:t>
      </w:r>
    </w:p>
    <w:p w14:paraId="167221D1">
      <w:pPr>
        <w:shd w:val="clear" w:color="auto" w:fill="auto"/>
        <w:spacing w:line="360" w:lineRule="auto"/>
        <w:outlineLvl w:val="9"/>
        <w:rPr>
          <w:rFonts w:hAnsi="宋体" w:cs="宋体"/>
          <w:b/>
          <w:color w:val="auto"/>
          <w:sz w:val="21"/>
          <w:szCs w:val="21"/>
          <w:highlight w:val="none"/>
        </w:rPr>
      </w:pPr>
      <w:bookmarkStart w:id="84" w:name="_Toc30499"/>
      <w:r>
        <w:rPr>
          <w:rFonts w:hint="eastAsia" w:hAnsi="宋体" w:cs="宋体"/>
          <w:b/>
          <w:color w:val="auto"/>
          <w:sz w:val="21"/>
          <w:szCs w:val="21"/>
          <w:highlight w:val="none"/>
        </w:rPr>
        <w:t>23．评标过程的保密</w:t>
      </w:r>
      <w:bookmarkEnd w:id="84"/>
    </w:p>
    <w:p w14:paraId="326AA2CD">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23.1评标委员会成员和与评标活动有关的工作人员不得泄露有关投标文件的评审和比较、中标候选人的推荐以及与评标有关的其他情况。</w:t>
      </w:r>
    </w:p>
    <w:p w14:paraId="19744FA3">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23.2在评标过程中，如果供应商试图在投标文件的评审和比较、中标候选人的推荐以及与评标有关的其他方面，向评标人、采购人和采购代理机构施加任何影响，其投标应做无效投标处理。</w:t>
      </w:r>
    </w:p>
    <w:p w14:paraId="7CAD0B91">
      <w:pPr>
        <w:shd w:val="clear" w:color="auto" w:fill="auto"/>
        <w:spacing w:line="360" w:lineRule="auto"/>
        <w:outlineLvl w:val="9"/>
        <w:rPr>
          <w:rFonts w:hAnsi="宋体" w:cs="宋体"/>
          <w:b/>
          <w:color w:val="auto"/>
          <w:sz w:val="21"/>
          <w:szCs w:val="21"/>
          <w:highlight w:val="none"/>
        </w:rPr>
      </w:pPr>
      <w:bookmarkStart w:id="85" w:name="_Toc23211"/>
      <w:r>
        <w:rPr>
          <w:rFonts w:hint="eastAsia" w:hAnsi="宋体" w:cs="宋体"/>
          <w:b/>
          <w:color w:val="auto"/>
          <w:sz w:val="21"/>
          <w:szCs w:val="21"/>
          <w:highlight w:val="none"/>
        </w:rPr>
        <w:t>24．评标方法</w:t>
      </w:r>
      <w:bookmarkEnd w:id="85"/>
    </w:p>
    <w:p w14:paraId="44A6AF46">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24.1按照中华人民共和国财政部令第87号--《政府采购货物和服务招标投标管理办法》的规定，本次评标采用以下评标方法中的一种：具体见“供应商须知前附表”。</w:t>
      </w:r>
    </w:p>
    <w:p w14:paraId="66C51360">
      <w:pPr>
        <w:pStyle w:val="16"/>
        <w:shd w:val="clear" w:color="auto" w:fill="auto"/>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rPr>
        <w:t>1）最低评标价法，即在全部满足招标文件实质性要求前提下，且投标报价最低的供应商为中标候选人的评标方法。</w:t>
      </w:r>
    </w:p>
    <w:p w14:paraId="08CD4D09">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综合评分法，即在最大限度地满足招标文件实质性要求前提下，按照招标文件中规定的各项因素（包括投标报价、技术或者服务水平、履约能力、对招标文件的响应程度等）和相应的权重分值进行综合评审后，以总得分最高的供应商作为中标候选人并依次排序。</w:t>
      </w:r>
    </w:p>
    <w:p w14:paraId="5FA01CF1">
      <w:pPr>
        <w:shd w:val="clear" w:color="auto" w:fill="auto"/>
        <w:spacing w:line="360" w:lineRule="auto"/>
        <w:outlineLvl w:val="9"/>
        <w:rPr>
          <w:rFonts w:hAnsi="宋体" w:cs="宋体"/>
          <w:b/>
          <w:color w:val="auto"/>
          <w:sz w:val="21"/>
          <w:szCs w:val="21"/>
          <w:highlight w:val="none"/>
        </w:rPr>
      </w:pPr>
      <w:bookmarkStart w:id="86" w:name="_Toc1743"/>
      <w:r>
        <w:rPr>
          <w:rFonts w:hint="eastAsia" w:hAnsi="宋体" w:cs="宋体"/>
          <w:b/>
          <w:color w:val="auto"/>
          <w:sz w:val="21"/>
          <w:szCs w:val="21"/>
          <w:highlight w:val="none"/>
        </w:rPr>
        <w:t>25．评标程序</w:t>
      </w:r>
      <w:bookmarkEnd w:id="86"/>
    </w:p>
    <w:p w14:paraId="6D8C65E8">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按照投标文件初审、澄清有关问题、比较与评价、推荐中标候选人名单的工作程序进行评标。在上一步评审中供应商被认定无效投标者，不进入下一步的评审。</w:t>
      </w:r>
    </w:p>
    <w:p w14:paraId="1F01B26E">
      <w:pPr>
        <w:shd w:val="clear" w:color="auto" w:fill="auto"/>
        <w:spacing w:line="360" w:lineRule="auto"/>
        <w:jc w:val="center"/>
        <w:rPr>
          <w:rFonts w:hint="eastAsia" w:hAnsi="宋体" w:cs="宋体"/>
          <w:b/>
          <w:color w:val="auto"/>
          <w:sz w:val="32"/>
          <w:szCs w:val="32"/>
          <w:highlight w:val="none"/>
        </w:rPr>
      </w:pPr>
      <w:bookmarkStart w:id="87" w:name="_Toc403077644"/>
      <w:bookmarkStart w:id="88" w:name="_Toc363474022"/>
      <w:bookmarkStart w:id="89" w:name="_Toc363473977"/>
    </w:p>
    <w:p w14:paraId="51797860">
      <w:pPr>
        <w:shd w:val="clear" w:color="auto" w:fill="auto"/>
        <w:spacing w:line="360" w:lineRule="auto"/>
        <w:jc w:val="center"/>
        <w:outlineLvl w:val="9"/>
        <w:rPr>
          <w:rFonts w:hAnsi="宋体" w:cs="宋体"/>
          <w:b/>
          <w:color w:val="auto"/>
          <w:sz w:val="24"/>
          <w:szCs w:val="24"/>
          <w:highlight w:val="none"/>
        </w:rPr>
      </w:pPr>
      <w:bookmarkStart w:id="90" w:name="_Toc4923"/>
      <w:r>
        <w:rPr>
          <w:rFonts w:hint="eastAsia" w:hAnsi="宋体" w:cs="宋体"/>
          <w:b/>
          <w:color w:val="auto"/>
          <w:sz w:val="24"/>
          <w:szCs w:val="24"/>
          <w:highlight w:val="none"/>
        </w:rPr>
        <w:t>六.定标、中标通知与签约</w:t>
      </w:r>
      <w:bookmarkEnd w:id="87"/>
      <w:bookmarkEnd w:id="88"/>
      <w:bookmarkEnd w:id="89"/>
      <w:bookmarkEnd w:id="90"/>
    </w:p>
    <w:p w14:paraId="4D6953EB">
      <w:pPr>
        <w:shd w:val="clear" w:color="auto" w:fill="auto"/>
        <w:spacing w:line="360" w:lineRule="auto"/>
        <w:outlineLvl w:val="9"/>
        <w:rPr>
          <w:rFonts w:hAnsi="宋体" w:cs="宋体"/>
          <w:b/>
          <w:color w:val="auto"/>
          <w:sz w:val="21"/>
          <w:szCs w:val="21"/>
          <w:highlight w:val="none"/>
        </w:rPr>
      </w:pPr>
      <w:bookmarkStart w:id="91" w:name="_Toc8130"/>
      <w:r>
        <w:rPr>
          <w:rFonts w:hint="eastAsia" w:hAnsi="宋体" w:cs="宋体"/>
          <w:b/>
          <w:color w:val="auto"/>
          <w:sz w:val="21"/>
          <w:szCs w:val="21"/>
          <w:highlight w:val="none"/>
        </w:rPr>
        <w:t>26．定标程序</w:t>
      </w:r>
      <w:bookmarkEnd w:id="91"/>
    </w:p>
    <w:p w14:paraId="60EA0AA0">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26.1评标委员会根据评标方法的规定对供应商进行评审排序，推荐3名中标候选人，作为评标结果。评标结果由评标委员会成员签字确认。</w:t>
      </w:r>
    </w:p>
    <w:p w14:paraId="784E59FE">
      <w:pPr>
        <w:shd w:val="clear" w:color="auto" w:fill="auto"/>
        <w:spacing w:line="360" w:lineRule="auto"/>
        <w:ind w:firstLine="367" w:firstLineChars="175"/>
        <w:rPr>
          <w:rFonts w:hAnsi="宋体" w:cs="宋体"/>
          <w:color w:val="auto"/>
          <w:sz w:val="21"/>
          <w:szCs w:val="21"/>
          <w:highlight w:val="none"/>
        </w:rPr>
      </w:pPr>
      <w:r>
        <w:rPr>
          <w:rFonts w:hint="eastAsia" w:hAnsi="宋体" w:cs="宋体"/>
          <w:color w:val="auto"/>
          <w:sz w:val="21"/>
          <w:szCs w:val="21"/>
          <w:highlight w:val="none"/>
        </w:rPr>
        <w:t>26.2采购代理机构在评标结束后2个工作日内将评标报告送采购人。采购人应当在收到评标报告后5个工作日内，按照评标报告中推荐的中标候选人顺序和有关规定确定中标人。</w:t>
      </w:r>
    </w:p>
    <w:p w14:paraId="3F30815B">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26.3确定的中标候选人放弃中标、在规定期限内未能签订合同、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14:paraId="268B12A6">
      <w:pPr>
        <w:shd w:val="clear" w:color="auto" w:fill="auto"/>
        <w:spacing w:line="360" w:lineRule="auto"/>
        <w:ind w:firstLine="420" w:firstLineChars="200"/>
        <w:outlineLvl w:val="9"/>
        <w:rPr>
          <w:rFonts w:hAnsi="宋体" w:cs="宋体"/>
          <w:color w:val="auto"/>
          <w:sz w:val="21"/>
          <w:szCs w:val="21"/>
          <w:highlight w:val="none"/>
        </w:rPr>
      </w:pPr>
      <w:bookmarkStart w:id="92" w:name="_Toc8105"/>
      <w:r>
        <w:rPr>
          <w:rFonts w:hint="eastAsia" w:hAnsi="宋体" w:cs="宋体"/>
          <w:color w:val="auto"/>
          <w:sz w:val="21"/>
          <w:szCs w:val="21"/>
          <w:highlight w:val="none"/>
        </w:rPr>
        <w:t>26.4采购人也可以授权评标委员会评标后直接确定中标人。</w:t>
      </w:r>
      <w:bookmarkEnd w:id="92"/>
    </w:p>
    <w:p w14:paraId="1CE44905">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26.5中标人确定之后，中标结果将在财政部门指定的政府采购信息发布媒体上公告。</w:t>
      </w:r>
    </w:p>
    <w:p w14:paraId="0FCE8667">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26.6供应商或者其他利害关系人对评标结果有异议的，应当在法律规定的时间内提出。</w:t>
      </w:r>
    </w:p>
    <w:p w14:paraId="260F93B1">
      <w:pPr>
        <w:shd w:val="clear" w:color="auto" w:fill="auto"/>
        <w:spacing w:line="360" w:lineRule="auto"/>
        <w:outlineLvl w:val="9"/>
        <w:rPr>
          <w:rFonts w:hAnsi="宋体" w:cs="宋体"/>
          <w:b/>
          <w:color w:val="auto"/>
          <w:sz w:val="21"/>
          <w:szCs w:val="21"/>
          <w:highlight w:val="none"/>
        </w:rPr>
      </w:pPr>
      <w:bookmarkStart w:id="93" w:name="_Toc26799"/>
      <w:r>
        <w:rPr>
          <w:rFonts w:hint="eastAsia" w:hAnsi="宋体" w:cs="宋体"/>
          <w:b/>
          <w:color w:val="auto"/>
          <w:sz w:val="21"/>
          <w:szCs w:val="21"/>
          <w:highlight w:val="none"/>
        </w:rPr>
        <w:t>27．中标和落标通知</w:t>
      </w:r>
      <w:bookmarkEnd w:id="93"/>
    </w:p>
    <w:p w14:paraId="1EB54F91">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27.1 采购代理机构在发布中标公告后，向中标人发出《中标通知书》。</w:t>
      </w:r>
      <w:r>
        <w:rPr>
          <w:rFonts w:hint="eastAsia" w:hAnsi="宋体" w:cs="宋体"/>
          <w:b/>
          <w:bCs/>
          <w:color w:val="auto"/>
          <w:sz w:val="21"/>
          <w:szCs w:val="21"/>
          <w:highlight w:val="none"/>
        </w:rPr>
        <w:t>中标人领取中标通知书时须携带法定代表人或负责人授权书及加盖单位公章的被授权人身份证复印件。</w:t>
      </w:r>
    </w:p>
    <w:p w14:paraId="074CCD1E">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27.2中标通知书对采购人和中标人具有同等法律效力。中标通知书发出之后，采购人改变中标结果，或者中标人放弃中标，应当承担相应的法律责任。</w:t>
      </w:r>
    </w:p>
    <w:p w14:paraId="3B8315AE">
      <w:pPr>
        <w:shd w:val="clear" w:color="auto" w:fill="auto"/>
        <w:spacing w:line="360" w:lineRule="auto"/>
        <w:outlineLvl w:val="9"/>
        <w:rPr>
          <w:rFonts w:hAnsi="宋体" w:cs="宋体"/>
          <w:b/>
          <w:color w:val="auto"/>
          <w:sz w:val="21"/>
          <w:szCs w:val="21"/>
          <w:highlight w:val="none"/>
        </w:rPr>
      </w:pPr>
      <w:bookmarkStart w:id="94" w:name="_Toc18398"/>
      <w:r>
        <w:rPr>
          <w:rFonts w:hint="eastAsia" w:hAnsi="宋体" w:cs="宋体"/>
          <w:b/>
          <w:color w:val="auto"/>
          <w:sz w:val="21"/>
          <w:szCs w:val="21"/>
          <w:highlight w:val="none"/>
        </w:rPr>
        <w:t>28. 中标合同的签订</w:t>
      </w:r>
      <w:bookmarkEnd w:id="94"/>
    </w:p>
    <w:p w14:paraId="7BA8DBE6">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28.1采购人应当自中标通知书发出之日起三十日内，按照招标文件和中标人投标文件（包括评标中形成的澄清文件）的约定，与中标人签订书面合同。所签订的合同不得对招标文件和中标人的投标文件（包括评标中形成的澄清文件）作实质性修改。</w:t>
      </w:r>
    </w:p>
    <w:p w14:paraId="2F7B46F6">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28.2采购人自采购合同签订之日起七个工作日内，将采购合同副本报同级人民政府财政部门备案。</w:t>
      </w:r>
    </w:p>
    <w:p w14:paraId="7595E4F7">
      <w:pPr>
        <w:shd w:val="clear" w:color="auto" w:fill="auto"/>
        <w:spacing w:line="360" w:lineRule="auto"/>
        <w:outlineLvl w:val="9"/>
        <w:rPr>
          <w:rFonts w:hAnsi="宋体" w:cs="宋体"/>
          <w:b/>
          <w:color w:val="auto"/>
          <w:sz w:val="21"/>
          <w:szCs w:val="21"/>
          <w:highlight w:val="none"/>
        </w:rPr>
      </w:pPr>
      <w:bookmarkStart w:id="95" w:name="_Toc32318"/>
      <w:r>
        <w:rPr>
          <w:rFonts w:hint="eastAsia" w:hAnsi="宋体" w:cs="宋体"/>
          <w:b/>
          <w:color w:val="auto"/>
          <w:sz w:val="21"/>
          <w:szCs w:val="21"/>
          <w:highlight w:val="none"/>
        </w:rPr>
        <w:t>29．招标代理服务费</w:t>
      </w:r>
      <w:bookmarkEnd w:id="95"/>
    </w:p>
    <w:p w14:paraId="373C9021">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29.1 招标代理服务费的计算方法：以中标金额为基数，依据国家计委颁布《招标代理服务收费管理暂行办法》（计价格[2002]1980号）文件的有关规定执行。</w:t>
      </w:r>
    </w:p>
    <w:p w14:paraId="767DA0C1">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29.2 中标单位在领取中标通知书前，须向采购代理机构一次性支付招标代理服务费。</w:t>
      </w:r>
    </w:p>
    <w:p w14:paraId="23C9E304">
      <w:pPr>
        <w:shd w:val="clear" w:color="auto" w:fill="auto"/>
        <w:spacing w:line="360" w:lineRule="auto"/>
        <w:outlineLvl w:val="9"/>
        <w:rPr>
          <w:rFonts w:hAnsi="宋体" w:cs="宋体"/>
          <w:b/>
          <w:bCs/>
          <w:color w:val="auto"/>
          <w:sz w:val="21"/>
          <w:szCs w:val="21"/>
          <w:highlight w:val="none"/>
        </w:rPr>
      </w:pPr>
      <w:bookmarkStart w:id="96" w:name="_Toc5959"/>
      <w:r>
        <w:rPr>
          <w:rFonts w:hint="eastAsia" w:hAnsi="宋体" w:cs="宋体"/>
          <w:b/>
          <w:bCs/>
          <w:color w:val="auto"/>
          <w:sz w:val="21"/>
          <w:szCs w:val="21"/>
          <w:highlight w:val="none"/>
        </w:rPr>
        <w:t>30.质疑</w:t>
      </w:r>
      <w:bookmarkEnd w:id="96"/>
    </w:p>
    <w:p w14:paraId="5CBFED6C">
      <w:pPr>
        <w:shd w:val="clear" w:color="auto" w:fill="auto"/>
        <w:spacing w:line="360" w:lineRule="auto"/>
        <w:ind w:right="12" w:firstLine="480"/>
        <w:rPr>
          <w:rFonts w:hAnsi="宋体" w:cs="宋体"/>
          <w:color w:val="auto"/>
          <w:sz w:val="21"/>
          <w:szCs w:val="21"/>
          <w:highlight w:val="none"/>
        </w:rPr>
      </w:pPr>
      <w:r>
        <w:rPr>
          <w:rFonts w:hint="eastAsia" w:hAnsi="宋体" w:cs="宋体"/>
          <w:color w:val="auto"/>
          <w:sz w:val="21"/>
          <w:szCs w:val="21"/>
          <w:highlight w:val="none"/>
        </w:rPr>
        <w:t>30.1供应商认为招标文件、招标过程、中标结果使自己的权益受到损害的，可以在知道或者应知其权益受到损害之日起7个工作日内，以书面形式向采购人、采购代理机构提出质疑。</w:t>
      </w:r>
    </w:p>
    <w:p w14:paraId="1EA3FC1F">
      <w:pPr>
        <w:shd w:val="clear" w:color="auto" w:fill="auto"/>
        <w:spacing w:line="360" w:lineRule="auto"/>
        <w:ind w:right="12" w:firstLine="480"/>
        <w:rPr>
          <w:rStyle w:val="20"/>
          <w:rFonts w:hAnsi="宋体" w:cs="宋体"/>
          <w:bCs w:val="0"/>
          <w:color w:val="auto"/>
          <w:sz w:val="21"/>
          <w:szCs w:val="21"/>
          <w:highlight w:val="none"/>
          <w:shd w:val="clear" w:color="auto" w:fill="FFFFFF"/>
        </w:rPr>
      </w:pPr>
      <w:r>
        <w:rPr>
          <w:rFonts w:hint="eastAsia" w:hAnsi="宋体" w:cs="宋体"/>
          <w:color w:val="auto"/>
          <w:sz w:val="21"/>
          <w:szCs w:val="21"/>
          <w:highlight w:val="none"/>
        </w:rPr>
        <w:t>30.2供应商必须在法定质疑期内一次性提出针对同一采购程序环节的质疑。</w:t>
      </w:r>
    </w:p>
    <w:p w14:paraId="3F02026D">
      <w:pPr>
        <w:shd w:val="clear" w:color="auto" w:fill="auto"/>
        <w:spacing w:line="360" w:lineRule="auto"/>
        <w:ind w:left="3" w:firstLine="453" w:firstLineChars="216"/>
        <w:rPr>
          <w:rStyle w:val="20"/>
          <w:rFonts w:hAnsi="宋体" w:cs="宋体"/>
          <w:b w:val="0"/>
          <w:color w:val="auto"/>
          <w:sz w:val="21"/>
          <w:szCs w:val="21"/>
          <w:highlight w:val="none"/>
          <w:shd w:val="clear" w:color="auto" w:fill="FFFFFF"/>
        </w:rPr>
      </w:pPr>
      <w:r>
        <w:rPr>
          <w:rStyle w:val="20"/>
          <w:rFonts w:hint="eastAsia" w:hAnsi="宋体" w:cs="宋体"/>
          <w:b w:val="0"/>
          <w:color w:val="auto"/>
          <w:sz w:val="21"/>
          <w:szCs w:val="21"/>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或负责人、主要负责人签字或者盖章，并加盖公章。</w:t>
      </w:r>
    </w:p>
    <w:p w14:paraId="1149348B">
      <w:pPr>
        <w:shd w:val="clear" w:color="auto" w:fill="auto"/>
        <w:spacing w:line="360" w:lineRule="auto"/>
        <w:ind w:left="3" w:firstLine="453" w:firstLineChars="216"/>
        <w:rPr>
          <w:rStyle w:val="20"/>
          <w:rFonts w:hAnsi="宋体" w:cs="宋体"/>
          <w:b w:val="0"/>
          <w:color w:val="auto"/>
          <w:sz w:val="21"/>
          <w:szCs w:val="21"/>
          <w:highlight w:val="none"/>
          <w:shd w:val="clear" w:color="auto" w:fill="FFFFFF"/>
        </w:rPr>
      </w:pPr>
      <w:r>
        <w:rPr>
          <w:rStyle w:val="20"/>
          <w:rFonts w:hint="eastAsia" w:hAnsi="宋体" w:cs="宋体"/>
          <w:b w:val="0"/>
          <w:color w:val="auto"/>
          <w:sz w:val="21"/>
          <w:szCs w:val="21"/>
          <w:highlight w:val="none"/>
          <w:shd w:val="clear" w:color="auto" w:fill="FFFFFF"/>
        </w:rPr>
        <w:t>30.4以联合体形式参加政府采购活动的，其质疑应当由组成联合体的所有供应商共同提出。</w:t>
      </w:r>
    </w:p>
    <w:p w14:paraId="2B73648C">
      <w:pPr>
        <w:shd w:val="clear" w:color="auto" w:fill="auto"/>
        <w:spacing w:line="360" w:lineRule="auto"/>
        <w:ind w:right="12" w:firstLine="420" w:firstLineChars="200"/>
        <w:rPr>
          <w:rFonts w:hAnsi="宋体" w:cs="宋体"/>
          <w:color w:val="auto"/>
          <w:sz w:val="21"/>
          <w:szCs w:val="21"/>
          <w:highlight w:val="none"/>
        </w:rPr>
      </w:pPr>
      <w:r>
        <w:rPr>
          <w:rFonts w:hint="eastAsia" w:hAnsi="宋体" w:cs="宋体"/>
          <w:color w:val="auto"/>
          <w:sz w:val="21"/>
          <w:szCs w:val="21"/>
          <w:highlight w:val="none"/>
        </w:rPr>
        <w:t>30.5供应商提出质疑应当提交质疑函和必要的证明材料。质疑函应当包括下列内容：</w:t>
      </w:r>
    </w:p>
    <w:p w14:paraId="67867874">
      <w:pPr>
        <w:shd w:val="clear" w:color="auto" w:fill="auto"/>
        <w:spacing w:line="360" w:lineRule="auto"/>
        <w:ind w:right="12" w:firstLine="420" w:firstLineChars="200"/>
        <w:rPr>
          <w:rFonts w:hAnsi="宋体" w:cs="宋体"/>
          <w:color w:val="auto"/>
          <w:sz w:val="21"/>
          <w:szCs w:val="21"/>
          <w:highlight w:val="none"/>
        </w:rPr>
      </w:pPr>
      <w:r>
        <w:rPr>
          <w:rFonts w:hint="eastAsia" w:hAnsi="宋体" w:cs="宋体"/>
          <w:color w:val="auto"/>
          <w:sz w:val="21"/>
          <w:szCs w:val="21"/>
          <w:highlight w:val="none"/>
        </w:rPr>
        <w:t>30.5.1供应商的姓名或者名称、地址、邮编、联系人及联系电话；</w:t>
      </w:r>
    </w:p>
    <w:p w14:paraId="6B0CE4D6">
      <w:pPr>
        <w:shd w:val="clear" w:color="auto" w:fill="auto"/>
        <w:spacing w:line="360" w:lineRule="auto"/>
        <w:ind w:right="12" w:firstLine="420" w:firstLineChars="200"/>
        <w:rPr>
          <w:rFonts w:hAnsi="宋体" w:cs="宋体"/>
          <w:color w:val="auto"/>
          <w:sz w:val="21"/>
          <w:szCs w:val="21"/>
          <w:highlight w:val="none"/>
        </w:rPr>
      </w:pPr>
      <w:r>
        <w:rPr>
          <w:rFonts w:hint="eastAsia" w:hAnsi="宋体" w:cs="宋体"/>
          <w:color w:val="auto"/>
          <w:sz w:val="21"/>
          <w:szCs w:val="21"/>
          <w:highlight w:val="none"/>
        </w:rPr>
        <w:t>30.5.2质疑项目的名称、</w:t>
      </w:r>
      <w:r>
        <w:rPr>
          <w:rFonts w:hint="eastAsia" w:hAnsi="宋体" w:cs="宋体"/>
          <w:color w:val="auto"/>
          <w:sz w:val="21"/>
          <w:szCs w:val="21"/>
          <w:highlight w:val="none"/>
          <w:lang w:eastAsia="zh-CN"/>
        </w:rPr>
        <w:t>编号、包号</w:t>
      </w:r>
      <w:r>
        <w:rPr>
          <w:rFonts w:hint="eastAsia" w:hAnsi="宋体" w:cs="宋体"/>
          <w:color w:val="auto"/>
          <w:sz w:val="21"/>
          <w:szCs w:val="21"/>
          <w:highlight w:val="none"/>
        </w:rPr>
        <w:t>；</w:t>
      </w:r>
    </w:p>
    <w:p w14:paraId="73EC7A27">
      <w:pPr>
        <w:shd w:val="clear" w:color="auto" w:fill="auto"/>
        <w:spacing w:line="360" w:lineRule="auto"/>
        <w:ind w:right="12" w:firstLine="420" w:firstLineChars="200"/>
        <w:rPr>
          <w:rFonts w:hAnsi="宋体" w:cs="宋体"/>
          <w:color w:val="auto"/>
          <w:sz w:val="21"/>
          <w:szCs w:val="21"/>
          <w:highlight w:val="none"/>
        </w:rPr>
      </w:pPr>
      <w:r>
        <w:rPr>
          <w:rFonts w:hint="eastAsia" w:hAnsi="宋体" w:cs="宋体"/>
          <w:color w:val="auto"/>
          <w:sz w:val="21"/>
          <w:szCs w:val="21"/>
          <w:highlight w:val="none"/>
        </w:rPr>
        <w:t>30.5.3具体、明确的质疑事项和与质疑事项相关的请求；</w:t>
      </w:r>
    </w:p>
    <w:p w14:paraId="25C5104E">
      <w:pPr>
        <w:shd w:val="clear" w:color="auto" w:fill="auto"/>
        <w:spacing w:line="360" w:lineRule="auto"/>
        <w:ind w:right="12" w:firstLine="420" w:firstLineChars="200"/>
        <w:rPr>
          <w:rFonts w:hAnsi="宋体" w:cs="宋体"/>
          <w:color w:val="auto"/>
          <w:sz w:val="21"/>
          <w:szCs w:val="21"/>
          <w:highlight w:val="none"/>
        </w:rPr>
      </w:pPr>
      <w:r>
        <w:rPr>
          <w:rFonts w:hint="eastAsia" w:hAnsi="宋体" w:cs="宋体"/>
          <w:color w:val="auto"/>
          <w:sz w:val="21"/>
          <w:szCs w:val="21"/>
          <w:highlight w:val="none"/>
        </w:rPr>
        <w:t>30.5.4事实依据；</w:t>
      </w:r>
    </w:p>
    <w:p w14:paraId="7D80628A">
      <w:pPr>
        <w:shd w:val="clear" w:color="auto" w:fill="auto"/>
        <w:spacing w:line="360" w:lineRule="auto"/>
        <w:ind w:right="12" w:firstLine="420" w:firstLineChars="200"/>
        <w:rPr>
          <w:rFonts w:hAnsi="宋体" w:cs="宋体"/>
          <w:color w:val="auto"/>
          <w:sz w:val="21"/>
          <w:szCs w:val="21"/>
          <w:highlight w:val="none"/>
        </w:rPr>
      </w:pPr>
      <w:r>
        <w:rPr>
          <w:rFonts w:hint="eastAsia" w:hAnsi="宋体" w:cs="宋体"/>
          <w:color w:val="auto"/>
          <w:sz w:val="21"/>
          <w:szCs w:val="21"/>
          <w:highlight w:val="none"/>
        </w:rPr>
        <w:t>30.5.5必要的法律依据；</w:t>
      </w:r>
    </w:p>
    <w:p w14:paraId="371CB19D">
      <w:pPr>
        <w:shd w:val="clear" w:color="auto" w:fill="auto"/>
        <w:spacing w:line="360" w:lineRule="auto"/>
        <w:ind w:right="12" w:firstLine="420" w:firstLineChars="200"/>
        <w:rPr>
          <w:rStyle w:val="20"/>
          <w:rFonts w:hAnsi="宋体" w:cs="宋体"/>
          <w:b w:val="0"/>
          <w:color w:val="auto"/>
          <w:sz w:val="21"/>
          <w:szCs w:val="21"/>
          <w:highlight w:val="none"/>
          <w:shd w:val="clear" w:color="auto" w:fill="FFFFFF"/>
        </w:rPr>
      </w:pPr>
      <w:r>
        <w:rPr>
          <w:rFonts w:hint="eastAsia" w:hAnsi="宋体" w:cs="宋体"/>
          <w:color w:val="auto"/>
          <w:sz w:val="21"/>
          <w:szCs w:val="21"/>
          <w:highlight w:val="none"/>
        </w:rPr>
        <w:t>30.5.6提出质疑的日期。</w:t>
      </w:r>
    </w:p>
    <w:p w14:paraId="5AF4B1B5">
      <w:pPr>
        <w:widowControl/>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30.6有下列情形之一的，属于无效质疑，采购代理机构和采购人不予受理：</w:t>
      </w:r>
    </w:p>
    <w:p w14:paraId="1C011D67">
      <w:pPr>
        <w:widowControl/>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30.6.1质疑供应商不是参与本次政府采购项目的供应商；</w:t>
      </w:r>
    </w:p>
    <w:p w14:paraId="54FEA2A6">
      <w:pPr>
        <w:widowControl/>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30.6.2质疑供应商与质疑事项不存在利害关系的；</w:t>
      </w:r>
    </w:p>
    <w:p w14:paraId="42DE7206">
      <w:pPr>
        <w:widowControl/>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30.6.3未在法定期限内提出质疑的；</w:t>
      </w:r>
    </w:p>
    <w:p w14:paraId="4F0594D7">
      <w:pPr>
        <w:widowControl/>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30.6.4质疑未以书面形式提出，或质疑函主要内容构成不完整的；</w:t>
      </w:r>
    </w:p>
    <w:p w14:paraId="1D2C26EE">
      <w:pPr>
        <w:widowControl/>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30.6.5应当提交授权书而未提交的；</w:t>
      </w:r>
    </w:p>
    <w:p w14:paraId="49841440">
      <w:pPr>
        <w:widowControl/>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30.6.6以非法手段取得证据、材料的；</w:t>
      </w:r>
    </w:p>
    <w:p w14:paraId="02FEAE5D">
      <w:pPr>
        <w:widowControl/>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30.6.7质疑答复后，同一质疑人就同一事项或同一采购程序环节再次提出质疑的；</w:t>
      </w:r>
    </w:p>
    <w:p w14:paraId="39DD619F">
      <w:pPr>
        <w:widowControl/>
        <w:shd w:val="clear" w:color="auto" w:fill="auto"/>
        <w:spacing w:line="360" w:lineRule="auto"/>
        <w:ind w:firstLine="420" w:firstLineChars="200"/>
        <w:rPr>
          <w:rStyle w:val="20"/>
          <w:rFonts w:hAnsi="宋体" w:cs="宋体"/>
          <w:b w:val="0"/>
          <w:color w:val="auto"/>
          <w:sz w:val="21"/>
          <w:szCs w:val="21"/>
          <w:highlight w:val="none"/>
          <w:shd w:val="clear" w:color="auto" w:fill="FFFFFF"/>
        </w:rPr>
      </w:pPr>
      <w:r>
        <w:rPr>
          <w:rFonts w:hint="eastAsia" w:hAnsi="宋体" w:cs="宋体"/>
          <w:color w:val="auto"/>
          <w:sz w:val="21"/>
          <w:szCs w:val="21"/>
          <w:highlight w:val="none"/>
        </w:rPr>
        <w:t>30.6.8不符合法律、法规、规章和政府采购监管机构规定的其他条件的。</w:t>
      </w:r>
    </w:p>
    <w:p w14:paraId="4F69FB9C">
      <w:pPr>
        <w:shd w:val="clear" w:color="auto" w:fill="auto"/>
        <w:spacing w:line="360" w:lineRule="auto"/>
        <w:ind w:right="12"/>
        <w:outlineLvl w:val="9"/>
        <w:rPr>
          <w:rFonts w:hAnsi="宋体" w:cs="宋体"/>
          <w:color w:val="auto"/>
          <w:sz w:val="21"/>
          <w:szCs w:val="21"/>
          <w:highlight w:val="none"/>
        </w:rPr>
      </w:pPr>
      <w:r>
        <w:rPr>
          <w:rFonts w:hint="eastAsia" w:hAnsi="宋体" w:cs="宋体"/>
          <w:color w:val="auto"/>
          <w:sz w:val="21"/>
          <w:szCs w:val="21"/>
          <w:highlight w:val="none"/>
        </w:rPr>
        <w:t xml:space="preserve">    </w:t>
      </w:r>
      <w:bookmarkStart w:id="97" w:name="_Toc12257"/>
      <w:r>
        <w:rPr>
          <w:rFonts w:hint="eastAsia" w:hAnsi="宋体" w:cs="宋体"/>
          <w:color w:val="auto"/>
          <w:sz w:val="21"/>
          <w:szCs w:val="21"/>
          <w:highlight w:val="none"/>
        </w:rPr>
        <w:t>30.7质疑答复</w:t>
      </w:r>
      <w:bookmarkEnd w:id="97"/>
    </w:p>
    <w:p w14:paraId="13B94202">
      <w:pPr>
        <w:pStyle w:val="24"/>
        <w:shd w:val="clear" w:color="auto" w:fill="auto"/>
        <w:spacing w:line="360" w:lineRule="auto"/>
        <w:ind w:firstLine="480"/>
        <w:jc w:val="left"/>
        <w:rPr>
          <w:rFonts w:hAnsi="宋体" w:cs="宋体"/>
          <w:color w:val="auto"/>
          <w:sz w:val="21"/>
          <w:szCs w:val="21"/>
          <w:highlight w:val="none"/>
        </w:rPr>
      </w:pPr>
      <w:r>
        <w:rPr>
          <w:rFonts w:hint="eastAsia" w:hAnsi="宋体" w:cs="宋体"/>
          <w:color w:val="auto"/>
          <w:sz w:val="21"/>
          <w:szCs w:val="21"/>
          <w:highlight w:val="none"/>
        </w:rPr>
        <w:t>30.7.1采购人或采购代理机构在收到质疑函后7个工作日内作出答复，并以书面形式通知质疑供应商和其他有关供应商。</w:t>
      </w:r>
    </w:p>
    <w:p w14:paraId="1E3A891C">
      <w:pPr>
        <w:pStyle w:val="24"/>
        <w:shd w:val="clear" w:color="auto" w:fill="auto"/>
        <w:spacing w:line="360" w:lineRule="auto"/>
        <w:ind w:firstLine="480" w:firstLineChars="0"/>
        <w:jc w:val="left"/>
        <w:rPr>
          <w:rFonts w:hAnsi="宋体" w:cs="宋体"/>
          <w:color w:val="auto"/>
          <w:sz w:val="21"/>
          <w:szCs w:val="21"/>
          <w:highlight w:val="none"/>
        </w:rPr>
      </w:pPr>
      <w:r>
        <w:rPr>
          <w:rFonts w:hint="eastAsia" w:hAnsi="宋体" w:cs="宋体"/>
          <w:color w:val="auto"/>
          <w:sz w:val="21"/>
          <w:szCs w:val="21"/>
          <w:highlight w:val="none"/>
        </w:rPr>
        <w:t>30.7.2质疑供应商对采购人、采购代理机构的答复不满意，或者采购人、采购代理机构未在规定时间内作出答复的，可以在答复期满后15个工作日内向项目主管财政部门提起投诉。</w:t>
      </w:r>
    </w:p>
    <w:p w14:paraId="1EF25290">
      <w:pPr>
        <w:pStyle w:val="24"/>
        <w:shd w:val="clear" w:color="auto" w:fill="auto"/>
        <w:spacing w:line="360" w:lineRule="auto"/>
        <w:ind w:firstLine="480" w:firstLineChars="0"/>
        <w:jc w:val="left"/>
        <w:rPr>
          <w:rFonts w:hint="default" w:hAnsi="宋体" w:eastAsia="宋体" w:cs="宋体"/>
          <w:color w:val="auto"/>
          <w:sz w:val="21"/>
          <w:szCs w:val="21"/>
          <w:highlight w:val="none"/>
          <w:lang w:val="en-US" w:eastAsia="zh-CN"/>
        </w:rPr>
      </w:pPr>
      <w:r>
        <w:rPr>
          <w:rFonts w:hint="eastAsia" w:hAnsi="宋体" w:cs="宋体"/>
          <w:color w:val="auto"/>
          <w:sz w:val="21"/>
          <w:szCs w:val="21"/>
          <w:highlight w:val="none"/>
        </w:rPr>
        <w:t>30.8.1质疑函须</w:t>
      </w:r>
      <w:r>
        <w:rPr>
          <w:rFonts w:hint="eastAsia" w:hAnsi="宋体" w:cs="宋体"/>
          <w:color w:val="auto"/>
          <w:sz w:val="21"/>
          <w:szCs w:val="21"/>
          <w:highlight w:val="none"/>
          <w:lang w:val="en-US" w:eastAsia="zh-CN"/>
        </w:rPr>
        <w:t>招标文件格式要求填写。</w:t>
      </w:r>
    </w:p>
    <w:p w14:paraId="0EF9B5AD">
      <w:pPr>
        <w:pStyle w:val="24"/>
        <w:shd w:val="clear" w:color="auto" w:fill="auto"/>
        <w:spacing w:line="360" w:lineRule="auto"/>
        <w:ind w:firstLine="480" w:firstLineChars="0"/>
        <w:jc w:val="left"/>
        <w:rPr>
          <w:rFonts w:hAnsi="宋体" w:cs="宋体"/>
          <w:color w:val="auto"/>
          <w:sz w:val="21"/>
          <w:szCs w:val="21"/>
          <w:highlight w:val="none"/>
        </w:rPr>
      </w:pPr>
      <w:r>
        <w:rPr>
          <w:rFonts w:hint="eastAsia" w:hAnsi="宋体" w:cs="宋体"/>
          <w:color w:val="auto"/>
          <w:sz w:val="21"/>
          <w:szCs w:val="21"/>
          <w:highlight w:val="none"/>
        </w:rPr>
        <w:t>30.8.2接收质疑函的方式：书面形式</w:t>
      </w:r>
    </w:p>
    <w:p w14:paraId="6D434EBF">
      <w:pPr>
        <w:pStyle w:val="24"/>
        <w:shd w:val="clear" w:color="auto" w:fill="auto"/>
        <w:spacing w:line="360" w:lineRule="auto"/>
        <w:ind w:firstLine="480" w:firstLineChars="0"/>
        <w:jc w:val="left"/>
        <w:rPr>
          <w:rFonts w:hAnsi="宋体" w:cs="宋体"/>
          <w:color w:val="auto"/>
          <w:sz w:val="21"/>
          <w:szCs w:val="21"/>
          <w:highlight w:val="none"/>
        </w:rPr>
      </w:pPr>
      <w:r>
        <w:rPr>
          <w:rFonts w:hint="eastAsia" w:hAnsi="宋体" w:cs="宋体"/>
          <w:color w:val="auto"/>
          <w:sz w:val="21"/>
          <w:szCs w:val="21"/>
          <w:highlight w:val="none"/>
        </w:rPr>
        <w:t>30.8.3联系部门：陕西至诚</w:t>
      </w:r>
      <w:r>
        <w:rPr>
          <w:rFonts w:hint="eastAsia" w:hAnsi="宋体" w:cs="宋体"/>
          <w:color w:val="auto"/>
          <w:sz w:val="21"/>
          <w:szCs w:val="21"/>
          <w:highlight w:val="none"/>
          <w:lang w:eastAsia="zh-CN"/>
        </w:rPr>
        <w:t>项目管理集团有限公司</w:t>
      </w:r>
      <w:r>
        <w:rPr>
          <w:rFonts w:hint="eastAsia" w:hAnsi="宋体" w:cs="宋体"/>
          <w:color w:val="auto"/>
          <w:sz w:val="21"/>
          <w:szCs w:val="21"/>
          <w:highlight w:val="none"/>
        </w:rPr>
        <w:t>前台</w:t>
      </w:r>
    </w:p>
    <w:p w14:paraId="74627363">
      <w:pPr>
        <w:pStyle w:val="24"/>
        <w:shd w:val="clear" w:color="auto" w:fill="auto"/>
        <w:spacing w:line="360" w:lineRule="auto"/>
        <w:ind w:firstLine="480" w:firstLineChars="0"/>
        <w:jc w:val="left"/>
        <w:rPr>
          <w:rFonts w:hint="default" w:ascii="Calibri" w:hAnsi="宋体" w:eastAsia="宋体" w:cs="宋体"/>
          <w:color w:val="auto"/>
          <w:sz w:val="21"/>
          <w:szCs w:val="21"/>
          <w:highlight w:val="none"/>
          <w:lang w:val="en-US" w:eastAsia="zh-CN"/>
        </w:rPr>
      </w:pPr>
      <w:r>
        <w:rPr>
          <w:rFonts w:hint="eastAsia" w:ascii="Calibri" w:hAnsi="宋体" w:eastAsia="宋体" w:cs="宋体"/>
          <w:color w:val="auto"/>
          <w:sz w:val="21"/>
          <w:szCs w:val="21"/>
          <w:highlight w:val="none"/>
          <w:lang w:eastAsia="zh-CN"/>
        </w:rPr>
        <w:t>30.8.4联系电话：</w:t>
      </w:r>
      <w:r>
        <w:rPr>
          <w:rFonts w:hint="eastAsia" w:ascii="Calibri" w:hAnsi="宋体" w:cs="宋体"/>
          <w:color w:val="auto"/>
          <w:sz w:val="21"/>
          <w:szCs w:val="21"/>
          <w:highlight w:val="none"/>
          <w:lang w:eastAsia="zh-CN"/>
        </w:rPr>
        <w:t>029-88219779</w:t>
      </w:r>
    </w:p>
    <w:p w14:paraId="4D736638">
      <w:pPr>
        <w:pStyle w:val="24"/>
        <w:shd w:val="clear" w:color="auto" w:fill="auto"/>
        <w:spacing w:line="360" w:lineRule="auto"/>
        <w:ind w:firstLine="480" w:firstLineChars="0"/>
        <w:jc w:val="left"/>
        <w:rPr>
          <w:rFonts w:hint="eastAsia" w:ascii="Calibri" w:hAnsi="宋体" w:eastAsia="宋体" w:cs="宋体"/>
          <w:color w:val="auto"/>
          <w:sz w:val="21"/>
          <w:szCs w:val="21"/>
          <w:highlight w:val="none"/>
          <w:lang w:eastAsia="zh-CN"/>
        </w:rPr>
      </w:pPr>
      <w:r>
        <w:rPr>
          <w:rFonts w:hint="eastAsia" w:ascii="Calibri" w:hAnsi="宋体" w:eastAsia="宋体" w:cs="宋体"/>
          <w:color w:val="auto"/>
          <w:sz w:val="21"/>
          <w:szCs w:val="21"/>
          <w:highlight w:val="none"/>
          <w:lang w:eastAsia="zh-CN"/>
        </w:rPr>
        <w:t>31.8.5通讯地址：陕西省西安市经济技术开发区未央路171-1号银池道拉斯财富中心21楼03室</w:t>
      </w:r>
    </w:p>
    <w:p w14:paraId="538A2AEE">
      <w:pPr>
        <w:shd w:val="clear" w:color="auto" w:fill="auto"/>
        <w:spacing w:line="360" w:lineRule="auto"/>
        <w:outlineLvl w:val="9"/>
        <w:rPr>
          <w:rFonts w:hAnsi="宋体" w:cs="宋体"/>
          <w:color w:val="auto"/>
          <w:sz w:val="21"/>
          <w:szCs w:val="21"/>
          <w:highlight w:val="none"/>
        </w:rPr>
      </w:pPr>
      <w:bookmarkStart w:id="98" w:name="_Toc12895"/>
      <w:r>
        <w:rPr>
          <w:rFonts w:hint="eastAsia" w:hAnsi="宋体" w:cs="宋体"/>
          <w:b/>
          <w:bCs/>
          <w:color w:val="auto"/>
          <w:sz w:val="21"/>
          <w:szCs w:val="21"/>
          <w:highlight w:val="none"/>
        </w:rPr>
        <w:t>32.其他</w:t>
      </w:r>
      <w:bookmarkEnd w:id="98"/>
    </w:p>
    <w:p w14:paraId="51F828B7">
      <w:pPr>
        <w:shd w:val="clear" w:color="auto" w:fill="auto"/>
        <w:spacing w:line="360" w:lineRule="auto"/>
        <w:ind w:firstLine="420" w:firstLineChars="200"/>
        <w:outlineLvl w:val="9"/>
        <w:rPr>
          <w:rFonts w:hAnsi="宋体" w:cs="宋体"/>
          <w:color w:val="auto"/>
          <w:sz w:val="21"/>
          <w:szCs w:val="21"/>
          <w:highlight w:val="none"/>
        </w:rPr>
      </w:pPr>
      <w:bookmarkStart w:id="99" w:name="_Toc8116"/>
      <w:r>
        <w:rPr>
          <w:rFonts w:hint="eastAsia" w:hAnsi="宋体" w:cs="宋体"/>
          <w:color w:val="auto"/>
          <w:sz w:val="21"/>
          <w:szCs w:val="21"/>
          <w:highlight w:val="none"/>
        </w:rPr>
        <w:t>32.1 废标的情形</w:t>
      </w:r>
      <w:bookmarkEnd w:id="99"/>
    </w:p>
    <w:p w14:paraId="2DBB3AE9">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32.1.1招标采购中，出现下列情形之一的，应予以废标：</w:t>
      </w:r>
    </w:p>
    <w:p w14:paraId="297605E2">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（1）符合专业条件的供应商或者对招标文件作实质响应的供应商不足3家的；</w:t>
      </w:r>
    </w:p>
    <w:p w14:paraId="5ADC7397">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（2）出现影响采购公正的违法、违规行为的；</w:t>
      </w:r>
    </w:p>
    <w:p w14:paraId="42FA47FE">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（3）供应商的报价均超过了采购预算，采购人不能支付的；</w:t>
      </w:r>
    </w:p>
    <w:p w14:paraId="1733E1CF">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（4）因重大变故，采购任务取消的。</w:t>
      </w:r>
    </w:p>
    <w:p w14:paraId="7DDCE94B">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32.1.2废标后，采购代理机构应在财政部门指定采购网上公告，并公告废标的详细理由。</w:t>
      </w:r>
    </w:p>
    <w:p w14:paraId="3056C8BD">
      <w:pPr>
        <w:shd w:val="clear" w:color="auto" w:fill="auto"/>
        <w:spacing w:line="360" w:lineRule="auto"/>
        <w:ind w:firstLine="420" w:firstLineChars="200"/>
        <w:outlineLvl w:val="9"/>
        <w:rPr>
          <w:rFonts w:hAnsi="宋体" w:cs="宋体"/>
          <w:color w:val="auto"/>
          <w:sz w:val="21"/>
          <w:szCs w:val="21"/>
          <w:highlight w:val="none"/>
        </w:rPr>
      </w:pPr>
      <w:bookmarkStart w:id="100" w:name="_Toc11319"/>
      <w:r>
        <w:rPr>
          <w:rFonts w:hint="eastAsia" w:hAnsi="宋体" w:cs="宋体"/>
          <w:color w:val="auto"/>
          <w:sz w:val="21"/>
          <w:szCs w:val="21"/>
          <w:highlight w:val="none"/>
        </w:rPr>
        <w:t>32.2变更采购方式</w:t>
      </w:r>
      <w:bookmarkEnd w:id="100"/>
    </w:p>
    <w:p w14:paraId="21873E49">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32.2.1存在下列情形之一的，除采购任务取消情形外，采购人经同级财政部门同意后，可按《政府采购货物和服务招标投标管理办法》（财政部87号令）第四十三条规定的方式处理：</w:t>
      </w:r>
    </w:p>
    <w:p w14:paraId="5EE01538">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（1）投标截止后参加投标的人不足3家的；</w:t>
      </w:r>
    </w:p>
    <w:p w14:paraId="78BDB062">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（2）通过资格审查的供应商不足3家的；</w:t>
      </w:r>
    </w:p>
    <w:p w14:paraId="63339A51">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（3）通过符合性审查的供应商不足3家的。</w:t>
      </w:r>
    </w:p>
    <w:p w14:paraId="0A41D19C">
      <w:pPr>
        <w:shd w:val="clear" w:color="auto" w:fill="auto"/>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32.2.2通过符合性审查的供应商只有2家时，采购人经同级财政部门同意后，可以按《政府采购非招标采购方式管理办法》（财政部第74号令）的规定与该2家供应商进行竞争性谈判采购。</w:t>
      </w:r>
    </w:p>
    <w:p w14:paraId="1555384D">
      <w:pPr>
        <w:pStyle w:val="9"/>
        <w:bidi w:val="0"/>
        <w:rPr>
          <w:rFonts w:hint="default" w:eastAsia="宋体"/>
          <w:lang w:val="en-US" w:eastAsia="zh-CN"/>
        </w:rPr>
      </w:pPr>
    </w:p>
    <w:p w14:paraId="224552F8">
      <w:pPr>
        <w:rPr>
          <w:rFonts w:hint="eastAsia" w:ascii="宋体" w:eastAsia="宋体" w:cs="宋体"/>
          <w:sz w:val="36"/>
          <w:szCs w:val="36"/>
        </w:rPr>
      </w:pPr>
      <w:r>
        <w:rPr>
          <w:rFonts w:hint="eastAsia" w:ascii="宋体" w:eastAsia="宋体" w:cs="宋体"/>
          <w:sz w:val="36"/>
          <w:szCs w:val="36"/>
        </w:rPr>
        <w:br w:type="page"/>
      </w:r>
    </w:p>
    <w:p w14:paraId="5736E1DE">
      <w:pPr>
        <w:pStyle w:val="2"/>
        <w:keepNext/>
        <w:keepLines w:val="0"/>
        <w:pageBreakBefore w:val="0"/>
        <w:widowControl w:val="0"/>
        <w:numPr>
          <w:ilvl w:val="0"/>
          <w:numId w:val="5"/>
        </w:numPr>
        <w:kinsoku/>
        <w:wordWrap/>
        <w:overflowPunct/>
        <w:topLinePunct w:val="0"/>
        <w:autoSpaceDE/>
        <w:autoSpaceDN/>
        <w:bidi w:val="0"/>
        <w:adjustRightInd/>
        <w:snapToGrid w:val="0"/>
        <w:spacing w:line="240" w:lineRule="auto"/>
        <w:jc w:val="center"/>
        <w:textAlignment w:val="auto"/>
        <w:rPr>
          <w:rFonts w:hint="eastAsia" w:ascii="宋体" w:eastAsia="宋体" w:cs="宋体"/>
          <w:sz w:val="24"/>
          <w:szCs w:val="24"/>
        </w:rPr>
      </w:pPr>
      <w:r>
        <w:rPr>
          <w:rFonts w:hint="eastAsia" w:ascii="宋体" w:eastAsia="宋体" w:cs="宋体"/>
          <w:sz w:val="24"/>
          <w:szCs w:val="24"/>
        </w:rPr>
        <w:t xml:space="preserve"> </w:t>
      </w:r>
      <w:bookmarkEnd w:id="31"/>
      <w:bookmarkEnd w:id="32"/>
      <w:bookmarkStart w:id="101" w:name="_Toc8376"/>
      <w:bookmarkStart w:id="102" w:name="_Toc21181"/>
      <w:bookmarkStart w:id="103" w:name="_Toc12454"/>
      <w:bookmarkStart w:id="104" w:name="_Toc12380"/>
      <w:r>
        <w:rPr>
          <w:rFonts w:hint="eastAsia" w:ascii="宋体" w:eastAsia="宋体" w:cs="宋体"/>
          <w:sz w:val="24"/>
          <w:szCs w:val="24"/>
        </w:rPr>
        <w:t>评标办法</w:t>
      </w:r>
      <w:bookmarkEnd w:id="101"/>
      <w:bookmarkEnd w:id="102"/>
      <w:bookmarkEnd w:id="103"/>
      <w:bookmarkEnd w:id="104"/>
    </w:p>
    <w:p w14:paraId="7724CDBE">
      <w:pPr>
        <w:widowControl w:val="0"/>
        <w:numPr>
          <w:ilvl w:val="0"/>
          <w:numId w:val="0"/>
        </w:numPr>
        <w:jc w:val="both"/>
        <w:rPr>
          <w:rFonts w:hint="eastAsia"/>
        </w:rPr>
      </w:pPr>
    </w:p>
    <w:p w14:paraId="7875E2B2">
      <w:pPr>
        <w:pStyle w:val="9"/>
        <w:shd w:val="clear" w:color="auto" w:fill="auto"/>
        <w:jc w:val="center"/>
        <w:outlineLvl w:val="9"/>
        <w:rPr>
          <w:rFonts w:hint="default" w:ascii="宋体" w:hAnsi="宋体" w:eastAsia="宋体" w:cs="宋体"/>
          <w:b/>
          <w:bCs/>
          <w:color w:val="auto"/>
          <w:sz w:val="21"/>
          <w:szCs w:val="21"/>
          <w:highlight w:val="none"/>
          <w:lang w:val="en-US" w:eastAsia="zh-CN"/>
        </w:rPr>
      </w:pPr>
      <w:bookmarkStart w:id="105" w:name="_Toc29005"/>
      <w:r>
        <w:rPr>
          <w:rFonts w:hint="eastAsia" w:ascii="宋体" w:hAnsi="宋体" w:cs="宋体"/>
          <w:b/>
          <w:bCs/>
          <w:color w:val="auto"/>
          <w:sz w:val="21"/>
          <w:szCs w:val="21"/>
          <w:highlight w:val="none"/>
          <w:lang w:eastAsia="zh-CN"/>
        </w:rPr>
        <w:t>附件</w:t>
      </w:r>
      <w:r>
        <w:rPr>
          <w:rFonts w:hint="eastAsia" w:ascii="宋体" w:hAnsi="宋体" w:cs="宋体"/>
          <w:b/>
          <w:bCs/>
          <w:color w:val="auto"/>
          <w:sz w:val="21"/>
          <w:szCs w:val="21"/>
          <w:highlight w:val="none"/>
          <w:lang w:val="en-US" w:eastAsia="zh-CN"/>
        </w:rPr>
        <w:t xml:space="preserve">1 </w:t>
      </w:r>
      <w:r>
        <w:rPr>
          <w:rFonts w:hint="eastAsia" w:ascii="宋体" w:hAnsi="宋体" w:cs="宋体"/>
          <w:b/>
          <w:bCs/>
          <w:color w:val="auto"/>
          <w:sz w:val="21"/>
          <w:szCs w:val="21"/>
          <w:highlight w:val="none"/>
        </w:rPr>
        <w:t>初步审查要素表</w:t>
      </w:r>
      <w:bookmarkEnd w:id="105"/>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合同包1-合同包2）</w:t>
      </w:r>
    </w:p>
    <w:p w14:paraId="5B046E0A">
      <w:pPr>
        <w:pStyle w:val="9"/>
        <w:shd w:val="clear" w:color="auto" w:fill="auto"/>
        <w:jc w:val="both"/>
        <w:outlineLvl w:val="9"/>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eastAsia="zh-CN"/>
        </w:rPr>
        <w:t>（依据法律法规和招标文件的规定，由采购人</w:t>
      </w:r>
      <w:r>
        <w:rPr>
          <w:rFonts w:hint="eastAsia" w:ascii="宋体" w:hAnsi="宋体" w:cs="宋体"/>
          <w:b/>
          <w:bCs/>
          <w:color w:val="auto"/>
          <w:sz w:val="21"/>
          <w:szCs w:val="21"/>
          <w:highlight w:val="none"/>
          <w:lang w:val="en-US" w:eastAsia="zh-CN"/>
        </w:rPr>
        <w:t>及代理机构</w:t>
      </w:r>
      <w:r>
        <w:rPr>
          <w:rFonts w:hint="eastAsia" w:ascii="宋体" w:hAnsi="宋体" w:cs="宋体"/>
          <w:b/>
          <w:bCs/>
          <w:color w:val="auto"/>
          <w:sz w:val="21"/>
          <w:szCs w:val="21"/>
          <w:highlight w:val="none"/>
          <w:lang w:eastAsia="zh-CN"/>
        </w:rPr>
        <w:t>对投标人的资格证明文件进行审查，以确保投标人是否具备相应资格。）</w:t>
      </w:r>
    </w:p>
    <w:tbl>
      <w:tblPr>
        <w:tblStyle w:val="17"/>
        <w:tblW w:w="50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507"/>
        <w:gridCol w:w="912"/>
        <w:gridCol w:w="1696"/>
        <w:gridCol w:w="4680"/>
      </w:tblGrid>
      <w:tr w14:paraId="6536F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71" w:type="pct"/>
            <w:gridSpan w:val="2"/>
            <w:noWrap w:val="0"/>
            <w:vAlign w:val="center"/>
          </w:tcPr>
          <w:p w14:paraId="62085819">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b/>
                <w:color w:val="auto"/>
                <w:sz w:val="21"/>
                <w:szCs w:val="21"/>
                <w:highlight w:val="none"/>
              </w:rPr>
            </w:pPr>
            <w:r>
              <w:rPr>
                <w:rFonts w:hint="eastAsia" w:hAnsi="宋体" w:cs="宋体"/>
                <w:b/>
                <w:color w:val="auto"/>
                <w:sz w:val="21"/>
                <w:szCs w:val="21"/>
                <w:highlight w:val="none"/>
              </w:rPr>
              <w:t>条款号</w:t>
            </w:r>
          </w:p>
        </w:tc>
        <w:tc>
          <w:tcPr>
            <w:tcW w:w="1513" w:type="pct"/>
            <w:gridSpan w:val="2"/>
            <w:noWrap w:val="0"/>
            <w:vAlign w:val="center"/>
          </w:tcPr>
          <w:p w14:paraId="056AF36C">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b/>
                <w:color w:val="auto"/>
                <w:sz w:val="21"/>
                <w:szCs w:val="21"/>
                <w:highlight w:val="none"/>
              </w:rPr>
            </w:pPr>
            <w:r>
              <w:rPr>
                <w:rFonts w:hint="eastAsia" w:hAnsi="宋体" w:cs="宋体"/>
                <w:b/>
                <w:color w:val="auto"/>
                <w:sz w:val="21"/>
                <w:szCs w:val="21"/>
                <w:highlight w:val="none"/>
              </w:rPr>
              <w:t>评审因素</w:t>
            </w:r>
          </w:p>
        </w:tc>
        <w:tc>
          <w:tcPr>
            <w:tcW w:w="2714" w:type="pct"/>
            <w:noWrap w:val="0"/>
            <w:vAlign w:val="center"/>
          </w:tcPr>
          <w:p w14:paraId="431ECAE9">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b/>
                <w:color w:val="auto"/>
                <w:sz w:val="21"/>
                <w:szCs w:val="21"/>
                <w:highlight w:val="none"/>
              </w:rPr>
            </w:pPr>
            <w:r>
              <w:rPr>
                <w:rFonts w:hint="eastAsia" w:hAnsi="宋体" w:cs="宋体"/>
                <w:b/>
                <w:color w:val="auto"/>
                <w:sz w:val="21"/>
                <w:szCs w:val="21"/>
                <w:highlight w:val="none"/>
              </w:rPr>
              <w:t>评审标准</w:t>
            </w:r>
          </w:p>
        </w:tc>
      </w:tr>
      <w:tr w14:paraId="208C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77" w:type="pct"/>
            <w:vMerge w:val="restart"/>
            <w:noWrap w:val="0"/>
            <w:vAlign w:val="center"/>
          </w:tcPr>
          <w:p w14:paraId="4A123D6D">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b/>
                <w:color w:val="auto"/>
                <w:sz w:val="21"/>
                <w:szCs w:val="21"/>
                <w:highlight w:val="none"/>
              </w:rPr>
            </w:pPr>
            <w:r>
              <w:rPr>
                <w:rFonts w:hint="eastAsia" w:hAnsi="宋体" w:cs="宋体"/>
                <w:b/>
                <w:color w:val="auto"/>
                <w:sz w:val="21"/>
                <w:szCs w:val="21"/>
                <w:highlight w:val="none"/>
              </w:rPr>
              <w:t>2.1.1</w:t>
            </w:r>
          </w:p>
        </w:tc>
        <w:tc>
          <w:tcPr>
            <w:tcW w:w="294" w:type="pct"/>
            <w:vMerge w:val="restart"/>
            <w:noWrap w:val="0"/>
            <w:vAlign w:val="center"/>
          </w:tcPr>
          <w:p w14:paraId="41EE0ADD">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b/>
                <w:color w:val="auto"/>
                <w:sz w:val="21"/>
                <w:szCs w:val="21"/>
                <w:highlight w:val="none"/>
              </w:rPr>
            </w:pPr>
            <w:r>
              <w:rPr>
                <w:rFonts w:hint="eastAsia" w:hAnsi="宋体" w:cs="宋体"/>
                <w:b/>
                <w:color w:val="auto"/>
                <w:sz w:val="21"/>
                <w:szCs w:val="21"/>
                <w:highlight w:val="none"/>
              </w:rPr>
              <w:t>资格评审</w:t>
            </w:r>
          </w:p>
          <w:p w14:paraId="59538899">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b/>
                <w:color w:val="auto"/>
                <w:sz w:val="21"/>
                <w:szCs w:val="21"/>
                <w:highlight w:val="none"/>
              </w:rPr>
            </w:pPr>
            <w:r>
              <w:rPr>
                <w:rFonts w:hint="eastAsia" w:hAnsi="宋体" w:cs="宋体"/>
                <w:b/>
                <w:color w:val="auto"/>
                <w:sz w:val="21"/>
                <w:szCs w:val="21"/>
                <w:highlight w:val="none"/>
              </w:rPr>
              <w:t>标准</w:t>
            </w:r>
          </w:p>
        </w:tc>
        <w:tc>
          <w:tcPr>
            <w:tcW w:w="1513" w:type="pct"/>
            <w:gridSpan w:val="2"/>
            <w:noWrap w:val="0"/>
            <w:vAlign w:val="center"/>
          </w:tcPr>
          <w:p w14:paraId="62376D63">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b/>
                <w:color w:val="auto"/>
                <w:sz w:val="21"/>
                <w:szCs w:val="21"/>
                <w:highlight w:val="none"/>
              </w:rPr>
            </w:pPr>
            <w:r>
              <w:rPr>
                <w:rFonts w:hint="eastAsia" w:hAnsi="宋体" w:cs="宋体"/>
                <w:b/>
                <w:color w:val="auto"/>
                <w:sz w:val="21"/>
                <w:szCs w:val="21"/>
                <w:highlight w:val="none"/>
              </w:rPr>
              <w:t>营业执照</w:t>
            </w:r>
          </w:p>
        </w:tc>
        <w:tc>
          <w:tcPr>
            <w:tcW w:w="2714" w:type="pct"/>
            <w:noWrap w:val="0"/>
            <w:vAlign w:val="center"/>
          </w:tcPr>
          <w:p w14:paraId="420DABC2">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left"/>
              <w:textAlignment w:val="auto"/>
              <w:rPr>
                <w:rFonts w:hint="eastAsia" w:hAnsi="宋体" w:cs="宋体"/>
                <w:bCs/>
                <w:color w:val="auto"/>
                <w:sz w:val="21"/>
                <w:szCs w:val="21"/>
                <w:highlight w:val="none"/>
              </w:rPr>
            </w:pPr>
            <w:r>
              <w:rPr>
                <w:rFonts w:hint="eastAsia" w:hAnsi="宋体" w:cs="宋体"/>
                <w:bCs/>
                <w:color w:val="auto"/>
                <w:sz w:val="21"/>
                <w:szCs w:val="21"/>
                <w:highlight w:val="none"/>
              </w:rPr>
              <w:t>提供合格有效的法人或者其他组织的营业执照等证明文件，自然人的身份证明；</w:t>
            </w:r>
          </w:p>
        </w:tc>
      </w:tr>
      <w:tr w14:paraId="0C7D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477" w:type="pct"/>
            <w:vMerge w:val="continue"/>
            <w:noWrap w:val="0"/>
            <w:vAlign w:val="center"/>
          </w:tcPr>
          <w:p w14:paraId="73A33D64">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b/>
                <w:color w:val="auto"/>
                <w:sz w:val="21"/>
                <w:szCs w:val="21"/>
                <w:highlight w:val="none"/>
              </w:rPr>
            </w:pPr>
          </w:p>
        </w:tc>
        <w:tc>
          <w:tcPr>
            <w:tcW w:w="294" w:type="pct"/>
            <w:vMerge w:val="continue"/>
            <w:noWrap w:val="0"/>
            <w:vAlign w:val="center"/>
          </w:tcPr>
          <w:p w14:paraId="720D85B6">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b/>
                <w:color w:val="auto"/>
                <w:sz w:val="21"/>
                <w:szCs w:val="21"/>
                <w:highlight w:val="none"/>
              </w:rPr>
            </w:pPr>
          </w:p>
        </w:tc>
        <w:tc>
          <w:tcPr>
            <w:tcW w:w="1513" w:type="pct"/>
            <w:gridSpan w:val="2"/>
            <w:noWrap w:val="0"/>
            <w:vAlign w:val="center"/>
          </w:tcPr>
          <w:p w14:paraId="33B04A38">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b/>
                <w:color w:val="auto"/>
                <w:sz w:val="21"/>
                <w:szCs w:val="21"/>
                <w:highlight w:val="none"/>
              </w:rPr>
            </w:pPr>
            <w:r>
              <w:rPr>
                <w:rFonts w:hint="eastAsia" w:hAnsi="宋体" w:cs="宋体"/>
                <w:b/>
                <w:color w:val="auto"/>
                <w:sz w:val="21"/>
                <w:szCs w:val="21"/>
                <w:highlight w:val="none"/>
              </w:rPr>
              <w:t>法定代表人或负责人授权书/法定代表人身份证明</w:t>
            </w:r>
          </w:p>
        </w:tc>
        <w:tc>
          <w:tcPr>
            <w:tcW w:w="2714" w:type="pct"/>
            <w:noWrap w:val="0"/>
            <w:vAlign w:val="center"/>
          </w:tcPr>
          <w:p w14:paraId="6E679C91">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left"/>
              <w:textAlignment w:val="auto"/>
              <w:rPr>
                <w:rFonts w:hint="eastAsia" w:hAnsi="宋体" w:cs="宋体"/>
                <w:bCs/>
                <w:color w:val="auto"/>
                <w:sz w:val="21"/>
                <w:szCs w:val="21"/>
                <w:highlight w:val="none"/>
              </w:rPr>
            </w:pPr>
            <w:r>
              <w:rPr>
                <w:rFonts w:hint="eastAsia" w:ascii="宋体" w:hAnsi="宋体" w:eastAsia="宋体" w:cs="宋体"/>
                <w:color w:val="auto"/>
                <w:kern w:val="0"/>
                <w:sz w:val="21"/>
                <w:szCs w:val="21"/>
                <w:highlight w:val="none"/>
                <w:lang w:val="en-US" w:eastAsia="zh-CN" w:bidi="ar"/>
              </w:rPr>
              <w:t>提供法定代表人授权书（附法定代表人、被授权人身份证复印件，法定代表人直接参加投标，须提供法定代表人身份证明及身份证复印件）；</w:t>
            </w:r>
          </w:p>
        </w:tc>
      </w:tr>
      <w:tr w14:paraId="3380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477" w:type="pct"/>
            <w:vMerge w:val="continue"/>
            <w:noWrap w:val="0"/>
            <w:vAlign w:val="center"/>
          </w:tcPr>
          <w:p w14:paraId="50E0B925">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b/>
                <w:color w:val="auto"/>
                <w:sz w:val="21"/>
                <w:szCs w:val="21"/>
                <w:highlight w:val="none"/>
              </w:rPr>
            </w:pPr>
          </w:p>
        </w:tc>
        <w:tc>
          <w:tcPr>
            <w:tcW w:w="294" w:type="pct"/>
            <w:vMerge w:val="continue"/>
            <w:noWrap w:val="0"/>
            <w:vAlign w:val="center"/>
          </w:tcPr>
          <w:p w14:paraId="10736FAB">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b/>
                <w:color w:val="auto"/>
                <w:sz w:val="21"/>
                <w:szCs w:val="21"/>
                <w:highlight w:val="none"/>
              </w:rPr>
            </w:pPr>
          </w:p>
        </w:tc>
        <w:tc>
          <w:tcPr>
            <w:tcW w:w="1513" w:type="pct"/>
            <w:gridSpan w:val="2"/>
            <w:noWrap w:val="0"/>
            <w:vAlign w:val="center"/>
          </w:tcPr>
          <w:p w14:paraId="5D563DAA">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int="eastAsia" w:hAnsi="宋体" w:eastAsia="宋体" w:cs="宋体"/>
                <w:b/>
                <w:color w:val="auto"/>
                <w:sz w:val="21"/>
                <w:szCs w:val="21"/>
                <w:highlight w:val="none"/>
                <w:lang w:eastAsia="zh-CN"/>
              </w:rPr>
            </w:pPr>
            <w:r>
              <w:rPr>
                <w:rFonts w:hint="eastAsia" w:hAnsi="宋体" w:cs="宋体"/>
                <w:b/>
                <w:color w:val="auto"/>
                <w:sz w:val="21"/>
                <w:szCs w:val="21"/>
                <w:highlight w:val="none"/>
                <w:lang w:eastAsia="zh-CN"/>
              </w:rPr>
              <w:t>财务状况报告</w:t>
            </w:r>
          </w:p>
        </w:tc>
        <w:tc>
          <w:tcPr>
            <w:tcW w:w="2714" w:type="pct"/>
            <w:noWrap w:val="0"/>
            <w:vAlign w:val="center"/>
          </w:tcPr>
          <w:p w14:paraId="49C97523">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hAnsi="宋体" w:cs="宋体"/>
                <w:bCs/>
                <w:color w:val="auto"/>
                <w:sz w:val="21"/>
                <w:szCs w:val="21"/>
                <w:highlight w:val="none"/>
              </w:rPr>
            </w:pPr>
            <w:r>
              <w:rPr>
                <w:rFonts w:hint="eastAsia" w:ascii="宋体" w:hAnsi="宋体" w:eastAsia="宋体" w:cs="宋体"/>
                <w:color w:val="auto"/>
                <w:kern w:val="0"/>
                <w:sz w:val="21"/>
                <w:szCs w:val="21"/>
                <w:highlight w:val="none"/>
                <w:lang w:val="en-US" w:eastAsia="zh-CN" w:bidi="ar"/>
              </w:rPr>
              <w:t>提供 2024 年度的财务审计报告（成立时间至提交投标文件截止时间不足一年的可提供成立后任意时段的资产负债表）或开标时间前六个月内银行出具的资信证明；</w:t>
            </w:r>
          </w:p>
        </w:tc>
      </w:tr>
      <w:tr w14:paraId="09AD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477" w:type="pct"/>
            <w:vMerge w:val="continue"/>
            <w:noWrap w:val="0"/>
            <w:vAlign w:val="center"/>
          </w:tcPr>
          <w:p w14:paraId="2448F1FA">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b/>
                <w:color w:val="auto"/>
                <w:sz w:val="21"/>
                <w:szCs w:val="21"/>
                <w:highlight w:val="none"/>
              </w:rPr>
            </w:pPr>
          </w:p>
        </w:tc>
        <w:tc>
          <w:tcPr>
            <w:tcW w:w="294" w:type="pct"/>
            <w:vMerge w:val="continue"/>
            <w:noWrap w:val="0"/>
            <w:vAlign w:val="center"/>
          </w:tcPr>
          <w:p w14:paraId="0CF14D01">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b/>
                <w:color w:val="auto"/>
                <w:sz w:val="21"/>
                <w:szCs w:val="21"/>
                <w:highlight w:val="none"/>
              </w:rPr>
            </w:pPr>
          </w:p>
        </w:tc>
        <w:tc>
          <w:tcPr>
            <w:tcW w:w="1513" w:type="pct"/>
            <w:gridSpan w:val="2"/>
            <w:noWrap w:val="0"/>
            <w:vAlign w:val="center"/>
          </w:tcPr>
          <w:p w14:paraId="6D62187A">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int="eastAsia" w:hAnsi="宋体" w:cs="宋体"/>
                <w:b/>
                <w:color w:val="auto"/>
                <w:sz w:val="21"/>
                <w:szCs w:val="21"/>
                <w:highlight w:val="none"/>
              </w:rPr>
            </w:pPr>
            <w:r>
              <w:rPr>
                <w:rFonts w:hint="eastAsia" w:hAnsi="宋体" w:cs="宋体"/>
                <w:b/>
                <w:color w:val="auto"/>
                <w:sz w:val="21"/>
                <w:szCs w:val="21"/>
                <w:highlight w:val="none"/>
              </w:rPr>
              <w:t>税收缴纳证明</w:t>
            </w:r>
          </w:p>
          <w:p w14:paraId="1CF1ACFD">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b/>
                <w:color w:val="auto"/>
                <w:sz w:val="21"/>
                <w:szCs w:val="21"/>
                <w:highlight w:val="none"/>
              </w:rPr>
            </w:pPr>
          </w:p>
        </w:tc>
        <w:tc>
          <w:tcPr>
            <w:tcW w:w="2714" w:type="pct"/>
            <w:noWrap w:val="0"/>
            <w:vAlign w:val="center"/>
          </w:tcPr>
          <w:p w14:paraId="71C0CA42">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hAnsi="宋体" w:cs="宋体"/>
                <w:bCs/>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税收缴纳证明：提供投标截止日前近一年内任意一个月的纳税证明或完税证明（任意税种），依法免税的单位应提供相关证明材料； </w:t>
            </w:r>
          </w:p>
        </w:tc>
      </w:tr>
      <w:tr w14:paraId="6A9F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477" w:type="pct"/>
            <w:vMerge w:val="continue"/>
            <w:noWrap w:val="0"/>
            <w:vAlign w:val="center"/>
          </w:tcPr>
          <w:p w14:paraId="26B51D7E">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b/>
                <w:color w:val="auto"/>
                <w:sz w:val="21"/>
                <w:szCs w:val="21"/>
                <w:highlight w:val="none"/>
              </w:rPr>
            </w:pPr>
          </w:p>
        </w:tc>
        <w:tc>
          <w:tcPr>
            <w:tcW w:w="294" w:type="pct"/>
            <w:vMerge w:val="continue"/>
            <w:noWrap w:val="0"/>
            <w:vAlign w:val="center"/>
          </w:tcPr>
          <w:p w14:paraId="230758B7">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b/>
                <w:color w:val="auto"/>
                <w:sz w:val="21"/>
                <w:szCs w:val="21"/>
                <w:highlight w:val="none"/>
              </w:rPr>
            </w:pPr>
          </w:p>
        </w:tc>
        <w:tc>
          <w:tcPr>
            <w:tcW w:w="1513" w:type="pct"/>
            <w:gridSpan w:val="2"/>
            <w:noWrap w:val="0"/>
            <w:vAlign w:val="center"/>
          </w:tcPr>
          <w:p w14:paraId="6DFF8B88">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b/>
                <w:bCs/>
                <w:color w:val="auto"/>
                <w:sz w:val="21"/>
                <w:szCs w:val="21"/>
                <w:highlight w:val="none"/>
              </w:rPr>
            </w:pPr>
            <w:r>
              <w:rPr>
                <w:rFonts w:hint="eastAsia" w:hAnsi="宋体" w:eastAsia="宋体" w:cs="宋体"/>
                <w:b/>
                <w:bCs/>
                <w:color w:val="auto"/>
                <w:sz w:val="21"/>
                <w:szCs w:val="21"/>
                <w:highlight w:val="none"/>
                <w:lang w:eastAsia="zh-CN"/>
              </w:rPr>
              <w:t>社会保障资金缴纳证明</w:t>
            </w:r>
          </w:p>
        </w:tc>
        <w:tc>
          <w:tcPr>
            <w:tcW w:w="2714" w:type="pct"/>
            <w:noWrap w:val="0"/>
            <w:vAlign w:val="center"/>
          </w:tcPr>
          <w:p w14:paraId="1E77A104">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hAnsi="宋体" w:cs="宋体"/>
                <w:bCs/>
                <w:color w:val="auto"/>
                <w:sz w:val="21"/>
                <w:szCs w:val="21"/>
                <w:highlight w:val="none"/>
              </w:rPr>
            </w:pPr>
            <w:r>
              <w:rPr>
                <w:rFonts w:hint="eastAsia" w:ascii="宋体" w:hAnsi="宋体" w:eastAsia="宋体" w:cs="宋体"/>
                <w:color w:val="auto"/>
                <w:kern w:val="0"/>
                <w:sz w:val="21"/>
                <w:szCs w:val="21"/>
                <w:highlight w:val="none"/>
                <w:lang w:val="en-US" w:eastAsia="zh-CN" w:bidi="ar"/>
              </w:rPr>
              <w:t>社会保障资金缴纳证明：提供投标截止日前近一年内任意一个月的社会保障资金缴存单据或社保机构开具的社会保险参保缴费情况证明，依法不需要缴纳社会保障资金的单位应提供相关证明材料；</w:t>
            </w:r>
          </w:p>
        </w:tc>
      </w:tr>
      <w:tr w14:paraId="1985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477" w:type="pct"/>
            <w:vMerge w:val="continue"/>
            <w:noWrap w:val="0"/>
            <w:vAlign w:val="center"/>
          </w:tcPr>
          <w:p w14:paraId="1F673660">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b/>
                <w:color w:val="auto"/>
                <w:sz w:val="21"/>
                <w:szCs w:val="21"/>
                <w:highlight w:val="none"/>
              </w:rPr>
            </w:pPr>
          </w:p>
        </w:tc>
        <w:tc>
          <w:tcPr>
            <w:tcW w:w="294" w:type="pct"/>
            <w:vMerge w:val="continue"/>
            <w:noWrap w:val="0"/>
            <w:vAlign w:val="center"/>
          </w:tcPr>
          <w:p w14:paraId="35AFC3F4">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b/>
                <w:color w:val="auto"/>
                <w:sz w:val="21"/>
                <w:szCs w:val="21"/>
                <w:highlight w:val="none"/>
              </w:rPr>
            </w:pPr>
          </w:p>
        </w:tc>
        <w:tc>
          <w:tcPr>
            <w:tcW w:w="1513" w:type="pct"/>
            <w:gridSpan w:val="2"/>
            <w:noWrap w:val="0"/>
            <w:vAlign w:val="center"/>
          </w:tcPr>
          <w:p w14:paraId="6A30FAC8">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int="eastAsia" w:hAnsi="宋体" w:eastAsia="宋体" w:cs="宋体"/>
                <w:b/>
                <w:bCs/>
                <w:color w:val="auto"/>
                <w:sz w:val="21"/>
                <w:szCs w:val="21"/>
                <w:highlight w:val="none"/>
                <w:lang w:eastAsia="zh-CN"/>
              </w:rPr>
            </w:pPr>
            <w:r>
              <w:rPr>
                <w:rFonts w:hint="eastAsia" w:hAnsi="宋体" w:eastAsia="宋体" w:cs="宋体"/>
                <w:b/>
                <w:bCs/>
                <w:color w:val="auto"/>
                <w:sz w:val="21"/>
                <w:szCs w:val="21"/>
                <w:highlight w:val="none"/>
                <w:lang w:eastAsia="zh-CN"/>
              </w:rPr>
              <w:t>具有履行本合同所必需的设备和专业技术能力的说明及承诺书</w:t>
            </w:r>
          </w:p>
        </w:tc>
        <w:tc>
          <w:tcPr>
            <w:tcW w:w="2714" w:type="pct"/>
            <w:noWrap w:val="0"/>
            <w:vAlign w:val="center"/>
          </w:tcPr>
          <w:p w14:paraId="276F0BBC">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hAnsi="宋体" w:cs="宋体"/>
                <w:bCs/>
                <w:color w:val="auto"/>
                <w:sz w:val="21"/>
                <w:szCs w:val="21"/>
                <w:highlight w:val="none"/>
              </w:rPr>
            </w:pPr>
            <w:r>
              <w:rPr>
                <w:rFonts w:hint="eastAsia" w:ascii="宋体" w:hAnsi="宋体" w:eastAsia="宋体" w:cs="宋体"/>
                <w:color w:val="auto"/>
                <w:kern w:val="0"/>
                <w:sz w:val="21"/>
                <w:szCs w:val="21"/>
                <w:highlight w:val="none"/>
                <w:lang w:val="en-US" w:eastAsia="zh-CN" w:bidi="ar"/>
              </w:rPr>
              <w:t>提供具有履行本合同所必需的设备和专业技术能力的说明及承诺书；</w:t>
            </w:r>
          </w:p>
        </w:tc>
      </w:tr>
      <w:tr w14:paraId="09BB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477" w:type="pct"/>
            <w:vMerge w:val="continue"/>
            <w:noWrap w:val="0"/>
            <w:vAlign w:val="center"/>
          </w:tcPr>
          <w:p w14:paraId="4F20B939">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b/>
                <w:color w:val="auto"/>
                <w:sz w:val="21"/>
                <w:szCs w:val="21"/>
                <w:highlight w:val="none"/>
              </w:rPr>
            </w:pPr>
          </w:p>
        </w:tc>
        <w:tc>
          <w:tcPr>
            <w:tcW w:w="294" w:type="pct"/>
            <w:vMerge w:val="continue"/>
            <w:noWrap w:val="0"/>
            <w:vAlign w:val="center"/>
          </w:tcPr>
          <w:p w14:paraId="25B8E81E">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b/>
                <w:color w:val="auto"/>
                <w:sz w:val="21"/>
                <w:szCs w:val="21"/>
                <w:highlight w:val="none"/>
              </w:rPr>
            </w:pPr>
          </w:p>
        </w:tc>
        <w:tc>
          <w:tcPr>
            <w:tcW w:w="1513" w:type="pct"/>
            <w:gridSpan w:val="2"/>
            <w:noWrap w:val="0"/>
            <w:vAlign w:val="center"/>
          </w:tcPr>
          <w:p w14:paraId="01ED9AAA">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int="eastAsia" w:hAnsi="宋体" w:eastAsia="宋体" w:cs="宋体"/>
                <w:b/>
                <w:bCs/>
                <w:color w:val="auto"/>
                <w:sz w:val="21"/>
                <w:szCs w:val="21"/>
                <w:highlight w:val="none"/>
                <w:lang w:eastAsia="zh-CN"/>
              </w:rPr>
            </w:pPr>
            <w:r>
              <w:rPr>
                <w:rFonts w:hint="eastAsia" w:ascii="宋体" w:hAnsi="宋体" w:eastAsia="宋体" w:cs="宋体"/>
                <w:b/>
                <w:bCs/>
                <w:i w:val="0"/>
                <w:iCs w:val="0"/>
                <w:caps w:val="0"/>
                <w:color w:val="auto"/>
                <w:spacing w:val="0"/>
                <w:sz w:val="21"/>
                <w:szCs w:val="21"/>
                <w:highlight w:val="none"/>
                <w:shd w:val="clear" w:color="auto" w:fill="FFFFFF"/>
                <w:vertAlign w:val="baseline"/>
                <w:lang w:eastAsia="zh-CN"/>
              </w:rPr>
              <w:t>信用记录</w:t>
            </w:r>
            <w:r>
              <w:rPr>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t xml:space="preserve"> </w:t>
            </w:r>
          </w:p>
        </w:tc>
        <w:tc>
          <w:tcPr>
            <w:tcW w:w="2714" w:type="pct"/>
            <w:noWrap w:val="0"/>
            <w:vAlign w:val="center"/>
          </w:tcPr>
          <w:p w14:paraId="2C3FBA9F">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color w:val="auto"/>
                <w:kern w:val="0"/>
                <w:sz w:val="21"/>
                <w:szCs w:val="21"/>
                <w:highlight w:val="none"/>
                <w:lang w:val="en-US" w:eastAsia="zh-CN" w:bidi="ar"/>
              </w:rPr>
              <w:t xml:space="preserve">供应商通过“信用中国”网站(www.creditchina.gov.cn)、中国政府采购网(www.ccgp.gov.cn)等查询相关主体信用记录； </w:t>
            </w:r>
          </w:p>
        </w:tc>
      </w:tr>
      <w:tr w14:paraId="4344D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77" w:type="pct"/>
            <w:vMerge w:val="continue"/>
            <w:noWrap w:val="0"/>
            <w:vAlign w:val="center"/>
          </w:tcPr>
          <w:p w14:paraId="2438A567">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b/>
                <w:color w:val="auto"/>
                <w:sz w:val="21"/>
                <w:szCs w:val="21"/>
                <w:highlight w:val="none"/>
              </w:rPr>
            </w:pPr>
          </w:p>
        </w:tc>
        <w:tc>
          <w:tcPr>
            <w:tcW w:w="294" w:type="pct"/>
            <w:vMerge w:val="continue"/>
            <w:noWrap w:val="0"/>
            <w:vAlign w:val="center"/>
          </w:tcPr>
          <w:p w14:paraId="5E997009">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b/>
                <w:color w:val="auto"/>
                <w:sz w:val="21"/>
                <w:szCs w:val="21"/>
                <w:highlight w:val="none"/>
              </w:rPr>
            </w:pPr>
          </w:p>
        </w:tc>
        <w:tc>
          <w:tcPr>
            <w:tcW w:w="1513" w:type="pct"/>
            <w:gridSpan w:val="2"/>
            <w:noWrap w:val="0"/>
            <w:vAlign w:val="center"/>
          </w:tcPr>
          <w:p w14:paraId="29044A77">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i w:val="0"/>
                <w:iCs w:val="0"/>
                <w:caps w:val="0"/>
                <w:color w:val="auto"/>
                <w:spacing w:val="0"/>
                <w:sz w:val="21"/>
                <w:szCs w:val="21"/>
                <w:highlight w:val="none"/>
                <w:shd w:val="clear" w:color="auto" w:fill="FFFFFF"/>
                <w:vertAlign w:val="baseline"/>
              </w:rPr>
            </w:pPr>
            <w:r>
              <w:rPr>
                <w:rFonts w:hint="eastAsia" w:hAnsi="宋体" w:cs="宋体"/>
                <w:b/>
                <w:color w:val="auto"/>
                <w:sz w:val="21"/>
                <w:szCs w:val="21"/>
                <w:highlight w:val="none"/>
              </w:rPr>
              <w:t>书面声明</w:t>
            </w:r>
          </w:p>
        </w:tc>
        <w:tc>
          <w:tcPr>
            <w:tcW w:w="2714" w:type="pct"/>
            <w:noWrap w:val="0"/>
            <w:vAlign w:val="center"/>
          </w:tcPr>
          <w:p w14:paraId="0E7E5CF3">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color w:val="auto"/>
                <w:kern w:val="0"/>
                <w:sz w:val="21"/>
                <w:szCs w:val="21"/>
                <w:highlight w:val="none"/>
                <w:lang w:val="en-US" w:eastAsia="zh-CN" w:bidi="ar"/>
              </w:rPr>
              <w:t>参加政府采购活动前 3 年内，在经营活动中没有重大违法记录的书面声明；</w:t>
            </w:r>
          </w:p>
        </w:tc>
      </w:tr>
      <w:tr w14:paraId="7E62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77" w:type="pct"/>
            <w:vMerge w:val="continue"/>
            <w:noWrap w:val="0"/>
            <w:vAlign w:val="center"/>
          </w:tcPr>
          <w:p w14:paraId="4993DA9C">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b/>
                <w:color w:val="auto"/>
                <w:sz w:val="21"/>
                <w:szCs w:val="21"/>
                <w:highlight w:val="none"/>
              </w:rPr>
            </w:pPr>
          </w:p>
        </w:tc>
        <w:tc>
          <w:tcPr>
            <w:tcW w:w="294" w:type="pct"/>
            <w:vMerge w:val="continue"/>
            <w:noWrap w:val="0"/>
            <w:vAlign w:val="center"/>
          </w:tcPr>
          <w:p w14:paraId="47132BA5">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b/>
                <w:color w:val="auto"/>
                <w:sz w:val="21"/>
                <w:szCs w:val="21"/>
                <w:highlight w:val="none"/>
              </w:rPr>
            </w:pPr>
          </w:p>
        </w:tc>
        <w:tc>
          <w:tcPr>
            <w:tcW w:w="1513" w:type="pct"/>
            <w:gridSpan w:val="2"/>
            <w:noWrap w:val="0"/>
            <w:vAlign w:val="center"/>
          </w:tcPr>
          <w:p w14:paraId="13C61054">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b/>
                <w:color w:val="auto"/>
                <w:sz w:val="21"/>
                <w:szCs w:val="21"/>
                <w:highlight w:val="none"/>
              </w:rPr>
            </w:pPr>
            <w:r>
              <w:rPr>
                <w:rFonts w:hint="eastAsia" w:hAnsi="宋体" w:cs="宋体"/>
                <w:b/>
                <w:color w:val="auto"/>
                <w:sz w:val="21"/>
                <w:szCs w:val="21"/>
                <w:highlight w:val="none"/>
                <w:lang w:val="en-US" w:eastAsia="zh-CN"/>
              </w:rPr>
              <w:t>中小企业声明函</w:t>
            </w:r>
          </w:p>
        </w:tc>
        <w:tc>
          <w:tcPr>
            <w:tcW w:w="2714" w:type="pct"/>
            <w:noWrap w:val="0"/>
            <w:vAlign w:val="center"/>
          </w:tcPr>
          <w:p w14:paraId="34845E87">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hAnsi="宋体" w:cs="宋体"/>
                <w:bCs/>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提供中小企业声明函； </w:t>
            </w:r>
          </w:p>
        </w:tc>
      </w:tr>
      <w:tr w14:paraId="2577C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77" w:type="pct"/>
            <w:vMerge w:val="continue"/>
            <w:noWrap w:val="0"/>
            <w:vAlign w:val="center"/>
          </w:tcPr>
          <w:p w14:paraId="2B87DBF1">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b/>
                <w:color w:val="auto"/>
                <w:sz w:val="21"/>
                <w:szCs w:val="21"/>
                <w:highlight w:val="none"/>
              </w:rPr>
            </w:pPr>
          </w:p>
        </w:tc>
        <w:tc>
          <w:tcPr>
            <w:tcW w:w="294" w:type="pct"/>
            <w:vMerge w:val="continue"/>
            <w:noWrap w:val="0"/>
            <w:vAlign w:val="center"/>
          </w:tcPr>
          <w:p w14:paraId="037291EB">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b/>
                <w:color w:val="auto"/>
                <w:sz w:val="21"/>
                <w:szCs w:val="21"/>
                <w:highlight w:val="none"/>
              </w:rPr>
            </w:pPr>
          </w:p>
        </w:tc>
        <w:tc>
          <w:tcPr>
            <w:tcW w:w="1513" w:type="pct"/>
            <w:gridSpan w:val="2"/>
            <w:noWrap w:val="0"/>
            <w:vAlign w:val="center"/>
          </w:tcPr>
          <w:p w14:paraId="60EEAF9A">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int="eastAsia" w:hAnsi="宋体" w:cs="宋体"/>
                <w:b/>
                <w:color w:val="auto"/>
                <w:sz w:val="21"/>
                <w:szCs w:val="21"/>
                <w:highlight w:val="none"/>
              </w:rPr>
            </w:pPr>
            <w:r>
              <w:rPr>
                <w:rFonts w:hint="eastAsia" w:hAnsi="宋体" w:cs="宋体"/>
                <w:b/>
                <w:color w:val="auto"/>
                <w:sz w:val="21"/>
                <w:szCs w:val="21"/>
                <w:highlight w:val="none"/>
                <w:lang w:val="en-US" w:eastAsia="zh-CN"/>
              </w:rPr>
              <w:t>不</w:t>
            </w:r>
            <w:r>
              <w:rPr>
                <w:rFonts w:hint="eastAsia" w:hAnsi="宋体" w:cs="宋体"/>
                <w:b/>
                <w:color w:val="auto"/>
                <w:sz w:val="21"/>
                <w:szCs w:val="21"/>
                <w:highlight w:val="none"/>
              </w:rPr>
              <w:t>接受联合体投标</w:t>
            </w:r>
          </w:p>
        </w:tc>
        <w:tc>
          <w:tcPr>
            <w:tcW w:w="2714" w:type="pct"/>
            <w:noWrap w:val="0"/>
            <w:vAlign w:val="center"/>
          </w:tcPr>
          <w:p w14:paraId="63EF29AB">
            <w:pPr>
              <w:spacing w:line="360" w:lineRule="auto"/>
              <w:rPr>
                <w:rFonts w:hint="eastAsia" w:hAnsi="宋体" w:cs="宋体"/>
                <w:bCs/>
                <w:color w:val="auto"/>
                <w:sz w:val="21"/>
                <w:szCs w:val="21"/>
                <w:highlight w:val="none"/>
                <w:lang w:val="en-US" w:eastAsia="zh-CN"/>
              </w:rPr>
            </w:pPr>
            <w:r>
              <w:rPr>
                <w:rFonts w:hint="eastAsia" w:hAnsi="宋体" w:cs="宋体"/>
                <w:bCs/>
                <w:color w:val="auto"/>
                <w:sz w:val="21"/>
                <w:szCs w:val="21"/>
                <w:highlight w:val="none"/>
                <w:lang w:val="en-US" w:eastAsia="zh-CN"/>
              </w:rPr>
              <w:t>项目不接受联合体投标（提供承诺书）。</w:t>
            </w:r>
          </w:p>
        </w:tc>
      </w:tr>
      <w:tr w14:paraId="0617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000" w:type="pct"/>
            <w:gridSpan w:val="5"/>
            <w:noWrap w:val="0"/>
            <w:vAlign w:val="center"/>
          </w:tcPr>
          <w:p w14:paraId="5C028D81">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left"/>
              <w:textAlignment w:val="auto"/>
              <w:rPr>
                <w:rFonts w:hAnsi="宋体" w:cs="宋体"/>
                <w:b/>
                <w:color w:val="auto"/>
                <w:sz w:val="21"/>
                <w:szCs w:val="21"/>
                <w:highlight w:val="none"/>
              </w:rPr>
            </w:pPr>
            <w:r>
              <w:rPr>
                <w:rFonts w:hint="eastAsia" w:hAnsi="宋体" w:cs="宋体"/>
                <w:b/>
                <w:color w:val="auto"/>
                <w:sz w:val="21"/>
                <w:szCs w:val="21"/>
                <w:highlight w:val="none"/>
              </w:rPr>
              <w:t>注：以上为必备资质，缺一项或某项达不到要求，按无效投标处理。</w:t>
            </w:r>
          </w:p>
        </w:tc>
      </w:tr>
      <w:tr w14:paraId="46399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77" w:type="pct"/>
            <w:vMerge w:val="restart"/>
            <w:noWrap w:val="0"/>
            <w:vAlign w:val="center"/>
          </w:tcPr>
          <w:p w14:paraId="1DC36D23">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color w:val="auto"/>
                <w:sz w:val="21"/>
                <w:szCs w:val="21"/>
                <w:highlight w:val="none"/>
              </w:rPr>
            </w:pPr>
            <w:r>
              <w:rPr>
                <w:rFonts w:hint="eastAsia" w:hAnsi="宋体" w:cs="宋体"/>
                <w:color w:val="auto"/>
                <w:sz w:val="21"/>
                <w:szCs w:val="21"/>
                <w:highlight w:val="none"/>
              </w:rPr>
              <w:t>2.1.2</w:t>
            </w:r>
          </w:p>
        </w:tc>
        <w:tc>
          <w:tcPr>
            <w:tcW w:w="294" w:type="pct"/>
            <w:vMerge w:val="restart"/>
            <w:noWrap w:val="0"/>
            <w:vAlign w:val="center"/>
          </w:tcPr>
          <w:p w14:paraId="1FE17320">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b/>
                <w:bCs/>
                <w:color w:val="auto"/>
                <w:sz w:val="21"/>
                <w:szCs w:val="21"/>
                <w:highlight w:val="none"/>
              </w:rPr>
            </w:pPr>
            <w:r>
              <w:rPr>
                <w:rFonts w:hint="eastAsia" w:hAnsi="宋体" w:cs="宋体"/>
                <w:b/>
                <w:bCs/>
                <w:color w:val="auto"/>
                <w:sz w:val="21"/>
                <w:szCs w:val="21"/>
                <w:highlight w:val="none"/>
              </w:rPr>
              <w:t>符合性评审标准</w:t>
            </w:r>
          </w:p>
        </w:tc>
        <w:tc>
          <w:tcPr>
            <w:tcW w:w="529" w:type="pct"/>
            <w:vMerge w:val="restart"/>
            <w:noWrap w:val="0"/>
            <w:vAlign w:val="center"/>
          </w:tcPr>
          <w:p w14:paraId="0DBAE5D4">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b/>
                <w:bCs/>
                <w:color w:val="auto"/>
                <w:sz w:val="21"/>
                <w:szCs w:val="21"/>
                <w:highlight w:val="none"/>
              </w:rPr>
            </w:pPr>
            <w:r>
              <w:rPr>
                <w:rFonts w:hint="eastAsia" w:hAnsi="宋体" w:cs="宋体"/>
                <w:b/>
                <w:bCs/>
                <w:color w:val="auto"/>
                <w:sz w:val="21"/>
                <w:szCs w:val="21"/>
                <w:highlight w:val="none"/>
              </w:rPr>
              <w:t>有效性审查</w:t>
            </w:r>
          </w:p>
        </w:tc>
        <w:tc>
          <w:tcPr>
            <w:tcW w:w="984" w:type="pct"/>
            <w:noWrap w:val="0"/>
            <w:vAlign w:val="center"/>
          </w:tcPr>
          <w:p w14:paraId="53125E53">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b/>
                <w:bCs/>
                <w:color w:val="auto"/>
                <w:sz w:val="21"/>
                <w:szCs w:val="21"/>
                <w:highlight w:val="none"/>
              </w:rPr>
            </w:pPr>
            <w:r>
              <w:rPr>
                <w:rFonts w:hint="eastAsia" w:hAnsi="宋体" w:cs="宋体"/>
                <w:b/>
                <w:bCs/>
                <w:color w:val="auto"/>
                <w:sz w:val="21"/>
                <w:szCs w:val="21"/>
                <w:highlight w:val="none"/>
              </w:rPr>
              <w:t>投标文件的签署盖章</w:t>
            </w:r>
          </w:p>
        </w:tc>
        <w:tc>
          <w:tcPr>
            <w:tcW w:w="2714" w:type="pct"/>
            <w:noWrap w:val="0"/>
            <w:vAlign w:val="center"/>
          </w:tcPr>
          <w:p w14:paraId="36087381">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textAlignment w:val="auto"/>
              <w:rPr>
                <w:rFonts w:hint="eastAsia" w:hAnsi="宋体" w:eastAsia="宋体" w:cs="宋体"/>
                <w:color w:val="auto"/>
                <w:sz w:val="21"/>
                <w:szCs w:val="21"/>
                <w:highlight w:val="none"/>
                <w:lang w:val="en-US" w:eastAsia="zh-CN"/>
              </w:rPr>
            </w:pPr>
            <w:r>
              <w:rPr>
                <w:rFonts w:hint="eastAsia" w:hAnsi="宋体" w:cs="宋体"/>
                <w:color w:val="auto"/>
                <w:sz w:val="21"/>
                <w:szCs w:val="21"/>
                <w:highlight w:val="none"/>
              </w:rPr>
              <w:t>投标文件上法定代表人或负责人或其授权代表人的签字齐全并加盖公章</w:t>
            </w:r>
            <w:r>
              <w:rPr>
                <w:rFonts w:hint="eastAsia" w:hAnsi="宋体" w:cs="宋体"/>
                <w:color w:val="auto"/>
                <w:sz w:val="21"/>
                <w:szCs w:val="21"/>
                <w:highlight w:val="none"/>
                <w:lang w:eastAsia="zh-CN"/>
              </w:rPr>
              <w:t>。</w:t>
            </w:r>
          </w:p>
        </w:tc>
      </w:tr>
      <w:tr w14:paraId="1E7B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77" w:type="pct"/>
            <w:vMerge w:val="continue"/>
            <w:noWrap w:val="0"/>
            <w:vAlign w:val="top"/>
          </w:tcPr>
          <w:p w14:paraId="68A8EF8E">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textAlignment w:val="auto"/>
              <w:rPr>
                <w:rFonts w:hAnsi="宋体" w:cs="宋体"/>
                <w:color w:val="auto"/>
                <w:sz w:val="21"/>
                <w:szCs w:val="21"/>
                <w:highlight w:val="none"/>
              </w:rPr>
            </w:pPr>
          </w:p>
        </w:tc>
        <w:tc>
          <w:tcPr>
            <w:tcW w:w="294" w:type="pct"/>
            <w:vMerge w:val="continue"/>
            <w:noWrap w:val="0"/>
            <w:vAlign w:val="top"/>
          </w:tcPr>
          <w:p w14:paraId="1B838541">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textAlignment w:val="auto"/>
              <w:rPr>
                <w:rFonts w:hAnsi="宋体" w:cs="宋体"/>
                <w:b/>
                <w:bCs/>
                <w:color w:val="auto"/>
                <w:sz w:val="21"/>
                <w:szCs w:val="21"/>
                <w:highlight w:val="none"/>
              </w:rPr>
            </w:pPr>
          </w:p>
        </w:tc>
        <w:tc>
          <w:tcPr>
            <w:tcW w:w="529" w:type="pct"/>
            <w:vMerge w:val="continue"/>
            <w:noWrap w:val="0"/>
            <w:vAlign w:val="top"/>
          </w:tcPr>
          <w:p w14:paraId="10EFA4F3">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textAlignment w:val="auto"/>
              <w:rPr>
                <w:rFonts w:hAnsi="宋体" w:cs="宋体"/>
                <w:b/>
                <w:bCs/>
                <w:color w:val="auto"/>
                <w:sz w:val="21"/>
                <w:szCs w:val="21"/>
                <w:highlight w:val="none"/>
              </w:rPr>
            </w:pPr>
          </w:p>
        </w:tc>
        <w:tc>
          <w:tcPr>
            <w:tcW w:w="984" w:type="pct"/>
            <w:noWrap w:val="0"/>
            <w:vAlign w:val="center"/>
          </w:tcPr>
          <w:p w14:paraId="7F65D272">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b/>
                <w:bCs/>
                <w:color w:val="auto"/>
                <w:sz w:val="21"/>
                <w:szCs w:val="21"/>
                <w:highlight w:val="none"/>
              </w:rPr>
            </w:pPr>
            <w:r>
              <w:rPr>
                <w:rFonts w:hint="eastAsia" w:hAnsi="宋体" w:cs="宋体"/>
                <w:b/>
                <w:bCs/>
                <w:color w:val="auto"/>
                <w:sz w:val="21"/>
                <w:szCs w:val="21"/>
                <w:highlight w:val="none"/>
              </w:rPr>
              <w:t>投标文件格式</w:t>
            </w:r>
          </w:p>
        </w:tc>
        <w:tc>
          <w:tcPr>
            <w:tcW w:w="2714" w:type="pct"/>
            <w:noWrap w:val="0"/>
            <w:vAlign w:val="center"/>
          </w:tcPr>
          <w:p w14:paraId="377167BF">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rPr>
              <w:t>应符合“投标文件格式”要求</w:t>
            </w:r>
            <w:r>
              <w:rPr>
                <w:rFonts w:hint="eastAsia" w:hAnsi="宋体" w:cs="宋体"/>
                <w:color w:val="auto"/>
                <w:sz w:val="21"/>
                <w:szCs w:val="21"/>
                <w:highlight w:val="none"/>
                <w:lang w:eastAsia="zh-CN"/>
              </w:rPr>
              <w:t>。</w:t>
            </w:r>
          </w:p>
        </w:tc>
      </w:tr>
      <w:tr w14:paraId="7C031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77" w:type="pct"/>
            <w:vMerge w:val="continue"/>
            <w:noWrap w:val="0"/>
            <w:vAlign w:val="top"/>
          </w:tcPr>
          <w:p w14:paraId="565B1E59">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textAlignment w:val="auto"/>
              <w:rPr>
                <w:rFonts w:hAnsi="宋体" w:cs="宋体"/>
                <w:color w:val="auto"/>
                <w:sz w:val="21"/>
                <w:szCs w:val="21"/>
                <w:highlight w:val="none"/>
              </w:rPr>
            </w:pPr>
          </w:p>
        </w:tc>
        <w:tc>
          <w:tcPr>
            <w:tcW w:w="294" w:type="pct"/>
            <w:vMerge w:val="continue"/>
            <w:noWrap w:val="0"/>
            <w:vAlign w:val="top"/>
          </w:tcPr>
          <w:p w14:paraId="64EE9DB9">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textAlignment w:val="auto"/>
              <w:rPr>
                <w:rFonts w:hAnsi="宋体" w:cs="宋体"/>
                <w:b/>
                <w:bCs/>
                <w:color w:val="auto"/>
                <w:sz w:val="21"/>
                <w:szCs w:val="21"/>
                <w:highlight w:val="none"/>
              </w:rPr>
            </w:pPr>
          </w:p>
        </w:tc>
        <w:tc>
          <w:tcPr>
            <w:tcW w:w="529" w:type="pct"/>
            <w:vMerge w:val="continue"/>
            <w:noWrap w:val="0"/>
            <w:vAlign w:val="top"/>
          </w:tcPr>
          <w:p w14:paraId="034C7D4A">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textAlignment w:val="auto"/>
              <w:rPr>
                <w:rFonts w:hAnsi="宋体" w:cs="宋体"/>
                <w:b/>
                <w:bCs/>
                <w:color w:val="auto"/>
                <w:sz w:val="21"/>
                <w:szCs w:val="21"/>
                <w:highlight w:val="none"/>
              </w:rPr>
            </w:pPr>
          </w:p>
        </w:tc>
        <w:tc>
          <w:tcPr>
            <w:tcW w:w="984" w:type="pct"/>
            <w:noWrap w:val="0"/>
            <w:vAlign w:val="center"/>
          </w:tcPr>
          <w:p w14:paraId="3120005A">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b/>
                <w:bCs/>
                <w:color w:val="auto"/>
                <w:sz w:val="21"/>
                <w:szCs w:val="21"/>
                <w:highlight w:val="none"/>
              </w:rPr>
            </w:pPr>
            <w:r>
              <w:rPr>
                <w:rFonts w:hint="eastAsia" w:hAnsi="宋体" w:cs="宋体"/>
                <w:b/>
                <w:bCs/>
                <w:color w:val="auto"/>
                <w:sz w:val="21"/>
                <w:szCs w:val="21"/>
                <w:highlight w:val="none"/>
              </w:rPr>
              <w:t>报价唯一</w:t>
            </w:r>
          </w:p>
        </w:tc>
        <w:tc>
          <w:tcPr>
            <w:tcW w:w="2714" w:type="pct"/>
            <w:noWrap w:val="0"/>
            <w:vAlign w:val="center"/>
          </w:tcPr>
          <w:p w14:paraId="78A9DA89">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textAlignment w:val="auto"/>
              <w:rPr>
                <w:rFonts w:hAnsi="宋体" w:cs="宋体"/>
                <w:color w:val="auto"/>
                <w:sz w:val="21"/>
                <w:szCs w:val="21"/>
                <w:highlight w:val="none"/>
              </w:rPr>
            </w:pPr>
            <w:r>
              <w:rPr>
                <w:rFonts w:hint="eastAsia" w:hAnsi="宋体" w:cs="宋体"/>
                <w:color w:val="auto"/>
                <w:sz w:val="21"/>
                <w:szCs w:val="21"/>
                <w:highlight w:val="none"/>
              </w:rPr>
              <w:t>只能有一个有效报价，不得提交选择性报价，且报价不超过最高限价。</w:t>
            </w:r>
          </w:p>
        </w:tc>
      </w:tr>
      <w:tr w14:paraId="06BB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477" w:type="pct"/>
            <w:vMerge w:val="continue"/>
            <w:noWrap w:val="0"/>
            <w:vAlign w:val="center"/>
          </w:tcPr>
          <w:p w14:paraId="10C5EC2D">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color w:val="auto"/>
                <w:sz w:val="21"/>
                <w:szCs w:val="21"/>
                <w:highlight w:val="none"/>
              </w:rPr>
            </w:pPr>
          </w:p>
        </w:tc>
        <w:tc>
          <w:tcPr>
            <w:tcW w:w="294" w:type="pct"/>
            <w:vMerge w:val="continue"/>
            <w:noWrap w:val="0"/>
            <w:vAlign w:val="center"/>
          </w:tcPr>
          <w:p w14:paraId="0943500D">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b/>
                <w:bCs/>
                <w:color w:val="auto"/>
                <w:sz w:val="21"/>
                <w:szCs w:val="21"/>
                <w:highlight w:val="none"/>
              </w:rPr>
            </w:pPr>
          </w:p>
        </w:tc>
        <w:tc>
          <w:tcPr>
            <w:tcW w:w="529" w:type="pct"/>
            <w:noWrap w:val="0"/>
            <w:vAlign w:val="center"/>
          </w:tcPr>
          <w:p w14:paraId="73F42BE1">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b/>
                <w:bCs/>
                <w:color w:val="auto"/>
                <w:sz w:val="21"/>
                <w:szCs w:val="21"/>
                <w:highlight w:val="none"/>
              </w:rPr>
            </w:pPr>
            <w:r>
              <w:rPr>
                <w:rFonts w:hint="eastAsia" w:hAnsi="宋体" w:cs="宋体"/>
                <w:b/>
                <w:bCs/>
                <w:color w:val="auto"/>
                <w:sz w:val="21"/>
                <w:szCs w:val="21"/>
                <w:highlight w:val="none"/>
              </w:rPr>
              <w:t>完整性审查</w:t>
            </w:r>
          </w:p>
        </w:tc>
        <w:tc>
          <w:tcPr>
            <w:tcW w:w="984" w:type="pct"/>
            <w:noWrap w:val="0"/>
            <w:vAlign w:val="center"/>
          </w:tcPr>
          <w:p w14:paraId="1B92D54D">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b/>
                <w:bCs/>
                <w:color w:val="auto"/>
                <w:sz w:val="21"/>
                <w:szCs w:val="21"/>
                <w:highlight w:val="none"/>
              </w:rPr>
            </w:pPr>
            <w:r>
              <w:rPr>
                <w:rFonts w:hint="eastAsia" w:hAnsi="宋体" w:cs="宋体"/>
                <w:b/>
                <w:bCs/>
                <w:color w:val="auto"/>
                <w:sz w:val="21"/>
                <w:szCs w:val="21"/>
                <w:highlight w:val="none"/>
              </w:rPr>
              <w:t>投标文件内容</w:t>
            </w:r>
          </w:p>
        </w:tc>
        <w:tc>
          <w:tcPr>
            <w:tcW w:w="2714" w:type="pct"/>
            <w:noWrap w:val="0"/>
            <w:vAlign w:val="center"/>
          </w:tcPr>
          <w:p w14:paraId="1F890FD6">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rPr>
              <w:t>投标文件内容齐全、无遗漏</w:t>
            </w:r>
            <w:r>
              <w:rPr>
                <w:rFonts w:hint="eastAsia" w:hAnsi="宋体" w:cs="宋体"/>
                <w:color w:val="auto"/>
                <w:sz w:val="21"/>
                <w:szCs w:val="21"/>
                <w:highlight w:val="none"/>
                <w:lang w:eastAsia="zh-CN"/>
              </w:rPr>
              <w:t>。</w:t>
            </w:r>
          </w:p>
        </w:tc>
      </w:tr>
      <w:tr w14:paraId="3E8A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77" w:type="pct"/>
            <w:vMerge w:val="continue"/>
            <w:noWrap w:val="0"/>
            <w:vAlign w:val="center"/>
          </w:tcPr>
          <w:p w14:paraId="1267245F">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color w:val="auto"/>
                <w:sz w:val="21"/>
                <w:szCs w:val="21"/>
                <w:highlight w:val="none"/>
              </w:rPr>
            </w:pPr>
          </w:p>
        </w:tc>
        <w:tc>
          <w:tcPr>
            <w:tcW w:w="294" w:type="pct"/>
            <w:vMerge w:val="continue"/>
            <w:noWrap w:val="0"/>
            <w:vAlign w:val="center"/>
          </w:tcPr>
          <w:p w14:paraId="423A79C2">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b/>
                <w:bCs/>
                <w:color w:val="auto"/>
                <w:sz w:val="21"/>
                <w:szCs w:val="21"/>
                <w:highlight w:val="none"/>
              </w:rPr>
            </w:pPr>
          </w:p>
        </w:tc>
        <w:tc>
          <w:tcPr>
            <w:tcW w:w="529" w:type="pct"/>
            <w:vMerge w:val="restart"/>
            <w:noWrap w:val="0"/>
            <w:vAlign w:val="center"/>
          </w:tcPr>
          <w:p w14:paraId="7F71425C">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b/>
                <w:bCs/>
                <w:color w:val="auto"/>
                <w:sz w:val="21"/>
                <w:szCs w:val="21"/>
                <w:highlight w:val="none"/>
              </w:rPr>
            </w:pPr>
            <w:r>
              <w:rPr>
                <w:rFonts w:hint="eastAsia" w:hAnsi="宋体" w:cs="宋体"/>
                <w:b/>
                <w:bCs/>
                <w:color w:val="auto"/>
                <w:sz w:val="21"/>
                <w:szCs w:val="21"/>
                <w:highlight w:val="none"/>
              </w:rPr>
              <w:t>响应性审查</w:t>
            </w:r>
          </w:p>
        </w:tc>
        <w:tc>
          <w:tcPr>
            <w:tcW w:w="984" w:type="pct"/>
            <w:noWrap w:val="0"/>
            <w:vAlign w:val="center"/>
          </w:tcPr>
          <w:p w14:paraId="3FE5F7E4">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b/>
                <w:bCs/>
                <w:color w:val="auto"/>
                <w:sz w:val="21"/>
                <w:szCs w:val="21"/>
                <w:highlight w:val="none"/>
              </w:rPr>
            </w:pPr>
            <w:r>
              <w:rPr>
                <w:rFonts w:hint="eastAsia" w:hAnsi="宋体" w:cs="宋体"/>
                <w:b/>
                <w:bCs/>
                <w:color w:val="auto"/>
                <w:sz w:val="21"/>
                <w:szCs w:val="21"/>
                <w:highlight w:val="none"/>
              </w:rPr>
              <w:t>对招标文件响应程度</w:t>
            </w:r>
          </w:p>
        </w:tc>
        <w:tc>
          <w:tcPr>
            <w:tcW w:w="2714" w:type="pct"/>
            <w:noWrap w:val="0"/>
            <w:vAlign w:val="center"/>
          </w:tcPr>
          <w:p w14:paraId="5B7999B9">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rPr>
              <w:t>要求全面响应，不能有任何采购人不能接受的附加条件</w:t>
            </w:r>
            <w:r>
              <w:rPr>
                <w:rFonts w:hint="eastAsia" w:hAnsi="宋体" w:cs="宋体"/>
                <w:color w:val="auto"/>
                <w:sz w:val="21"/>
                <w:szCs w:val="21"/>
                <w:highlight w:val="none"/>
                <w:lang w:eastAsia="zh-CN"/>
              </w:rPr>
              <w:t>。</w:t>
            </w:r>
          </w:p>
        </w:tc>
      </w:tr>
      <w:tr w14:paraId="4D1D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77" w:type="pct"/>
            <w:vMerge w:val="continue"/>
            <w:noWrap w:val="0"/>
            <w:vAlign w:val="top"/>
          </w:tcPr>
          <w:p w14:paraId="774F9DD9">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textAlignment w:val="auto"/>
              <w:rPr>
                <w:rFonts w:hAnsi="宋体" w:cs="宋体"/>
                <w:color w:val="auto"/>
                <w:sz w:val="21"/>
                <w:szCs w:val="21"/>
                <w:highlight w:val="none"/>
              </w:rPr>
            </w:pPr>
          </w:p>
        </w:tc>
        <w:tc>
          <w:tcPr>
            <w:tcW w:w="294" w:type="pct"/>
            <w:vMerge w:val="continue"/>
            <w:noWrap w:val="0"/>
            <w:vAlign w:val="top"/>
          </w:tcPr>
          <w:p w14:paraId="5B6E0292">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textAlignment w:val="auto"/>
              <w:rPr>
                <w:rFonts w:hAnsi="宋体" w:cs="宋体"/>
                <w:b/>
                <w:bCs/>
                <w:color w:val="auto"/>
                <w:sz w:val="21"/>
                <w:szCs w:val="21"/>
                <w:highlight w:val="none"/>
              </w:rPr>
            </w:pPr>
          </w:p>
        </w:tc>
        <w:tc>
          <w:tcPr>
            <w:tcW w:w="529" w:type="pct"/>
            <w:vMerge w:val="continue"/>
            <w:noWrap w:val="0"/>
            <w:vAlign w:val="top"/>
          </w:tcPr>
          <w:p w14:paraId="223C5A8C">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textAlignment w:val="auto"/>
              <w:rPr>
                <w:rFonts w:hAnsi="宋体" w:cs="宋体"/>
                <w:b/>
                <w:bCs/>
                <w:color w:val="auto"/>
                <w:sz w:val="21"/>
                <w:szCs w:val="21"/>
                <w:highlight w:val="none"/>
              </w:rPr>
            </w:pPr>
          </w:p>
        </w:tc>
        <w:tc>
          <w:tcPr>
            <w:tcW w:w="984" w:type="pct"/>
            <w:noWrap w:val="0"/>
            <w:vAlign w:val="center"/>
          </w:tcPr>
          <w:p w14:paraId="1B02666C">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int="eastAsia" w:hAnsi="宋体" w:eastAsia="宋体" w:cs="宋体"/>
                <w:b/>
                <w:bCs/>
                <w:color w:val="auto"/>
                <w:sz w:val="21"/>
                <w:szCs w:val="21"/>
                <w:highlight w:val="none"/>
                <w:lang w:eastAsia="zh-CN"/>
              </w:rPr>
            </w:pPr>
            <w:r>
              <w:rPr>
                <w:rFonts w:hint="eastAsia" w:hAnsi="宋体" w:cs="宋体"/>
                <w:b/>
                <w:bCs/>
                <w:color w:val="auto"/>
                <w:sz w:val="21"/>
                <w:szCs w:val="21"/>
                <w:highlight w:val="none"/>
                <w:lang w:val="en-US" w:eastAsia="zh-CN"/>
              </w:rPr>
              <w:t>服务期</w:t>
            </w:r>
          </w:p>
        </w:tc>
        <w:tc>
          <w:tcPr>
            <w:tcW w:w="2714" w:type="pct"/>
            <w:noWrap w:val="0"/>
            <w:vAlign w:val="center"/>
          </w:tcPr>
          <w:p w14:paraId="71438F6E">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rPr>
              <w:t>应满足招标文件中要求的</w:t>
            </w:r>
            <w:r>
              <w:rPr>
                <w:rFonts w:hint="eastAsia" w:hAnsi="宋体" w:cs="宋体"/>
                <w:color w:val="auto"/>
                <w:sz w:val="21"/>
                <w:szCs w:val="21"/>
                <w:highlight w:val="none"/>
                <w:lang w:eastAsia="zh-CN"/>
              </w:rPr>
              <w:t>。</w:t>
            </w:r>
          </w:p>
        </w:tc>
      </w:tr>
      <w:tr w14:paraId="1D55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77" w:type="pct"/>
            <w:vMerge w:val="continue"/>
            <w:noWrap w:val="0"/>
            <w:vAlign w:val="top"/>
          </w:tcPr>
          <w:p w14:paraId="58DDD4AE">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textAlignment w:val="auto"/>
              <w:rPr>
                <w:rFonts w:hAnsi="宋体" w:cs="宋体"/>
                <w:color w:val="auto"/>
                <w:sz w:val="21"/>
                <w:szCs w:val="21"/>
                <w:highlight w:val="none"/>
              </w:rPr>
            </w:pPr>
          </w:p>
        </w:tc>
        <w:tc>
          <w:tcPr>
            <w:tcW w:w="294" w:type="pct"/>
            <w:vMerge w:val="continue"/>
            <w:noWrap w:val="0"/>
            <w:vAlign w:val="top"/>
          </w:tcPr>
          <w:p w14:paraId="2EA836E2">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textAlignment w:val="auto"/>
              <w:rPr>
                <w:rFonts w:hAnsi="宋体" w:cs="宋体"/>
                <w:b/>
                <w:bCs/>
                <w:color w:val="auto"/>
                <w:sz w:val="21"/>
                <w:szCs w:val="21"/>
                <w:highlight w:val="none"/>
              </w:rPr>
            </w:pPr>
          </w:p>
        </w:tc>
        <w:tc>
          <w:tcPr>
            <w:tcW w:w="529" w:type="pct"/>
            <w:vMerge w:val="continue"/>
            <w:noWrap w:val="0"/>
            <w:vAlign w:val="top"/>
          </w:tcPr>
          <w:p w14:paraId="0B9FD3C3">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textAlignment w:val="auto"/>
              <w:rPr>
                <w:rFonts w:hAnsi="宋体" w:cs="宋体"/>
                <w:b/>
                <w:bCs/>
                <w:color w:val="auto"/>
                <w:sz w:val="21"/>
                <w:szCs w:val="21"/>
                <w:highlight w:val="none"/>
              </w:rPr>
            </w:pPr>
          </w:p>
        </w:tc>
        <w:tc>
          <w:tcPr>
            <w:tcW w:w="984" w:type="pct"/>
            <w:noWrap w:val="0"/>
            <w:vAlign w:val="center"/>
          </w:tcPr>
          <w:p w14:paraId="4281B16C">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int="eastAsia" w:hAnsi="宋体" w:eastAsia="宋体" w:cs="宋体"/>
                <w:b/>
                <w:bCs/>
                <w:color w:val="auto"/>
                <w:sz w:val="21"/>
                <w:szCs w:val="21"/>
                <w:highlight w:val="none"/>
                <w:lang w:eastAsia="zh-CN"/>
              </w:rPr>
            </w:pPr>
            <w:r>
              <w:rPr>
                <w:rFonts w:hint="eastAsia" w:hAnsi="宋体" w:cs="宋体"/>
                <w:b/>
                <w:bCs/>
                <w:color w:val="auto"/>
                <w:sz w:val="21"/>
                <w:szCs w:val="21"/>
                <w:highlight w:val="none"/>
                <w:lang w:val="en-US" w:eastAsia="zh-CN"/>
              </w:rPr>
              <w:t>质量标准</w:t>
            </w:r>
          </w:p>
        </w:tc>
        <w:tc>
          <w:tcPr>
            <w:tcW w:w="2714" w:type="pct"/>
            <w:noWrap w:val="0"/>
            <w:vAlign w:val="center"/>
          </w:tcPr>
          <w:p w14:paraId="4A32F1C6">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rPr>
              <w:t>应满足招标文件中要求</w:t>
            </w:r>
            <w:r>
              <w:rPr>
                <w:rFonts w:hint="eastAsia" w:hAnsi="宋体" w:cs="宋体"/>
                <w:color w:val="auto"/>
                <w:sz w:val="21"/>
                <w:szCs w:val="21"/>
                <w:highlight w:val="none"/>
                <w:lang w:val="en-US" w:eastAsia="zh-CN"/>
              </w:rPr>
              <w:t>。</w:t>
            </w:r>
          </w:p>
        </w:tc>
      </w:tr>
      <w:tr w14:paraId="652B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77" w:type="pct"/>
            <w:vMerge w:val="continue"/>
            <w:noWrap w:val="0"/>
            <w:vAlign w:val="top"/>
          </w:tcPr>
          <w:p w14:paraId="61756B40">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textAlignment w:val="auto"/>
              <w:rPr>
                <w:rFonts w:hAnsi="宋体" w:cs="宋体"/>
                <w:color w:val="auto"/>
                <w:sz w:val="21"/>
                <w:szCs w:val="21"/>
                <w:highlight w:val="none"/>
              </w:rPr>
            </w:pPr>
          </w:p>
        </w:tc>
        <w:tc>
          <w:tcPr>
            <w:tcW w:w="294" w:type="pct"/>
            <w:vMerge w:val="continue"/>
            <w:noWrap w:val="0"/>
            <w:vAlign w:val="top"/>
          </w:tcPr>
          <w:p w14:paraId="7FCE6B13">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textAlignment w:val="auto"/>
              <w:rPr>
                <w:rFonts w:hAnsi="宋体" w:cs="宋体"/>
                <w:b/>
                <w:bCs/>
                <w:color w:val="auto"/>
                <w:sz w:val="21"/>
                <w:szCs w:val="21"/>
                <w:highlight w:val="none"/>
              </w:rPr>
            </w:pPr>
          </w:p>
        </w:tc>
        <w:tc>
          <w:tcPr>
            <w:tcW w:w="529" w:type="pct"/>
            <w:vMerge w:val="continue"/>
            <w:noWrap w:val="0"/>
            <w:vAlign w:val="top"/>
          </w:tcPr>
          <w:p w14:paraId="56CEED60">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textAlignment w:val="auto"/>
              <w:rPr>
                <w:rFonts w:hAnsi="宋体" w:cs="宋体"/>
                <w:b/>
                <w:bCs/>
                <w:color w:val="auto"/>
                <w:sz w:val="21"/>
                <w:szCs w:val="21"/>
                <w:highlight w:val="none"/>
              </w:rPr>
            </w:pPr>
          </w:p>
        </w:tc>
        <w:tc>
          <w:tcPr>
            <w:tcW w:w="984" w:type="pct"/>
            <w:noWrap w:val="0"/>
            <w:vAlign w:val="center"/>
          </w:tcPr>
          <w:p w14:paraId="6CEE7788">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jc w:val="center"/>
              <w:textAlignment w:val="auto"/>
              <w:rPr>
                <w:rFonts w:hAnsi="宋体" w:cs="宋体"/>
                <w:b/>
                <w:bCs/>
                <w:color w:val="auto"/>
                <w:sz w:val="21"/>
                <w:szCs w:val="21"/>
                <w:highlight w:val="none"/>
              </w:rPr>
            </w:pPr>
            <w:r>
              <w:rPr>
                <w:rFonts w:hint="eastAsia" w:hAnsi="宋体" w:cs="宋体"/>
                <w:b/>
                <w:bCs/>
                <w:color w:val="auto"/>
                <w:sz w:val="21"/>
                <w:szCs w:val="21"/>
                <w:highlight w:val="none"/>
              </w:rPr>
              <w:t>投标有效期</w:t>
            </w:r>
          </w:p>
        </w:tc>
        <w:tc>
          <w:tcPr>
            <w:tcW w:w="2714" w:type="pct"/>
            <w:noWrap w:val="0"/>
            <w:vAlign w:val="center"/>
          </w:tcPr>
          <w:p w14:paraId="750BD6AD">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rPr>
              <w:t>应满足招标文件中的规定</w:t>
            </w:r>
            <w:r>
              <w:rPr>
                <w:rFonts w:hint="eastAsia" w:hAnsi="宋体" w:cs="宋体"/>
                <w:color w:val="auto"/>
                <w:sz w:val="21"/>
                <w:szCs w:val="21"/>
                <w:highlight w:val="none"/>
                <w:lang w:eastAsia="zh-CN"/>
              </w:rPr>
              <w:t>。</w:t>
            </w:r>
          </w:p>
        </w:tc>
      </w:tr>
    </w:tbl>
    <w:p w14:paraId="0DD3951B">
      <w:pPr>
        <w:rPr>
          <w:rFonts w:hint="eastAsia" w:hAnsi="宋体" w:cs="宋体"/>
          <w:b/>
          <w:color w:val="auto"/>
          <w:sz w:val="21"/>
          <w:szCs w:val="21"/>
          <w:highlight w:val="none"/>
        </w:rPr>
      </w:pPr>
      <w:r>
        <w:rPr>
          <w:rFonts w:hint="eastAsia" w:hAnsi="宋体" w:cs="宋体"/>
          <w:b/>
          <w:color w:val="auto"/>
          <w:sz w:val="21"/>
          <w:szCs w:val="21"/>
          <w:highlight w:val="none"/>
        </w:rPr>
        <w:br w:type="page"/>
      </w:r>
    </w:p>
    <w:p w14:paraId="77AE6DFC">
      <w:pPr>
        <w:shd w:val="clear" w:color="auto" w:fill="auto"/>
        <w:spacing w:line="560" w:lineRule="exact"/>
        <w:rPr>
          <w:rFonts w:hint="eastAsia" w:hAnsi="宋体" w:cs="宋体"/>
          <w:b/>
          <w:color w:val="auto"/>
          <w:sz w:val="21"/>
          <w:szCs w:val="21"/>
          <w:highlight w:val="none"/>
        </w:rPr>
      </w:pPr>
      <w:r>
        <w:rPr>
          <w:rFonts w:hint="eastAsia" w:hAnsi="宋体" w:cs="宋体"/>
          <w:b/>
          <w:color w:val="auto"/>
          <w:sz w:val="21"/>
          <w:szCs w:val="21"/>
          <w:highlight w:val="none"/>
        </w:rPr>
        <w:t>附件 2 评标因素及权重分值表</w:t>
      </w:r>
    </w:p>
    <w:p w14:paraId="27B0996A">
      <w:pPr>
        <w:shd w:val="clear" w:color="auto" w:fill="auto"/>
        <w:spacing w:line="560" w:lineRule="exact"/>
        <w:rPr>
          <w:rFonts w:hint="default" w:hAnsi="宋体" w:eastAsia="宋体" w:cs="宋体"/>
          <w:b/>
          <w:color w:val="auto"/>
          <w:sz w:val="21"/>
          <w:szCs w:val="21"/>
          <w:highlight w:val="none"/>
          <w:lang w:val="en-US" w:eastAsia="zh-CN"/>
        </w:rPr>
      </w:pPr>
      <w:r>
        <w:rPr>
          <w:rFonts w:hint="eastAsia" w:hAnsi="宋体" w:cs="宋体"/>
          <w:b/>
          <w:color w:val="auto"/>
          <w:sz w:val="21"/>
          <w:szCs w:val="21"/>
          <w:highlight w:val="none"/>
          <w:lang w:val="en-US" w:eastAsia="zh-CN"/>
        </w:rPr>
        <w:t>合同包1</w:t>
      </w:r>
    </w:p>
    <w:tbl>
      <w:tblPr>
        <w:tblStyle w:val="17"/>
        <w:tblW w:w="493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5"/>
        <w:gridCol w:w="1593"/>
        <w:gridCol w:w="4340"/>
        <w:gridCol w:w="829"/>
        <w:gridCol w:w="829"/>
      </w:tblGrid>
      <w:tr w14:paraId="4420A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C34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BC0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评审项</w:t>
            </w:r>
          </w:p>
        </w:tc>
        <w:tc>
          <w:tcPr>
            <w:tcW w:w="2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DDB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详细描述</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021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88B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240FE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215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4D5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对项目背景和实施目的的认识和理解</w:t>
            </w:r>
          </w:p>
        </w:tc>
        <w:tc>
          <w:tcPr>
            <w:tcW w:w="2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AE9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一、评审内容：能够全面理解本项目实施目的，对本服务项目有深刻且独特的见解，具有深度的思考。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 对项目背景认识和理解（5分）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②项目需求分析（5分）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③项目重难点分析及合理化建议（5分）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二、评审标准： 以上内容每一项专门针对本项目且符合本项目实际需求的得</w:t>
            </w:r>
            <w:r>
              <w:rPr>
                <w:rFonts w:hint="eastAsia"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分，缺项扣5分。若内容中存在瑕疵，每出现一处瑕疵扣0.5分，扣完为止。“瑕疵”指内容有错误，或内容表述前后矛盾或内容不完整或表达简单笼统或缺少关键点，或不适用本项目特性、套用其他项目内容或内容不能满足本项目实际需求等任意一种情形。</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C5B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A564C">
            <w:pPr>
              <w:jc w:val="center"/>
              <w:rPr>
                <w:rFonts w:hint="eastAsia" w:ascii="宋体" w:hAnsi="宋体" w:eastAsia="宋体" w:cs="宋体"/>
                <w:i w:val="0"/>
                <w:iCs w:val="0"/>
                <w:color w:val="000000"/>
                <w:sz w:val="21"/>
                <w:szCs w:val="21"/>
                <w:u w:val="none"/>
              </w:rPr>
            </w:pPr>
          </w:p>
        </w:tc>
      </w:tr>
      <w:tr w14:paraId="50AF6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815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006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本项目整体实施方案</w:t>
            </w:r>
          </w:p>
        </w:tc>
        <w:tc>
          <w:tcPr>
            <w:tcW w:w="2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C2F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一、评审内容：针对采购内容提出适用于本项目的整体实施方案，具体包括：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①制度设计方案（5分）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②制度培训方案（5分）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③制度推广方案（5分）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④制度监测方案（5分）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二、评审标准： 以上内容每一项专门针对本项目且符合本项目实际需求的得</w:t>
            </w:r>
            <w:r>
              <w:rPr>
                <w:rFonts w:hint="eastAsia"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分，缺项扣5分。若内容中存在瑕疵，每出现一处瑕疵扣0.5分，扣完为止。“瑕疵”指内容有错误，或内容表述前后矛盾或内容不完整或表达简单笼统或缺少关键点，或不适用本项目特性、套用其他项目内容或内容不能满足本项目实际需求等任意一种情形。</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D45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8D4AB">
            <w:pPr>
              <w:jc w:val="center"/>
              <w:rPr>
                <w:rFonts w:hint="eastAsia" w:ascii="宋体" w:hAnsi="宋体" w:eastAsia="宋体" w:cs="宋体"/>
                <w:i w:val="0"/>
                <w:iCs w:val="0"/>
                <w:color w:val="000000"/>
                <w:sz w:val="21"/>
                <w:szCs w:val="21"/>
                <w:u w:val="none"/>
              </w:rPr>
            </w:pPr>
          </w:p>
        </w:tc>
      </w:tr>
      <w:tr w14:paraId="04D50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C20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5BE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配合协调方案</w:t>
            </w:r>
          </w:p>
        </w:tc>
        <w:tc>
          <w:tcPr>
            <w:tcW w:w="2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8D2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一、评审内容：项目实施过程中有积极配合采购人及各方主体的配合协调方案，确保本项目顺利实施。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二、评审标准： 以上内容专门针对本项目且符合本项目实际需求的得5分，缺项扣5分。若内容中存在瑕疵，每出现一处瑕疵扣0.5分，扣完为止。“瑕疵”指内容有错误，或内容表述前后矛盾或内容不完整或表达简单笼统或缺少关键点，或不适用本项目特性、套用其他项目内容或内容不能满足本项目实际需求等任意一种情形。</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E90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184CF">
            <w:pPr>
              <w:jc w:val="center"/>
              <w:rPr>
                <w:rFonts w:hint="eastAsia" w:ascii="宋体" w:hAnsi="宋体" w:eastAsia="宋体" w:cs="宋体"/>
                <w:i w:val="0"/>
                <w:iCs w:val="0"/>
                <w:color w:val="000000"/>
                <w:sz w:val="21"/>
                <w:szCs w:val="21"/>
                <w:u w:val="none"/>
              </w:rPr>
            </w:pPr>
          </w:p>
        </w:tc>
      </w:tr>
      <w:tr w14:paraId="20F9F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48A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0A4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保障措施</w:t>
            </w:r>
          </w:p>
        </w:tc>
        <w:tc>
          <w:tcPr>
            <w:tcW w:w="2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287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一、评审内容：针对采购内容提出适用于本项目的保障措施，包括：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①成果文件资料编制规范性保障方案（5分）；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②项目实施进度保障措施（5分）；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③廉洁保密措施（5分）。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二、评审标准：以上内容每一项专门针对本项目且符合本项目实际需求的得</w:t>
            </w:r>
            <w:r>
              <w:rPr>
                <w:rFonts w:hint="eastAsia"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分，缺项扣5分。若内容中存在瑕疵，每出现一处瑕疵扣0.5分，扣完为止。“瑕疵”指内容有错误，或内容表述前后矛盾或内容不完整或表达简单笼统或缺少关键点，或不适用本项目特性、套用其他项目内容或内容不能满足本项目实际需求等任意一种情形。</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0CF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9EE08">
            <w:pPr>
              <w:jc w:val="center"/>
              <w:rPr>
                <w:rFonts w:hint="eastAsia" w:ascii="宋体" w:hAnsi="宋体" w:eastAsia="宋体" w:cs="宋体"/>
                <w:i w:val="0"/>
                <w:iCs w:val="0"/>
                <w:color w:val="000000"/>
                <w:sz w:val="21"/>
                <w:szCs w:val="21"/>
                <w:u w:val="none"/>
              </w:rPr>
            </w:pPr>
          </w:p>
        </w:tc>
      </w:tr>
      <w:tr w14:paraId="72DB4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55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702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服务承诺</w:t>
            </w:r>
          </w:p>
        </w:tc>
        <w:tc>
          <w:tcPr>
            <w:tcW w:w="2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78A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一、评审内容：针对采购内容提出适用于本项目的服务承诺，包括：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①对项目的实施质量要求、进度要求、时限要求、编制、修订完善等相关内容等做出承诺（5分）；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②对服务期内，服务团队得稳定性做出承诺（5分）；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③对项目后期服务及配合采购人相关工作等相关内容做出承诺（5分）。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二、评审标准：以上内容每一项专门针对本项目且符合本项目实际需求的得</w:t>
            </w:r>
            <w:r>
              <w:rPr>
                <w:rFonts w:hint="eastAsia"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分，缺项扣5分。若内容中存在瑕疵，每出现一处瑕疵扣0.5分，扣完为止。“瑕疵”指内容有错误，或内容表述前后矛盾或内容不完整或表达简单笼统或缺少关键点，或不适用本项目特性、套用其他项目内容或内容不能满足本项目实际需求等任意一种情形。</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D98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2C3F0">
            <w:pPr>
              <w:jc w:val="center"/>
              <w:rPr>
                <w:rFonts w:hint="eastAsia" w:ascii="宋体" w:hAnsi="宋体" w:eastAsia="宋体" w:cs="宋体"/>
                <w:i w:val="0"/>
                <w:iCs w:val="0"/>
                <w:color w:val="000000"/>
                <w:sz w:val="21"/>
                <w:szCs w:val="21"/>
                <w:u w:val="none"/>
              </w:rPr>
            </w:pPr>
          </w:p>
        </w:tc>
      </w:tr>
      <w:tr w14:paraId="22D62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D94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7DC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人员团队</w:t>
            </w:r>
          </w:p>
        </w:tc>
        <w:tc>
          <w:tcPr>
            <w:tcW w:w="2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C1C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一、评审内容：针对采购需求提出适用于本项目的人员配</w:t>
            </w:r>
            <w:r>
              <w:rPr>
                <w:rFonts w:hint="eastAsia" w:ascii="宋体" w:hAnsi="宋体" w:eastAsia="宋体" w:cs="宋体"/>
                <w:i w:val="0"/>
                <w:iCs w:val="0"/>
                <w:color w:val="000000"/>
                <w:kern w:val="0"/>
                <w:sz w:val="21"/>
                <w:szCs w:val="21"/>
                <w:highlight w:val="none"/>
                <w:u w:val="none"/>
                <w:lang w:val="en-US" w:eastAsia="zh-CN" w:bidi="ar"/>
              </w:rPr>
              <w:t>备情况方案，方案包括：</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①人员</w:t>
            </w:r>
            <w:r>
              <w:rPr>
                <w:rFonts w:hint="eastAsia" w:hAnsi="宋体" w:cs="宋体"/>
                <w:i w:val="0"/>
                <w:iCs w:val="0"/>
                <w:color w:val="000000"/>
                <w:kern w:val="0"/>
                <w:sz w:val="21"/>
                <w:szCs w:val="21"/>
                <w:highlight w:val="none"/>
                <w:u w:val="none"/>
                <w:lang w:val="en-US" w:eastAsia="zh-CN" w:bidi="ar"/>
              </w:rPr>
              <w:t>组织框架机构</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②人员管理制度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③</w:t>
            </w:r>
            <w:r>
              <w:rPr>
                <w:rFonts w:hint="eastAsia" w:hAnsi="宋体" w:cs="宋体"/>
                <w:i w:val="0"/>
                <w:iCs w:val="0"/>
                <w:color w:val="000000"/>
                <w:kern w:val="0"/>
                <w:sz w:val="21"/>
                <w:szCs w:val="21"/>
                <w:highlight w:val="none"/>
                <w:u w:val="none"/>
                <w:lang w:val="en-US" w:eastAsia="zh-CN" w:bidi="ar"/>
              </w:rPr>
              <w:t>人员领导与决策机制</w:t>
            </w:r>
            <w:r>
              <w:rPr>
                <w:rFonts w:hint="eastAsia" w:ascii="宋体" w:hAnsi="宋体" w:eastAsia="宋体" w:cs="宋体"/>
                <w:i w:val="0"/>
                <w:iCs w:val="0"/>
                <w:color w:val="000000"/>
                <w:kern w:val="0"/>
                <w:sz w:val="21"/>
                <w:szCs w:val="21"/>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二、以上内容每一项专门</w:t>
            </w:r>
            <w:r>
              <w:rPr>
                <w:rFonts w:hint="eastAsia" w:ascii="宋体" w:hAnsi="宋体" w:eastAsia="宋体" w:cs="宋体"/>
                <w:i w:val="0"/>
                <w:iCs w:val="0"/>
                <w:color w:val="000000"/>
                <w:kern w:val="0"/>
                <w:sz w:val="21"/>
                <w:szCs w:val="21"/>
                <w:u w:val="none"/>
                <w:lang w:val="en-US" w:eastAsia="zh-CN" w:bidi="ar"/>
              </w:rPr>
              <w:t>针对本项目且符合本项目实际需求的得</w:t>
            </w:r>
            <w:r>
              <w:rPr>
                <w:rFonts w:hint="eastAsia"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分，缺项扣5分。若内容中存在瑕疵，每出现一处瑕疵扣0.5分，扣完为止。“瑕疵”指内容有错误，或内容表述前后矛盾或内容不完整或表达简单笼统或缺少关键点，或不适用本项目特性、套用其他项目内容或内容不能满足本项目实际需求等任意一种情形。</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2AC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627A1">
            <w:pPr>
              <w:jc w:val="center"/>
              <w:rPr>
                <w:rFonts w:hint="eastAsia" w:ascii="宋体" w:hAnsi="宋体" w:eastAsia="宋体" w:cs="宋体"/>
                <w:i w:val="0"/>
                <w:iCs w:val="0"/>
                <w:color w:val="000000"/>
                <w:sz w:val="21"/>
                <w:szCs w:val="21"/>
                <w:u w:val="none"/>
              </w:rPr>
            </w:pPr>
          </w:p>
        </w:tc>
      </w:tr>
      <w:tr w14:paraId="6E925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2CC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57C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业绩</w:t>
            </w:r>
          </w:p>
        </w:tc>
        <w:tc>
          <w:tcPr>
            <w:tcW w:w="2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D8C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供应商提供近</w:t>
            </w:r>
            <w:r>
              <w:rPr>
                <w:rFonts w:hint="eastAsia" w:hAnsi="宋体" w:cs="宋体"/>
                <w:i w:val="0"/>
                <w:iCs w:val="0"/>
                <w:color w:val="000000"/>
                <w:kern w:val="0"/>
                <w:sz w:val="21"/>
                <w:szCs w:val="21"/>
                <w:u w:val="none"/>
                <w:lang w:val="en-US" w:eastAsia="zh-CN" w:bidi="ar"/>
              </w:rPr>
              <w:t>三</w:t>
            </w:r>
            <w:r>
              <w:rPr>
                <w:rFonts w:hint="eastAsia" w:ascii="宋体" w:hAnsi="宋体" w:eastAsia="宋体" w:cs="宋体"/>
                <w:i w:val="0"/>
                <w:iCs w:val="0"/>
                <w:color w:val="000000"/>
                <w:kern w:val="0"/>
                <w:sz w:val="21"/>
                <w:szCs w:val="21"/>
                <w:u w:val="none"/>
                <w:lang w:val="en-US" w:eastAsia="zh-CN" w:bidi="ar"/>
              </w:rPr>
              <w:t>年（202</w:t>
            </w:r>
            <w:r>
              <w:rPr>
                <w:rFonts w:hint="eastAsia"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年1月1日至今）类似项目业绩，每提供1个得</w:t>
            </w:r>
            <w:r>
              <w:rPr>
                <w:rFonts w:hint="eastAsia" w:hAnsi="宋体" w:cs="宋体"/>
                <w:i w:val="0"/>
                <w:iCs w:val="0"/>
                <w:color w:val="000000"/>
                <w:kern w:val="0"/>
                <w:sz w:val="21"/>
                <w:szCs w:val="21"/>
                <w:u w:val="none"/>
                <w:lang w:val="en-US" w:eastAsia="zh-CN" w:bidi="ar"/>
              </w:rPr>
              <w:t>2.5</w:t>
            </w:r>
            <w:r>
              <w:rPr>
                <w:rFonts w:hint="eastAsia" w:ascii="宋体" w:hAnsi="宋体" w:eastAsia="宋体" w:cs="宋体"/>
                <w:i w:val="0"/>
                <w:iCs w:val="0"/>
                <w:color w:val="000000"/>
                <w:kern w:val="0"/>
                <w:sz w:val="21"/>
                <w:szCs w:val="21"/>
                <w:u w:val="none"/>
                <w:lang w:val="en-US" w:eastAsia="zh-CN" w:bidi="ar"/>
              </w:rPr>
              <w:t>分，最高得5分；业绩证明（以合同为准，须在响应文件中附合同的扫描件加盖单位公章）。</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2E8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FBDE0">
            <w:pPr>
              <w:jc w:val="center"/>
              <w:rPr>
                <w:rFonts w:hint="eastAsia" w:ascii="宋体" w:hAnsi="宋体" w:eastAsia="宋体" w:cs="宋体"/>
                <w:i w:val="0"/>
                <w:iCs w:val="0"/>
                <w:color w:val="000000"/>
                <w:sz w:val="21"/>
                <w:szCs w:val="21"/>
                <w:u w:val="none"/>
              </w:rPr>
            </w:pPr>
          </w:p>
        </w:tc>
      </w:tr>
      <w:tr w14:paraId="4055C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3E9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792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价格分</w:t>
            </w:r>
          </w:p>
        </w:tc>
        <w:tc>
          <w:tcPr>
            <w:tcW w:w="2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E8A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1、经初审合格的投标文件，通过符合性审查的投标报价为有效投标价。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2、有效最低报价为基准价得10分。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3、按（有效最低报价/有效投标报价）×10的公式计算报价得分。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4、投标报价不完整的，不进入评标基准价的计算，本项得0分。</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FDB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601E5">
            <w:pPr>
              <w:jc w:val="center"/>
              <w:rPr>
                <w:rFonts w:hint="eastAsia" w:ascii="宋体" w:hAnsi="宋体" w:eastAsia="宋体" w:cs="宋体"/>
                <w:i w:val="0"/>
                <w:iCs w:val="0"/>
                <w:color w:val="000000"/>
                <w:sz w:val="21"/>
                <w:szCs w:val="21"/>
                <w:u w:val="none"/>
              </w:rPr>
            </w:pPr>
          </w:p>
        </w:tc>
      </w:tr>
    </w:tbl>
    <w:p w14:paraId="7F47D28C">
      <w:pPr>
        <w:pStyle w:val="9"/>
        <w:adjustRightInd w:val="0"/>
        <w:snapToGrid w:val="0"/>
        <w:spacing w:line="240" w:lineRule="auto"/>
        <w:rPr>
          <w:rFonts w:hint="eastAsia" w:ascii="宋体" w:hAnsi="宋体" w:eastAsia="宋体" w:cs="宋体"/>
          <w:b/>
          <w:bCs/>
          <w:sz w:val="21"/>
          <w:szCs w:val="21"/>
          <w:highlight w:val="none"/>
        </w:rPr>
      </w:pPr>
    </w:p>
    <w:p w14:paraId="37ECDFD0">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2" w:firstLineChars="200"/>
        <w:jc w:val="left"/>
        <w:textAlignment w:val="auto"/>
        <w:outlineLvl w:val="9"/>
        <w:rPr>
          <w:rFonts w:hint="eastAsia" w:hAnsi="宋体" w:cs="宋体"/>
          <w:b/>
          <w:bCs/>
          <w:color w:val="000000"/>
          <w:kern w:val="0"/>
          <w:sz w:val="21"/>
          <w:szCs w:val="21"/>
          <w:highlight w:val="none"/>
          <w:lang w:val="en-US" w:eastAsia="zh-CN" w:bidi="ar"/>
        </w:rPr>
      </w:pPr>
      <w:bookmarkStart w:id="106" w:name="_Toc9993"/>
      <w:r>
        <w:rPr>
          <w:rFonts w:hint="eastAsia" w:hAnsi="宋体" w:cs="宋体"/>
          <w:b/>
          <w:bCs/>
          <w:color w:val="000000"/>
          <w:kern w:val="0"/>
          <w:sz w:val="21"/>
          <w:szCs w:val="21"/>
          <w:highlight w:val="none"/>
          <w:lang w:val="en-US" w:eastAsia="zh-CN" w:bidi="ar"/>
        </w:rPr>
        <w:t>合同包2</w:t>
      </w: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9"/>
        <w:gridCol w:w="1595"/>
        <w:gridCol w:w="4639"/>
        <w:gridCol w:w="738"/>
        <w:gridCol w:w="738"/>
      </w:tblGrid>
      <w:tr w14:paraId="3C771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C53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6DD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评审项</w:t>
            </w:r>
          </w:p>
        </w:tc>
        <w:tc>
          <w:tcPr>
            <w:tcW w:w="2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20E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详细描述</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011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68E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10ABA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1D7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38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项目理解</w:t>
            </w:r>
          </w:p>
        </w:tc>
        <w:tc>
          <w:tcPr>
            <w:tcW w:w="2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34BF1">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评审内容 投标人对本项目背景和现状、政策、相关标准及规范、需求进行充分了解，总体目标与项目需求吻合。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二、评审标准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1、完整性：方案须全面，对评审内容中的各项要求有详细描述； </w:t>
            </w:r>
          </w:p>
          <w:p w14:paraId="6B16AA6C">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可实施性：切合本项目实际情况，实施步骤清晰、合理；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3、针对性：方案能够紧扣项目实际情况，内容科学合理。 </w:t>
            </w:r>
          </w:p>
          <w:p w14:paraId="51CC9188">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三、赋分依据 每完全满足一个评审标准得2分，基本满足一个评审标准得1分，满分6分，未提供不得分。</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26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DC77E">
            <w:pPr>
              <w:rPr>
                <w:rFonts w:hint="eastAsia" w:ascii="宋体" w:hAnsi="宋体" w:eastAsia="宋体" w:cs="宋体"/>
                <w:i w:val="0"/>
                <w:iCs w:val="0"/>
                <w:color w:val="000000"/>
                <w:sz w:val="21"/>
                <w:szCs w:val="21"/>
                <w:u w:val="none"/>
              </w:rPr>
            </w:pPr>
          </w:p>
        </w:tc>
      </w:tr>
      <w:tr w14:paraId="1C1D6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2E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DB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重难点分析</w:t>
            </w:r>
          </w:p>
        </w:tc>
        <w:tc>
          <w:tcPr>
            <w:tcW w:w="2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78BBA">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评审内容 针对本项目服务的重点和难点的认识及分析，具有完善、合理的对策措施。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二、评审标准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1、完整性：方案须全面，对评审内容中的各项要求有详细描述；</w:t>
            </w:r>
          </w:p>
          <w:p w14:paraId="70FF1191">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2、可实施性：切合本项目实际情况，实施步骤清晰、合理；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3、针对性：方案能够紧扣项目实际情况，内容科学合理。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三、赋分依据 每完全满足一个评审标准得2分，基本满足一个评审标准得1分，满分6分，未提供不得分。</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5A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FF68">
            <w:pPr>
              <w:rPr>
                <w:rFonts w:hint="eastAsia" w:ascii="宋体" w:hAnsi="宋体" w:eastAsia="宋体" w:cs="宋体"/>
                <w:i w:val="0"/>
                <w:iCs w:val="0"/>
                <w:color w:val="000000"/>
                <w:sz w:val="21"/>
                <w:szCs w:val="21"/>
                <w:u w:val="none"/>
              </w:rPr>
            </w:pPr>
          </w:p>
        </w:tc>
      </w:tr>
      <w:tr w14:paraId="12F79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A8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B69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服务方案</w:t>
            </w:r>
          </w:p>
        </w:tc>
        <w:tc>
          <w:tcPr>
            <w:tcW w:w="2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E4C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一、评审内容 投标人针对本项目提供具体可行的培训服务方案；①培训内容②培训教材编写或选用③培训模式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二、评审标准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1、完整性：方案须全面，对评审内容中的各项要求有详细描述；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2、可实施性：切合本项目实际情况，实施步骤清晰、合理；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3、针对性：方案能够紧扣项目实际情况，内容科学合理。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三、赋分依据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①培训内容： 每完全满足一个评审标准得2分，基本满足一个评审标准得1分，满分6分，未提供不得分。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②培训教材编写或选用：每完全满足一个评审标准得2分，基本满足一个评审标准得1分，满分6分，未提供不得分。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③培训模式：每完全满足一个评审标准得2分，基本满足一个评审标准得1分，满分6分，未提供不得分。</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DD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11E7">
            <w:pPr>
              <w:rPr>
                <w:rFonts w:hint="eastAsia" w:ascii="宋体" w:hAnsi="宋体" w:eastAsia="宋体" w:cs="宋体"/>
                <w:i w:val="0"/>
                <w:iCs w:val="0"/>
                <w:color w:val="000000"/>
                <w:sz w:val="21"/>
                <w:szCs w:val="21"/>
                <w:u w:val="none"/>
              </w:rPr>
            </w:pPr>
          </w:p>
        </w:tc>
      </w:tr>
      <w:tr w14:paraId="42F86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10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32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工作计划</w:t>
            </w:r>
          </w:p>
        </w:tc>
        <w:tc>
          <w:tcPr>
            <w:tcW w:w="2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3ADC5">
            <w:pPr>
              <w:keepNext w:val="0"/>
              <w:keepLines w:val="0"/>
              <w:widowControl/>
              <w:numPr>
                <w:ilvl w:val="0"/>
                <w:numId w:val="9"/>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评审内容 投标人针对本项目制订详细的培训计划及流程。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①培训计划②讲师资源介绍③课程制定。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二、评审标准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1、完整性：方案须全面，对评审内容中的各项要求有详细描述； </w:t>
            </w:r>
          </w:p>
          <w:p w14:paraId="70AB1FD6">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2、可实施性：切合本项目实际情况，实施步骤清晰、合理；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3、针对性：方案能够紧扣项目实际情况，内容科学合理。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三、赋分依据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①培训计划： 每完全满足一个评审标准得2分，基本满足一个评审标准得1分，满分6分，未提供不得分。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②讲师资源介绍：每完全满足一个评审标准得2分，基本满足一个评审标准得1分，满分6分，未提供不得分。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③课程制定：每完全满足一个评审标准得2分，基本满足一个评审标准得1分，满分6分，未提供不得分。</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F2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0E96">
            <w:pPr>
              <w:rPr>
                <w:rFonts w:hint="eastAsia" w:ascii="宋体" w:hAnsi="宋体" w:eastAsia="宋体" w:cs="宋体"/>
                <w:i w:val="0"/>
                <w:iCs w:val="0"/>
                <w:color w:val="000000"/>
                <w:sz w:val="21"/>
                <w:szCs w:val="21"/>
                <w:u w:val="none"/>
              </w:rPr>
            </w:pPr>
          </w:p>
        </w:tc>
      </w:tr>
      <w:tr w14:paraId="55038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56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65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管理制度</w:t>
            </w:r>
          </w:p>
        </w:tc>
        <w:tc>
          <w:tcPr>
            <w:tcW w:w="2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D0182">
            <w:pPr>
              <w:keepNext w:val="0"/>
              <w:keepLines w:val="0"/>
              <w:widowControl/>
              <w:numPr>
                <w:ilvl w:val="0"/>
                <w:numId w:val="1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评审内容 投标人针对本项目的管理制度①教学管理制度②日常管理制度③人员岗位职责制度④纪律和奖惩办法规章制度。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二、评审标准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1、完整性：方案须全面，对评审内容中的各项要求有详细描述； </w:t>
            </w:r>
          </w:p>
          <w:p w14:paraId="3DE54917">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2、可实施性：切合本项目实际情况，实施步骤清晰、合理；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3、针对性：方案能够紧扣项目实际情况，内容科学合理。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三、赋分依据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①教学管理制度： 每完全满足一个评审标准得1分，基本满足一个评审标准得0.5分，满分3分，未提供不得分。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②日常管理制度：每完全满足一个评审标准得1分，基本满足一个评审标准得0.5分，满分3分，未提供不得分。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③人员岗位职责制度：每完全满足一个评审标准得1分，基本满足一个评审标准得0.5分，满分3分，未提供不得分。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④纪律和奖惩办法规章制度：每完全满足一个评审标准得1分，基本满足一个评审标准得0.5分，满分3分，未提供不得分。</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44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3971F">
            <w:pPr>
              <w:rPr>
                <w:rFonts w:hint="eastAsia" w:ascii="宋体" w:hAnsi="宋体" w:eastAsia="宋体" w:cs="宋体"/>
                <w:i w:val="0"/>
                <w:iCs w:val="0"/>
                <w:color w:val="000000"/>
                <w:sz w:val="21"/>
                <w:szCs w:val="21"/>
                <w:u w:val="none"/>
              </w:rPr>
            </w:pPr>
          </w:p>
        </w:tc>
      </w:tr>
      <w:tr w14:paraId="2C8D0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22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20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应急预案</w:t>
            </w:r>
          </w:p>
        </w:tc>
        <w:tc>
          <w:tcPr>
            <w:tcW w:w="2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E8F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一、评审内容 根据本项目特点，提供完备的应急预案及应对措施。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二、评审标准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1、完整性：方案须全面，对评审内容中的各项要求有详细描述；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2、可实施性：切合本项目实际情况，实施步骤清晰、合理；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3、针对性：方案能够紧扣项目实际情况，内容科学合理。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三、赋分依据 每完全满足一个评审标准得1分，基本满足一个评审标准得0.5分，满分3分，未提供不得分。</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48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E6F6">
            <w:pPr>
              <w:rPr>
                <w:rFonts w:hint="eastAsia" w:ascii="宋体" w:hAnsi="宋体" w:eastAsia="宋体" w:cs="宋体"/>
                <w:i w:val="0"/>
                <w:iCs w:val="0"/>
                <w:color w:val="000000"/>
                <w:sz w:val="21"/>
                <w:szCs w:val="21"/>
                <w:u w:val="none"/>
              </w:rPr>
            </w:pPr>
          </w:p>
        </w:tc>
      </w:tr>
      <w:tr w14:paraId="0A0E9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9"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42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C3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人员团队</w:t>
            </w:r>
          </w:p>
        </w:tc>
        <w:tc>
          <w:tcPr>
            <w:tcW w:w="2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925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一、评审内容：针对采购内容提出适用于本项目的服务承诺，包括：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①对项目的实施质量要求、进度要求、时限要求等相关内容等做出承诺（5分）；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②对服务期内，服务团队得稳定性做出承诺（5分）；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③对项目后期服务及配合采购人相关工作等相关内容做出承诺（5分）。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二、评审标准：以上内容每一项专门针对本项目且符合本项目实际需求的得</w:t>
            </w:r>
            <w:r>
              <w:rPr>
                <w:rFonts w:hint="eastAsia"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分，缺项扣5分。若内容中存在瑕疵，每出现一处瑕疵扣0.5分，扣完为止。“瑕疵”指内容有错误，或内容表述前后矛盾或内容不完整或表达简单笼统或缺少关键点，或不适用本项目特性、套用其他项目内容或内容不能满足本项目实际需求等任意一种情形。</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19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80453">
            <w:pPr>
              <w:rPr>
                <w:rFonts w:hint="eastAsia" w:ascii="宋体" w:hAnsi="宋体" w:eastAsia="宋体" w:cs="宋体"/>
                <w:i w:val="0"/>
                <w:iCs w:val="0"/>
                <w:color w:val="000000"/>
                <w:sz w:val="21"/>
                <w:szCs w:val="21"/>
                <w:u w:val="none"/>
              </w:rPr>
            </w:pPr>
          </w:p>
        </w:tc>
      </w:tr>
      <w:tr w14:paraId="36E1F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4D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F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硬件设施</w:t>
            </w:r>
          </w:p>
        </w:tc>
        <w:tc>
          <w:tcPr>
            <w:tcW w:w="2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76C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针对本项目拟配备的硬件设施（包含但不限于多媒体设施</w:t>
            </w:r>
            <w:r>
              <w:rPr>
                <w:rFonts w:hint="eastAsia" w:hAnsi="宋体" w:cs="宋体"/>
                <w:i w:val="0"/>
                <w:iCs w:val="0"/>
                <w:color w:val="000000"/>
                <w:kern w:val="0"/>
                <w:sz w:val="21"/>
                <w:szCs w:val="21"/>
                <w:u w:val="none"/>
                <w:lang w:val="en-US" w:eastAsia="zh-CN" w:bidi="ar"/>
              </w:rPr>
              <w:t>、电脑、办公用品</w:t>
            </w:r>
            <w:r>
              <w:rPr>
                <w:rFonts w:hint="eastAsia" w:ascii="宋体" w:hAnsi="宋体" w:eastAsia="宋体" w:cs="宋体"/>
                <w:i w:val="0"/>
                <w:iCs w:val="0"/>
                <w:color w:val="000000"/>
                <w:kern w:val="0"/>
                <w:sz w:val="21"/>
                <w:szCs w:val="21"/>
                <w:u w:val="none"/>
                <w:lang w:val="en-US" w:eastAsia="zh-CN" w:bidi="ar"/>
              </w:rPr>
              <w:t>等），按其响应程度自主赋分： 设备配备齐全，环境优良，完全满足本项目需求，计7分； 设备配备基本齐全，环境一般，基本满足本项目需求，计5分； 设备配备不齐全，环境较差，计2分。 评审依据：提供图片等相关证明材料，仅文字说明的不得分。</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9F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C186">
            <w:pPr>
              <w:rPr>
                <w:rFonts w:hint="eastAsia" w:ascii="宋体" w:hAnsi="宋体" w:eastAsia="宋体" w:cs="宋体"/>
                <w:i w:val="0"/>
                <w:iCs w:val="0"/>
                <w:color w:val="000000"/>
                <w:sz w:val="21"/>
                <w:szCs w:val="21"/>
                <w:u w:val="none"/>
              </w:rPr>
            </w:pPr>
          </w:p>
        </w:tc>
      </w:tr>
      <w:tr w14:paraId="2FD9E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07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B2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业绩</w:t>
            </w:r>
          </w:p>
        </w:tc>
        <w:tc>
          <w:tcPr>
            <w:tcW w:w="2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3BA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供应商提供近</w:t>
            </w:r>
            <w:r>
              <w:rPr>
                <w:rFonts w:hint="eastAsia" w:hAnsi="宋体" w:cs="宋体"/>
                <w:i w:val="0"/>
                <w:iCs w:val="0"/>
                <w:color w:val="000000"/>
                <w:kern w:val="0"/>
                <w:sz w:val="21"/>
                <w:szCs w:val="21"/>
                <w:u w:val="none"/>
                <w:lang w:val="en-US" w:eastAsia="zh-CN" w:bidi="ar"/>
              </w:rPr>
              <w:t>三</w:t>
            </w:r>
            <w:r>
              <w:rPr>
                <w:rFonts w:hint="eastAsia" w:ascii="宋体" w:hAnsi="宋体" w:eastAsia="宋体" w:cs="宋体"/>
                <w:i w:val="0"/>
                <w:iCs w:val="0"/>
                <w:color w:val="000000"/>
                <w:kern w:val="0"/>
                <w:sz w:val="21"/>
                <w:szCs w:val="21"/>
                <w:u w:val="none"/>
                <w:lang w:val="en-US" w:eastAsia="zh-CN" w:bidi="ar"/>
              </w:rPr>
              <w:t>年（202</w:t>
            </w:r>
            <w:r>
              <w:rPr>
                <w:rFonts w:hint="eastAsia"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年1月1日至今）类似项目业绩，每提供1个得</w:t>
            </w:r>
            <w:r>
              <w:rPr>
                <w:rFonts w:hint="eastAsia" w:hAnsi="宋体" w:cs="宋体"/>
                <w:i w:val="0"/>
                <w:iCs w:val="0"/>
                <w:color w:val="000000"/>
                <w:kern w:val="0"/>
                <w:sz w:val="21"/>
                <w:szCs w:val="21"/>
                <w:u w:val="none"/>
                <w:lang w:val="en-US" w:eastAsia="zh-CN" w:bidi="ar"/>
              </w:rPr>
              <w:t>2.5</w:t>
            </w:r>
            <w:r>
              <w:rPr>
                <w:rFonts w:hint="eastAsia" w:ascii="宋体" w:hAnsi="宋体" w:eastAsia="宋体" w:cs="宋体"/>
                <w:i w:val="0"/>
                <w:iCs w:val="0"/>
                <w:color w:val="000000"/>
                <w:kern w:val="0"/>
                <w:sz w:val="21"/>
                <w:szCs w:val="21"/>
                <w:u w:val="none"/>
                <w:lang w:val="en-US" w:eastAsia="zh-CN" w:bidi="ar"/>
              </w:rPr>
              <w:t>分，最高得5分；业绩证明（以合同为准，须在响应文件中附合同的扫描件加盖单位公章）。</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6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D0B5">
            <w:pPr>
              <w:rPr>
                <w:rFonts w:hint="eastAsia" w:ascii="宋体" w:hAnsi="宋体" w:eastAsia="宋体" w:cs="宋体"/>
                <w:i w:val="0"/>
                <w:iCs w:val="0"/>
                <w:color w:val="000000"/>
                <w:sz w:val="21"/>
                <w:szCs w:val="21"/>
                <w:u w:val="none"/>
              </w:rPr>
            </w:pPr>
          </w:p>
        </w:tc>
      </w:tr>
      <w:tr w14:paraId="1D3D1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AE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A7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价格分</w:t>
            </w:r>
          </w:p>
        </w:tc>
        <w:tc>
          <w:tcPr>
            <w:tcW w:w="2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FE4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1、经初审合格的投标文件，通过符合性审查的投标报价为有效投标价。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2、有效最低报价为基准价得10分。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3、按（有效最低报价/有效投标报价）×10的公式计算报价得分。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4、投标报价不完整的，不进入评标基准价的计算，本项得0分。</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22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68B1C">
            <w:pPr>
              <w:rPr>
                <w:rFonts w:hint="eastAsia" w:ascii="宋体" w:hAnsi="宋体" w:eastAsia="宋体" w:cs="宋体"/>
                <w:i w:val="0"/>
                <w:iCs w:val="0"/>
                <w:color w:val="000000"/>
                <w:sz w:val="21"/>
                <w:szCs w:val="21"/>
                <w:u w:val="none"/>
              </w:rPr>
            </w:pPr>
          </w:p>
        </w:tc>
      </w:tr>
    </w:tbl>
    <w:p w14:paraId="4F7BBAA1">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2" w:firstLineChars="200"/>
        <w:jc w:val="left"/>
        <w:textAlignment w:val="auto"/>
        <w:outlineLvl w:val="9"/>
        <w:rPr>
          <w:rFonts w:hint="eastAsia" w:ascii="宋体" w:hAnsi="宋体" w:eastAsia="宋体" w:cs="宋体"/>
          <w:sz w:val="21"/>
          <w:szCs w:val="21"/>
          <w:highlight w:val="none"/>
        </w:rPr>
      </w:pPr>
      <w:r>
        <w:rPr>
          <w:rFonts w:hint="eastAsia" w:ascii="宋体" w:hAnsi="宋体" w:eastAsia="宋体" w:cs="宋体"/>
          <w:b/>
          <w:bCs/>
          <w:color w:val="000000"/>
          <w:kern w:val="0"/>
          <w:sz w:val="21"/>
          <w:szCs w:val="21"/>
          <w:highlight w:val="none"/>
          <w:lang w:val="en-US" w:eastAsia="zh-CN" w:bidi="ar"/>
        </w:rPr>
        <w:t>一．评标方法</w:t>
      </w:r>
      <w:bookmarkEnd w:id="106"/>
      <w:r>
        <w:rPr>
          <w:rFonts w:hint="eastAsia" w:ascii="宋体" w:hAnsi="宋体" w:eastAsia="宋体" w:cs="宋体"/>
          <w:b/>
          <w:bCs/>
          <w:color w:val="000000"/>
          <w:kern w:val="0"/>
          <w:sz w:val="21"/>
          <w:szCs w:val="21"/>
          <w:highlight w:val="none"/>
          <w:lang w:val="en-US" w:eastAsia="zh-CN" w:bidi="ar"/>
        </w:rPr>
        <w:t xml:space="preserve"> </w:t>
      </w:r>
    </w:p>
    <w:p w14:paraId="75D9275F">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按照《中华人民共和国政府采购法》、《中华人民共和国政府采购法实施条例》和《政府采购货物和服务招标投标管理办法》的规定，本次评标采用</w:t>
      </w:r>
      <w:r>
        <w:rPr>
          <w:rFonts w:hint="eastAsia" w:ascii="宋体" w:hAnsi="宋体" w:eastAsia="宋体" w:cs="宋体"/>
          <w:b/>
          <w:bCs/>
          <w:color w:val="000000"/>
          <w:kern w:val="0"/>
          <w:sz w:val="21"/>
          <w:szCs w:val="21"/>
          <w:highlight w:val="none"/>
          <w:lang w:val="en-US" w:eastAsia="zh-CN" w:bidi="ar"/>
        </w:rPr>
        <w:t>综合评分法</w:t>
      </w:r>
      <w:r>
        <w:rPr>
          <w:rFonts w:hint="eastAsia" w:ascii="宋体" w:hAnsi="宋体" w:eastAsia="宋体" w:cs="宋体"/>
          <w:color w:val="000000"/>
          <w:kern w:val="0"/>
          <w:sz w:val="21"/>
          <w:szCs w:val="21"/>
          <w:highlight w:val="none"/>
          <w:lang w:val="en-US" w:eastAsia="zh-CN" w:bidi="ar"/>
        </w:rPr>
        <w:t xml:space="preserve">--投标文件满足招标文件全部实质性要求，且按照评审因素的量化指标评审得分最高的投标供 应商为中标候选人。（最低报价不是中标的唯一标准）。 </w:t>
      </w:r>
    </w:p>
    <w:p w14:paraId="27E3F214">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2" w:firstLineChars="200"/>
        <w:jc w:val="left"/>
        <w:textAlignment w:val="auto"/>
        <w:outlineLvl w:val="9"/>
        <w:rPr>
          <w:rFonts w:hint="eastAsia" w:ascii="宋体" w:hAnsi="宋体" w:eastAsia="宋体" w:cs="宋体"/>
          <w:sz w:val="21"/>
          <w:szCs w:val="21"/>
          <w:highlight w:val="none"/>
        </w:rPr>
      </w:pPr>
      <w:bookmarkStart w:id="107" w:name="_Toc14874"/>
      <w:r>
        <w:rPr>
          <w:rFonts w:hint="eastAsia" w:ascii="宋体" w:hAnsi="宋体" w:eastAsia="宋体" w:cs="宋体"/>
          <w:b/>
          <w:bCs/>
          <w:color w:val="000000"/>
          <w:kern w:val="0"/>
          <w:sz w:val="21"/>
          <w:szCs w:val="21"/>
          <w:highlight w:val="none"/>
          <w:lang w:val="en-US" w:eastAsia="zh-CN" w:bidi="ar"/>
        </w:rPr>
        <w:t>二．评标委员会负责具体评标事务，并独立履行下列职责</w:t>
      </w:r>
      <w:bookmarkEnd w:id="107"/>
      <w:r>
        <w:rPr>
          <w:rFonts w:hint="eastAsia" w:ascii="宋体" w:hAnsi="宋体" w:eastAsia="宋体" w:cs="宋体"/>
          <w:b/>
          <w:bCs/>
          <w:color w:val="000000"/>
          <w:kern w:val="0"/>
          <w:sz w:val="21"/>
          <w:szCs w:val="21"/>
          <w:highlight w:val="none"/>
          <w:lang w:val="en-US" w:eastAsia="zh-CN" w:bidi="ar"/>
        </w:rPr>
        <w:t xml:space="preserve"> </w:t>
      </w:r>
    </w:p>
    <w:p w14:paraId="32B501E5">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2.1 审查、评价投标文件是否符合招标文件的商务、技术、合同条款等实质性要 求； </w:t>
      </w:r>
    </w:p>
    <w:p w14:paraId="4CBF4D02">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2.2 要求投标供应商对投标文件有关事项作出澄清或者说明； </w:t>
      </w:r>
    </w:p>
    <w:p w14:paraId="452F0D10">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2.3 对投标文件进行比较和评价； </w:t>
      </w:r>
    </w:p>
    <w:p w14:paraId="14C16DF1">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2.4 确定中标候选人名单，以及根据采购人委托直接确定中标人； </w:t>
      </w:r>
    </w:p>
    <w:p w14:paraId="2BD3DF09">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2.5 向采购人、采购代理机构或者有关部门报告评标中发现的违法行为。 </w:t>
      </w:r>
    </w:p>
    <w:p w14:paraId="28AB9477">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2" w:firstLineChars="200"/>
        <w:jc w:val="left"/>
        <w:textAlignment w:val="auto"/>
        <w:outlineLvl w:val="9"/>
        <w:rPr>
          <w:rFonts w:hint="eastAsia" w:ascii="宋体" w:hAnsi="宋体" w:eastAsia="宋体" w:cs="宋体"/>
          <w:sz w:val="21"/>
          <w:szCs w:val="21"/>
          <w:highlight w:val="none"/>
        </w:rPr>
      </w:pPr>
      <w:bookmarkStart w:id="108" w:name="_Toc19021"/>
      <w:r>
        <w:rPr>
          <w:rFonts w:hint="eastAsia" w:ascii="宋体" w:hAnsi="宋体" w:eastAsia="宋体" w:cs="宋体"/>
          <w:b/>
          <w:bCs/>
          <w:color w:val="000000"/>
          <w:kern w:val="0"/>
          <w:sz w:val="21"/>
          <w:szCs w:val="21"/>
          <w:highlight w:val="none"/>
          <w:lang w:val="en-US" w:eastAsia="zh-CN" w:bidi="ar"/>
        </w:rPr>
        <w:t>三．投标供应商存在下列情况之一的，投标无效</w:t>
      </w:r>
      <w:bookmarkEnd w:id="108"/>
      <w:r>
        <w:rPr>
          <w:rFonts w:hint="eastAsia" w:ascii="宋体" w:hAnsi="宋体" w:eastAsia="宋体" w:cs="宋体"/>
          <w:b/>
          <w:bCs/>
          <w:color w:val="000000"/>
          <w:kern w:val="0"/>
          <w:sz w:val="21"/>
          <w:szCs w:val="21"/>
          <w:highlight w:val="none"/>
          <w:lang w:val="en-US" w:eastAsia="zh-CN" w:bidi="ar"/>
        </w:rPr>
        <w:t xml:space="preserve"> </w:t>
      </w:r>
    </w:p>
    <w:p w14:paraId="50A6A634">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3.1 投标文件未按招标文件要求签署、盖章的； </w:t>
      </w:r>
    </w:p>
    <w:p w14:paraId="2B551A0A">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3.2 不具备招标文件中规定的资格要求的； </w:t>
      </w:r>
    </w:p>
    <w:p w14:paraId="2DFA97B3">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3.3 报价超过招标文件中规定的预算金额或者最高限价的； </w:t>
      </w:r>
    </w:p>
    <w:p w14:paraId="12BA806F">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3.4 投标文件含有采购人不能接受的附加条件的； </w:t>
      </w:r>
    </w:p>
    <w:p w14:paraId="5681FB4C">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3.5 无投标有效期或有效期达不到招标文件要求的； </w:t>
      </w:r>
    </w:p>
    <w:p w14:paraId="04AE9167">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3.6 单位负责人为同一人或者存在直接控股、管理关系的不同投标供应商，参加本项目同一合同项下的投标的； </w:t>
      </w:r>
    </w:p>
    <w:p w14:paraId="187F3054">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3.7 为本采购项目提供整体设计、规范编制或者项目管理、监理、检测等服务的投标供应商，参加本采购项目投标的； </w:t>
      </w:r>
    </w:p>
    <w:p w14:paraId="08C48410">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3.8 提供虚假投标文件和资料的。 </w:t>
      </w:r>
    </w:p>
    <w:p w14:paraId="6D6E76A7">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3.9 供应商放弃或拒绝对电子投标文件进行解密的；</w:t>
      </w:r>
    </w:p>
    <w:p w14:paraId="184088E8">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3.10 因供应商自身原因，导致未在规定的解密时限内完整解密的，如忘带 CA 锁、或携带的 CA 锁与加密文件的 CA 锁不同、或使用旧版招标文件编制投标文件等情形；</w:t>
      </w:r>
    </w:p>
    <w:p w14:paraId="2AD8252E">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3.11 上传的电子投标文件无法正常打开的；</w:t>
      </w:r>
    </w:p>
    <w:p w14:paraId="555B76ED">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3.12 法律、法规和招标文件规定的其他无效情形；</w:t>
      </w:r>
    </w:p>
    <w:p w14:paraId="17F20EA9">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2" w:firstLineChars="200"/>
        <w:jc w:val="left"/>
        <w:textAlignment w:val="auto"/>
        <w:outlineLvl w:val="9"/>
        <w:rPr>
          <w:rFonts w:hint="eastAsia" w:ascii="宋体" w:hAnsi="宋体" w:eastAsia="宋体" w:cs="宋体"/>
          <w:b/>
          <w:bCs/>
          <w:color w:val="000000"/>
          <w:kern w:val="0"/>
          <w:sz w:val="21"/>
          <w:szCs w:val="21"/>
          <w:highlight w:val="none"/>
          <w:lang w:val="en-US" w:eastAsia="zh-CN" w:bidi="ar"/>
        </w:rPr>
      </w:pPr>
      <w:bookmarkStart w:id="109" w:name="_Toc19189"/>
      <w:r>
        <w:rPr>
          <w:rFonts w:hint="eastAsia" w:ascii="宋体" w:hAnsi="宋体" w:eastAsia="宋体" w:cs="宋体"/>
          <w:b/>
          <w:bCs/>
          <w:color w:val="000000"/>
          <w:kern w:val="0"/>
          <w:sz w:val="21"/>
          <w:szCs w:val="21"/>
          <w:highlight w:val="none"/>
          <w:lang w:val="en-US" w:eastAsia="zh-CN" w:bidi="ar"/>
        </w:rPr>
        <w:t>四．投标供应商有下列情形之一的，视为投标供应商串通投标，其投标无效</w:t>
      </w:r>
      <w:bookmarkEnd w:id="109"/>
    </w:p>
    <w:p w14:paraId="1B8BC4F1">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4.1 不同投标供应商的投标文件由同一单位或者个人编制；</w:t>
      </w:r>
    </w:p>
    <w:p w14:paraId="353EDA8E">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4.2 不同投标供应商委托同一单位或者个人办理投标事宜；</w:t>
      </w:r>
    </w:p>
    <w:p w14:paraId="009E4D10">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4.3 不同投标供应商的投标文件载明的项目管理成员或者联系人员为同一人；</w:t>
      </w:r>
    </w:p>
    <w:p w14:paraId="663AD56A">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4.4 不同投标供应商的投标文件异常一致或者投标报价呈规律性差异；</w:t>
      </w:r>
    </w:p>
    <w:p w14:paraId="1E88CFC7">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2" w:firstLineChars="200"/>
        <w:jc w:val="left"/>
        <w:textAlignment w:val="auto"/>
        <w:outlineLvl w:val="9"/>
        <w:rPr>
          <w:rFonts w:hint="eastAsia" w:ascii="宋体" w:hAnsi="宋体" w:eastAsia="宋体" w:cs="宋体"/>
          <w:b/>
          <w:bCs/>
          <w:color w:val="000000"/>
          <w:kern w:val="0"/>
          <w:sz w:val="21"/>
          <w:szCs w:val="21"/>
          <w:highlight w:val="none"/>
          <w:lang w:val="en-US" w:eastAsia="zh-CN" w:bidi="ar"/>
        </w:rPr>
      </w:pPr>
      <w:bookmarkStart w:id="110" w:name="_Toc19685"/>
      <w:r>
        <w:rPr>
          <w:rFonts w:hint="eastAsia" w:ascii="宋体" w:hAnsi="宋体" w:eastAsia="宋体" w:cs="宋体"/>
          <w:b/>
          <w:bCs/>
          <w:color w:val="000000"/>
          <w:kern w:val="0"/>
          <w:sz w:val="21"/>
          <w:szCs w:val="21"/>
          <w:highlight w:val="none"/>
          <w:lang w:val="en-US" w:eastAsia="zh-CN" w:bidi="ar"/>
        </w:rPr>
        <w:t>五、评审标准</w:t>
      </w:r>
      <w:bookmarkEnd w:id="110"/>
    </w:p>
    <w:p w14:paraId="31E703EC">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outlineLvl w:val="9"/>
        <w:rPr>
          <w:rFonts w:hint="eastAsia" w:ascii="宋体" w:hAnsi="宋体" w:eastAsia="宋体" w:cs="宋体"/>
          <w:color w:val="000000"/>
          <w:kern w:val="0"/>
          <w:sz w:val="21"/>
          <w:szCs w:val="21"/>
          <w:highlight w:val="none"/>
          <w:lang w:val="en-US" w:eastAsia="zh-CN" w:bidi="ar"/>
        </w:rPr>
      </w:pPr>
      <w:bookmarkStart w:id="111" w:name="_Toc13385"/>
      <w:r>
        <w:rPr>
          <w:rFonts w:hint="eastAsia" w:ascii="宋体" w:hAnsi="宋体" w:eastAsia="宋体" w:cs="宋体"/>
          <w:color w:val="000000"/>
          <w:kern w:val="0"/>
          <w:sz w:val="21"/>
          <w:szCs w:val="21"/>
          <w:highlight w:val="none"/>
          <w:lang w:val="en-US" w:eastAsia="zh-CN" w:bidi="ar"/>
        </w:rPr>
        <w:t>5.1 初步评审标准：</w:t>
      </w:r>
      <w:bookmarkEnd w:id="111"/>
    </w:p>
    <w:p w14:paraId="7C75BF71">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5.1.1 资格评审标准：见附件 1 初步审查要素表</w:t>
      </w:r>
    </w:p>
    <w:p w14:paraId="58E8D3F1">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5.1.2 符合性评审标准：见附件 1 初步审查要素表</w:t>
      </w:r>
    </w:p>
    <w:p w14:paraId="116EA6B9">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outlineLvl w:val="9"/>
        <w:rPr>
          <w:rFonts w:hint="eastAsia" w:ascii="宋体" w:hAnsi="宋体" w:eastAsia="宋体" w:cs="宋体"/>
          <w:color w:val="000000"/>
          <w:kern w:val="0"/>
          <w:sz w:val="21"/>
          <w:szCs w:val="21"/>
          <w:highlight w:val="none"/>
          <w:lang w:val="en-US" w:eastAsia="zh-CN" w:bidi="ar"/>
        </w:rPr>
      </w:pPr>
      <w:bookmarkStart w:id="112" w:name="_Toc2994"/>
      <w:r>
        <w:rPr>
          <w:rFonts w:hint="eastAsia" w:ascii="宋体" w:hAnsi="宋体" w:eastAsia="宋体" w:cs="宋体"/>
          <w:color w:val="000000"/>
          <w:kern w:val="0"/>
          <w:sz w:val="21"/>
          <w:szCs w:val="21"/>
          <w:highlight w:val="none"/>
          <w:lang w:val="en-US" w:eastAsia="zh-CN" w:bidi="ar"/>
        </w:rPr>
        <w:t>5.2 分值构成与评分标准:见附件 2 评标因素及权重分值表</w:t>
      </w:r>
      <w:bookmarkEnd w:id="112"/>
    </w:p>
    <w:p w14:paraId="2134ADA2">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2" w:firstLineChars="200"/>
        <w:jc w:val="left"/>
        <w:textAlignment w:val="auto"/>
        <w:outlineLvl w:val="9"/>
        <w:rPr>
          <w:rFonts w:hint="eastAsia" w:ascii="宋体" w:hAnsi="宋体" w:eastAsia="宋体" w:cs="宋体"/>
          <w:b/>
          <w:bCs/>
          <w:color w:val="000000"/>
          <w:kern w:val="0"/>
          <w:sz w:val="21"/>
          <w:szCs w:val="21"/>
          <w:highlight w:val="none"/>
          <w:lang w:val="en-US" w:eastAsia="zh-CN" w:bidi="ar"/>
        </w:rPr>
      </w:pPr>
      <w:bookmarkStart w:id="113" w:name="_Toc7464"/>
      <w:r>
        <w:rPr>
          <w:rFonts w:hint="eastAsia" w:ascii="宋体" w:hAnsi="宋体" w:eastAsia="宋体" w:cs="宋体"/>
          <w:b/>
          <w:bCs/>
          <w:color w:val="000000"/>
          <w:kern w:val="0"/>
          <w:sz w:val="21"/>
          <w:szCs w:val="21"/>
          <w:highlight w:val="none"/>
          <w:lang w:val="en-US" w:eastAsia="zh-CN" w:bidi="ar"/>
        </w:rPr>
        <w:t>六．评审程序</w:t>
      </w:r>
      <w:bookmarkEnd w:id="113"/>
    </w:p>
    <w:p w14:paraId="1F555D08">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6.1 本采购项目评标按照下列工作程序进行（在上一步评审中被认定无效投标者，不进入下一步的评审）。</w:t>
      </w:r>
    </w:p>
    <w:p w14:paraId="29ED938F">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6.1.1 投标文件初审；</w:t>
      </w:r>
    </w:p>
    <w:p w14:paraId="363D6A66">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6.1.2 澄清有关问题；</w:t>
      </w:r>
    </w:p>
    <w:p w14:paraId="2E9FF0C1">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6.1.3 比较与评价；</w:t>
      </w:r>
    </w:p>
    <w:p w14:paraId="12F7D755">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6.1.4 推荐中标候选人名单。</w:t>
      </w:r>
    </w:p>
    <w:p w14:paraId="406B534B">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outlineLvl w:val="9"/>
        <w:rPr>
          <w:rFonts w:hint="eastAsia" w:ascii="宋体" w:hAnsi="宋体" w:eastAsia="宋体" w:cs="宋体"/>
          <w:color w:val="000000"/>
          <w:kern w:val="0"/>
          <w:sz w:val="21"/>
          <w:szCs w:val="21"/>
          <w:highlight w:val="none"/>
          <w:lang w:val="en-US" w:eastAsia="zh-CN" w:bidi="ar"/>
        </w:rPr>
      </w:pPr>
      <w:bookmarkStart w:id="114" w:name="_Toc8293"/>
      <w:r>
        <w:rPr>
          <w:rFonts w:hint="eastAsia" w:ascii="宋体" w:hAnsi="宋体" w:eastAsia="宋体" w:cs="宋体"/>
          <w:color w:val="000000"/>
          <w:kern w:val="0"/>
          <w:sz w:val="21"/>
          <w:szCs w:val="21"/>
          <w:highlight w:val="none"/>
          <w:lang w:val="en-US" w:eastAsia="zh-CN" w:bidi="ar"/>
        </w:rPr>
        <w:t>6.2 投标文件初审</w:t>
      </w:r>
      <w:bookmarkEnd w:id="114"/>
    </w:p>
    <w:p w14:paraId="021188E6">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采购人根据本章第 5.1.1 项规定的评审标准对投标文件进行资格性审查。有一项不符合评审标准的，将被认定为无效投标。</w:t>
      </w:r>
    </w:p>
    <w:p w14:paraId="5978C1EE">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评标委员会根据本章第 5.1.2 项规定的评审标准对投标文件进行符合性评审。有一项不符合评审标准的，评标委员会应当否决其投标。</w:t>
      </w:r>
    </w:p>
    <w:p w14:paraId="27FBDCB1">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在资格性审查阶段，不符合招标文件要求的，不得进入符合性审查，在符合性审查时未通过的，不得进入后续评审环节。</w:t>
      </w:r>
    </w:p>
    <w:p w14:paraId="770EAEAF">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outlineLvl w:val="9"/>
        <w:rPr>
          <w:rFonts w:hint="eastAsia" w:ascii="宋体" w:hAnsi="宋体" w:eastAsia="宋体" w:cs="宋体"/>
          <w:color w:val="000000"/>
          <w:kern w:val="0"/>
          <w:sz w:val="21"/>
          <w:szCs w:val="21"/>
          <w:highlight w:val="none"/>
          <w:lang w:val="en-US" w:eastAsia="zh-CN" w:bidi="ar"/>
        </w:rPr>
      </w:pPr>
      <w:bookmarkStart w:id="115" w:name="_Toc13247"/>
      <w:r>
        <w:rPr>
          <w:rFonts w:hint="eastAsia" w:ascii="宋体" w:hAnsi="宋体" w:eastAsia="宋体" w:cs="宋体"/>
          <w:color w:val="000000"/>
          <w:kern w:val="0"/>
          <w:sz w:val="21"/>
          <w:szCs w:val="21"/>
          <w:highlight w:val="none"/>
          <w:lang w:val="en-US" w:eastAsia="zh-CN" w:bidi="ar"/>
        </w:rPr>
        <w:t>6.3 投标文件的澄清</w:t>
      </w:r>
      <w:bookmarkEnd w:id="115"/>
    </w:p>
    <w:p w14:paraId="0A475343">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6.3.1 为有助于投标文件的审查、比较和评价，评标委员会可要求投标供应商对其投标文件中非实质性（投标文件中含义不明确、同类问题表述不一致或者有明显文字和计算错误的内容）的有关问题进行澄清、说明或者补正。有关澄清、说明或者补正的要求和答复应以书面形式提交，并由其法定代表人或被授权人签字。投标供应商的澄清、说明或者补正不得超出投标文件的范围或者改变投标文件的实质性内容。评标委员会不接受投标供应商主动提出的澄清、说明。</w:t>
      </w:r>
    </w:p>
    <w:p w14:paraId="23960E0D">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6.3.2 有效的书面澄清材料，是投标文件的补充材料，成为投标文件的组成部分。</w:t>
      </w:r>
    </w:p>
    <w:p w14:paraId="4A2F0D34">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6.3.3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14:paraId="007550A0">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outlineLvl w:val="9"/>
        <w:rPr>
          <w:rFonts w:hint="eastAsia" w:ascii="宋体" w:hAnsi="宋体" w:eastAsia="宋体" w:cs="宋体"/>
          <w:color w:val="000000"/>
          <w:kern w:val="0"/>
          <w:sz w:val="21"/>
          <w:szCs w:val="21"/>
          <w:highlight w:val="none"/>
          <w:lang w:val="en-US" w:eastAsia="zh-CN" w:bidi="ar"/>
        </w:rPr>
      </w:pPr>
      <w:bookmarkStart w:id="116" w:name="_Toc5811"/>
      <w:r>
        <w:rPr>
          <w:rFonts w:hint="eastAsia" w:ascii="宋体" w:hAnsi="宋体" w:eastAsia="宋体" w:cs="宋体"/>
          <w:color w:val="000000"/>
          <w:kern w:val="0"/>
          <w:sz w:val="21"/>
          <w:szCs w:val="21"/>
          <w:highlight w:val="none"/>
          <w:lang w:val="en-US" w:eastAsia="zh-CN" w:bidi="ar"/>
        </w:rPr>
        <w:t>6.4 投标文件比较与评价</w:t>
      </w:r>
      <w:bookmarkEnd w:id="116"/>
    </w:p>
    <w:p w14:paraId="742F2CB4">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6.4.1 评委会应按照招标文件中规定的评标方法和标准，对资格性检查和符合性检查合格的投标文件进行商务和技术评估，综合比较与评价。</w:t>
      </w:r>
    </w:p>
    <w:p w14:paraId="32E4D98A">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6.4.2 如果投标文件没有实质性响应招标文件的要求，评委会将予以拒绝。投标供应商不得通过修正或撤销不合要求的偏离或保留，从而使其投标成为实质性响应的投标。</w:t>
      </w:r>
    </w:p>
    <w:p w14:paraId="77FDDB6C">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2" w:firstLineChars="200"/>
        <w:jc w:val="left"/>
        <w:textAlignment w:val="auto"/>
        <w:outlineLvl w:val="9"/>
        <w:rPr>
          <w:rFonts w:hint="eastAsia" w:ascii="宋体" w:hAnsi="宋体" w:eastAsia="宋体" w:cs="宋体"/>
          <w:b/>
          <w:bCs/>
          <w:color w:val="000000"/>
          <w:kern w:val="0"/>
          <w:sz w:val="21"/>
          <w:szCs w:val="21"/>
          <w:highlight w:val="none"/>
          <w:lang w:val="en-US" w:eastAsia="zh-CN" w:bidi="ar"/>
        </w:rPr>
      </w:pPr>
      <w:bookmarkStart w:id="117" w:name="_Toc31295"/>
      <w:r>
        <w:rPr>
          <w:rFonts w:hint="eastAsia" w:ascii="宋体" w:hAnsi="宋体" w:eastAsia="宋体" w:cs="宋体"/>
          <w:b/>
          <w:bCs/>
          <w:color w:val="000000"/>
          <w:kern w:val="0"/>
          <w:sz w:val="21"/>
          <w:szCs w:val="21"/>
          <w:highlight w:val="none"/>
          <w:lang w:val="en-US" w:eastAsia="zh-CN" w:bidi="ar"/>
        </w:rPr>
        <w:t>七．政策性扣减</w:t>
      </w:r>
      <w:bookmarkEnd w:id="117"/>
    </w:p>
    <w:p w14:paraId="4061C1DE">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outlineLvl w:val="9"/>
        <w:rPr>
          <w:rFonts w:hint="eastAsia" w:ascii="宋体" w:hAnsi="宋体" w:eastAsia="宋体" w:cs="宋体"/>
          <w:color w:val="000000"/>
          <w:kern w:val="0"/>
          <w:sz w:val="21"/>
          <w:szCs w:val="21"/>
          <w:highlight w:val="none"/>
          <w:lang w:val="en-US" w:eastAsia="zh-CN" w:bidi="ar"/>
        </w:rPr>
      </w:pPr>
      <w:bookmarkStart w:id="118" w:name="_Toc16400"/>
      <w:r>
        <w:rPr>
          <w:rFonts w:hint="eastAsia" w:ascii="宋体" w:hAnsi="宋体" w:eastAsia="宋体" w:cs="宋体"/>
          <w:color w:val="000000"/>
          <w:kern w:val="0"/>
          <w:sz w:val="21"/>
          <w:szCs w:val="21"/>
          <w:highlight w:val="none"/>
          <w:lang w:val="en-US" w:eastAsia="zh-CN" w:bidi="ar"/>
        </w:rPr>
        <w:t>7.1 政策性扣减范围</w:t>
      </w:r>
      <w:bookmarkEnd w:id="118"/>
    </w:p>
    <w:p w14:paraId="7CE2A95D">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7.1.1 投标供应商符合小型、微型企业或监狱企业、残疾人福利性单位条件的，其投标报价价格评审时将按相应比例进行扣减。</w:t>
      </w:r>
    </w:p>
    <w:p w14:paraId="717667A4">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7.1.2 依据关于印发《政府采购促进中小企业发展管理办法》的通知（财库〔2020〕46 号）的规定，在政府采购活动中，投标供应商提供的货物、工程或者服务符合下列情形的，享受中小企业扶持政策：</w:t>
      </w:r>
    </w:p>
    <w:p w14:paraId="2D7595F7">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14:paraId="38072779">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（2）在货物采购项目中，投标供应商提供的货物既有中小企业制造货物，也有大型企业制造货物的，不享受本办法规定的中小企业扶持政策。</w:t>
      </w:r>
    </w:p>
    <w:p w14:paraId="14B494D8">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（3）以联合体形式参加政府采购活动，联合体各方均为中小企业的，联合体视同中小企业。其中，联合体各方均为小微企业的，联合体视同小微企业。</w:t>
      </w:r>
    </w:p>
    <w:p w14:paraId="3161B431">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(4)中小企业参加政府采购活动，应当出具符合财库〔2020〕46 号规定的《中小企业声明函》,否则不得享受相关中小企业扶持政策。</w:t>
      </w:r>
    </w:p>
    <w:p w14:paraId="0BAE161B">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7.1.3 采购人拟采购产品属于优先采购节能、环境标志产品范围的，应当优先采购节能、环境标志产品；拟采购产品符合政府采购强制采购政策的，实行强制采购。</w:t>
      </w:r>
    </w:p>
    <w:p w14:paraId="64BC5000">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（1）采购人依据节能产品、环境标志产品品目清单和节能、环境标志产品认证证书实施政府优先采购和强制采购。</w:t>
      </w:r>
    </w:p>
    <w:p w14:paraId="3656453A">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采购人拟采购的产品属于品目清单范围的，采购人及其委托的采购代理机构将依据国家确定的认证机构出具的、处于有效期之内的节能、环境标志产品认证证书，对获得证书的产品实施政府优先采购或强制采购。</w:t>
      </w:r>
    </w:p>
    <w:p w14:paraId="0D9963A5">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7.1.4 监狱企业参加政府采购活动时，应当提供由省级以上监狱管理局、戒毒管理局(含新疆生产建设兵团)出具的属于监狱企业的证明文件。监狱企业参加政府采购活动时，视同小型、微型企业。</w:t>
      </w:r>
    </w:p>
    <w:p w14:paraId="672CE851">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7.1.5 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29910712">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outlineLvl w:val="9"/>
        <w:rPr>
          <w:rFonts w:hint="eastAsia" w:ascii="宋体" w:hAnsi="宋体" w:eastAsia="宋体" w:cs="宋体"/>
          <w:color w:val="000000"/>
          <w:kern w:val="0"/>
          <w:sz w:val="21"/>
          <w:szCs w:val="21"/>
          <w:highlight w:val="none"/>
          <w:lang w:val="en-US" w:eastAsia="zh-CN" w:bidi="ar"/>
        </w:rPr>
      </w:pPr>
      <w:bookmarkStart w:id="119" w:name="_Toc7219"/>
      <w:r>
        <w:rPr>
          <w:rFonts w:hint="eastAsia" w:ascii="宋体" w:hAnsi="宋体" w:eastAsia="宋体" w:cs="宋体"/>
          <w:color w:val="000000"/>
          <w:kern w:val="0"/>
          <w:sz w:val="21"/>
          <w:szCs w:val="21"/>
          <w:highlight w:val="none"/>
          <w:lang w:val="en-US" w:eastAsia="zh-CN" w:bidi="ar"/>
        </w:rPr>
        <w:t>7.2 政策性扣减方式</w:t>
      </w:r>
      <w:bookmarkEnd w:id="119"/>
    </w:p>
    <w:p w14:paraId="730907F3">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7.2.1 对于未预留份额专门面向中小企业采购的采购项目，以及预留份额项目的非预留部分采购包中符合条件的小微企业报价给予 10%的扣除。</w:t>
      </w:r>
    </w:p>
    <w:p w14:paraId="68CDB27C">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7.2.2 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 4%的扣除；组成联合体或者接受分包的小微企业与联合体内其他企业、分包企业之间存在直接控股、管理关系的，不享受价格扣除优惠政策。享受扶持政策获得政府采购合同的，小微企业不得将合同分包给大中型企业，中型企业不得将合同分包给大型企业。</w:t>
      </w:r>
    </w:p>
    <w:p w14:paraId="62DED663">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7.2.3 监狱企业、残疾人福利性单位视同小微企业，享受预留份额、评审中价格扣除等促进中小企业发展的政府采购政策。监狱企业、残疾人福利性单位属于小微企业的，不重复享受政策。</w:t>
      </w:r>
    </w:p>
    <w:p w14:paraId="0A1B4631">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7.2.4 投标供应商享受支持中小型企业发展政策优惠的，可以同时享受节能、环境标志产品优先采购政策。 </w:t>
      </w:r>
    </w:p>
    <w:p w14:paraId="3F894D34">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2" w:firstLineChars="200"/>
        <w:jc w:val="left"/>
        <w:textAlignment w:val="auto"/>
        <w:outlineLvl w:val="9"/>
        <w:rPr>
          <w:rFonts w:hint="default" w:ascii="宋体" w:hAnsi="宋体" w:eastAsia="宋体" w:cs="宋体"/>
          <w:b/>
          <w:bCs/>
          <w:color w:val="000000"/>
          <w:kern w:val="0"/>
          <w:sz w:val="21"/>
          <w:szCs w:val="21"/>
          <w:highlight w:val="none"/>
          <w:lang w:val="en-US" w:eastAsia="zh-CN" w:bidi="ar"/>
        </w:rPr>
      </w:pPr>
      <w:bookmarkStart w:id="120" w:name="_Toc16950"/>
      <w:r>
        <w:rPr>
          <w:rFonts w:hint="eastAsia" w:ascii="宋体" w:hAnsi="宋体" w:eastAsia="宋体" w:cs="宋体"/>
          <w:b/>
          <w:bCs/>
          <w:color w:val="000000"/>
          <w:kern w:val="0"/>
          <w:sz w:val="21"/>
          <w:szCs w:val="21"/>
          <w:highlight w:val="none"/>
          <w:lang w:val="en-US" w:eastAsia="zh-CN" w:bidi="ar"/>
        </w:rPr>
        <w:t>八．特殊情况的处理</w:t>
      </w:r>
      <w:bookmarkEnd w:id="120"/>
      <w:r>
        <w:rPr>
          <w:rFonts w:hint="eastAsia" w:hAnsi="宋体" w:cs="宋体"/>
          <w:b/>
          <w:bCs/>
          <w:color w:val="000000"/>
          <w:kern w:val="0"/>
          <w:sz w:val="21"/>
          <w:szCs w:val="21"/>
          <w:highlight w:val="none"/>
          <w:lang w:val="en-US" w:eastAsia="zh-CN" w:bidi="ar"/>
        </w:rPr>
        <w:t>（如有）</w:t>
      </w:r>
    </w:p>
    <w:p w14:paraId="4B6860B5">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8.1 单一产品采购项目中，提供相同品牌的产品的不同投标供应商参加同一合同项下投标的，按以下方法处理：</w:t>
      </w:r>
    </w:p>
    <w:p w14:paraId="73DC9227">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8.1.1 使用最低评标价法的采购项目，提供相同品牌产品的不同投标供应商参加同一合同项下投标的，以其中通过资格审查、符合性审查且报价最低的参加评标；报价相同的，由采购人及评标委员会按照技术方案、售后服务等内容择优选择确定一个参加评标的投标供应商，其他投标无效。</w:t>
      </w:r>
    </w:p>
    <w:p w14:paraId="5DBC40FC">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8.1.2 使用综合评分法的采购项目，提供相同品牌产品且通过资格审查、符合性审查的不同投标供应商参加同一合同项下投标的，按一家投标供应商计算，评审后得分最高的同品牌投标供应商获得中标人推荐资格；评审得分相同的，由采购人及评标委员会按照投标报价最低的方式确定一个投标供应商获得中标人推荐资格，其他同品牌投标供应商不作为中标候选人。</w:t>
      </w:r>
    </w:p>
    <w:p w14:paraId="2942D5EE">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8.2 非单一产品采购项目中，提供相同品牌的核心产品的不同投标供应商参加同一合同项下投标的，按以下方法处理：</w:t>
      </w:r>
    </w:p>
    <w:p w14:paraId="7F53A847">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8.2.1 使用最低评标价法的采购项目，提供相同品牌核心产品的不同投标供应商参加同一合同项下投标的，以其中通过资格审查、符合性审查且投标报价最低的参加评标；投标报价相同的，由采购人及评标委员会按照技术方案、售后服务等内容择优选择确定一个参加评标的投标供应商，其他投标无效。</w:t>
      </w:r>
    </w:p>
    <w:p w14:paraId="41B9F714">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8.2.2 使用综合评分法的采购项目，提供相同品牌核心产品且通过资格审查、符合性审查的不同投标供应商参加同一合同项下投标的，按一家投标供应商计算，评审后得分最高的同品牌投标供应商获得中标人推荐资格；评审得分相同的，由采购人及评标委员会按照投标报价最低的方式确定一个投标供应商获得中标人推荐资格，其他同品牌投标供应商不作为中标候选人。</w:t>
      </w:r>
    </w:p>
    <w:p w14:paraId="23FD8640">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8.2.3 核心产品为两个及以上时，当所有核心产品品牌均相同时，在评审时按同一投标供应商计算；部分核心产品品牌相同时按不同投标供应商计算。</w:t>
      </w:r>
    </w:p>
    <w:p w14:paraId="1D9E73D1">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outlineLvl w:val="9"/>
        <w:rPr>
          <w:rFonts w:hint="eastAsia" w:ascii="宋体" w:hAnsi="宋体" w:eastAsia="宋体" w:cs="宋体"/>
          <w:color w:val="000000"/>
          <w:kern w:val="0"/>
          <w:sz w:val="21"/>
          <w:szCs w:val="21"/>
          <w:highlight w:val="none"/>
          <w:lang w:val="en-US" w:eastAsia="zh-CN" w:bidi="ar"/>
        </w:rPr>
      </w:pPr>
      <w:bookmarkStart w:id="121" w:name="_Toc5979"/>
      <w:r>
        <w:rPr>
          <w:rFonts w:hint="eastAsia" w:ascii="宋体" w:hAnsi="宋体" w:eastAsia="宋体" w:cs="宋体"/>
          <w:color w:val="000000"/>
          <w:kern w:val="0"/>
          <w:sz w:val="21"/>
          <w:szCs w:val="21"/>
          <w:highlight w:val="none"/>
          <w:lang w:val="en-US" w:eastAsia="zh-CN" w:bidi="ar"/>
        </w:rPr>
        <w:t>8.3 投标文件报价出现前后不一致的，按照下列规定修正：</w:t>
      </w:r>
      <w:bookmarkEnd w:id="121"/>
    </w:p>
    <w:p w14:paraId="7E8FB6DF">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8.3.1 投标文件中开标一览表(报价表)内容与投标文件中相应内容不一致的，以开标一览表(报价表)为准。</w:t>
      </w:r>
    </w:p>
    <w:p w14:paraId="123B23E5">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8.3.2 投标文件的大写金额和小写金额不一致的，以大写金额为准；</w:t>
      </w:r>
    </w:p>
    <w:p w14:paraId="611AC9DF">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8.3.3 单价金额小数点或者百分比有明显错位的，以开标一览表的总价为准，并修改单价；</w:t>
      </w:r>
    </w:p>
    <w:p w14:paraId="0BB38C04">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8.3.4 总价金额与按单价汇总金额不一致的，以单价金额计算结果为准。按上述修正的顺序和方法调整的投标报价应对投标供应商具有约束力。如果投标供应商不接受修正后的价格，其投标将按无效投标处理。 </w:t>
      </w:r>
    </w:p>
    <w:p w14:paraId="5527A0EA">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2" w:firstLineChars="200"/>
        <w:jc w:val="left"/>
        <w:textAlignment w:val="auto"/>
        <w:outlineLvl w:val="9"/>
        <w:rPr>
          <w:rFonts w:hint="eastAsia" w:ascii="宋体" w:hAnsi="宋体" w:eastAsia="宋体" w:cs="宋体"/>
          <w:b/>
          <w:bCs/>
          <w:color w:val="000000"/>
          <w:kern w:val="0"/>
          <w:sz w:val="21"/>
          <w:szCs w:val="21"/>
          <w:highlight w:val="none"/>
          <w:lang w:val="en-US" w:eastAsia="zh-CN" w:bidi="ar"/>
        </w:rPr>
      </w:pPr>
      <w:bookmarkStart w:id="122" w:name="_Toc7949"/>
      <w:r>
        <w:rPr>
          <w:rFonts w:hint="eastAsia" w:ascii="宋体" w:hAnsi="宋体" w:eastAsia="宋体" w:cs="宋体"/>
          <w:b/>
          <w:bCs/>
          <w:color w:val="000000"/>
          <w:kern w:val="0"/>
          <w:sz w:val="21"/>
          <w:szCs w:val="21"/>
          <w:highlight w:val="none"/>
          <w:lang w:val="en-US" w:eastAsia="zh-CN" w:bidi="ar"/>
        </w:rPr>
        <w:t>九．定标</w:t>
      </w:r>
      <w:bookmarkEnd w:id="122"/>
    </w:p>
    <w:p w14:paraId="52341F6A">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outlineLvl w:val="9"/>
        <w:rPr>
          <w:rFonts w:hint="eastAsia" w:ascii="宋体" w:hAnsi="宋体" w:eastAsia="宋体" w:cs="宋体"/>
          <w:color w:val="000000"/>
          <w:kern w:val="0"/>
          <w:sz w:val="21"/>
          <w:szCs w:val="21"/>
          <w:highlight w:val="none"/>
          <w:lang w:val="en-US" w:eastAsia="zh-CN" w:bidi="ar"/>
        </w:rPr>
      </w:pPr>
      <w:bookmarkStart w:id="123" w:name="_Toc7300"/>
      <w:r>
        <w:rPr>
          <w:rFonts w:hint="eastAsia" w:ascii="宋体" w:hAnsi="宋体" w:eastAsia="宋体" w:cs="宋体"/>
          <w:color w:val="000000"/>
          <w:kern w:val="0"/>
          <w:sz w:val="21"/>
          <w:szCs w:val="21"/>
          <w:highlight w:val="none"/>
          <w:lang w:val="en-US" w:eastAsia="zh-CN" w:bidi="ar"/>
        </w:rPr>
        <w:t>9.1 评标结果由全体评标委员会成员签字确认。</w:t>
      </w:r>
      <w:bookmarkEnd w:id="123"/>
    </w:p>
    <w:p w14:paraId="27B12A8A">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9.2 采购人根据评标报告中推荐的中标候选人排列顺序确定中标人，以复函通知采购代理机构。</w:t>
      </w:r>
    </w:p>
    <w:p w14:paraId="346BE607">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2" w:firstLineChars="200"/>
        <w:jc w:val="left"/>
        <w:textAlignment w:val="auto"/>
        <w:outlineLvl w:val="9"/>
        <w:rPr>
          <w:rFonts w:hint="eastAsia" w:ascii="宋体" w:hAnsi="宋体" w:eastAsia="宋体" w:cs="宋体"/>
          <w:b/>
          <w:bCs/>
          <w:color w:val="000000"/>
          <w:kern w:val="0"/>
          <w:sz w:val="21"/>
          <w:szCs w:val="21"/>
          <w:highlight w:val="none"/>
          <w:lang w:val="en-US" w:eastAsia="zh-CN" w:bidi="ar"/>
        </w:rPr>
      </w:pPr>
      <w:bookmarkStart w:id="124" w:name="_Toc10414"/>
      <w:r>
        <w:rPr>
          <w:rFonts w:hint="eastAsia" w:ascii="宋体" w:hAnsi="宋体" w:eastAsia="宋体" w:cs="宋体"/>
          <w:b/>
          <w:bCs/>
          <w:color w:val="000000"/>
          <w:kern w:val="0"/>
          <w:sz w:val="21"/>
          <w:szCs w:val="21"/>
          <w:highlight w:val="none"/>
          <w:lang w:val="en-US" w:eastAsia="zh-CN" w:bidi="ar"/>
        </w:rPr>
        <w:t>十.废标及重新招标</w:t>
      </w:r>
      <w:bookmarkEnd w:id="124"/>
    </w:p>
    <w:p w14:paraId="2DABD386">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10.1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BC9C335">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10.2 根据《中华人民共和国政府采购法》第三十六条规定，在招标采购中，出现下列情形之一的，本项目按废标处理：</w:t>
      </w:r>
    </w:p>
    <w:p w14:paraId="30CAB558">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（1）出现影响采购公正的违法、违规行为的；</w:t>
      </w:r>
    </w:p>
    <w:p w14:paraId="13177F18">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（2）供应商的报价均超过了采购预算，采购人不能支付的；</w:t>
      </w:r>
    </w:p>
    <w:p w14:paraId="01EB8A4D">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（3）因重大变故，采购任务取消的。</w:t>
      </w:r>
    </w:p>
    <w:p w14:paraId="388E9B93">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废标后，除采购任务取消外，本项目将重新组织招标。</w:t>
      </w:r>
    </w:p>
    <w:p w14:paraId="54BCA7DC">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10.3 在递交投标文件阶段、密封性等形式检查阶段、资格审查阶段或评标委员会评标阶段，当出现有效投标供应商不足 3 家时，本项目将依据西安市财政局《关于进一步规范市级预算单位变更政府采购方式审批管理的通知》（市财发〔2017〕186 号）的有关规定，按政府采购监管部门事前批准的采购方式继续进行。</w:t>
      </w:r>
    </w:p>
    <w:p w14:paraId="6A030D5A">
      <w:pPr>
        <w:keepNext w:val="0"/>
        <w:keepLines w:val="0"/>
        <w:pageBreakBefore w:val="0"/>
        <w:widowControl/>
        <w:suppressLineNumbers w:val="0"/>
        <w:kinsoku/>
        <w:wordWrap/>
        <w:overflowPunct/>
        <w:topLinePunct w:val="0"/>
        <w:autoSpaceDE/>
        <w:autoSpaceDN/>
        <w:bidi w:val="0"/>
        <w:adjustRightInd/>
        <w:snapToGrid w:val="0"/>
        <w:spacing w:line="360" w:lineRule="auto"/>
        <w:ind w:left="240" w:leftChars="100"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10.4 招标文件未明确的其他事项，按《中华人民共和国政府采购法》及其相关法律法规执行。</w:t>
      </w:r>
    </w:p>
    <w:p w14:paraId="4CF02B40">
      <w:pPr>
        <w:pStyle w:val="9"/>
        <w:bidi w:val="0"/>
        <w:rPr>
          <w:rFonts w:hint="eastAsia"/>
          <w:highlight w:val="none"/>
          <w:lang w:val="en-US" w:eastAsia="zh-CN"/>
        </w:rPr>
      </w:pPr>
    </w:p>
    <w:p w14:paraId="7BADED01">
      <w:pPr>
        <w:pStyle w:val="9"/>
        <w:rPr>
          <w:rFonts w:hint="eastAsia"/>
          <w:highlight w:val="none"/>
        </w:rPr>
        <w:sectPr>
          <w:footerReference r:id="rId11" w:type="default"/>
          <w:pgSz w:w="11906" w:h="16838"/>
          <w:pgMar w:top="1440" w:right="1800" w:bottom="1440" w:left="1800" w:header="851" w:footer="992" w:gutter="0"/>
          <w:pgNumType w:fmt="decimal" w:start="1"/>
          <w:cols w:space="720" w:num="1"/>
          <w:docGrid w:type="lines" w:linePitch="312" w:charSpace="0"/>
        </w:sectPr>
      </w:pPr>
    </w:p>
    <w:p w14:paraId="355A1375">
      <w:pPr>
        <w:pStyle w:val="2"/>
        <w:keepNext/>
        <w:keepLines w:val="0"/>
        <w:pageBreakBefore w:val="0"/>
        <w:widowControl w:val="0"/>
        <w:numPr>
          <w:ilvl w:val="0"/>
          <w:numId w:val="5"/>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highlight w:val="none"/>
          <w:lang w:eastAsia="zh-CN"/>
        </w:rPr>
      </w:pPr>
      <w:bookmarkStart w:id="125" w:name="_Toc26935"/>
      <w:bookmarkStart w:id="126" w:name="_Toc476"/>
      <w:bookmarkStart w:id="127" w:name="_Toc15571"/>
      <w:bookmarkStart w:id="128" w:name="_Toc426457695"/>
      <w:bookmarkStart w:id="129" w:name="_Toc317530110"/>
      <w:bookmarkStart w:id="130" w:name="_Toc2711"/>
      <w:bookmarkStart w:id="131" w:name="_Toc4053"/>
      <w:bookmarkStart w:id="132" w:name="_Toc20481"/>
      <w:bookmarkStart w:id="133" w:name="_Toc23856"/>
      <w:bookmarkStart w:id="134" w:name="_Toc1025"/>
      <w:bookmarkStart w:id="135" w:name="_Toc389582038"/>
      <w:bookmarkStart w:id="136" w:name="_Toc11450"/>
      <w:r>
        <w:rPr>
          <w:rFonts w:hint="eastAsia" w:ascii="宋体" w:hAnsi="宋体" w:eastAsia="宋体" w:cs="宋体"/>
          <w:sz w:val="24"/>
          <w:szCs w:val="24"/>
          <w:highlight w:val="none"/>
          <w:lang w:val="en-US" w:eastAsia="zh-CN"/>
        </w:rPr>
        <w:t xml:space="preserve"> </w:t>
      </w:r>
      <w:bookmarkStart w:id="137" w:name="_Toc3773"/>
      <w:bookmarkStart w:id="138" w:name="_Toc15534"/>
      <w:bookmarkStart w:id="139" w:name="_Toc28658"/>
      <w:bookmarkStart w:id="140" w:name="_Toc21774"/>
      <w:r>
        <w:rPr>
          <w:rFonts w:hint="eastAsia" w:ascii="宋体" w:hAnsi="宋体" w:eastAsia="宋体" w:cs="宋体"/>
          <w:sz w:val="24"/>
          <w:szCs w:val="24"/>
          <w:highlight w:val="none"/>
        </w:rPr>
        <w:t>合同</w:t>
      </w:r>
      <w:bookmarkEnd w:id="125"/>
      <w:bookmarkEnd w:id="126"/>
      <w:bookmarkEnd w:id="127"/>
      <w:bookmarkEnd w:id="128"/>
      <w:r>
        <w:rPr>
          <w:rFonts w:hint="eastAsia" w:ascii="宋体" w:hAnsi="宋体" w:eastAsia="宋体" w:cs="宋体"/>
          <w:sz w:val="24"/>
          <w:szCs w:val="24"/>
          <w:highlight w:val="none"/>
          <w:lang w:eastAsia="zh-CN"/>
        </w:rPr>
        <w:t>文本及条款</w:t>
      </w:r>
      <w:bookmarkEnd w:id="137"/>
      <w:bookmarkEnd w:id="138"/>
      <w:bookmarkEnd w:id="139"/>
      <w:bookmarkEnd w:id="140"/>
    </w:p>
    <w:bookmarkEnd w:id="33"/>
    <w:bookmarkEnd w:id="129"/>
    <w:bookmarkEnd w:id="130"/>
    <w:bookmarkEnd w:id="131"/>
    <w:bookmarkEnd w:id="132"/>
    <w:bookmarkEnd w:id="133"/>
    <w:bookmarkEnd w:id="134"/>
    <w:bookmarkEnd w:id="135"/>
    <w:bookmarkEnd w:id="136"/>
    <w:p w14:paraId="41C862A7">
      <w:pPr>
        <w:rPr>
          <w:rFonts w:hint="eastAsia" w:ascii="黑体" w:eastAsia="黑体"/>
          <w:b/>
          <w:sz w:val="32"/>
          <w:szCs w:val="32"/>
          <w:highlight w:val="none"/>
        </w:rPr>
      </w:pPr>
      <w:bookmarkStart w:id="141" w:name="_Toc22538"/>
      <w:bookmarkStart w:id="142" w:name="_Toc363474025"/>
      <w:bookmarkStart w:id="143" w:name="_Toc28411"/>
      <w:bookmarkStart w:id="144" w:name="_Toc12245"/>
      <w:bookmarkStart w:id="145" w:name="_Toc12269"/>
      <w:bookmarkStart w:id="146" w:name="_Toc8126"/>
      <w:bookmarkStart w:id="147" w:name="_Toc8830"/>
      <w:bookmarkStart w:id="148" w:name="_Toc426457698"/>
    </w:p>
    <w:p w14:paraId="3D253508">
      <w:pPr>
        <w:rPr>
          <w:rFonts w:hint="eastAsia" w:ascii="黑体" w:eastAsia="黑体"/>
          <w:b/>
          <w:sz w:val="32"/>
          <w:szCs w:val="32"/>
          <w:highlight w:val="none"/>
        </w:rPr>
      </w:pPr>
      <w:r>
        <w:rPr>
          <w:rFonts w:hint="eastAsia" w:ascii="黑体" w:eastAsia="黑体"/>
          <w:b/>
          <w:sz w:val="32"/>
          <w:szCs w:val="32"/>
          <w:highlight w:val="none"/>
        </w:rPr>
        <w:t>采购项目</w:t>
      </w:r>
      <w:r>
        <w:rPr>
          <w:rFonts w:hint="eastAsia" w:cs="宋体"/>
          <w:b/>
          <w:bCs/>
          <w:sz w:val="28"/>
          <w:szCs w:val="28"/>
          <w:highlight w:val="none"/>
        </w:rPr>
        <w:t>（</w:t>
      </w:r>
      <w:r>
        <w:rPr>
          <w:rFonts w:hint="eastAsia" w:ascii="黑体" w:eastAsia="黑体"/>
          <w:b/>
          <w:sz w:val="32"/>
          <w:szCs w:val="32"/>
          <w:highlight w:val="none"/>
        </w:rPr>
        <w:t xml:space="preserve">仅供参考）                  </w:t>
      </w:r>
    </w:p>
    <w:p w14:paraId="78850B5E">
      <w:pPr>
        <w:jc w:val="center"/>
        <w:rPr>
          <w:rFonts w:hint="eastAsia" w:ascii="黑体" w:eastAsia="黑体"/>
          <w:sz w:val="52"/>
          <w:szCs w:val="52"/>
          <w:highlight w:val="none"/>
        </w:rPr>
      </w:pPr>
    </w:p>
    <w:p w14:paraId="49CDF018">
      <w:pPr>
        <w:pStyle w:val="9"/>
        <w:rPr>
          <w:rFonts w:hint="eastAsia"/>
          <w:highlight w:val="none"/>
        </w:rPr>
      </w:pPr>
    </w:p>
    <w:p w14:paraId="4BAC3BF3">
      <w:pPr>
        <w:jc w:val="center"/>
        <w:rPr>
          <w:rFonts w:hint="eastAsia" w:ascii="黑体" w:eastAsia="黑体"/>
          <w:sz w:val="52"/>
          <w:szCs w:val="52"/>
          <w:highlight w:val="none"/>
        </w:rPr>
      </w:pPr>
    </w:p>
    <w:p w14:paraId="10036204">
      <w:pPr>
        <w:jc w:val="center"/>
        <w:rPr>
          <w:rFonts w:hint="eastAsia"/>
          <w:b/>
          <w:snapToGrid w:val="0"/>
          <w:sz w:val="48"/>
          <w:szCs w:val="48"/>
          <w:highlight w:val="none"/>
          <w:u w:val="single"/>
        </w:rPr>
      </w:pPr>
    </w:p>
    <w:p w14:paraId="32322C78">
      <w:pPr>
        <w:jc w:val="center"/>
        <w:rPr>
          <w:rFonts w:hint="eastAsia"/>
          <w:b/>
          <w:snapToGrid w:val="0"/>
          <w:sz w:val="48"/>
          <w:szCs w:val="48"/>
          <w:highlight w:val="none"/>
          <w:u w:val="single"/>
        </w:rPr>
      </w:pPr>
    </w:p>
    <w:p w14:paraId="600AE0BC">
      <w:pPr>
        <w:jc w:val="center"/>
        <w:rPr>
          <w:rFonts w:hint="eastAsia"/>
          <w:b/>
          <w:snapToGrid w:val="0"/>
          <w:sz w:val="48"/>
          <w:szCs w:val="48"/>
          <w:highlight w:val="none"/>
          <w:u w:val="single"/>
        </w:rPr>
      </w:pPr>
      <w:r>
        <w:rPr>
          <w:rFonts w:hint="eastAsia"/>
          <w:b/>
          <w:snapToGrid w:val="0"/>
          <w:sz w:val="48"/>
          <w:szCs w:val="48"/>
          <w:highlight w:val="none"/>
          <w:u w:val="single"/>
        </w:rPr>
        <w:t>（项目名称）</w:t>
      </w:r>
    </w:p>
    <w:p w14:paraId="412741D1">
      <w:pPr>
        <w:jc w:val="center"/>
        <w:outlineLvl w:val="9"/>
        <w:rPr>
          <w:rFonts w:hint="eastAsia" w:ascii="黑体" w:eastAsia="黑体"/>
          <w:b/>
          <w:sz w:val="72"/>
          <w:szCs w:val="72"/>
          <w:highlight w:val="none"/>
        </w:rPr>
      </w:pPr>
      <w:bookmarkStart w:id="149" w:name="_Toc9646"/>
      <w:bookmarkStart w:id="150" w:name="_Toc22946"/>
      <w:bookmarkStart w:id="151" w:name="_Toc5552"/>
      <w:bookmarkStart w:id="152" w:name="_Toc1469"/>
      <w:bookmarkStart w:id="153" w:name="_Toc1475"/>
      <w:r>
        <w:rPr>
          <w:rFonts w:hint="eastAsia" w:ascii="黑体" w:eastAsia="黑体"/>
          <w:b/>
          <w:sz w:val="72"/>
          <w:szCs w:val="72"/>
          <w:highlight w:val="none"/>
        </w:rPr>
        <w:t>服务合同</w:t>
      </w:r>
      <w:bookmarkEnd w:id="149"/>
      <w:bookmarkEnd w:id="150"/>
      <w:bookmarkEnd w:id="151"/>
      <w:bookmarkEnd w:id="152"/>
      <w:bookmarkEnd w:id="153"/>
    </w:p>
    <w:p w14:paraId="5DDFB9FF">
      <w:pPr>
        <w:jc w:val="center"/>
        <w:rPr>
          <w:rFonts w:hint="eastAsia" w:ascii="黑体" w:eastAsia="黑体"/>
          <w:sz w:val="30"/>
          <w:szCs w:val="30"/>
          <w:highlight w:val="none"/>
        </w:rPr>
      </w:pPr>
      <w:r>
        <w:rPr>
          <w:rFonts w:hint="eastAsia" w:ascii="黑体" w:eastAsia="黑体"/>
          <w:sz w:val="30"/>
          <w:szCs w:val="30"/>
          <w:highlight w:val="none"/>
        </w:rPr>
        <w:t xml:space="preserve">（项目编号：      </w:t>
      </w:r>
      <w:r>
        <w:rPr>
          <w:rFonts w:hint="eastAsia" w:ascii="仿宋" w:eastAsia="仿宋"/>
          <w:sz w:val="28"/>
          <w:szCs w:val="28"/>
          <w:highlight w:val="none"/>
        </w:rPr>
        <w:t>）</w:t>
      </w:r>
    </w:p>
    <w:p w14:paraId="13BEF719">
      <w:pPr>
        <w:jc w:val="center"/>
        <w:rPr>
          <w:rFonts w:hint="eastAsia" w:ascii="黑体" w:eastAsia="黑体"/>
          <w:sz w:val="30"/>
          <w:szCs w:val="30"/>
          <w:highlight w:val="none"/>
        </w:rPr>
      </w:pPr>
    </w:p>
    <w:p w14:paraId="7EF9883E">
      <w:pPr>
        <w:jc w:val="center"/>
        <w:rPr>
          <w:rFonts w:hint="eastAsia" w:ascii="黑体" w:eastAsia="黑体"/>
          <w:sz w:val="30"/>
          <w:szCs w:val="30"/>
          <w:highlight w:val="none"/>
        </w:rPr>
      </w:pPr>
    </w:p>
    <w:p w14:paraId="18F70E7F">
      <w:pPr>
        <w:jc w:val="center"/>
        <w:rPr>
          <w:rFonts w:hint="eastAsia" w:ascii="黑体" w:eastAsia="黑体"/>
          <w:sz w:val="30"/>
          <w:szCs w:val="30"/>
          <w:highlight w:val="none"/>
        </w:rPr>
      </w:pPr>
    </w:p>
    <w:p w14:paraId="4F493EF2">
      <w:pPr>
        <w:jc w:val="center"/>
        <w:rPr>
          <w:rFonts w:hint="eastAsia" w:ascii="黑体" w:eastAsia="黑体"/>
          <w:sz w:val="30"/>
          <w:szCs w:val="30"/>
          <w:highlight w:val="none"/>
        </w:rPr>
      </w:pPr>
    </w:p>
    <w:p w14:paraId="0CC7135A">
      <w:pPr>
        <w:jc w:val="center"/>
        <w:rPr>
          <w:rFonts w:hint="eastAsia" w:ascii="黑体" w:eastAsia="黑体"/>
          <w:sz w:val="30"/>
          <w:szCs w:val="30"/>
          <w:highlight w:val="none"/>
        </w:rPr>
      </w:pPr>
    </w:p>
    <w:p w14:paraId="3FE509D7">
      <w:pPr>
        <w:ind w:firstLine="2080" w:firstLineChars="650"/>
        <w:rPr>
          <w:rFonts w:hint="eastAsia" w:ascii="黑体" w:eastAsia="黑体"/>
          <w:sz w:val="32"/>
          <w:szCs w:val="32"/>
          <w:highlight w:val="none"/>
        </w:rPr>
      </w:pPr>
      <w:r>
        <w:rPr>
          <w:rFonts w:hint="eastAsia" w:ascii="黑体" w:eastAsia="黑体"/>
          <w:sz w:val="32"/>
          <w:szCs w:val="32"/>
          <w:highlight w:val="none"/>
        </w:rPr>
        <w:t xml:space="preserve">甲  方： </w:t>
      </w:r>
    </w:p>
    <w:p w14:paraId="5B61BF98">
      <w:pPr>
        <w:tabs>
          <w:tab w:val="left" w:pos="480"/>
        </w:tabs>
        <w:ind w:firstLine="640" w:firstLineChars="200"/>
        <w:rPr>
          <w:rFonts w:hint="eastAsia" w:ascii="黑体" w:eastAsia="黑体"/>
          <w:sz w:val="32"/>
          <w:szCs w:val="32"/>
          <w:highlight w:val="none"/>
        </w:rPr>
      </w:pPr>
      <w:r>
        <w:rPr>
          <w:rFonts w:hint="eastAsia" w:ascii="黑体" w:eastAsia="黑体"/>
          <w:sz w:val="32"/>
          <w:szCs w:val="32"/>
          <w:highlight w:val="none"/>
        </w:rPr>
        <w:t xml:space="preserve">         乙  方：</w:t>
      </w:r>
    </w:p>
    <w:p w14:paraId="4233C565">
      <w:pPr>
        <w:jc w:val="center"/>
        <w:rPr>
          <w:rFonts w:hint="eastAsia" w:ascii="黑体" w:eastAsia="黑体"/>
          <w:sz w:val="30"/>
          <w:szCs w:val="30"/>
          <w:highlight w:val="none"/>
        </w:rPr>
      </w:pPr>
    </w:p>
    <w:p w14:paraId="2B32AFFA">
      <w:pPr>
        <w:jc w:val="center"/>
        <w:rPr>
          <w:rFonts w:hint="eastAsia" w:ascii="黑体" w:eastAsia="黑体"/>
          <w:sz w:val="32"/>
          <w:szCs w:val="32"/>
          <w:highlight w:val="none"/>
        </w:rPr>
      </w:pPr>
      <w:r>
        <w:rPr>
          <w:rFonts w:hint="eastAsia" w:ascii="黑体" w:eastAsia="黑体"/>
          <w:sz w:val="32"/>
          <w:szCs w:val="32"/>
          <w:highlight w:val="none"/>
        </w:rPr>
        <w:t xml:space="preserve">  年  月   日</w:t>
      </w:r>
    </w:p>
    <w:p w14:paraId="56E7185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b/>
          <w:bCs/>
          <w:sz w:val="28"/>
          <w:szCs w:val="28"/>
        </w:rPr>
      </w:pPr>
      <w:r>
        <w:rPr>
          <w:rFonts w:hint="eastAsia" w:ascii="黑体" w:eastAsia="黑体"/>
          <w:b/>
          <w:szCs w:val="36"/>
          <w:highlight w:val="none"/>
        </w:rPr>
        <w:br w:type="page"/>
      </w:r>
      <w:r>
        <w:rPr>
          <w:rFonts w:hint="eastAsia"/>
          <w:b/>
          <w:bCs/>
          <w:sz w:val="28"/>
          <w:szCs w:val="28"/>
        </w:rPr>
        <w:t>协 议 书</w:t>
      </w:r>
    </w:p>
    <w:p w14:paraId="01745A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sz w:val="21"/>
          <w:szCs w:val="21"/>
          <w:u w:val="single"/>
          <w:lang w:val="en-US" w:eastAsia="zh-CN"/>
        </w:rPr>
      </w:pPr>
      <w:r>
        <w:rPr>
          <w:sz w:val="21"/>
          <w:szCs w:val="21"/>
        </w:rPr>
        <w:t>甲方：</w:t>
      </w:r>
      <w:r>
        <w:rPr>
          <w:rFonts w:hint="eastAsia"/>
          <w:sz w:val="21"/>
          <w:szCs w:val="21"/>
          <w:u w:val="single"/>
          <w:lang w:val="en-US" w:eastAsia="zh-CN"/>
        </w:rPr>
        <w:t xml:space="preserve">             </w:t>
      </w:r>
    </w:p>
    <w:p w14:paraId="4FA9D5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乙方：</w:t>
      </w:r>
      <w:r>
        <w:rPr>
          <w:rFonts w:hint="eastAsia"/>
          <w:sz w:val="21"/>
          <w:szCs w:val="21"/>
          <w:u w:val="single"/>
          <w:lang w:val="en-US" w:eastAsia="zh-CN"/>
        </w:rPr>
        <w:t xml:space="preserve">             </w:t>
      </w:r>
    </w:p>
    <w:p w14:paraId="04BDA8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根据《中华人民共和国民法典》、</w:t>
      </w:r>
      <w:r>
        <w:rPr>
          <w:rFonts w:hint="eastAsia"/>
          <w:sz w:val="21"/>
          <w:szCs w:val="21"/>
        </w:rPr>
        <w:t>《中华人民共和国招标投标法》</w:t>
      </w:r>
      <w:r>
        <w:rPr>
          <w:sz w:val="21"/>
          <w:szCs w:val="21"/>
        </w:rPr>
        <w:t>与项目行业有关的法律法规，以及本项目相关采购要求的规定，合同双方就乙方向采购方提供《</w:t>
      </w:r>
      <w:r>
        <w:rPr>
          <w:rFonts w:hint="eastAsia"/>
          <w:sz w:val="21"/>
          <w:szCs w:val="21"/>
          <w:lang w:val="en-US" w:eastAsia="zh-CN"/>
        </w:rPr>
        <w:t>项目名称</w:t>
      </w:r>
      <w:r>
        <w:rPr>
          <w:sz w:val="21"/>
          <w:szCs w:val="21"/>
        </w:rPr>
        <w:t>》协商达成一致，确立本合同。</w:t>
      </w:r>
      <w:bookmarkStart w:id="154" w:name="一、合同标的物内容、数量及单价（以竞争性磋商响应文件正本和澄清表〈函〉为准）"/>
      <w:bookmarkEnd w:id="154"/>
    </w:p>
    <w:p w14:paraId="2E50C3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一、合同标的物内容、数量及单价（以竞争性磋商响应文件正本和澄清表〈函〉为准）</w:t>
      </w:r>
    </w:p>
    <w:tbl>
      <w:tblPr>
        <w:tblStyle w:val="17"/>
        <w:tblpPr w:leftFromText="180" w:rightFromText="180" w:vertAnchor="text" w:horzAnchor="page" w:tblpX="2015" w:tblpY="685"/>
        <w:tblOverlap w:val="never"/>
        <w:tblW w:w="82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8"/>
        <w:gridCol w:w="1855"/>
        <w:gridCol w:w="1421"/>
        <w:gridCol w:w="2648"/>
        <w:gridCol w:w="1096"/>
      </w:tblGrid>
      <w:tr w14:paraId="1A110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198" w:type="dxa"/>
            <w:noWrap w:val="0"/>
            <w:vAlign w:val="top"/>
          </w:tcPr>
          <w:p w14:paraId="6E3F66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序号</w:t>
            </w:r>
          </w:p>
        </w:tc>
        <w:tc>
          <w:tcPr>
            <w:tcW w:w="1855" w:type="dxa"/>
            <w:noWrap w:val="0"/>
            <w:vAlign w:val="top"/>
          </w:tcPr>
          <w:p w14:paraId="2DDD30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服务内容</w:t>
            </w:r>
          </w:p>
        </w:tc>
        <w:tc>
          <w:tcPr>
            <w:tcW w:w="1421" w:type="dxa"/>
            <w:noWrap w:val="0"/>
            <w:vAlign w:val="top"/>
          </w:tcPr>
          <w:p w14:paraId="4FD62F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服务期限</w:t>
            </w:r>
          </w:p>
        </w:tc>
        <w:tc>
          <w:tcPr>
            <w:tcW w:w="2648" w:type="dxa"/>
            <w:noWrap w:val="0"/>
            <w:vAlign w:val="top"/>
          </w:tcPr>
          <w:p w14:paraId="4A8002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相关要求</w:t>
            </w:r>
          </w:p>
        </w:tc>
        <w:tc>
          <w:tcPr>
            <w:tcW w:w="1096" w:type="dxa"/>
            <w:noWrap w:val="0"/>
            <w:vAlign w:val="top"/>
          </w:tcPr>
          <w:p w14:paraId="3D576F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备注</w:t>
            </w:r>
          </w:p>
        </w:tc>
      </w:tr>
      <w:tr w14:paraId="412EE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1198" w:type="dxa"/>
            <w:noWrap w:val="0"/>
            <w:vAlign w:val="top"/>
          </w:tcPr>
          <w:p w14:paraId="1735A4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1</w:t>
            </w:r>
          </w:p>
        </w:tc>
        <w:tc>
          <w:tcPr>
            <w:tcW w:w="1855" w:type="dxa"/>
            <w:noWrap w:val="0"/>
            <w:vAlign w:val="top"/>
          </w:tcPr>
          <w:p w14:paraId="600129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p>
        </w:tc>
        <w:tc>
          <w:tcPr>
            <w:tcW w:w="1421" w:type="dxa"/>
            <w:noWrap w:val="0"/>
            <w:vAlign w:val="top"/>
          </w:tcPr>
          <w:p w14:paraId="27E290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p>
        </w:tc>
        <w:tc>
          <w:tcPr>
            <w:tcW w:w="2648" w:type="dxa"/>
            <w:noWrap w:val="0"/>
            <w:vAlign w:val="top"/>
          </w:tcPr>
          <w:p w14:paraId="7A9E0A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p>
        </w:tc>
        <w:tc>
          <w:tcPr>
            <w:tcW w:w="1096" w:type="dxa"/>
            <w:noWrap w:val="0"/>
            <w:vAlign w:val="top"/>
          </w:tcPr>
          <w:p w14:paraId="647188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p>
        </w:tc>
      </w:tr>
      <w:tr w14:paraId="592BC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198" w:type="dxa"/>
            <w:noWrap w:val="0"/>
            <w:vAlign w:val="top"/>
          </w:tcPr>
          <w:p w14:paraId="3A8ECA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w:t>
            </w:r>
          </w:p>
        </w:tc>
        <w:tc>
          <w:tcPr>
            <w:tcW w:w="1855" w:type="dxa"/>
            <w:noWrap w:val="0"/>
            <w:vAlign w:val="top"/>
          </w:tcPr>
          <w:p w14:paraId="4A3C5C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p>
        </w:tc>
        <w:tc>
          <w:tcPr>
            <w:tcW w:w="1421" w:type="dxa"/>
            <w:noWrap w:val="0"/>
            <w:vAlign w:val="top"/>
          </w:tcPr>
          <w:p w14:paraId="54707B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p>
        </w:tc>
        <w:tc>
          <w:tcPr>
            <w:tcW w:w="2648" w:type="dxa"/>
            <w:noWrap w:val="0"/>
            <w:vAlign w:val="top"/>
          </w:tcPr>
          <w:p w14:paraId="7C9677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p>
        </w:tc>
        <w:tc>
          <w:tcPr>
            <w:tcW w:w="1096" w:type="dxa"/>
            <w:noWrap w:val="0"/>
            <w:vAlign w:val="top"/>
          </w:tcPr>
          <w:p w14:paraId="3F67A5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p>
        </w:tc>
      </w:tr>
    </w:tbl>
    <w:p w14:paraId="252685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bookmarkStart w:id="155" w:name="二、合同价款"/>
      <w:bookmarkEnd w:id="155"/>
    </w:p>
    <w:p w14:paraId="3A41AB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二、合同价款</w:t>
      </w:r>
    </w:p>
    <w:p w14:paraId="78BD0A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（一）本合同为总价合同，各项活动服务的合同总价为其最终报价。</w:t>
      </w:r>
    </w:p>
    <w:p w14:paraId="4B8F35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sz w:val="21"/>
          <w:szCs w:val="21"/>
          <w:u w:val="single"/>
          <w:lang w:val="en-US" w:eastAsia="zh-CN"/>
        </w:rPr>
      </w:pPr>
      <w:r>
        <w:rPr>
          <w:sz w:val="21"/>
          <w:szCs w:val="21"/>
        </w:rPr>
        <w:t>（二）合同价包括：</w:t>
      </w:r>
      <w:bookmarkStart w:id="156" w:name="三、款项结算"/>
      <w:bookmarkEnd w:id="156"/>
      <w:r>
        <w:rPr>
          <w:rFonts w:hint="eastAsia"/>
          <w:sz w:val="21"/>
          <w:szCs w:val="21"/>
          <w:u w:val="single"/>
          <w:lang w:val="en-US" w:eastAsia="zh-CN"/>
        </w:rPr>
        <w:t xml:space="preserve">                                  </w:t>
      </w:r>
    </w:p>
    <w:p w14:paraId="64CC14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三、款项结算</w:t>
      </w:r>
    </w:p>
    <w:p w14:paraId="19A28B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付款方式和程序：</w:t>
      </w:r>
    </w:p>
    <w:p w14:paraId="7F32D1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sz w:val="21"/>
          <w:szCs w:val="21"/>
          <w:lang w:eastAsia="zh-CN"/>
        </w:rPr>
      </w:pPr>
      <w:r>
        <w:rPr>
          <w:sz w:val="21"/>
          <w:szCs w:val="21"/>
        </w:rPr>
        <w:t>1.由采购人负责结算，在付款前，由投标人开具价款的发票给采购人</w:t>
      </w:r>
      <w:r>
        <w:rPr>
          <w:rFonts w:hint="eastAsia"/>
          <w:sz w:val="21"/>
          <w:szCs w:val="21"/>
          <w:lang w:eastAsia="zh-CN"/>
        </w:rPr>
        <w:t>。</w:t>
      </w:r>
    </w:p>
    <w:p w14:paraId="381089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rFonts w:hint="eastAsia"/>
          <w:sz w:val="21"/>
          <w:szCs w:val="21"/>
          <w:lang w:val="en-US" w:eastAsia="zh-CN"/>
        </w:rPr>
        <w:t>2</w:t>
      </w:r>
      <w:r>
        <w:rPr>
          <w:rFonts w:hint="eastAsia"/>
          <w:sz w:val="21"/>
          <w:szCs w:val="21"/>
        </w:rPr>
        <w:t>.</w:t>
      </w:r>
      <w:r>
        <w:rPr>
          <w:sz w:val="21"/>
          <w:szCs w:val="21"/>
        </w:rPr>
        <w:t>付款方式：</w:t>
      </w:r>
      <w:r>
        <w:rPr>
          <w:rFonts w:hint="eastAsia"/>
          <w:sz w:val="21"/>
          <w:szCs w:val="21"/>
          <w:u w:val="single"/>
          <w:lang w:val="en-US" w:eastAsia="zh-CN"/>
        </w:rPr>
        <w:t xml:space="preserve">                                            </w:t>
      </w:r>
      <w:r>
        <w:rPr>
          <w:rFonts w:hint="eastAsia"/>
          <w:sz w:val="21"/>
          <w:szCs w:val="21"/>
        </w:rPr>
        <w:t xml:space="preserve">                                      </w:t>
      </w:r>
    </w:p>
    <w:p w14:paraId="057020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bookmarkStart w:id="157" w:name="1.3支付方式：银行转账。"/>
      <w:bookmarkEnd w:id="157"/>
      <w:r>
        <w:rPr>
          <w:rFonts w:hint="eastAsia"/>
          <w:sz w:val="21"/>
          <w:szCs w:val="21"/>
          <w:lang w:val="en-US" w:eastAsia="zh-CN"/>
        </w:rPr>
        <w:t>3</w:t>
      </w:r>
      <w:r>
        <w:rPr>
          <w:rFonts w:hint="eastAsia"/>
          <w:sz w:val="21"/>
          <w:szCs w:val="21"/>
        </w:rPr>
        <w:t>.</w:t>
      </w:r>
      <w:r>
        <w:rPr>
          <w:sz w:val="21"/>
          <w:szCs w:val="21"/>
        </w:rPr>
        <w:t>支付方式：银行</w:t>
      </w:r>
      <w:bookmarkStart w:id="158" w:name="四、服务条件："/>
      <w:bookmarkEnd w:id="158"/>
      <w:r>
        <w:rPr>
          <w:sz w:val="21"/>
          <w:szCs w:val="21"/>
        </w:rPr>
        <w:t>转账。</w:t>
      </w:r>
    </w:p>
    <w:p w14:paraId="685925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四、服务条件：</w:t>
      </w:r>
    </w:p>
    <w:p w14:paraId="488841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（一）服务地点：甲方指定地点。</w:t>
      </w:r>
    </w:p>
    <w:p w14:paraId="545EB5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（二）服务期：自合同签订之日</w:t>
      </w:r>
      <w:r>
        <w:rPr>
          <w:rFonts w:hint="eastAsia"/>
          <w:sz w:val="21"/>
          <w:szCs w:val="21"/>
          <w:u w:val="single"/>
          <w:lang w:val="en-US" w:eastAsia="zh-CN"/>
        </w:rPr>
        <w:t xml:space="preserve">          </w:t>
      </w:r>
      <w:r>
        <w:rPr>
          <w:sz w:val="21"/>
          <w:szCs w:val="21"/>
        </w:rPr>
        <w:t xml:space="preserve">起 </w:t>
      </w:r>
      <w:r>
        <w:rPr>
          <w:sz w:val="21"/>
          <w:szCs w:val="21"/>
        </w:rPr>
        <w:tab/>
      </w:r>
      <w:r>
        <w:rPr>
          <w:sz w:val="21"/>
          <w:szCs w:val="21"/>
        </w:rPr>
        <w:t>。</w:t>
      </w:r>
    </w:p>
    <w:p w14:paraId="1D1120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（三）项目负责人：</w:t>
      </w:r>
      <w:r>
        <w:rPr>
          <w:rFonts w:hint="eastAsia"/>
          <w:sz w:val="21"/>
          <w:szCs w:val="21"/>
          <w:u w:val="single"/>
        </w:rPr>
        <w:t xml:space="preserve">                                          </w:t>
      </w:r>
      <w:r>
        <w:rPr>
          <w:rFonts w:hint="eastAsia"/>
          <w:sz w:val="21"/>
          <w:szCs w:val="21"/>
        </w:rPr>
        <w:t xml:space="preserve">  。</w:t>
      </w:r>
    </w:p>
    <w:p w14:paraId="7CF42C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五、质量保障</w:t>
      </w:r>
    </w:p>
    <w:p w14:paraId="33C93E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1</w:t>
      </w:r>
      <w:r>
        <w:rPr>
          <w:rFonts w:hint="eastAsia"/>
          <w:sz w:val="21"/>
          <w:szCs w:val="21"/>
        </w:rPr>
        <w:t>、</w:t>
      </w:r>
      <w:r>
        <w:rPr>
          <w:sz w:val="21"/>
          <w:szCs w:val="21"/>
        </w:rPr>
        <w:t>乙方所提供服务保证技术指标符合要求、质量性能可靠、必须符合国家相关法律法规的要求。</w:t>
      </w:r>
    </w:p>
    <w:p w14:paraId="49F159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2、中标单位应当保证其具有完成本项目所要求的服务所必须具备的专业设备和服务能力。</w:t>
      </w:r>
    </w:p>
    <w:p w14:paraId="187A7D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3、符合甲方要求，并通过验收。</w:t>
      </w:r>
      <w:bookmarkStart w:id="159" w:name="六、技术与服务"/>
      <w:bookmarkEnd w:id="159"/>
    </w:p>
    <w:p w14:paraId="0F65A8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六、技术与服务</w:t>
      </w:r>
    </w:p>
    <w:p w14:paraId="27660D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（一）技术资料：</w:t>
      </w:r>
    </w:p>
    <w:p w14:paraId="0ABCD5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技术资料：中标供应商应随同服务提供相应的中文技术文件。</w:t>
      </w:r>
    </w:p>
    <w:p w14:paraId="4EE1A3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rFonts w:hint="eastAsia"/>
          <w:sz w:val="21"/>
          <w:szCs w:val="21"/>
        </w:rPr>
        <w:t>（二）</w:t>
      </w:r>
      <w:r>
        <w:rPr>
          <w:sz w:val="21"/>
          <w:szCs w:val="21"/>
        </w:rPr>
        <w:t>服务承诺：以投标文件文件、澄清表（函）、合同和随服务的相关文件为准。</w:t>
      </w:r>
      <w:bookmarkStart w:id="160" w:name="七、验收"/>
      <w:bookmarkEnd w:id="160"/>
    </w:p>
    <w:p w14:paraId="500877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七、验收</w:t>
      </w:r>
    </w:p>
    <w:p w14:paraId="4C164D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采购方将组织相关专业人员对服务的过程及响应效果考核验收。</w:t>
      </w:r>
      <w:bookmarkStart w:id="161" w:name="八、违约责任"/>
      <w:bookmarkEnd w:id="161"/>
    </w:p>
    <w:p w14:paraId="7F77FE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八、违约责任</w:t>
      </w:r>
    </w:p>
    <w:p w14:paraId="41B6F0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1、按《中华人民共和国民法典》中的相关条款执行。</w:t>
      </w:r>
    </w:p>
    <w:p w14:paraId="0A9FD8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政府采购法》及相关法律法规对服务商的违法行为进行相应的处罚。</w:t>
      </w:r>
    </w:p>
    <w:p w14:paraId="4F1A3E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bookmarkStart w:id="162" w:name="九、合同争议解决的方式"/>
      <w:bookmarkEnd w:id="162"/>
      <w:r>
        <w:rPr>
          <w:sz w:val="21"/>
          <w:szCs w:val="21"/>
        </w:rPr>
        <w:t>九、合同争议解决的方式</w:t>
      </w:r>
    </w:p>
    <w:p w14:paraId="10D983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 xml:space="preserve">本合同在履行过程中发生的争议，由甲、乙双方当事人协商解决，协商不成的按下列第 </w:t>
      </w:r>
      <w:r>
        <w:rPr>
          <w:rFonts w:hint="eastAsia"/>
          <w:sz w:val="21"/>
          <w:szCs w:val="21"/>
        </w:rPr>
        <w:t xml:space="preserve">    </w:t>
      </w:r>
      <w:r>
        <w:rPr>
          <w:sz w:val="21"/>
          <w:szCs w:val="21"/>
        </w:rPr>
        <w:tab/>
      </w:r>
      <w:r>
        <w:rPr>
          <w:sz w:val="21"/>
          <w:szCs w:val="21"/>
        </w:rPr>
        <w:t>种方式解决：</w:t>
      </w:r>
    </w:p>
    <w:p w14:paraId="3ADD7C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（一）提交</w:t>
      </w:r>
      <w:r>
        <w:rPr>
          <w:rFonts w:hint="eastAsia"/>
          <w:sz w:val="21"/>
          <w:szCs w:val="21"/>
          <w:u w:val="single"/>
          <w:lang w:val="en-US" w:eastAsia="zh-CN"/>
        </w:rPr>
        <w:t xml:space="preserve">          </w:t>
      </w:r>
      <w:r>
        <w:rPr>
          <w:sz w:val="21"/>
          <w:szCs w:val="21"/>
        </w:rPr>
        <w:t>仲裁委员会仲裁；</w:t>
      </w:r>
    </w:p>
    <w:p w14:paraId="0427F7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（二）依法</w:t>
      </w:r>
      <w:r>
        <w:rPr>
          <w:rFonts w:hint="eastAsia"/>
          <w:sz w:val="21"/>
          <w:szCs w:val="21"/>
        </w:rPr>
        <w:t>向</w:t>
      </w:r>
      <w:r>
        <w:rPr>
          <w:rFonts w:hint="eastAsia"/>
          <w:sz w:val="21"/>
          <w:szCs w:val="21"/>
          <w:u w:val="single"/>
        </w:rPr>
        <w:t xml:space="preserve">           </w:t>
      </w:r>
      <w:r>
        <w:rPr>
          <w:sz w:val="21"/>
          <w:szCs w:val="21"/>
        </w:rPr>
        <w:t>所在地人民法院起诉。</w:t>
      </w:r>
      <w:bookmarkStart w:id="163" w:name="十、合同生效"/>
      <w:bookmarkEnd w:id="163"/>
    </w:p>
    <w:p w14:paraId="7ADB4F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十、合同生效</w:t>
      </w:r>
    </w:p>
    <w:p w14:paraId="0A0C18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 xml:space="preserve">本合同一式 </w:t>
      </w:r>
      <w:r>
        <w:rPr>
          <w:sz w:val="21"/>
          <w:szCs w:val="21"/>
        </w:rPr>
        <w:tab/>
      </w:r>
      <w:r>
        <w:rPr>
          <w:sz w:val="21"/>
          <w:szCs w:val="21"/>
        </w:rPr>
        <w:t xml:space="preserve">份，甲方执 </w:t>
      </w:r>
      <w:r>
        <w:rPr>
          <w:sz w:val="21"/>
          <w:szCs w:val="21"/>
        </w:rPr>
        <w:tab/>
      </w:r>
      <w:r>
        <w:rPr>
          <w:sz w:val="21"/>
          <w:szCs w:val="21"/>
        </w:rPr>
        <w:t xml:space="preserve">份，乙方执 </w:t>
      </w:r>
      <w:r>
        <w:rPr>
          <w:sz w:val="21"/>
          <w:szCs w:val="21"/>
        </w:rPr>
        <w:tab/>
      </w:r>
      <w:r>
        <w:rPr>
          <w:sz w:val="21"/>
          <w:szCs w:val="21"/>
        </w:rPr>
        <w:t>份，本合同甲、乙、确认各方签字盖章后生效，合同执行完毕后，自动失效（合同的服务承诺则长期有效）。</w:t>
      </w:r>
    </w:p>
    <w:p w14:paraId="001EF2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bookmarkStart w:id="164" w:name="十一、其他事项"/>
      <w:bookmarkEnd w:id="164"/>
      <w:r>
        <w:rPr>
          <w:sz w:val="21"/>
          <w:szCs w:val="21"/>
        </w:rPr>
        <w:t>十一、其他事项</w:t>
      </w:r>
    </w:p>
    <w:p w14:paraId="6BFE3B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（一）招标文件、投标文件、澄清表（函）、中标通知书、合同附件均成为合同不可分割的部分。</w:t>
      </w:r>
    </w:p>
    <w:p w14:paraId="4729CF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（二）合同未尽事宜，由甲、乙双方协商，作为合同补充，与原合同具有同等法律效</w:t>
      </w:r>
    </w:p>
    <w:p w14:paraId="43EA2A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力。</w:t>
      </w:r>
    </w:p>
    <w:p w14:paraId="739730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（三）合同一经签订，不得擅自变更、中止或终止合同。但若与甲方的上级管理机关的政策性行为或其他规定发生冲突，甲方有权与乙方协商调整协议内容或终止协议执行。</w:t>
      </w:r>
    </w:p>
    <w:p w14:paraId="725714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（四）执行本合同过程中发生争议，由当事人双方协商解决。协商不成，可向采购方所在地人民法院提起诉讼。</w:t>
      </w:r>
    </w:p>
    <w:p w14:paraId="6D9B1C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五）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恶劣天气条件、政府行为、社会异常事件（包括罢工、政变、骚乱、游行等）或新颁布的法律、法规等不能预见、不能避免并不能克服的客观情况。</w:t>
      </w:r>
    </w:p>
    <w:p w14:paraId="52E379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（六）本合同按照中华人民共和国的现行法律进行解释。</w:t>
      </w:r>
    </w:p>
    <w:p w14:paraId="2D22FB13">
      <w:r>
        <w:br w:type="page"/>
      </w:r>
    </w:p>
    <w:p w14:paraId="1D2473C9">
      <w:pPr>
        <w:bidi w:val="0"/>
        <w:jc w:val="center"/>
        <w:rPr>
          <w:rFonts w:hint="default" w:eastAsia="宋体"/>
          <w:lang w:val="en-US" w:eastAsia="zh-CN"/>
        </w:rPr>
      </w:pPr>
      <w:r>
        <w:rPr>
          <w:rFonts w:hint="eastAsia"/>
          <w:lang w:eastAsia="zh-CN"/>
        </w:rPr>
        <w:t>（</w:t>
      </w:r>
      <w:r>
        <w:rPr>
          <w:rFonts w:hint="eastAsia"/>
          <w:lang w:val="en-US" w:eastAsia="zh-CN"/>
        </w:rPr>
        <w:t>此页无正文）</w:t>
      </w:r>
    </w:p>
    <w:tbl>
      <w:tblPr>
        <w:tblStyle w:val="17"/>
        <w:tblpPr w:leftFromText="180" w:rightFromText="180" w:vertAnchor="text" w:horzAnchor="page" w:tblpX="1921" w:tblpY="773"/>
        <w:tblOverlap w:val="never"/>
        <w:tblW w:w="0" w:type="auto"/>
        <w:tblInd w:w="0" w:type="dxa"/>
        <w:tblLayout w:type="fixed"/>
        <w:tblCellMar>
          <w:top w:w="0" w:type="dxa"/>
          <w:left w:w="0" w:type="dxa"/>
          <w:bottom w:w="0" w:type="dxa"/>
          <w:right w:w="0" w:type="dxa"/>
        </w:tblCellMar>
      </w:tblPr>
      <w:tblGrid>
        <w:gridCol w:w="2258"/>
        <w:gridCol w:w="814"/>
        <w:gridCol w:w="1221"/>
        <w:gridCol w:w="3945"/>
      </w:tblGrid>
      <w:tr w14:paraId="52FA7E11">
        <w:tblPrEx>
          <w:tblCellMar>
            <w:top w:w="0" w:type="dxa"/>
            <w:left w:w="0" w:type="dxa"/>
            <w:bottom w:w="0" w:type="dxa"/>
            <w:right w:w="0" w:type="dxa"/>
          </w:tblCellMar>
        </w:tblPrEx>
        <w:trPr>
          <w:trHeight w:val="283" w:hRule="atLeast"/>
        </w:trPr>
        <w:tc>
          <w:tcPr>
            <w:tcW w:w="2258" w:type="dxa"/>
            <w:noWrap w:val="0"/>
            <w:vAlign w:val="top"/>
          </w:tcPr>
          <w:p w14:paraId="1C19C82A">
            <w:pPr>
              <w:bidi w:val="0"/>
              <w:rPr>
                <w:sz w:val="21"/>
                <w:szCs w:val="21"/>
              </w:rPr>
            </w:pPr>
            <w:r>
              <w:rPr>
                <w:sz w:val="21"/>
                <w:szCs w:val="21"/>
              </w:rPr>
              <w:t>甲</w:t>
            </w:r>
            <w:r>
              <w:rPr>
                <w:sz w:val="21"/>
                <w:szCs w:val="21"/>
              </w:rPr>
              <w:tab/>
            </w:r>
            <w:r>
              <w:rPr>
                <w:sz w:val="21"/>
                <w:szCs w:val="21"/>
              </w:rPr>
              <w:t>方：（盖章）</w:t>
            </w:r>
          </w:p>
        </w:tc>
        <w:tc>
          <w:tcPr>
            <w:tcW w:w="814" w:type="dxa"/>
            <w:noWrap w:val="0"/>
            <w:vAlign w:val="top"/>
          </w:tcPr>
          <w:p w14:paraId="4C88BEA7">
            <w:pPr>
              <w:bidi w:val="0"/>
              <w:rPr>
                <w:sz w:val="21"/>
                <w:szCs w:val="21"/>
              </w:rPr>
            </w:pPr>
          </w:p>
        </w:tc>
        <w:tc>
          <w:tcPr>
            <w:tcW w:w="1221" w:type="dxa"/>
            <w:noWrap w:val="0"/>
            <w:vAlign w:val="top"/>
          </w:tcPr>
          <w:p w14:paraId="03E415E3">
            <w:pPr>
              <w:bidi w:val="0"/>
              <w:rPr>
                <w:sz w:val="21"/>
                <w:szCs w:val="21"/>
              </w:rPr>
            </w:pPr>
          </w:p>
        </w:tc>
        <w:tc>
          <w:tcPr>
            <w:tcW w:w="3945" w:type="dxa"/>
            <w:noWrap w:val="0"/>
            <w:vAlign w:val="top"/>
          </w:tcPr>
          <w:p w14:paraId="610FDF37">
            <w:pPr>
              <w:bidi w:val="0"/>
              <w:rPr>
                <w:sz w:val="21"/>
                <w:szCs w:val="21"/>
              </w:rPr>
            </w:pPr>
            <w:r>
              <w:rPr>
                <w:sz w:val="21"/>
                <w:szCs w:val="21"/>
              </w:rPr>
              <w:t>乙</w:t>
            </w:r>
            <w:r>
              <w:rPr>
                <w:sz w:val="21"/>
                <w:szCs w:val="21"/>
              </w:rPr>
              <w:tab/>
            </w:r>
            <w:r>
              <w:rPr>
                <w:sz w:val="21"/>
                <w:szCs w:val="21"/>
              </w:rPr>
              <w:t>方：（盖章）</w:t>
            </w:r>
          </w:p>
        </w:tc>
      </w:tr>
      <w:tr w14:paraId="5F48B872">
        <w:tblPrEx>
          <w:tblCellMar>
            <w:top w:w="0" w:type="dxa"/>
            <w:left w:w="0" w:type="dxa"/>
            <w:bottom w:w="0" w:type="dxa"/>
            <w:right w:w="0" w:type="dxa"/>
          </w:tblCellMar>
        </w:tblPrEx>
        <w:trPr>
          <w:trHeight w:val="372" w:hRule="atLeast"/>
        </w:trPr>
        <w:tc>
          <w:tcPr>
            <w:tcW w:w="2258" w:type="dxa"/>
            <w:noWrap w:val="0"/>
            <w:vAlign w:val="top"/>
          </w:tcPr>
          <w:p w14:paraId="16B6FF65">
            <w:pPr>
              <w:bidi w:val="0"/>
              <w:rPr>
                <w:sz w:val="21"/>
                <w:szCs w:val="21"/>
              </w:rPr>
            </w:pPr>
            <w:r>
              <w:rPr>
                <w:sz w:val="21"/>
                <w:szCs w:val="21"/>
              </w:rPr>
              <w:t>单位名称：</w:t>
            </w:r>
          </w:p>
        </w:tc>
        <w:tc>
          <w:tcPr>
            <w:tcW w:w="814" w:type="dxa"/>
            <w:noWrap w:val="0"/>
            <w:vAlign w:val="top"/>
          </w:tcPr>
          <w:p w14:paraId="662CE514">
            <w:pPr>
              <w:bidi w:val="0"/>
              <w:rPr>
                <w:sz w:val="21"/>
                <w:szCs w:val="21"/>
              </w:rPr>
            </w:pPr>
          </w:p>
        </w:tc>
        <w:tc>
          <w:tcPr>
            <w:tcW w:w="1221" w:type="dxa"/>
            <w:noWrap w:val="0"/>
            <w:vAlign w:val="top"/>
          </w:tcPr>
          <w:p w14:paraId="40A13731">
            <w:pPr>
              <w:bidi w:val="0"/>
              <w:rPr>
                <w:sz w:val="21"/>
                <w:szCs w:val="21"/>
              </w:rPr>
            </w:pPr>
          </w:p>
        </w:tc>
        <w:tc>
          <w:tcPr>
            <w:tcW w:w="3945" w:type="dxa"/>
            <w:noWrap w:val="0"/>
            <w:vAlign w:val="top"/>
          </w:tcPr>
          <w:p w14:paraId="475C116D">
            <w:pPr>
              <w:bidi w:val="0"/>
              <w:rPr>
                <w:sz w:val="21"/>
                <w:szCs w:val="21"/>
              </w:rPr>
            </w:pPr>
            <w:r>
              <w:rPr>
                <w:sz w:val="21"/>
                <w:szCs w:val="21"/>
              </w:rPr>
              <w:t>单位名称：</w:t>
            </w:r>
          </w:p>
        </w:tc>
      </w:tr>
      <w:tr w14:paraId="70ED6801">
        <w:tblPrEx>
          <w:tblCellMar>
            <w:top w:w="0" w:type="dxa"/>
            <w:left w:w="0" w:type="dxa"/>
            <w:bottom w:w="0" w:type="dxa"/>
            <w:right w:w="0" w:type="dxa"/>
          </w:tblCellMar>
        </w:tblPrEx>
        <w:trPr>
          <w:trHeight w:val="372" w:hRule="atLeast"/>
        </w:trPr>
        <w:tc>
          <w:tcPr>
            <w:tcW w:w="2258" w:type="dxa"/>
            <w:noWrap w:val="0"/>
            <w:vAlign w:val="top"/>
          </w:tcPr>
          <w:p w14:paraId="484E5E32">
            <w:pPr>
              <w:bidi w:val="0"/>
              <w:rPr>
                <w:sz w:val="21"/>
                <w:szCs w:val="21"/>
              </w:rPr>
            </w:pPr>
            <w:r>
              <w:rPr>
                <w:sz w:val="21"/>
                <w:szCs w:val="21"/>
              </w:rPr>
              <w:t>地</w:t>
            </w:r>
            <w:r>
              <w:rPr>
                <w:sz w:val="21"/>
                <w:szCs w:val="21"/>
              </w:rPr>
              <w:tab/>
            </w:r>
            <w:r>
              <w:rPr>
                <w:sz w:val="21"/>
                <w:szCs w:val="21"/>
              </w:rPr>
              <w:t>址：</w:t>
            </w:r>
          </w:p>
        </w:tc>
        <w:tc>
          <w:tcPr>
            <w:tcW w:w="814" w:type="dxa"/>
            <w:noWrap w:val="0"/>
            <w:vAlign w:val="top"/>
          </w:tcPr>
          <w:p w14:paraId="5F4C6EB2">
            <w:pPr>
              <w:bidi w:val="0"/>
              <w:rPr>
                <w:sz w:val="21"/>
                <w:szCs w:val="21"/>
              </w:rPr>
            </w:pPr>
          </w:p>
        </w:tc>
        <w:tc>
          <w:tcPr>
            <w:tcW w:w="1221" w:type="dxa"/>
            <w:noWrap w:val="0"/>
            <w:vAlign w:val="top"/>
          </w:tcPr>
          <w:p w14:paraId="2FD05A9D">
            <w:pPr>
              <w:bidi w:val="0"/>
              <w:rPr>
                <w:sz w:val="21"/>
                <w:szCs w:val="21"/>
              </w:rPr>
            </w:pPr>
          </w:p>
        </w:tc>
        <w:tc>
          <w:tcPr>
            <w:tcW w:w="3945" w:type="dxa"/>
            <w:noWrap w:val="0"/>
            <w:vAlign w:val="top"/>
          </w:tcPr>
          <w:p w14:paraId="4AC08BAE">
            <w:pPr>
              <w:bidi w:val="0"/>
              <w:rPr>
                <w:sz w:val="21"/>
                <w:szCs w:val="21"/>
              </w:rPr>
            </w:pPr>
            <w:r>
              <w:rPr>
                <w:sz w:val="21"/>
                <w:szCs w:val="21"/>
              </w:rPr>
              <w:t>地</w:t>
            </w:r>
            <w:r>
              <w:rPr>
                <w:sz w:val="21"/>
                <w:szCs w:val="21"/>
              </w:rPr>
              <w:tab/>
            </w:r>
            <w:r>
              <w:rPr>
                <w:sz w:val="21"/>
                <w:szCs w:val="21"/>
              </w:rPr>
              <w:t>址：</w:t>
            </w:r>
          </w:p>
        </w:tc>
      </w:tr>
      <w:tr w14:paraId="1B1CB15C">
        <w:tblPrEx>
          <w:tblCellMar>
            <w:top w:w="0" w:type="dxa"/>
            <w:left w:w="0" w:type="dxa"/>
            <w:bottom w:w="0" w:type="dxa"/>
            <w:right w:w="0" w:type="dxa"/>
          </w:tblCellMar>
        </w:tblPrEx>
        <w:trPr>
          <w:trHeight w:val="372" w:hRule="atLeast"/>
        </w:trPr>
        <w:tc>
          <w:tcPr>
            <w:tcW w:w="2258" w:type="dxa"/>
            <w:noWrap w:val="0"/>
            <w:vAlign w:val="top"/>
          </w:tcPr>
          <w:p w14:paraId="1F93E49F">
            <w:pPr>
              <w:bidi w:val="0"/>
              <w:rPr>
                <w:sz w:val="21"/>
                <w:szCs w:val="21"/>
              </w:rPr>
            </w:pPr>
            <w:r>
              <w:rPr>
                <w:sz w:val="21"/>
                <w:szCs w:val="21"/>
              </w:rPr>
              <w:t>法定代表人</w:t>
            </w:r>
          </w:p>
        </w:tc>
        <w:tc>
          <w:tcPr>
            <w:tcW w:w="814" w:type="dxa"/>
            <w:noWrap w:val="0"/>
            <w:vAlign w:val="top"/>
          </w:tcPr>
          <w:p w14:paraId="0E62CE27">
            <w:pPr>
              <w:bidi w:val="0"/>
              <w:rPr>
                <w:sz w:val="21"/>
                <w:szCs w:val="21"/>
              </w:rPr>
            </w:pPr>
          </w:p>
        </w:tc>
        <w:tc>
          <w:tcPr>
            <w:tcW w:w="1221" w:type="dxa"/>
            <w:noWrap w:val="0"/>
            <w:vAlign w:val="top"/>
          </w:tcPr>
          <w:p w14:paraId="74316C5D">
            <w:pPr>
              <w:bidi w:val="0"/>
              <w:rPr>
                <w:sz w:val="21"/>
                <w:szCs w:val="21"/>
              </w:rPr>
            </w:pPr>
          </w:p>
        </w:tc>
        <w:tc>
          <w:tcPr>
            <w:tcW w:w="3945" w:type="dxa"/>
            <w:noWrap w:val="0"/>
            <w:vAlign w:val="top"/>
          </w:tcPr>
          <w:p w14:paraId="4A26E160">
            <w:pPr>
              <w:bidi w:val="0"/>
              <w:rPr>
                <w:sz w:val="21"/>
                <w:szCs w:val="21"/>
              </w:rPr>
            </w:pPr>
            <w:r>
              <w:rPr>
                <w:sz w:val="21"/>
                <w:szCs w:val="21"/>
              </w:rPr>
              <w:t>法定代表人</w:t>
            </w:r>
          </w:p>
        </w:tc>
      </w:tr>
      <w:tr w14:paraId="7AB2B4D9">
        <w:tblPrEx>
          <w:tblCellMar>
            <w:top w:w="0" w:type="dxa"/>
            <w:left w:w="0" w:type="dxa"/>
            <w:bottom w:w="0" w:type="dxa"/>
            <w:right w:w="0" w:type="dxa"/>
          </w:tblCellMar>
        </w:tblPrEx>
        <w:trPr>
          <w:trHeight w:val="372" w:hRule="atLeast"/>
        </w:trPr>
        <w:tc>
          <w:tcPr>
            <w:tcW w:w="2258" w:type="dxa"/>
            <w:noWrap w:val="0"/>
            <w:vAlign w:val="top"/>
          </w:tcPr>
          <w:p w14:paraId="4C5F3952">
            <w:pPr>
              <w:bidi w:val="0"/>
              <w:rPr>
                <w:sz w:val="21"/>
                <w:szCs w:val="21"/>
              </w:rPr>
            </w:pPr>
            <w:r>
              <w:rPr>
                <w:sz w:val="21"/>
                <w:szCs w:val="21"/>
              </w:rPr>
              <w:t>或委托代理人：</w:t>
            </w:r>
          </w:p>
        </w:tc>
        <w:tc>
          <w:tcPr>
            <w:tcW w:w="814" w:type="dxa"/>
            <w:noWrap w:val="0"/>
            <w:vAlign w:val="top"/>
          </w:tcPr>
          <w:p w14:paraId="152F07D3">
            <w:pPr>
              <w:bidi w:val="0"/>
              <w:rPr>
                <w:sz w:val="21"/>
                <w:szCs w:val="21"/>
              </w:rPr>
            </w:pPr>
          </w:p>
        </w:tc>
        <w:tc>
          <w:tcPr>
            <w:tcW w:w="1221" w:type="dxa"/>
            <w:noWrap w:val="0"/>
            <w:vAlign w:val="top"/>
          </w:tcPr>
          <w:p w14:paraId="0D4DED41">
            <w:pPr>
              <w:bidi w:val="0"/>
              <w:rPr>
                <w:sz w:val="21"/>
                <w:szCs w:val="21"/>
              </w:rPr>
            </w:pPr>
          </w:p>
        </w:tc>
        <w:tc>
          <w:tcPr>
            <w:tcW w:w="3945" w:type="dxa"/>
            <w:noWrap w:val="0"/>
            <w:vAlign w:val="top"/>
          </w:tcPr>
          <w:p w14:paraId="47391B79">
            <w:pPr>
              <w:bidi w:val="0"/>
              <w:rPr>
                <w:sz w:val="21"/>
                <w:szCs w:val="21"/>
              </w:rPr>
            </w:pPr>
            <w:r>
              <w:rPr>
                <w:sz w:val="21"/>
                <w:szCs w:val="21"/>
              </w:rPr>
              <w:t>或委托代理人：</w:t>
            </w:r>
          </w:p>
        </w:tc>
      </w:tr>
      <w:tr w14:paraId="5B365A3A">
        <w:tblPrEx>
          <w:tblCellMar>
            <w:top w:w="0" w:type="dxa"/>
            <w:left w:w="0" w:type="dxa"/>
            <w:bottom w:w="0" w:type="dxa"/>
            <w:right w:w="0" w:type="dxa"/>
          </w:tblCellMar>
        </w:tblPrEx>
        <w:trPr>
          <w:trHeight w:val="372" w:hRule="atLeast"/>
        </w:trPr>
        <w:tc>
          <w:tcPr>
            <w:tcW w:w="2258" w:type="dxa"/>
            <w:noWrap w:val="0"/>
            <w:vAlign w:val="top"/>
          </w:tcPr>
          <w:p w14:paraId="65F0F212">
            <w:pPr>
              <w:bidi w:val="0"/>
              <w:rPr>
                <w:sz w:val="21"/>
                <w:szCs w:val="21"/>
              </w:rPr>
            </w:pPr>
          </w:p>
        </w:tc>
        <w:tc>
          <w:tcPr>
            <w:tcW w:w="814" w:type="dxa"/>
            <w:noWrap w:val="0"/>
            <w:vAlign w:val="top"/>
          </w:tcPr>
          <w:p w14:paraId="09C0DDB8">
            <w:pPr>
              <w:bidi w:val="0"/>
              <w:rPr>
                <w:sz w:val="21"/>
                <w:szCs w:val="21"/>
              </w:rPr>
            </w:pPr>
          </w:p>
        </w:tc>
        <w:tc>
          <w:tcPr>
            <w:tcW w:w="1221" w:type="dxa"/>
            <w:noWrap w:val="0"/>
            <w:vAlign w:val="top"/>
          </w:tcPr>
          <w:p w14:paraId="46E56540">
            <w:pPr>
              <w:bidi w:val="0"/>
              <w:rPr>
                <w:sz w:val="21"/>
                <w:szCs w:val="21"/>
              </w:rPr>
            </w:pPr>
          </w:p>
        </w:tc>
        <w:tc>
          <w:tcPr>
            <w:tcW w:w="3945" w:type="dxa"/>
            <w:noWrap w:val="0"/>
            <w:vAlign w:val="top"/>
          </w:tcPr>
          <w:p w14:paraId="06D7FEB3">
            <w:pPr>
              <w:bidi w:val="0"/>
              <w:rPr>
                <w:sz w:val="21"/>
                <w:szCs w:val="21"/>
              </w:rPr>
            </w:pPr>
            <w:r>
              <w:rPr>
                <w:sz w:val="21"/>
                <w:szCs w:val="21"/>
              </w:rPr>
              <w:t>开户银行：</w:t>
            </w:r>
          </w:p>
        </w:tc>
      </w:tr>
      <w:tr w14:paraId="660C0AAB">
        <w:tblPrEx>
          <w:tblCellMar>
            <w:top w:w="0" w:type="dxa"/>
            <w:left w:w="0" w:type="dxa"/>
            <w:bottom w:w="0" w:type="dxa"/>
            <w:right w:w="0" w:type="dxa"/>
          </w:tblCellMar>
        </w:tblPrEx>
        <w:trPr>
          <w:trHeight w:val="372" w:hRule="atLeast"/>
        </w:trPr>
        <w:tc>
          <w:tcPr>
            <w:tcW w:w="2258" w:type="dxa"/>
            <w:noWrap w:val="0"/>
            <w:vAlign w:val="top"/>
          </w:tcPr>
          <w:p w14:paraId="2DB3820F">
            <w:pPr>
              <w:bidi w:val="0"/>
              <w:rPr>
                <w:sz w:val="21"/>
                <w:szCs w:val="21"/>
              </w:rPr>
            </w:pPr>
          </w:p>
        </w:tc>
        <w:tc>
          <w:tcPr>
            <w:tcW w:w="814" w:type="dxa"/>
            <w:noWrap w:val="0"/>
            <w:vAlign w:val="top"/>
          </w:tcPr>
          <w:p w14:paraId="2C3C0BCC">
            <w:pPr>
              <w:bidi w:val="0"/>
              <w:rPr>
                <w:sz w:val="21"/>
                <w:szCs w:val="21"/>
              </w:rPr>
            </w:pPr>
          </w:p>
        </w:tc>
        <w:tc>
          <w:tcPr>
            <w:tcW w:w="1221" w:type="dxa"/>
            <w:noWrap w:val="0"/>
            <w:vAlign w:val="top"/>
          </w:tcPr>
          <w:p w14:paraId="3F127728">
            <w:pPr>
              <w:bidi w:val="0"/>
              <w:rPr>
                <w:sz w:val="21"/>
                <w:szCs w:val="21"/>
              </w:rPr>
            </w:pPr>
          </w:p>
        </w:tc>
        <w:tc>
          <w:tcPr>
            <w:tcW w:w="3945" w:type="dxa"/>
            <w:noWrap w:val="0"/>
            <w:vAlign w:val="top"/>
          </w:tcPr>
          <w:p w14:paraId="1FF16A4E">
            <w:pPr>
              <w:bidi w:val="0"/>
              <w:rPr>
                <w:sz w:val="21"/>
                <w:szCs w:val="21"/>
              </w:rPr>
            </w:pPr>
            <w:r>
              <w:rPr>
                <w:sz w:val="21"/>
                <w:szCs w:val="21"/>
              </w:rPr>
              <w:t>账</w:t>
            </w:r>
            <w:r>
              <w:rPr>
                <w:sz w:val="21"/>
                <w:szCs w:val="21"/>
              </w:rPr>
              <w:tab/>
            </w:r>
            <w:r>
              <w:rPr>
                <w:sz w:val="21"/>
                <w:szCs w:val="21"/>
              </w:rPr>
              <w:t>号：</w:t>
            </w:r>
          </w:p>
        </w:tc>
      </w:tr>
      <w:tr w14:paraId="7D2C0670">
        <w:tblPrEx>
          <w:tblCellMar>
            <w:top w:w="0" w:type="dxa"/>
            <w:left w:w="0" w:type="dxa"/>
            <w:bottom w:w="0" w:type="dxa"/>
            <w:right w:w="0" w:type="dxa"/>
          </w:tblCellMar>
        </w:tblPrEx>
        <w:trPr>
          <w:trHeight w:val="372" w:hRule="atLeast"/>
        </w:trPr>
        <w:tc>
          <w:tcPr>
            <w:tcW w:w="2258" w:type="dxa"/>
            <w:noWrap w:val="0"/>
            <w:vAlign w:val="top"/>
          </w:tcPr>
          <w:p w14:paraId="087580EC">
            <w:pPr>
              <w:bidi w:val="0"/>
              <w:rPr>
                <w:sz w:val="21"/>
                <w:szCs w:val="21"/>
              </w:rPr>
            </w:pPr>
            <w:r>
              <w:rPr>
                <w:sz w:val="21"/>
                <w:szCs w:val="21"/>
              </w:rPr>
              <w:t>联系电话：</w:t>
            </w:r>
          </w:p>
        </w:tc>
        <w:tc>
          <w:tcPr>
            <w:tcW w:w="814" w:type="dxa"/>
            <w:noWrap w:val="0"/>
            <w:vAlign w:val="top"/>
          </w:tcPr>
          <w:p w14:paraId="0EE921CA">
            <w:pPr>
              <w:bidi w:val="0"/>
              <w:rPr>
                <w:sz w:val="21"/>
                <w:szCs w:val="21"/>
              </w:rPr>
            </w:pPr>
          </w:p>
        </w:tc>
        <w:tc>
          <w:tcPr>
            <w:tcW w:w="1221" w:type="dxa"/>
            <w:noWrap w:val="0"/>
            <w:vAlign w:val="top"/>
          </w:tcPr>
          <w:p w14:paraId="45EB39A1">
            <w:pPr>
              <w:bidi w:val="0"/>
              <w:rPr>
                <w:sz w:val="21"/>
                <w:szCs w:val="21"/>
              </w:rPr>
            </w:pPr>
          </w:p>
        </w:tc>
        <w:tc>
          <w:tcPr>
            <w:tcW w:w="3945" w:type="dxa"/>
            <w:noWrap w:val="0"/>
            <w:vAlign w:val="top"/>
          </w:tcPr>
          <w:p w14:paraId="0B3BFD61">
            <w:pPr>
              <w:bidi w:val="0"/>
              <w:rPr>
                <w:sz w:val="21"/>
                <w:szCs w:val="21"/>
              </w:rPr>
            </w:pPr>
            <w:r>
              <w:rPr>
                <w:sz w:val="21"/>
                <w:szCs w:val="21"/>
              </w:rPr>
              <w:t>联系电话：</w:t>
            </w:r>
          </w:p>
        </w:tc>
      </w:tr>
      <w:tr w14:paraId="3892F3BF">
        <w:tblPrEx>
          <w:tblCellMar>
            <w:top w:w="0" w:type="dxa"/>
            <w:left w:w="0" w:type="dxa"/>
            <w:bottom w:w="0" w:type="dxa"/>
            <w:right w:w="0" w:type="dxa"/>
          </w:tblCellMar>
        </w:tblPrEx>
        <w:trPr>
          <w:trHeight w:val="281" w:hRule="atLeast"/>
        </w:trPr>
        <w:tc>
          <w:tcPr>
            <w:tcW w:w="2258" w:type="dxa"/>
            <w:noWrap w:val="0"/>
            <w:vAlign w:val="top"/>
          </w:tcPr>
          <w:p w14:paraId="31133C5F">
            <w:pPr>
              <w:bidi w:val="0"/>
              <w:rPr>
                <w:sz w:val="21"/>
                <w:szCs w:val="21"/>
              </w:rPr>
            </w:pPr>
            <w:r>
              <w:rPr>
                <w:sz w:val="21"/>
                <w:szCs w:val="21"/>
              </w:rPr>
              <w:t>签订日期：年</w:t>
            </w:r>
          </w:p>
        </w:tc>
        <w:tc>
          <w:tcPr>
            <w:tcW w:w="814" w:type="dxa"/>
            <w:noWrap w:val="0"/>
            <w:vAlign w:val="top"/>
          </w:tcPr>
          <w:p w14:paraId="4F4052FA">
            <w:pPr>
              <w:bidi w:val="0"/>
              <w:rPr>
                <w:sz w:val="21"/>
                <w:szCs w:val="21"/>
              </w:rPr>
            </w:pPr>
            <w:r>
              <w:rPr>
                <w:sz w:val="21"/>
                <w:szCs w:val="21"/>
              </w:rPr>
              <w:t>月</w:t>
            </w:r>
          </w:p>
        </w:tc>
        <w:tc>
          <w:tcPr>
            <w:tcW w:w="1221" w:type="dxa"/>
            <w:noWrap w:val="0"/>
            <w:vAlign w:val="top"/>
          </w:tcPr>
          <w:p w14:paraId="52932D13">
            <w:pPr>
              <w:bidi w:val="0"/>
              <w:rPr>
                <w:sz w:val="21"/>
                <w:szCs w:val="21"/>
              </w:rPr>
            </w:pPr>
            <w:r>
              <w:rPr>
                <w:sz w:val="21"/>
                <w:szCs w:val="21"/>
              </w:rPr>
              <w:t>日</w:t>
            </w:r>
          </w:p>
        </w:tc>
        <w:tc>
          <w:tcPr>
            <w:tcW w:w="3945" w:type="dxa"/>
            <w:noWrap w:val="0"/>
            <w:vAlign w:val="top"/>
          </w:tcPr>
          <w:p w14:paraId="04968CF3">
            <w:pPr>
              <w:bidi w:val="0"/>
              <w:rPr>
                <w:sz w:val="21"/>
                <w:szCs w:val="21"/>
              </w:rPr>
            </w:pPr>
            <w:r>
              <w:rPr>
                <w:sz w:val="21"/>
                <w:szCs w:val="21"/>
              </w:rPr>
              <w:t>签订日期：年</w:t>
            </w:r>
            <w:r>
              <w:rPr>
                <w:sz w:val="21"/>
                <w:szCs w:val="21"/>
              </w:rPr>
              <w:tab/>
            </w:r>
            <w:r>
              <w:rPr>
                <w:sz w:val="21"/>
                <w:szCs w:val="21"/>
              </w:rPr>
              <w:t>月</w:t>
            </w:r>
            <w:r>
              <w:rPr>
                <w:sz w:val="21"/>
                <w:szCs w:val="21"/>
              </w:rPr>
              <w:tab/>
            </w:r>
            <w:r>
              <w:rPr>
                <w:sz w:val="21"/>
                <w:szCs w:val="21"/>
              </w:rPr>
              <w:t>日</w:t>
            </w:r>
          </w:p>
        </w:tc>
      </w:tr>
    </w:tbl>
    <w:p w14:paraId="44FD4099"/>
    <w:p w14:paraId="7A1D16CD">
      <w:pPr>
        <w:spacing w:line="560" w:lineRule="exact"/>
        <w:ind w:firstLine="720" w:firstLineChars="200"/>
        <w:rPr>
          <w:rFonts w:hint="eastAsia" w:ascii="宋体" w:eastAsia="宋体" w:cs="宋体"/>
          <w:bCs/>
          <w:sz w:val="36"/>
          <w:szCs w:val="36"/>
          <w:highlight w:val="none"/>
        </w:rPr>
      </w:pPr>
      <w:r>
        <w:rPr>
          <w:rFonts w:hint="eastAsia" w:ascii="宋体" w:eastAsia="宋体" w:cs="宋体"/>
          <w:bCs/>
          <w:sz w:val="36"/>
          <w:szCs w:val="36"/>
          <w:highlight w:val="none"/>
        </w:rPr>
        <w:br w:type="page"/>
      </w:r>
    </w:p>
    <w:p w14:paraId="7F56F9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0"/>
        <w:rPr>
          <w:rFonts w:hint="default"/>
          <w:b/>
          <w:bCs/>
          <w:lang w:val="en-US" w:eastAsia="zh-CN"/>
        </w:rPr>
      </w:pPr>
      <w:bookmarkStart w:id="165" w:name="_Toc31075"/>
      <w:bookmarkStart w:id="166" w:name="_Toc174611785"/>
      <w:bookmarkStart w:id="167" w:name="_Toc25896"/>
      <w:r>
        <w:rPr>
          <w:rFonts w:hint="eastAsia"/>
          <w:b/>
          <w:bCs/>
          <w:lang w:val="en-US" w:eastAsia="zh-CN"/>
        </w:rPr>
        <w:t>第五章 招标内容及技术要求</w:t>
      </w:r>
      <w:bookmarkEnd w:id="165"/>
    </w:p>
    <w:p w14:paraId="71E626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sz w:val="21"/>
          <w:szCs w:val="21"/>
          <w:highlight w:val="none"/>
        </w:rPr>
      </w:pPr>
      <w:r>
        <w:rPr>
          <w:rFonts w:hint="eastAsia"/>
          <w:sz w:val="21"/>
          <w:szCs w:val="21"/>
          <w:highlight w:val="none"/>
          <w:lang w:val="en-US" w:eastAsia="zh-CN"/>
        </w:rPr>
        <w:t>一、</w:t>
      </w:r>
      <w:r>
        <w:rPr>
          <w:rFonts w:hint="eastAsia"/>
          <w:sz w:val="21"/>
          <w:szCs w:val="21"/>
          <w:highlight w:val="none"/>
        </w:rPr>
        <w:t>项目建设背景</w:t>
      </w:r>
      <w:bookmarkEnd w:id="166"/>
    </w:p>
    <w:p w14:paraId="254CF8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rPr>
        <w:t>在国家全面深化医药卫生体制改革的大背景下，紧密结合《深化医药卫生体制改革2024年重点工作任务》等系列政策文件的指导精神，致力于推动公立医院实现从规模扩张向内涵式、质量效益型转变。项目的核心目标是通过政策引导、资源配置、能力提升和服务创新，促进公立医院服务能力的整体提升，以满足人民群众日益增长的健康需求。</w:t>
      </w:r>
    </w:p>
    <w:p w14:paraId="14E4A9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rPr>
        <w:t>项目积极响应《关于进一步健全机制推动城市医疗资源向县级医院和城乡基层下沉的通知》，通过加强县级医院和基层医疗卫生机构的服务能力，推动优质医疗资源下沉，实现医疗服务的均衡布局。</w:t>
      </w:r>
    </w:p>
    <w:p w14:paraId="234F01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rPr>
        <w:t>项目实施过程中，将充分利用《关于实施“优质服务基层行”活动和社区医院建设三年行动的通知》所提供的指导，提升基层医疗服务的质量和效率，加强社区医院建设，推动基层医疗卫生服务的全面发展。同时，项目将获得《关于组织申报2023年中央财政支持公立医院改革与高质量发展示范项目的通知》中明确的中央财政支持，确保改革措施的有效实施。</w:t>
      </w:r>
    </w:p>
    <w:p w14:paraId="2908FE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rPr>
        <w:t>总体而言，公立医院改革与高质量发展示范项目在我国医疗卫生服务体系建设的关键时期，通过顶层设计和政策支持，推动公立医院在管理体制、运行机制、服务模式等方面进行系统性改革，以期实现医疗服务质量的全面提升，更好地满足人民群众的健康需求，为健康中国建设贡献力量。</w:t>
      </w:r>
    </w:p>
    <w:p w14:paraId="59265F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rPr>
        <w:t>洛川县位于陕西省延安市南部，地处黄土高原沟壑区，因洛河穿境而得名，因“洛川会议”而闻名，因洛川苹果而驰名。全县总面积1804平方公里，总耕地面积64万亩，辖8镇1个街道办196个行政村，总人口20.16万人，其中农业人口11.15万人。是全国著名的“苹果之乡”“民间艺术之乡”和陕西省“一县一业”示范县。洛川先后获评“全省县城建设示范县”“全国人居环境整治示范县”“国家首批农业现代化示范区”“全国电子商务进农村示范县”等多项殊荣。</w:t>
      </w:r>
    </w:p>
    <w:p w14:paraId="302949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bookmarkStart w:id="168" w:name="_Toc174611786"/>
      <w:r>
        <w:rPr>
          <w:rFonts w:hint="eastAsia"/>
          <w:sz w:val="21"/>
          <w:szCs w:val="21"/>
          <w:highlight w:val="none"/>
          <w:lang w:val="en-US" w:eastAsia="zh-CN"/>
        </w:rPr>
        <w:t>二、</w:t>
      </w:r>
      <w:r>
        <w:rPr>
          <w:rFonts w:hint="eastAsia"/>
          <w:sz w:val="21"/>
          <w:szCs w:val="21"/>
          <w:highlight w:val="none"/>
        </w:rPr>
        <w:t>建设单位概况</w:t>
      </w:r>
      <w:bookmarkEnd w:id="168"/>
    </w:p>
    <w:p w14:paraId="3AFF05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rPr>
        <w:t>项目建设单位为洛川县卫生健康局，是洛川县人民政府主管卫生事业工作的政府机构。主要职责及业务范围包括：</w:t>
      </w:r>
    </w:p>
    <w:p w14:paraId="647CDC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rPr>
        <w:t>（一）贯彻执行中、省、市健康工作的法律法规和政策规定，组织拟订全县国民健康政策，协调推进健康洛川战略实施；拟订卫生健康事业发展地方性法规、规章草案，拟订全县卫生健康规划和政策措施，制定卫生健康地方标准和技术规范并组织实施；统筹规划全县卫生健康资源配置；指导全县卫生健康规划编制和实施；制定实施推进卫生健康基本公共服务均等化、普惠化、便捷化和公共资源向基层延伸等政策措施。</w:t>
      </w:r>
    </w:p>
    <w:p w14:paraId="252246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rPr>
        <w:t>（二）协调推进全县深化医药卫生体制改革，贯彻落实中、省、市深化医药卫生体制改革的重大方针政策；研究提出全县深化医药卫生体制改革政策、措施的建议；牵头组织实施医药卫生体制综合改革，健全现代医院管理制度；制定并实施推动卫生健康公共服务提供主体多元化、方式多样化的政策措施。提出全县医疗服务和药品价格政策的建议。</w:t>
      </w:r>
    </w:p>
    <w:p w14:paraId="2EE545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rPr>
        <w:t>（三）贯彻落实国家免疫规划，制定并组织落实全县疾病预防控制规划；制定并组织落实地方病、传染病、慢性病等严重危害人民健康公共卫生问题的干预措施；负责全县卫生应急工作，组织和指导全县突发公共卫生事件预防控制和各类突发公共事件的医疗卫生救援。负责国家和地方食品安全标准的宣传贯彻、追踪评价和技术咨询等工作，组织实施食品安全风险监测。</w:t>
      </w:r>
    </w:p>
    <w:p w14:paraId="2CBB1E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rPr>
        <w:t>（四）组织拟订并协调落实全县应对人口老龄化政策措施；负责推进全县老年健康服务体系建设和医养结合工作；推动老龄服务事业和产业发展，促进医疗与旅游、体育、食品和互联网等行业深度融合。</w:t>
      </w:r>
    </w:p>
    <w:p w14:paraId="217EBC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rPr>
        <w:t>（五）贯彻落实中、省、市药物政策，执行国家药品法典和国家基本药物目录；组织开展药品使用监测、合理用药、临床综合评价和短缺药品监测预警；会同有关部门提出县内药品生产鼓励扶持政策的建议；负责医疗机构药品，医用耗材配送、合理使用的监管，拟订短缺药品供应保障政策并协调实施。</w:t>
      </w:r>
    </w:p>
    <w:p w14:paraId="161E4A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rPr>
        <w:t>（六）负责开展职责范围内的职业卫生、放射卫生、环境卫生、学校卫生、公共场所卫生、饮用水卫生的监督管理；负责传染病防治监督；建立健全卫生健康综合监督体系，监督检查卫生健康相关法律法规和政策措施的落实。</w:t>
      </w:r>
    </w:p>
    <w:p w14:paraId="232019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rPr>
        <w:t>（七）负责全县医疗机构医疗服务的全行业监督管理，组织实施中省市关于医疗机构及医务人员执业标准、医疗服务、医疗技术、医疗质量、医疗安全、采供血等管理规范，并组织督促检查和评估；会同有关部门贯彻执行卫生健康专业技术人员资格准入标准；负责管理全县医疗救护工作；负责建立全县医疗机构医疗服务评价和监督体系并组织实施；制定和实施全县医疗卫生职业道德规范和制度，开展职业道德教育。</w:t>
      </w:r>
    </w:p>
    <w:p w14:paraId="218CDD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rPr>
        <w:t>（八）贯彻落实计划生育政策，负责全县计划生育管理和服务工作；开展人口监测预警，研究提出人口与家庭发展相关政策建议；制定优生优育和提高出生人口素质的政策措施并组织实施。</w:t>
      </w:r>
    </w:p>
    <w:p w14:paraId="3421C8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rPr>
        <w:t>（九）拟订并组织实施全县基层卫生健康服务、妇幼健康发展规划和政策措施，指导基层医疗卫生、妇幼健康服务体系建设；建立健全基层卫生健康机构运行新机制和乡村医生管理制度；负责推动全县公共卫生服务均等化。</w:t>
      </w:r>
    </w:p>
    <w:p w14:paraId="0F08A6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rPr>
        <w:t>（十）组织拟订全县卫生健康人才发展和科技发展规划，指导卫生健康人才队伍建设，推进卫生健康科技创新发展；配合市卫生健康委开展国家住院医师、专科医师和全科医生规范化培训等毕业后医学教育和医学继续教育。</w:t>
      </w:r>
    </w:p>
    <w:p w14:paraId="59DD2C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rPr>
        <w:t>（十一）拟订全县健康促进与教育和爱国卫生工作规划、标准、规范，组织开展健康促进与教育活动，承担卫生健康科学普及工作；开展相关领域健康评价，推动健康融入政策落实；牵头《烟草控制框架公约》履约工作。</w:t>
      </w:r>
    </w:p>
    <w:p w14:paraId="150F5D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rPr>
        <w:t>（十二）负责县保健对象的医疗保健工作；承办县委、县政府委托或指定的有关保健医疗方面的工作任务及相关事项；负责在洛召开的重要会议、重大活动的医疗卫生保障工作。</w:t>
      </w:r>
    </w:p>
    <w:p w14:paraId="09792B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rPr>
        <w:t>（十三）贯彻中西医并重的方针，制定实施全县中医药事业发展规划；负责指导和管理全县中医药、中西医结合工作，推进中医药传承、创新与发展。</w:t>
      </w:r>
    </w:p>
    <w:p w14:paraId="08942E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rPr>
        <w:t>（十四）负责卫生健康信息化建设，拟订全县卫生健康信息化发展规划并组织实施，参与县人口基础信息库建设。组织开展卫生健康统计工作，依法实施卫生健康统计调查，承担卫生健康统计信息发布工作。</w:t>
      </w:r>
    </w:p>
    <w:p w14:paraId="37CC8C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rPr>
        <w:t>（十五）监督指导县级公立医院贯彻落实党的卫生与健康工作方针，贯彻落实深化医药卫生体制改革政策措施，坚持公立医院公益性，确保公立医院改革发展正确方向；领导所属县级公立医院党建工作，负责全县公立医院党建工作的指导、监督和检查，监督推动党委领导下的院长负责制落实；指导所属社会组织和民营医疗机构党建工作。</w:t>
      </w:r>
    </w:p>
    <w:p w14:paraId="3D3ECF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rPr>
        <w:t>（十六）负责卫生健康项目管理和行业领域安全生产监督管理工作。</w:t>
      </w:r>
    </w:p>
    <w:p w14:paraId="2DAC24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rPr>
        <w:t>（十七）承担健康洛川建设工作委员会办公室、县深化医药卫生体制改革领导小组办公室、县计划生育工作领导小组办公室、县地方病防治领导小组办公室、县老龄工作委员会的日常工作；指导县计划生育协会业务工作。</w:t>
      </w:r>
    </w:p>
    <w:p w14:paraId="3FFBF8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rPr>
        <w:t>（十八）完成县委、县政府交办的其他任务。</w:t>
      </w:r>
    </w:p>
    <w:p w14:paraId="01769A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lang w:val="en-US" w:eastAsia="zh-CN"/>
        </w:rPr>
      </w:pPr>
      <w:r>
        <w:rPr>
          <w:rFonts w:hint="eastAsia"/>
          <w:sz w:val="21"/>
          <w:szCs w:val="21"/>
          <w:highlight w:val="none"/>
          <w:lang w:val="en-US" w:eastAsia="zh-CN"/>
        </w:rPr>
        <w:t>三、服务内容</w:t>
      </w:r>
    </w:p>
    <w:p w14:paraId="4308E6C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sz w:val="21"/>
          <w:szCs w:val="21"/>
          <w:highlight w:val="none"/>
          <w:lang w:val="en-US" w:eastAsia="zh-CN"/>
        </w:rPr>
      </w:pPr>
      <w:r>
        <w:rPr>
          <w:rFonts w:hint="eastAsia"/>
          <w:b/>
          <w:bCs/>
          <w:sz w:val="21"/>
          <w:szCs w:val="21"/>
          <w:highlight w:val="none"/>
        </w:rPr>
        <w:t>合同包1(公立医院改革与高质量发展示范项目紧密型医共体制度建设)</w:t>
      </w:r>
      <w:r>
        <w:rPr>
          <w:rFonts w:hint="eastAsia"/>
          <w:b/>
          <w:bCs/>
          <w:sz w:val="21"/>
          <w:szCs w:val="21"/>
          <w:highlight w:val="none"/>
          <w:lang w:val="en-US" w:eastAsia="zh-CN"/>
        </w:rPr>
        <w:t>:</w:t>
      </w:r>
    </w:p>
    <w:p w14:paraId="5F853E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lang w:val="en-US" w:eastAsia="zh-CN"/>
        </w:rPr>
      </w:pPr>
      <w:r>
        <w:rPr>
          <w:rFonts w:hint="eastAsia"/>
          <w:sz w:val="21"/>
          <w:szCs w:val="21"/>
          <w:highlight w:val="none"/>
          <w:lang w:val="en-US" w:eastAsia="zh-CN"/>
        </w:rPr>
        <w:t>建设制度：设计符合医共体建设要求的各项制度，医疗服务流程、质量控制标准、患者安全监管、人员管理、财务管理、绩效考核等制度。</w:t>
      </w:r>
    </w:p>
    <w:p w14:paraId="33111D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840" w:firstLineChars="400"/>
        <w:textAlignment w:val="auto"/>
        <w:rPr>
          <w:rFonts w:hint="eastAsia"/>
          <w:sz w:val="21"/>
          <w:szCs w:val="21"/>
          <w:highlight w:val="none"/>
        </w:rPr>
      </w:pPr>
      <w:r>
        <w:rPr>
          <w:rFonts w:hint="eastAsia"/>
          <w:sz w:val="21"/>
          <w:szCs w:val="21"/>
          <w:highlight w:val="none"/>
          <w:lang w:val="en-US" w:eastAsia="zh-CN"/>
        </w:rPr>
        <w:t>本项目涉及医共体所有成员单位，包括牵头医院（县医院），县级分院2个：（县中医医院、县妇幼保健院）和基层分院16个（乡镇卫生院、社区卫生服务中心、防保站）。</w:t>
      </w:r>
      <w:r>
        <w:rPr>
          <w:rFonts w:hint="eastAsia"/>
          <w:sz w:val="21"/>
          <w:szCs w:val="21"/>
          <w:highlight w:val="none"/>
        </w:rPr>
        <w:t>对设计的制度进行评审</w:t>
      </w:r>
      <w:r>
        <w:rPr>
          <w:rFonts w:hint="eastAsia"/>
          <w:sz w:val="21"/>
          <w:szCs w:val="21"/>
          <w:highlight w:val="none"/>
          <w:lang w:val="en-US" w:eastAsia="zh-CN"/>
        </w:rPr>
        <w:t>后</w:t>
      </w:r>
      <w:r>
        <w:rPr>
          <w:rFonts w:hint="eastAsia"/>
          <w:sz w:val="21"/>
          <w:szCs w:val="21"/>
          <w:highlight w:val="none"/>
        </w:rPr>
        <w:t>，确保制度的合理性和可行性。</w:t>
      </w:r>
    </w:p>
    <w:p w14:paraId="3DF07B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840" w:firstLineChars="400"/>
        <w:textAlignment w:val="auto"/>
        <w:rPr>
          <w:rFonts w:hint="eastAsia"/>
          <w:sz w:val="21"/>
          <w:szCs w:val="21"/>
          <w:highlight w:val="none"/>
          <w:lang w:val="en-US" w:eastAsia="zh-CN"/>
        </w:rPr>
      </w:pPr>
      <w:r>
        <w:rPr>
          <w:rFonts w:hint="eastAsia"/>
          <w:sz w:val="21"/>
          <w:szCs w:val="21"/>
          <w:highlight w:val="none"/>
        </w:rPr>
        <w:t>将新制度推广到所有乡镇卫生院，确保制度得到有效执行。监测制度的执行情况，评估制度的效果，并根据需要进行调整。</w:t>
      </w:r>
    </w:p>
    <w:p w14:paraId="32401E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lang w:eastAsia="zh-CN"/>
        </w:rPr>
      </w:pPr>
      <w:r>
        <w:rPr>
          <w:rFonts w:hint="eastAsia"/>
          <w:sz w:val="21"/>
          <w:szCs w:val="21"/>
          <w:highlight w:val="none"/>
        </w:rPr>
        <w:t>合同包</w:t>
      </w:r>
      <w:r>
        <w:rPr>
          <w:rFonts w:hint="eastAsia"/>
          <w:sz w:val="21"/>
          <w:szCs w:val="21"/>
          <w:highlight w:val="none"/>
          <w:lang w:val="en-US" w:eastAsia="zh-CN"/>
        </w:rPr>
        <w:t>2</w:t>
      </w:r>
      <w:r>
        <w:rPr>
          <w:rFonts w:hint="eastAsia"/>
          <w:sz w:val="21"/>
          <w:szCs w:val="21"/>
          <w:highlight w:val="none"/>
        </w:rPr>
        <w:t>(公立医院改革与高质量发展示范项目紧密型医共体人才培训)</w:t>
      </w:r>
      <w:r>
        <w:rPr>
          <w:rFonts w:hint="eastAsia"/>
          <w:sz w:val="21"/>
          <w:szCs w:val="21"/>
          <w:highlight w:val="none"/>
          <w:lang w:eastAsia="zh-CN"/>
        </w:rPr>
        <w:t>：</w:t>
      </w:r>
    </w:p>
    <w:p w14:paraId="6BAFAB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lang w:val="en-US" w:eastAsia="zh-CN"/>
        </w:rPr>
      </w:pPr>
      <w:r>
        <w:rPr>
          <w:rFonts w:hint="eastAsia"/>
          <w:sz w:val="21"/>
          <w:szCs w:val="21"/>
          <w:highlight w:val="none"/>
          <w:lang w:val="en-US" w:eastAsia="zh-CN"/>
        </w:rPr>
        <w:t>（1）培训人员：医共体内各级医疗机构的医护、药师、检验师、技师和行政管理人员，县级医院的专科医生、科室负责人、行政管理人员、等管理干部以及医共体管理人员等。</w:t>
      </w:r>
    </w:p>
    <w:p w14:paraId="43EF7C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lang w:val="en-US" w:eastAsia="zh-CN"/>
        </w:rPr>
        <w:t>（2）培训内容</w:t>
      </w:r>
    </w:p>
    <w:p w14:paraId="5D8BC1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sz w:val="21"/>
          <w:szCs w:val="21"/>
          <w:highlight w:val="none"/>
          <w:lang w:val="en-US" w:eastAsia="zh-CN"/>
        </w:rPr>
      </w:pPr>
      <w:r>
        <w:rPr>
          <w:rFonts w:hint="eastAsia"/>
          <w:sz w:val="21"/>
          <w:szCs w:val="21"/>
          <w:highlight w:val="none"/>
          <w:lang w:val="en-US" w:eastAsia="zh-CN"/>
        </w:rPr>
        <w:t>&lt;1&gt;</w:t>
      </w:r>
      <w:r>
        <w:rPr>
          <w:rFonts w:hint="eastAsia"/>
          <w:sz w:val="21"/>
          <w:szCs w:val="21"/>
          <w:highlight w:val="none"/>
          <w:lang w:eastAsia="zh-CN"/>
        </w:rPr>
        <w:t>医疗</w:t>
      </w:r>
      <w:r>
        <w:rPr>
          <w:rFonts w:hint="eastAsia"/>
          <w:sz w:val="21"/>
          <w:szCs w:val="21"/>
          <w:highlight w:val="none"/>
        </w:rPr>
        <w:t>技能</w:t>
      </w:r>
      <w:r>
        <w:rPr>
          <w:rFonts w:hint="eastAsia"/>
          <w:sz w:val="21"/>
          <w:szCs w:val="21"/>
          <w:highlight w:val="none"/>
          <w:lang w:eastAsia="zh-CN"/>
        </w:rPr>
        <w:t>提升</w:t>
      </w:r>
      <w:r>
        <w:rPr>
          <w:rFonts w:hint="eastAsia"/>
          <w:sz w:val="21"/>
          <w:szCs w:val="21"/>
          <w:highlight w:val="none"/>
        </w:rPr>
        <w:t>培训</w:t>
      </w:r>
      <w:r>
        <w:rPr>
          <w:rFonts w:hint="eastAsia"/>
          <w:sz w:val="21"/>
          <w:szCs w:val="21"/>
          <w:highlight w:val="none"/>
          <w:lang w:eastAsia="zh-CN"/>
        </w:rPr>
        <w:t>：</w:t>
      </w:r>
      <w:r>
        <w:rPr>
          <w:rFonts w:hint="eastAsia"/>
          <w:sz w:val="21"/>
          <w:szCs w:val="21"/>
          <w:highlight w:val="none"/>
          <w:lang w:val="en-US" w:eastAsia="zh-CN"/>
        </w:rPr>
        <w:t>包括临床诊疗技术、护理技能、药学服务和检验技术等。</w:t>
      </w:r>
    </w:p>
    <w:p w14:paraId="5388CC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lang w:val="en-US" w:eastAsia="zh-CN"/>
        </w:rPr>
        <w:t>&lt;2&gt;医院管理能力培训：包括</w:t>
      </w:r>
      <w:r>
        <w:rPr>
          <w:rFonts w:hint="eastAsia"/>
          <w:sz w:val="21"/>
          <w:szCs w:val="21"/>
          <w:highlight w:val="none"/>
        </w:rPr>
        <w:t>医院战略管理</w:t>
      </w:r>
      <w:r>
        <w:rPr>
          <w:rFonts w:hint="eastAsia"/>
          <w:sz w:val="21"/>
          <w:szCs w:val="21"/>
          <w:highlight w:val="none"/>
          <w:lang w:eastAsia="zh-CN"/>
        </w:rPr>
        <w:t>、</w:t>
      </w:r>
      <w:r>
        <w:rPr>
          <w:rFonts w:hint="eastAsia"/>
          <w:sz w:val="21"/>
          <w:szCs w:val="21"/>
          <w:highlight w:val="none"/>
        </w:rPr>
        <w:t>医疗质量管理</w:t>
      </w:r>
      <w:r>
        <w:rPr>
          <w:rFonts w:hint="eastAsia"/>
          <w:sz w:val="21"/>
          <w:szCs w:val="21"/>
          <w:highlight w:val="none"/>
          <w:lang w:eastAsia="zh-CN"/>
        </w:rPr>
        <w:t>、</w:t>
      </w:r>
      <w:r>
        <w:rPr>
          <w:rFonts w:hint="eastAsia"/>
          <w:sz w:val="21"/>
          <w:szCs w:val="21"/>
          <w:highlight w:val="none"/>
        </w:rPr>
        <w:t>人力资源管理</w:t>
      </w:r>
      <w:r>
        <w:rPr>
          <w:rFonts w:hint="eastAsia"/>
          <w:sz w:val="21"/>
          <w:szCs w:val="21"/>
          <w:highlight w:val="none"/>
          <w:lang w:val="en-US" w:eastAsia="zh-CN"/>
        </w:rPr>
        <w:t>和</w:t>
      </w:r>
      <w:r>
        <w:rPr>
          <w:rFonts w:hint="eastAsia"/>
          <w:sz w:val="21"/>
          <w:szCs w:val="21"/>
          <w:highlight w:val="none"/>
        </w:rPr>
        <w:t>财务管理</w:t>
      </w:r>
      <w:r>
        <w:rPr>
          <w:rFonts w:hint="eastAsia"/>
          <w:sz w:val="21"/>
          <w:szCs w:val="21"/>
          <w:highlight w:val="none"/>
          <w:lang w:val="en-US" w:eastAsia="zh-CN"/>
        </w:rPr>
        <w:t>等</w:t>
      </w:r>
      <w:r>
        <w:rPr>
          <w:rFonts w:hint="eastAsia"/>
          <w:sz w:val="21"/>
          <w:szCs w:val="21"/>
          <w:highlight w:val="none"/>
        </w:rPr>
        <w:t>。</w:t>
      </w:r>
    </w:p>
    <w:p w14:paraId="7D4CD5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lang w:val="en-US" w:eastAsia="zh-CN"/>
        </w:rPr>
        <w:t>&lt;3&gt;团队协作与沟通培训：</w:t>
      </w:r>
      <w:r>
        <w:rPr>
          <w:rFonts w:hint="eastAsia"/>
          <w:sz w:val="21"/>
          <w:szCs w:val="21"/>
          <w:highlight w:val="none"/>
        </w:rPr>
        <w:t>通过拓展训练、案例分析、角色扮演等方式，提升团队成员之间的沟通协作能力，加强不同科室、不同层级人员之间的信息交流和协同工作能力。</w:t>
      </w:r>
    </w:p>
    <w:p w14:paraId="538740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lang w:val="en-US" w:eastAsia="zh-CN"/>
        </w:rPr>
        <w:t>&lt;4&gt;服务意识与医患沟通培训：</w:t>
      </w:r>
      <w:r>
        <w:rPr>
          <w:rFonts w:hint="eastAsia"/>
          <w:sz w:val="21"/>
          <w:szCs w:val="21"/>
          <w:highlight w:val="none"/>
        </w:rPr>
        <w:t>开展医患沟通技巧、患者心理分析、人文关怀等方面的培训，提高医务人员与患者的沟通能力，改善医患关系。</w:t>
      </w:r>
    </w:p>
    <w:p w14:paraId="0A707F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lang w:val="en-US" w:eastAsia="zh-CN"/>
        </w:rPr>
        <w:t>&lt;5&gt;信息化管理培训：</w:t>
      </w:r>
      <w:r>
        <w:rPr>
          <w:rFonts w:hint="eastAsia"/>
          <w:sz w:val="21"/>
          <w:szCs w:val="21"/>
          <w:highlight w:val="none"/>
        </w:rPr>
        <w:t>了解信息管理的基本知识，包括信息系统、数据管理、信息安全等，提高管理层的信息化素养。</w:t>
      </w:r>
    </w:p>
    <w:p w14:paraId="1F083A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lang w:val="en-US" w:eastAsia="zh-CN"/>
        </w:rPr>
        <w:t>(3)培训方式</w:t>
      </w:r>
    </w:p>
    <w:p w14:paraId="5B4F44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lang w:val="en-US" w:eastAsia="zh-CN"/>
        </w:rPr>
        <w:t>a.</w:t>
      </w:r>
      <w:r>
        <w:rPr>
          <w:rFonts w:hint="eastAsia"/>
          <w:sz w:val="21"/>
          <w:szCs w:val="21"/>
          <w:highlight w:val="none"/>
        </w:rPr>
        <w:t>集中授课：邀请省内外知名专家、学者到医共体进行现场讲座，系统讲解专业知识和管理理念。</w:t>
      </w:r>
    </w:p>
    <w:p w14:paraId="4DE870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lang w:val="en-US" w:eastAsia="zh-CN"/>
        </w:rPr>
        <w:t>b.</w:t>
      </w:r>
      <w:r>
        <w:rPr>
          <w:rFonts w:hint="eastAsia"/>
          <w:sz w:val="21"/>
          <w:szCs w:val="21"/>
          <w:highlight w:val="none"/>
        </w:rPr>
        <w:t>进修学习：选派优秀的卫生技术人员和管理干部到上级医院或先进医共体进行短期进修，学习先进的技术和管理经验。</w:t>
      </w:r>
    </w:p>
    <w:p w14:paraId="53090A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lang w:val="en-US" w:eastAsia="zh-CN"/>
        </w:rPr>
        <w:t>c.</w:t>
      </w:r>
      <w:r>
        <w:rPr>
          <w:rFonts w:hint="eastAsia"/>
          <w:sz w:val="21"/>
          <w:szCs w:val="21"/>
          <w:highlight w:val="none"/>
        </w:rPr>
        <w:t>案例研讨：组织学员对实际工作中的典型案例进行分析和讨论，促进知识的应用和经验的分享。</w:t>
      </w:r>
    </w:p>
    <w:p w14:paraId="273046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lang w:val="en-US" w:eastAsia="zh-CN"/>
        </w:rPr>
        <w:t>d.</w:t>
      </w:r>
      <w:r>
        <w:rPr>
          <w:rFonts w:hint="eastAsia"/>
          <w:sz w:val="21"/>
          <w:szCs w:val="21"/>
          <w:highlight w:val="none"/>
        </w:rPr>
        <w:t>实践操作：在临床技能培训中心或实际工作场景中，进行技能操作培训和模拟演练，提高学员的实际操作能力。</w:t>
      </w:r>
    </w:p>
    <w:p w14:paraId="1870B5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highlight w:val="none"/>
          <w:lang w:val="en-US" w:eastAsia="zh-CN"/>
        </w:rPr>
      </w:pPr>
      <w:r>
        <w:rPr>
          <w:rFonts w:hint="eastAsia"/>
          <w:sz w:val="21"/>
          <w:szCs w:val="21"/>
          <w:highlight w:val="none"/>
          <w:lang w:val="en-US" w:eastAsia="zh-CN"/>
        </w:rPr>
        <w:t>(4)培训时间、地点及要求</w:t>
      </w:r>
    </w:p>
    <w:p w14:paraId="753349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lang w:val="en-US" w:eastAsia="zh-CN"/>
        </w:rPr>
        <w:t>&lt;1&gt;</w:t>
      </w:r>
      <w:r>
        <w:rPr>
          <w:rFonts w:hint="eastAsia"/>
          <w:sz w:val="21"/>
          <w:szCs w:val="21"/>
          <w:highlight w:val="none"/>
        </w:rPr>
        <w:t>培训时间：分为多个阶段进行，每个阶段的培训时长根据培训内容和方式确定。</w:t>
      </w:r>
    </w:p>
    <w:p w14:paraId="7A66FF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lang w:val="en-US" w:eastAsia="zh-CN"/>
        </w:rPr>
      </w:pPr>
      <w:r>
        <w:rPr>
          <w:rFonts w:hint="eastAsia"/>
          <w:sz w:val="21"/>
          <w:szCs w:val="21"/>
          <w:highlight w:val="none"/>
          <w:lang w:val="en-US" w:eastAsia="zh-CN"/>
        </w:rPr>
        <w:t>&lt;2&gt;</w:t>
      </w:r>
      <w:r>
        <w:rPr>
          <w:rFonts w:hint="eastAsia"/>
          <w:sz w:val="21"/>
          <w:szCs w:val="21"/>
          <w:highlight w:val="none"/>
        </w:rPr>
        <w:t>培训地点：</w:t>
      </w:r>
      <w:r>
        <w:rPr>
          <w:rFonts w:hint="eastAsia"/>
          <w:sz w:val="21"/>
          <w:szCs w:val="21"/>
          <w:highlight w:val="none"/>
          <w:lang w:val="en-US" w:eastAsia="zh-CN"/>
        </w:rPr>
        <w:t>投标人负责培训会场安排，会场规模应满足采购人的要求。</w:t>
      </w:r>
    </w:p>
    <w:p w14:paraId="510B88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highlight w:val="none"/>
          <w:lang w:val="en-US" w:eastAsia="zh-CN"/>
        </w:rPr>
      </w:pPr>
      <w:r>
        <w:rPr>
          <w:rFonts w:hint="eastAsia"/>
          <w:sz w:val="21"/>
          <w:szCs w:val="21"/>
          <w:highlight w:val="none"/>
          <w:lang w:val="en-US" w:eastAsia="zh-CN"/>
        </w:rPr>
        <w:t>&lt;3&gt;培训要求：投标人负责培训活动的组织管理、影音记录和相关会务保障工作等。</w:t>
      </w:r>
    </w:p>
    <w:p w14:paraId="38F5FD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lang w:val="en-US" w:eastAsia="zh-CN"/>
        </w:rPr>
      </w:pPr>
      <w:r>
        <w:rPr>
          <w:rFonts w:hint="eastAsia"/>
          <w:sz w:val="21"/>
          <w:szCs w:val="21"/>
          <w:highlight w:val="none"/>
          <w:lang w:val="en-US" w:eastAsia="zh-CN"/>
        </w:rPr>
        <w:t>四、服务期：自合同签订之日起90日历日</w:t>
      </w:r>
    </w:p>
    <w:p w14:paraId="7AB023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lang w:val="en-US" w:eastAsia="zh-CN"/>
        </w:rPr>
      </w:pPr>
      <w:r>
        <w:rPr>
          <w:rFonts w:hint="eastAsia"/>
          <w:sz w:val="21"/>
          <w:szCs w:val="21"/>
          <w:highlight w:val="none"/>
          <w:lang w:val="en-US" w:eastAsia="zh-CN"/>
        </w:rPr>
        <w:t>五、付款方式</w:t>
      </w:r>
    </w:p>
    <w:p w14:paraId="142D2D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lang w:val="en-US" w:eastAsia="zh-CN"/>
        </w:rPr>
      </w:pPr>
      <w:r>
        <w:rPr>
          <w:rFonts w:hint="eastAsia"/>
          <w:sz w:val="21"/>
          <w:szCs w:val="21"/>
          <w:highlight w:val="none"/>
        </w:rPr>
        <w:t>合同包1</w:t>
      </w:r>
      <w:r>
        <w:rPr>
          <w:rFonts w:hint="eastAsia"/>
          <w:sz w:val="21"/>
          <w:szCs w:val="21"/>
          <w:highlight w:val="none"/>
          <w:lang w:eastAsia="zh-CN"/>
        </w:rPr>
        <w:t>：</w:t>
      </w:r>
      <w:r>
        <w:rPr>
          <w:rFonts w:hint="eastAsia"/>
          <w:sz w:val="21"/>
          <w:szCs w:val="21"/>
          <w:highlight w:val="none"/>
          <w:lang w:val="en-US" w:eastAsia="zh-CN"/>
        </w:rPr>
        <w:t>合同签订后支付40%，验收通过后支付剩余部分。（具体以合同签订为准）</w:t>
      </w:r>
    </w:p>
    <w:p w14:paraId="4A38F8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sz w:val="21"/>
          <w:szCs w:val="21"/>
          <w:highlight w:val="none"/>
          <w:lang w:val="en-US" w:eastAsia="zh-CN"/>
        </w:rPr>
      </w:pPr>
      <w:r>
        <w:rPr>
          <w:rFonts w:hint="eastAsia"/>
          <w:sz w:val="21"/>
          <w:szCs w:val="21"/>
          <w:highlight w:val="none"/>
          <w:lang w:val="en-US" w:eastAsia="zh-CN"/>
        </w:rPr>
        <w:t>合同包2：合同签订后支付40%，验收通过后支付剩余部分。（具体以合同签订为准）</w:t>
      </w:r>
    </w:p>
    <w:p w14:paraId="0330CA0F">
      <w:pPr>
        <w:rPr>
          <w:rFonts w:hint="eastAsia" w:ascii="宋体" w:eastAsia="宋体" w:cs="宋体"/>
          <w:bCs/>
          <w:sz w:val="24"/>
          <w:szCs w:val="24"/>
          <w:highlight w:val="none"/>
        </w:rPr>
      </w:pPr>
      <w:r>
        <w:rPr>
          <w:rFonts w:hint="eastAsia" w:ascii="宋体" w:eastAsia="宋体" w:cs="宋体"/>
          <w:bCs/>
          <w:sz w:val="24"/>
          <w:szCs w:val="24"/>
          <w:highlight w:val="none"/>
        </w:rPr>
        <w:br w:type="page"/>
      </w:r>
    </w:p>
    <w:p w14:paraId="268C672E">
      <w:pPr>
        <w:pStyle w:val="2"/>
        <w:spacing w:line="360" w:lineRule="auto"/>
        <w:jc w:val="center"/>
        <w:rPr>
          <w:rFonts w:ascii="宋体" w:eastAsia="宋体" w:cs="宋体"/>
          <w:bCs/>
          <w:sz w:val="24"/>
          <w:szCs w:val="24"/>
          <w:highlight w:val="none"/>
        </w:rPr>
      </w:pPr>
      <w:bookmarkStart w:id="169" w:name="_Toc1180"/>
      <w:bookmarkStart w:id="170" w:name="_Toc6642"/>
      <w:r>
        <w:rPr>
          <w:rFonts w:hint="eastAsia" w:ascii="宋体" w:eastAsia="宋体" w:cs="宋体"/>
          <w:bCs/>
          <w:sz w:val="24"/>
          <w:szCs w:val="24"/>
          <w:highlight w:val="none"/>
        </w:rPr>
        <w:t>第六章  投标文件构成及格式</w:t>
      </w:r>
      <w:bookmarkEnd w:id="141"/>
      <w:bookmarkEnd w:id="142"/>
      <w:bookmarkEnd w:id="143"/>
      <w:bookmarkEnd w:id="144"/>
      <w:bookmarkEnd w:id="145"/>
      <w:bookmarkEnd w:id="146"/>
      <w:bookmarkEnd w:id="147"/>
      <w:bookmarkEnd w:id="148"/>
      <w:bookmarkEnd w:id="167"/>
      <w:bookmarkEnd w:id="169"/>
      <w:bookmarkEnd w:id="170"/>
    </w:p>
    <w:p w14:paraId="140DB8AF">
      <w:pPr>
        <w:rPr>
          <w:rFonts w:hAnsi="宋体" w:cs="宋体"/>
          <w:highlight w:val="none"/>
        </w:rPr>
      </w:pPr>
    </w:p>
    <w:p w14:paraId="35B1981F">
      <w:pPr>
        <w:rPr>
          <w:rFonts w:hint="eastAsia" w:hAnsi="宋体" w:eastAsia="宋体" w:cs="宋体"/>
          <w:b/>
          <w:sz w:val="32"/>
          <w:szCs w:val="32"/>
          <w:highlight w:val="none"/>
          <w:lang w:val="en-US" w:eastAsia="zh-CN"/>
        </w:rPr>
      </w:pPr>
      <w:r>
        <w:rPr>
          <w:rFonts w:hint="eastAsia" w:hAnsi="宋体" w:cs="宋体"/>
          <w:b/>
          <w:sz w:val="32"/>
          <w:szCs w:val="32"/>
          <w:highlight w:val="none"/>
        </w:rPr>
        <w:t>项目编号：</w:t>
      </w:r>
    </w:p>
    <w:p w14:paraId="7A220263">
      <w:pPr>
        <w:jc w:val="right"/>
        <w:rPr>
          <w:rFonts w:hAnsi="宋体" w:cs="宋体"/>
          <w:b/>
          <w:sz w:val="32"/>
          <w:szCs w:val="32"/>
          <w:highlight w:val="none"/>
        </w:rPr>
      </w:pPr>
      <w:r>
        <w:rPr>
          <w:rFonts w:hint="eastAsia" w:hAnsi="宋体" w:cs="宋体"/>
          <w:b/>
          <w:sz w:val="32"/>
          <w:szCs w:val="32"/>
          <w:highlight w:val="none"/>
        </w:rPr>
        <w:t>（正本）</w:t>
      </w:r>
    </w:p>
    <w:p w14:paraId="49EC8F55">
      <w:pPr>
        <w:jc w:val="center"/>
        <w:rPr>
          <w:rFonts w:hAnsi="宋体" w:cs="宋体"/>
          <w:b/>
          <w:sz w:val="36"/>
          <w:szCs w:val="36"/>
          <w:highlight w:val="none"/>
        </w:rPr>
      </w:pPr>
    </w:p>
    <w:p w14:paraId="53A3BE3A">
      <w:pPr>
        <w:rPr>
          <w:rFonts w:hAnsi="宋体" w:cs="宋体"/>
          <w:b/>
          <w:sz w:val="52"/>
          <w:szCs w:val="52"/>
          <w:highlight w:val="none"/>
        </w:rPr>
      </w:pPr>
    </w:p>
    <w:p w14:paraId="60C6B5B1">
      <w:pPr>
        <w:pStyle w:val="22"/>
        <w:rPr>
          <w:highlight w:val="none"/>
        </w:rPr>
      </w:pPr>
    </w:p>
    <w:p w14:paraId="53BCA74D">
      <w:pPr>
        <w:pStyle w:val="22"/>
        <w:rPr>
          <w:highlight w:val="none"/>
        </w:rPr>
      </w:pPr>
    </w:p>
    <w:p w14:paraId="2725BCD6">
      <w:pPr>
        <w:pStyle w:val="22"/>
        <w:rPr>
          <w:sz w:val="20"/>
          <w:szCs w:val="16"/>
          <w:highlight w:val="none"/>
        </w:rPr>
      </w:pPr>
    </w:p>
    <w:p w14:paraId="5E3202BA">
      <w:pPr>
        <w:pStyle w:val="22"/>
        <w:ind w:left="0" w:leftChars="0" w:firstLine="0" w:firstLineChars="0"/>
        <w:jc w:val="center"/>
        <w:rPr>
          <w:rFonts w:hint="eastAsia" w:hAnsi="宋体" w:cs="宋体"/>
          <w:b/>
          <w:sz w:val="28"/>
          <w:szCs w:val="28"/>
          <w:highlight w:val="none"/>
        </w:rPr>
      </w:pPr>
      <w:r>
        <w:rPr>
          <w:rFonts w:hint="eastAsia" w:cs="宋体"/>
          <w:b/>
          <w:sz w:val="40"/>
          <w:szCs w:val="40"/>
          <w:highlight w:val="none"/>
          <w:lang w:eastAsia="zh-CN"/>
        </w:rPr>
        <w:t>关于洛川县公立医院改革与高质量发展示范项目紧密型医共体制度建设、人才培训项目</w:t>
      </w:r>
    </w:p>
    <w:p w14:paraId="252EF5DB">
      <w:pPr>
        <w:pStyle w:val="22"/>
        <w:rPr>
          <w:rFonts w:hint="eastAsia" w:hAnsi="宋体" w:cs="宋体"/>
          <w:b/>
          <w:sz w:val="40"/>
          <w:szCs w:val="40"/>
          <w:highlight w:val="none"/>
        </w:rPr>
      </w:pPr>
    </w:p>
    <w:p w14:paraId="125C55B8">
      <w:pPr>
        <w:spacing w:line="360" w:lineRule="auto"/>
        <w:jc w:val="center"/>
        <w:rPr>
          <w:rFonts w:hAnsi="宋体" w:cs="宋体"/>
          <w:b/>
          <w:sz w:val="72"/>
          <w:szCs w:val="72"/>
          <w:highlight w:val="none"/>
        </w:rPr>
      </w:pPr>
      <w:r>
        <w:rPr>
          <w:rFonts w:hint="eastAsia" w:hAnsi="宋体" w:cs="宋体"/>
          <w:b/>
          <w:sz w:val="72"/>
          <w:szCs w:val="72"/>
          <w:highlight w:val="none"/>
        </w:rPr>
        <w:t>投 标 文 件</w:t>
      </w:r>
    </w:p>
    <w:p w14:paraId="41235E46">
      <w:pPr>
        <w:jc w:val="center"/>
        <w:rPr>
          <w:rFonts w:hint="eastAsia" w:hAnsi="宋体" w:cs="宋体"/>
          <w:sz w:val="48"/>
          <w:szCs w:val="48"/>
          <w:highlight w:val="none"/>
          <w:lang w:val="en-US" w:eastAsia="zh-CN"/>
        </w:rPr>
      </w:pPr>
      <w:r>
        <w:rPr>
          <w:rFonts w:hint="eastAsia" w:hAnsi="宋体" w:cs="宋体"/>
          <w:sz w:val="48"/>
          <w:szCs w:val="48"/>
          <w:highlight w:val="none"/>
          <w:lang w:val="en-US" w:eastAsia="zh-CN"/>
        </w:rPr>
        <w:t xml:space="preserve"> </w:t>
      </w:r>
    </w:p>
    <w:p w14:paraId="0789EE95">
      <w:pPr>
        <w:pStyle w:val="9"/>
        <w:jc w:val="center"/>
        <w:rPr>
          <w:rFonts w:hint="default" w:hAnsi="宋体" w:cs="宋体"/>
          <w:sz w:val="48"/>
          <w:szCs w:val="48"/>
          <w:highlight w:val="none"/>
          <w:lang w:val="en-US" w:eastAsia="zh-CN"/>
        </w:rPr>
      </w:pPr>
      <w:r>
        <w:rPr>
          <w:rFonts w:hint="eastAsia" w:hAnsi="宋体" w:cs="宋体"/>
          <w:sz w:val="48"/>
          <w:szCs w:val="48"/>
          <w:highlight w:val="none"/>
          <w:lang w:val="en-US" w:eastAsia="zh-CN"/>
        </w:rPr>
        <w:t>（包号：</w:t>
      </w:r>
      <w:r>
        <w:rPr>
          <w:rFonts w:hint="eastAsia" w:hAnsi="宋体" w:cs="宋体"/>
          <w:sz w:val="48"/>
          <w:szCs w:val="48"/>
          <w:highlight w:val="none"/>
          <w:u w:val="single"/>
          <w:lang w:val="en-US" w:eastAsia="zh-CN"/>
        </w:rPr>
        <w:t xml:space="preserve">        </w:t>
      </w:r>
      <w:r>
        <w:rPr>
          <w:rFonts w:hint="eastAsia" w:hAnsi="宋体" w:cs="宋体"/>
          <w:sz w:val="48"/>
          <w:szCs w:val="48"/>
          <w:highlight w:val="none"/>
          <w:lang w:val="en-US" w:eastAsia="zh-CN"/>
        </w:rPr>
        <w:t>）</w:t>
      </w:r>
    </w:p>
    <w:p w14:paraId="697B09FD">
      <w:pPr>
        <w:rPr>
          <w:highlight w:val="none"/>
        </w:rPr>
      </w:pPr>
    </w:p>
    <w:p w14:paraId="7DD8FB9A">
      <w:pPr>
        <w:pStyle w:val="22"/>
        <w:rPr>
          <w:highlight w:val="none"/>
        </w:rPr>
      </w:pPr>
    </w:p>
    <w:p w14:paraId="2B285FDF">
      <w:pPr>
        <w:rPr>
          <w:rFonts w:hAnsi="宋体" w:cs="宋体"/>
          <w:b/>
          <w:sz w:val="36"/>
          <w:szCs w:val="36"/>
          <w:highlight w:val="none"/>
        </w:rPr>
      </w:pPr>
    </w:p>
    <w:p w14:paraId="5C458042">
      <w:pPr>
        <w:tabs>
          <w:tab w:val="center" w:pos="5346"/>
        </w:tabs>
        <w:spacing w:line="720" w:lineRule="auto"/>
        <w:jc w:val="center"/>
        <w:rPr>
          <w:rFonts w:hAnsi="宋体" w:cs="宋体"/>
          <w:b/>
          <w:sz w:val="32"/>
          <w:szCs w:val="32"/>
          <w:highlight w:val="none"/>
        </w:rPr>
      </w:pPr>
      <w:r>
        <w:rPr>
          <w:rFonts w:hint="eastAsia" w:hAnsi="宋体" w:cs="宋体"/>
          <w:b/>
          <w:sz w:val="32"/>
          <w:szCs w:val="32"/>
          <w:highlight w:val="none"/>
        </w:rPr>
        <w:t xml:space="preserve"> 投标人名称（公章）</w:t>
      </w:r>
    </w:p>
    <w:p w14:paraId="0C85B64F">
      <w:pPr>
        <w:spacing w:line="720" w:lineRule="auto"/>
        <w:jc w:val="center"/>
        <w:rPr>
          <w:rFonts w:hAnsi="宋体" w:cs="宋体"/>
          <w:sz w:val="21"/>
          <w:szCs w:val="21"/>
          <w:highlight w:val="none"/>
        </w:rPr>
      </w:pPr>
      <w:r>
        <w:rPr>
          <w:rFonts w:hint="eastAsia" w:hAnsi="宋体" w:cs="宋体"/>
          <w:b/>
          <w:sz w:val="32"/>
          <w:szCs w:val="32"/>
          <w:highlight w:val="none"/>
        </w:rPr>
        <w:t xml:space="preserve">  年   </w:t>
      </w:r>
      <w:r>
        <w:rPr>
          <w:rFonts w:hint="eastAsia" w:hAnsi="宋体" w:cs="宋体"/>
          <w:b/>
          <w:sz w:val="32"/>
          <w:szCs w:val="32"/>
          <w:highlight w:val="none"/>
          <w:lang w:val="en-US" w:eastAsia="zh-CN"/>
        </w:rPr>
        <w:t xml:space="preserve"> </w:t>
      </w:r>
      <w:r>
        <w:rPr>
          <w:rFonts w:hint="eastAsia" w:hAnsi="宋体" w:cs="宋体"/>
          <w:b/>
          <w:sz w:val="32"/>
          <w:szCs w:val="32"/>
          <w:highlight w:val="none"/>
        </w:rPr>
        <w:t>月</w:t>
      </w:r>
      <w:r>
        <w:rPr>
          <w:rFonts w:hint="eastAsia" w:hAnsi="宋体" w:cs="宋体"/>
          <w:b/>
          <w:sz w:val="32"/>
          <w:szCs w:val="32"/>
          <w:highlight w:val="none"/>
          <w:lang w:val="en-US" w:eastAsia="zh-CN"/>
        </w:rPr>
        <w:t xml:space="preserve">    日</w:t>
      </w:r>
      <w:r>
        <w:rPr>
          <w:rFonts w:hint="eastAsia" w:hAnsi="宋体" w:cs="宋体"/>
          <w:b/>
          <w:sz w:val="36"/>
          <w:szCs w:val="36"/>
          <w:highlight w:val="none"/>
        </w:rPr>
        <w:br w:type="page"/>
      </w:r>
      <w:bookmarkStart w:id="171" w:name="_Toc22537"/>
      <w:bookmarkStart w:id="172" w:name="_Toc426457699"/>
      <w:bookmarkStart w:id="173" w:name="_Toc17702"/>
      <w:bookmarkStart w:id="174" w:name="_Toc23267"/>
      <w:bookmarkStart w:id="175" w:name="_Toc23850"/>
      <w:bookmarkStart w:id="176" w:name="_Toc403077647"/>
      <w:bookmarkStart w:id="177" w:name="_Toc30983"/>
      <w:bookmarkStart w:id="178" w:name="_Toc363474026"/>
      <w:r>
        <w:rPr>
          <w:rFonts w:hint="eastAsia" w:hAnsi="宋体" w:cs="宋体"/>
          <w:sz w:val="21"/>
          <w:szCs w:val="21"/>
          <w:highlight w:val="none"/>
        </w:rPr>
        <w:t>目    录</w:t>
      </w:r>
      <w:bookmarkEnd w:id="171"/>
      <w:bookmarkEnd w:id="172"/>
      <w:bookmarkEnd w:id="173"/>
      <w:bookmarkEnd w:id="174"/>
      <w:bookmarkEnd w:id="175"/>
      <w:bookmarkEnd w:id="176"/>
      <w:bookmarkEnd w:id="177"/>
      <w:bookmarkEnd w:id="178"/>
    </w:p>
    <w:p w14:paraId="15CF6799">
      <w:pPr>
        <w:rPr>
          <w:rFonts w:hAnsi="宋体" w:cs="宋体"/>
          <w:sz w:val="21"/>
          <w:szCs w:val="21"/>
          <w:highlight w:val="none"/>
        </w:rPr>
      </w:pPr>
    </w:p>
    <w:p w14:paraId="32FE2A2A">
      <w:pPr>
        <w:numPr>
          <w:ilvl w:val="0"/>
          <w:numId w:val="11"/>
        </w:numPr>
        <w:tabs>
          <w:tab w:val="left" w:pos="1418"/>
        </w:tabs>
        <w:spacing w:line="720" w:lineRule="auto"/>
        <w:ind w:left="831"/>
        <w:rPr>
          <w:rFonts w:hAnsi="宋体" w:cs="宋体"/>
          <w:spacing w:val="4"/>
          <w:sz w:val="21"/>
          <w:szCs w:val="21"/>
          <w:highlight w:val="none"/>
        </w:rPr>
      </w:pPr>
      <w:r>
        <w:rPr>
          <w:rFonts w:hint="eastAsia" w:hAnsi="宋体" w:cs="宋体"/>
          <w:spacing w:val="4"/>
          <w:sz w:val="21"/>
          <w:szCs w:val="21"/>
          <w:highlight w:val="none"/>
        </w:rPr>
        <w:t>投标函</w:t>
      </w:r>
    </w:p>
    <w:p w14:paraId="0B70AD99">
      <w:pPr>
        <w:numPr>
          <w:ilvl w:val="0"/>
          <w:numId w:val="11"/>
        </w:numPr>
        <w:tabs>
          <w:tab w:val="left" w:pos="1418"/>
        </w:tabs>
        <w:spacing w:line="720" w:lineRule="auto"/>
        <w:ind w:left="831"/>
        <w:rPr>
          <w:rFonts w:hAnsi="宋体" w:cs="宋体"/>
          <w:spacing w:val="4"/>
          <w:sz w:val="21"/>
          <w:szCs w:val="21"/>
          <w:highlight w:val="none"/>
        </w:rPr>
      </w:pPr>
      <w:r>
        <w:rPr>
          <w:rFonts w:hint="eastAsia" w:hAnsi="宋体" w:cs="宋体"/>
          <w:spacing w:val="4"/>
          <w:sz w:val="21"/>
          <w:szCs w:val="21"/>
          <w:highlight w:val="none"/>
          <w:lang w:eastAsia="zh-CN"/>
        </w:rPr>
        <w:t>开标一览表</w:t>
      </w:r>
    </w:p>
    <w:p w14:paraId="3D907D4A">
      <w:pPr>
        <w:numPr>
          <w:ilvl w:val="0"/>
          <w:numId w:val="11"/>
        </w:numPr>
        <w:tabs>
          <w:tab w:val="left" w:pos="1418"/>
        </w:tabs>
        <w:spacing w:line="720" w:lineRule="auto"/>
        <w:ind w:left="831"/>
        <w:rPr>
          <w:rFonts w:hAnsi="宋体" w:cs="宋体"/>
          <w:spacing w:val="4"/>
          <w:sz w:val="21"/>
          <w:szCs w:val="21"/>
          <w:highlight w:val="none"/>
        </w:rPr>
      </w:pPr>
      <w:r>
        <w:rPr>
          <w:rFonts w:hint="eastAsia" w:hAnsi="宋体" w:cs="宋体"/>
          <w:sz w:val="21"/>
          <w:szCs w:val="21"/>
          <w:highlight w:val="none"/>
        </w:rPr>
        <w:t>投标方案说明书</w:t>
      </w:r>
    </w:p>
    <w:p w14:paraId="68E9CCF7">
      <w:pPr>
        <w:numPr>
          <w:ilvl w:val="0"/>
          <w:numId w:val="11"/>
        </w:numPr>
        <w:tabs>
          <w:tab w:val="left" w:pos="1418"/>
        </w:tabs>
        <w:spacing w:line="720" w:lineRule="auto"/>
        <w:ind w:left="831"/>
        <w:rPr>
          <w:rFonts w:hAnsi="宋体" w:cs="宋体"/>
          <w:spacing w:val="4"/>
          <w:sz w:val="21"/>
          <w:szCs w:val="21"/>
          <w:highlight w:val="none"/>
        </w:rPr>
      </w:pPr>
      <w:r>
        <w:rPr>
          <w:rFonts w:hint="eastAsia" w:hAnsi="宋体" w:cs="宋体"/>
          <w:sz w:val="21"/>
          <w:szCs w:val="21"/>
          <w:highlight w:val="none"/>
        </w:rPr>
        <w:t>商务条款偏离表</w:t>
      </w:r>
    </w:p>
    <w:p w14:paraId="70366957">
      <w:pPr>
        <w:numPr>
          <w:ilvl w:val="0"/>
          <w:numId w:val="11"/>
        </w:numPr>
        <w:tabs>
          <w:tab w:val="left" w:pos="1418"/>
        </w:tabs>
        <w:spacing w:line="720" w:lineRule="auto"/>
        <w:ind w:left="831"/>
        <w:rPr>
          <w:rFonts w:hAnsi="宋体" w:cs="宋体"/>
          <w:spacing w:val="4"/>
          <w:sz w:val="21"/>
          <w:szCs w:val="21"/>
          <w:highlight w:val="none"/>
        </w:rPr>
      </w:pPr>
      <w:r>
        <w:rPr>
          <w:rFonts w:hint="eastAsia" w:hAnsi="宋体" w:cs="宋体"/>
          <w:spacing w:val="4"/>
          <w:sz w:val="21"/>
          <w:szCs w:val="21"/>
          <w:highlight w:val="none"/>
        </w:rPr>
        <w:t>陕西省政府采购供应商拒绝政府采购领域商业贿赂承诺书</w:t>
      </w:r>
    </w:p>
    <w:p w14:paraId="1AFFFAAB">
      <w:pPr>
        <w:numPr>
          <w:ilvl w:val="0"/>
          <w:numId w:val="11"/>
        </w:numPr>
        <w:tabs>
          <w:tab w:val="left" w:pos="1418"/>
        </w:tabs>
        <w:spacing w:line="720" w:lineRule="auto"/>
        <w:ind w:left="831"/>
        <w:rPr>
          <w:rFonts w:hAnsi="宋体" w:cs="宋体"/>
          <w:sz w:val="21"/>
          <w:szCs w:val="21"/>
          <w:highlight w:val="none"/>
        </w:rPr>
      </w:pPr>
      <w:r>
        <w:rPr>
          <w:rFonts w:hint="eastAsia" w:hAnsi="宋体" w:cs="宋体"/>
          <w:sz w:val="21"/>
          <w:szCs w:val="21"/>
          <w:highlight w:val="none"/>
        </w:rPr>
        <w:t>资格证明文件</w:t>
      </w:r>
    </w:p>
    <w:p w14:paraId="05128502">
      <w:pPr>
        <w:spacing w:line="480" w:lineRule="auto"/>
        <w:ind w:left="105"/>
        <w:rPr>
          <w:rFonts w:hAnsi="宋体" w:cs="宋体"/>
          <w:spacing w:val="4"/>
          <w:szCs w:val="24"/>
          <w:highlight w:val="none"/>
        </w:rPr>
      </w:pPr>
    </w:p>
    <w:p w14:paraId="27F03E6B">
      <w:pPr>
        <w:pStyle w:val="4"/>
        <w:spacing w:before="333" w:beforeLines="100"/>
        <w:outlineLvl w:val="1"/>
        <w:rPr>
          <w:rFonts w:ascii="宋体" w:hAnsi="宋体" w:cs="宋体"/>
          <w:sz w:val="21"/>
          <w:szCs w:val="21"/>
        </w:rPr>
      </w:pPr>
      <w:r>
        <w:rPr>
          <w:rFonts w:hint="eastAsia" w:ascii="宋体" w:hAnsi="宋体" w:cs="宋体"/>
          <w:sz w:val="28"/>
          <w:highlight w:val="none"/>
        </w:rPr>
        <w:br w:type="page"/>
      </w:r>
      <w:bookmarkStart w:id="179" w:name="_Toc403077648"/>
      <w:bookmarkStart w:id="180" w:name="_Toc363474027"/>
      <w:bookmarkStart w:id="181" w:name="_Toc24564"/>
      <w:bookmarkStart w:id="182" w:name="_Toc26301"/>
      <w:bookmarkStart w:id="183" w:name="_Toc14057"/>
      <w:bookmarkStart w:id="184" w:name="_Toc426457700"/>
      <w:bookmarkStart w:id="185" w:name="_Toc28404"/>
      <w:bookmarkStart w:id="186" w:name="_Toc31015"/>
      <w:bookmarkStart w:id="187" w:name="_Toc4930"/>
      <w:bookmarkStart w:id="188" w:name="_Toc20960"/>
      <w:bookmarkStart w:id="189" w:name="_Toc24570"/>
      <w:bookmarkStart w:id="190" w:name="_Toc6397"/>
      <w:bookmarkStart w:id="191" w:name="_Toc23702"/>
      <w:bookmarkStart w:id="192" w:name="_Toc24231"/>
      <w:r>
        <w:rPr>
          <w:rFonts w:hint="eastAsia" w:ascii="宋体" w:hAnsi="宋体" w:cs="宋体"/>
          <w:sz w:val="21"/>
          <w:szCs w:val="21"/>
          <w:highlight w:val="none"/>
        </w:rPr>
        <w:t>一</w:t>
      </w:r>
      <w:r>
        <w:rPr>
          <w:rFonts w:hint="eastAsia" w:ascii="宋体" w:hAnsi="宋体" w:cs="宋体"/>
          <w:sz w:val="21"/>
          <w:szCs w:val="21"/>
        </w:rPr>
        <w:t>、投标</w:t>
      </w:r>
      <w:bookmarkEnd w:id="179"/>
      <w:bookmarkEnd w:id="180"/>
      <w:r>
        <w:rPr>
          <w:rFonts w:hint="eastAsia" w:ascii="宋体" w:hAnsi="宋体" w:cs="宋体"/>
          <w:sz w:val="21"/>
          <w:szCs w:val="21"/>
        </w:rPr>
        <w:t>函</w:t>
      </w:r>
      <w:bookmarkEnd w:id="181"/>
      <w:bookmarkEnd w:id="182"/>
      <w:bookmarkEnd w:id="183"/>
      <w:bookmarkEnd w:id="184"/>
      <w:bookmarkEnd w:id="185"/>
      <w:bookmarkEnd w:id="186"/>
      <w:bookmarkEnd w:id="187"/>
      <w:bookmarkEnd w:id="188"/>
      <w:bookmarkEnd w:id="189"/>
      <w:bookmarkEnd w:id="190"/>
      <w:bookmarkEnd w:id="191"/>
      <w:bookmarkEnd w:id="192"/>
    </w:p>
    <w:p w14:paraId="3F1C0F40">
      <w:pPr>
        <w:rPr>
          <w:rFonts w:hAnsi="宋体" w:cs="宋体"/>
          <w:sz w:val="21"/>
          <w:szCs w:val="21"/>
        </w:rPr>
      </w:pPr>
    </w:p>
    <w:p w14:paraId="4F0DF967">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spacing w:val="4"/>
          <w:sz w:val="21"/>
          <w:szCs w:val="21"/>
          <w:highlight w:val="none"/>
          <w:u w:val="single"/>
        </w:rPr>
      </w:pPr>
      <w:bookmarkStart w:id="193" w:name="_Toc1258"/>
      <w:r>
        <w:rPr>
          <w:rFonts w:hint="eastAsia" w:ascii="宋体" w:hAnsi="宋体" w:eastAsia="宋体" w:cs="宋体"/>
          <w:b/>
          <w:color w:val="auto"/>
          <w:spacing w:val="4"/>
          <w:sz w:val="21"/>
          <w:szCs w:val="21"/>
          <w:highlight w:val="none"/>
        </w:rPr>
        <w:t>致</w:t>
      </w:r>
      <w:r>
        <w:rPr>
          <w:rFonts w:hint="eastAsia" w:ascii="宋体" w:hAnsi="宋体" w:eastAsia="宋体" w:cs="宋体"/>
          <w:b/>
          <w:color w:val="auto"/>
          <w:spacing w:val="4"/>
          <w:sz w:val="21"/>
          <w:szCs w:val="21"/>
          <w:highlight w:val="none"/>
          <w:u w:val="single"/>
        </w:rPr>
        <w:t>：采购人名称/陕西至诚项目管理集团有限公司</w:t>
      </w:r>
      <w:bookmarkEnd w:id="193"/>
    </w:p>
    <w:p w14:paraId="10AF3E76">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36" w:firstLineChars="200"/>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 xml:space="preserve">根据贵方“ </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”项目的投标</w:t>
      </w:r>
      <w:r>
        <w:rPr>
          <w:rFonts w:hint="eastAsia" w:ascii="宋体" w:hAnsi="宋体" w:eastAsia="宋体" w:cs="宋体"/>
          <w:color w:val="auto"/>
          <w:spacing w:val="4"/>
          <w:sz w:val="21"/>
          <w:szCs w:val="21"/>
          <w:highlight w:val="none"/>
          <w:u w:val="single"/>
        </w:rPr>
        <w:t>(</w:t>
      </w:r>
      <w:r>
        <w:rPr>
          <w:rFonts w:hint="eastAsia" w:hAnsi="宋体" w:cs="宋体"/>
          <w:color w:val="auto"/>
          <w:spacing w:val="4"/>
          <w:sz w:val="21"/>
          <w:szCs w:val="21"/>
          <w:highlight w:val="none"/>
          <w:u w:val="single"/>
          <w:lang w:val="en-US" w:eastAsia="zh-CN"/>
        </w:rPr>
        <w:t>项目</w:t>
      </w:r>
      <w:r>
        <w:rPr>
          <w:rFonts w:hint="eastAsia" w:ascii="宋体" w:hAnsi="宋体" w:eastAsia="宋体" w:cs="宋体"/>
          <w:color w:val="auto"/>
          <w:spacing w:val="4"/>
          <w:sz w:val="21"/>
          <w:szCs w:val="21"/>
          <w:highlight w:val="none"/>
          <w:u w:val="single"/>
          <w:lang w:eastAsia="zh-CN"/>
        </w:rPr>
        <w:t>编号</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u w:val="single"/>
          <w:lang w:val="en-US" w:eastAsia="zh-CN"/>
        </w:rPr>
        <w:t>包号：</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，签字代表</w:t>
      </w:r>
      <w:r>
        <w:rPr>
          <w:rFonts w:hint="eastAsia" w:ascii="宋体" w:hAnsi="宋体" w:eastAsia="宋体" w:cs="宋体"/>
          <w:color w:val="auto"/>
          <w:spacing w:val="4"/>
          <w:sz w:val="21"/>
          <w:szCs w:val="21"/>
          <w:highlight w:val="none"/>
          <w:u w:val="single"/>
        </w:rPr>
        <w:t>（全名、职务）</w:t>
      </w:r>
      <w:r>
        <w:rPr>
          <w:rFonts w:hint="eastAsia" w:ascii="宋体" w:hAnsi="宋体" w:eastAsia="宋体" w:cs="宋体"/>
          <w:color w:val="auto"/>
          <w:spacing w:val="4"/>
          <w:sz w:val="21"/>
          <w:szCs w:val="21"/>
          <w:highlight w:val="none"/>
        </w:rPr>
        <w:t>经正式授权并代表供应商</w:t>
      </w:r>
      <w:r>
        <w:rPr>
          <w:rFonts w:hint="eastAsia" w:ascii="宋体" w:hAnsi="宋体" w:eastAsia="宋体" w:cs="宋体"/>
          <w:color w:val="auto"/>
          <w:spacing w:val="4"/>
          <w:sz w:val="21"/>
          <w:szCs w:val="21"/>
          <w:highlight w:val="none"/>
          <w:u w:val="single"/>
        </w:rPr>
        <w:t>(供应商名称、地址)</w:t>
      </w:r>
      <w:r>
        <w:rPr>
          <w:rFonts w:hint="eastAsia" w:ascii="宋体" w:hAnsi="宋体" w:eastAsia="宋体" w:cs="宋体"/>
          <w:color w:val="auto"/>
          <w:spacing w:val="4"/>
          <w:sz w:val="21"/>
          <w:szCs w:val="21"/>
          <w:highlight w:val="none"/>
        </w:rPr>
        <w:t xml:space="preserve"> 提交投标文件正本壹份、副本一式</w:t>
      </w:r>
      <w:r>
        <w:rPr>
          <w:rFonts w:hint="eastAsia" w:ascii="宋体" w:hAnsi="宋体" w:eastAsia="宋体" w:cs="宋体"/>
          <w:color w:val="auto"/>
          <w:spacing w:val="4"/>
          <w:sz w:val="21"/>
          <w:szCs w:val="21"/>
          <w:highlight w:val="none"/>
          <w:u w:val="single"/>
        </w:rPr>
        <w:t xml:space="preserve"> </w:t>
      </w:r>
      <w:r>
        <w:rPr>
          <w:rFonts w:hint="eastAsia" w:hAnsi="宋体" w:cs="宋体"/>
          <w:color w:val="auto"/>
          <w:spacing w:val="4"/>
          <w:sz w:val="21"/>
          <w:szCs w:val="21"/>
          <w:highlight w:val="none"/>
          <w:u w:val="single"/>
          <w:lang w:val="en-US" w:eastAsia="zh-CN"/>
        </w:rPr>
        <w:t>2</w:t>
      </w:r>
      <w:r>
        <w:rPr>
          <w:rFonts w:hint="eastAsia" w:ascii="宋体" w:hAnsi="宋体" w:eastAsia="宋体" w:cs="宋体"/>
          <w:color w:val="auto"/>
          <w:spacing w:val="4"/>
          <w:sz w:val="21"/>
          <w:szCs w:val="21"/>
          <w:highlight w:val="none"/>
        </w:rPr>
        <w:t>份、电子版</w:t>
      </w:r>
      <w:r>
        <w:rPr>
          <w:rFonts w:hint="eastAsia" w:hAnsi="宋体" w:cs="宋体"/>
          <w:color w:val="auto"/>
          <w:spacing w:val="4"/>
          <w:sz w:val="21"/>
          <w:szCs w:val="21"/>
          <w:highlight w:val="none"/>
          <w:u w:val="single"/>
          <w:lang w:val="en-US" w:eastAsia="zh-CN"/>
        </w:rPr>
        <w:t>1</w:t>
      </w:r>
      <w:r>
        <w:rPr>
          <w:rFonts w:hint="eastAsia" w:ascii="宋体" w:hAnsi="宋体" w:eastAsia="宋体" w:cs="宋体"/>
          <w:color w:val="auto"/>
          <w:spacing w:val="4"/>
          <w:sz w:val="21"/>
          <w:szCs w:val="21"/>
          <w:highlight w:val="none"/>
        </w:rPr>
        <w:t>份、开标一览表</w:t>
      </w:r>
      <w:r>
        <w:rPr>
          <w:rFonts w:hint="eastAsia" w:ascii="宋体" w:hAnsi="宋体" w:eastAsia="宋体" w:cs="宋体"/>
          <w:color w:val="auto"/>
          <w:spacing w:val="4"/>
          <w:sz w:val="21"/>
          <w:szCs w:val="21"/>
          <w:highlight w:val="none"/>
          <w:u w:val="single"/>
        </w:rPr>
        <w:t xml:space="preserve"> </w:t>
      </w:r>
      <w:r>
        <w:rPr>
          <w:rFonts w:hint="eastAsia" w:hAnsi="宋体" w:cs="宋体"/>
          <w:color w:val="auto"/>
          <w:spacing w:val="4"/>
          <w:sz w:val="21"/>
          <w:szCs w:val="21"/>
          <w:highlight w:val="none"/>
          <w:u w:val="single"/>
          <w:lang w:val="en-US" w:eastAsia="zh-CN"/>
        </w:rPr>
        <w:t>1</w:t>
      </w:r>
      <w:r>
        <w:rPr>
          <w:rFonts w:hint="eastAsia" w:ascii="宋体" w:hAnsi="宋体" w:eastAsia="宋体" w:cs="宋体"/>
          <w:color w:val="auto"/>
          <w:spacing w:val="4"/>
          <w:sz w:val="21"/>
          <w:szCs w:val="21"/>
          <w:highlight w:val="none"/>
        </w:rPr>
        <w:t>份。</w:t>
      </w:r>
    </w:p>
    <w:p w14:paraId="01F51FAE">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left="621" w:leftChars="251" w:hanging="19" w:hangingChars="9"/>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我方承诺如下：</w:t>
      </w:r>
    </w:p>
    <w:p w14:paraId="5BC49129">
      <w:pPr>
        <w:keepNext w:val="0"/>
        <w:keepLines w:val="0"/>
        <w:pageBreakBefore w:val="0"/>
        <w:widowControl w:val="0"/>
        <w:numPr>
          <w:ilvl w:val="0"/>
          <w:numId w:val="12"/>
        </w:numPr>
        <w:shd w:val="clear" w:color="auto" w:fill="auto"/>
        <w:tabs>
          <w:tab w:val="left" w:pos="2160"/>
        </w:tabs>
        <w:kinsoku/>
        <w:wordWrap/>
        <w:overflowPunct/>
        <w:topLinePunct w:val="0"/>
        <w:autoSpaceDE/>
        <w:autoSpaceDN/>
        <w:bidi w:val="0"/>
        <w:adjustRightInd/>
        <w:snapToGrid w:val="0"/>
        <w:spacing w:line="360" w:lineRule="auto"/>
        <w:ind w:left="0" w:firstLine="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 xml:space="preserve">投标报价为小写： </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（大写：</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w:t>
      </w:r>
      <w:r>
        <w:rPr>
          <w:rFonts w:hint="eastAsia" w:hAnsi="宋体" w:cs="宋体"/>
          <w:color w:val="auto"/>
          <w:spacing w:val="4"/>
          <w:sz w:val="21"/>
          <w:szCs w:val="21"/>
          <w:highlight w:val="none"/>
          <w:lang w:val="en-US" w:eastAsia="zh-CN"/>
        </w:rPr>
        <w:t>;</w:t>
      </w:r>
    </w:p>
    <w:p w14:paraId="24132C32">
      <w:pPr>
        <w:keepNext w:val="0"/>
        <w:keepLines w:val="0"/>
        <w:pageBreakBefore w:val="0"/>
        <w:widowControl w:val="0"/>
        <w:numPr>
          <w:ilvl w:val="0"/>
          <w:numId w:val="12"/>
        </w:numPr>
        <w:shd w:val="clear" w:color="auto" w:fill="auto"/>
        <w:tabs>
          <w:tab w:val="left" w:pos="2160"/>
        </w:tabs>
        <w:kinsoku/>
        <w:wordWrap/>
        <w:overflowPunct/>
        <w:topLinePunct w:val="0"/>
        <w:autoSpaceDE/>
        <w:autoSpaceDN/>
        <w:bidi w:val="0"/>
        <w:adjustRightInd/>
        <w:snapToGrid w:val="0"/>
        <w:spacing w:line="360" w:lineRule="auto"/>
        <w:ind w:left="0" w:firstLine="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如果中标，我们根据招标文件的规定，履行合同的责任和义务。</w:t>
      </w:r>
    </w:p>
    <w:p w14:paraId="3A824800">
      <w:pPr>
        <w:keepNext w:val="0"/>
        <w:keepLines w:val="0"/>
        <w:pageBreakBefore w:val="0"/>
        <w:widowControl w:val="0"/>
        <w:numPr>
          <w:ilvl w:val="0"/>
          <w:numId w:val="12"/>
        </w:numPr>
        <w:shd w:val="clear" w:color="auto" w:fill="auto"/>
        <w:tabs>
          <w:tab w:val="left" w:pos="2160"/>
        </w:tabs>
        <w:kinsoku/>
        <w:wordWrap/>
        <w:overflowPunct/>
        <w:topLinePunct w:val="0"/>
        <w:autoSpaceDE/>
        <w:autoSpaceDN/>
        <w:bidi w:val="0"/>
        <w:adjustRightInd/>
        <w:snapToGrid w:val="0"/>
        <w:spacing w:line="360" w:lineRule="auto"/>
        <w:ind w:left="0" w:firstLine="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我们已详细阅读和审核全部招标文件（含修改部分，如有的话）及有关附件，我们知道必须放弃提出含糊不清或误解的问题的权利。</w:t>
      </w:r>
    </w:p>
    <w:p w14:paraId="7BF241E2">
      <w:pPr>
        <w:keepNext w:val="0"/>
        <w:keepLines w:val="0"/>
        <w:pageBreakBefore w:val="0"/>
        <w:widowControl w:val="0"/>
        <w:numPr>
          <w:ilvl w:val="0"/>
          <w:numId w:val="12"/>
        </w:numPr>
        <w:shd w:val="clear" w:color="auto" w:fill="auto"/>
        <w:tabs>
          <w:tab w:val="left" w:pos="2160"/>
        </w:tabs>
        <w:kinsoku/>
        <w:wordWrap/>
        <w:overflowPunct/>
        <w:topLinePunct w:val="0"/>
        <w:autoSpaceDE/>
        <w:autoSpaceDN/>
        <w:bidi w:val="0"/>
        <w:adjustRightInd/>
        <w:snapToGrid w:val="0"/>
        <w:spacing w:line="360" w:lineRule="auto"/>
        <w:ind w:left="0" w:firstLine="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我们同意在投标有效期内（</w:t>
      </w:r>
      <w:r>
        <w:rPr>
          <w:rFonts w:hint="eastAsia" w:ascii="宋体" w:hAnsi="宋体" w:eastAsia="宋体" w:cs="宋体"/>
          <w:color w:val="auto"/>
          <w:spacing w:val="4"/>
          <w:sz w:val="21"/>
          <w:szCs w:val="21"/>
          <w:highlight w:val="none"/>
          <w:u w:val="single"/>
        </w:rPr>
        <w:t>自开标之日起    天</w:t>
      </w:r>
      <w:r>
        <w:rPr>
          <w:rFonts w:hint="eastAsia" w:ascii="宋体" w:hAnsi="宋体" w:eastAsia="宋体" w:cs="宋体"/>
          <w:color w:val="auto"/>
          <w:spacing w:val="4"/>
          <w:sz w:val="21"/>
          <w:szCs w:val="21"/>
          <w:highlight w:val="none"/>
        </w:rPr>
        <w:t>），本投标函对我方具有约束力。</w:t>
      </w:r>
    </w:p>
    <w:p w14:paraId="369AB7FE">
      <w:pPr>
        <w:keepNext w:val="0"/>
        <w:keepLines w:val="0"/>
        <w:pageBreakBefore w:val="0"/>
        <w:widowControl w:val="0"/>
        <w:numPr>
          <w:ilvl w:val="0"/>
          <w:numId w:val="12"/>
        </w:numPr>
        <w:shd w:val="clear" w:color="auto" w:fill="auto"/>
        <w:tabs>
          <w:tab w:val="left" w:pos="2160"/>
        </w:tabs>
        <w:kinsoku/>
        <w:wordWrap/>
        <w:overflowPunct/>
        <w:topLinePunct w:val="0"/>
        <w:autoSpaceDE/>
        <w:autoSpaceDN/>
        <w:bidi w:val="0"/>
        <w:adjustRightInd/>
        <w:snapToGrid w:val="0"/>
        <w:spacing w:line="360" w:lineRule="auto"/>
        <w:ind w:left="0" w:firstLine="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 xml:space="preserve">同意提供贵方可能另外要求的与本投标有关的任何证据和资料。 </w:t>
      </w:r>
    </w:p>
    <w:p w14:paraId="5EF60DED">
      <w:pPr>
        <w:keepNext w:val="0"/>
        <w:keepLines w:val="0"/>
        <w:pageBreakBefore w:val="0"/>
        <w:widowControl w:val="0"/>
        <w:numPr>
          <w:ilvl w:val="0"/>
          <w:numId w:val="12"/>
        </w:numPr>
        <w:shd w:val="clear" w:color="auto" w:fill="auto"/>
        <w:tabs>
          <w:tab w:val="left" w:pos="2160"/>
        </w:tabs>
        <w:kinsoku/>
        <w:wordWrap/>
        <w:overflowPunct/>
        <w:topLinePunct w:val="0"/>
        <w:autoSpaceDE/>
        <w:autoSpaceDN/>
        <w:bidi w:val="0"/>
        <w:adjustRightInd/>
        <w:snapToGrid w:val="0"/>
        <w:spacing w:line="360" w:lineRule="auto"/>
        <w:ind w:left="0" w:firstLine="0"/>
        <w:jc w:val="left"/>
        <w:textAlignment w:val="auto"/>
        <w:outlineLvl w:val="9"/>
        <w:rPr>
          <w:rFonts w:hint="eastAsia" w:ascii="宋体" w:hAnsi="宋体" w:eastAsia="宋体" w:cs="宋体"/>
          <w:color w:val="auto"/>
          <w:spacing w:val="4"/>
          <w:sz w:val="21"/>
          <w:szCs w:val="21"/>
          <w:highlight w:val="none"/>
        </w:rPr>
      </w:pPr>
      <w:bookmarkStart w:id="194" w:name="_Toc26407"/>
      <w:r>
        <w:rPr>
          <w:rFonts w:hint="eastAsia" w:ascii="宋体" w:hAnsi="宋体" w:eastAsia="宋体" w:cs="宋体"/>
          <w:color w:val="auto"/>
          <w:spacing w:val="4"/>
          <w:sz w:val="21"/>
          <w:szCs w:val="21"/>
          <w:highlight w:val="none"/>
        </w:rPr>
        <w:t>与本投标有关的一切正式往来通讯为：</w:t>
      </w:r>
      <w:bookmarkEnd w:id="194"/>
    </w:p>
    <w:p w14:paraId="7F7DBED4">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1090" w:firstLineChars="50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联系地址：</w:t>
      </w:r>
    </w:p>
    <w:p w14:paraId="2F618957">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1090" w:firstLineChars="50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邮政编码：</w:t>
      </w:r>
    </w:p>
    <w:p w14:paraId="1492158C">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1090" w:firstLineChars="50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电    话：</w:t>
      </w:r>
    </w:p>
    <w:p w14:paraId="74D39F0F">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1090" w:firstLineChars="50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传    真：</w:t>
      </w:r>
    </w:p>
    <w:p w14:paraId="0436C598">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1090" w:firstLineChars="50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供应商名称（盖章）：</w:t>
      </w:r>
    </w:p>
    <w:p w14:paraId="460E8E11">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1050" w:firstLineChars="50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法定代表人或被授权人（签字）</w:t>
      </w:r>
      <w:r>
        <w:rPr>
          <w:rFonts w:hint="eastAsia" w:ascii="宋体" w:hAnsi="宋体" w:eastAsia="宋体" w:cs="宋体"/>
          <w:color w:val="auto"/>
          <w:spacing w:val="4"/>
          <w:sz w:val="21"/>
          <w:szCs w:val="21"/>
          <w:highlight w:val="none"/>
        </w:rPr>
        <w:t>：</w:t>
      </w:r>
    </w:p>
    <w:p w14:paraId="2D7BCCF3">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1090" w:firstLineChars="50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日    期：</w:t>
      </w:r>
    </w:p>
    <w:p w14:paraId="1D2E2CD0">
      <w:pPr>
        <w:spacing w:before="333" w:beforeLines="100"/>
        <w:jc w:val="center"/>
        <w:outlineLvl w:val="1"/>
        <w:rPr>
          <w:rFonts w:hint="eastAsia" w:hAnsi="宋体" w:cs="宋体"/>
          <w:b/>
          <w:bCs/>
          <w:sz w:val="21"/>
          <w:szCs w:val="21"/>
        </w:rPr>
      </w:pPr>
      <w:r>
        <w:rPr>
          <w:rFonts w:hint="eastAsia" w:hAnsi="宋体" w:cs="宋体"/>
          <w:sz w:val="21"/>
          <w:szCs w:val="21"/>
        </w:rPr>
        <w:br w:type="page"/>
      </w:r>
      <w:bookmarkStart w:id="195" w:name="_Toc26697"/>
      <w:bookmarkStart w:id="196" w:name="_Toc25217"/>
      <w:bookmarkStart w:id="197" w:name="_Toc17802"/>
      <w:bookmarkStart w:id="198" w:name="_Toc403077651"/>
      <w:bookmarkStart w:id="199" w:name="_Toc21981"/>
      <w:bookmarkStart w:id="200" w:name="_Toc27599"/>
      <w:bookmarkStart w:id="201" w:name="_Toc29025"/>
      <w:bookmarkStart w:id="202" w:name="_Toc363474030"/>
      <w:bookmarkStart w:id="203" w:name="_Toc4332"/>
      <w:bookmarkStart w:id="204" w:name="_Toc21319"/>
      <w:bookmarkStart w:id="205" w:name="_Toc426457703"/>
      <w:bookmarkStart w:id="206" w:name="_Toc13665"/>
      <w:bookmarkStart w:id="207" w:name="_Toc2675"/>
      <w:bookmarkStart w:id="208" w:name="_Toc8696"/>
      <w:r>
        <w:rPr>
          <w:rFonts w:hint="eastAsia" w:hAnsi="宋体" w:cs="宋体"/>
          <w:b/>
          <w:bCs/>
          <w:sz w:val="21"/>
          <w:szCs w:val="21"/>
        </w:rPr>
        <w:t>二、</w:t>
      </w:r>
      <w:bookmarkEnd w:id="195"/>
      <w:bookmarkEnd w:id="196"/>
      <w:bookmarkEnd w:id="197"/>
      <w:bookmarkEnd w:id="198"/>
      <w:bookmarkEnd w:id="199"/>
      <w:bookmarkEnd w:id="200"/>
      <w:bookmarkEnd w:id="201"/>
      <w:bookmarkEnd w:id="202"/>
      <w:bookmarkEnd w:id="203"/>
      <w:bookmarkEnd w:id="204"/>
      <w:bookmarkEnd w:id="205"/>
      <w:bookmarkEnd w:id="206"/>
      <w:bookmarkEnd w:id="207"/>
      <w:r>
        <w:rPr>
          <w:rFonts w:hint="eastAsia" w:hAnsi="宋体" w:cs="宋体"/>
          <w:b/>
          <w:bCs/>
          <w:sz w:val="21"/>
          <w:szCs w:val="21"/>
        </w:rPr>
        <w:t>开标一览表</w:t>
      </w:r>
      <w:bookmarkEnd w:id="208"/>
    </w:p>
    <w:p w14:paraId="5D524376">
      <w:pPr>
        <w:jc w:val="center"/>
        <w:rPr>
          <w:rFonts w:hint="eastAsia" w:hAnsi="宋体" w:cs="宋体"/>
          <w:b/>
          <w:sz w:val="21"/>
          <w:szCs w:val="21"/>
        </w:rPr>
      </w:pPr>
    </w:p>
    <w:p w14:paraId="5CD0C5F5">
      <w:pPr>
        <w:jc w:val="left"/>
        <w:rPr>
          <w:rFonts w:hint="eastAsia" w:hAnsi="宋体" w:cs="宋体"/>
          <w:bCs/>
          <w:sz w:val="21"/>
          <w:szCs w:val="21"/>
        </w:rPr>
      </w:pPr>
      <w:r>
        <w:rPr>
          <w:rFonts w:hint="eastAsia" w:hAnsi="宋体" w:cs="宋体"/>
          <w:bCs/>
          <w:sz w:val="21"/>
          <w:szCs w:val="21"/>
        </w:rPr>
        <w:t>项目名称：</w:t>
      </w:r>
    </w:p>
    <w:p w14:paraId="21EB50C3">
      <w:pPr>
        <w:pStyle w:val="22"/>
        <w:rPr>
          <w:sz w:val="21"/>
          <w:szCs w:val="21"/>
        </w:rPr>
      </w:pPr>
    </w:p>
    <w:p w14:paraId="11140502">
      <w:pPr>
        <w:jc w:val="left"/>
        <w:rPr>
          <w:rFonts w:hint="eastAsia" w:hAnsi="宋体" w:cs="宋体"/>
          <w:bCs/>
          <w:sz w:val="21"/>
          <w:szCs w:val="21"/>
        </w:rPr>
      </w:pPr>
      <w:r>
        <w:rPr>
          <w:rFonts w:hint="eastAsia" w:hAnsi="宋体" w:cs="宋体"/>
          <w:bCs/>
          <w:sz w:val="21"/>
          <w:szCs w:val="21"/>
        </w:rPr>
        <w:t>项目编号</w:t>
      </w:r>
      <w:r>
        <w:rPr>
          <w:rFonts w:hint="eastAsia" w:hAnsi="宋体" w:cs="宋体"/>
          <w:bCs/>
          <w:sz w:val="21"/>
          <w:szCs w:val="21"/>
          <w:lang w:eastAsia="zh-CN"/>
        </w:rPr>
        <w:t>、包号</w:t>
      </w:r>
      <w:r>
        <w:rPr>
          <w:rFonts w:hint="eastAsia" w:hAnsi="宋体" w:cs="宋体"/>
          <w:bCs/>
          <w:sz w:val="21"/>
          <w:szCs w:val="21"/>
        </w:rPr>
        <w:t>：</w:t>
      </w:r>
    </w:p>
    <w:p w14:paraId="45DE8C25">
      <w:pPr>
        <w:pStyle w:val="22"/>
        <w:rPr>
          <w:sz w:val="21"/>
          <w:szCs w:val="21"/>
        </w:rPr>
      </w:pPr>
    </w:p>
    <w:tbl>
      <w:tblPr>
        <w:tblStyle w:val="30"/>
        <w:tblW w:w="92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1"/>
        <w:gridCol w:w="2185"/>
        <w:gridCol w:w="1519"/>
        <w:gridCol w:w="2003"/>
        <w:gridCol w:w="1047"/>
      </w:tblGrid>
      <w:tr w14:paraId="4EC8C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2451" w:type="dxa"/>
            <w:tcBorders>
              <w:tl2br w:val="single" w:color="000000" w:sz="4" w:space="0"/>
            </w:tcBorders>
            <w:vAlign w:val="top"/>
          </w:tcPr>
          <w:p w14:paraId="45BAFDFC">
            <w:pPr>
              <w:pStyle w:val="29"/>
              <w:spacing w:before="149" w:line="339" w:lineRule="auto"/>
              <w:ind w:right="388" w:firstLine="811" w:firstLineChars="400"/>
              <w:rPr>
                <w:sz w:val="21"/>
                <w:szCs w:val="21"/>
              </w:rPr>
            </w:pPr>
            <w:r>
              <w:rPr>
                <w:b/>
                <w:bCs/>
                <w:spacing w:val="-4"/>
                <w:sz w:val="21"/>
                <w:szCs w:val="21"/>
              </w:rPr>
              <w:t>报价内容</w:t>
            </w:r>
            <w:r>
              <w:rPr>
                <w:sz w:val="21"/>
                <w:szCs w:val="21"/>
              </w:rPr>
              <w:t xml:space="preserve"> </w:t>
            </w:r>
          </w:p>
          <w:p w14:paraId="43CB5029">
            <w:pPr>
              <w:pStyle w:val="29"/>
              <w:spacing w:before="149" w:line="339" w:lineRule="auto"/>
              <w:ind w:right="388"/>
              <w:rPr>
                <w:b/>
                <w:bCs/>
                <w:spacing w:val="-6"/>
                <w:sz w:val="21"/>
                <w:szCs w:val="21"/>
              </w:rPr>
            </w:pPr>
          </w:p>
          <w:p w14:paraId="107B8ABB">
            <w:pPr>
              <w:pStyle w:val="29"/>
              <w:spacing w:before="149" w:line="339" w:lineRule="auto"/>
              <w:ind w:right="388"/>
              <w:rPr>
                <w:sz w:val="21"/>
                <w:szCs w:val="21"/>
              </w:rPr>
            </w:pPr>
            <w:r>
              <w:rPr>
                <w:b/>
                <w:bCs/>
                <w:spacing w:val="-6"/>
                <w:sz w:val="21"/>
                <w:szCs w:val="21"/>
              </w:rPr>
              <w:t>合同包</w:t>
            </w:r>
            <w:r>
              <w:rPr>
                <w:b/>
                <w:bCs/>
                <w:spacing w:val="-9"/>
                <w:sz w:val="21"/>
                <w:szCs w:val="21"/>
              </w:rPr>
              <w:t>名称</w:t>
            </w:r>
          </w:p>
        </w:tc>
        <w:tc>
          <w:tcPr>
            <w:tcW w:w="2185" w:type="dxa"/>
            <w:vAlign w:val="top"/>
          </w:tcPr>
          <w:p w14:paraId="536588F3">
            <w:pPr>
              <w:spacing w:line="462" w:lineRule="auto"/>
              <w:rPr>
                <w:rFonts w:ascii="Arial"/>
                <w:sz w:val="21"/>
                <w:szCs w:val="21"/>
              </w:rPr>
            </w:pPr>
          </w:p>
          <w:p w14:paraId="64C20C18">
            <w:pPr>
              <w:pStyle w:val="29"/>
              <w:spacing w:before="78" w:line="219" w:lineRule="auto"/>
              <w:jc w:val="center"/>
              <w:rPr>
                <w:b/>
                <w:bCs/>
                <w:spacing w:val="-8"/>
                <w:sz w:val="21"/>
                <w:szCs w:val="21"/>
              </w:rPr>
            </w:pPr>
            <w:r>
              <w:rPr>
                <w:b/>
                <w:bCs/>
                <w:spacing w:val="-8"/>
                <w:sz w:val="21"/>
                <w:szCs w:val="21"/>
              </w:rPr>
              <w:t>投标报价</w:t>
            </w:r>
          </w:p>
          <w:p w14:paraId="597CB3F0">
            <w:pPr>
              <w:pStyle w:val="29"/>
              <w:spacing w:before="78" w:line="219" w:lineRule="auto"/>
              <w:jc w:val="center"/>
              <w:rPr>
                <w:rFonts w:hint="default" w:eastAsia="宋体"/>
                <w:sz w:val="21"/>
                <w:szCs w:val="21"/>
                <w:lang w:val="en-US" w:eastAsia="zh-CN"/>
              </w:rPr>
            </w:pPr>
            <w:r>
              <w:rPr>
                <w:rFonts w:hint="eastAsia"/>
                <w:b/>
                <w:bCs/>
                <w:spacing w:val="-8"/>
                <w:sz w:val="21"/>
                <w:szCs w:val="21"/>
                <w:lang w:eastAsia="zh-CN"/>
              </w:rPr>
              <w:t>（</w:t>
            </w:r>
            <w:r>
              <w:rPr>
                <w:rFonts w:hint="eastAsia"/>
                <w:b/>
                <w:bCs/>
                <w:sz w:val="21"/>
                <w:szCs w:val="21"/>
                <w:lang w:val="en-US" w:eastAsia="zh-CN"/>
              </w:rPr>
              <w:t>元）</w:t>
            </w:r>
          </w:p>
          <w:p w14:paraId="759DC275">
            <w:pPr>
              <w:spacing w:line="462" w:lineRule="auto"/>
              <w:rPr>
                <w:rFonts w:ascii="宋体" w:hAnsi="宋体" w:eastAsia="宋体" w:cs="宋体"/>
                <w:b/>
                <w:bCs/>
                <w:spacing w:val="-4"/>
                <w:sz w:val="21"/>
                <w:szCs w:val="21"/>
                <w:lang w:val="en-US" w:eastAsia="en-US" w:bidi="ar-SA"/>
              </w:rPr>
            </w:pPr>
          </w:p>
          <w:p w14:paraId="74CA6DDD">
            <w:pPr>
              <w:pStyle w:val="29"/>
              <w:spacing w:before="78" w:line="220" w:lineRule="auto"/>
              <w:ind w:left="376"/>
              <w:rPr>
                <w:rFonts w:ascii="宋体" w:hAnsi="宋体" w:eastAsia="宋体" w:cs="宋体"/>
                <w:b/>
                <w:bCs/>
                <w:spacing w:val="-4"/>
                <w:sz w:val="21"/>
                <w:szCs w:val="21"/>
                <w:lang w:val="en-US" w:eastAsia="en-US" w:bidi="ar-SA"/>
              </w:rPr>
            </w:pPr>
          </w:p>
        </w:tc>
        <w:tc>
          <w:tcPr>
            <w:tcW w:w="1519" w:type="dxa"/>
            <w:vAlign w:val="top"/>
          </w:tcPr>
          <w:p w14:paraId="284C2FF9">
            <w:pPr>
              <w:spacing w:line="462" w:lineRule="auto"/>
              <w:rPr>
                <w:rFonts w:ascii="宋体" w:hAnsi="宋体" w:eastAsia="宋体" w:cs="宋体"/>
                <w:b/>
                <w:bCs/>
                <w:spacing w:val="-4"/>
                <w:sz w:val="21"/>
                <w:szCs w:val="21"/>
                <w:lang w:val="en-US" w:eastAsia="en-US" w:bidi="ar-SA"/>
              </w:rPr>
            </w:pPr>
          </w:p>
          <w:p w14:paraId="2691E65E">
            <w:pPr>
              <w:pStyle w:val="29"/>
              <w:spacing w:before="78" w:line="220" w:lineRule="auto"/>
              <w:jc w:val="center"/>
              <w:rPr>
                <w:rFonts w:hint="default" w:ascii="宋体" w:hAnsi="宋体" w:eastAsia="宋体" w:cs="宋体"/>
                <w:b/>
                <w:bCs/>
                <w:spacing w:val="-4"/>
                <w:sz w:val="21"/>
                <w:szCs w:val="21"/>
                <w:lang w:val="en-US" w:eastAsia="zh-CN" w:bidi="ar-SA"/>
              </w:rPr>
            </w:pPr>
            <w:r>
              <w:rPr>
                <w:rFonts w:hint="eastAsia" w:cs="宋体"/>
                <w:b/>
                <w:bCs/>
                <w:spacing w:val="-4"/>
                <w:sz w:val="21"/>
                <w:szCs w:val="21"/>
                <w:lang w:val="en-US" w:eastAsia="zh-CN" w:bidi="ar-SA"/>
              </w:rPr>
              <w:t>服务期</w:t>
            </w:r>
          </w:p>
        </w:tc>
        <w:tc>
          <w:tcPr>
            <w:tcW w:w="2003" w:type="dxa"/>
            <w:vAlign w:val="top"/>
          </w:tcPr>
          <w:p w14:paraId="4002572C">
            <w:pPr>
              <w:spacing w:line="462" w:lineRule="auto"/>
              <w:rPr>
                <w:rFonts w:hint="eastAsia" w:ascii="宋体" w:hAnsi="宋体" w:eastAsia="宋体" w:cs="宋体"/>
                <w:b/>
                <w:bCs/>
                <w:spacing w:val="-4"/>
                <w:sz w:val="21"/>
                <w:szCs w:val="21"/>
                <w:lang w:val="en-US" w:eastAsia="en-US" w:bidi="ar-SA"/>
              </w:rPr>
            </w:pPr>
          </w:p>
          <w:p w14:paraId="513E88AC">
            <w:pPr>
              <w:pStyle w:val="29"/>
              <w:spacing w:before="78" w:line="222" w:lineRule="auto"/>
              <w:rPr>
                <w:rFonts w:hint="eastAsia" w:ascii="宋体" w:hAnsi="宋体" w:eastAsia="宋体" w:cs="宋体"/>
                <w:b/>
                <w:bCs/>
                <w:spacing w:val="-4"/>
                <w:sz w:val="21"/>
                <w:szCs w:val="21"/>
                <w:lang w:val="en-US" w:eastAsia="en-US" w:bidi="ar-SA"/>
              </w:rPr>
            </w:pPr>
            <w:r>
              <w:rPr>
                <w:rFonts w:hint="eastAsia" w:ascii="宋体" w:hAnsi="宋体" w:eastAsia="宋体" w:cs="宋体"/>
                <w:b/>
                <w:bCs/>
                <w:spacing w:val="-4"/>
                <w:sz w:val="21"/>
                <w:szCs w:val="21"/>
                <w:lang w:val="en-US" w:eastAsia="en-US" w:bidi="ar-SA"/>
              </w:rPr>
              <w:t>质量标准及验收标准</w:t>
            </w:r>
          </w:p>
        </w:tc>
        <w:tc>
          <w:tcPr>
            <w:tcW w:w="1047" w:type="dxa"/>
            <w:vAlign w:val="top"/>
          </w:tcPr>
          <w:p w14:paraId="206F1BC2">
            <w:pPr>
              <w:pStyle w:val="29"/>
              <w:spacing w:before="78" w:line="222" w:lineRule="auto"/>
              <w:ind w:left="413"/>
              <w:rPr>
                <w:rFonts w:hint="eastAsia" w:ascii="宋体" w:hAnsi="宋体" w:eastAsia="宋体" w:cs="宋体"/>
                <w:b/>
                <w:bCs/>
                <w:spacing w:val="-4"/>
                <w:sz w:val="21"/>
                <w:szCs w:val="21"/>
                <w:lang w:val="en-US" w:eastAsia="en-US" w:bidi="ar-SA"/>
              </w:rPr>
            </w:pPr>
          </w:p>
          <w:p w14:paraId="70F80E51">
            <w:pPr>
              <w:pStyle w:val="29"/>
              <w:spacing w:before="78" w:line="222" w:lineRule="auto"/>
              <w:ind w:left="413"/>
              <w:rPr>
                <w:rFonts w:hint="eastAsia" w:ascii="宋体" w:hAnsi="宋体" w:eastAsia="宋体" w:cs="宋体"/>
                <w:b/>
                <w:bCs/>
                <w:spacing w:val="-4"/>
                <w:sz w:val="21"/>
                <w:szCs w:val="21"/>
                <w:lang w:val="en-US" w:eastAsia="en-US" w:bidi="ar-SA"/>
              </w:rPr>
            </w:pPr>
          </w:p>
          <w:p w14:paraId="006D03EE">
            <w:pPr>
              <w:pStyle w:val="29"/>
              <w:spacing w:before="78" w:line="222" w:lineRule="auto"/>
              <w:ind w:left="413"/>
              <w:rPr>
                <w:rFonts w:hint="eastAsia" w:ascii="宋体" w:hAnsi="宋体" w:eastAsia="宋体" w:cs="宋体"/>
                <w:b/>
                <w:bCs/>
                <w:spacing w:val="-4"/>
                <w:sz w:val="21"/>
                <w:szCs w:val="21"/>
                <w:lang w:val="en-US" w:eastAsia="en-US" w:bidi="ar-SA"/>
              </w:rPr>
            </w:pPr>
            <w:r>
              <w:rPr>
                <w:rFonts w:hint="eastAsia" w:ascii="宋体" w:hAnsi="宋体" w:eastAsia="宋体" w:cs="宋体"/>
                <w:b/>
                <w:bCs/>
                <w:spacing w:val="-4"/>
                <w:sz w:val="21"/>
                <w:szCs w:val="21"/>
                <w:lang w:val="en-US" w:eastAsia="en-US" w:bidi="ar-SA"/>
              </w:rPr>
              <w:t>备注</w:t>
            </w:r>
          </w:p>
        </w:tc>
      </w:tr>
      <w:tr w14:paraId="7B7A1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trPr>
        <w:tc>
          <w:tcPr>
            <w:tcW w:w="2451" w:type="dxa"/>
            <w:vAlign w:val="top"/>
          </w:tcPr>
          <w:p w14:paraId="4ACBA2F4">
            <w:pPr>
              <w:rPr>
                <w:rFonts w:ascii="Arial"/>
                <w:sz w:val="21"/>
                <w:szCs w:val="21"/>
              </w:rPr>
            </w:pPr>
          </w:p>
        </w:tc>
        <w:tc>
          <w:tcPr>
            <w:tcW w:w="2185" w:type="dxa"/>
            <w:vAlign w:val="top"/>
          </w:tcPr>
          <w:p w14:paraId="0298859B">
            <w:pPr>
              <w:rPr>
                <w:rFonts w:ascii="Arial"/>
                <w:sz w:val="21"/>
                <w:szCs w:val="21"/>
              </w:rPr>
            </w:pPr>
          </w:p>
        </w:tc>
        <w:tc>
          <w:tcPr>
            <w:tcW w:w="1519" w:type="dxa"/>
            <w:vAlign w:val="top"/>
          </w:tcPr>
          <w:p w14:paraId="2FCC0945">
            <w:pPr>
              <w:rPr>
                <w:rFonts w:ascii="Arial"/>
                <w:sz w:val="21"/>
                <w:szCs w:val="21"/>
              </w:rPr>
            </w:pPr>
          </w:p>
        </w:tc>
        <w:tc>
          <w:tcPr>
            <w:tcW w:w="2003" w:type="dxa"/>
            <w:vAlign w:val="top"/>
          </w:tcPr>
          <w:p w14:paraId="3F50FF7D">
            <w:pPr>
              <w:rPr>
                <w:rFonts w:ascii="Arial"/>
                <w:sz w:val="21"/>
                <w:szCs w:val="21"/>
              </w:rPr>
            </w:pPr>
          </w:p>
        </w:tc>
        <w:tc>
          <w:tcPr>
            <w:tcW w:w="1047" w:type="dxa"/>
            <w:vAlign w:val="top"/>
          </w:tcPr>
          <w:p w14:paraId="5B3293E6">
            <w:pPr>
              <w:rPr>
                <w:rFonts w:ascii="Arial"/>
                <w:sz w:val="21"/>
                <w:szCs w:val="21"/>
              </w:rPr>
            </w:pPr>
          </w:p>
        </w:tc>
      </w:tr>
      <w:tr w14:paraId="070F8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2451" w:type="dxa"/>
            <w:vAlign w:val="top"/>
          </w:tcPr>
          <w:p w14:paraId="7E63E5F9">
            <w:pPr>
              <w:pStyle w:val="29"/>
              <w:spacing w:before="238" w:line="219" w:lineRule="auto"/>
              <w:ind w:left="908"/>
              <w:rPr>
                <w:sz w:val="21"/>
                <w:szCs w:val="21"/>
              </w:rPr>
            </w:pPr>
            <w:r>
              <w:rPr>
                <w:b/>
                <w:bCs/>
                <w:spacing w:val="-5"/>
                <w:sz w:val="21"/>
                <w:szCs w:val="21"/>
              </w:rPr>
              <w:t>投标报价</w:t>
            </w:r>
          </w:p>
        </w:tc>
        <w:tc>
          <w:tcPr>
            <w:tcW w:w="5707" w:type="dxa"/>
            <w:gridSpan w:val="3"/>
            <w:vAlign w:val="top"/>
          </w:tcPr>
          <w:p w14:paraId="129256A5">
            <w:pPr>
              <w:pStyle w:val="29"/>
              <w:spacing w:before="239" w:line="219" w:lineRule="auto"/>
              <w:ind w:left="114"/>
              <w:rPr>
                <w:sz w:val="21"/>
                <w:szCs w:val="21"/>
              </w:rPr>
            </w:pPr>
            <w:r>
              <w:rPr>
                <w:b/>
                <w:bCs/>
                <w:spacing w:val="-4"/>
                <w:sz w:val="21"/>
                <w:szCs w:val="21"/>
              </w:rPr>
              <w:t>人民币大写：</w:t>
            </w:r>
          </w:p>
        </w:tc>
        <w:tc>
          <w:tcPr>
            <w:tcW w:w="1047" w:type="dxa"/>
            <w:vAlign w:val="top"/>
          </w:tcPr>
          <w:p w14:paraId="4032B09E">
            <w:pPr>
              <w:pStyle w:val="29"/>
              <w:spacing w:before="239" w:line="219" w:lineRule="auto"/>
              <w:ind w:left="114"/>
              <w:rPr>
                <w:b/>
                <w:bCs/>
                <w:spacing w:val="-4"/>
                <w:sz w:val="21"/>
                <w:szCs w:val="21"/>
              </w:rPr>
            </w:pPr>
          </w:p>
        </w:tc>
      </w:tr>
    </w:tbl>
    <w:p w14:paraId="62D01210">
      <w:pPr>
        <w:tabs>
          <w:tab w:val="left" w:pos="7200"/>
          <w:tab w:val="left" w:pos="8504"/>
        </w:tabs>
        <w:spacing w:line="360" w:lineRule="auto"/>
        <w:ind w:right="-1"/>
        <w:rPr>
          <w:rFonts w:hAnsi="宋体" w:cs="宋体"/>
          <w:sz w:val="21"/>
          <w:szCs w:val="21"/>
        </w:rPr>
      </w:pPr>
    </w:p>
    <w:p w14:paraId="520E8936">
      <w:pPr>
        <w:tabs>
          <w:tab w:val="left" w:pos="7200"/>
          <w:tab w:val="left" w:pos="8504"/>
        </w:tabs>
        <w:spacing w:line="360" w:lineRule="auto"/>
        <w:ind w:right="-1"/>
        <w:rPr>
          <w:rFonts w:hAnsi="宋体" w:cs="宋体"/>
          <w:sz w:val="21"/>
          <w:szCs w:val="21"/>
        </w:rPr>
      </w:pPr>
      <w:r>
        <w:rPr>
          <w:rFonts w:hAnsi="宋体" w:cs="宋体"/>
          <w:sz w:val="21"/>
          <w:szCs w:val="21"/>
        </w:rPr>
        <w:t>备注：表内报价内容以元为单位，精确到两位小数。</w:t>
      </w:r>
    </w:p>
    <w:p w14:paraId="6175CAFB">
      <w:pPr>
        <w:tabs>
          <w:tab w:val="left" w:pos="7200"/>
          <w:tab w:val="left" w:pos="8504"/>
        </w:tabs>
        <w:spacing w:line="360" w:lineRule="auto"/>
        <w:ind w:right="-1"/>
        <w:rPr>
          <w:rFonts w:hAnsi="宋体" w:cs="宋体"/>
          <w:sz w:val="21"/>
          <w:szCs w:val="21"/>
        </w:rPr>
      </w:pPr>
    </w:p>
    <w:p w14:paraId="17C96C9B">
      <w:pPr>
        <w:spacing w:before="79" w:line="219" w:lineRule="auto"/>
        <w:ind w:left="150"/>
        <w:rPr>
          <w:rFonts w:ascii="宋体" w:hAnsi="宋体" w:eastAsia="宋体" w:cs="宋体"/>
          <w:sz w:val="21"/>
          <w:szCs w:val="21"/>
        </w:rPr>
      </w:pPr>
      <w:r>
        <w:rPr>
          <w:rFonts w:ascii="宋体" w:hAnsi="宋体" w:eastAsia="宋体" w:cs="宋体"/>
          <w:spacing w:val="-1"/>
          <w:sz w:val="21"/>
          <w:szCs w:val="21"/>
        </w:rPr>
        <w:t>注:此表中，投标报价应和费用组成明细表的总价相一致。</w:t>
      </w:r>
    </w:p>
    <w:p w14:paraId="49848584">
      <w:pPr>
        <w:tabs>
          <w:tab w:val="left" w:pos="7200"/>
          <w:tab w:val="left" w:pos="8504"/>
        </w:tabs>
        <w:spacing w:line="360" w:lineRule="auto"/>
        <w:ind w:right="-1"/>
        <w:rPr>
          <w:rFonts w:hAnsi="宋体" w:cs="宋体"/>
          <w:sz w:val="21"/>
          <w:szCs w:val="21"/>
        </w:rPr>
      </w:pPr>
    </w:p>
    <w:p w14:paraId="7862C33A">
      <w:pPr>
        <w:spacing w:line="120" w:lineRule="exact"/>
        <w:rPr>
          <w:rFonts w:hAnsi="宋体" w:cs="宋体"/>
          <w:sz w:val="21"/>
          <w:szCs w:val="21"/>
        </w:rPr>
      </w:pPr>
    </w:p>
    <w:p w14:paraId="54964222">
      <w:pPr>
        <w:spacing w:line="480" w:lineRule="auto"/>
        <w:ind w:right="617" w:rightChars="257"/>
        <w:jc w:val="left"/>
        <w:rPr>
          <w:rFonts w:hAnsi="宋体" w:cs="宋体"/>
          <w:sz w:val="21"/>
          <w:szCs w:val="21"/>
        </w:rPr>
      </w:pPr>
      <w:r>
        <w:rPr>
          <w:rFonts w:hint="eastAsia" w:hAnsi="宋体" w:cs="宋体"/>
          <w:sz w:val="21"/>
          <w:szCs w:val="21"/>
        </w:rPr>
        <w:t>供应商名称：</w:t>
      </w:r>
      <w:r>
        <w:rPr>
          <w:rFonts w:hint="eastAsia" w:hAnsi="宋体" w:cs="宋体"/>
          <w:sz w:val="21"/>
          <w:szCs w:val="21"/>
          <w:u w:val="single"/>
        </w:rPr>
        <w:t xml:space="preserve">      （加盖单位公章）      </w:t>
      </w:r>
    </w:p>
    <w:p w14:paraId="4D5AF4AE">
      <w:pPr>
        <w:spacing w:line="480" w:lineRule="auto"/>
        <w:ind w:right="617" w:rightChars="257"/>
        <w:jc w:val="left"/>
        <w:rPr>
          <w:rFonts w:hAnsi="宋体" w:cs="宋体"/>
          <w:sz w:val="21"/>
          <w:szCs w:val="21"/>
        </w:rPr>
      </w:pPr>
      <w:r>
        <w:rPr>
          <w:rFonts w:hint="eastAsia" w:hAnsi="宋体" w:cs="宋体"/>
          <w:sz w:val="21"/>
          <w:szCs w:val="21"/>
        </w:rPr>
        <w:t>法定代表人/被授权人签字或盖章：</w:t>
      </w:r>
    </w:p>
    <w:p w14:paraId="691B0F84">
      <w:pPr>
        <w:spacing w:line="480" w:lineRule="auto"/>
        <w:ind w:right="617" w:rightChars="257"/>
        <w:rPr>
          <w:rFonts w:hint="eastAsia" w:hAnsi="宋体" w:cs="宋体"/>
          <w:sz w:val="21"/>
          <w:szCs w:val="21"/>
        </w:rPr>
      </w:pPr>
      <w:r>
        <w:rPr>
          <w:rFonts w:hint="eastAsia" w:hAnsi="宋体" w:cs="宋体"/>
          <w:sz w:val="21"/>
          <w:szCs w:val="21"/>
        </w:rPr>
        <w:t>日    期：</w:t>
      </w:r>
    </w:p>
    <w:p w14:paraId="2B7A8506">
      <w:pPr>
        <w:rPr>
          <w:rFonts w:hint="eastAsia" w:hAnsi="宋体" w:cs="宋体"/>
          <w:sz w:val="21"/>
          <w:szCs w:val="21"/>
        </w:rPr>
      </w:pPr>
      <w:r>
        <w:rPr>
          <w:rFonts w:hint="eastAsia" w:hAnsi="宋体" w:cs="宋体"/>
          <w:sz w:val="21"/>
          <w:szCs w:val="21"/>
        </w:rPr>
        <w:br w:type="page"/>
      </w:r>
    </w:p>
    <w:p w14:paraId="2AA58821">
      <w:pPr>
        <w:spacing w:before="78" w:line="220" w:lineRule="auto"/>
        <w:ind w:left="3911"/>
        <w:rPr>
          <w:rFonts w:ascii="宋体" w:hAnsi="宋体" w:eastAsia="宋体" w:cs="宋体"/>
          <w:b/>
          <w:bCs/>
          <w:spacing w:val="-4"/>
          <w:sz w:val="21"/>
          <w:szCs w:val="21"/>
        </w:rPr>
      </w:pPr>
      <w:r>
        <w:rPr>
          <w:rFonts w:ascii="宋体" w:hAnsi="宋体" w:eastAsia="宋体" w:cs="宋体"/>
          <w:b/>
          <w:bCs/>
          <w:spacing w:val="-4"/>
          <w:sz w:val="21"/>
          <w:szCs w:val="21"/>
        </w:rPr>
        <w:t>费用组成明细表</w:t>
      </w:r>
    </w:p>
    <w:p w14:paraId="3EC00DCF">
      <w:pPr>
        <w:jc w:val="left"/>
        <w:rPr>
          <w:rFonts w:hint="eastAsia" w:hAnsi="宋体" w:cs="宋体"/>
          <w:bCs/>
          <w:sz w:val="21"/>
          <w:szCs w:val="21"/>
        </w:rPr>
      </w:pPr>
      <w:r>
        <w:rPr>
          <w:rFonts w:hint="eastAsia" w:hAnsi="宋体" w:cs="宋体"/>
          <w:bCs/>
          <w:sz w:val="21"/>
          <w:szCs w:val="21"/>
        </w:rPr>
        <w:t>项目名称：</w:t>
      </w:r>
    </w:p>
    <w:p w14:paraId="6549E176">
      <w:pPr>
        <w:spacing w:before="78" w:line="220" w:lineRule="auto"/>
        <w:jc w:val="left"/>
        <w:rPr>
          <w:rFonts w:hint="eastAsia" w:hAnsi="宋体" w:cs="宋体"/>
          <w:bCs/>
          <w:sz w:val="21"/>
          <w:szCs w:val="21"/>
        </w:rPr>
      </w:pPr>
      <w:r>
        <w:rPr>
          <w:rFonts w:hint="eastAsia" w:hAnsi="宋体" w:cs="宋体"/>
          <w:bCs/>
          <w:sz w:val="21"/>
          <w:szCs w:val="21"/>
        </w:rPr>
        <w:t>项目编号</w:t>
      </w:r>
      <w:r>
        <w:rPr>
          <w:rFonts w:hint="eastAsia" w:hAnsi="宋体" w:cs="宋体"/>
          <w:bCs/>
          <w:sz w:val="21"/>
          <w:szCs w:val="21"/>
          <w:lang w:eastAsia="zh-CN"/>
        </w:rPr>
        <w:t>、包号</w:t>
      </w:r>
      <w:r>
        <w:rPr>
          <w:rFonts w:hint="eastAsia" w:hAnsi="宋体" w:cs="宋体"/>
          <w:bCs/>
          <w:sz w:val="21"/>
          <w:szCs w:val="21"/>
        </w:rPr>
        <w:t>：</w:t>
      </w:r>
    </w:p>
    <w:p w14:paraId="319D8D71">
      <w:pPr>
        <w:spacing w:before="78" w:line="220" w:lineRule="auto"/>
        <w:jc w:val="left"/>
        <w:rPr>
          <w:rFonts w:hint="eastAsia" w:hAnsi="宋体" w:cs="宋体"/>
          <w:bCs/>
          <w:sz w:val="21"/>
          <w:szCs w:val="21"/>
        </w:rPr>
      </w:pPr>
    </w:p>
    <w:tbl>
      <w:tblPr>
        <w:tblStyle w:val="30"/>
        <w:tblW w:w="83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0"/>
        <w:gridCol w:w="2289"/>
        <w:gridCol w:w="1065"/>
        <w:gridCol w:w="1003"/>
        <w:gridCol w:w="1038"/>
        <w:gridCol w:w="1038"/>
        <w:gridCol w:w="1043"/>
      </w:tblGrid>
      <w:tr w14:paraId="761C2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40" w:type="dxa"/>
            <w:vAlign w:val="top"/>
          </w:tcPr>
          <w:p w14:paraId="4CD3FC03">
            <w:pPr>
              <w:pStyle w:val="29"/>
              <w:spacing w:before="40" w:line="222" w:lineRule="auto"/>
              <w:ind w:left="233"/>
              <w:rPr>
                <w:sz w:val="21"/>
                <w:szCs w:val="21"/>
              </w:rPr>
            </w:pPr>
            <w:r>
              <w:rPr>
                <w:spacing w:val="-5"/>
                <w:sz w:val="21"/>
                <w:szCs w:val="21"/>
              </w:rPr>
              <w:t>序号</w:t>
            </w:r>
          </w:p>
        </w:tc>
        <w:tc>
          <w:tcPr>
            <w:tcW w:w="2289" w:type="dxa"/>
            <w:vAlign w:val="top"/>
          </w:tcPr>
          <w:p w14:paraId="0BE37AB3">
            <w:pPr>
              <w:pStyle w:val="29"/>
              <w:spacing w:before="40" w:line="220" w:lineRule="auto"/>
              <w:ind w:left="258"/>
              <w:rPr>
                <w:sz w:val="21"/>
                <w:szCs w:val="21"/>
              </w:rPr>
            </w:pPr>
            <w:r>
              <w:rPr>
                <w:spacing w:val="-2"/>
                <w:sz w:val="21"/>
                <w:szCs w:val="21"/>
              </w:rPr>
              <w:t>分项费用名称/类别</w:t>
            </w:r>
          </w:p>
        </w:tc>
        <w:tc>
          <w:tcPr>
            <w:tcW w:w="1065" w:type="dxa"/>
            <w:vAlign w:val="top"/>
          </w:tcPr>
          <w:p w14:paraId="688FDA2E">
            <w:pPr>
              <w:pStyle w:val="29"/>
              <w:spacing w:before="40" w:line="221" w:lineRule="auto"/>
              <w:ind w:left="117"/>
              <w:rPr>
                <w:sz w:val="21"/>
                <w:szCs w:val="21"/>
              </w:rPr>
            </w:pPr>
            <w:r>
              <w:rPr>
                <w:spacing w:val="-3"/>
                <w:sz w:val="21"/>
                <w:szCs w:val="21"/>
              </w:rPr>
              <w:t>计量单位</w:t>
            </w:r>
          </w:p>
        </w:tc>
        <w:tc>
          <w:tcPr>
            <w:tcW w:w="1003" w:type="dxa"/>
            <w:vAlign w:val="top"/>
          </w:tcPr>
          <w:p w14:paraId="1423F2D8">
            <w:pPr>
              <w:pStyle w:val="29"/>
              <w:spacing w:before="40" w:line="219" w:lineRule="auto"/>
              <w:ind w:left="325"/>
              <w:rPr>
                <w:sz w:val="21"/>
                <w:szCs w:val="21"/>
              </w:rPr>
            </w:pPr>
            <w:r>
              <w:rPr>
                <w:spacing w:val="-6"/>
                <w:sz w:val="21"/>
                <w:szCs w:val="21"/>
              </w:rPr>
              <w:t>单价</w:t>
            </w:r>
          </w:p>
        </w:tc>
        <w:tc>
          <w:tcPr>
            <w:tcW w:w="1038" w:type="dxa"/>
            <w:vAlign w:val="top"/>
          </w:tcPr>
          <w:p w14:paraId="0639288E">
            <w:pPr>
              <w:pStyle w:val="29"/>
              <w:spacing w:before="40" w:line="220" w:lineRule="auto"/>
              <w:ind w:left="345"/>
              <w:rPr>
                <w:sz w:val="21"/>
                <w:szCs w:val="21"/>
              </w:rPr>
            </w:pPr>
            <w:r>
              <w:rPr>
                <w:spacing w:val="-6"/>
                <w:sz w:val="21"/>
                <w:szCs w:val="21"/>
              </w:rPr>
              <w:t>数量</w:t>
            </w:r>
          </w:p>
        </w:tc>
        <w:tc>
          <w:tcPr>
            <w:tcW w:w="1038" w:type="dxa"/>
            <w:vAlign w:val="top"/>
          </w:tcPr>
          <w:p w14:paraId="2C0C5084">
            <w:pPr>
              <w:pStyle w:val="29"/>
              <w:spacing w:before="40" w:line="222" w:lineRule="auto"/>
              <w:ind w:left="344"/>
              <w:rPr>
                <w:sz w:val="21"/>
                <w:szCs w:val="21"/>
              </w:rPr>
            </w:pPr>
            <w:r>
              <w:rPr>
                <w:spacing w:val="-6"/>
                <w:sz w:val="21"/>
                <w:szCs w:val="21"/>
              </w:rPr>
              <w:t>合计</w:t>
            </w:r>
          </w:p>
        </w:tc>
        <w:tc>
          <w:tcPr>
            <w:tcW w:w="1043" w:type="dxa"/>
            <w:vAlign w:val="top"/>
          </w:tcPr>
          <w:p w14:paraId="0F141BDF">
            <w:pPr>
              <w:pStyle w:val="29"/>
              <w:spacing w:before="40" w:line="222" w:lineRule="auto"/>
              <w:ind w:left="349"/>
              <w:rPr>
                <w:sz w:val="21"/>
                <w:szCs w:val="21"/>
              </w:rPr>
            </w:pPr>
            <w:r>
              <w:rPr>
                <w:spacing w:val="-7"/>
                <w:sz w:val="21"/>
                <w:szCs w:val="21"/>
              </w:rPr>
              <w:t>备注</w:t>
            </w:r>
          </w:p>
        </w:tc>
      </w:tr>
      <w:tr w14:paraId="1E09B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40" w:type="dxa"/>
            <w:vAlign w:val="top"/>
          </w:tcPr>
          <w:p w14:paraId="505AF7D6">
            <w:pPr>
              <w:rPr>
                <w:rFonts w:ascii="Arial"/>
                <w:sz w:val="21"/>
                <w:szCs w:val="21"/>
              </w:rPr>
            </w:pPr>
          </w:p>
        </w:tc>
        <w:tc>
          <w:tcPr>
            <w:tcW w:w="2289" w:type="dxa"/>
            <w:vAlign w:val="top"/>
          </w:tcPr>
          <w:p w14:paraId="59FD6D2D">
            <w:pPr>
              <w:rPr>
                <w:rFonts w:ascii="Arial"/>
                <w:sz w:val="21"/>
                <w:szCs w:val="21"/>
              </w:rPr>
            </w:pPr>
          </w:p>
        </w:tc>
        <w:tc>
          <w:tcPr>
            <w:tcW w:w="1065" w:type="dxa"/>
            <w:vAlign w:val="top"/>
          </w:tcPr>
          <w:p w14:paraId="74F57F9E">
            <w:pPr>
              <w:rPr>
                <w:rFonts w:ascii="Arial"/>
                <w:sz w:val="21"/>
                <w:szCs w:val="21"/>
              </w:rPr>
            </w:pPr>
          </w:p>
        </w:tc>
        <w:tc>
          <w:tcPr>
            <w:tcW w:w="1003" w:type="dxa"/>
            <w:vAlign w:val="top"/>
          </w:tcPr>
          <w:p w14:paraId="0017F5B0">
            <w:pPr>
              <w:rPr>
                <w:rFonts w:ascii="Arial"/>
                <w:sz w:val="21"/>
                <w:szCs w:val="21"/>
              </w:rPr>
            </w:pPr>
          </w:p>
        </w:tc>
        <w:tc>
          <w:tcPr>
            <w:tcW w:w="1038" w:type="dxa"/>
            <w:vAlign w:val="top"/>
          </w:tcPr>
          <w:p w14:paraId="2317FBD3">
            <w:pPr>
              <w:rPr>
                <w:rFonts w:ascii="Arial"/>
                <w:sz w:val="21"/>
                <w:szCs w:val="21"/>
              </w:rPr>
            </w:pPr>
          </w:p>
        </w:tc>
        <w:tc>
          <w:tcPr>
            <w:tcW w:w="1038" w:type="dxa"/>
            <w:vAlign w:val="top"/>
          </w:tcPr>
          <w:p w14:paraId="4C3F92C9">
            <w:pPr>
              <w:rPr>
                <w:rFonts w:ascii="Arial"/>
                <w:sz w:val="21"/>
                <w:szCs w:val="21"/>
              </w:rPr>
            </w:pPr>
          </w:p>
        </w:tc>
        <w:tc>
          <w:tcPr>
            <w:tcW w:w="1043" w:type="dxa"/>
            <w:vAlign w:val="top"/>
          </w:tcPr>
          <w:p w14:paraId="2A6C63BF">
            <w:pPr>
              <w:rPr>
                <w:rFonts w:ascii="Arial"/>
                <w:sz w:val="21"/>
                <w:szCs w:val="21"/>
              </w:rPr>
            </w:pPr>
          </w:p>
        </w:tc>
      </w:tr>
      <w:tr w14:paraId="63C9B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40" w:type="dxa"/>
            <w:vAlign w:val="top"/>
          </w:tcPr>
          <w:p w14:paraId="67DFB261">
            <w:pPr>
              <w:rPr>
                <w:rFonts w:ascii="Arial"/>
                <w:sz w:val="21"/>
                <w:szCs w:val="21"/>
              </w:rPr>
            </w:pPr>
          </w:p>
        </w:tc>
        <w:tc>
          <w:tcPr>
            <w:tcW w:w="2289" w:type="dxa"/>
            <w:vAlign w:val="top"/>
          </w:tcPr>
          <w:p w14:paraId="59400ED1">
            <w:pPr>
              <w:rPr>
                <w:rFonts w:ascii="Arial"/>
                <w:sz w:val="21"/>
                <w:szCs w:val="21"/>
              </w:rPr>
            </w:pPr>
          </w:p>
        </w:tc>
        <w:tc>
          <w:tcPr>
            <w:tcW w:w="1065" w:type="dxa"/>
            <w:vAlign w:val="top"/>
          </w:tcPr>
          <w:p w14:paraId="580E56B4">
            <w:pPr>
              <w:rPr>
                <w:rFonts w:ascii="Arial"/>
                <w:sz w:val="21"/>
                <w:szCs w:val="21"/>
              </w:rPr>
            </w:pPr>
          </w:p>
        </w:tc>
        <w:tc>
          <w:tcPr>
            <w:tcW w:w="1003" w:type="dxa"/>
            <w:vAlign w:val="top"/>
          </w:tcPr>
          <w:p w14:paraId="09CFBB1E">
            <w:pPr>
              <w:rPr>
                <w:rFonts w:ascii="Arial"/>
                <w:sz w:val="21"/>
                <w:szCs w:val="21"/>
              </w:rPr>
            </w:pPr>
          </w:p>
        </w:tc>
        <w:tc>
          <w:tcPr>
            <w:tcW w:w="1038" w:type="dxa"/>
            <w:vAlign w:val="top"/>
          </w:tcPr>
          <w:p w14:paraId="35277B8E">
            <w:pPr>
              <w:rPr>
                <w:rFonts w:ascii="Arial"/>
                <w:sz w:val="21"/>
                <w:szCs w:val="21"/>
              </w:rPr>
            </w:pPr>
          </w:p>
        </w:tc>
        <w:tc>
          <w:tcPr>
            <w:tcW w:w="1038" w:type="dxa"/>
            <w:vAlign w:val="top"/>
          </w:tcPr>
          <w:p w14:paraId="6B4FD253">
            <w:pPr>
              <w:rPr>
                <w:rFonts w:ascii="Arial"/>
                <w:sz w:val="21"/>
                <w:szCs w:val="21"/>
              </w:rPr>
            </w:pPr>
          </w:p>
        </w:tc>
        <w:tc>
          <w:tcPr>
            <w:tcW w:w="1043" w:type="dxa"/>
            <w:vAlign w:val="top"/>
          </w:tcPr>
          <w:p w14:paraId="0624A623">
            <w:pPr>
              <w:rPr>
                <w:rFonts w:ascii="Arial"/>
                <w:sz w:val="21"/>
                <w:szCs w:val="21"/>
              </w:rPr>
            </w:pPr>
          </w:p>
        </w:tc>
      </w:tr>
      <w:tr w14:paraId="20B4D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40" w:type="dxa"/>
            <w:vAlign w:val="top"/>
          </w:tcPr>
          <w:p w14:paraId="185394EE">
            <w:pPr>
              <w:rPr>
                <w:rFonts w:ascii="Arial"/>
                <w:sz w:val="21"/>
                <w:szCs w:val="21"/>
              </w:rPr>
            </w:pPr>
          </w:p>
        </w:tc>
        <w:tc>
          <w:tcPr>
            <w:tcW w:w="2289" w:type="dxa"/>
            <w:vAlign w:val="top"/>
          </w:tcPr>
          <w:p w14:paraId="08BA1925">
            <w:pPr>
              <w:rPr>
                <w:rFonts w:ascii="Arial"/>
                <w:sz w:val="21"/>
                <w:szCs w:val="21"/>
              </w:rPr>
            </w:pPr>
          </w:p>
        </w:tc>
        <w:tc>
          <w:tcPr>
            <w:tcW w:w="1065" w:type="dxa"/>
            <w:vAlign w:val="top"/>
          </w:tcPr>
          <w:p w14:paraId="5C8C9E13">
            <w:pPr>
              <w:rPr>
                <w:rFonts w:ascii="Arial"/>
                <w:sz w:val="21"/>
                <w:szCs w:val="21"/>
              </w:rPr>
            </w:pPr>
          </w:p>
        </w:tc>
        <w:tc>
          <w:tcPr>
            <w:tcW w:w="1003" w:type="dxa"/>
            <w:vAlign w:val="top"/>
          </w:tcPr>
          <w:p w14:paraId="7375EB3D">
            <w:pPr>
              <w:rPr>
                <w:rFonts w:ascii="Arial"/>
                <w:sz w:val="21"/>
                <w:szCs w:val="21"/>
              </w:rPr>
            </w:pPr>
          </w:p>
        </w:tc>
        <w:tc>
          <w:tcPr>
            <w:tcW w:w="1038" w:type="dxa"/>
            <w:vAlign w:val="top"/>
          </w:tcPr>
          <w:p w14:paraId="527C003C">
            <w:pPr>
              <w:rPr>
                <w:rFonts w:ascii="Arial"/>
                <w:sz w:val="21"/>
                <w:szCs w:val="21"/>
              </w:rPr>
            </w:pPr>
          </w:p>
        </w:tc>
        <w:tc>
          <w:tcPr>
            <w:tcW w:w="1038" w:type="dxa"/>
            <w:vAlign w:val="top"/>
          </w:tcPr>
          <w:p w14:paraId="6286B681">
            <w:pPr>
              <w:rPr>
                <w:rFonts w:ascii="Arial"/>
                <w:sz w:val="21"/>
                <w:szCs w:val="21"/>
              </w:rPr>
            </w:pPr>
          </w:p>
        </w:tc>
        <w:tc>
          <w:tcPr>
            <w:tcW w:w="1043" w:type="dxa"/>
            <w:vAlign w:val="top"/>
          </w:tcPr>
          <w:p w14:paraId="08BCA56E">
            <w:pPr>
              <w:rPr>
                <w:rFonts w:ascii="Arial"/>
                <w:sz w:val="21"/>
                <w:szCs w:val="21"/>
              </w:rPr>
            </w:pPr>
          </w:p>
        </w:tc>
      </w:tr>
      <w:tr w14:paraId="17D2E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40" w:type="dxa"/>
            <w:vAlign w:val="top"/>
          </w:tcPr>
          <w:p w14:paraId="32A24353">
            <w:pPr>
              <w:rPr>
                <w:rFonts w:ascii="Arial"/>
                <w:sz w:val="21"/>
                <w:szCs w:val="21"/>
              </w:rPr>
            </w:pPr>
          </w:p>
        </w:tc>
        <w:tc>
          <w:tcPr>
            <w:tcW w:w="2289" w:type="dxa"/>
            <w:vAlign w:val="top"/>
          </w:tcPr>
          <w:p w14:paraId="31DF5E64">
            <w:pPr>
              <w:rPr>
                <w:rFonts w:ascii="Arial"/>
                <w:sz w:val="21"/>
                <w:szCs w:val="21"/>
              </w:rPr>
            </w:pPr>
          </w:p>
        </w:tc>
        <w:tc>
          <w:tcPr>
            <w:tcW w:w="1065" w:type="dxa"/>
            <w:vAlign w:val="top"/>
          </w:tcPr>
          <w:p w14:paraId="772315D8">
            <w:pPr>
              <w:rPr>
                <w:rFonts w:ascii="Arial"/>
                <w:sz w:val="21"/>
                <w:szCs w:val="21"/>
              </w:rPr>
            </w:pPr>
          </w:p>
        </w:tc>
        <w:tc>
          <w:tcPr>
            <w:tcW w:w="1003" w:type="dxa"/>
            <w:vAlign w:val="top"/>
          </w:tcPr>
          <w:p w14:paraId="5485960C">
            <w:pPr>
              <w:rPr>
                <w:rFonts w:ascii="Arial"/>
                <w:sz w:val="21"/>
                <w:szCs w:val="21"/>
              </w:rPr>
            </w:pPr>
          </w:p>
        </w:tc>
        <w:tc>
          <w:tcPr>
            <w:tcW w:w="1038" w:type="dxa"/>
            <w:vAlign w:val="top"/>
          </w:tcPr>
          <w:p w14:paraId="35AC8345">
            <w:pPr>
              <w:rPr>
                <w:rFonts w:ascii="Arial"/>
                <w:sz w:val="21"/>
                <w:szCs w:val="21"/>
              </w:rPr>
            </w:pPr>
          </w:p>
        </w:tc>
        <w:tc>
          <w:tcPr>
            <w:tcW w:w="1038" w:type="dxa"/>
            <w:vAlign w:val="top"/>
          </w:tcPr>
          <w:p w14:paraId="2B1FCE69">
            <w:pPr>
              <w:rPr>
                <w:rFonts w:ascii="Arial"/>
                <w:sz w:val="21"/>
                <w:szCs w:val="21"/>
              </w:rPr>
            </w:pPr>
          </w:p>
        </w:tc>
        <w:tc>
          <w:tcPr>
            <w:tcW w:w="1043" w:type="dxa"/>
            <w:vAlign w:val="top"/>
          </w:tcPr>
          <w:p w14:paraId="6C37D4F6">
            <w:pPr>
              <w:rPr>
                <w:rFonts w:ascii="Arial"/>
                <w:sz w:val="21"/>
                <w:szCs w:val="21"/>
              </w:rPr>
            </w:pPr>
          </w:p>
        </w:tc>
      </w:tr>
      <w:tr w14:paraId="24B22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40" w:type="dxa"/>
            <w:vAlign w:val="top"/>
          </w:tcPr>
          <w:p w14:paraId="0A9378EB">
            <w:pPr>
              <w:rPr>
                <w:rFonts w:ascii="Arial"/>
                <w:sz w:val="21"/>
                <w:szCs w:val="21"/>
              </w:rPr>
            </w:pPr>
          </w:p>
        </w:tc>
        <w:tc>
          <w:tcPr>
            <w:tcW w:w="2289" w:type="dxa"/>
            <w:vAlign w:val="top"/>
          </w:tcPr>
          <w:p w14:paraId="58565CB6">
            <w:pPr>
              <w:rPr>
                <w:rFonts w:ascii="Arial"/>
                <w:sz w:val="21"/>
                <w:szCs w:val="21"/>
              </w:rPr>
            </w:pPr>
          </w:p>
        </w:tc>
        <w:tc>
          <w:tcPr>
            <w:tcW w:w="1065" w:type="dxa"/>
            <w:vAlign w:val="top"/>
          </w:tcPr>
          <w:p w14:paraId="6283F7C1">
            <w:pPr>
              <w:rPr>
                <w:rFonts w:ascii="Arial"/>
                <w:sz w:val="21"/>
                <w:szCs w:val="21"/>
              </w:rPr>
            </w:pPr>
          </w:p>
        </w:tc>
        <w:tc>
          <w:tcPr>
            <w:tcW w:w="1003" w:type="dxa"/>
            <w:vAlign w:val="top"/>
          </w:tcPr>
          <w:p w14:paraId="4AE67820">
            <w:pPr>
              <w:rPr>
                <w:rFonts w:ascii="Arial"/>
                <w:sz w:val="21"/>
                <w:szCs w:val="21"/>
              </w:rPr>
            </w:pPr>
          </w:p>
        </w:tc>
        <w:tc>
          <w:tcPr>
            <w:tcW w:w="1038" w:type="dxa"/>
            <w:vAlign w:val="top"/>
          </w:tcPr>
          <w:p w14:paraId="4242741A">
            <w:pPr>
              <w:rPr>
                <w:rFonts w:ascii="Arial"/>
                <w:sz w:val="21"/>
                <w:szCs w:val="21"/>
              </w:rPr>
            </w:pPr>
          </w:p>
        </w:tc>
        <w:tc>
          <w:tcPr>
            <w:tcW w:w="1038" w:type="dxa"/>
            <w:vAlign w:val="top"/>
          </w:tcPr>
          <w:p w14:paraId="5E8FE2AE">
            <w:pPr>
              <w:rPr>
                <w:rFonts w:ascii="Arial"/>
                <w:sz w:val="21"/>
                <w:szCs w:val="21"/>
              </w:rPr>
            </w:pPr>
          </w:p>
        </w:tc>
        <w:tc>
          <w:tcPr>
            <w:tcW w:w="1043" w:type="dxa"/>
            <w:vAlign w:val="top"/>
          </w:tcPr>
          <w:p w14:paraId="3F8EF6FD">
            <w:pPr>
              <w:rPr>
                <w:rFonts w:ascii="Arial"/>
                <w:sz w:val="21"/>
                <w:szCs w:val="21"/>
              </w:rPr>
            </w:pPr>
          </w:p>
        </w:tc>
      </w:tr>
      <w:tr w14:paraId="6C7B5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3129" w:type="dxa"/>
            <w:gridSpan w:val="2"/>
            <w:vAlign w:val="top"/>
          </w:tcPr>
          <w:p w14:paraId="011654A1">
            <w:pPr>
              <w:pStyle w:val="29"/>
              <w:spacing w:before="272" w:line="219" w:lineRule="auto"/>
              <w:ind w:left="120"/>
              <w:rPr>
                <w:sz w:val="21"/>
                <w:szCs w:val="21"/>
              </w:rPr>
            </w:pPr>
            <w:r>
              <w:rPr>
                <w:spacing w:val="-3"/>
                <w:sz w:val="21"/>
                <w:szCs w:val="21"/>
              </w:rPr>
              <w:t>投标总报价</w:t>
            </w:r>
          </w:p>
        </w:tc>
        <w:tc>
          <w:tcPr>
            <w:tcW w:w="5187" w:type="dxa"/>
            <w:gridSpan w:val="5"/>
            <w:vAlign w:val="top"/>
          </w:tcPr>
          <w:p w14:paraId="78140CF4">
            <w:pPr>
              <w:pStyle w:val="29"/>
              <w:spacing w:before="40" w:line="222" w:lineRule="auto"/>
              <w:ind w:left="119"/>
              <w:rPr>
                <w:sz w:val="21"/>
                <w:szCs w:val="21"/>
              </w:rPr>
            </w:pPr>
            <w:r>
              <w:rPr>
                <w:spacing w:val="-6"/>
                <w:sz w:val="21"/>
                <w:szCs w:val="21"/>
              </w:rPr>
              <w:t>小写：</w:t>
            </w:r>
          </w:p>
          <w:p w14:paraId="77AA6610">
            <w:pPr>
              <w:pStyle w:val="29"/>
              <w:spacing w:before="176" w:line="221" w:lineRule="auto"/>
              <w:ind w:left="115"/>
              <w:rPr>
                <w:sz w:val="21"/>
                <w:szCs w:val="21"/>
              </w:rPr>
            </w:pPr>
            <w:r>
              <w:rPr>
                <w:spacing w:val="-5"/>
                <w:sz w:val="21"/>
                <w:szCs w:val="21"/>
              </w:rPr>
              <w:t>大写：</w:t>
            </w:r>
          </w:p>
        </w:tc>
      </w:tr>
    </w:tbl>
    <w:p w14:paraId="12AB0EE1">
      <w:pPr>
        <w:spacing w:before="35" w:line="220" w:lineRule="auto"/>
        <w:ind w:left="122"/>
        <w:rPr>
          <w:rFonts w:ascii="宋体" w:hAnsi="宋体" w:eastAsia="宋体" w:cs="宋体"/>
          <w:sz w:val="21"/>
          <w:szCs w:val="21"/>
        </w:rPr>
      </w:pPr>
      <w:r>
        <w:rPr>
          <w:rFonts w:ascii="宋体" w:hAnsi="宋体" w:eastAsia="宋体" w:cs="宋体"/>
          <w:spacing w:val="-1"/>
          <w:sz w:val="21"/>
          <w:szCs w:val="21"/>
        </w:rPr>
        <w:t>注：1.以上表格格式行、列可增减。</w:t>
      </w:r>
    </w:p>
    <w:p w14:paraId="7F8C339A">
      <w:pPr>
        <w:spacing w:before="183" w:line="219" w:lineRule="auto"/>
        <w:ind w:left="605"/>
        <w:rPr>
          <w:rFonts w:ascii="宋体" w:hAnsi="宋体" w:eastAsia="宋体" w:cs="宋体"/>
          <w:sz w:val="21"/>
          <w:szCs w:val="21"/>
        </w:rPr>
      </w:pPr>
      <w:r>
        <w:rPr>
          <w:rFonts w:ascii="宋体" w:hAnsi="宋体" w:eastAsia="宋体" w:cs="宋体"/>
          <w:spacing w:val="-1"/>
          <w:sz w:val="21"/>
          <w:szCs w:val="21"/>
        </w:rPr>
        <w:t>2.投标人根据完成采购项目的全部服务要求所需费用分项填写此表。</w:t>
      </w:r>
    </w:p>
    <w:p w14:paraId="5408F9AB">
      <w:pPr>
        <w:pStyle w:val="9"/>
        <w:spacing w:line="249" w:lineRule="auto"/>
        <w:rPr>
          <w:sz w:val="21"/>
          <w:szCs w:val="21"/>
        </w:rPr>
      </w:pPr>
    </w:p>
    <w:p w14:paraId="5CA00884">
      <w:pPr>
        <w:spacing w:line="480" w:lineRule="auto"/>
        <w:ind w:right="617" w:rightChars="257"/>
        <w:jc w:val="left"/>
        <w:rPr>
          <w:rFonts w:hAnsi="宋体" w:cs="宋体"/>
          <w:sz w:val="21"/>
          <w:szCs w:val="21"/>
        </w:rPr>
      </w:pPr>
      <w:r>
        <w:rPr>
          <w:rFonts w:hint="eastAsia" w:hAnsi="宋体" w:cs="宋体"/>
          <w:sz w:val="21"/>
          <w:szCs w:val="21"/>
        </w:rPr>
        <w:t>供应商名称：</w:t>
      </w:r>
      <w:r>
        <w:rPr>
          <w:rFonts w:hint="eastAsia" w:hAnsi="宋体" w:cs="宋体"/>
          <w:sz w:val="21"/>
          <w:szCs w:val="21"/>
          <w:u w:val="single"/>
        </w:rPr>
        <w:t xml:space="preserve">      （加盖单位公章）      </w:t>
      </w:r>
    </w:p>
    <w:p w14:paraId="7A0EFA78">
      <w:pPr>
        <w:spacing w:line="480" w:lineRule="auto"/>
        <w:ind w:right="617" w:rightChars="257"/>
        <w:jc w:val="left"/>
        <w:rPr>
          <w:rFonts w:hAnsi="宋体" w:cs="宋体"/>
          <w:sz w:val="21"/>
          <w:szCs w:val="21"/>
        </w:rPr>
      </w:pPr>
      <w:r>
        <w:rPr>
          <w:rFonts w:hint="eastAsia" w:hAnsi="宋体" w:cs="宋体"/>
          <w:sz w:val="21"/>
          <w:szCs w:val="21"/>
        </w:rPr>
        <w:t>法定代表人/被授权人签字或盖章：</w:t>
      </w:r>
    </w:p>
    <w:p w14:paraId="4663C8BD">
      <w:pPr>
        <w:spacing w:line="480" w:lineRule="auto"/>
        <w:ind w:right="617" w:rightChars="257"/>
        <w:rPr>
          <w:rFonts w:hint="eastAsia" w:hAnsi="宋体" w:cs="宋体"/>
          <w:sz w:val="21"/>
          <w:szCs w:val="21"/>
        </w:rPr>
      </w:pPr>
      <w:r>
        <w:rPr>
          <w:rFonts w:hint="eastAsia" w:hAnsi="宋体" w:cs="宋体"/>
          <w:sz w:val="21"/>
          <w:szCs w:val="21"/>
        </w:rPr>
        <w:t>日    期：</w:t>
      </w:r>
    </w:p>
    <w:p w14:paraId="5733F2E2">
      <w:pPr>
        <w:spacing w:line="480" w:lineRule="auto"/>
        <w:ind w:right="617" w:rightChars="257"/>
        <w:rPr>
          <w:rFonts w:hint="eastAsia" w:hAnsi="宋体" w:cs="宋体"/>
          <w:sz w:val="21"/>
          <w:szCs w:val="21"/>
        </w:rPr>
      </w:pPr>
    </w:p>
    <w:p w14:paraId="52A53DF6">
      <w:pPr>
        <w:pStyle w:val="22"/>
        <w:rPr>
          <w:sz w:val="21"/>
          <w:szCs w:val="21"/>
        </w:rPr>
      </w:pPr>
    </w:p>
    <w:p w14:paraId="28FA82DF">
      <w:pPr>
        <w:rPr>
          <w:rFonts w:hAnsi="宋体" w:cs="宋体"/>
          <w:sz w:val="21"/>
          <w:szCs w:val="21"/>
        </w:rPr>
      </w:pPr>
      <w:r>
        <w:rPr>
          <w:rFonts w:hint="eastAsia" w:hAnsi="宋体" w:cs="宋体"/>
          <w:sz w:val="21"/>
          <w:szCs w:val="21"/>
          <w:lang w:val="en-US" w:eastAsia="zh-CN"/>
        </w:rPr>
        <w:t xml:space="preserve"> </w:t>
      </w:r>
      <w:r>
        <w:rPr>
          <w:rFonts w:hint="eastAsia" w:hAnsi="宋体" w:cs="宋体"/>
          <w:sz w:val="21"/>
          <w:szCs w:val="21"/>
        </w:rPr>
        <w:br w:type="page"/>
      </w:r>
    </w:p>
    <w:p w14:paraId="16F554DA">
      <w:pPr>
        <w:pStyle w:val="22"/>
        <w:spacing w:line="480" w:lineRule="auto"/>
        <w:rPr>
          <w:rFonts w:cs="宋体"/>
          <w:bCs/>
          <w:color w:val="auto"/>
          <w:sz w:val="21"/>
          <w:szCs w:val="21"/>
        </w:rPr>
        <w:sectPr>
          <w:headerReference r:id="rId13" w:type="first"/>
          <w:footerReference r:id="rId15" w:type="first"/>
          <w:headerReference r:id="rId12" w:type="default"/>
          <w:footerReference r:id="rId14" w:type="default"/>
          <w:pgSz w:w="11906" w:h="16838"/>
          <w:pgMar w:top="1440" w:right="1800" w:bottom="1440" w:left="1800" w:header="1134" w:footer="907" w:gutter="0"/>
          <w:pgNumType w:fmt="decimal"/>
          <w:cols w:space="720" w:num="1"/>
          <w:docGrid w:linePitch="312" w:charSpace="0"/>
        </w:sectPr>
      </w:pPr>
      <w:bookmarkStart w:id="209" w:name="_Toc8367"/>
      <w:bookmarkStart w:id="210" w:name="_Toc31326"/>
      <w:bookmarkStart w:id="211" w:name="_Toc3814"/>
      <w:bookmarkStart w:id="212" w:name="_Toc2184"/>
      <w:bookmarkStart w:id="213" w:name="_Toc14384"/>
      <w:bookmarkStart w:id="214" w:name="_Toc16715"/>
      <w:bookmarkStart w:id="215" w:name="_Toc19152"/>
      <w:bookmarkStart w:id="216" w:name="_Toc3617"/>
      <w:bookmarkStart w:id="217" w:name="_Toc18339"/>
      <w:bookmarkStart w:id="218" w:name="_Toc4085"/>
    </w:p>
    <w:p w14:paraId="767231A9">
      <w:pPr>
        <w:pStyle w:val="4"/>
        <w:numPr>
          <w:ilvl w:val="0"/>
          <w:numId w:val="13"/>
        </w:numPr>
        <w:spacing w:before="333" w:beforeLines="100"/>
        <w:outlineLvl w:val="1"/>
        <w:rPr>
          <w:rFonts w:hint="eastAsia" w:ascii="宋体" w:hAnsi="宋体" w:cs="宋体"/>
          <w:sz w:val="21"/>
          <w:szCs w:val="21"/>
        </w:rPr>
      </w:pPr>
      <w:bookmarkStart w:id="219" w:name="_Toc3805"/>
      <w:r>
        <w:rPr>
          <w:rFonts w:hint="eastAsia" w:ascii="宋体" w:hAnsi="宋体" w:cs="宋体"/>
          <w:sz w:val="21"/>
          <w:szCs w:val="21"/>
        </w:rPr>
        <w:t>投标方案说明书</w:t>
      </w:r>
      <w:bookmarkEnd w:id="209"/>
      <w:bookmarkEnd w:id="210"/>
      <w:bookmarkEnd w:id="211"/>
      <w:bookmarkEnd w:id="212"/>
      <w:bookmarkEnd w:id="213"/>
      <w:bookmarkEnd w:id="214"/>
      <w:bookmarkEnd w:id="215"/>
      <w:bookmarkEnd w:id="216"/>
      <w:bookmarkEnd w:id="217"/>
      <w:bookmarkEnd w:id="218"/>
      <w:bookmarkEnd w:id="219"/>
    </w:p>
    <w:p w14:paraId="40E36BA4">
      <w:pPr>
        <w:numPr>
          <w:ilvl w:val="0"/>
          <w:numId w:val="0"/>
        </w:numPr>
        <w:rPr>
          <w:sz w:val="21"/>
          <w:szCs w:val="21"/>
        </w:rPr>
      </w:pPr>
    </w:p>
    <w:p w14:paraId="55B47F76">
      <w:pPr>
        <w:rPr>
          <w:rFonts w:hAnsi="宋体" w:cs="宋体"/>
          <w:sz w:val="21"/>
          <w:szCs w:val="21"/>
        </w:rPr>
      </w:pPr>
      <w:r>
        <w:rPr>
          <w:rFonts w:hint="eastAsia" w:cs="宋体"/>
          <w:color w:val="auto"/>
          <w:sz w:val="21"/>
          <w:szCs w:val="21"/>
          <w:lang w:val="en-US" w:bidi="zh-CN"/>
        </w:rPr>
        <w:t xml:space="preserve"> </w:t>
      </w:r>
      <w:r>
        <w:rPr>
          <w:rFonts w:ascii="宋体" w:hAnsi="宋体" w:eastAsia="宋体" w:cs="宋体"/>
          <w:spacing w:val="-3"/>
          <w:sz w:val="21"/>
          <w:szCs w:val="21"/>
        </w:rPr>
        <w:t>格式自定，参照招标文件的评标方法和程序中各条款的要求，结合招</w:t>
      </w:r>
      <w:r>
        <w:rPr>
          <w:rFonts w:ascii="宋体" w:hAnsi="宋体" w:eastAsia="宋体" w:cs="宋体"/>
          <w:spacing w:val="-1"/>
          <w:sz w:val="21"/>
          <w:szCs w:val="21"/>
        </w:rPr>
        <w:t>标内容及要求编制投标方案</w:t>
      </w:r>
    </w:p>
    <w:p w14:paraId="45C186A2">
      <w:pPr>
        <w:rPr>
          <w:rFonts w:hAnsi="宋体" w:cs="宋体"/>
          <w:sz w:val="21"/>
          <w:szCs w:val="21"/>
        </w:rPr>
      </w:pPr>
    </w:p>
    <w:p w14:paraId="15890A6F">
      <w:pPr>
        <w:rPr>
          <w:rFonts w:hint="eastAsia" w:hAnsi="宋体" w:cs="宋体"/>
          <w:b/>
          <w:sz w:val="21"/>
          <w:szCs w:val="21"/>
        </w:rPr>
      </w:pPr>
      <w:r>
        <w:rPr>
          <w:rFonts w:hint="eastAsia" w:hAnsi="宋体" w:cs="宋体"/>
          <w:b/>
          <w:sz w:val="21"/>
          <w:szCs w:val="21"/>
        </w:rPr>
        <w:br w:type="page"/>
      </w:r>
    </w:p>
    <w:p w14:paraId="618F4A32">
      <w:pPr>
        <w:spacing w:before="78" w:line="219" w:lineRule="auto"/>
        <w:ind w:left="20"/>
        <w:jc w:val="center"/>
        <w:rPr>
          <w:rFonts w:ascii="宋体" w:hAnsi="宋体" w:eastAsia="宋体" w:cs="宋体"/>
          <w:sz w:val="21"/>
          <w:szCs w:val="21"/>
        </w:rPr>
      </w:pPr>
      <w:bookmarkStart w:id="220" w:name="_Toc1379"/>
      <w:bookmarkStart w:id="221" w:name="_Toc23455"/>
      <w:bookmarkStart w:id="222" w:name="_Toc363474032"/>
      <w:bookmarkStart w:id="223" w:name="_Toc426457713"/>
      <w:bookmarkStart w:id="224" w:name="_Toc403077655"/>
      <w:bookmarkStart w:id="225" w:name="_Toc9218"/>
      <w:bookmarkStart w:id="226" w:name="_Toc2621"/>
      <w:bookmarkStart w:id="227" w:name="_Toc21284"/>
      <w:bookmarkStart w:id="228" w:name="_Toc13421"/>
      <w:bookmarkStart w:id="229" w:name="_Toc17364"/>
      <w:bookmarkStart w:id="230" w:name="_Toc19131"/>
      <w:bookmarkStart w:id="231" w:name="_Toc2700"/>
      <w:bookmarkStart w:id="232" w:name="_Toc17140"/>
      <w:r>
        <w:rPr>
          <w:rFonts w:ascii="宋体" w:hAnsi="宋体" w:eastAsia="宋体" w:cs="宋体"/>
          <w:b/>
          <w:bCs/>
          <w:spacing w:val="-4"/>
          <w:sz w:val="21"/>
          <w:szCs w:val="21"/>
        </w:rPr>
        <w:t>业绩的有关证明材料</w:t>
      </w:r>
    </w:p>
    <w:p w14:paraId="407F3665">
      <w:pPr>
        <w:spacing w:line="147" w:lineRule="exact"/>
        <w:rPr>
          <w:sz w:val="21"/>
          <w:szCs w:val="21"/>
        </w:rPr>
      </w:pPr>
    </w:p>
    <w:tbl>
      <w:tblPr>
        <w:tblStyle w:val="30"/>
        <w:tblW w:w="9285" w:type="dxa"/>
        <w:tblInd w:w="2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8"/>
        <w:gridCol w:w="1832"/>
        <w:gridCol w:w="2061"/>
        <w:gridCol w:w="2992"/>
        <w:gridCol w:w="1562"/>
      </w:tblGrid>
      <w:tr w14:paraId="33AAC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8" w:type="dxa"/>
            <w:tcBorders>
              <w:top w:val="single" w:color="000000" w:sz="10" w:space="0"/>
              <w:left w:val="single" w:color="000000" w:sz="10" w:space="0"/>
            </w:tcBorders>
            <w:vAlign w:val="top"/>
          </w:tcPr>
          <w:p w14:paraId="49F763A0">
            <w:pPr>
              <w:pStyle w:val="29"/>
              <w:spacing w:before="271" w:line="222" w:lineRule="auto"/>
              <w:ind w:left="168"/>
              <w:rPr>
                <w:sz w:val="21"/>
                <w:szCs w:val="21"/>
              </w:rPr>
            </w:pPr>
            <w:r>
              <w:rPr>
                <w:b/>
                <w:bCs/>
                <w:spacing w:val="-7"/>
                <w:sz w:val="21"/>
                <w:szCs w:val="21"/>
              </w:rPr>
              <w:t>序号</w:t>
            </w:r>
          </w:p>
        </w:tc>
        <w:tc>
          <w:tcPr>
            <w:tcW w:w="1832" w:type="dxa"/>
            <w:tcBorders>
              <w:top w:val="single" w:color="000000" w:sz="10" w:space="0"/>
            </w:tcBorders>
            <w:vAlign w:val="top"/>
          </w:tcPr>
          <w:p w14:paraId="522D6B56">
            <w:pPr>
              <w:pStyle w:val="29"/>
              <w:spacing w:before="39" w:line="222" w:lineRule="auto"/>
              <w:ind w:left="674"/>
              <w:rPr>
                <w:sz w:val="21"/>
                <w:szCs w:val="21"/>
              </w:rPr>
            </w:pPr>
            <w:r>
              <w:rPr>
                <w:b/>
                <w:bCs/>
                <w:spacing w:val="-8"/>
                <w:sz w:val="21"/>
                <w:szCs w:val="21"/>
              </w:rPr>
              <w:t>合同</w:t>
            </w:r>
          </w:p>
          <w:p w14:paraId="4443A9B8">
            <w:pPr>
              <w:pStyle w:val="29"/>
              <w:spacing w:before="177" w:line="222" w:lineRule="auto"/>
              <w:ind w:left="431"/>
              <w:rPr>
                <w:sz w:val="21"/>
                <w:szCs w:val="21"/>
              </w:rPr>
            </w:pPr>
            <w:r>
              <w:rPr>
                <w:b/>
                <w:bCs/>
                <w:spacing w:val="-5"/>
                <w:sz w:val="21"/>
                <w:szCs w:val="21"/>
              </w:rPr>
              <w:t>签订时间</w:t>
            </w:r>
          </w:p>
        </w:tc>
        <w:tc>
          <w:tcPr>
            <w:tcW w:w="2061" w:type="dxa"/>
            <w:tcBorders>
              <w:top w:val="single" w:color="000000" w:sz="10" w:space="0"/>
            </w:tcBorders>
            <w:vAlign w:val="top"/>
          </w:tcPr>
          <w:p w14:paraId="1D2FD6FE">
            <w:pPr>
              <w:pStyle w:val="29"/>
              <w:spacing w:before="272" w:line="219" w:lineRule="auto"/>
              <w:ind w:left="432"/>
              <w:rPr>
                <w:sz w:val="21"/>
                <w:szCs w:val="21"/>
              </w:rPr>
            </w:pPr>
            <w:r>
              <w:rPr>
                <w:b/>
                <w:bCs/>
                <w:spacing w:val="-4"/>
                <w:sz w:val="21"/>
                <w:szCs w:val="21"/>
              </w:rPr>
              <w:t>采购人名称</w:t>
            </w:r>
          </w:p>
        </w:tc>
        <w:tc>
          <w:tcPr>
            <w:tcW w:w="2992" w:type="dxa"/>
            <w:tcBorders>
              <w:top w:val="single" w:color="000000" w:sz="10" w:space="0"/>
            </w:tcBorders>
            <w:vAlign w:val="top"/>
          </w:tcPr>
          <w:p w14:paraId="23006F42">
            <w:pPr>
              <w:pStyle w:val="29"/>
              <w:spacing w:before="272" w:line="221" w:lineRule="auto"/>
              <w:ind w:left="1030"/>
              <w:rPr>
                <w:sz w:val="21"/>
                <w:szCs w:val="21"/>
              </w:rPr>
            </w:pPr>
            <w:r>
              <w:rPr>
                <w:b/>
                <w:bCs/>
                <w:spacing w:val="-6"/>
                <w:sz w:val="21"/>
                <w:szCs w:val="21"/>
              </w:rPr>
              <w:t>项目名称</w:t>
            </w:r>
          </w:p>
        </w:tc>
        <w:tc>
          <w:tcPr>
            <w:tcW w:w="1562" w:type="dxa"/>
            <w:tcBorders>
              <w:top w:val="single" w:color="000000" w:sz="10" w:space="0"/>
              <w:right w:val="single" w:color="000000" w:sz="10" w:space="0"/>
            </w:tcBorders>
            <w:vAlign w:val="top"/>
          </w:tcPr>
          <w:p w14:paraId="2EE1ABF0">
            <w:pPr>
              <w:pStyle w:val="29"/>
              <w:spacing w:before="272" w:line="220" w:lineRule="auto"/>
              <w:ind w:left="310"/>
              <w:rPr>
                <w:sz w:val="21"/>
                <w:szCs w:val="21"/>
              </w:rPr>
            </w:pPr>
            <w:r>
              <w:rPr>
                <w:b/>
                <w:bCs/>
                <w:spacing w:val="-5"/>
                <w:sz w:val="21"/>
                <w:szCs w:val="21"/>
              </w:rPr>
              <w:t>合同金额</w:t>
            </w:r>
          </w:p>
        </w:tc>
      </w:tr>
      <w:tr w14:paraId="06A9A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38" w:type="dxa"/>
            <w:tcBorders>
              <w:left w:val="single" w:color="000000" w:sz="10" w:space="0"/>
            </w:tcBorders>
            <w:vAlign w:val="top"/>
          </w:tcPr>
          <w:p w14:paraId="2A7EBC48">
            <w:pPr>
              <w:rPr>
                <w:rFonts w:ascii="Arial"/>
                <w:sz w:val="21"/>
                <w:szCs w:val="21"/>
              </w:rPr>
            </w:pPr>
          </w:p>
        </w:tc>
        <w:tc>
          <w:tcPr>
            <w:tcW w:w="1832" w:type="dxa"/>
            <w:vAlign w:val="top"/>
          </w:tcPr>
          <w:p w14:paraId="2306C105">
            <w:pPr>
              <w:rPr>
                <w:rFonts w:ascii="Arial"/>
                <w:sz w:val="21"/>
                <w:szCs w:val="21"/>
              </w:rPr>
            </w:pPr>
          </w:p>
        </w:tc>
        <w:tc>
          <w:tcPr>
            <w:tcW w:w="2061" w:type="dxa"/>
            <w:vAlign w:val="top"/>
          </w:tcPr>
          <w:p w14:paraId="76B8F964">
            <w:pPr>
              <w:rPr>
                <w:rFonts w:ascii="Arial"/>
                <w:sz w:val="21"/>
                <w:szCs w:val="21"/>
              </w:rPr>
            </w:pPr>
          </w:p>
        </w:tc>
        <w:tc>
          <w:tcPr>
            <w:tcW w:w="2992" w:type="dxa"/>
            <w:vAlign w:val="top"/>
          </w:tcPr>
          <w:p w14:paraId="446BD89B">
            <w:pPr>
              <w:rPr>
                <w:rFonts w:ascii="Arial"/>
                <w:sz w:val="21"/>
                <w:szCs w:val="21"/>
              </w:rPr>
            </w:pPr>
          </w:p>
        </w:tc>
        <w:tc>
          <w:tcPr>
            <w:tcW w:w="1562" w:type="dxa"/>
            <w:tcBorders>
              <w:right w:val="single" w:color="000000" w:sz="10" w:space="0"/>
            </w:tcBorders>
            <w:vAlign w:val="top"/>
          </w:tcPr>
          <w:p w14:paraId="0B1E07D0">
            <w:pPr>
              <w:rPr>
                <w:rFonts w:ascii="Arial"/>
                <w:sz w:val="21"/>
                <w:szCs w:val="21"/>
              </w:rPr>
            </w:pPr>
          </w:p>
        </w:tc>
      </w:tr>
      <w:tr w14:paraId="70589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8" w:type="dxa"/>
            <w:tcBorders>
              <w:left w:val="single" w:color="000000" w:sz="10" w:space="0"/>
            </w:tcBorders>
            <w:vAlign w:val="top"/>
          </w:tcPr>
          <w:p w14:paraId="6E504311">
            <w:pPr>
              <w:rPr>
                <w:rFonts w:ascii="Arial"/>
                <w:sz w:val="21"/>
                <w:szCs w:val="21"/>
              </w:rPr>
            </w:pPr>
          </w:p>
        </w:tc>
        <w:tc>
          <w:tcPr>
            <w:tcW w:w="1832" w:type="dxa"/>
            <w:vAlign w:val="top"/>
          </w:tcPr>
          <w:p w14:paraId="5208FF4D">
            <w:pPr>
              <w:rPr>
                <w:rFonts w:ascii="Arial"/>
                <w:sz w:val="21"/>
                <w:szCs w:val="21"/>
              </w:rPr>
            </w:pPr>
          </w:p>
        </w:tc>
        <w:tc>
          <w:tcPr>
            <w:tcW w:w="2061" w:type="dxa"/>
            <w:vAlign w:val="top"/>
          </w:tcPr>
          <w:p w14:paraId="31025DB5">
            <w:pPr>
              <w:rPr>
                <w:rFonts w:ascii="Arial"/>
                <w:sz w:val="21"/>
                <w:szCs w:val="21"/>
              </w:rPr>
            </w:pPr>
          </w:p>
        </w:tc>
        <w:tc>
          <w:tcPr>
            <w:tcW w:w="2992" w:type="dxa"/>
            <w:vAlign w:val="top"/>
          </w:tcPr>
          <w:p w14:paraId="1EF9ED38">
            <w:pPr>
              <w:rPr>
                <w:rFonts w:ascii="Arial"/>
                <w:sz w:val="21"/>
                <w:szCs w:val="21"/>
              </w:rPr>
            </w:pPr>
          </w:p>
        </w:tc>
        <w:tc>
          <w:tcPr>
            <w:tcW w:w="1562" w:type="dxa"/>
            <w:tcBorders>
              <w:right w:val="single" w:color="000000" w:sz="10" w:space="0"/>
            </w:tcBorders>
            <w:vAlign w:val="top"/>
          </w:tcPr>
          <w:p w14:paraId="0092772B">
            <w:pPr>
              <w:rPr>
                <w:rFonts w:ascii="Arial"/>
                <w:sz w:val="21"/>
                <w:szCs w:val="21"/>
              </w:rPr>
            </w:pPr>
          </w:p>
        </w:tc>
      </w:tr>
      <w:tr w14:paraId="457FA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2" w:hRule="atLeast"/>
        </w:trPr>
        <w:tc>
          <w:tcPr>
            <w:tcW w:w="838" w:type="dxa"/>
            <w:tcBorders>
              <w:left w:val="single" w:color="000000" w:sz="10" w:space="0"/>
            </w:tcBorders>
            <w:vAlign w:val="top"/>
          </w:tcPr>
          <w:p w14:paraId="37F635C6">
            <w:pPr>
              <w:rPr>
                <w:rFonts w:ascii="Arial"/>
                <w:sz w:val="21"/>
                <w:szCs w:val="21"/>
              </w:rPr>
            </w:pPr>
          </w:p>
        </w:tc>
        <w:tc>
          <w:tcPr>
            <w:tcW w:w="1832" w:type="dxa"/>
            <w:vAlign w:val="top"/>
          </w:tcPr>
          <w:p w14:paraId="31736807">
            <w:pPr>
              <w:rPr>
                <w:rFonts w:ascii="Arial"/>
                <w:sz w:val="21"/>
                <w:szCs w:val="21"/>
              </w:rPr>
            </w:pPr>
          </w:p>
        </w:tc>
        <w:tc>
          <w:tcPr>
            <w:tcW w:w="2061" w:type="dxa"/>
            <w:vAlign w:val="top"/>
          </w:tcPr>
          <w:p w14:paraId="740B8FAF">
            <w:pPr>
              <w:rPr>
                <w:rFonts w:ascii="Arial"/>
                <w:sz w:val="21"/>
                <w:szCs w:val="21"/>
              </w:rPr>
            </w:pPr>
          </w:p>
        </w:tc>
        <w:tc>
          <w:tcPr>
            <w:tcW w:w="2992" w:type="dxa"/>
            <w:vAlign w:val="top"/>
          </w:tcPr>
          <w:p w14:paraId="7242A5F4">
            <w:pPr>
              <w:rPr>
                <w:rFonts w:ascii="Arial"/>
                <w:sz w:val="21"/>
                <w:szCs w:val="21"/>
              </w:rPr>
            </w:pPr>
          </w:p>
        </w:tc>
        <w:tc>
          <w:tcPr>
            <w:tcW w:w="1562" w:type="dxa"/>
            <w:tcBorders>
              <w:right w:val="single" w:color="000000" w:sz="10" w:space="0"/>
            </w:tcBorders>
            <w:vAlign w:val="top"/>
          </w:tcPr>
          <w:p w14:paraId="6AF158B6">
            <w:pPr>
              <w:rPr>
                <w:rFonts w:ascii="Arial"/>
                <w:sz w:val="21"/>
                <w:szCs w:val="21"/>
              </w:rPr>
            </w:pPr>
          </w:p>
        </w:tc>
      </w:tr>
      <w:tr w14:paraId="04DF3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8" w:type="dxa"/>
            <w:tcBorders>
              <w:left w:val="single" w:color="000000" w:sz="10" w:space="0"/>
            </w:tcBorders>
            <w:vAlign w:val="top"/>
          </w:tcPr>
          <w:p w14:paraId="5DCC750E">
            <w:pPr>
              <w:rPr>
                <w:rFonts w:ascii="Arial"/>
                <w:sz w:val="21"/>
                <w:szCs w:val="21"/>
              </w:rPr>
            </w:pPr>
          </w:p>
        </w:tc>
        <w:tc>
          <w:tcPr>
            <w:tcW w:w="1832" w:type="dxa"/>
            <w:vAlign w:val="top"/>
          </w:tcPr>
          <w:p w14:paraId="03BC993D">
            <w:pPr>
              <w:rPr>
                <w:rFonts w:ascii="Arial"/>
                <w:sz w:val="21"/>
                <w:szCs w:val="21"/>
              </w:rPr>
            </w:pPr>
          </w:p>
        </w:tc>
        <w:tc>
          <w:tcPr>
            <w:tcW w:w="2061" w:type="dxa"/>
            <w:vAlign w:val="top"/>
          </w:tcPr>
          <w:p w14:paraId="2348536B">
            <w:pPr>
              <w:rPr>
                <w:rFonts w:ascii="Arial"/>
                <w:sz w:val="21"/>
                <w:szCs w:val="21"/>
              </w:rPr>
            </w:pPr>
          </w:p>
        </w:tc>
        <w:tc>
          <w:tcPr>
            <w:tcW w:w="2992" w:type="dxa"/>
            <w:vAlign w:val="top"/>
          </w:tcPr>
          <w:p w14:paraId="57FF1C9A">
            <w:pPr>
              <w:rPr>
                <w:rFonts w:ascii="Arial"/>
                <w:sz w:val="21"/>
                <w:szCs w:val="21"/>
              </w:rPr>
            </w:pPr>
          </w:p>
        </w:tc>
        <w:tc>
          <w:tcPr>
            <w:tcW w:w="1562" w:type="dxa"/>
            <w:tcBorders>
              <w:right w:val="single" w:color="000000" w:sz="10" w:space="0"/>
            </w:tcBorders>
            <w:vAlign w:val="top"/>
          </w:tcPr>
          <w:p w14:paraId="2FF104CC">
            <w:pPr>
              <w:rPr>
                <w:rFonts w:ascii="Arial"/>
                <w:sz w:val="21"/>
                <w:szCs w:val="21"/>
              </w:rPr>
            </w:pPr>
          </w:p>
        </w:tc>
      </w:tr>
      <w:tr w14:paraId="7AA76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8" w:type="dxa"/>
            <w:tcBorders>
              <w:left w:val="single" w:color="000000" w:sz="10" w:space="0"/>
            </w:tcBorders>
            <w:vAlign w:val="top"/>
          </w:tcPr>
          <w:p w14:paraId="7153766B">
            <w:pPr>
              <w:rPr>
                <w:rFonts w:ascii="Arial"/>
                <w:sz w:val="21"/>
                <w:szCs w:val="21"/>
              </w:rPr>
            </w:pPr>
          </w:p>
        </w:tc>
        <w:tc>
          <w:tcPr>
            <w:tcW w:w="1832" w:type="dxa"/>
            <w:vAlign w:val="top"/>
          </w:tcPr>
          <w:p w14:paraId="13B8288F">
            <w:pPr>
              <w:rPr>
                <w:rFonts w:ascii="Arial"/>
                <w:sz w:val="21"/>
                <w:szCs w:val="21"/>
              </w:rPr>
            </w:pPr>
          </w:p>
        </w:tc>
        <w:tc>
          <w:tcPr>
            <w:tcW w:w="2061" w:type="dxa"/>
            <w:vAlign w:val="top"/>
          </w:tcPr>
          <w:p w14:paraId="494AC550">
            <w:pPr>
              <w:rPr>
                <w:rFonts w:ascii="Arial"/>
                <w:sz w:val="21"/>
                <w:szCs w:val="21"/>
              </w:rPr>
            </w:pPr>
          </w:p>
        </w:tc>
        <w:tc>
          <w:tcPr>
            <w:tcW w:w="2992" w:type="dxa"/>
            <w:vAlign w:val="top"/>
          </w:tcPr>
          <w:p w14:paraId="7202D669">
            <w:pPr>
              <w:rPr>
                <w:rFonts w:ascii="Arial"/>
                <w:sz w:val="21"/>
                <w:szCs w:val="21"/>
              </w:rPr>
            </w:pPr>
          </w:p>
        </w:tc>
        <w:tc>
          <w:tcPr>
            <w:tcW w:w="1562" w:type="dxa"/>
            <w:tcBorders>
              <w:right w:val="single" w:color="000000" w:sz="10" w:space="0"/>
            </w:tcBorders>
            <w:vAlign w:val="top"/>
          </w:tcPr>
          <w:p w14:paraId="3A5C4974">
            <w:pPr>
              <w:rPr>
                <w:rFonts w:ascii="Arial"/>
                <w:sz w:val="21"/>
                <w:szCs w:val="21"/>
              </w:rPr>
            </w:pPr>
          </w:p>
        </w:tc>
      </w:tr>
      <w:tr w14:paraId="66876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38" w:type="dxa"/>
            <w:tcBorders>
              <w:left w:val="single" w:color="000000" w:sz="10" w:space="0"/>
            </w:tcBorders>
            <w:vAlign w:val="top"/>
          </w:tcPr>
          <w:p w14:paraId="1967CD6C">
            <w:pPr>
              <w:rPr>
                <w:rFonts w:ascii="Arial"/>
                <w:sz w:val="21"/>
                <w:szCs w:val="21"/>
              </w:rPr>
            </w:pPr>
          </w:p>
        </w:tc>
        <w:tc>
          <w:tcPr>
            <w:tcW w:w="1832" w:type="dxa"/>
            <w:vAlign w:val="top"/>
          </w:tcPr>
          <w:p w14:paraId="7C066E3E">
            <w:pPr>
              <w:rPr>
                <w:rFonts w:ascii="Arial"/>
                <w:sz w:val="21"/>
                <w:szCs w:val="21"/>
              </w:rPr>
            </w:pPr>
          </w:p>
        </w:tc>
        <w:tc>
          <w:tcPr>
            <w:tcW w:w="2061" w:type="dxa"/>
            <w:vAlign w:val="top"/>
          </w:tcPr>
          <w:p w14:paraId="12D16E38">
            <w:pPr>
              <w:rPr>
                <w:rFonts w:ascii="Arial"/>
                <w:sz w:val="21"/>
                <w:szCs w:val="21"/>
              </w:rPr>
            </w:pPr>
          </w:p>
        </w:tc>
        <w:tc>
          <w:tcPr>
            <w:tcW w:w="2992" w:type="dxa"/>
            <w:vAlign w:val="top"/>
          </w:tcPr>
          <w:p w14:paraId="5C59322D">
            <w:pPr>
              <w:rPr>
                <w:rFonts w:ascii="Arial"/>
                <w:sz w:val="21"/>
                <w:szCs w:val="21"/>
              </w:rPr>
            </w:pPr>
          </w:p>
        </w:tc>
        <w:tc>
          <w:tcPr>
            <w:tcW w:w="1562" w:type="dxa"/>
            <w:tcBorders>
              <w:right w:val="single" w:color="000000" w:sz="10" w:space="0"/>
            </w:tcBorders>
            <w:vAlign w:val="top"/>
          </w:tcPr>
          <w:p w14:paraId="74A9571D">
            <w:pPr>
              <w:rPr>
                <w:rFonts w:ascii="Arial"/>
                <w:sz w:val="21"/>
                <w:szCs w:val="21"/>
              </w:rPr>
            </w:pPr>
          </w:p>
        </w:tc>
      </w:tr>
      <w:tr w14:paraId="1B1A9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2" w:hRule="atLeast"/>
        </w:trPr>
        <w:tc>
          <w:tcPr>
            <w:tcW w:w="838" w:type="dxa"/>
            <w:tcBorders>
              <w:left w:val="single" w:color="000000" w:sz="10" w:space="0"/>
            </w:tcBorders>
            <w:vAlign w:val="top"/>
          </w:tcPr>
          <w:p w14:paraId="5DC146EE">
            <w:pPr>
              <w:rPr>
                <w:rFonts w:ascii="Arial"/>
                <w:sz w:val="21"/>
                <w:szCs w:val="21"/>
              </w:rPr>
            </w:pPr>
          </w:p>
        </w:tc>
        <w:tc>
          <w:tcPr>
            <w:tcW w:w="1832" w:type="dxa"/>
            <w:vAlign w:val="top"/>
          </w:tcPr>
          <w:p w14:paraId="71454ACF">
            <w:pPr>
              <w:rPr>
                <w:rFonts w:ascii="Arial"/>
                <w:sz w:val="21"/>
                <w:szCs w:val="21"/>
              </w:rPr>
            </w:pPr>
          </w:p>
        </w:tc>
        <w:tc>
          <w:tcPr>
            <w:tcW w:w="2061" w:type="dxa"/>
            <w:vAlign w:val="top"/>
          </w:tcPr>
          <w:p w14:paraId="125924F9">
            <w:pPr>
              <w:rPr>
                <w:rFonts w:ascii="Arial"/>
                <w:sz w:val="21"/>
                <w:szCs w:val="21"/>
              </w:rPr>
            </w:pPr>
          </w:p>
        </w:tc>
        <w:tc>
          <w:tcPr>
            <w:tcW w:w="2992" w:type="dxa"/>
            <w:vAlign w:val="top"/>
          </w:tcPr>
          <w:p w14:paraId="790AD16A">
            <w:pPr>
              <w:rPr>
                <w:rFonts w:ascii="Arial"/>
                <w:sz w:val="21"/>
                <w:szCs w:val="21"/>
              </w:rPr>
            </w:pPr>
          </w:p>
        </w:tc>
        <w:tc>
          <w:tcPr>
            <w:tcW w:w="1562" w:type="dxa"/>
            <w:tcBorders>
              <w:right w:val="single" w:color="000000" w:sz="10" w:space="0"/>
            </w:tcBorders>
            <w:vAlign w:val="top"/>
          </w:tcPr>
          <w:p w14:paraId="35A248C9">
            <w:pPr>
              <w:rPr>
                <w:rFonts w:ascii="Arial"/>
                <w:sz w:val="21"/>
                <w:szCs w:val="21"/>
              </w:rPr>
            </w:pPr>
          </w:p>
        </w:tc>
      </w:tr>
      <w:tr w14:paraId="651E9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8" w:type="dxa"/>
            <w:tcBorders>
              <w:left w:val="single" w:color="000000" w:sz="10" w:space="0"/>
            </w:tcBorders>
            <w:vAlign w:val="top"/>
          </w:tcPr>
          <w:p w14:paraId="146FB29E">
            <w:pPr>
              <w:rPr>
                <w:rFonts w:ascii="Arial"/>
                <w:sz w:val="21"/>
                <w:szCs w:val="21"/>
              </w:rPr>
            </w:pPr>
          </w:p>
        </w:tc>
        <w:tc>
          <w:tcPr>
            <w:tcW w:w="1832" w:type="dxa"/>
            <w:vAlign w:val="top"/>
          </w:tcPr>
          <w:p w14:paraId="6A378B09">
            <w:pPr>
              <w:rPr>
                <w:rFonts w:ascii="Arial"/>
                <w:sz w:val="21"/>
                <w:szCs w:val="21"/>
              </w:rPr>
            </w:pPr>
          </w:p>
        </w:tc>
        <w:tc>
          <w:tcPr>
            <w:tcW w:w="2061" w:type="dxa"/>
            <w:vAlign w:val="top"/>
          </w:tcPr>
          <w:p w14:paraId="6762574F">
            <w:pPr>
              <w:rPr>
                <w:rFonts w:ascii="Arial"/>
                <w:sz w:val="21"/>
                <w:szCs w:val="21"/>
              </w:rPr>
            </w:pPr>
          </w:p>
        </w:tc>
        <w:tc>
          <w:tcPr>
            <w:tcW w:w="2992" w:type="dxa"/>
            <w:vAlign w:val="top"/>
          </w:tcPr>
          <w:p w14:paraId="545E4203">
            <w:pPr>
              <w:rPr>
                <w:rFonts w:ascii="Arial"/>
                <w:sz w:val="21"/>
                <w:szCs w:val="21"/>
              </w:rPr>
            </w:pPr>
          </w:p>
        </w:tc>
        <w:tc>
          <w:tcPr>
            <w:tcW w:w="1562" w:type="dxa"/>
            <w:tcBorders>
              <w:right w:val="single" w:color="000000" w:sz="10" w:space="0"/>
            </w:tcBorders>
            <w:vAlign w:val="top"/>
          </w:tcPr>
          <w:p w14:paraId="4444F3D2">
            <w:pPr>
              <w:rPr>
                <w:rFonts w:ascii="Arial"/>
                <w:sz w:val="21"/>
                <w:szCs w:val="21"/>
              </w:rPr>
            </w:pPr>
          </w:p>
        </w:tc>
      </w:tr>
      <w:tr w14:paraId="78485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8" w:type="dxa"/>
            <w:tcBorders>
              <w:left w:val="single" w:color="000000" w:sz="10" w:space="0"/>
            </w:tcBorders>
            <w:vAlign w:val="top"/>
          </w:tcPr>
          <w:p w14:paraId="3D72D8D0">
            <w:pPr>
              <w:rPr>
                <w:rFonts w:ascii="Arial"/>
                <w:sz w:val="21"/>
                <w:szCs w:val="21"/>
              </w:rPr>
            </w:pPr>
          </w:p>
        </w:tc>
        <w:tc>
          <w:tcPr>
            <w:tcW w:w="1832" w:type="dxa"/>
            <w:vAlign w:val="top"/>
          </w:tcPr>
          <w:p w14:paraId="00A2BB51">
            <w:pPr>
              <w:rPr>
                <w:rFonts w:ascii="Arial"/>
                <w:sz w:val="21"/>
                <w:szCs w:val="21"/>
              </w:rPr>
            </w:pPr>
          </w:p>
        </w:tc>
        <w:tc>
          <w:tcPr>
            <w:tcW w:w="2061" w:type="dxa"/>
            <w:vAlign w:val="top"/>
          </w:tcPr>
          <w:p w14:paraId="3BBFF66D">
            <w:pPr>
              <w:rPr>
                <w:rFonts w:ascii="Arial"/>
                <w:sz w:val="21"/>
                <w:szCs w:val="21"/>
              </w:rPr>
            </w:pPr>
          </w:p>
        </w:tc>
        <w:tc>
          <w:tcPr>
            <w:tcW w:w="2992" w:type="dxa"/>
            <w:vAlign w:val="top"/>
          </w:tcPr>
          <w:p w14:paraId="32F5320E">
            <w:pPr>
              <w:rPr>
                <w:rFonts w:ascii="Arial"/>
                <w:sz w:val="21"/>
                <w:szCs w:val="21"/>
              </w:rPr>
            </w:pPr>
          </w:p>
        </w:tc>
        <w:tc>
          <w:tcPr>
            <w:tcW w:w="1562" w:type="dxa"/>
            <w:tcBorders>
              <w:right w:val="single" w:color="000000" w:sz="10" w:space="0"/>
            </w:tcBorders>
            <w:vAlign w:val="top"/>
          </w:tcPr>
          <w:p w14:paraId="7744E21C">
            <w:pPr>
              <w:rPr>
                <w:rFonts w:ascii="Arial"/>
                <w:sz w:val="21"/>
                <w:szCs w:val="21"/>
              </w:rPr>
            </w:pPr>
          </w:p>
        </w:tc>
      </w:tr>
      <w:tr w14:paraId="19964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838" w:type="dxa"/>
            <w:tcBorders>
              <w:left w:val="single" w:color="000000" w:sz="10" w:space="0"/>
              <w:bottom w:val="single" w:color="000000" w:sz="10" w:space="0"/>
            </w:tcBorders>
            <w:vAlign w:val="top"/>
          </w:tcPr>
          <w:p w14:paraId="67E225B6">
            <w:pPr>
              <w:rPr>
                <w:rFonts w:ascii="Arial"/>
                <w:sz w:val="21"/>
                <w:szCs w:val="21"/>
              </w:rPr>
            </w:pPr>
          </w:p>
        </w:tc>
        <w:tc>
          <w:tcPr>
            <w:tcW w:w="1832" w:type="dxa"/>
            <w:tcBorders>
              <w:bottom w:val="single" w:color="000000" w:sz="10" w:space="0"/>
            </w:tcBorders>
            <w:vAlign w:val="top"/>
          </w:tcPr>
          <w:p w14:paraId="37E6B5D4">
            <w:pPr>
              <w:rPr>
                <w:rFonts w:ascii="Arial"/>
                <w:sz w:val="21"/>
                <w:szCs w:val="21"/>
              </w:rPr>
            </w:pPr>
          </w:p>
        </w:tc>
        <w:tc>
          <w:tcPr>
            <w:tcW w:w="2061" w:type="dxa"/>
            <w:tcBorders>
              <w:bottom w:val="single" w:color="000000" w:sz="10" w:space="0"/>
            </w:tcBorders>
            <w:vAlign w:val="top"/>
          </w:tcPr>
          <w:p w14:paraId="32C2813C">
            <w:pPr>
              <w:rPr>
                <w:rFonts w:ascii="Arial"/>
                <w:sz w:val="21"/>
                <w:szCs w:val="21"/>
              </w:rPr>
            </w:pPr>
          </w:p>
        </w:tc>
        <w:tc>
          <w:tcPr>
            <w:tcW w:w="2992" w:type="dxa"/>
            <w:tcBorders>
              <w:bottom w:val="single" w:color="000000" w:sz="10" w:space="0"/>
            </w:tcBorders>
            <w:vAlign w:val="top"/>
          </w:tcPr>
          <w:p w14:paraId="7886ECDA">
            <w:pPr>
              <w:rPr>
                <w:rFonts w:ascii="Arial"/>
                <w:sz w:val="21"/>
                <w:szCs w:val="21"/>
              </w:rPr>
            </w:pPr>
          </w:p>
        </w:tc>
        <w:tc>
          <w:tcPr>
            <w:tcW w:w="1562" w:type="dxa"/>
            <w:tcBorders>
              <w:bottom w:val="single" w:color="000000" w:sz="10" w:space="0"/>
              <w:right w:val="single" w:color="000000" w:sz="10" w:space="0"/>
            </w:tcBorders>
            <w:vAlign w:val="top"/>
          </w:tcPr>
          <w:p w14:paraId="5E31B85A">
            <w:pPr>
              <w:rPr>
                <w:rFonts w:ascii="Arial"/>
                <w:sz w:val="21"/>
                <w:szCs w:val="21"/>
              </w:rPr>
            </w:pPr>
          </w:p>
        </w:tc>
      </w:tr>
    </w:tbl>
    <w:p w14:paraId="14D278FE">
      <w:pPr>
        <w:pStyle w:val="9"/>
        <w:spacing w:line="423" w:lineRule="auto"/>
        <w:rPr>
          <w:sz w:val="21"/>
          <w:szCs w:val="21"/>
        </w:rPr>
      </w:pPr>
    </w:p>
    <w:p w14:paraId="6365E4E4">
      <w:pPr>
        <w:spacing w:before="78" w:line="219" w:lineRule="auto"/>
        <w:ind w:left="492"/>
        <w:rPr>
          <w:rFonts w:ascii="宋体" w:hAnsi="宋体" w:eastAsia="宋体" w:cs="宋体"/>
          <w:sz w:val="21"/>
          <w:szCs w:val="21"/>
        </w:rPr>
      </w:pPr>
      <w:r>
        <w:rPr>
          <w:rFonts w:ascii="宋体" w:hAnsi="宋体" w:eastAsia="宋体" w:cs="宋体"/>
          <w:sz w:val="21"/>
          <w:szCs w:val="21"/>
        </w:rPr>
        <w:t>说明：1、本表后附合同复印件加盖公章，签订时</w:t>
      </w:r>
      <w:r>
        <w:rPr>
          <w:rFonts w:ascii="宋体" w:hAnsi="宋体" w:eastAsia="宋体" w:cs="宋体"/>
          <w:spacing w:val="-1"/>
          <w:sz w:val="21"/>
          <w:szCs w:val="21"/>
        </w:rPr>
        <w:t>间及金额以合同中的内容为准。</w:t>
      </w:r>
    </w:p>
    <w:p w14:paraId="32CB18A5">
      <w:pPr>
        <w:spacing w:before="180" w:line="220" w:lineRule="auto"/>
        <w:ind w:left="492"/>
        <w:rPr>
          <w:rFonts w:ascii="宋体" w:hAnsi="宋体" w:eastAsia="宋体" w:cs="宋体"/>
          <w:sz w:val="21"/>
          <w:szCs w:val="21"/>
        </w:rPr>
      </w:pPr>
      <w:r>
        <w:rPr>
          <w:rFonts w:ascii="宋体" w:hAnsi="宋体" w:eastAsia="宋体" w:cs="宋体"/>
          <w:sz w:val="21"/>
          <w:szCs w:val="21"/>
        </w:rPr>
        <w:t>2、投标人应如实列出以上情况，如有隐瞒，一经</w:t>
      </w:r>
      <w:r>
        <w:rPr>
          <w:rFonts w:ascii="宋体" w:hAnsi="宋体" w:eastAsia="宋体" w:cs="宋体"/>
          <w:spacing w:val="-1"/>
          <w:sz w:val="21"/>
          <w:szCs w:val="21"/>
        </w:rPr>
        <w:t>查实将导致其投标文件被拒绝。</w:t>
      </w:r>
    </w:p>
    <w:p w14:paraId="3AB96CD8">
      <w:pPr>
        <w:spacing w:before="182" w:line="219" w:lineRule="auto"/>
        <w:ind w:left="494"/>
        <w:rPr>
          <w:rFonts w:ascii="宋体" w:hAnsi="宋体" w:eastAsia="宋体" w:cs="宋体"/>
          <w:sz w:val="21"/>
          <w:szCs w:val="21"/>
        </w:rPr>
      </w:pPr>
      <w:r>
        <w:rPr>
          <w:rFonts w:ascii="宋体" w:hAnsi="宋体" w:eastAsia="宋体" w:cs="宋体"/>
          <w:spacing w:val="-1"/>
          <w:sz w:val="21"/>
          <w:szCs w:val="21"/>
        </w:rPr>
        <w:t>3、未按上述要求提供、填写的，评审时不予以考虑。</w:t>
      </w:r>
    </w:p>
    <w:p w14:paraId="6C57A308">
      <w:pPr>
        <w:rPr>
          <w:rFonts w:hint="eastAsia" w:ascii="宋体" w:hAnsi="宋体" w:cs="宋体"/>
          <w:sz w:val="21"/>
          <w:szCs w:val="21"/>
        </w:rPr>
      </w:pPr>
      <w:r>
        <w:rPr>
          <w:rFonts w:hint="eastAsia" w:ascii="宋体" w:hAnsi="宋体" w:cs="宋体"/>
          <w:sz w:val="21"/>
          <w:szCs w:val="21"/>
        </w:rPr>
        <w:br w:type="page"/>
      </w:r>
    </w:p>
    <w:p w14:paraId="36342A39">
      <w:pPr>
        <w:pStyle w:val="4"/>
        <w:spacing w:before="333" w:beforeLines="100"/>
        <w:ind w:firstLine="211" w:firstLineChars="100"/>
        <w:outlineLvl w:val="1"/>
        <w:rPr>
          <w:rFonts w:ascii="宋体" w:hAnsi="宋体" w:cs="宋体"/>
          <w:sz w:val="21"/>
          <w:szCs w:val="21"/>
        </w:rPr>
      </w:pPr>
      <w:r>
        <w:rPr>
          <w:rFonts w:hint="eastAsia" w:ascii="宋体" w:hAnsi="宋体" w:cs="宋体"/>
          <w:sz w:val="21"/>
          <w:szCs w:val="21"/>
        </w:rPr>
        <w:t>四、</w:t>
      </w:r>
      <w:bookmarkEnd w:id="220"/>
      <w:bookmarkEnd w:id="221"/>
      <w:bookmarkEnd w:id="222"/>
      <w:bookmarkEnd w:id="223"/>
      <w:bookmarkEnd w:id="224"/>
      <w:bookmarkEnd w:id="225"/>
      <w:bookmarkEnd w:id="226"/>
      <w:bookmarkEnd w:id="227"/>
      <w:r>
        <w:rPr>
          <w:rFonts w:hint="eastAsia" w:ascii="宋体" w:hAnsi="宋体" w:cs="宋体"/>
          <w:sz w:val="21"/>
          <w:szCs w:val="21"/>
        </w:rPr>
        <w:t>商务条款偏离表</w:t>
      </w:r>
      <w:bookmarkEnd w:id="228"/>
      <w:bookmarkEnd w:id="229"/>
      <w:bookmarkEnd w:id="230"/>
      <w:bookmarkEnd w:id="231"/>
      <w:bookmarkEnd w:id="232"/>
    </w:p>
    <w:p w14:paraId="36F3F24E">
      <w:pPr>
        <w:pStyle w:val="16"/>
        <w:widowControl w:val="0"/>
        <w:spacing w:before="166" w:beforeLines="50" w:beforeAutospacing="0" w:after="166" w:afterLines="50" w:afterAutospacing="0"/>
        <w:rPr>
          <w:rFonts w:cs="宋体"/>
          <w:sz w:val="21"/>
          <w:szCs w:val="21"/>
        </w:rPr>
      </w:pPr>
      <w:r>
        <w:rPr>
          <w:rFonts w:hint="eastAsia" w:cs="宋体"/>
          <w:sz w:val="21"/>
          <w:szCs w:val="21"/>
        </w:rPr>
        <w:t>项目编号</w:t>
      </w:r>
      <w:r>
        <w:rPr>
          <w:rFonts w:hint="eastAsia" w:cs="宋体"/>
          <w:sz w:val="21"/>
          <w:szCs w:val="21"/>
          <w:lang w:eastAsia="zh-CN"/>
        </w:rPr>
        <w:t>、</w:t>
      </w:r>
      <w:r>
        <w:rPr>
          <w:rFonts w:hint="eastAsia" w:hAnsi="宋体" w:cs="宋体"/>
          <w:bCs/>
          <w:sz w:val="21"/>
          <w:szCs w:val="21"/>
          <w:lang w:eastAsia="zh-CN"/>
        </w:rPr>
        <w:t>包号</w:t>
      </w:r>
      <w:r>
        <w:rPr>
          <w:rFonts w:hint="eastAsia" w:cs="宋体"/>
          <w:sz w:val="21"/>
          <w:szCs w:val="21"/>
        </w:rPr>
        <w:t>：</w:t>
      </w:r>
    </w:p>
    <w:p w14:paraId="7B458642">
      <w:pPr>
        <w:pStyle w:val="16"/>
        <w:widowControl w:val="0"/>
        <w:spacing w:before="166" w:beforeLines="50" w:beforeAutospacing="0" w:after="166" w:afterLines="50" w:afterAutospacing="0"/>
        <w:rPr>
          <w:rFonts w:cs="宋体"/>
          <w:sz w:val="21"/>
          <w:szCs w:val="21"/>
          <w:u w:val="single"/>
        </w:rPr>
      </w:pPr>
      <w:r>
        <w:rPr>
          <w:rFonts w:hint="eastAsia" w:cs="宋体"/>
          <w:sz w:val="21"/>
          <w:szCs w:val="21"/>
        </w:rPr>
        <w:t>项目名称：</w:t>
      </w: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2033"/>
        <w:gridCol w:w="2098"/>
        <w:gridCol w:w="2192"/>
        <w:gridCol w:w="1325"/>
        <w:gridCol w:w="992"/>
      </w:tblGrid>
      <w:tr w14:paraId="7C33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4" w:type="pct"/>
            <w:tcBorders>
              <w:top w:val="single" w:color="auto" w:sz="4" w:space="0"/>
              <w:left w:val="single" w:color="auto" w:sz="4" w:space="0"/>
              <w:bottom w:val="single" w:color="auto" w:sz="4" w:space="0"/>
              <w:right w:val="single" w:color="auto" w:sz="4" w:space="0"/>
            </w:tcBorders>
            <w:vAlign w:val="center"/>
          </w:tcPr>
          <w:p w14:paraId="68C2BD96">
            <w:pPr>
              <w:pStyle w:val="16"/>
              <w:widowControl w:val="0"/>
              <w:spacing w:before="0" w:beforeAutospacing="0" w:after="0" w:afterAutospacing="0"/>
              <w:jc w:val="center"/>
              <w:rPr>
                <w:rFonts w:cs="宋体"/>
                <w:sz w:val="21"/>
                <w:szCs w:val="21"/>
              </w:rPr>
            </w:pPr>
            <w:r>
              <w:rPr>
                <w:rFonts w:hint="eastAsia" w:cs="宋体"/>
                <w:sz w:val="21"/>
                <w:szCs w:val="21"/>
              </w:rPr>
              <w:t>序号</w:t>
            </w:r>
          </w:p>
        </w:tc>
        <w:tc>
          <w:tcPr>
            <w:tcW w:w="1062" w:type="pct"/>
            <w:tcBorders>
              <w:top w:val="single" w:color="auto" w:sz="4" w:space="0"/>
              <w:left w:val="single" w:color="auto" w:sz="4" w:space="0"/>
              <w:bottom w:val="single" w:color="auto" w:sz="4" w:space="0"/>
              <w:right w:val="single" w:color="auto" w:sz="4" w:space="0"/>
            </w:tcBorders>
            <w:vAlign w:val="center"/>
          </w:tcPr>
          <w:p w14:paraId="34730C10">
            <w:pPr>
              <w:pStyle w:val="16"/>
              <w:widowControl w:val="0"/>
              <w:spacing w:before="0" w:beforeAutospacing="0" w:after="0" w:afterAutospacing="0"/>
              <w:jc w:val="center"/>
              <w:rPr>
                <w:rFonts w:cs="宋体"/>
                <w:sz w:val="21"/>
                <w:szCs w:val="21"/>
              </w:rPr>
            </w:pPr>
            <w:r>
              <w:rPr>
                <w:rFonts w:hint="eastAsia" w:cs="宋体"/>
                <w:sz w:val="21"/>
                <w:szCs w:val="21"/>
              </w:rPr>
              <w:t>招标文件条目号</w:t>
            </w:r>
          </w:p>
        </w:tc>
        <w:tc>
          <w:tcPr>
            <w:tcW w:w="1096" w:type="pct"/>
            <w:tcBorders>
              <w:top w:val="single" w:color="auto" w:sz="4" w:space="0"/>
              <w:left w:val="single" w:color="auto" w:sz="4" w:space="0"/>
              <w:bottom w:val="single" w:color="auto" w:sz="4" w:space="0"/>
              <w:right w:val="single" w:color="auto" w:sz="4" w:space="0"/>
            </w:tcBorders>
            <w:vAlign w:val="center"/>
          </w:tcPr>
          <w:p w14:paraId="31EDEE45">
            <w:pPr>
              <w:pStyle w:val="16"/>
              <w:widowControl w:val="0"/>
              <w:spacing w:before="0" w:beforeAutospacing="0" w:after="0" w:afterAutospacing="0"/>
              <w:jc w:val="center"/>
              <w:rPr>
                <w:rFonts w:cs="宋体"/>
                <w:sz w:val="21"/>
                <w:szCs w:val="21"/>
              </w:rPr>
            </w:pPr>
            <w:r>
              <w:rPr>
                <w:rFonts w:hint="eastAsia" w:cs="宋体"/>
                <w:sz w:val="21"/>
                <w:szCs w:val="21"/>
              </w:rPr>
              <w:t>招标文件的商务条款</w:t>
            </w:r>
          </w:p>
        </w:tc>
        <w:tc>
          <w:tcPr>
            <w:tcW w:w="1145" w:type="pct"/>
            <w:tcBorders>
              <w:top w:val="single" w:color="auto" w:sz="4" w:space="0"/>
              <w:left w:val="single" w:color="auto" w:sz="4" w:space="0"/>
              <w:bottom w:val="single" w:color="auto" w:sz="4" w:space="0"/>
              <w:right w:val="single" w:color="auto" w:sz="4" w:space="0"/>
            </w:tcBorders>
            <w:vAlign w:val="center"/>
          </w:tcPr>
          <w:p w14:paraId="14FAE672">
            <w:pPr>
              <w:pStyle w:val="16"/>
              <w:widowControl w:val="0"/>
              <w:spacing w:before="0" w:beforeAutospacing="0" w:after="0" w:afterAutospacing="0"/>
              <w:jc w:val="center"/>
              <w:rPr>
                <w:rFonts w:cs="宋体"/>
                <w:sz w:val="21"/>
                <w:szCs w:val="21"/>
              </w:rPr>
            </w:pPr>
            <w:r>
              <w:rPr>
                <w:rFonts w:hint="eastAsia" w:cs="宋体"/>
                <w:sz w:val="21"/>
                <w:szCs w:val="21"/>
              </w:rPr>
              <w:t>投标文件的商务条款</w:t>
            </w:r>
          </w:p>
        </w:tc>
        <w:tc>
          <w:tcPr>
            <w:tcW w:w="692" w:type="pct"/>
            <w:tcBorders>
              <w:top w:val="single" w:color="auto" w:sz="4" w:space="0"/>
              <w:left w:val="single" w:color="auto" w:sz="4" w:space="0"/>
              <w:bottom w:val="single" w:color="auto" w:sz="4" w:space="0"/>
              <w:right w:val="single" w:color="auto" w:sz="4" w:space="0"/>
            </w:tcBorders>
            <w:vAlign w:val="center"/>
          </w:tcPr>
          <w:p w14:paraId="0FD3A050">
            <w:pPr>
              <w:pStyle w:val="16"/>
              <w:widowControl w:val="0"/>
              <w:spacing w:before="0" w:beforeAutospacing="0" w:after="0" w:afterAutospacing="0"/>
              <w:jc w:val="center"/>
              <w:rPr>
                <w:rFonts w:cs="宋体"/>
                <w:sz w:val="21"/>
                <w:szCs w:val="21"/>
              </w:rPr>
            </w:pPr>
            <w:r>
              <w:rPr>
                <w:rFonts w:hint="eastAsia" w:cs="宋体"/>
                <w:sz w:val="21"/>
                <w:szCs w:val="21"/>
              </w:rPr>
              <w:t>偏离</w:t>
            </w:r>
          </w:p>
        </w:tc>
        <w:tc>
          <w:tcPr>
            <w:tcW w:w="518" w:type="pct"/>
            <w:tcBorders>
              <w:top w:val="single" w:color="auto" w:sz="4" w:space="0"/>
              <w:left w:val="single" w:color="auto" w:sz="4" w:space="0"/>
              <w:bottom w:val="single" w:color="auto" w:sz="4" w:space="0"/>
              <w:right w:val="single" w:color="auto" w:sz="4" w:space="0"/>
            </w:tcBorders>
            <w:vAlign w:val="center"/>
          </w:tcPr>
          <w:p w14:paraId="2B148EE7">
            <w:pPr>
              <w:pStyle w:val="16"/>
              <w:widowControl w:val="0"/>
              <w:spacing w:before="0" w:beforeAutospacing="0" w:after="0" w:afterAutospacing="0"/>
              <w:jc w:val="center"/>
              <w:rPr>
                <w:rFonts w:cs="宋体"/>
                <w:sz w:val="21"/>
                <w:szCs w:val="21"/>
              </w:rPr>
            </w:pPr>
            <w:r>
              <w:rPr>
                <w:rFonts w:hint="eastAsia" w:cs="宋体"/>
                <w:sz w:val="21"/>
                <w:szCs w:val="21"/>
              </w:rPr>
              <w:t>说明</w:t>
            </w:r>
          </w:p>
        </w:tc>
      </w:tr>
      <w:tr w14:paraId="7EAF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4" w:type="pct"/>
            <w:tcBorders>
              <w:top w:val="single" w:color="auto" w:sz="4" w:space="0"/>
              <w:left w:val="single" w:color="auto" w:sz="4" w:space="0"/>
              <w:bottom w:val="single" w:color="auto" w:sz="4" w:space="0"/>
              <w:right w:val="single" w:color="auto" w:sz="4" w:space="0"/>
            </w:tcBorders>
            <w:vAlign w:val="center"/>
          </w:tcPr>
          <w:p w14:paraId="24C3127A">
            <w:pPr>
              <w:pStyle w:val="16"/>
              <w:widowControl w:val="0"/>
              <w:spacing w:before="0" w:beforeAutospacing="0" w:after="0" w:afterAutospacing="0"/>
              <w:ind w:firstLine="420" w:firstLineChars="200"/>
              <w:jc w:val="center"/>
              <w:rPr>
                <w:rFonts w:cs="宋体"/>
                <w:sz w:val="21"/>
                <w:szCs w:val="21"/>
              </w:rPr>
            </w:pPr>
          </w:p>
        </w:tc>
        <w:tc>
          <w:tcPr>
            <w:tcW w:w="1062" w:type="pct"/>
            <w:tcBorders>
              <w:top w:val="single" w:color="auto" w:sz="4" w:space="0"/>
              <w:left w:val="single" w:color="auto" w:sz="4" w:space="0"/>
              <w:bottom w:val="single" w:color="auto" w:sz="4" w:space="0"/>
              <w:right w:val="single" w:color="auto" w:sz="4" w:space="0"/>
            </w:tcBorders>
            <w:vAlign w:val="center"/>
          </w:tcPr>
          <w:p w14:paraId="3DAD8B99">
            <w:pPr>
              <w:pStyle w:val="16"/>
              <w:widowControl w:val="0"/>
              <w:spacing w:before="0" w:beforeAutospacing="0" w:after="0" w:afterAutospacing="0"/>
              <w:ind w:firstLine="420" w:firstLineChars="200"/>
              <w:jc w:val="center"/>
              <w:rPr>
                <w:rFonts w:cs="宋体"/>
                <w:sz w:val="21"/>
                <w:szCs w:val="21"/>
              </w:rPr>
            </w:pPr>
          </w:p>
        </w:tc>
        <w:tc>
          <w:tcPr>
            <w:tcW w:w="1096" w:type="pct"/>
            <w:tcBorders>
              <w:top w:val="single" w:color="auto" w:sz="4" w:space="0"/>
              <w:left w:val="single" w:color="auto" w:sz="4" w:space="0"/>
              <w:bottom w:val="single" w:color="auto" w:sz="4" w:space="0"/>
              <w:right w:val="single" w:color="auto" w:sz="4" w:space="0"/>
            </w:tcBorders>
            <w:vAlign w:val="center"/>
          </w:tcPr>
          <w:p w14:paraId="623A4530">
            <w:pPr>
              <w:pStyle w:val="16"/>
              <w:widowControl w:val="0"/>
              <w:spacing w:before="0" w:beforeAutospacing="0" w:after="0" w:afterAutospacing="0"/>
              <w:ind w:firstLine="420" w:firstLineChars="200"/>
              <w:jc w:val="center"/>
              <w:rPr>
                <w:rFonts w:cs="宋体"/>
                <w:sz w:val="21"/>
                <w:szCs w:val="21"/>
              </w:rPr>
            </w:pPr>
          </w:p>
        </w:tc>
        <w:tc>
          <w:tcPr>
            <w:tcW w:w="1145" w:type="pct"/>
            <w:tcBorders>
              <w:top w:val="single" w:color="auto" w:sz="4" w:space="0"/>
              <w:left w:val="single" w:color="auto" w:sz="4" w:space="0"/>
              <w:bottom w:val="single" w:color="auto" w:sz="4" w:space="0"/>
              <w:right w:val="single" w:color="auto" w:sz="4" w:space="0"/>
            </w:tcBorders>
            <w:vAlign w:val="center"/>
          </w:tcPr>
          <w:p w14:paraId="64110E37">
            <w:pPr>
              <w:pStyle w:val="16"/>
              <w:widowControl w:val="0"/>
              <w:spacing w:before="0" w:beforeAutospacing="0" w:after="0" w:afterAutospacing="0"/>
              <w:ind w:firstLine="420" w:firstLineChars="200"/>
              <w:jc w:val="center"/>
              <w:rPr>
                <w:rFonts w:cs="宋体"/>
                <w:sz w:val="21"/>
                <w:szCs w:val="21"/>
              </w:rPr>
            </w:pPr>
          </w:p>
        </w:tc>
        <w:tc>
          <w:tcPr>
            <w:tcW w:w="692" w:type="pct"/>
            <w:tcBorders>
              <w:top w:val="single" w:color="auto" w:sz="4" w:space="0"/>
              <w:left w:val="single" w:color="auto" w:sz="4" w:space="0"/>
              <w:bottom w:val="single" w:color="auto" w:sz="4" w:space="0"/>
              <w:right w:val="single" w:color="auto" w:sz="4" w:space="0"/>
            </w:tcBorders>
            <w:vAlign w:val="center"/>
          </w:tcPr>
          <w:p w14:paraId="4A49C111">
            <w:pPr>
              <w:pStyle w:val="16"/>
              <w:widowControl w:val="0"/>
              <w:spacing w:before="0" w:beforeAutospacing="0" w:after="0" w:afterAutospacing="0"/>
              <w:ind w:firstLine="420" w:firstLineChars="200"/>
              <w:jc w:val="center"/>
              <w:rPr>
                <w:rFonts w:cs="宋体"/>
                <w:sz w:val="21"/>
                <w:szCs w:val="21"/>
              </w:rPr>
            </w:pPr>
          </w:p>
        </w:tc>
        <w:tc>
          <w:tcPr>
            <w:tcW w:w="518" w:type="pct"/>
            <w:tcBorders>
              <w:top w:val="single" w:color="auto" w:sz="4" w:space="0"/>
              <w:left w:val="single" w:color="auto" w:sz="4" w:space="0"/>
              <w:bottom w:val="single" w:color="auto" w:sz="4" w:space="0"/>
              <w:right w:val="single" w:color="auto" w:sz="4" w:space="0"/>
            </w:tcBorders>
            <w:vAlign w:val="center"/>
          </w:tcPr>
          <w:p w14:paraId="284DCEF5">
            <w:pPr>
              <w:pStyle w:val="16"/>
              <w:widowControl w:val="0"/>
              <w:spacing w:before="0" w:beforeAutospacing="0" w:after="0" w:afterAutospacing="0"/>
              <w:ind w:firstLine="420" w:firstLineChars="200"/>
              <w:jc w:val="center"/>
              <w:rPr>
                <w:rFonts w:cs="宋体"/>
                <w:sz w:val="21"/>
                <w:szCs w:val="21"/>
              </w:rPr>
            </w:pPr>
          </w:p>
        </w:tc>
      </w:tr>
      <w:tr w14:paraId="5D24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4" w:type="pct"/>
            <w:tcBorders>
              <w:top w:val="single" w:color="auto" w:sz="4" w:space="0"/>
              <w:left w:val="single" w:color="auto" w:sz="4" w:space="0"/>
              <w:bottom w:val="single" w:color="auto" w:sz="4" w:space="0"/>
              <w:right w:val="single" w:color="auto" w:sz="4" w:space="0"/>
            </w:tcBorders>
            <w:vAlign w:val="center"/>
          </w:tcPr>
          <w:p w14:paraId="11291345">
            <w:pPr>
              <w:pStyle w:val="16"/>
              <w:widowControl w:val="0"/>
              <w:spacing w:before="0" w:beforeAutospacing="0" w:after="0" w:afterAutospacing="0"/>
              <w:ind w:firstLine="420" w:firstLineChars="200"/>
              <w:jc w:val="center"/>
              <w:rPr>
                <w:rFonts w:cs="宋体"/>
                <w:sz w:val="21"/>
                <w:szCs w:val="21"/>
              </w:rPr>
            </w:pPr>
          </w:p>
        </w:tc>
        <w:tc>
          <w:tcPr>
            <w:tcW w:w="1062" w:type="pct"/>
            <w:tcBorders>
              <w:top w:val="single" w:color="auto" w:sz="4" w:space="0"/>
              <w:left w:val="single" w:color="auto" w:sz="4" w:space="0"/>
              <w:bottom w:val="single" w:color="auto" w:sz="4" w:space="0"/>
              <w:right w:val="single" w:color="auto" w:sz="4" w:space="0"/>
            </w:tcBorders>
            <w:vAlign w:val="center"/>
          </w:tcPr>
          <w:p w14:paraId="34012D01">
            <w:pPr>
              <w:pStyle w:val="16"/>
              <w:widowControl w:val="0"/>
              <w:spacing w:before="0" w:beforeAutospacing="0" w:after="0" w:afterAutospacing="0"/>
              <w:ind w:firstLine="420" w:firstLineChars="200"/>
              <w:jc w:val="center"/>
              <w:rPr>
                <w:rFonts w:cs="宋体"/>
                <w:sz w:val="21"/>
                <w:szCs w:val="21"/>
              </w:rPr>
            </w:pPr>
          </w:p>
        </w:tc>
        <w:tc>
          <w:tcPr>
            <w:tcW w:w="1096" w:type="pct"/>
            <w:tcBorders>
              <w:top w:val="single" w:color="auto" w:sz="4" w:space="0"/>
              <w:left w:val="single" w:color="auto" w:sz="4" w:space="0"/>
              <w:bottom w:val="single" w:color="auto" w:sz="4" w:space="0"/>
              <w:right w:val="single" w:color="auto" w:sz="4" w:space="0"/>
            </w:tcBorders>
            <w:vAlign w:val="center"/>
          </w:tcPr>
          <w:p w14:paraId="03F3868F">
            <w:pPr>
              <w:pStyle w:val="16"/>
              <w:widowControl w:val="0"/>
              <w:spacing w:before="0" w:beforeAutospacing="0" w:after="0" w:afterAutospacing="0"/>
              <w:ind w:firstLine="420" w:firstLineChars="200"/>
              <w:jc w:val="center"/>
              <w:rPr>
                <w:rFonts w:cs="宋体"/>
                <w:sz w:val="21"/>
                <w:szCs w:val="21"/>
              </w:rPr>
            </w:pPr>
          </w:p>
        </w:tc>
        <w:tc>
          <w:tcPr>
            <w:tcW w:w="1145" w:type="pct"/>
            <w:tcBorders>
              <w:top w:val="single" w:color="auto" w:sz="4" w:space="0"/>
              <w:left w:val="single" w:color="auto" w:sz="4" w:space="0"/>
              <w:bottom w:val="single" w:color="auto" w:sz="4" w:space="0"/>
              <w:right w:val="single" w:color="auto" w:sz="4" w:space="0"/>
            </w:tcBorders>
            <w:vAlign w:val="center"/>
          </w:tcPr>
          <w:p w14:paraId="6E195239">
            <w:pPr>
              <w:pStyle w:val="16"/>
              <w:widowControl w:val="0"/>
              <w:spacing w:before="0" w:beforeAutospacing="0" w:after="0" w:afterAutospacing="0"/>
              <w:ind w:firstLine="420" w:firstLineChars="200"/>
              <w:jc w:val="center"/>
              <w:rPr>
                <w:rFonts w:cs="宋体"/>
                <w:sz w:val="21"/>
                <w:szCs w:val="21"/>
              </w:rPr>
            </w:pPr>
          </w:p>
        </w:tc>
        <w:tc>
          <w:tcPr>
            <w:tcW w:w="692" w:type="pct"/>
            <w:tcBorders>
              <w:top w:val="single" w:color="auto" w:sz="4" w:space="0"/>
              <w:left w:val="single" w:color="auto" w:sz="4" w:space="0"/>
              <w:bottom w:val="single" w:color="auto" w:sz="4" w:space="0"/>
              <w:right w:val="single" w:color="auto" w:sz="4" w:space="0"/>
            </w:tcBorders>
            <w:vAlign w:val="center"/>
          </w:tcPr>
          <w:p w14:paraId="1300CDD0">
            <w:pPr>
              <w:pStyle w:val="16"/>
              <w:widowControl w:val="0"/>
              <w:spacing w:before="0" w:beforeAutospacing="0" w:after="0" w:afterAutospacing="0"/>
              <w:ind w:firstLine="420" w:firstLineChars="200"/>
              <w:jc w:val="center"/>
              <w:rPr>
                <w:rFonts w:cs="宋体"/>
                <w:sz w:val="21"/>
                <w:szCs w:val="21"/>
              </w:rPr>
            </w:pPr>
          </w:p>
        </w:tc>
        <w:tc>
          <w:tcPr>
            <w:tcW w:w="518" w:type="pct"/>
            <w:tcBorders>
              <w:top w:val="single" w:color="auto" w:sz="4" w:space="0"/>
              <w:left w:val="single" w:color="auto" w:sz="4" w:space="0"/>
              <w:bottom w:val="single" w:color="auto" w:sz="4" w:space="0"/>
              <w:right w:val="single" w:color="auto" w:sz="4" w:space="0"/>
            </w:tcBorders>
            <w:vAlign w:val="center"/>
          </w:tcPr>
          <w:p w14:paraId="26975551">
            <w:pPr>
              <w:pStyle w:val="16"/>
              <w:widowControl w:val="0"/>
              <w:spacing w:before="0" w:beforeAutospacing="0" w:after="0" w:afterAutospacing="0"/>
              <w:ind w:firstLine="420" w:firstLineChars="200"/>
              <w:jc w:val="center"/>
              <w:rPr>
                <w:rFonts w:cs="宋体"/>
                <w:sz w:val="21"/>
                <w:szCs w:val="21"/>
              </w:rPr>
            </w:pPr>
          </w:p>
        </w:tc>
      </w:tr>
      <w:tr w14:paraId="4C45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4" w:type="pct"/>
            <w:tcBorders>
              <w:top w:val="single" w:color="auto" w:sz="4" w:space="0"/>
              <w:left w:val="single" w:color="auto" w:sz="4" w:space="0"/>
              <w:bottom w:val="single" w:color="auto" w:sz="4" w:space="0"/>
              <w:right w:val="single" w:color="auto" w:sz="4" w:space="0"/>
            </w:tcBorders>
            <w:vAlign w:val="center"/>
          </w:tcPr>
          <w:p w14:paraId="29743A63">
            <w:pPr>
              <w:pStyle w:val="16"/>
              <w:widowControl w:val="0"/>
              <w:spacing w:before="0" w:beforeAutospacing="0" w:after="0" w:afterAutospacing="0"/>
              <w:ind w:firstLine="420" w:firstLineChars="200"/>
              <w:jc w:val="center"/>
              <w:rPr>
                <w:rFonts w:cs="宋体"/>
                <w:sz w:val="21"/>
                <w:szCs w:val="21"/>
              </w:rPr>
            </w:pPr>
          </w:p>
        </w:tc>
        <w:tc>
          <w:tcPr>
            <w:tcW w:w="1062" w:type="pct"/>
            <w:tcBorders>
              <w:top w:val="single" w:color="auto" w:sz="4" w:space="0"/>
              <w:left w:val="single" w:color="auto" w:sz="4" w:space="0"/>
              <w:bottom w:val="single" w:color="auto" w:sz="4" w:space="0"/>
              <w:right w:val="single" w:color="auto" w:sz="4" w:space="0"/>
            </w:tcBorders>
            <w:vAlign w:val="center"/>
          </w:tcPr>
          <w:p w14:paraId="73F2E55E">
            <w:pPr>
              <w:pStyle w:val="16"/>
              <w:widowControl w:val="0"/>
              <w:spacing w:before="0" w:beforeAutospacing="0" w:after="0" w:afterAutospacing="0"/>
              <w:ind w:firstLine="420" w:firstLineChars="200"/>
              <w:jc w:val="center"/>
              <w:rPr>
                <w:rFonts w:cs="宋体"/>
                <w:sz w:val="21"/>
                <w:szCs w:val="21"/>
              </w:rPr>
            </w:pPr>
          </w:p>
        </w:tc>
        <w:tc>
          <w:tcPr>
            <w:tcW w:w="1096" w:type="pct"/>
            <w:tcBorders>
              <w:top w:val="single" w:color="auto" w:sz="4" w:space="0"/>
              <w:left w:val="single" w:color="auto" w:sz="4" w:space="0"/>
              <w:bottom w:val="single" w:color="auto" w:sz="4" w:space="0"/>
              <w:right w:val="single" w:color="auto" w:sz="4" w:space="0"/>
            </w:tcBorders>
            <w:vAlign w:val="center"/>
          </w:tcPr>
          <w:p w14:paraId="74DAB83A">
            <w:pPr>
              <w:pStyle w:val="16"/>
              <w:widowControl w:val="0"/>
              <w:spacing w:before="0" w:beforeAutospacing="0" w:after="0" w:afterAutospacing="0"/>
              <w:ind w:firstLine="420" w:firstLineChars="200"/>
              <w:jc w:val="center"/>
              <w:rPr>
                <w:rFonts w:cs="宋体"/>
                <w:sz w:val="21"/>
                <w:szCs w:val="21"/>
              </w:rPr>
            </w:pPr>
          </w:p>
        </w:tc>
        <w:tc>
          <w:tcPr>
            <w:tcW w:w="1145" w:type="pct"/>
            <w:tcBorders>
              <w:top w:val="single" w:color="auto" w:sz="4" w:space="0"/>
              <w:left w:val="single" w:color="auto" w:sz="4" w:space="0"/>
              <w:bottom w:val="single" w:color="auto" w:sz="4" w:space="0"/>
              <w:right w:val="single" w:color="auto" w:sz="4" w:space="0"/>
            </w:tcBorders>
            <w:vAlign w:val="center"/>
          </w:tcPr>
          <w:p w14:paraId="4584C8CA">
            <w:pPr>
              <w:pStyle w:val="16"/>
              <w:widowControl w:val="0"/>
              <w:spacing w:before="0" w:beforeAutospacing="0" w:after="0" w:afterAutospacing="0"/>
              <w:ind w:firstLine="420" w:firstLineChars="200"/>
              <w:jc w:val="center"/>
              <w:rPr>
                <w:rFonts w:cs="宋体"/>
                <w:sz w:val="21"/>
                <w:szCs w:val="21"/>
              </w:rPr>
            </w:pPr>
          </w:p>
        </w:tc>
        <w:tc>
          <w:tcPr>
            <w:tcW w:w="692" w:type="pct"/>
            <w:tcBorders>
              <w:top w:val="single" w:color="auto" w:sz="4" w:space="0"/>
              <w:left w:val="single" w:color="auto" w:sz="4" w:space="0"/>
              <w:bottom w:val="single" w:color="auto" w:sz="4" w:space="0"/>
              <w:right w:val="single" w:color="auto" w:sz="4" w:space="0"/>
            </w:tcBorders>
            <w:vAlign w:val="center"/>
          </w:tcPr>
          <w:p w14:paraId="08A84075">
            <w:pPr>
              <w:pStyle w:val="16"/>
              <w:widowControl w:val="0"/>
              <w:spacing w:before="0" w:beforeAutospacing="0" w:after="0" w:afterAutospacing="0"/>
              <w:ind w:firstLine="420" w:firstLineChars="200"/>
              <w:jc w:val="center"/>
              <w:rPr>
                <w:rFonts w:cs="宋体"/>
                <w:sz w:val="21"/>
                <w:szCs w:val="21"/>
              </w:rPr>
            </w:pPr>
          </w:p>
        </w:tc>
        <w:tc>
          <w:tcPr>
            <w:tcW w:w="518" w:type="pct"/>
            <w:tcBorders>
              <w:top w:val="single" w:color="auto" w:sz="4" w:space="0"/>
              <w:left w:val="single" w:color="auto" w:sz="4" w:space="0"/>
              <w:bottom w:val="single" w:color="auto" w:sz="4" w:space="0"/>
              <w:right w:val="single" w:color="auto" w:sz="4" w:space="0"/>
            </w:tcBorders>
            <w:vAlign w:val="center"/>
          </w:tcPr>
          <w:p w14:paraId="2078B7F1">
            <w:pPr>
              <w:pStyle w:val="16"/>
              <w:widowControl w:val="0"/>
              <w:spacing w:before="0" w:beforeAutospacing="0" w:after="0" w:afterAutospacing="0"/>
              <w:ind w:firstLine="420" w:firstLineChars="200"/>
              <w:jc w:val="center"/>
              <w:rPr>
                <w:rFonts w:cs="宋体"/>
                <w:sz w:val="21"/>
                <w:szCs w:val="21"/>
              </w:rPr>
            </w:pPr>
          </w:p>
        </w:tc>
      </w:tr>
      <w:tr w14:paraId="6BE4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4" w:type="pct"/>
            <w:tcBorders>
              <w:top w:val="single" w:color="auto" w:sz="4" w:space="0"/>
              <w:left w:val="single" w:color="auto" w:sz="4" w:space="0"/>
              <w:bottom w:val="single" w:color="auto" w:sz="4" w:space="0"/>
              <w:right w:val="single" w:color="auto" w:sz="4" w:space="0"/>
            </w:tcBorders>
            <w:vAlign w:val="center"/>
          </w:tcPr>
          <w:p w14:paraId="20737A41">
            <w:pPr>
              <w:pStyle w:val="16"/>
              <w:widowControl w:val="0"/>
              <w:spacing w:before="0" w:beforeAutospacing="0" w:after="0" w:afterAutospacing="0"/>
              <w:ind w:firstLine="420" w:firstLineChars="200"/>
              <w:jc w:val="center"/>
              <w:rPr>
                <w:rFonts w:cs="宋体"/>
                <w:sz w:val="21"/>
                <w:szCs w:val="21"/>
              </w:rPr>
            </w:pPr>
          </w:p>
        </w:tc>
        <w:tc>
          <w:tcPr>
            <w:tcW w:w="1062" w:type="pct"/>
            <w:tcBorders>
              <w:top w:val="single" w:color="auto" w:sz="4" w:space="0"/>
              <w:left w:val="single" w:color="auto" w:sz="4" w:space="0"/>
              <w:bottom w:val="single" w:color="auto" w:sz="4" w:space="0"/>
              <w:right w:val="single" w:color="auto" w:sz="4" w:space="0"/>
            </w:tcBorders>
            <w:vAlign w:val="center"/>
          </w:tcPr>
          <w:p w14:paraId="05238FD4">
            <w:pPr>
              <w:pStyle w:val="16"/>
              <w:widowControl w:val="0"/>
              <w:spacing w:before="0" w:beforeAutospacing="0" w:after="0" w:afterAutospacing="0"/>
              <w:ind w:firstLine="420" w:firstLineChars="200"/>
              <w:jc w:val="center"/>
              <w:rPr>
                <w:rFonts w:cs="宋体"/>
                <w:sz w:val="21"/>
                <w:szCs w:val="21"/>
              </w:rPr>
            </w:pPr>
          </w:p>
        </w:tc>
        <w:tc>
          <w:tcPr>
            <w:tcW w:w="1096" w:type="pct"/>
            <w:tcBorders>
              <w:top w:val="single" w:color="auto" w:sz="4" w:space="0"/>
              <w:left w:val="single" w:color="auto" w:sz="4" w:space="0"/>
              <w:bottom w:val="single" w:color="auto" w:sz="4" w:space="0"/>
              <w:right w:val="single" w:color="auto" w:sz="4" w:space="0"/>
            </w:tcBorders>
            <w:vAlign w:val="center"/>
          </w:tcPr>
          <w:p w14:paraId="1EA04525">
            <w:pPr>
              <w:pStyle w:val="16"/>
              <w:widowControl w:val="0"/>
              <w:spacing w:before="0" w:beforeAutospacing="0" w:after="0" w:afterAutospacing="0"/>
              <w:ind w:firstLine="420" w:firstLineChars="200"/>
              <w:jc w:val="center"/>
              <w:rPr>
                <w:rFonts w:cs="宋体"/>
                <w:sz w:val="21"/>
                <w:szCs w:val="21"/>
              </w:rPr>
            </w:pPr>
          </w:p>
        </w:tc>
        <w:tc>
          <w:tcPr>
            <w:tcW w:w="1145" w:type="pct"/>
            <w:tcBorders>
              <w:top w:val="single" w:color="auto" w:sz="4" w:space="0"/>
              <w:left w:val="single" w:color="auto" w:sz="4" w:space="0"/>
              <w:bottom w:val="single" w:color="auto" w:sz="4" w:space="0"/>
              <w:right w:val="single" w:color="auto" w:sz="4" w:space="0"/>
            </w:tcBorders>
            <w:vAlign w:val="center"/>
          </w:tcPr>
          <w:p w14:paraId="54228BCA">
            <w:pPr>
              <w:pStyle w:val="16"/>
              <w:widowControl w:val="0"/>
              <w:spacing w:before="0" w:beforeAutospacing="0" w:after="0" w:afterAutospacing="0"/>
              <w:ind w:firstLine="420" w:firstLineChars="200"/>
              <w:jc w:val="center"/>
              <w:rPr>
                <w:rFonts w:cs="宋体"/>
                <w:sz w:val="21"/>
                <w:szCs w:val="21"/>
              </w:rPr>
            </w:pPr>
          </w:p>
        </w:tc>
        <w:tc>
          <w:tcPr>
            <w:tcW w:w="692" w:type="pct"/>
            <w:tcBorders>
              <w:top w:val="single" w:color="auto" w:sz="4" w:space="0"/>
              <w:left w:val="single" w:color="auto" w:sz="4" w:space="0"/>
              <w:bottom w:val="single" w:color="auto" w:sz="4" w:space="0"/>
              <w:right w:val="single" w:color="auto" w:sz="4" w:space="0"/>
            </w:tcBorders>
            <w:vAlign w:val="center"/>
          </w:tcPr>
          <w:p w14:paraId="04F42A5F">
            <w:pPr>
              <w:pStyle w:val="16"/>
              <w:widowControl w:val="0"/>
              <w:spacing w:before="0" w:beforeAutospacing="0" w:after="0" w:afterAutospacing="0"/>
              <w:ind w:firstLine="420" w:firstLineChars="200"/>
              <w:jc w:val="center"/>
              <w:rPr>
                <w:rFonts w:cs="宋体"/>
                <w:sz w:val="21"/>
                <w:szCs w:val="21"/>
              </w:rPr>
            </w:pPr>
          </w:p>
        </w:tc>
        <w:tc>
          <w:tcPr>
            <w:tcW w:w="518" w:type="pct"/>
            <w:tcBorders>
              <w:top w:val="single" w:color="auto" w:sz="4" w:space="0"/>
              <w:left w:val="single" w:color="auto" w:sz="4" w:space="0"/>
              <w:bottom w:val="single" w:color="auto" w:sz="4" w:space="0"/>
              <w:right w:val="single" w:color="auto" w:sz="4" w:space="0"/>
            </w:tcBorders>
            <w:vAlign w:val="center"/>
          </w:tcPr>
          <w:p w14:paraId="6AEA4EFE">
            <w:pPr>
              <w:pStyle w:val="16"/>
              <w:widowControl w:val="0"/>
              <w:spacing w:before="0" w:beforeAutospacing="0" w:after="0" w:afterAutospacing="0"/>
              <w:ind w:firstLine="420" w:firstLineChars="200"/>
              <w:jc w:val="center"/>
              <w:rPr>
                <w:rFonts w:cs="宋体"/>
                <w:sz w:val="21"/>
                <w:szCs w:val="21"/>
              </w:rPr>
            </w:pPr>
          </w:p>
        </w:tc>
      </w:tr>
      <w:tr w14:paraId="6BAB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4" w:type="pct"/>
            <w:tcBorders>
              <w:top w:val="single" w:color="auto" w:sz="4" w:space="0"/>
              <w:left w:val="single" w:color="auto" w:sz="4" w:space="0"/>
              <w:bottom w:val="single" w:color="auto" w:sz="4" w:space="0"/>
              <w:right w:val="single" w:color="auto" w:sz="4" w:space="0"/>
            </w:tcBorders>
            <w:vAlign w:val="center"/>
          </w:tcPr>
          <w:p w14:paraId="722B2BA4">
            <w:pPr>
              <w:pStyle w:val="16"/>
              <w:widowControl w:val="0"/>
              <w:spacing w:before="0" w:beforeAutospacing="0" w:after="0" w:afterAutospacing="0"/>
              <w:ind w:firstLine="420" w:firstLineChars="200"/>
              <w:jc w:val="center"/>
              <w:rPr>
                <w:rFonts w:cs="宋体"/>
                <w:sz w:val="21"/>
                <w:szCs w:val="21"/>
              </w:rPr>
            </w:pPr>
          </w:p>
        </w:tc>
        <w:tc>
          <w:tcPr>
            <w:tcW w:w="1062" w:type="pct"/>
            <w:tcBorders>
              <w:top w:val="single" w:color="auto" w:sz="4" w:space="0"/>
              <w:left w:val="single" w:color="auto" w:sz="4" w:space="0"/>
              <w:bottom w:val="single" w:color="auto" w:sz="4" w:space="0"/>
              <w:right w:val="single" w:color="auto" w:sz="4" w:space="0"/>
            </w:tcBorders>
            <w:vAlign w:val="center"/>
          </w:tcPr>
          <w:p w14:paraId="725081A0">
            <w:pPr>
              <w:pStyle w:val="16"/>
              <w:widowControl w:val="0"/>
              <w:spacing w:before="0" w:beforeAutospacing="0" w:after="0" w:afterAutospacing="0"/>
              <w:ind w:firstLine="420" w:firstLineChars="200"/>
              <w:jc w:val="center"/>
              <w:rPr>
                <w:rFonts w:cs="宋体"/>
                <w:sz w:val="21"/>
                <w:szCs w:val="21"/>
              </w:rPr>
            </w:pPr>
          </w:p>
        </w:tc>
        <w:tc>
          <w:tcPr>
            <w:tcW w:w="1096" w:type="pct"/>
            <w:tcBorders>
              <w:top w:val="single" w:color="auto" w:sz="4" w:space="0"/>
              <w:left w:val="single" w:color="auto" w:sz="4" w:space="0"/>
              <w:bottom w:val="single" w:color="auto" w:sz="4" w:space="0"/>
              <w:right w:val="single" w:color="auto" w:sz="4" w:space="0"/>
            </w:tcBorders>
            <w:vAlign w:val="center"/>
          </w:tcPr>
          <w:p w14:paraId="0FA6A5C2">
            <w:pPr>
              <w:pStyle w:val="16"/>
              <w:widowControl w:val="0"/>
              <w:spacing w:before="0" w:beforeAutospacing="0" w:after="0" w:afterAutospacing="0"/>
              <w:ind w:firstLine="420" w:firstLineChars="200"/>
              <w:jc w:val="center"/>
              <w:rPr>
                <w:rFonts w:cs="宋体"/>
                <w:sz w:val="21"/>
                <w:szCs w:val="21"/>
              </w:rPr>
            </w:pPr>
          </w:p>
        </w:tc>
        <w:tc>
          <w:tcPr>
            <w:tcW w:w="1145" w:type="pct"/>
            <w:tcBorders>
              <w:top w:val="single" w:color="auto" w:sz="4" w:space="0"/>
              <w:left w:val="single" w:color="auto" w:sz="4" w:space="0"/>
              <w:bottom w:val="single" w:color="auto" w:sz="4" w:space="0"/>
              <w:right w:val="single" w:color="auto" w:sz="4" w:space="0"/>
            </w:tcBorders>
            <w:vAlign w:val="center"/>
          </w:tcPr>
          <w:p w14:paraId="3C40448D">
            <w:pPr>
              <w:pStyle w:val="16"/>
              <w:widowControl w:val="0"/>
              <w:spacing w:before="0" w:beforeAutospacing="0" w:after="0" w:afterAutospacing="0"/>
              <w:ind w:firstLine="420" w:firstLineChars="200"/>
              <w:jc w:val="center"/>
              <w:rPr>
                <w:rFonts w:cs="宋体"/>
                <w:sz w:val="21"/>
                <w:szCs w:val="21"/>
              </w:rPr>
            </w:pPr>
          </w:p>
        </w:tc>
        <w:tc>
          <w:tcPr>
            <w:tcW w:w="692" w:type="pct"/>
            <w:tcBorders>
              <w:top w:val="single" w:color="auto" w:sz="4" w:space="0"/>
              <w:left w:val="single" w:color="auto" w:sz="4" w:space="0"/>
              <w:bottom w:val="single" w:color="auto" w:sz="4" w:space="0"/>
              <w:right w:val="single" w:color="auto" w:sz="4" w:space="0"/>
            </w:tcBorders>
            <w:vAlign w:val="center"/>
          </w:tcPr>
          <w:p w14:paraId="25B7F2D7">
            <w:pPr>
              <w:pStyle w:val="16"/>
              <w:widowControl w:val="0"/>
              <w:spacing w:before="0" w:beforeAutospacing="0" w:after="0" w:afterAutospacing="0"/>
              <w:ind w:firstLine="420" w:firstLineChars="200"/>
              <w:jc w:val="center"/>
              <w:rPr>
                <w:rFonts w:cs="宋体"/>
                <w:sz w:val="21"/>
                <w:szCs w:val="21"/>
              </w:rPr>
            </w:pPr>
          </w:p>
        </w:tc>
        <w:tc>
          <w:tcPr>
            <w:tcW w:w="518" w:type="pct"/>
            <w:tcBorders>
              <w:top w:val="single" w:color="auto" w:sz="4" w:space="0"/>
              <w:left w:val="single" w:color="auto" w:sz="4" w:space="0"/>
              <w:bottom w:val="single" w:color="auto" w:sz="4" w:space="0"/>
              <w:right w:val="single" w:color="auto" w:sz="4" w:space="0"/>
            </w:tcBorders>
            <w:vAlign w:val="center"/>
          </w:tcPr>
          <w:p w14:paraId="3896A088">
            <w:pPr>
              <w:pStyle w:val="16"/>
              <w:widowControl w:val="0"/>
              <w:spacing w:before="0" w:beforeAutospacing="0" w:after="0" w:afterAutospacing="0"/>
              <w:ind w:firstLine="420" w:firstLineChars="200"/>
              <w:jc w:val="center"/>
              <w:rPr>
                <w:rFonts w:cs="宋体"/>
                <w:sz w:val="21"/>
                <w:szCs w:val="21"/>
              </w:rPr>
            </w:pPr>
          </w:p>
        </w:tc>
      </w:tr>
      <w:tr w14:paraId="20FDB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4" w:type="pct"/>
            <w:tcBorders>
              <w:top w:val="single" w:color="auto" w:sz="4" w:space="0"/>
              <w:left w:val="single" w:color="auto" w:sz="4" w:space="0"/>
              <w:bottom w:val="single" w:color="auto" w:sz="4" w:space="0"/>
              <w:right w:val="single" w:color="auto" w:sz="4" w:space="0"/>
            </w:tcBorders>
            <w:vAlign w:val="center"/>
          </w:tcPr>
          <w:p w14:paraId="576F4079">
            <w:pPr>
              <w:pStyle w:val="16"/>
              <w:widowControl w:val="0"/>
              <w:spacing w:before="0" w:beforeAutospacing="0" w:after="0" w:afterAutospacing="0"/>
              <w:ind w:firstLine="420" w:firstLineChars="200"/>
              <w:jc w:val="center"/>
              <w:rPr>
                <w:rFonts w:cs="宋体"/>
                <w:sz w:val="21"/>
                <w:szCs w:val="21"/>
              </w:rPr>
            </w:pPr>
          </w:p>
        </w:tc>
        <w:tc>
          <w:tcPr>
            <w:tcW w:w="1062" w:type="pct"/>
            <w:tcBorders>
              <w:top w:val="single" w:color="auto" w:sz="4" w:space="0"/>
              <w:left w:val="single" w:color="auto" w:sz="4" w:space="0"/>
              <w:bottom w:val="single" w:color="auto" w:sz="4" w:space="0"/>
              <w:right w:val="single" w:color="auto" w:sz="4" w:space="0"/>
            </w:tcBorders>
            <w:vAlign w:val="center"/>
          </w:tcPr>
          <w:p w14:paraId="70CC0E34">
            <w:pPr>
              <w:pStyle w:val="16"/>
              <w:widowControl w:val="0"/>
              <w:spacing w:before="0" w:beforeAutospacing="0" w:after="0" w:afterAutospacing="0"/>
              <w:ind w:firstLine="420" w:firstLineChars="200"/>
              <w:jc w:val="center"/>
              <w:rPr>
                <w:rFonts w:cs="宋体"/>
                <w:sz w:val="21"/>
                <w:szCs w:val="21"/>
              </w:rPr>
            </w:pPr>
          </w:p>
        </w:tc>
        <w:tc>
          <w:tcPr>
            <w:tcW w:w="1096" w:type="pct"/>
            <w:tcBorders>
              <w:top w:val="single" w:color="auto" w:sz="4" w:space="0"/>
              <w:left w:val="single" w:color="auto" w:sz="4" w:space="0"/>
              <w:bottom w:val="single" w:color="auto" w:sz="4" w:space="0"/>
              <w:right w:val="single" w:color="auto" w:sz="4" w:space="0"/>
            </w:tcBorders>
            <w:vAlign w:val="center"/>
          </w:tcPr>
          <w:p w14:paraId="01B587A1">
            <w:pPr>
              <w:pStyle w:val="16"/>
              <w:widowControl w:val="0"/>
              <w:spacing w:before="0" w:beforeAutospacing="0" w:after="0" w:afterAutospacing="0"/>
              <w:ind w:firstLine="420" w:firstLineChars="200"/>
              <w:jc w:val="center"/>
              <w:rPr>
                <w:rFonts w:cs="宋体"/>
                <w:sz w:val="21"/>
                <w:szCs w:val="21"/>
              </w:rPr>
            </w:pPr>
          </w:p>
        </w:tc>
        <w:tc>
          <w:tcPr>
            <w:tcW w:w="1145" w:type="pct"/>
            <w:tcBorders>
              <w:top w:val="single" w:color="auto" w:sz="4" w:space="0"/>
              <w:left w:val="single" w:color="auto" w:sz="4" w:space="0"/>
              <w:bottom w:val="single" w:color="auto" w:sz="4" w:space="0"/>
              <w:right w:val="single" w:color="auto" w:sz="4" w:space="0"/>
            </w:tcBorders>
            <w:vAlign w:val="center"/>
          </w:tcPr>
          <w:p w14:paraId="04093F22">
            <w:pPr>
              <w:pStyle w:val="16"/>
              <w:widowControl w:val="0"/>
              <w:spacing w:before="0" w:beforeAutospacing="0" w:after="0" w:afterAutospacing="0"/>
              <w:ind w:firstLine="420" w:firstLineChars="200"/>
              <w:jc w:val="center"/>
              <w:rPr>
                <w:rFonts w:cs="宋体"/>
                <w:sz w:val="21"/>
                <w:szCs w:val="21"/>
              </w:rPr>
            </w:pPr>
          </w:p>
        </w:tc>
        <w:tc>
          <w:tcPr>
            <w:tcW w:w="692" w:type="pct"/>
            <w:tcBorders>
              <w:top w:val="single" w:color="auto" w:sz="4" w:space="0"/>
              <w:left w:val="single" w:color="auto" w:sz="4" w:space="0"/>
              <w:bottom w:val="single" w:color="auto" w:sz="4" w:space="0"/>
              <w:right w:val="single" w:color="auto" w:sz="4" w:space="0"/>
            </w:tcBorders>
            <w:vAlign w:val="center"/>
          </w:tcPr>
          <w:p w14:paraId="390E42B4">
            <w:pPr>
              <w:pStyle w:val="16"/>
              <w:widowControl w:val="0"/>
              <w:spacing w:before="0" w:beforeAutospacing="0" w:after="0" w:afterAutospacing="0"/>
              <w:ind w:firstLine="420" w:firstLineChars="200"/>
              <w:jc w:val="center"/>
              <w:rPr>
                <w:rFonts w:cs="宋体"/>
                <w:sz w:val="21"/>
                <w:szCs w:val="21"/>
              </w:rPr>
            </w:pPr>
          </w:p>
        </w:tc>
        <w:tc>
          <w:tcPr>
            <w:tcW w:w="518" w:type="pct"/>
            <w:tcBorders>
              <w:top w:val="single" w:color="auto" w:sz="4" w:space="0"/>
              <w:left w:val="single" w:color="auto" w:sz="4" w:space="0"/>
              <w:bottom w:val="single" w:color="auto" w:sz="4" w:space="0"/>
              <w:right w:val="single" w:color="auto" w:sz="4" w:space="0"/>
            </w:tcBorders>
            <w:vAlign w:val="center"/>
          </w:tcPr>
          <w:p w14:paraId="7EA75A9E">
            <w:pPr>
              <w:pStyle w:val="16"/>
              <w:widowControl w:val="0"/>
              <w:spacing w:before="0" w:beforeAutospacing="0" w:after="0" w:afterAutospacing="0"/>
              <w:ind w:firstLine="420" w:firstLineChars="200"/>
              <w:jc w:val="center"/>
              <w:rPr>
                <w:rFonts w:cs="宋体"/>
                <w:sz w:val="21"/>
                <w:szCs w:val="21"/>
              </w:rPr>
            </w:pPr>
          </w:p>
        </w:tc>
      </w:tr>
      <w:tr w14:paraId="1FB7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4" w:type="pct"/>
            <w:tcBorders>
              <w:top w:val="single" w:color="auto" w:sz="4" w:space="0"/>
              <w:left w:val="single" w:color="auto" w:sz="4" w:space="0"/>
              <w:bottom w:val="single" w:color="auto" w:sz="4" w:space="0"/>
              <w:right w:val="single" w:color="auto" w:sz="4" w:space="0"/>
            </w:tcBorders>
            <w:vAlign w:val="center"/>
          </w:tcPr>
          <w:p w14:paraId="1788BC1B">
            <w:pPr>
              <w:pStyle w:val="16"/>
              <w:widowControl w:val="0"/>
              <w:spacing w:before="0" w:beforeAutospacing="0" w:after="0" w:afterAutospacing="0"/>
              <w:ind w:firstLine="420" w:firstLineChars="200"/>
              <w:jc w:val="center"/>
              <w:rPr>
                <w:rFonts w:cs="宋体"/>
                <w:sz w:val="21"/>
                <w:szCs w:val="21"/>
              </w:rPr>
            </w:pPr>
          </w:p>
        </w:tc>
        <w:tc>
          <w:tcPr>
            <w:tcW w:w="1062" w:type="pct"/>
            <w:tcBorders>
              <w:top w:val="single" w:color="auto" w:sz="4" w:space="0"/>
              <w:left w:val="single" w:color="auto" w:sz="4" w:space="0"/>
              <w:bottom w:val="single" w:color="auto" w:sz="4" w:space="0"/>
              <w:right w:val="single" w:color="auto" w:sz="4" w:space="0"/>
            </w:tcBorders>
            <w:vAlign w:val="center"/>
          </w:tcPr>
          <w:p w14:paraId="30AAC86D">
            <w:pPr>
              <w:pStyle w:val="16"/>
              <w:widowControl w:val="0"/>
              <w:spacing w:before="0" w:beforeAutospacing="0" w:after="0" w:afterAutospacing="0"/>
              <w:ind w:firstLine="420" w:firstLineChars="200"/>
              <w:jc w:val="center"/>
              <w:rPr>
                <w:rFonts w:cs="宋体"/>
                <w:sz w:val="21"/>
                <w:szCs w:val="21"/>
              </w:rPr>
            </w:pPr>
          </w:p>
        </w:tc>
        <w:tc>
          <w:tcPr>
            <w:tcW w:w="1096" w:type="pct"/>
            <w:tcBorders>
              <w:top w:val="single" w:color="auto" w:sz="4" w:space="0"/>
              <w:left w:val="single" w:color="auto" w:sz="4" w:space="0"/>
              <w:bottom w:val="single" w:color="auto" w:sz="4" w:space="0"/>
              <w:right w:val="single" w:color="auto" w:sz="4" w:space="0"/>
            </w:tcBorders>
            <w:vAlign w:val="center"/>
          </w:tcPr>
          <w:p w14:paraId="5DB26CEA">
            <w:pPr>
              <w:pStyle w:val="16"/>
              <w:widowControl w:val="0"/>
              <w:spacing w:before="0" w:beforeAutospacing="0" w:after="0" w:afterAutospacing="0"/>
              <w:ind w:firstLine="420" w:firstLineChars="200"/>
              <w:jc w:val="center"/>
              <w:rPr>
                <w:rFonts w:cs="宋体"/>
                <w:sz w:val="21"/>
                <w:szCs w:val="21"/>
              </w:rPr>
            </w:pPr>
          </w:p>
        </w:tc>
        <w:tc>
          <w:tcPr>
            <w:tcW w:w="1145" w:type="pct"/>
            <w:tcBorders>
              <w:top w:val="single" w:color="auto" w:sz="4" w:space="0"/>
              <w:left w:val="single" w:color="auto" w:sz="4" w:space="0"/>
              <w:bottom w:val="single" w:color="auto" w:sz="4" w:space="0"/>
              <w:right w:val="single" w:color="auto" w:sz="4" w:space="0"/>
            </w:tcBorders>
            <w:vAlign w:val="center"/>
          </w:tcPr>
          <w:p w14:paraId="7E096832">
            <w:pPr>
              <w:pStyle w:val="16"/>
              <w:widowControl w:val="0"/>
              <w:spacing w:before="0" w:beforeAutospacing="0" w:after="0" w:afterAutospacing="0"/>
              <w:ind w:firstLine="420" w:firstLineChars="200"/>
              <w:jc w:val="center"/>
              <w:rPr>
                <w:rFonts w:cs="宋体"/>
                <w:sz w:val="21"/>
                <w:szCs w:val="21"/>
              </w:rPr>
            </w:pPr>
          </w:p>
        </w:tc>
        <w:tc>
          <w:tcPr>
            <w:tcW w:w="692" w:type="pct"/>
            <w:tcBorders>
              <w:top w:val="single" w:color="auto" w:sz="4" w:space="0"/>
              <w:left w:val="single" w:color="auto" w:sz="4" w:space="0"/>
              <w:bottom w:val="single" w:color="auto" w:sz="4" w:space="0"/>
              <w:right w:val="single" w:color="auto" w:sz="4" w:space="0"/>
            </w:tcBorders>
            <w:vAlign w:val="center"/>
          </w:tcPr>
          <w:p w14:paraId="23C517F0">
            <w:pPr>
              <w:pStyle w:val="16"/>
              <w:widowControl w:val="0"/>
              <w:spacing w:before="0" w:beforeAutospacing="0" w:after="0" w:afterAutospacing="0"/>
              <w:ind w:firstLine="420" w:firstLineChars="200"/>
              <w:jc w:val="center"/>
              <w:rPr>
                <w:rFonts w:cs="宋体"/>
                <w:sz w:val="21"/>
                <w:szCs w:val="21"/>
              </w:rPr>
            </w:pPr>
          </w:p>
        </w:tc>
        <w:tc>
          <w:tcPr>
            <w:tcW w:w="518" w:type="pct"/>
            <w:tcBorders>
              <w:top w:val="single" w:color="auto" w:sz="4" w:space="0"/>
              <w:left w:val="single" w:color="auto" w:sz="4" w:space="0"/>
              <w:bottom w:val="single" w:color="auto" w:sz="4" w:space="0"/>
              <w:right w:val="single" w:color="auto" w:sz="4" w:space="0"/>
            </w:tcBorders>
            <w:vAlign w:val="center"/>
          </w:tcPr>
          <w:p w14:paraId="66A1E727">
            <w:pPr>
              <w:pStyle w:val="16"/>
              <w:widowControl w:val="0"/>
              <w:spacing w:before="0" w:beforeAutospacing="0" w:after="0" w:afterAutospacing="0"/>
              <w:ind w:firstLine="420" w:firstLineChars="200"/>
              <w:jc w:val="center"/>
              <w:rPr>
                <w:rFonts w:cs="宋体"/>
                <w:sz w:val="21"/>
                <w:szCs w:val="21"/>
              </w:rPr>
            </w:pPr>
          </w:p>
        </w:tc>
      </w:tr>
    </w:tbl>
    <w:p w14:paraId="7718F3BC">
      <w:pPr>
        <w:pStyle w:val="16"/>
        <w:widowControl w:val="0"/>
        <w:spacing w:before="0" w:beforeAutospacing="0" w:after="0" w:afterAutospacing="0" w:line="360" w:lineRule="auto"/>
        <w:rPr>
          <w:rFonts w:cs="宋体"/>
          <w:sz w:val="21"/>
          <w:szCs w:val="21"/>
        </w:rPr>
      </w:pPr>
      <w:r>
        <w:rPr>
          <w:rFonts w:hint="eastAsia" w:cs="宋体"/>
          <w:sz w:val="21"/>
          <w:szCs w:val="21"/>
        </w:rPr>
        <w:t>说明：</w:t>
      </w:r>
    </w:p>
    <w:p w14:paraId="5F36930D">
      <w:pPr>
        <w:pStyle w:val="16"/>
        <w:widowControl w:val="0"/>
        <w:spacing w:before="0" w:beforeAutospacing="0" w:after="0" w:afterAutospacing="0" w:line="360" w:lineRule="auto"/>
        <w:ind w:firstLine="420" w:firstLineChars="200"/>
        <w:jc w:val="both"/>
        <w:rPr>
          <w:rFonts w:cs="宋体"/>
          <w:sz w:val="21"/>
          <w:szCs w:val="21"/>
        </w:rPr>
      </w:pPr>
      <w:r>
        <w:rPr>
          <w:rFonts w:hint="eastAsia" w:cs="宋体"/>
          <w:sz w:val="21"/>
          <w:szCs w:val="21"/>
        </w:rPr>
        <w:t>1.本表只填写投标文件中与招标文件有偏离（包括正偏离和负偏离）的内容，投标文件中商务响应与招标文件要求完全一致的，不用在此表中列出，但必须提交空白表。</w:t>
      </w:r>
    </w:p>
    <w:p w14:paraId="097EA054">
      <w:pPr>
        <w:pStyle w:val="16"/>
        <w:widowControl w:val="0"/>
        <w:spacing w:before="0" w:beforeAutospacing="0" w:after="0" w:afterAutospacing="0" w:line="360" w:lineRule="auto"/>
        <w:ind w:firstLine="420" w:firstLineChars="200"/>
        <w:rPr>
          <w:rFonts w:cs="宋体"/>
          <w:sz w:val="21"/>
          <w:szCs w:val="21"/>
        </w:rPr>
      </w:pPr>
      <w:r>
        <w:rPr>
          <w:rFonts w:hint="eastAsia" w:cs="宋体"/>
          <w:sz w:val="21"/>
          <w:szCs w:val="21"/>
        </w:rPr>
        <w:t>2.供应商必须据实填写，不得虚假响应，否则将取消其投标或中标资格，并按有关规定进处罚。</w:t>
      </w:r>
    </w:p>
    <w:p w14:paraId="44008EFA">
      <w:pPr>
        <w:pStyle w:val="16"/>
        <w:widowControl w:val="0"/>
        <w:spacing w:before="0" w:beforeAutospacing="0" w:after="0" w:afterAutospacing="0" w:line="360" w:lineRule="auto"/>
        <w:ind w:firstLine="420" w:firstLineChars="200"/>
        <w:jc w:val="center"/>
        <w:rPr>
          <w:rFonts w:cs="宋体"/>
          <w:sz w:val="21"/>
          <w:szCs w:val="21"/>
        </w:rPr>
      </w:pPr>
    </w:p>
    <w:p w14:paraId="56B7C63C">
      <w:pPr>
        <w:pStyle w:val="16"/>
        <w:widowControl w:val="0"/>
        <w:spacing w:before="0" w:beforeAutospacing="0" w:after="0" w:afterAutospacing="0" w:line="360" w:lineRule="auto"/>
        <w:ind w:firstLine="420" w:firstLineChars="200"/>
        <w:rPr>
          <w:rFonts w:cs="宋体"/>
          <w:sz w:val="21"/>
          <w:szCs w:val="21"/>
        </w:rPr>
      </w:pPr>
      <w:r>
        <w:rPr>
          <w:rFonts w:hint="eastAsia" w:cs="宋体"/>
          <w:sz w:val="21"/>
          <w:szCs w:val="21"/>
        </w:rPr>
        <w:t>供应商名称：                     （单位公章）</w:t>
      </w:r>
    </w:p>
    <w:p w14:paraId="30B84CAE">
      <w:pPr>
        <w:pStyle w:val="16"/>
        <w:widowControl w:val="0"/>
        <w:spacing w:before="0" w:beforeAutospacing="0" w:after="0" w:afterAutospacing="0" w:line="360" w:lineRule="auto"/>
        <w:ind w:firstLine="420" w:firstLineChars="200"/>
        <w:jc w:val="center"/>
        <w:rPr>
          <w:rFonts w:cs="宋体"/>
          <w:sz w:val="21"/>
          <w:szCs w:val="21"/>
        </w:rPr>
      </w:pPr>
    </w:p>
    <w:p w14:paraId="70299DD6">
      <w:pPr>
        <w:pStyle w:val="16"/>
        <w:widowControl w:val="0"/>
        <w:spacing w:before="0" w:beforeAutospacing="0" w:after="0" w:afterAutospacing="0" w:line="360" w:lineRule="auto"/>
        <w:ind w:firstLine="420" w:firstLineChars="200"/>
        <w:rPr>
          <w:rFonts w:cs="宋体"/>
          <w:sz w:val="21"/>
          <w:szCs w:val="21"/>
        </w:rPr>
      </w:pPr>
      <w:r>
        <w:rPr>
          <w:rFonts w:hint="eastAsia" w:cs="宋体"/>
          <w:sz w:val="21"/>
          <w:szCs w:val="21"/>
        </w:rPr>
        <w:t xml:space="preserve">法定代表人或被授权人（签字或盖章）：                 </w:t>
      </w:r>
    </w:p>
    <w:p w14:paraId="05A7BC14">
      <w:pPr>
        <w:spacing w:line="360" w:lineRule="auto"/>
        <w:jc w:val="center"/>
        <w:outlineLvl w:val="1"/>
        <w:rPr>
          <w:rFonts w:hAnsi="宋体" w:cs="宋体"/>
          <w:sz w:val="21"/>
          <w:szCs w:val="21"/>
        </w:rPr>
      </w:pPr>
      <w:r>
        <w:rPr>
          <w:rFonts w:hint="eastAsia" w:hAnsi="宋体" w:cs="宋体"/>
          <w:sz w:val="21"/>
          <w:szCs w:val="21"/>
        </w:rPr>
        <w:br w:type="page"/>
      </w:r>
      <w:bookmarkStart w:id="233" w:name="_Toc363474033"/>
      <w:bookmarkStart w:id="234" w:name="_Toc403077656"/>
      <w:bookmarkStart w:id="235" w:name="_Toc10179"/>
      <w:bookmarkStart w:id="236" w:name="_Toc6432"/>
      <w:bookmarkStart w:id="237" w:name="_Toc426457714"/>
      <w:bookmarkStart w:id="238" w:name="_Toc8692"/>
      <w:bookmarkStart w:id="239" w:name="_Toc6862"/>
      <w:bookmarkStart w:id="240" w:name="_Toc10058"/>
      <w:bookmarkStart w:id="241" w:name="_Toc22990"/>
      <w:bookmarkStart w:id="242" w:name="_Toc17345"/>
      <w:bookmarkStart w:id="243" w:name="_Toc9498"/>
      <w:bookmarkStart w:id="244" w:name="_Toc8857"/>
      <w:bookmarkStart w:id="245" w:name="_Toc24011"/>
      <w:r>
        <w:rPr>
          <w:rStyle w:val="27"/>
          <w:rFonts w:hint="eastAsia" w:ascii="宋体" w:hAnsi="宋体" w:cs="宋体"/>
          <w:sz w:val="21"/>
          <w:szCs w:val="21"/>
        </w:rPr>
        <w:t>五、</w:t>
      </w:r>
      <w:bookmarkEnd w:id="233"/>
      <w:bookmarkEnd w:id="234"/>
      <w:bookmarkEnd w:id="235"/>
      <w:bookmarkEnd w:id="236"/>
      <w:bookmarkEnd w:id="237"/>
      <w:bookmarkEnd w:id="238"/>
      <w:bookmarkEnd w:id="239"/>
      <w:bookmarkEnd w:id="240"/>
      <w:bookmarkEnd w:id="241"/>
      <w:r>
        <w:rPr>
          <w:rStyle w:val="27"/>
          <w:rFonts w:hint="eastAsia" w:ascii="宋体" w:hAnsi="宋体" w:cs="宋体"/>
          <w:sz w:val="21"/>
          <w:szCs w:val="21"/>
        </w:rPr>
        <w:t>陕西省政府采购供应商拒绝政府采购领域商业贿赂承诺书</w:t>
      </w:r>
      <w:bookmarkEnd w:id="242"/>
      <w:bookmarkEnd w:id="243"/>
      <w:bookmarkEnd w:id="244"/>
      <w:bookmarkEnd w:id="245"/>
    </w:p>
    <w:p w14:paraId="7BC411CC">
      <w:pPr>
        <w:widowControl/>
        <w:spacing w:line="408" w:lineRule="auto"/>
        <w:ind w:left="274" w:leftChars="114" w:firstLine="411" w:firstLineChars="196"/>
        <w:jc w:val="left"/>
        <w:rPr>
          <w:rFonts w:hint="eastAsia" w:hAnsi="宋体" w:eastAsia="宋体" w:cs="宋体"/>
          <w:sz w:val="21"/>
          <w:szCs w:val="21"/>
          <w:lang w:eastAsia="zh-CN"/>
        </w:rPr>
      </w:pPr>
      <w:r>
        <w:rPr>
          <w:rFonts w:hint="eastAsia" w:hAnsi="宋体" w:cs="宋体"/>
          <w:sz w:val="21"/>
          <w:szCs w:val="21"/>
        </w:rPr>
        <w:t>为响应党中央、国务院关于治理政府采购领域商业贿赂行为的号召，我公司在此庄严承诺：</w:t>
      </w:r>
    </w:p>
    <w:p w14:paraId="4D370405">
      <w:pPr>
        <w:widowControl/>
        <w:spacing w:line="408" w:lineRule="auto"/>
        <w:ind w:left="274" w:leftChars="114" w:firstLine="411" w:firstLineChars="196"/>
        <w:jc w:val="left"/>
        <w:outlineLvl w:val="9"/>
        <w:rPr>
          <w:rFonts w:hint="eastAsia" w:hAnsi="宋体" w:eastAsia="宋体" w:cs="宋体"/>
          <w:sz w:val="21"/>
          <w:szCs w:val="21"/>
          <w:lang w:eastAsia="zh-CN"/>
        </w:rPr>
      </w:pPr>
      <w:bookmarkStart w:id="246" w:name="_Toc32305"/>
      <w:r>
        <w:rPr>
          <w:rFonts w:hint="eastAsia" w:hAnsi="宋体" w:cs="宋体"/>
          <w:sz w:val="21"/>
          <w:szCs w:val="21"/>
        </w:rPr>
        <w:t>1、在参与政府采购活动中遵纪守法、诚信经营、公平竞标。</w:t>
      </w:r>
      <w:bookmarkEnd w:id="246"/>
    </w:p>
    <w:p w14:paraId="5FB41370">
      <w:pPr>
        <w:widowControl/>
        <w:spacing w:line="408" w:lineRule="auto"/>
        <w:ind w:left="274" w:leftChars="114" w:firstLine="411" w:firstLineChars="196"/>
        <w:jc w:val="left"/>
        <w:rPr>
          <w:rFonts w:hint="eastAsia" w:hAnsi="宋体" w:eastAsia="宋体" w:cs="宋体"/>
          <w:sz w:val="21"/>
          <w:szCs w:val="21"/>
          <w:lang w:eastAsia="zh-CN"/>
        </w:rPr>
      </w:pPr>
      <w:r>
        <w:rPr>
          <w:rFonts w:hint="eastAsia" w:hAnsi="宋体" w:cs="宋体"/>
          <w:sz w:val="21"/>
          <w:szCs w:val="21"/>
        </w:rPr>
        <w:t>2、不向政府采购人、采购代理机构和政府采购评审专家进行任何形式的商业贿赂以谋取交易机会。</w:t>
      </w:r>
    </w:p>
    <w:p w14:paraId="0B8FE6C4">
      <w:pPr>
        <w:widowControl/>
        <w:spacing w:line="408" w:lineRule="auto"/>
        <w:ind w:left="274" w:leftChars="114" w:firstLine="411" w:firstLineChars="196"/>
        <w:jc w:val="left"/>
        <w:rPr>
          <w:rFonts w:hint="eastAsia" w:hAnsi="宋体" w:eastAsia="宋体" w:cs="宋体"/>
          <w:sz w:val="21"/>
          <w:szCs w:val="21"/>
          <w:lang w:eastAsia="zh-CN"/>
        </w:rPr>
      </w:pPr>
      <w:r>
        <w:rPr>
          <w:rFonts w:hint="eastAsia" w:hAnsi="宋体" w:cs="宋体"/>
          <w:sz w:val="21"/>
          <w:szCs w:val="21"/>
        </w:rPr>
        <w:t>3、不向政府采购代理机构和采购人提供虚假资质文件或采用虚假应标方式参与政府采购市场竞争并谋取中标、成交。</w:t>
      </w:r>
    </w:p>
    <w:p w14:paraId="2AB16DEA">
      <w:pPr>
        <w:widowControl/>
        <w:spacing w:line="408" w:lineRule="auto"/>
        <w:ind w:left="274" w:leftChars="114" w:firstLine="411" w:firstLineChars="196"/>
        <w:jc w:val="left"/>
        <w:rPr>
          <w:rFonts w:hint="eastAsia" w:hAnsi="宋体" w:eastAsia="宋体" w:cs="宋体"/>
          <w:sz w:val="21"/>
          <w:szCs w:val="21"/>
          <w:lang w:eastAsia="zh-CN"/>
        </w:rPr>
      </w:pPr>
      <w:r>
        <w:rPr>
          <w:rFonts w:hint="eastAsia" w:hAnsi="宋体" w:cs="宋体"/>
          <w:sz w:val="21"/>
          <w:szCs w:val="21"/>
        </w:rPr>
        <w:t>4、不采取“围标、陪标”等商业欺诈手段获得政府采购定单。</w:t>
      </w:r>
    </w:p>
    <w:p w14:paraId="13BA82B0">
      <w:pPr>
        <w:widowControl/>
        <w:spacing w:line="408" w:lineRule="auto"/>
        <w:ind w:left="274" w:leftChars="114" w:firstLine="411" w:firstLineChars="196"/>
        <w:jc w:val="left"/>
        <w:rPr>
          <w:rFonts w:hint="eastAsia" w:hAnsi="宋体" w:eastAsia="宋体" w:cs="宋体"/>
          <w:sz w:val="21"/>
          <w:szCs w:val="21"/>
          <w:lang w:eastAsia="zh-CN"/>
        </w:rPr>
      </w:pPr>
      <w:r>
        <w:rPr>
          <w:rFonts w:hint="eastAsia" w:hAnsi="宋体" w:cs="宋体"/>
          <w:sz w:val="21"/>
          <w:szCs w:val="21"/>
        </w:rPr>
        <w:t>5、不采取不正当手段诋毁、排挤其他供应商。</w:t>
      </w:r>
    </w:p>
    <w:p w14:paraId="40D0DB83">
      <w:pPr>
        <w:widowControl/>
        <w:spacing w:line="408" w:lineRule="auto"/>
        <w:ind w:left="274" w:leftChars="114" w:firstLine="411" w:firstLineChars="196"/>
        <w:jc w:val="left"/>
        <w:rPr>
          <w:rFonts w:hint="eastAsia" w:hAnsi="宋体" w:eastAsia="宋体" w:cs="宋体"/>
          <w:sz w:val="21"/>
          <w:szCs w:val="21"/>
          <w:lang w:eastAsia="zh-CN"/>
        </w:rPr>
      </w:pPr>
      <w:r>
        <w:rPr>
          <w:rFonts w:hint="eastAsia" w:hAnsi="宋体" w:cs="宋体"/>
          <w:sz w:val="21"/>
          <w:szCs w:val="21"/>
        </w:rPr>
        <w:t>6、不在提供商品和服务时“偷梁换柱、以次充好”损害采购人的合法权益。</w:t>
      </w:r>
    </w:p>
    <w:p w14:paraId="3E091DCE">
      <w:pPr>
        <w:widowControl/>
        <w:spacing w:line="408" w:lineRule="auto"/>
        <w:ind w:left="274" w:leftChars="114" w:firstLine="411" w:firstLineChars="196"/>
        <w:jc w:val="left"/>
        <w:rPr>
          <w:rFonts w:hint="eastAsia" w:hAnsi="宋体" w:eastAsia="宋体" w:cs="宋体"/>
          <w:sz w:val="21"/>
          <w:szCs w:val="21"/>
          <w:lang w:eastAsia="zh-CN"/>
        </w:rPr>
      </w:pPr>
      <w:r>
        <w:rPr>
          <w:rFonts w:hint="eastAsia" w:hAnsi="宋体" w:cs="宋体"/>
          <w:sz w:val="21"/>
          <w:szCs w:val="21"/>
        </w:rPr>
        <w:t>7、不与采购人、采购代理机构政府采购评审专家或其它供应商恶意串通，进行质疑和投诉，维护政府采购市场秩序。</w:t>
      </w:r>
    </w:p>
    <w:p w14:paraId="2E96E3FE">
      <w:pPr>
        <w:widowControl/>
        <w:spacing w:line="408" w:lineRule="auto"/>
        <w:ind w:left="274" w:leftChars="114" w:firstLine="411" w:firstLineChars="196"/>
        <w:jc w:val="left"/>
        <w:rPr>
          <w:rFonts w:hint="eastAsia" w:hAnsi="宋体" w:eastAsia="宋体" w:cs="宋体"/>
          <w:sz w:val="21"/>
          <w:szCs w:val="21"/>
          <w:lang w:eastAsia="zh-CN"/>
        </w:rPr>
      </w:pPr>
      <w:r>
        <w:rPr>
          <w:rFonts w:hint="eastAsia" w:hAnsi="宋体" w:cs="宋体"/>
          <w:sz w:val="21"/>
          <w:szCs w:val="21"/>
        </w:rPr>
        <w:t>8、尊重和接受政府采购监督管理部门的监督和政府采购代理机构招标采购要求，承担因违约行为给采购人造成的损失。</w:t>
      </w:r>
    </w:p>
    <w:p w14:paraId="543E6E4E">
      <w:pPr>
        <w:widowControl/>
        <w:spacing w:line="408" w:lineRule="auto"/>
        <w:ind w:left="274" w:leftChars="114" w:firstLine="411" w:firstLineChars="196"/>
        <w:jc w:val="left"/>
        <w:rPr>
          <w:rFonts w:hint="eastAsia" w:hAnsi="宋体" w:eastAsia="宋体" w:cs="宋体"/>
          <w:sz w:val="21"/>
          <w:szCs w:val="21"/>
          <w:lang w:eastAsia="zh-CN"/>
        </w:rPr>
      </w:pPr>
      <w:r>
        <w:rPr>
          <w:rFonts w:hint="eastAsia" w:hAnsi="宋体" w:cs="宋体"/>
          <w:sz w:val="21"/>
          <w:szCs w:val="21"/>
        </w:rPr>
        <w:t>9、不发生其他有悖于政府采购公开、公平、公正和诚信原则的行为。</w:t>
      </w:r>
    </w:p>
    <w:p w14:paraId="0DA0CDE1">
      <w:pPr>
        <w:bidi w:val="0"/>
        <w:rPr>
          <w:rFonts w:hint="eastAsia"/>
          <w:sz w:val="21"/>
          <w:szCs w:val="21"/>
          <w:lang w:eastAsia="zh-CN"/>
        </w:rPr>
      </w:pPr>
    </w:p>
    <w:p w14:paraId="608BF4CA">
      <w:pPr>
        <w:widowControl/>
        <w:spacing w:line="408" w:lineRule="auto"/>
        <w:ind w:left="274" w:leftChars="114"/>
        <w:jc w:val="left"/>
        <w:rPr>
          <w:rFonts w:hint="eastAsia" w:hAnsi="宋体" w:eastAsia="宋体" w:cs="宋体"/>
          <w:sz w:val="21"/>
          <w:szCs w:val="21"/>
          <w:lang w:eastAsia="zh-CN"/>
        </w:rPr>
      </w:pPr>
      <w:r>
        <w:rPr>
          <w:rFonts w:hint="eastAsia" w:hAnsi="宋体" w:cs="宋体"/>
          <w:sz w:val="21"/>
          <w:szCs w:val="21"/>
        </w:rPr>
        <w:t>承诺单位：（盖章）</w:t>
      </w:r>
    </w:p>
    <w:p w14:paraId="5066DCC1">
      <w:pPr>
        <w:widowControl/>
        <w:spacing w:line="408" w:lineRule="auto"/>
        <w:ind w:left="274" w:leftChars="114"/>
        <w:jc w:val="left"/>
        <w:rPr>
          <w:rFonts w:hint="eastAsia" w:hAnsi="宋体" w:eastAsia="宋体" w:cs="宋体"/>
          <w:sz w:val="21"/>
          <w:szCs w:val="21"/>
          <w:lang w:eastAsia="zh-CN"/>
        </w:rPr>
      </w:pPr>
      <w:r>
        <w:rPr>
          <w:rFonts w:hint="eastAsia" w:hAnsi="宋体" w:cs="宋体"/>
          <w:sz w:val="21"/>
          <w:szCs w:val="21"/>
        </w:rPr>
        <w:t>全权代表：（签字）：</w:t>
      </w:r>
    </w:p>
    <w:p w14:paraId="06D96973">
      <w:pPr>
        <w:widowControl/>
        <w:spacing w:line="408" w:lineRule="auto"/>
        <w:ind w:left="274" w:leftChars="114"/>
        <w:jc w:val="left"/>
        <w:rPr>
          <w:rFonts w:hAnsi="宋体" w:cs="宋体"/>
          <w:sz w:val="21"/>
          <w:szCs w:val="21"/>
        </w:rPr>
      </w:pPr>
      <w:r>
        <w:rPr>
          <w:rFonts w:hint="eastAsia" w:hAnsi="宋体" w:cs="宋体"/>
          <w:sz w:val="21"/>
          <w:szCs w:val="21"/>
        </w:rPr>
        <w:t>地  址：                        </w:t>
      </w:r>
    </w:p>
    <w:p w14:paraId="7F7C6807">
      <w:pPr>
        <w:widowControl/>
        <w:spacing w:line="408" w:lineRule="auto"/>
        <w:ind w:left="274" w:leftChars="114"/>
        <w:jc w:val="left"/>
        <w:rPr>
          <w:rFonts w:hint="eastAsia" w:hAnsi="宋体" w:eastAsia="宋体" w:cs="宋体"/>
          <w:sz w:val="21"/>
          <w:szCs w:val="21"/>
          <w:lang w:eastAsia="zh-CN"/>
        </w:rPr>
      </w:pPr>
      <w:r>
        <w:rPr>
          <w:rFonts w:hint="eastAsia" w:hAnsi="宋体" w:cs="宋体"/>
          <w:sz w:val="21"/>
          <w:szCs w:val="21"/>
        </w:rPr>
        <w:t>邮  编：</w:t>
      </w:r>
    </w:p>
    <w:p w14:paraId="064470F1">
      <w:pPr>
        <w:widowControl/>
        <w:spacing w:line="408" w:lineRule="auto"/>
        <w:ind w:left="274" w:leftChars="114"/>
        <w:jc w:val="left"/>
        <w:rPr>
          <w:rFonts w:hint="eastAsia" w:hAnsi="宋体" w:cs="宋体"/>
          <w:sz w:val="21"/>
          <w:szCs w:val="21"/>
        </w:rPr>
      </w:pPr>
      <w:r>
        <w:rPr>
          <w:rFonts w:hint="eastAsia" w:hAnsi="宋体" w:cs="宋体"/>
          <w:sz w:val="21"/>
          <w:szCs w:val="21"/>
        </w:rPr>
        <w:t>电  话：                                                                   年  月  日</w:t>
      </w:r>
    </w:p>
    <w:p w14:paraId="51BE66D3">
      <w:pPr>
        <w:rPr>
          <w:rFonts w:hint="eastAsia" w:ascii="宋体" w:hAnsi="宋体" w:cs="宋体"/>
          <w:sz w:val="21"/>
          <w:szCs w:val="21"/>
        </w:rPr>
      </w:pPr>
      <w:bookmarkStart w:id="247" w:name="_Toc28113"/>
      <w:bookmarkStart w:id="248" w:name="_Toc7550"/>
      <w:bookmarkStart w:id="249" w:name="_Toc8066"/>
      <w:bookmarkStart w:id="250" w:name="_Toc27947"/>
      <w:bookmarkStart w:id="251" w:name="_Toc16775"/>
      <w:bookmarkStart w:id="252" w:name="_Toc155"/>
      <w:bookmarkStart w:id="253" w:name="_Toc426457715"/>
      <w:bookmarkStart w:id="254" w:name="_Toc3206"/>
      <w:bookmarkStart w:id="255" w:name="_Toc403077657"/>
      <w:bookmarkStart w:id="256" w:name="_Toc363474034"/>
      <w:bookmarkStart w:id="257" w:name="_Toc5679"/>
      <w:bookmarkStart w:id="258" w:name="_Toc25687"/>
      <w:bookmarkStart w:id="259" w:name="_Toc20139"/>
      <w:r>
        <w:rPr>
          <w:rFonts w:hint="eastAsia" w:ascii="宋体" w:hAnsi="宋体" w:cs="宋体"/>
          <w:sz w:val="21"/>
          <w:szCs w:val="21"/>
        </w:rPr>
        <w:br w:type="page"/>
      </w:r>
    </w:p>
    <w:p w14:paraId="0C1AD82F">
      <w:pPr>
        <w:pStyle w:val="4"/>
        <w:spacing w:before="333" w:beforeLines="100"/>
        <w:outlineLvl w:val="1"/>
        <w:rPr>
          <w:rFonts w:ascii="宋体" w:hAnsi="宋体" w:cs="宋体"/>
          <w:sz w:val="21"/>
          <w:szCs w:val="21"/>
        </w:rPr>
      </w:pPr>
      <w:r>
        <w:rPr>
          <w:rFonts w:hint="eastAsia" w:ascii="宋体" w:hAnsi="宋体" w:cs="宋体"/>
          <w:sz w:val="21"/>
          <w:szCs w:val="21"/>
        </w:rPr>
        <w:t>六、资格证明文件</w:t>
      </w:r>
      <w:bookmarkEnd w:id="247"/>
      <w:bookmarkEnd w:id="248"/>
      <w:bookmarkEnd w:id="249"/>
      <w:bookmarkEnd w:id="250"/>
      <w:bookmarkEnd w:id="251"/>
      <w:bookmarkEnd w:id="252"/>
      <w:bookmarkEnd w:id="253"/>
      <w:bookmarkEnd w:id="254"/>
      <w:bookmarkEnd w:id="255"/>
      <w:bookmarkEnd w:id="256"/>
      <w:bookmarkEnd w:id="257"/>
      <w:bookmarkEnd w:id="258"/>
      <w:bookmarkEnd w:id="259"/>
    </w:p>
    <w:p w14:paraId="1F0AD77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提供合格有效的法人或者其他组织的营业执照等证明文件，自然人的身份证明；</w:t>
      </w:r>
    </w:p>
    <w:p w14:paraId="6AD256C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 xml:space="preserve">提供法定代表人授权书（附法定代表人、被授权人身份证复印件，法定代表人直接参加投标，须提供法定代表人身份证明及身份证复印件）； </w:t>
      </w:r>
    </w:p>
    <w:p w14:paraId="5DCFCEF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提供 2024 年度的财务审计报告（成立时间至提交投标文件截止时间不足一年的可提供成立后任意时段的资产负债表）或开标时间前六个月内银行出具的资信证明；</w:t>
      </w:r>
    </w:p>
    <w:p w14:paraId="6786966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 xml:space="preserve">税收缴纳证明：提供投标截止日前近一年内任意一个月的纳税证明或完税证明（任意税种），依法免税的单位应提供相关证明材料； </w:t>
      </w:r>
    </w:p>
    <w:p w14:paraId="11D50C5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社会保障资金缴纳证明：提供投标截止日前近一年内任意一个月的社会保障资金缴存单据或社保机构开具的社会保险参保缴费情况证明，依法不需要缴纳社会保障资金的单位应提供相关证明材料；</w:t>
      </w:r>
    </w:p>
    <w:p w14:paraId="7E41614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提供具有履行本合同所必需的设备和专业技术能力的说明及承诺书；</w:t>
      </w:r>
    </w:p>
    <w:p w14:paraId="1442B17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 xml:space="preserve">供应商通过“信用中国”网站(www.creditchina.gov.cn)、中国政府采购网(www.ccgp.gov.cn)等查询相关主体信用记录； </w:t>
      </w:r>
    </w:p>
    <w:p w14:paraId="3DA7D1B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val="en-US" w:eastAsia="zh-CN" w:bidi="ar"/>
        </w:rPr>
        <w:t>参加政府采购活动前 3 年内，在经营活动中没有重大违法记录的书面声明；</w:t>
      </w:r>
    </w:p>
    <w:p w14:paraId="719EAF0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val="en-US" w:eastAsia="zh-CN" w:bidi="ar"/>
        </w:rPr>
        <w:t xml:space="preserve">提供中小企业声明函； </w:t>
      </w:r>
    </w:p>
    <w:p w14:paraId="22BE5374">
      <w:pPr>
        <w:spacing w:line="560" w:lineRule="exact"/>
        <w:ind w:firstLine="420" w:firstLineChars="200"/>
        <w:rPr>
          <w:rFonts w:hint="eastAsia"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val="en-US" w:eastAsia="zh-CN" w:bidi="ar"/>
        </w:rPr>
        <w:t>本项目不接受联合体投标（提供承诺书）</w:t>
      </w:r>
      <w:r>
        <w:rPr>
          <w:rFonts w:hint="eastAsia" w:hAnsi="宋体" w:cs="宋体"/>
          <w:color w:val="auto"/>
          <w:kern w:val="0"/>
          <w:sz w:val="21"/>
          <w:szCs w:val="21"/>
          <w:highlight w:val="none"/>
          <w:lang w:val="en-US" w:eastAsia="zh-CN" w:bidi="ar"/>
        </w:rPr>
        <w:t>。</w:t>
      </w:r>
    </w:p>
    <w:p w14:paraId="263925BA">
      <w:pPr>
        <w:spacing w:line="560" w:lineRule="exact"/>
        <w:ind w:firstLine="422" w:firstLineChars="200"/>
        <w:rPr>
          <w:rFonts w:hAnsi="宋体" w:cs="宋体"/>
          <w:b/>
          <w:bCs/>
          <w:sz w:val="21"/>
          <w:szCs w:val="21"/>
        </w:rPr>
      </w:pPr>
      <w:r>
        <w:rPr>
          <w:rFonts w:hint="eastAsia" w:hAnsi="宋体" w:cs="宋体"/>
          <w:b/>
          <w:bCs/>
          <w:sz w:val="21"/>
          <w:szCs w:val="21"/>
        </w:rPr>
        <w:t>后附相关格式：</w:t>
      </w:r>
    </w:p>
    <w:p w14:paraId="24CFC5BD">
      <w:pPr>
        <w:pStyle w:val="9"/>
        <w:rPr>
          <w:rFonts w:ascii="宋体" w:hAnsi="宋体" w:cs="宋体"/>
          <w:sz w:val="21"/>
          <w:szCs w:val="21"/>
        </w:rPr>
      </w:pPr>
    </w:p>
    <w:p w14:paraId="7530AC44">
      <w:pPr>
        <w:pStyle w:val="9"/>
        <w:rPr>
          <w:rFonts w:ascii="宋体" w:hAnsi="宋体" w:cs="宋体"/>
          <w:b/>
          <w:bCs/>
          <w:sz w:val="21"/>
          <w:szCs w:val="21"/>
        </w:rPr>
        <w:sectPr>
          <w:pgSz w:w="11906" w:h="16838"/>
          <w:pgMar w:top="1417" w:right="1134" w:bottom="1417" w:left="1417" w:header="1134" w:footer="992" w:gutter="0"/>
          <w:pgNumType w:fmt="decimal"/>
          <w:cols w:space="720" w:num="1"/>
          <w:docGrid w:type="lines" w:linePitch="333" w:charSpace="0"/>
        </w:sectPr>
      </w:pPr>
      <w:bookmarkStart w:id="260" w:name="_Toc25348"/>
      <w:bookmarkStart w:id="261" w:name="_Toc19075"/>
      <w:bookmarkStart w:id="262" w:name="_Toc16097"/>
      <w:bookmarkStart w:id="263" w:name="_Toc30210"/>
      <w:bookmarkStart w:id="264" w:name="_Toc403077649"/>
      <w:bookmarkStart w:id="265" w:name="_Toc4867"/>
      <w:bookmarkStart w:id="266" w:name="_Toc426457701"/>
      <w:bookmarkStart w:id="267" w:name="_Toc363474028"/>
    </w:p>
    <w:bookmarkEnd w:id="260"/>
    <w:bookmarkEnd w:id="261"/>
    <w:bookmarkEnd w:id="262"/>
    <w:bookmarkEnd w:id="263"/>
    <w:bookmarkEnd w:id="264"/>
    <w:bookmarkEnd w:id="265"/>
    <w:bookmarkEnd w:id="266"/>
    <w:bookmarkEnd w:id="267"/>
    <w:p w14:paraId="5A6A407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highlight w:val="none"/>
        </w:rPr>
      </w:pPr>
      <w:bookmarkStart w:id="268" w:name="_Toc30099"/>
      <w:bookmarkStart w:id="269" w:name="_Toc5062"/>
      <w:bookmarkStart w:id="270" w:name="_Toc25604"/>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提供合格有效的法人或者其他组织的营业执照等证明文件，自然人的身份证明；</w:t>
      </w:r>
    </w:p>
    <w:p w14:paraId="52016BCE">
      <w:pPr>
        <w:rPr>
          <w:rFonts w:hint="eastAsia" w:hAnsi="宋体" w:cs="宋体"/>
          <w:b/>
          <w:bCs/>
          <w:sz w:val="21"/>
          <w:szCs w:val="21"/>
        </w:rPr>
      </w:pPr>
      <w:r>
        <w:rPr>
          <w:rFonts w:hint="eastAsia" w:hAnsi="宋体" w:cs="宋体"/>
          <w:b/>
          <w:bCs/>
          <w:sz w:val="21"/>
          <w:szCs w:val="21"/>
        </w:rPr>
        <w:br w:type="page"/>
      </w: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提供法定代表人授权书（附法定代表人、被授权人身份证复印件，法定代表人直接参加投标，须提供法定代表人身份证明及身份证复印件）；</w:t>
      </w:r>
    </w:p>
    <w:p w14:paraId="7BA83EAA">
      <w:pPr>
        <w:spacing w:before="333" w:beforeLines="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法定代表人身份证明/法定代表人授权书</w:t>
      </w:r>
    </w:p>
    <w:p w14:paraId="6C272A80">
      <w:pPr>
        <w:pStyle w:val="9"/>
        <w:spacing w:before="166" w:beforeLines="5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法定代表人身份证明</w:t>
      </w:r>
    </w:p>
    <w:p w14:paraId="60151BAE">
      <w:pPr>
        <w:autoSpaceDE w:val="0"/>
        <w:autoSpaceDN w:val="0"/>
        <w:adjustRightInd w:val="0"/>
        <w:snapToGrid w:val="0"/>
        <w:spacing w:before="166" w:beforeLines="5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8DCA24A">
      <w:pPr>
        <w:autoSpaceDE w:val="0"/>
        <w:autoSpaceDN w:val="0"/>
        <w:adjustRightInd w:val="0"/>
        <w:snapToGrid w:val="0"/>
        <w:spacing w:before="166" w:beforeLines="5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rPr>
        <w:t xml:space="preserve">                </w:t>
      </w:r>
    </w:p>
    <w:p w14:paraId="0B3AFDE8">
      <w:pPr>
        <w:autoSpaceDE w:val="0"/>
        <w:autoSpaceDN w:val="0"/>
        <w:adjustRightInd w:val="0"/>
        <w:snapToGrid w:val="0"/>
        <w:spacing w:before="166" w:beforeLines="5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注册地址：</w:t>
      </w:r>
      <w:r>
        <w:rPr>
          <w:rFonts w:hint="eastAsia" w:ascii="宋体" w:hAnsi="宋体" w:eastAsia="宋体" w:cs="宋体"/>
          <w:color w:val="auto"/>
          <w:sz w:val="21"/>
          <w:szCs w:val="21"/>
          <w:highlight w:val="none"/>
          <w:u w:val="single"/>
        </w:rPr>
        <w:t xml:space="preserve">                        </w:t>
      </w:r>
    </w:p>
    <w:p w14:paraId="7D27C250">
      <w:pPr>
        <w:autoSpaceDE w:val="0"/>
        <w:autoSpaceDN w:val="0"/>
        <w:adjustRightInd w:val="0"/>
        <w:snapToGrid w:val="0"/>
        <w:spacing w:before="166" w:beforeLines="5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2EA4AD69">
      <w:pPr>
        <w:autoSpaceDE w:val="0"/>
        <w:autoSpaceDN w:val="0"/>
        <w:adjustRightInd w:val="0"/>
        <w:snapToGrid w:val="0"/>
        <w:spacing w:before="166" w:beforeLines="50" w:line="360"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经营期限：</w:t>
      </w:r>
      <w:r>
        <w:rPr>
          <w:rFonts w:hint="eastAsia" w:ascii="宋体" w:hAnsi="宋体" w:eastAsia="宋体" w:cs="宋体"/>
          <w:color w:val="auto"/>
          <w:sz w:val="21"/>
          <w:szCs w:val="21"/>
          <w:highlight w:val="none"/>
          <w:u w:val="single"/>
        </w:rPr>
        <w:t xml:space="preserve">                  </w:t>
      </w:r>
    </w:p>
    <w:p w14:paraId="6A499D50">
      <w:pPr>
        <w:autoSpaceDE w:val="0"/>
        <w:autoSpaceDN w:val="0"/>
        <w:adjustRightInd w:val="0"/>
        <w:snapToGrid w:val="0"/>
        <w:spacing w:before="166" w:beforeLines="5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性别：</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年龄：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（投标人名称）的法定代表人。</w:t>
      </w:r>
    </w:p>
    <w:p w14:paraId="1B965AFA">
      <w:pPr>
        <w:autoSpaceDE w:val="0"/>
        <w:autoSpaceDN w:val="0"/>
        <w:adjustRightInd w:val="0"/>
        <w:snapToGrid w:val="0"/>
        <w:spacing w:before="166" w:beforeLines="5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69655E54">
      <w:pPr>
        <w:autoSpaceDE w:val="0"/>
        <w:autoSpaceDN w:val="0"/>
        <w:adjustRightInd w:val="0"/>
        <w:snapToGrid w:val="0"/>
        <w:spacing w:before="166" w:beforeLines="5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附：法定代表人身份证复印件</w:t>
      </w:r>
    </w:p>
    <w:tbl>
      <w:tblPr>
        <w:tblStyle w:val="18"/>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324AB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6EA00D3B">
            <w:pPr>
              <w:snapToGrid w:val="0"/>
              <w:spacing w:line="480" w:lineRule="auto"/>
              <w:jc w:val="center"/>
              <w:rPr>
                <w:rFonts w:hint="eastAsia" w:ascii="宋体" w:hAnsi="宋体" w:eastAsia="宋体" w:cs="宋体"/>
                <w:color w:val="auto"/>
                <w:sz w:val="21"/>
                <w:szCs w:val="21"/>
                <w:highlight w:val="none"/>
              </w:rPr>
            </w:pPr>
          </w:p>
          <w:p w14:paraId="3531D4DA">
            <w:pPr>
              <w:snapToGrid w:val="0"/>
              <w:spacing w:line="480" w:lineRule="auto"/>
              <w:jc w:val="center"/>
              <w:rPr>
                <w:rFonts w:hint="eastAsia" w:ascii="宋体" w:hAnsi="宋体" w:eastAsia="宋体" w:cs="宋体"/>
                <w:color w:val="auto"/>
                <w:sz w:val="21"/>
                <w:szCs w:val="21"/>
                <w:highlight w:val="none"/>
              </w:rPr>
            </w:pPr>
          </w:p>
          <w:p w14:paraId="0D53724B">
            <w:pPr>
              <w:autoSpaceDE w:val="0"/>
              <w:autoSpaceDN w:val="0"/>
              <w:adjustRightInd w:val="0"/>
              <w:snapToGrid w:val="0"/>
              <w:spacing w:before="166"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法定代表人身份证复印件粘贴处</w:t>
            </w:r>
          </w:p>
          <w:p w14:paraId="754461A4">
            <w:pPr>
              <w:pStyle w:val="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（正反面）</w:t>
            </w:r>
          </w:p>
          <w:p w14:paraId="08EA7506">
            <w:pPr>
              <w:snapToGrid w:val="0"/>
              <w:spacing w:line="480" w:lineRule="auto"/>
              <w:jc w:val="center"/>
              <w:rPr>
                <w:rFonts w:hint="eastAsia" w:ascii="宋体" w:hAnsi="宋体" w:eastAsia="宋体" w:cs="宋体"/>
                <w:color w:val="auto"/>
                <w:sz w:val="21"/>
                <w:szCs w:val="21"/>
                <w:highlight w:val="none"/>
              </w:rPr>
            </w:pPr>
          </w:p>
          <w:p w14:paraId="632F52F4">
            <w:pPr>
              <w:snapToGrid w:val="0"/>
              <w:spacing w:line="480" w:lineRule="auto"/>
              <w:jc w:val="center"/>
              <w:rPr>
                <w:rFonts w:hint="eastAsia" w:ascii="宋体" w:hAnsi="宋体" w:eastAsia="宋体" w:cs="宋体"/>
                <w:color w:val="auto"/>
                <w:sz w:val="21"/>
                <w:szCs w:val="21"/>
                <w:highlight w:val="none"/>
              </w:rPr>
            </w:pPr>
          </w:p>
        </w:tc>
      </w:tr>
    </w:tbl>
    <w:p w14:paraId="5A74AAB5">
      <w:pPr>
        <w:snapToGrid w:val="0"/>
        <w:spacing w:line="480" w:lineRule="auto"/>
        <w:rPr>
          <w:rFonts w:hint="eastAsia" w:ascii="宋体" w:hAnsi="宋体" w:eastAsia="宋体" w:cs="宋体"/>
          <w:color w:val="auto"/>
          <w:sz w:val="21"/>
          <w:szCs w:val="21"/>
          <w:highlight w:val="none"/>
        </w:rPr>
      </w:pPr>
    </w:p>
    <w:p w14:paraId="2B859CF3">
      <w:pPr>
        <w:snapToGrid w:val="0"/>
        <w:rPr>
          <w:rFonts w:hint="eastAsia" w:ascii="宋体" w:hAnsi="宋体" w:eastAsia="宋体" w:cs="宋体"/>
          <w:color w:val="auto"/>
          <w:sz w:val="21"/>
          <w:szCs w:val="21"/>
          <w:highlight w:val="none"/>
        </w:rPr>
      </w:pPr>
    </w:p>
    <w:p w14:paraId="7F5F0F38">
      <w:pPr>
        <w:snapToGrid w:val="0"/>
        <w:rPr>
          <w:rFonts w:hint="eastAsia" w:ascii="宋体" w:hAnsi="宋体" w:eastAsia="宋体" w:cs="宋体"/>
          <w:color w:val="auto"/>
          <w:sz w:val="21"/>
          <w:szCs w:val="21"/>
          <w:highlight w:val="none"/>
        </w:rPr>
      </w:pPr>
    </w:p>
    <w:p w14:paraId="0341B463">
      <w:pPr>
        <w:snapToGrid w:val="0"/>
        <w:rPr>
          <w:rFonts w:hint="eastAsia" w:ascii="宋体" w:hAnsi="宋体" w:eastAsia="宋体" w:cs="宋体"/>
          <w:color w:val="auto"/>
          <w:sz w:val="21"/>
          <w:szCs w:val="21"/>
          <w:highlight w:val="none"/>
        </w:rPr>
      </w:pPr>
    </w:p>
    <w:p w14:paraId="2850B66D">
      <w:pPr>
        <w:snapToGrid w:val="0"/>
        <w:rPr>
          <w:rFonts w:hint="eastAsia" w:ascii="宋体" w:hAnsi="宋体" w:eastAsia="宋体" w:cs="宋体"/>
          <w:color w:val="auto"/>
          <w:sz w:val="21"/>
          <w:szCs w:val="21"/>
          <w:highlight w:val="none"/>
        </w:rPr>
      </w:pPr>
    </w:p>
    <w:p w14:paraId="1B6E3548">
      <w:pPr>
        <w:adjustRightInd w:val="0"/>
        <w:snapToGrid w:val="0"/>
        <w:spacing w:line="360" w:lineRule="auto"/>
        <w:rPr>
          <w:rFonts w:hint="eastAsia" w:ascii="宋体" w:hAnsi="宋体" w:eastAsia="宋体" w:cs="宋体"/>
          <w:color w:val="auto"/>
          <w:sz w:val="21"/>
          <w:szCs w:val="21"/>
          <w:highlight w:val="none"/>
        </w:rPr>
      </w:pPr>
    </w:p>
    <w:p w14:paraId="5EF6EBDB">
      <w:pPr>
        <w:adjustRightInd w:val="0"/>
        <w:snapToGrid w:val="0"/>
        <w:spacing w:line="360" w:lineRule="auto"/>
        <w:ind w:right="420"/>
        <w:rPr>
          <w:rFonts w:hint="eastAsia" w:ascii="宋体" w:hAnsi="宋体" w:eastAsia="宋体" w:cs="宋体"/>
          <w:color w:val="auto"/>
          <w:sz w:val="21"/>
          <w:szCs w:val="21"/>
          <w:highlight w:val="none"/>
        </w:rPr>
      </w:pPr>
    </w:p>
    <w:p w14:paraId="72B33039">
      <w:pPr>
        <w:adjustRightInd w:val="0"/>
        <w:snapToGrid w:val="0"/>
        <w:spacing w:line="360" w:lineRule="auto"/>
        <w:ind w:right="420"/>
        <w:rPr>
          <w:rFonts w:hint="eastAsia" w:ascii="宋体" w:hAnsi="宋体" w:eastAsia="宋体" w:cs="宋体"/>
          <w:color w:val="auto"/>
          <w:sz w:val="21"/>
          <w:szCs w:val="21"/>
          <w:highlight w:val="none"/>
        </w:rPr>
      </w:pPr>
    </w:p>
    <w:p w14:paraId="2EFFD497">
      <w:pPr>
        <w:adjustRightInd w:val="0"/>
        <w:snapToGrid w:val="0"/>
        <w:spacing w:line="360" w:lineRule="auto"/>
        <w:ind w:right="420"/>
        <w:rPr>
          <w:rFonts w:hint="eastAsia" w:ascii="宋体" w:hAnsi="宋体" w:eastAsia="宋体" w:cs="宋体"/>
          <w:color w:val="auto"/>
          <w:sz w:val="21"/>
          <w:szCs w:val="21"/>
          <w:highlight w:val="none"/>
        </w:rPr>
      </w:pPr>
    </w:p>
    <w:p w14:paraId="00A213D7">
      <w:pPr>
        <w:adjustRightInd w:val="0"/>
        <w:snapToGrid w:val="0"/>
        <w:spacing w:line="360" w:lineRule="auto"/>
        <w:ind w:right="420"/>
        <w:rPr>
          <w:rFonts w:hint="eastAsia" w:ascii="宋体" w:hAnsi="宋体" w:eastAsia="宋体" w:cs="宋体"/>
          <w:color w:val="auto"/>
          <w:sz w:val="21"/>
          <w:szCs w:val="21"/>
          <w:highlight w:val="none"/>
        </w:rPr>
      </w:pPr>
    </w:p>
    <w:p w14:paraId="63A80780">
      <w:pPr>
        <w:adjustRightInd w:val="0"/>
        <w:snapToGrid w:val="0"/>
        <w:spacing w:line="360" w:lineRule="auto"/>
        <w:ind w:righ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投标人名称（公章）：</w:t>
      </w:r>
    </w:p>
    <w:p w14:paraId="34909DB9">
      <w:pPr>
        <w:adjustRightInd w:val="0"/>
        <w:snapToGrid w:val="0"/>
        <w:spacing w:line="360" w:lineRule="auto"/>
        <w:ind w:righ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4C391DEB">
      <w:pPr>
        <w:adjustRightInd w:val="0"/>
        <w:snapToGrid w:val="0"/>
        <w:spacing w:line="360" w:lineRule="auto"/>
        <w:ind w:right="420"/>
        <w:rPr>
          <w:rFonts w:hint="eastAsia" w:ascii="宋体" w:hAnsi="宋体" w:eastAsia="宋体" w:cs="宋体"/>
          <w:color w:val="auto"/>
          <w:sz w:val="21"/>
          <w:szCs w:val="21"/>
          <w:highlight w:val="none"/>
        </w:rPr>
      </w:pPr>
    </w:p>
    <w:p w14:paraId="6E0E308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0CB5D8AE">
      <w:pPr>
        <w:keepNext/>
        <w:spacing w:before="333" w:beforeLines="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法定代表人授权书</w:t>
      </w:r>
    </w:p>
    <w:p w14:paraId="3FE30677">
      <w:pP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       </w:t>
      </w:r>
    </w:p>
    <w:p w14:paraId="50FB30A6">
      <w:pPr>
        <w:spacing w:line="560" w:lineRule="exact"/>
        <w:jc w:val="left"/>
        <w:rPr>
          <w:rFonts w:hint="eastAsia" w:ascii="宋体" w:hAnsi="宋体" w:eastAsia="宋体" w:cs="宋体"/>
          <w:color w:val="auto"/>
          <w:spacing w:val="4"/>
          <w:sz w:val="21"/>
          <w:szCs w:val="21"/>
          <w:highlight w:val="none"/>
          <w:lang w:eastAsia="zh-CN"/>
        </w:rPr>
      </w:pPr>
      <w:r>
        <w:rPr>
          <w:rFonts w:hint="eastAsia" w:ascii="宋体" w:hAnsi="宋体" w:eastAsia="宋体" w:cs="宋体"/>
          <w:b/>
          <w:color w:val="auto"/>
          <w:spacing w:val="4"/>
          <w:sz w:val="21"/>
          <w:szCs w:val="21"/>
          <w:highlight w:val="none"/>
        </w:rPr>
        <w:t>致：</w:t>
      </w:r>
      <w:r>
        <w:rPr>
          <w:rFonts w:hint="eastAsia" w:ascii="宋体" w:hAnsi="宋体" w:eastAsia="宋体" w:cs="宋体"/>
          <w:b/>
          <w:color w:val="auto"/>
          <w:spacing w:val="4"/>
          <w:sz w:val="21"/>
          <w:szCs w:val="21"/>
          <w:highlight w:val="none"/>
          <w:u w:val="single"/>
        </w:rPr>
        <w:t>采购人名称/</w:t>
      </w:r>
      <w:r>
        <w:rPr>
          <w:rFonts w:hint="eastAsia" w:ascii="宋体" w:hAnsi="宋体" w:eastAsia="宋体" w:cs="宋体"/>
          <w:b/>
          <w:color w:val="auto"/>
          <w:spacing w:val="4"/>
          <w:sz w:val="21"/>
          <w:szCs w:val="21"/>
          <w:highlight w:val="none"/>
          <w:u w:val="single"/>
          <w:lang w:eastAsia="zh-CN"/>
        </w:rPr>
        <w:t>陕西至诚项目管理集团有限公司</w:t>
      </w:r>
    </w:p>
    <w:p w14:paraId="23F7C18C">
      <w:pPr>
        <w:spacing w:line="560" w:lineRule="exact"/>
        <w:ind w:firstLine="436" w:firstLineChars="20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u w:val="single"/>
        </w:rPr>
        <w:t xml:space="preserve">(投标人名称)   </w:t>
      </w:r>
      <w:r>
        <w:rPr>
          <w:rFonts w:hint="eastAsia" w:ascii="宋体" w:hAnsi="宋体" w:eastAsia="宋体" w:cs="宋体"/>
          <w:color w:val="auto"/>
          <w:spacing w:val="4"/>
          <w:sz w:val="21"/>
          <w:szCs w:val="21"/>
          <w:highlight w:val="none"/>
        </w:rPr>
        <w:t>按中华人民共和国法律于</w:t>
      </w:r>
      <w:r>
        <w:rPr>
          <w:rFonts w:hint="eastAsia" w:ascii="宋体" w:hAnsi="宋体" w:eastAsia="宋体" w:cs="宋体"/>
          <w:color w:val="auto"/>
          <w:spacing w:val="4"/>
          <w:sz w:val="21"/>
          <w:szCs w:val="21"/>
          <w:highlight w:val="none"/>
          <w:u w:val="single"/>
        </w:rPr>
        <w:t xml:space="preserve">（  年  月  日 ）  </w:t>
      </w:r>
      <w:r>
        <w:rPr>
          <w:rFonts w:hint="eastAsia" w:ascii="宋体" w:hAnsi="宋体" w:eastAsia="宋体" w:cs="宋体"/>
          <w:color w:val="auto"/>
          <w:spacing w:val="4"/>
          <w:sz w:val="21"/>
          <w:szCs w:val="21"/>
          <w:highlight w:val="none"/>
        </w:rPr>
        <w:t>成立。</w:t>
      </w:r>
      <w:r>
        <w:rPr>
          <w:rFonts w:hint="eastAsia" w:ascii="宋体" w:hAnsi="宋体" w:eastAsia="宋体" w:cs="宋体"/>
          <w:color w:val="auto"/>
          <w:spacing w:val="4"/>
          <w:sz w:val="21"/>
          <w:szCs w:val="21"/>
          <w:highlight w:val="none"/>
          <w:u w:val="single"/>
        </w:rPr>
        <w:t>(</w:t>
      </w:r>
      <w:r>
        <w:rPr>
          <w:rFonts w:hint="eastAsia" w:ascii="宋体" w:hAnsi="宋体" w:eastAsia="宋体" w:cs="宋体"/>
          <w:color w:val="auto"/>
          <w:sz w:val="21"/>
          <w:szCs w:val="21"/>
          <w:highlight w:val="none"/>
          <w:u w:val="single"/>
        </w:rPr>
        <w:t>法定代表人</w:t>
      </w:r>
      <w:r>
        <w:rPr>
          <w:rFonts w:hint="eastAsia" w:ascii="宋体" w:hAnsi="宋体" w:eastAsia="宋体" w:cs="宋体"/>
          <w:color w:val="auto"/>
          <w:spacing w:val="4"/>
          <w:sz w:val="21"/>
          <w:szCs w:val="21"/>
          <w:highlight w:val="none"/>
          <w:u w:val="single"/>
        </w:rPr>
        <w:t>姓名)</w:t>
      </w:r>
      <w:r>
        <w:rPr>
          <w:rFonts w:hint="eastAsia" w:ascii="宋体" w:hAnsi="宋体" w:eastAsia="宋体" w:cs="宋体"/>
          <w:color w:val="auto"/>
          <w:spacing w:val="4"/>
          <w:sz w:val="21"/>
          <w:szCs w:val="21"/>
          <w:highlight w:val="none"/>
        </w:rPr>
        <w:t>特授权</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z w:val="21"/>
          <w:szCs w:val="21"/>
          <w:highlight w:val="none"/>
          <w:u w:val="single"/>
        </w:rPr>
        <w:t>授权代表</w:t>
      </w:r>
      <w:r>
        <w:rPr>
          <w:rFonts w:hint="eastAsia" w:ascii="宋体" w:hAnsi="宋体" w:eastAsia="宋体" w:cs="宋体"/>
          <w:color w:val="auto"/>
          <w:spacing w:val="4"/>
          <w:sz w:val="21"/>
          <w:szCs w:val="21"/>
          <w:highlight w:val="none"/>
          <w:u w:val="single"/>
        </w:rPr>
        <w:t>姓名 ）</w:t>
      </w:r>
      <w:r>
        <w:rPr>
          <w:rFonts w:hint="eastAsia" w:ascii="宋体" w:hAnsi="宋体" w:eastAsia="宋体" w:cs="宋体"/>
          <w:color w:val="auto"/>
          <w:spacing w:val="4"/>
          <w:sz w:val="21"/>
          <w:szCs w:val="21"/>
          <w:highlight w:val="none"/>
        </w:rPr>
        <w:t xml:space="preserve">代表我公司全权办理针对本次 </w:t>
      </w:r>
      <w:r>
        <w:rPr>
          <w:rFonts w:hint="eastAsia" w:ascii="宋体" w:hAnsi="宋体" w:eastAsia="宋体" w:cs="宋体"/>
          <w:color w:val="auto"/>
          <w:spacing w:val="4"/>
          <w:sz w:val="21"/>
          <w:szCs w:val="21"/>
          <w:highlight w:val="none"/>
          <w:u w:val="single"/>
        </w:rPr>
        <w:t>（项目名称、项目编号</w:t>
      </w:r>
      <w:r>
        <w:rPr>
          <w:rFonts w:hint="eastAsia" w:hAnsi="宋体" w:cs="宋体"/>
          <w:color w:val="auto"/>
          <w:spacing w:val="4"/>
          <w:sz w:val="21"/>
          <w:szCs w:val="21"/>
          <w:highlight w:val="none"/>
          <w:u w:val="single"/>
          <w:lang w:eastAsia="zh-CN"/>
        </w:rPr>
        <w:t>：</w:t>
      </w:r>
      <w:r>
        <w:rPr>
          <w:rFonts w:hint="eastAsia" w:hAnsi="宋体" w:cs="宋体"/>
          <w:color w:val="auto"/>
          <w:spacing w:val="4"/>
          <w:sz w:val="21"/>
          <w:szCs w:val="21"/>
          <w:highlight w:val="none"/>
          <w:u w:val="single"/>
          <w:lang w:val="en-US" w:eastAsia="zh-CN"/>
        </w:rPr>
        <w:t xml:space="preserve">  包号： </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投标、谈判、签约等具体工作，并签署全部有关的文件、协议及合同。</w:t>
      </w:r>
    </w:p>
    <w:p w14:paraId="6EC05CF2">
      <w:pPr>
        <w:spacing w:line="560" w:lineRule="exact"/>
        <w:ind w:firstLine="436" w:firstLineChars="20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我公司对</w:t>
      </w:r>
      <w:r>
        <w:rPr>
          <w:rFonts w:hint="eastAsia" w:ascii="宋体" w:hAnsi="宋体" w:eastAsia="宋体" w:cs="宋体"/>
          <w:color w:val="auto"/>
          <w:sz w:val="21"/>
          <w:szCs w:val="21"/>
          <w:highlight w:val="none"/>
        </w:rPr>
        <w:t>授权代表</w:t>
      </w:r>
      <w:r>
        <w:rPr>
          <w:rFonts w:hint="eastAsia" w:ascii="宋体" w:hAnsi="宋体" w:eastAsia="宋体" w:cs="宋体"/>
          <w:color w:val="auto"/>
          <w:spacing w:val="4"/>
          <w:sz w:val="21"/>
          <w:szCs w:val="21"/>
          <w:highlight w:val="none"/>
        </w:rPr>
        <w:t>的签名负全部责任。</w:t>
      </w:r>
    </w:p>
    <w:p w14:paraId="06278610">
      <w:pPr>
        <w:spacing w:line="560" w:lineRule="exact"/>
        <w:ind w:right="616" w:rightChars="2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委托期限：</w:t>
      </w:r>
      <w:r>
        <w:rPr>
          <w:rFonts w:hint="eastAsia" w:ascii="宋体" w:hAnsi="宋体" w:eastAsia="宋体" w:cs="宋体"/>
          <w:color w:val="auto"/>
          <w:sz w:val="21"/>
          <w:szCs w:val="21"/>
          <w:highlight w:val="none"/>
          <w:lang w:val="zh-CN"/>
        </w:rPr>
        <w:t>自开标之日起</w:t>
      </w:r>
      <w:r>
        <w:rPr>
          <w:rFonts w:hint="eastAsia" w:ascii="宋体" w:hAnsi="宋体" w:eastAsia="宋体" w:cs="宋体"/>
          <w:color w:val="auto"/>
          <w:sz w:val="21"/>
          <w:szCs w:val="21"/>
          <w:highlight w:val="none"/>
        </w:rPr>
        <w:t>90</w:t>
      </w:r>
      <w:r>
        <w:rPr>
          <w:rFonts w:hint="eastAsia" w:ascii="宋体" w:hAnsi="宋体" w:eastAsia="宋体" w:cs="宋体"/>
          <w:color w:val="auto"/>
          <w:sz w:val="21"/>
          <w:szCs w:val="21"/>
          <w:highlight w:val="none"/>
          <w:lang w:val="zh-CN"/>
        </w:rPr>
        <w:t>天。</w:t>
      </w:r>
    </w:p>
    <w:p w14:paraId="05362356">
      <w:pPr>
        <w:spacing w:line="560" w:lineRule="exact"/>
        <w:ind w:firstLine="436" w:firstLineChars="20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本授权书于</w:t>
      </w:r>
      <w:r>
        <w:rPr>
          <w:rFonts w:hint="eastAsia" w:ascii="宋体" w:hAnsi="宋体" w:eastAsia="宋体" w:cs="宋体"/>
          <w:color w:val="auto"/>
          <w:spacing w:val="4"/>
          <w:sz w:val="21"/>
          <w:szCs w:val="21"/>
          <w:highlight w:val="none"/>
          <w:u w:val="single"/>
        </w:rPr>
        <w:t xml:space="preserve">      年   月   日</w:t>
      </w:r>
      <w:r>
        <w:rPr>
          <w:rFonts w:hint="eastAsia" w:ascii="宋体" w:hAnsi="宋体" w:eastAsia="宋体" w:cs="宋体"/>
          <w:color w:val="auto"/>
          <w:spacing w:val="4"/>
          <w:sz w:val="21"/>
          <w:szCs w:val="21"/>
          <w:highlight w:val="none"/>
          <w:lang w:eastAsia="zh-CN"/>
        </w:rPr>
        <w:t>签章</w:t>
      </w:r>
      <w:r>
        <w:rPr>
          <w:rFonts w:hint="eastAsia" w:ascii="宋体" w:hAnsi="宋体" w:eastAsia="宋体" w:cs="宋体"/>
          <w:color w:val="auto"/>
          <w:spacing w:val="4"/>
          <w:sz w:val="21"/>
          <w:szCs w:val="21"/>
          <w:highlight w:val="none"/>
        </w:rPr>
        <w:t>生效，特此证明。</w:t>
      </w:r>
    </w:p>
    <w:tbl>
      <w:tblPr>
        <w:tblStyle w:val="17"/>
        <w:tblW w:w="8190" w:type="dxa"/>
        <w:tblInd w:w="633" w:type="dxa"/>
        <w:tblLayout w:type="fixed"/>
        <w:tblCellMar>
          <w:top w:w="0" w:type="dxa"/>
          <w:left w:w="108" w:type="dxa"/>
          <w:bottom w:w="0" w:type="dxa"/>
          <w:right w:w="108" w:type="dxa"/>
        </w:tblCellMar>
      </w:tblPr>
      <w:tblGrid>
        <w:gridCol w:w="4200"/>
        <w:gridCol w:w="3990"/>
      </w:tblGrid>
      <w:tr w14:paraId="5660C199">
        <w:tblPrEx>
          <w:tblCellMar>
            <w:top w:w="0" w:type="dxa"/>
            <w:left w:w="108" w:type="dxa"/>
            <w:bottom w:w="0" w:type="dxa"/>
            <w:right w:w="108" w:type="dxa"/>
          </w:tblCellMar>
        </w:tblPrEx>
        <w:trPr>
          <w:trHeight w:val="600" w:hRule="atLeast"/>
        </w:trPr>
        <w:tc>
          <w:tcPr>
            <w:tcW w:w="4200" w:type="dxa"/>
          </w:tcPr>
          <w:p w14:paraId="62FBE86B">
            <w:pPr>
              <w:spacing w:line="520" w:lineRule="exact"/>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被授权人签字或盖章：</w:t>
            </w:r>
          </w:p>
        </w:tc>
        <w:tc>
          <w:tcPr>
            <w:tcW w:w="3990" w:type="dxa"/>
          </w:tcPr>
          <w:p w14:paraId="141FA3F9">
            <w:pPr>
              <w:spacing w:line="520" w:lineRule="exact"/>
              <w:jc w:val="left"/>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pacing w:val="4"/>
                <w:sz w:val="21"/>
                <w:szCs w:val="21"/>
                <w:highlight w:val="none"/>
              </w:rPr>
              <w:t>签字或盖章：</w:t>
            </w:r>
          </w:p>
        </w:tc>
      </w:tr>
      <w:tr w14:paraId="5DBF915D">
        <w:tblPrEx>
          <w:tblCellMar>
            <w:top w:w="0" w:type="dxa"/>
            <w:left w:w="108" w:type="dxa"/>
            <w:bottom w:w="0" w:type="dxa"/>
            <w:right w:w="108" w:type="dxa"/>
          </w:tblCellMar>
        </w:tblPrEx>
        <w:trPr>
          <w:trHeight w:val="600" w:hRule="atLeast"/>
        </w:trPr>
        <w:tc>
          <w:tcPr>
            <w:tcW w:w="4200" w:type="dxa"/>
          </w:tcPr>
          <w:p w14:paraId="1328A7B2">
            <w:pPr>
              <w:spacing w:line="520" w:lineRule="exact"/>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职务：</w:t>
            </w:r>
          </w:p>
        </w:tc>
        <w:tc>
          <w:tcPr>
            <w:tcW w:w="3990" w:type="dxa"/>
          </w:tcPr>
          <w:p w14:paraId="433E3FA1">
            <w:pPr>
              <w:spacing w:line="520" w:lineRule="exact"/>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职务：</w:t>
            </w:r>
          </w:p>
        </w:tc>
      </w:tr>
      <w:tr w14:paraId="7EA9395D">
        <w:tblPrEx>
          <w:tblCellMar>
            <w:top w:w="0" w:type="dxa"/>
            <w:left w:w="108" w:type="dxa"/>
            <w:bottom w:w="0" w:type="dxa"/>
            <w:right w:w="108" w:type="dxa"/>
          </w:tblCellMar>
        </w:tblPrEx>
        <w:trPr>
          <w:trHeight w:val="600" w:hRule="atLeast"/>
        </w:trPr>
        <w:tc>
          <w:tcPr>
            <w:tcW w:w="4200" w:type="dxa"/>
          </w:tcPr>
          <w:p w14:paraId="57F6E421">
            <w:pPr>
              <w:spacing w:line="520" w:lineRule="exact"/>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身份证号：</w:t>
            </w:r>
          </w:p>
        </w:tc>
        <w:tc>
          <w:tcPr>
            <w:tcW w:w="3990" w:type="dxa"/>
          </w:tcPr>
          <w:p w14:paraId="094EFC6F">
            <w:pPr>
              <w:spacing w:line="520" w:lineRule="exact"/>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身份证号：</w:t>
            </w:r>
          </w:p>
        </w:tc>
      </w:tr>
      <w:tr w14:paraId="6751E4E1">
        <w:tblPrEx>
          <w:tblCellMar>
            <w:top w:w="0" w:type="dxa"/>
            <w:left w:w="108" w:type="dxa"/>
            <w:bottom w:w="0" w:type="dxa"/>
            <w:right w:w="108" w:type="dxa"/>
          </w:tblCellMar>
        </w:tblPrEx>
        <w:trPr>
          <w:trHeight w:val="600" w:hRule="atLeast"/>
        </w:trPr>
        <w:tc>
          <w:tcPr>
            <w:tcW w:w="4200" w:type="dxa"/>
          </w:tcPr>
          <w:p w14:paraId="3219AC05">
            <w:pPr>
              <w:spacing w:line="520" w:lineRule="exact"/>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所在部门：</w:t>
            </w:r>
          </w:p>
        </w:tc>
        <w:tc>
          <w:tcPr>
            <w:tcW w:w="3990" w:type="dxa"/>
          </w:tcPr>
          <w:p w14:paraId="01E209F7">
            <w:pPr>
              <w:spacing w:line="520" w:lineRule="exact"/>
              <w:jc w:val="left"/>
              <w:rPr>
                <w:rFonts w:hint="eastAsia" w:ascii="宋体" w:hAnsi="宋体" w:eastAsia="宋体" w:cs="宋体"/>
                <w:color w:val="auto"/>
                <w:spacing w:val="4"/>
                <w:sz w:val="21"/>
                <w:szCs w:val="21"/>
                <w:highlight w:val="none"/>
              </w:rPr>
            </w:pPr>
          </w:p>
        </w:tc>
      </w:tr>
    </w:tbl>
    <w:p w14:paraId="379C516F">
      <w:pPr>
        <w:spacing w:line="520" w:lineRule="exact"/>
        <w:ind w:firstLine="436" w:firstLineChars="200"/>
        <w:jc w:val="left"/>
        <w:rPr>
          <w:rFonts w:hint="eastAsia" w:ascii="宋体" w:hAnsi="宋体" w:eastAsia="宋体" w:cs="宋体"/>
          <w:color w:val="auto"/>
          <w:spacing w:val="4"/>
          <w:sz w:val="21"/>
          <w:szCs w:val="21"/>
          <w:highlight w:val="none"/>
        </w:rPr>
      </w:pPr>
    </w:p>
    <w:p w14:paraId="1C5F9BCB">
      <w:pPr>
        <w:spacing w:before="240" w:line="360" w:lineRule="auto"/>
        <w:ind w:firstLine="840" w:firstLineChars="4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zh-CN"/>
        </w:rPr>
        <w:t>附法定代表人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授权代表身份证复印件</w:t>
      </w:r>
    </w:p>
    <w:tbl>
      <w:tblPr>
        <w:tblStyle w:val="17"/>
        <w:tblW w:w="8357" w:type="dxa"/>
        <w:tblInd w:w="540" w:type="dxa"/>
        <w:tblLayout w:type="fixed"/>
        <w:tblCellMar>
          <w:top w:w="0" w:type="dxa"/>
          <w:left w:w="108" w:type="dxa"/>
          <w:bottom w:w="0" w:type="dxa"/>
          <w:right w:w="108" w:type="dxa"/>
        </w:tblCellMar>
      </w:tblPr>
      <w:tblGrid>
        <w:gridCol w:w="4246"/>
        <w:gridCol w:w="4111"/>
      </w:tblGrid>
      <w:tr w14:paraId="0E7655AE">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70B1A41D">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法定代表人身份证复印件粘贴处</w:t>
            </w:r>
          </w:p>
          <w:p w14:paraId="0159BBBE">
            <w:pPr>
              <w:spacing w:line="360" w:lineRule="auto"/>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783FC425">
            <w:pPr>
              <w:autoSpaceDE w:val="0"/>
              <w:autoSpaceDN w:val="0"/>
              <w:adjustRightInd w:val="0"/>
              <w:snapToGrid w:val="0"/>
              <w:spacing w:before="166"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授权代表身份证复印件粘贴处</w:t>
            </w:r>
          </w:p>
          <w:p w14:paraId="2C863315">
            <w:pPr>
              <w:autoSpaceDE w:val="0"/>
              <w:autoSpaceDN w:val="0"/>
              <w:adjustRightInd w:val="0"/>
              <w:snapToGrid w:val="0"/>
              <w:spacing w:before="166" w:beforeLines="50" w:line="360" w:lineRule="auto"/>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（正反面）</w:t>
            </w:r>
          </w:p>
        </w:tc>
      </w:tr>
    </w:tbl>
    <w:p w14:paraId="620678EB">
      <w:pPr>
        <w:spacing w:line="480" w:lineRule="auto"/>
        <w:ind w:left="484" w:leftChars="202" w:right="616" w:rightChars="25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（加盖单位公章）      </w:t>
      </w:r>
    </w:p>
    <w:p w14:paraId="4161D72F">
      <w:pPr>
        <w:spacing w:line="440" w:lineRule="exact"/>
        <w:ind w:left="484" w:leftChars="202"/>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日   期：</w:t>
      </w:r>
    </w:p>
    <w:p w14:paraId="44D71C72">
      <w:pPr>
        <w:ind w:firstLine="420" w:firstLineChars="200"/>
        <w:rPr>
          <w:rFonts w:hint="eastAsia" w:ascii="宋体" w:hAnsi="宋体" w:eastAsia="宋体" w:cs="宋体"/>
          <w:b/>
          <w:bCs/>
          <w:color w:val="auto"/>
          <w:sz w:val="21"/>
          <w:szCs w:val="21"/>
          <w:highlight w:val="none"/>
          <w:lang w:val="zh-CN"/>
        </w:rPr>
      </w:pPr>
    </w:p>
    <w:p w14:paraId="4CF510E3">
      <w:pPr>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br w:type="page"/>
      </w:r>
    </w:p>
    <w:p w14:paraId="69CE48E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提供 2024 年度的财务审计报告（成立时间至提交投标文件截止时间不足一年的可提供成立后任意时段的资产负债表）或开标时间前六个月内银行出具的资信证明；</w:t>
      </w:r>
    </w:p>
    <w:p w14:paraId="3DDF2F9D">
      <w:pPr>
        <w:rPr>
          <w:rFonts w:hint="eastAsia" w:hAnsi="宋体" w:cs="宋体"/>
          <w:b/>
          <w:bCs/>
          <w:sz w:val="21"/>
          <w:szCs w:val="21"/>
        </w:rPr>
      </w:pPr>
      <w:r>
        <w:rPr>
          <w:rFonts w:hint="eastAsia" w:hAnsi="宋体" w:cs="宋体"/>
          <w:b/>
          <w:bCs/>
          <w:sz w:val="21"/>
          <w:szCs w:val="21"/>
        </w:rPr>
        <w:br w:type="page"/>
      </w:r>
    </w:p>
    <w:p w14:paraId="64293BC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 xml:space="preserve">税收缴纳证明：提供投标截止日前近一年内任意一个月的纳税证明或完税证明（任意税种），依法免税的单位应提供相关证明材料； </w:t>
      </w:r>
    </w:p>
    <w:p w14:paraId="7E6818C9">
      <w:pPr>
        <w:rPr>
          <w:rFonts w:hint="eastAsia" w:hAnsi="宋体" w:cs="宋体"/>
          <w:b/>
          <w:bCs/>
          <w:sz w:val="21"/>
          <w:szCs w:val="21"/>
        </w:rPr>
      </w:pPr>
      <w:r>
        <w:rPr>
          <w:rFonts w:hint="eastAsia" w:hAnsi="宋体" w:cs="宋体"/>
          <w:b/>
          <w:bCs/>
          <w:sz w:val="21"/>
          <w:szCs w:val="21"/>
        </w:rPr>
        <w:br w:type="page"/>
      </w:r>
    </w:p>
    <w:p w14:paraId="587F626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社会保障资金缴纳证明：提供投标截止日前近一年内任意一个月的社会保障资金缴存单据或社保机构开具的社会保险参保缴费情况证明，依法不需要缴纳社会保障资金的单位应提供相关证明材料；</w:t>
      </w:r>
    </w:p>
    <w:p w14:paraId="71CAB7A6">
      <w:pPr>
        <w:rPr>
          <w:rFonts w:hint="eastAsia" w:hAnsi="宋体" w:cs="宋体"/>
          <w:b/>
          <w:bCs/>
          <w:sz w:val="21"/>
          <w:szCs w:val="21"/>
        </w:rPr>
      </w:pPr>
      <w:r>
        <w:rPr>
          <w:rFonts w:hint="eastAsia" w:hAnsi="宋体" w:cs="宋体"/>
          <w:b/>
          <w:bCs/>
          <w:sz w:val="21"/>
          <w:szCs w:val="21"/>
        </w:rPr>
        <w:br w:type="page"/>
      </w:r>
    </w:p>
    <w:p w14:paraId="133734A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提供具有履行本合同所必需的设备和专业技术能力的说明及承诺书；</w:t>
      </w:r>
    </w:p>
    <w:p w14:paraId="0F5D3AFD">
      <w:pPr>
        <w:adjustRightInd w:val="0"/>
        <w:snapToGrid w:val="0"/>
        <w:spacing w:line="360" w:lineRule="auto"/>
        <w:jc w:val="both"/>
        <w:rPr>
          <w:rFonts w:hint="eastAsia" w:ascii="宋体" w:hAnsi="宋体" w:eastAsia="宋体" w:cs="宋体"/>
          <w:b/>
          <w:color w:val="auto"/>
          <w:sz w:val="21"/>
          <w:szCs w:val="21"/>
          <w:highlight w:val="none"/>
        </w:rPr>
      </w:pPr>
    </w:p>
    <w:p w14:paraId="290F1CA3">
      <w:pPr>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具有履行本合同所必需的设备和专业技术能力的书面声明</w:t>
      </w:r>
    </w:p>
    <w:p w14:paraId="1DB97583">
      <w:pPr>
        <w:widowControl/>
        <w:spacing w:line="360" w:lineRule="auto"/>
        <w:ind w:left="1"/>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（格式）</w:t>
      </w:r>
    </w:p>
    <w:p w14:paraId="2131521E">
      <w:pPr>
        <w:bidi w:val="0"/>
        <w:rPr>
          <w:rFonts w:hint="eastAsia" w:ascii="宋体" w:hAnsi="宋体" w:eastAsia="宋体" w:cs="宋体"/>
          <w:color w:val="auto"/>
          <w:sz w:val="21"/>
          <w:szCs w:val="21"/>
          <w:highlight w:val="none"/>
        </w:rPr>
      </w:pPr>
    </w:p>
    <w:p w14:paraId="0A0C6D00">
      <w:pPr>
        <w:pStyle w:val="12"/>
        <w:adjustRightInd w:val="0"/>
        <w:snapToGrid w:val="0"/>
        <w:spacing w:line="720" w:lineRule="exact"/>
        <w:jc w:val="center"/>
        <w:rPr>
          <w:rFonts w:hint="eastAsia" w:ascii="宋体" w:hAnsi="宋体" w:eastAsia="宋体" w:cs="宋体"/>
          <w:b/>
          <w:color w:val="auto"/>
          <w:sz w:val="21"/>
          <w:szCs w:val="21"/>
          <w:highlight w:val="none"/>
        </w:rPr>
      </w:pPr>
    </w:p>
    <w:p w14:paraId="3443D2BE">
      <w:pPr>
        <w:spacing w:line="720" w:lineRule="exact"/>
        <w:rPr>
          <w:rFonts w:hint="eastAsia" w:ascii="宋体" w:hAnsi="宋体" w:eastAsia="宋体" w:cs="宋体"/>
          <w:color w:val="auto"/>
          <w:spacing w:val="4"/>
          <w:sz w:val="21"/>
          <w:szCs w:val="21"/>
          <w:highlight w:val="none"/>
          <w:u w:val="single"/>
        </w:rPr>
      </w:pPr>
      <w:r>
        <w:rPr>
          <w:rFonts w:hint="eastAsia" w:ascii="宋体" w:hAnsi="宋体" w:eastAsia="宋体" w:cs="宋体"/>
          <w:color w:val="auto"/>
          <w:spacing w:val="4"/>
          <w:sz w:val="21"/>
          <w:szCs w:val="21"/>
          <w:highlight w:val="none"/>
          <w:u w:val="single"/>
        </w:rPr>
        <w:t xml:space="preserve">     （采购人）    ：</w:t>
      </w:r>
    </w:p>
    <w:p w14:paraId="5D259EB2">
      <w:pPr>
        <w:pStyle w:val="12"/>
        <w:adjustRightInd w:val="0"/>
        <w:snapToGrid w:val="0"/>
        <w:spacing w:line="720" w:lineRule="exact"/>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4"/>
          <w:sz w:val="21"/>
          <w:szCs w:val="21"/>
          <w:highlight w:val="none"/>
          <w:u w:val="single"/>
        </w:rPr>
        <w:t xml:space="preserve">      （供应商名称）    </w:t>
      </w:r>
      <w:r>
        <w:rPr>
          <w:rFonts w:hint="eastAsia" w:ascii="宋体" w:hAnsi="宋体" w:eastAsia="宋体" w:cs="宋体"/>
          <w:color w:val="auto"/>
          <w:spacing w:val="4"/>
          <w:sz w:val="21"/>
          <w:szCs w:val="21"/>
          <w:highlight w:val="none"/>
        </w:rPr>
        <w:t xml:space="preserve"> 于</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年</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月</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日在中华人民共和国境内</w:t>
      </w:r>
      <w:r>
        <w:rPr>
          <w:rFonts w:hint="eastAsia" w:ascii="宋体" w:hAnsi="宋体" w:eastAsia="宋体" w:cs="宋体"/>
          <w:color w:val="auto"/>
          <w:spacing w:val="4"/>
          <w:sz w:val="21"/>
          <w:szCs w:val="21"/>
          <w:highlight w:val="none"/>
          <w:u w:val="single"/>
        </w:rPr>
        <w:t xml:space="preserve">               （详细注册地址）     </w:t>
      </w:r>
      <w:r>
        <w:rPr>
          <w:rFonts w:hint="eastAsia" w:ascii="宋体" w:hAnsi="宋体" w:eastAsia="宋体" w:cs="宋体"/>
          <w:color w:val="auto"/>
          <w:spacing w:val="4"/>
          <w:sz w:val="21"/>
          <w:szCs w:val="21"/>
          <w:highlight w:val="none"/>
        </w:rPr>
        <w:t>合法注册并经营，公司主营业务为</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u w:val="none"/>
          <w:lang w:eastAsia="zh-CN"/>
        </w:rPr>
        <w:t>。</w:t>
      </w:r>
    </w:p>
    <w:p w14:paraId="2C8EE64B">
      <w:pPr>
        <w:pStyle w:val="12"/>
        <w:adjustRightInd w:val="0"/>
        <w:snapToGrid w:val="0"/>
        <w:spacing w:line="720" w:lineRule="exact"/>
        <w:ind w:firstLine="483" w:firstLineChars="222"/>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我公司郑重承诺，我公司具有履行本合同所必需的设备和专业技术能力，合同履约中将无条件增加相关设备、人员，直至满足项目需求。</w:t>
      </w:r>
    </w:p>
    <w:p w14:paraId="6A210BCB">
      <w:pPr>
        <w:pStyle w:val="12"/>
        <w:adjustRightInd w:val="0"/>
        <w:snapToGrid w:val="0"/>
        <w:spacing w:line="720" w:lineRule="exact"/>
        <w:rPr>
          <w:rFonts w:hint="eastAsia" w:ascii="宋体" w:hAnsi="宋体" w:eastAsia="宋体" w:cs="宋体"/>
          <w:color w:val="auto"/>
          <w:spacing w:val="4"/>
          <w:sz w:val="21"/>
          <w:szCs w:val="21"/>
          <w:highlight w:val="none"/>
        </w:rPr>
      </w:pPr>
    </w:p>
    <w:p w14:paraId="44B2B89E">
      <w:pPr>
        <w:pStyle w:val="12"/>
        <w:adjustRightInd w:val="0"/>
        <w:snapToGrid w:val="0"/>
        <w:spacing w:line="720" w:lineRule="exact"/>
        <w:rPr>
          <w:rFonts w:hint="eastAsia" w:ascii="宋体" w:hAnsi="宋体" w:eastAsia="宋体" w:cs="宋体"/>
          <w:color w:val="auto"/>
          <w:spacing w:val="4"/>
          <w:sz w:val="21"/>
          <w:szCs w:val="21"/>
          <w:highlight w:val="none"/>
        </w:rPr>
      </w:pPr>
    </w:p>
    <w:p w14:paraId="5DF7D4DB">
      <w:pPr>
        <w:pStyle w:val="12"/>
        <w:adjustRightInd w:val="0"/>
        <w:snapToGrid w:val="0"/>
        <w:spacing w:line="720" w:lineRule="exact"/>
        <w:rPr>
          <w:rFonts w:hint="eastAsia" w:ascii="宋体" w:hAnsi="宋体" w:eastAsia="宋体" w:cs="宋体"/>
          <w:color w:val="auto"/>
          <w:spacing w:val="4"/>
          <w:sz w:val="21"/>
          <w:szCs w:val="21"/>
          <w:highlight w:val="none"/>
        </w:rPr>
      </w:pPr>
    </w:p>
    <w:p w14:paraId="4E868F70">
      <w:pPr>
        <w:spacing w:line="480" w:lineRule="auto"/>
        <w:ind w:firstLine="2940" w:firstLineChars="1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6112AAA1">
      <w:pPr>
        <w:pStyle w:val="28"/>
        <w:spacing w:before="156" w:beforeLines="50"/>
        <w:ind w:firstLine="2940" w:firstLineChars="1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0F3E0F7">
      <w:pPr>
        <w:rPr>
          <w:rFonts w:hint="eastAsia" w:ascii="宋体" w:hAnsi="宋体" w:eastAsia="宋体" w:cs="宋体"/>
          <w:i w:val="0"/>
          <w:iCs w:val="0"/>
          <w:caps w:val="0"/>
          <w:color w:val="auto"/>
          <w:spacing w:val="0"/>
          <w:sz w:val="21"/>
          <w:szCs w:val="21"/>
          <w:shd w:val="clear" w:fill="FFFFFF"/>
        </w:rPr>
      </w:pPr>
    </w:p>
    <w:p w14:paraId="3FF4F0FA">
      <w:pP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br w:type="page"/>
      </w:r>
    </w:p>
    <w:p w14:paraId="639EA1B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 xml:space="preserve">供应商通过“信用中国”网站(www.creditchina.gov.cn)、中国政府采购网(www.ccgp.gov.cn)等查询相关主体信用记录； </w:t>
      </w:r>
    </w:p>
    <w:p w14:paraId="00598A28">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8" w:lineRule="auto"/>
        <w:ind w:leftChars="0" w:right="0" w:rightChars="0"/>
        <w:jc w:val="left"/>
        <w:textAlignment w:val="auto"/>
        <w:rPr>
          <w:rFonts w:hint="eastAsia" w:ascii="宋体" w:hAnsi="宋体" w:eastAsia="宋体" w:cs="宋体"/>
          <w:i w:val="0"/>
          <w:iCs w:val="0"/>
          <w:caps w:val="0"/>
          <w:color w:val="auto"/>
          <w:spacing w:val="0"/>
          <w:sz w:val="21"/>
          <w:szCs w:val="21"/>
          <w:shd w:val="clear" w:fill="FFFFFF"/>
        </w:rPr>
      </w:pPr>
    </w:p>
    <w:p w14:paraId="621E3B3A">
      <w:pPr>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br w:type="page"/>
      </w:r>
    </w:p>
    <w:p w14:paraId="7D803AC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val="en-US" w:eastAsia="zh-CN" w:bidi="ar"/>
        </w:rPr>
        <w:t>参加政府采购活动前 3 年内，在经营活动中没有重大违法记录的书面声明；</w:t>
      </w:r>
    </w:p>
    <w:p w14:paraId="6F639608">
      <w:pPr>
        <w:widowControl/>
        <w:spacing w:line="360" w:lineRule="auto"/>
        <w:ind w:left="1" w:firstLine="210" w:firstLineChars="10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参加政府采购活动前3年内在经营活动中没有重大违法纪录的书面声明</w:t>
      </w:r>
    </w:p>
    <w:p w14:paraId="21597299">
      <w:pPr>
        <w:widowControl/>
        <w:spacing w:line="360" w:lineRule="auto"/>
        <w:ind w:left="1"/>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（格式）</w:t>
      </w:r>
    </w:p>
    <w:p w14:paraId="36AB21DF">
      <w:pPr>
        <w:pStyle w:val="16"/>
        <w:wordWrap w:val="0"/>
        <w:spacing w:beforeAutospacing="0" w:afterAutospacing="0" w:line="560" w:lineRule="exact"/>
        <w:rPr>
          <w:rFonts w:hint="eastAsia"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u w:val="single"/>
          <w:shd w:val="clear" w:color="auto" w:fill="FFFFFF"/>
        </w:rPr>
        <w:t xml:space="preserve">      （采购人）           ：</w:t>
      </w:r>
    </w:p>
    <w:p w14:paraId="0D1ABA34">
      <w:pPr>
        <w:pStyle w:val="16"/>
        <w:wordWrap w:val="0"/>
        <w:spacing w:beforeAutospacing="0" w:afterAutospacing="0" w:line="560" w:lineRule="exact"/>
        <w:ind w:firstLine="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我方作为项目名称</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（项目编号：</w:t>
      </w:r>
      <w:r>
        <w:rPr>
          <w:rFonts w:hint="eastAsia" w:ascii="宋体" w:hAnsi="宋体" w:eastAsia="宋体" w:cs="宋体"/>
          <w:i/>
          <w:iCs/>
          <w:color w:val="auto"/>
          <w:sz w:val="21"/>
          <w:szCs w:val="21"/>
          <w:highlight w:val="none"/>
          <w:u w:val="single"/>
          <w:shd w:val="clear" w:color="auto" w:fill="FFFFFF"/>
        </w:rPr>
        <w:t xml:space="preserve">    </w:t>
      </w:r>
      <w:r>
        <w:rPr>
          <w:rFonts w:hint="eastAsia" w:cs="宋体"/>
          <w:i w:val="0"/>
          <w:iCs w:val="0"/>
          <w:color w:val="auto"/>
          <w:sz w:val="21"/>
          <w:szCs w:val="21"/>
          <w:highlight w:val="none"/>
          <w:u w:val="none"/>
          <w:shd w:val="clear" w:color="auto" w:fill="FFFFFF"/>
          <w:lang w:val="en-US" w:eastAsia="zh-CN"/>
        </w:rPr>
        <w:t>包号：</w:t>
      </w:r>
      <w:r>
        <w:rPr>
          <w:rFonts w:hint="eastAsia" w:ascii="宋体" w:hAnsi="宋体" w:eastAsia="宋体" w:cs="宋体"/>
          <w:i/>
          <w:iCs/>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 xml:space="preserve">）的供应商，在此郑重声明： </w:t>
      </w:r>
    </w:p>
    <w:p w14:paraId="5506B1BF">
      <w:pPr>
        <w:pStyle w:val="16"/>
        <w:wordWrap w:val="0"/>
        <w:spacing w:beforeAutospacing="0" w:afterAutospacing="0" w:line="5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在参加本次政府采购活动前3年内的经营活动中</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2DD62FE1">
      <w:pPr>
        <w:pStyle w:val="16"/>
        <w:wordWrap w:val="0"/>
        <w:spacing w:beforeAutospacing="0" w:afterAutospacing="0" w:line="5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 xml:space="preserve">如有不实，我方将无条件地退出本项目的采购活动，并遵照《政府采购法》有关“提供虚假材料的规定”接受处罚。 </w:t>
      </w:r>
    </w:p>
    <w:p w14:paraId="0B9995BE">
      <w:pPr>
        <w:pStyle w:val="16"/>
        <w:wordWrap w:val="0"/>
        <w:spacing w:beforeAutospacing="0" w:afterAutospacing="0" w:line="560" w:lineRule="exact"/>
        <w:ind w:firstLine="42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特此声明！</w:t>
      </w:r>
    </w:p>
    <w:p w14:paraId="6076F2EB">
      <w:pPr>
        <w:pStyle w:val="16"/>
        <w:wordWrap w:val="0"/>
        <w:spacing w:beforeAutospacing="0" w:afterAutospacing="0" w:line="560" w:lineRule="exact"/>
        <w:ind w:firstLine="420"/>
        <w:rPr>
          <w:rFonts w:hint="eastAsia" w:ascii="宋体" w:hAnsi="宋体" w:eastAsia="宋体" w:cs="宋体"/>
          <w:color w:val="auto"/>
          <w:sz w:val="21"/>
          <w:szCs w:val="21"/>
          <w:highlight w:val="none"/>
          <w:shd w:val="clear" w:color="auto" w:fill="FFFFFF"/>
        </w:rPr>
      </w:pPr>
    </w:p>
    <w:p w14:paraId="1D431A81">
      <w:pPr>
        <w:spacing w:line="480" w:lineRule="auto"/>
        <w:ind w:firstLine="2940" w:firstLineChars="1400"/>
        <w:rPr>
          <w:rFonts w:hint="eastAsia" w:ascii="宋体" w:hAnsi="宋体" w:eastAsia="宋体" w:cs="宋体"/>
          <w:color w:val="auto"/>
          <w:sz w:val="21"/>
          <w:szCs w:val="21"/>
          <w:highlight w:val="none"/>
          <w:lang w:val="en-US" w:eastAsia="zh-CN"/>
        </w:rPr>
      </w:pPr>
    </w:p>
    <w:p w14:paraId="0ABBE1A5">
      <w:pPr>
        <w:spacing w:line="480" w:lineRule="auto"/>
        <w:ind w:firstLine="2940" w:firstLineChars="1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491C3E7D">
      <w:pPr>
        <w:pStyle w:val="28"/>
        <w:spacing w:before="156" w:beforeLines="50"/>
        <w:ind w:firstLine="2940" w:firstLineChars="1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2BA10CF0">
      <w:pPr>
        <w:jc w:val="center"/>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br w:type="page"/>
      </w:r>
    </w:p>
    <w:p w14:paraId="798C4DFA">
      <w:pPr>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val="en-US" w:eastAsia="zh-CN" w:bidi="ar"/>
        </w:rPr>
        <w:t>提供中小企业声明函；</w:t>
      </w:r>
    </w:p>
    <w:p w14:paraId="0EE8415B">
      <w:pPr>
        <w:spacing w:beforeLines="50" w:afterLines="50" w:line="360" w:lineRule="auto"/>
        <w:jc w:val="center"/>
        <w:rPr>
          <w:rFonts w:hAnsi="宋体" w:cs="宋体"/>
          <w:sz w:val="21"/>
          <w:szCs w:val="21"/>
          <w:highlight w:val="none"/>
        </w:rPr>
      </w:pPr>
      <w:r>
        <w:rPr>
          <w:rFonts w:hint="eastAsia" w:hAnsi="宋体" w:cs="宋体"/>
          <w:b/>
          <w:sz w:val="21"/>
          <w:szCs w:val="21"/>
          <w:highlight w:val="none"/>
        </w:rPr>
        <w:t>中小企业声明函</w:t>
      </w:r>
    </w:p>
    <w:p w14:paraId="495EDCEC">
      <w:pPr>
        <w:tabs>
          <w:tab w:val="left" w:pos="1620"/>
          <w:tab w:val="left" w:pos="1800"/>
        </w:tabs>
        <w:spacing w:line="500" w:lineRule="exact"/>
        <w:ind w:firstLine="420" w:firstLineChars="200"/>
        <w:rPr>
          <w:rFonts w:ascii="宋体" w:hAnsi="宋体" w:cs="宋体"/>
          <w:sz w:val="21"/>
          <w:szCs w:val="21"/>
          <w:highlight w:val="none"/>
        </w:rPr>
      </w:pPr>
      <w:r>
        <w:rPr>
          <w:rFonts w:hint="eastAsia" w:ascii="宋体" w:hAnsi="宋体" w:cs="宋体"/>
          <w:sz w:val="21"/>
          <w:szCs w:val="21"/>
          <w:highlight w:val="none"/>
        </w:rPr>
        <w:t>本公司郑重声明，根据《政府采购促进中小企业发展管理办法》（财库﹝2020﹞46 号）的规定，本公司参加</w:t>
      </w:r>
      <w:r>
        <w:rPr>
          <w:rFonts w:hint="eastAsia" w:ascii="宋体" w:hAnsi="宋体" w:cs="宋体"/>
          <w:sz w:val="21"/>
          <w:szCs w:val="21"/>
          <w:highlight w:val="none"/>
          <w:u w:val="single"/>
        </w:rPr>
        <w:t>（）</w:t>
      </w:r>
      <w:r>
        <w:rPr>
          <w:rFonts w:hint="eastAsia" w:ascii="宋体" w:hAnsi="宋体" w:cs="宋体"/>
          <w:sz w:val="21"/>
          <w:szCs w:val="21"/>
          <w:highlight w:val="none"/>
        </w:rPr>
        <w:t>的</w:t>
      </w:r>
      <w:r>
        <w:rPr>
          <w:rFonts w:hint="eastAsia" w:ascii="宋体" w:hAnsi="宋体" w:cs="宋体"/>
          <w:sz w:val="21"/>
          <w:szCs w:val="21"/>
          <w:highlight w:val="none"/>
          <w:u w:val="single"/>
        </w:rPr>
        <w:t>（项目名称）</w:t>
      </w:r>
      <w:r>
        <w:rPr>
          <w:rFonts w:hint="eastAsia" w:ascii="宋体" w:hAnsi="宋体" w:cs="宋体"/>
          <w:sz w:val="21"/>
          <w:szCs w:val="21"/>
          <w:highlight w:val="none"/>
        </w:rPr>
        <w:t>采购活动，工程的施工单位全部为符合政策要求的中小企业（或者：服务全部由符合政策要求的中小企业承接）。相关企业的具体情况如下：</w:t>
      </w:r>
    </w:p>
    <w:p w14:paraId="33D7FAC8">
      <w:pPr>
        <w:tabs>
          <w:tab w:val="left" w:pos="1620"/>
          <w:tab w:val="left" w:pos="1800"/>
        </w:tabs>
        <w:spacing w:line="500" w:lineRule="exact"/>
        <w:ind w:firstLine="420" w:firstLineChars="200"/>
        <w:rPr>
          <w:rFonts w:ascii="宋体" w:hAnsi="宋体" w:cs="宋体"/>
          <w:sz w:val="21"/>
          <w:szCs w:val="21"/>
          <w:highlight w:val="none"/>
        </w:rPr>
      </w:pPr>
      <w:r>
        <w:rPr>
          <w:rFonts w:hint="eastAsia" w:ascii="宋体" w:hAnsi="宋体" w:cs="宋体"/>
          <w:sz w:val="21"/>
          <w:szCs w:val="21"/>
          <w:highlight w:val="none"/>
        </w:rPr>
        <w:t>1.</w:t>
      </w:r>
      <w:r>
        <w:rPr>
          <w:rFonts w:hint="eastAsia" w:ascii="宋体" w:hAnsi="宋体" w:cs="宋体"/>
          <w:sz w:val="21"/>
          <w:szCs w:val="21"/>
          <w:highlight w:val="none"/>
          <w:u w:val="single"/>
        </w:rPr>
        <w:t>（标的名称）</w:t>
      </w:r>
      <w:r>
        <w:rPr>
          <w:rFonts w:hint="eastAsia" w:ascii="宋体" w:hAnsi="宋体" w:cs="宋体"/>
          <w:sz w:val="21"/>
          <w:szCs w:val="21"/>
          <w:highlight w:val="none"/>
        </w:rPr>
        <w:t>，属于</w:t>
      </w:r>
      <w:r>
        <w:rPr>
          <w:rFonts w:hint="eastAsia" w:ascii="宋体" w:hAnsi="宋体" w:cs="宋体"/>
          <w:sz w:val="21"/>
          <w:szCs w:val="21"/>
          <w:highlight w:val="none"/>
          <w:u w:val="single"/>
        </w:rPr>
        <w:t>（采购文件中明确的所属行业）</w:t>
      </w:r>
      <w:r>
        <w:rPr>
          <w:rFonts w:hint="eastAsia" w:ascii="宋体" w:hAnsi="宋体" w:cs="宋体"/>
          <w:sz w:val="21"/>
          <w:szCs w:val="21"/>
          <w:highlight w:val="none"/>
        </w:rPr>
        <w:t>；承建（承接）企业为</w:t>
      </w:r>
      <w:r>
        <w:rPr>
          <w:rFonts w:hint="eastAsia" w:ascii="宋体" w:hAnsi="宋体" w:cs="宋体"/>
          <w:sz w:val="21"/>
          <w:szCs w:val="21"/>
          <w:highlight w:val="none"/>
          <w:u w:val="single"/>
        </w:rPr>
        <w:t>（企业名称）</w:t>
      </w:r>
      <w:r>
        <w:rPr>
          <w:rFonts w:hint="eastAsia" w:ascii="宋体" w:hAnsi="宋体" w:cs="宋体"/>
          <w:sz w:val="21"/>
          <w:szCs w:val="21"/>
          <w:highlight w:val="none"/>
        </w:rPr>
        <w:t>，从业人员</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rPr>
        <w:tab/>
      </w:r>
      <w:r>
        <w:rPr>
          <w:rFonts w:hint="eastAsia" w:ascii="宋体" w:hAnsi="宋体" w:cs="宋体"/>
          <w:sz w:val="21"/>
          <w:szCs w:val="21"/>
          <w:highlight w:val="none"/>
        </w:rPr>
        <w:t>人，营业收入</w:t>
      </w:r>
      <w:r>
        <w:rPr>
          <w:rFonts w:hint="eastAsia" w:ascii="宋体" w:hAnsi="宋体" w:cs="宋体"/>
          <w:sz w:val="21"/>
          <w:szCs w:val="21"/>
          <w:highlight w:val="none"/>
          <w:u w:val="single"/>
        </w:rPr>
        <w:t xml:space="preserve">为 </w:t>
      </w:r>
      <w:r>
        <w:rPr>
          <w:rFonts w:hint="eastAsia" w:ascii="宋体" w:hAnsi="宋体" w:cs="宋体"/>
          <w:sz w:val="21"/>
          <w:szCs w:val="21"/>
          <w:highlight w:val="none"/>
          <w:u w:val="single"/>
        </w:rPr>
        <w:tab/>
      </w:r>
      <w:r>
        <w:rPr>
          <w:rFonts w:hint="eastAsia" w:ascii="宋体" w:hAnsi="宋体" w:cs="宋体"/>
          <w:sz w:val="21"/>
          <w:szCs w:val="21"/>
          <w:highlight w:val="none"/>
        </w:rPr>
        <w:t>万元，资产总额为</w:t>
      </w:r>
      <w:r>
        <w:rPr>
          <w:rFonts w:hint="eastAsia" w:ascii="宋体" w:hAnsi="宋体" w:cs="宋体"/>
          <w:sz w:val="21"/>
          <w:szCs w:val="21"/>
          <w:highlight w:val="none"/>
          <w:u w:val="single"/>
        </w:rPr>
        <w:t xml:space="preserve">      </w:t>
      </w:r>
      <w:r>
        <w:rPr>
          <w:rFonts w:hint="eastAsia" w:ascii="宋体" w:hAnsi="宋体" w:cs="宋体"/>
          <w:sz w:val="21"/>
          <w:szCs w:val="21"/>
          <w:highlight w:val="none"/>
        </w:rPr>
        <w:t>万元，属于</w:t>
      </w:r>
      <w:r>
        <w:rPr>
          <w:rFonts w:hint="eastAsia" w:ascii="宋体" w:hAnsi="宋体" w:cs="宋体"/>
          <w:sz w:val="21"/>
          <w:szCs w:val="21"/>
          <w:highlight w:val="none"/>
          <w:u w:val="single"/>
        </w:rPr>
        <w:t>（中型企业、小型企业、微型企业）</w:t>
      </w:r>
      <w:r>
        <w:rPr>
          <w:rFonts w:hint="eastAsia" w:ascii="宋体" w:hAnsi="宋体" w:cs="宋体"/>
          <w:sz w:val="21"/>
          <w:szCs w:val="21"/>
          <w:highlight w:val="none"/>
        </w:rPr>
        <w:t>；</w:t>
      </w:r>
    </w:p>
    <w:p w14:paraId="3C1C0B7E">
      <w:pPr>
        <w:tabs>
          <w:tab w:val="left" w:pos="1620"/>
          <w:tab w:val="left" w:pos="1800"/>
        </w:tabs>
        <w:spacing w:line="500" w:lineRule="exact"/>
        <w:ind w:firstLine="420" w:firstLineChars="200"/>
        <w:rPr>
          <w:rFonts w:ascii="宋体" w:hAnsi="宋体" w:cs="宋体"/>
          <w:sz w:val="21"/>
          <w:szCs w:val="21"/>
          <w:highlight w:val="none"/>
        </w:rPr>
      </w:pPr>
      <w:r>
        <w:rPr>
          <w:rFonts w:hint="eastAsia" w:ascii="宋体" w:hAnsi="宋体" w:cs="宋体"/>
          <w:sz w:val="21"/>
          <w:szCs w:val="21"/>
          <w:highlight w:val="none"/>
        </w:rPr>
        <w:t>2.</w:t>
      </w:r>
      <w:r>
        <w:rPr>
          <w:rFonts w:hint="eastAsia" w:ascii="宋体" w:hAnsi="宋体" w:cs="宋体"/>
          <w:sz w:val="21"/>
          <w:szCs w:val="21"/>
          <w:highlight w:val="none"/>
          <w:u w:val="single"/>
        </w:rPr>
        <w:t>（标的名称）</w:t>
      </w:r>
      <w:r>
        <w:rPr>
          <w:rFonts w:hint="eastAsia" w:ascii="宋体" w:hAnsi="宋体" w:cs="宋体"/>
          <w:sz w:val="21"/>
          <w:szCs w:val="21"/>
          <w:highlight w:val="none"/>
        </w:rPr>
        <w:t>，属于</w:t>
      </w:r>
      <w:r>
        <w:rPr>
          <w:rFonts w:hint="eastAsia" w:ascii="宋体" w:hAnsi="宋体" w:cs="宋体"/>
          <w:sz w:val="21"/>
          <w:szCs w:val="21"/>
          <w:highlight w:val="none"/>
          <w:u w:val="single"/>
        </w:rPr>
        <w:t>（采购文件中明确的所属行业</w:t>
      </w:r>
      <w:r>
        <w:rPr>
          <w:rFonts w:hint="eastAsia" w:ascii="宋体" w:hAnsi="宋体" w:cs="宋体"/>
          <w:sz w:val="21"/>
          <w:szCs w:val="21"/>
          <w:highlight w:val="none"/>
        </w:rPr>
        <w:t>）；承建（承接）企业为</w:t>
      </w:r>
      <w:r>
        <w:rPr>
          <w:rFonts w:hint="eastAsia" w:ascii="宋体" w:hAnsi="宋体" w:cs="宋体"/>
          <w:sz w:val="21"/>
          <w:szCs w:val="21"/>
          <w:highlight w:val="none"/>
          <w:u w:val="single"/>
        </w:rPr>
        <w:t>（企业名称）</w:t>
      </w:r>
      <w:r>
        <w:rPr>
          <w:rFonts w:hint="eastAsia" w:ascii="宋体" w:hAnsi="宋体" w:cs="宋体"/>
          <w:sz w:val="21"/>
          <w:szCs w:val="21"/>
          <w:highlight w:val="none"/>
        </w:rPr>
        <w:t>，从业人员</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rPr>
        <w:tab/>
      </w:r>
      <w:r>
        <w:rPr>
          <w:rFonts w:hint="eastAsia" w:ascii="宋体" w:hAnsi="宋体" w:cs="宋体"/>
          <w:sz w:val="21"/>
          <w:szCs w:val="21"/>
          <w:highlight w:val="none"/>
        </w:rPr>
        <w:t>人，营业收入为</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rPr>
        <w:tab/>
      </w:r>
      <w:r>
        <w:rPr>
          <w:rFonts w:hint="eastAsia" w:ascii="宋体" w:hAnsi="宋体" w:cs="宋体"/>
          <w:sz w:val="21"/>
          <w:szCs w:val="21"/>
          <w:highlight w:val="none"/>
        </w:rPr>
        <w:t>万元，资产总额为</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rPr>
        <w:tab/>
      </w:r>
      <w:r>
        <w:rPr>
          <w:rFonts w:hint="eastAsia" w:ascii="宋体" w:hAnsi="宋体" w:cs="宋体"/>
          <w:sz w:val="21"/>
          <w:szCs w:val="21"/>
          <w:highlight w:val="none"/>
          <w:u w:val="single"/>
        </w:rPr>
        <w:t xml:space="preserve">   </w:t>
      </w:r>
      <w:r>
        <w:rPr>
          <w:rFonts w:hint="eastAsia" w:ascii="宋体" w:hAnsi="宋体" w:cs="宋体"/>
          <w:sz w:val="21"/>
          <w:szCs w:val="21"/>
          <w:highlight w:val="none"/>
        </w:rPr>
        <w:t>万元，属于</w:t>
      </w:r>
      <w:r>
        <w:rPr>
          <w:rFonts w:hint="eastAsia" w:ascii="宋体" w:hAnsi="宋体" w:cs="宋体"/>
          <w:sz w:val="21"/>
          <w:szCs w:val="21"/>
          <w:highlight w:val="none"/>
          <w:u w:val="single"/>
        </w:rPr>
        <w:t>（中型企业、小型企业、微型企业）</w:t>
      </w:r>
      <w:r>
        <w:rPr>
          <w:rFonts w:hint="eastAsia" w:ascii="宋体" w:hAnsi="宋体" w:cs="宋体"/>
          <w:sz w:val="21"/>
          <w:szCs w:val="21"/>
          <w:highlight w:val="none"/>
        </w:rPr>
        <w:t>；</w:t>
      </w:r>
    </w:p>
    <w:p w14:paraId="431EC09F">
      <w:pPr>
        <w:tabs>
          <w:tab w:val="left" w:pos="1620"/>
          <w:tab w:val="left" w:pos="1800"/>
        </w:tabs>
        <w:spacing w:line="500" w:lineRule="exact"/>
        <w:rPr>
          <w:rFonts w:ascii="宋体" w:hAnsi="宋体" w:cs="宋体"/>
          <w:sz w:val="21"/>
          <w:szCs w:val="21"/>
          <w:highlight w:val="none"/>
        </w:rPr>
      </w:pPr>
      <w:r>
        <w:rPr>
          <w:rFonts w:hint="eastAsia" w:ascii="宋体" w:hAnsi="宋体" w:cs="宋体"/>
          <w:sz w:val="21"/>
          <w:szCs w:val="21"/>
          <w:highlight w:val="none"/>
        </w:rPr>
        <w:t>……</w:t>
      </w:r>
    </w:p>
    <w:p w14:paraId="4441E791">
      <w:pPr>
        <w:tabs>
          <w:tab w:val="left" w:pos="1620"/>
          <w:tab w:val="left" w:pos="1800"/>
        </w:tabs>
        <w:spacing w:line="500" w:lineRule="exact"/>
        <w:ind w:firstLine="420" w:firstLineChars="200"/>
        <w:rPr>
          <w:rFonts w:ascii="宋体" w:hAnsi="宋体" w:cs="宋体"/>
          <w:sz w:val="21"/>
          <w:szCs w:val="21"/>
          <w:highlight w:val="none"/>
        </w:rPr>
      </w:pPr>
      <w:r>
        <w:rPr>
          <w:rFonts w:hint="eastAsia" w:ascii="宋体" w:hAnsi="宋体" w:cs="宋体"/>
          <w:sz w:val="21"/>
          <w:szCs w:val="21"/>
          <w:highlight w:val="none"/>
        </w:rPr>
        <w:t>以上企业，不属于大企业的分支机构，不存在控股股东为大企业的情形，也不存在与大企业的负责人为同一人的情形。</w:t>
      </w:r>
    </w:p>
    <w:p w14:paraId="57343BF2">
      <w:pPr>
        <w:tabs>
          <w:tab w:val="left" w:pos="1620"/>
          <w:tab w:val="left" w:pos="1800"/>
        </w:tabs>
        <w:spacing w:line="500" w:lineRule="exact"/>
        <w:ind w:firstLine="420" w:firstLineChars="200"/>
        <w:rPr>
          <w:rFonts w:ascii="宋体" w:hAnsi="宋体" w:cs="宋体"/>
          <w:sz w:val="21"/>
          <w:szCs w:val="21"/>
          <w:highlight w:val="none"/>
        </w:rPr>
      </w:pPr>
      <w:r>
        <w:rPr>
          <w:rFonts w:hint="eastAsia" w:ascii="宋体" w:hAnsi="宋体" w:cs="宋体"/>
          <w:sz w:val="21"/>
          <w:szCs w:val="21"/>
          <w:highlight w:val="none"/>
        </w:rPr>
        <w:t>本企业对上述声明内容的真实性负责。如有虚假，将依法承担相应责任。</w:t>
      </w:r>
    </w:p>
    <w:p w14:paraId="1A22B2BB">
      <w:pPr>
        <w:tabs>
          <w:tab w:val="left" w:pos="1620"/>
          <w:tab w:val="left" w:pos="1800"/>
        </w:tabs>
        <w:spacing w:line="500" w:lineRule="exact"/>
        <w:rPr>
          <w:rFonts w:ascii="宋体" w:hAnsi="宋体" w:cs="宋体"/>
          <w:sz w:val="21"/>
          <w:szCs w:val="21"/>
          <w:highlight w:val="none"/>
        </w:rPr>
      </w:pPr>
    </w:p>
    <w:p w14:paraId="204F3D16">
      <w:pPr>
        <w:tabs>
          <w:tab w:val="left" w:pos="1620"/>
          <w:tab w:val="left" w:pos="1800"/>
        </w:tabs>
        <w:spacing w:line="500" w:lineRule="exact"/>
        <w:rPr>
          <w:rFonts w:ascii="宋体" w:hAnsi="宋体" w:cs="宋体"/>
          <w:sz w:val="21"/>
          <w:szCs w:val="21"/>
          <w:highlight w:val="none"/>
        </w:rPr>
      </w:pPr>
    </w:p>
    <w:p w14:paraId="2F1DE82B">
      <w:pPr>
        <w:tabs>
          <w:tab w:val="left" w:pos="1620"/>
          <w:tab w:val="left" w:pos="1800"/>
        </w:tabs>
        <w:spacing w:line="500" w:lineRule="exact"/>
        <w:ind w:firstLine="4200" w:firstLineChars="2000"/>
        <w:rPr>
          <w:rFonts w:ascii="宋体" w:hAnsi="宋体" w:cs="宋体"/>
          <w:sz w:val="21"/>
          <w:szCs w:val="21"/>
          <w:highlight w:val="none"/>
        </w:rPr>
      </w:pPr>
      <w:r>
        <w:rPr>
          <w:rFonts w:hint="eastAsia" w:ascii="宋体" w:hAnsi="宋体" w:cs="宋体"/>
          <w:sz w:val="21"/>
          <w:szCs w:val="21"/>
          <w:highlight w:val="none"/>
        </w:rPr>
        <w:t>企业名称（盖章）：</w:t>
      </w:r>
    </w:p>
    <w:p w14:paraId="08F99B10">
      <w:pPr>
        <w:tabs>
          <w:tab w:val="left" w:pos="1620"/>
          <w:tab w:val="left" w:pos="1800"/>
        </w:tabs>
        <w:spacing w:line="500" w:lineRule="exact"/>
        <w:ind w:firstLine="4200" w:firstLineChars="2000"/>
        <w:rPr>
          <w:rFonts w:ascii="宋体" w:hAnsi="宋体" w:cs="宋体"/>
          <w:sz w:val="21"/>
          <w:szCs w:val="21"/>
          <w:highlight w:val="none"/>
        </w:rPr>
      </w:pPr>
      <w:r>
        <w:rPr>
          <w:rFonts w:hint="eastAsia" w:ascii="宋体" w:hAnsi="宋体" w:cs="宋体"/>
          <w:sz w:val="21"/>
          <w:szCs w:val="21"/>
          <w:highlight w:val="none"/>
        </w:rPr>
        <w:t>日期：</w:t>
      </w:r>
    </w:p>
    <w:p w14:paraId="00BC71FC">
      <w:pPr>
        <w:rPr>
          <w:rFonts w:hint="eastAsia" w:ascii="宋体" w:hAnsi="宋体" w:eastAsia="宋体" w:cs="宋体"/>
          <w:i w:val="0"/>
          <w:iCs w:val="0"/>
          <w:caps w:val="0"/>
          <w:color w:val="auto"/>
          <w:spacing w:val="0"/>
          <w:sz w:val="21"/>
          <w:szCs w:val="21"/>
          <w:highlight w:val="none"/>
          <w:shd w:val="clear" w:fill="FFFFFF"/>
          <w:lang w:eastAsia="zh-CN"/>
        </w:rPr>
      </w:pPr>
    </w:p>
    <w:p w14:paraId="421C17A8">
      <w:pP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br w:type="page"/>
      </w:r>
    </w:p>
    <w:p w14:paraId="0BA26CB6">
      <w:pPr>
        <w:rPr>
          <w:sz w:val="21"/>
          <w:szCs w:val="21"/>
        </w:rPr>
      </w:pPr>
      <w:r>
        <w:rPr>
          <w:rFonts w:hint="eastAsia" w:ascii="宋体" w:hAnsi="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val="en-US" w:eastAsia="zh-CN" w:bidi="ar"/>
        </w:rPr>
        <w:t>本项目不接受联合体投标（提供承诺书）</w:t>
      </w:r>
      <w:r>
        <w:rPr>
          <w:rFonts w:hint="eastAsia" w:hAnsi="宋体" w:cs="宋体"/>
          <w:color w:val="auto"/>
          <w:kern w:val="0"/>
          <w:sz w:val="21"/>
          <w:szCs w:val="21"/>
          <w:highlight w:val="none"/>
          <w:lang w:val="en-US" w:eastAsia="zh-CN" w:bidi="ar"/>
        </w:rPr>
        <w:t>。</w:t>
      </w:r>
    </w:p>
    <w:p w14:paraId="5DD4E865">
      <w:pPr>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4325859B">
      <w:pPr>
        <w:rPr>
          <w:rFonts w:hint="eastAsia" w:ascii="宋体" w:hAnsi="宋体" w:eastAsia="宋体" w:cs="宋体"/>
          <w:i w:val="0"/>
          <w:iCs w:val="0"/>
          <w:caps w:val="0"/>
          <w:color w:val="333333"/>
          <w:spacing w:val="0"/>
          <w:sz w:val="21"/>
          <w:szCs w:val="21"/>
          <w:highlight w:val="yellow"/>
          <w:shd w:val="clear" w:fill="FFFFFF"/>
        </w:rPr>
      </w:pPr>
    </w:p>
    <w:p w14:paraId="689B3073">
      <w:pPr>
        <w:jc w:val="center"/>
        <w:outlineLvl w:val="1"/>
        <w:rPr>
          <w:rFonts w:hAnsi="宋体" w:cs="宋体"/>
          <w:b/>
          <w:bCs/>
          <w:sz w:val="21"/>
          <w:szCs w:val="21"/>
        </w:rPr>
      </w:pPr>
      <w:r>
        <w:rPr>
          <w:rFonts w:hint="eastAsia" w:hAnsi="宋体" w:cs="宋体"/>
          <w:b/>
          <w:bCs/>
          <w:sz w:val="21"/>
          <w:szCs w:val="21"/>
        </w:rPr>
        <w:t>七、其他</w:t>
      </w:r>
      <w:bookmarkEnd w:id="268"/>
      <w:bookmarkEnd w:id="269"/>
      <w:bookmarkEnd w:id="270"/>
    </w:p>
    <w:p w14:paraId="446F146D">
      <w:pPr>
        <w:spacing w:line="500" w:lineRule="exact"/>
        <w:ind w:firstLine="420" w:firstLineChars="200"/>
        <w:rPr>
          <w:rFonts w:hAnsi="宋体" w:cs="宋体"/>
          <w:sz w:val="21"/>
          <w:szCs w:val="21"/>
        </w:rPr>
      </w:pPr>
      <w:r>
        <w:rPr>
          <w:rFonts w:hint="eastAsia" w:hAnsi="宋体" w:cs="宋体"/>
          <w:sz w:val="21"/>
          <w:szCs w:val="21"/>
        </w:rPr>
        <w:t>1、依据招标文件要求，供应商认为有必要说明的其他内容</w:t>
      </w:r>
    </w:p>
    <w:p w14:paraId="74FC7810">
      <w:pPr>
        <w:spacing w:line="500" w:lineRule="exact"/>
        <w:ind w:firstLine="420" w:firstLineChars="200"/>
        <w:rPr>
          <w:rFonts w:hAnsi="宋体" w:cs="宋体"/>
          <w:sz w:val="21"/>
          <w:szCs w:val="21"/>
        </w:rPr>
      </w:pPr>
      <w:r>
        <w:rPr>
          <w:rFonts w:hint="eastAsia" w:hAnsi="宋体" w:cs="宋体"/>
          <w:sz w:val="21"/>
          <w:szCs w:val="21"/>
        </w:rPr>
        <w:t>2、其他可以证明供应商实力的文件。</w:t>
      </w:r>
    </w:p>
    <w:p w14:paraId="1281EB98">
      <w:pPr>
        <w:rPr>
          <w:rFonts w:hAnsi="宋体" w:cs="宋体"/>
          <w:b/>
          <w:bCs/>
          <w:sz w:val="21"/>
          <w:szCs w:val="21"/>
        </w:rPr>
      </w:pPr>
      <w:r>
        <w:rPr>
          <w:rFonts w:hint="eastAsia" w:hAnsi="宋体" w:cs="宋体"/>
          <w:b/>
          <w:bCs/>
          <w:sz w:val="21"/>
          <w:szCs w:val="21"/>
        </w:rPr>
        <w:br w:type="page"/>
      </w:r>
    </w:p>
    <w:p w14:paraId="3EC139F3">
      <w:pPr>
        <w:shd w:val="clear" w:color="auto" w:fill="auto"/>
        <w:spacing w:before="100" w:beforeAutospacing="1" w:after="166" w:afterLines="50" w:line="360" w:lineRule="auto"/>
        <w:rPr>
          <w:rFonts w:hAnsi="宋体" w:cs="宋体"/>
          <w:b/>
          <w:bCs/>
          <w:color w:val="auto"/>
          <w:spacing w:val="6"/>
          <w:sz w:val="21"/>
          <w:szCs w:val="21"/>
          <w:highlight w:val="none"/>
        </w:rPr>
      </w:pPr>
      <w:r>
        <w:rPr>
          <w:rFonts w:hint="eastAsia" w:hAnsi="宋体" w:cs="宋体"/>
          <w:b/>
          <w:bCs/>
          <w:color w:val="auto"/>
          <w:spacing w:val="6"/>
          <w:sz w:val="21"/>
          <w:szCs w:val="21"/>
          <w:highlight w:val="none"/>
        </w:rPr>
        <w:t>附件</w:t>
      </w:r>
      <w:r>
        <w:rPr>
          <w:rFonts w:hint="eastAsia" w:hAnsi="宋体" w:cs="宋体"/>
          <w:b/>
          <w:bCs/>
          <w:color w:val="auto"/>
          <w:spacing w:val="6"/>
          <w:sz w:val="21"/>
          <w:szCs w:val="21"/>
          <w:highlight w:val="none"/>
          <w:lang w:val="en-US" w:eastAsia="zh-CN"/>
        </w:rPr>
        <w:t>1</w:t>
      </w:r>
      <w:r>
        <w:rPr>
          <w:rFonts w:hint="eastAsia" w:hAnsi="宋体" w:cs="宋体"/>
          <w:b/>
          <w:bCs/>
          <w:color w:val="auto"/>
          <w:spacing w:val="6"/>
          <w:sz w:val="21"/>
          <w:szCs w:val="21"/>
          <w:highlight w:val="none"/>
        </w:rPr>
        <w:t>（如有）：</w:t>
      </w:r>
    </w:p>
    <w:p w14:paraId="0F1FC6D3">
      <w:pPr>
        <w:shd w:val="clear" w:color="auto" w:fill="auto"/>
        <w:spacing w:line="588" w:lineRule="exact"/>
        <w:jc w:val="center"/>
        <w:rPr>
          <w:rFonts w:hAnsi="宋体" w:cs="宋体"/>
          <w:b/>
          <w:color w:val="auto"/>
          <w:spacing w:val="6"/>
          <w:sz w:val="21"/>
          <w:szCs w:val="21"/>
          <w:highlight w:val="none"/>
        </w:rPr>
      </w:pPr>
      <w:r>
        <w:rPr>
          <w:rFonts w:hint="eastAsia" w:hAnsi="宋体" w:cs="宋体"/>
          <w:b/>
          <w:color w:val="auto"/>
          <w:spacing w:val="6"/>
          <w:sz w:val="21"/>
          <w:szCs w:val="21"/>
          <w:highlight w:val="none"/>
        </w:rPr>
        <w:t>残疾人福利性单位声明函</w:t>
      </w:r>
    </w:p>
    <w:p w14:paraId="042863A2">
      <w:pPr>
        <w:shd w:val="clear" w:color="auto" w:fill="auto"/>
        <w:spacing w:line="588" w:lineRule="exact"/>
        <w:rPr>
          <w:rFonts w:hAnsi="宋体" w:cs="宋体"/>
          <w:b/>
          <w:color w:val="auto"/>
          <w:spacing w:val="6"/>
          <w:sz w:val="21"/>
          <w:szCs w:val="21"/>
          <w:highlight w:val="none"/>
        </w:rPr>
      </w:pPr>
    </w:p>
    <w:p w14:paraId="7F12E75E">
      <w:pPr>
        <w:shd w:val="clear" w:color="auto" w:fill="auto"/>
        <w:spacing w:line="588" w:lineRule="exact"/>
        <w:ind w:firstLine="444" w:firstLineChars="200"/>
        <w:rPr>
          <w:rFonts w:hAnsi="宋体" w:cs="宋体"/>
          <w:color w:val="auto"/>
          <w:spacing w:val="6"/>
          <w:sz w:val="21"/>
          <w:szCs w:val="21"/>
          <w:highlight w:val="none"/>
        </w:rPr>
      </w:pPr>
      <w:r>
        <w:rPr>
          <w:rFonts w:hint="eastAsia" w:hAnsi="宋体" w:cs="宋体"/>
          <w:color w:val="auto"/>
          <w:spacing w:val="6"/>
          <w:sz w:val="21"/>
          <w:szCs w:val="21"/>
          <w:highlight w:val="none"/>
        </w:rPr>
        <w:t>本单位郑重声明，根据《财政部 民政部 中国残疾人联合会关于促进残疾人就业政府采购政策的通知》（财库</w:t>
      </w:r>
      <w:r>
        <w:rPr>
          <w:rFonts w:hint="eastAsia" w:hAnsi="宋体" w:cs="宋体"/>
          <w:color w:val="auto"/>
          <w:sz w:val="21"/>
          <w:szCs w:val="21"/>
          <w:highlight w:val="none"/>
        </w:rPr>
        <w:t>〔2017〕 141</w:t>
      </w:r>
      <w:r>
        <w:rPr>
          <w:rFonts w:hint="eastAsia" w:hAnsi="宋体" w:cs="宋体"/>
          <w:color w:val="auto"/>
          <w:spacing w:val="6"/>
          <w:sz w:val="21"/>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F125C51">
      <w:pPr>
        <w:shd w:val="clear" w:color="auto" w:fill="auto"/>
        <w:spacing w:line="588" w:lineRule="exact"/>
        <w:ind w:firstLine="444" w:firstLineChars="200"/>
        <w:rPr>
          <w:rFonts w:hAnsi="宋体" w:cs="宋体"/>
          <w:color w:val="auto"/>
          <w:spacing w:val="6"/>
          <w:sz w:val="21"/>
          <w:szCs w:val="21"/>
          <w:highlight w:val="none"/>
        </w:rPr>
      </w:pPr>
      <w:r>
        <w:rPr>
          <w:rFonts w:hint="eastAsia" w:hAnsi="宋体" w:cs="宋体"/>
          <w:color w:val="auto"/>
          <w:spacing w:val="6"/>
          <w:sz w:val="21"/>
          <w:szCs w:val="21"/>
          <w:highlight w:val="none"/>
        </w:rPr>
        <w:t>本单位对上述声明的真实性负责。如有虚假，将依法承担相应责任。</w:t>
      </w:r>
    </w:p>
    <w:p w14:paraId="413CC0BF">
      <w:pPr>
        <w:shd w:val="clear" w:color="auto" w:fill="auto"/>
        <w:spacing w:line="588" w:lineRule="exact"/>
        <w:rPr>
          <w:rFonts w:hAnsi="宋体" w:cs="宋体"/>
          <w:color w:val="auto"/>
          <w:spacing w:val="6"/>
          <w:sz w:val="21"/>
          <w:szCs w:val="21"/>
          <w:highlight w:val="none"/>
        </w:rPr>
      </w:pPr>
    </w:p>
    <w:p w14:paraId="3D8BADAE">
      <w:pPr>
        <w:shd w:val="clear" w:color="auto" w:fill="auto"/>
        <w:tabs>
          <w:tab w:val="left" w:pos="4860"/>
        </w:tabs>
        <w:spacing w:line="588" w:lineRule="exact"/>
        <w:ind w:right="1560" w:firstLine="444" w:firstLineChars="200"/>
        <w:jc w:val="center"/>
        <w:rPr>
          <w:rFonts w:hAnsi="宋体" w:cs="宋体"/>
          <w:color w:val="auto"/>
          <w:spacing w:val="6"/>
          <w:sz w:val="21"/>
          <w:szCs w:val="21"/>
          <w:highlight w:val="none"/>
        </w:rPr>
      </w:pPr>
      <w:r>
        <w:rPr>
          <w:rFonts w:hint="eastAsia" w:hAnsi="宋体" w:cs="宋体"/>
          <w:color w:val="auto"/>
          <w:spacing w:val="6"/>
          <w:sz w:val="21"/>
          <w:szCs w:val="21"/>
          <w:highlight w:val="none"/>
        </w:rPr>
        <w:t xml:space="preserve">               单位名称（盖章）：</w:t>
      </w:r>
    </w:p>
    <w:p w14:paraId="53CD3F62">
      <w:pPr>
        <w:shd w:val="clear" w:color="auto" w:fill="auto"/>
        <w:tabs>
          <w:tab w:val="left" w:pos="4860"/>
        </w:tabs>
        <w:spacing w:line="588" w:lineRule="exact"/>
        <w:ind w:right="1560" w:firstLine="444" w:firstLineChars="200"/>
        <w:jc w:val="center"/>
        <w:rPr>
          <w:rFonts w:hAnsi="宋体" w:cs="宋体"/>
          <w:color w:val="auto"/>
          <w:spacing w:val="6"/>
          <w:sz w:val="21"/>
          <w:szCs w:val="21"/>
          <w:highlight w:val="none"/>
        </w:rPr>
      </w:pPr>
      <w:r>
        <w:rPr>
          <w:rFonts w:hint="eastAsia" w:hAnsi="宋体" w:cs="宋体"/>
          <w:color w:val="auto"/>
          <w:spacing w:val="6"/>
          <w:sz w:val="21"/>
          <w:szCs w:val="21"/>
          <w:highlight w:val="none"/>
        </w:rPr>
        <w:t xml:space="preserve">       日    期：</w:t>
      </w:r>
    </w:p>
    <w:p w14:paraId="69C93769">
      <w:pPr>
        <w:shd w:val="clear" w:color="auto" w:fill="auto"/>
        <w:tabs>
          <w:tab w:val="left" w:pos="1620"/>
          <w:tab w:val="left" w:pos="1800"/>
        </w:tabs>
        <w:spacing w:line="440" w:lineRule="exact"/>
        <w:ind w:right="616" w:rightChars="257"/>
        <w:rPr>
          <w:rFonts w:hAnsi="宋体" w:cs="宋体"/>
          <w:color w:val="auto"/>
          <w:sz w:val="21"/>
          <w:szCs w:val="21"/>
          <w:highlight w:val="none"/>
        </w:rPr>
      </w:pPr>
    </w:p>
    <w:p w14:paraId="09690AE4">
      <w:pPr>
        <w:spacing w:before="231" w:line="219" w:lineRule="auto"/>
        <w:ind w:left="13"/>
        <w:rPr>
          <w:rFonts w:ascii="宋体" w:hAnsi="宋体" w:eastAsia="宋体" w:cs="宋体"/>
          <w:sz w:val="21"/>
          <w:szCs w:val="21"/>
        </w:rPr>
      </w:pPr>
      <w:r>
        <w:rPr>
          <w:rFonts w:ascii="宋体" w:hAnsi="宋体" w:eastAsia="宋体" w:cs="宋体"/>
          <w:b/>
          <w:bCs/>
          <w:spacing w:val="-3"/>
          <w:sz w:val="21"/>
          <w:szCs w:val="21"/>
        </w:rPr>
        <w:t>非残疾人福利性单位无需提供此函。</w:t>
      </w:r>
    </w:p>
    <w:p w14:paraId="65D63DF4">
      <w:pPr>
        <w:shd w:val="clear" w:color="auto" w:fill="auto"/>
        <w:rPr>
          <w:rFonts w:ascii="宋体" w:cs="宋体"/>
          <w:b/>
          <w:bCs/>
          <w:color w:val="auto"/>
          <w:spacing w:val="6"/>
          <w:sz w:val="21"/>
          <w:szCs w:val="21"/>
          <w:highlight w:val="none"/>
        </w:rPr>
      </w:pPr>
      <w:r>
        <w:rPr>
          <w:rFonts w:hint="eastAsia" w:hAnsi="宋体" w:cs="宋体"/>
          <w:b/>
          <w:color w:val="auto"/>
          <w:sz w:val="21"/>
          <w:szCs w:val="21"/>
          <w:highlight w:val="none"/>
        </w:rPr>
        <w:br w:type="page"/>
      </w:r>
      <w:r>
        <w:rPr>
          <w:rFonts w:hint="eastAsia" w:ascii="宋体" w:hAnsi="宋体" w:cs="宋体"/>
          <w:b/>
          <w:bCs/>
          <w:color w:val="auto"/>
          <w:spacing w:val="6"/>
          <w:kern w:val="0"/>
          <w:sz w:val="21"/>
          <w:szCs w:val="21"/>
          <w:highlight w:val="none"/>
        </w:rPr>
        <w:t>附件</w:t>
      </w:r>
      <w:r>
        <w:rPr>
          <w:rFonts w:hint="eastAsia" w:hAnsi="宋体" w:cs="宋体"/>
          <w:b/>
          <w:bCs/>
          <w:color w:val="auto"/>
          <w:spacing w:val="6"/>
          <w:kern w:val="0"/>
          <w:sz w:val="21"/>
          <w:szCs w:val="21"/>
          <w:highlight w:val="none"/>
          <w:lang w:val="en-US" w:eastAsia="zh-CN"/>
        </w:rPr>
        <w:t>2</w:t>
      </w:r>
      <w:r>
        <w:rPr>
          <w:rFonts w:hint="eastAsia" w:ascii="宋体" w:hAnsi="宋体" w:cs="宋体"/>
          <w:b/>
          <w:bCs/>
          <w:color w:val="auto"/>
          <w:spacing w:val="6"/>
          <w:sz w:val="21"/>
          <w:szCs w:val="21"/>
          <w:highlight w:val="none"/>
        </w:rPr>
        <w:t>（如有）</w:t>
      </w:r>
    </w:p>
    <w:p w14:paraId="6BE230FC">
      <w:pPr>
        <w:pStyle w:val="9"/>
        <w:shd w:val="clear" w:color="auto" w:fill="auto"/>
        <w:jc w:val="center"/>
        <w:rPr>
          <w:rFonts w:hAnsi="宋体" w:cs="宋体"/>
          <w:b/>
          <w:bCs/>
          <w:color w:val="auto"/>
          <w:sz w:val="21"/>
          <w:szCs w:val="21"/>
          <w:highlight w:val="none"/>
        </w:rPr>
      </w:pPr>
      <w:r>
        <w:rPr>
          <w:rFonts w:hint="eastAsia" w:hAnsi="宋体" w:cs="宋体"/>
          <w:b/>
          <w:bCs/>
          <w:color w:val="auto"/>
          <w:sz w:val="21"/>
          <w:szCs w:val="21"/>
          <w:highlight w:val="none"/>
        </w:rPr>
        <w:t>监狱企业证明文件</w:t>
      </w:r>
    </w:p>
    <w:p w14:paraId="0B71DDAC">
      <w:pPr>
        <w:shd w:val="clear" w:color="auto" w:fill="auto"/>
        <w:spacing w:line="500" w:lineRule="exact"/>
        <w:ind w:firstLine="420" w:firstLineChars="200"/>
        <w:jc w:val="left"/>
        <w:rPr>
          <w:rFonts w:hAnsi="宋体" w:cs="宋体"/>
          <w:color w:val="auto"/>
          <w:sz w:val="21"/>
          <w:szCs w:val="21"/>
          <w:highlight w:val="none"/>
        </w:rPr>
      </w:pPr>
      <w:r>
        <w:rPr>
          <w:rFonts w:hint="eastAsia" w:hAnsi="宋体" w:cs="宋体"/>
          <w:color w:val="auto"/>
          <w:sz w:val="21"/>
          <w:szCs w:val="21"/>
          <w:highlight w:val="none"/>
        </w:rPr>
        <w:t>根据财政部、司法部《关于政府采购支持监狱企业发展有关问题的通知》（财库〔</w:t>
      </w:r>
      <w:r>
        <w:rPr>
          <w:rFonts w:hAnsi="宋体" w:cs="宋体"/>
          <w:color w:val="auto"/>
          <w:sz w:val="21"/>
          <w:szCs w:val="21"/>
          <w:highlight w:val="none"/>
        </w:rPr>
        <w:t>2014</w:t>
      </w:r>
      <w:r>
        <w:rPr>
          <w:rFonts w:hint="eastAsia" w:hAnsi="宋体" w:cs="宋体"/>
          <w:color w:val="auto"/>
          <w:sz w:val="21"/>
          <w:szCs w:val="21"/>
          <w:highlight w:val="none"/>
        </w:rPr>
        <w:t>〕</w:t>
      </w:r>
      <w:r>
        <w:rPr>
          <w:rFonts w:hAnsi="宋体" w:cs="宋体"/>
          <w:color w:val="auto"/>
          <w:sz w:val="21"/>
          <w:szCs w:val="21"/>
          <w:highlight w:val="none"/>
        </w:rPr>
        <w:t>68</w:t>
      </w:r>
      <w:r>
        <w:rPr>
          <w:rFonts w:hint="eastAsia" w:hAnsi="宋体" w:cs="宋体"/>
          <w:color w:val="auto"/>
          <w:sz w:val="21"/>
          <w:szCs w:val="21"/>
          <w:highlight w:val="none"/>
        </w:rPr>
        <w:t>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2FA50F7">
      <w:pPr>
        <w:shd w:val="clear" w:color="auto" w:fill="auto"/>
        <w:spacing w:line="500" w:lineRule="exact"/>
        <w:ind w:firstLine="420" w:firstLineChars="200"/>
        <w:jc w:val="left"/>
        <w:rPr>
          <w:rFonts w:hAnsi="宋体" w:cs="宋体"/>
          <w:color w:val="auto"/>
          <w:sz w:val="21"/>
          <w:szCs w:val="21"/>
          <w:highlight w:val="none"/>
        </w:rPr>
      </w:pPr>
      <w:r>
        <w:rPr>
          <w:rFonts w:hint="eastAsia" w:hAnsi="宋体" w:cs="宋体"/>
          <w:color w:val="auto"/>
          <w:sz w:val="21"/>
          <w:szCs w:val="21"/>
          <w:highlight w:val="none"/>
        </w:rPr>
        <w:t>监狱企业参加政府采购活动时，应当提供由省级以上监狱管理局、戒毒管理局（含新疆生产建设兵团）出具的属于监狱企业的证明文件。</w:t>
      </w:r>
    </w:p>
    <w:p w14:paraId="088BE365">
      <w:pPr>
        <w:jc w:val="center"/>
        <w:outlineLvl w:val="9"/>
        <w:rPr>
          <w:rFonts w:hint="eastAsia" w:ascii="宋体" w:hAnsi="宋体" w:eastAsia="宋体" w:cs="宋体"/>
          <w:b/>
          <w:bCs/>
          <w:sz w:val="21"/>
          <w:szCs w:val="21"/>
          <w:lang w:eastAsia="zh-CN"/>
        </w:rPr>
      </w:pPr>
    </w:p>
    <w:p w14:paraId="31776B0D">
      <w:pPr>
        <w:jc w:val="center"/>
        <w:outlineLvl w:val="9"/>
        <w:rPr>
          <w:rFonts w:hint="eastAsia" w:ascii="宋体" w:hAnsi="宋体" w:eastAsia="宋体" w:cs="宋体"/>
          <w:b/>
          <w:bCs/>
          <w:sz w:val="21"/>
          <w:szCs w:val="21"/>
          <w:lang w:eastAsia="zh-CN"/>
        </w:rPr>
      </w:pPr>
    </w:p>
    <w:p w14:paraId="4BCD8D10">
      <w:pPr>
        <w:jc w:val="both"/>
        <w:outlineLvl w:val="9"/>
        <w:rPr>
          <w:rFonts w:ascii="宋体" w:hAnsi="宋体" w:eastAsia="宋体" w:cs="宋体"/>
          <w:b/>
          <w:bCs/>
          <w:spacing w:val="-3"/>
          <w:sz w:val="21"/>
          <w:szCs w:val="21"/>
        </w:rPr>
      </w:pPr>
    </w:p>
    <w:p w14:paraId="0E770636">
      <w:pPr>
        <w:spacing w:before="214" w:line="219" w:lineRule="auto"/>
        <w:rPr>
          <w:rFonts w:ascii="宋体" w:hAnsi="宋体" w:eastAsia="宋体" w:cs="宋体"/>
          <w:sz w:val="21"/>
          <w:szCs w:val="21"/>
        </w:rPr>
      </w:pPr>
      <w:r>
        <w:rPr>
          <w:rFonts w:ascii="宋体" w:hAnsi="宋体" w:eastAsia="宋体" w:cs="宋体"/>
          <w:b/>
          <w:bCs/>
          <w:spacing w:val="-3"/>
          <w:sz w:val="21"/>
          <w:szCs w:val="21"/>
        </w:rPr>
        <w:t>非监狱企业无需提供</w:t>
      </w:r>
      <w:r>
        <w:rPr>
          <w:rFonts w:ascii="宋体" w:hAnsi="宋体" w:eastAsia="宋体" w:cs="宋体"/>
          <w:spacing w:val="-3"/>
          <w:sz w:val="21"/>
          <w:szCs w:val="21"/>
        </w:rPr>
        <w:t>。</w:t>
      </w:r>
    </w:p>
    <w:p w14:paraId="5B3B48A6">
      <w:pPr>
        <w:jc w:val="both"/>
        <w:outlineLvl w:val="9"/>
        <w:rPr>
          <w:rFonts w:hint="eastAsia" w:ascii="宋体" w:hAnsi="宋体" w:eastAsia="宋体" w:cs="宋体"/>
          <w:b/>
          <w:bCs/>
          <w:spacing w:val="-3"/>
          <w:sz w:val="21"/>
          <w:szCs w:val="21"/>
          <w:lang w:eastAsia="zh-CN"/>
        </w:rPr>
        <w:sectPr>
          <w:pgSz w:w="11906" w:h="16838"/>
          <w:pgMar w:top="1440" w:right="1304" w:bottom="1440" w:left="1304" w:header="851" w:footer="992" w:gutter="0"/>
          <w:pgNumType w:fmt="decimal"/>
          <w:cols w:space="720" w:num="1"/>
          <w:docGrid w:type="linesAndChars" w:linePitch="312" w:charSpace="0"/>
        </w:sectPr>
      </w:pPr>
    </w:p>
    <w:p w14:paraId="1F5B11DB">
      <w:pPr>
        <w:tabs>
          <w:tab w:val="left" w:pos="2488"/>
        </w:tabs>
        <w:spacing w:line="360" w:lineRule="auto"/>
        <w:jc w:val="left"/>
        <w:outlineLvl w:val="9"/>
        <w:rPr>
          <w:rFonts w:hint="eastAsia" w:hAnsi="宋体" w:cs="宋体"/>
          <w:b/>
          <w:color w:val="auto"/>
          <w:sz w:val="21"/>
          <w:szCs w:val="21"/>
          <w:highlight w:val="none"/>
        </w:rPr>
      </w:pPr>
      <w:bookmarkStart w:id="271" w:name="_Toc14532"/>
      <w:bookmarkStart w:id="272" w:name="_Toc2119"/>
      <w:bookmarkStart w:id="273" w:name="_Toc22124"/>
      <w:bookmarkStart w:id="274" w:name="_Toc2139"/>
      <w:bookmarkStart w:id="275" w:name="_Toc11714"/>
      <w:r>
        <w:rPr>
          <w:rFonts w:hint="eastAsia" w:hAnsi="宋体" w:cs="宋体"/>
          <w:b/>
          <w:color w:val="auto"/>
          <w:sz w:val="21"/>
          <w:szCs w:val="21"/>
          <w:highlight w:val="none"/>
        </w:rPr>
        <w:t>附件</w:t>
      </w:r>
      <w:r>
        <w:rPr>
          <w:rFonts w:hint="eastAsia" w:hAnsi="宋体" w:cs="宋体"/>
          <w:b/>
          <w:color w:val="auto"/>
          <w:sz w:val="21"/>
          <w:szCs w:val="21"/>
          <w:highlight w:val="none"/>
          <w:lang w:val="en-US" w:eastAsia="zh-CN"/>
        </w:rPr>
        <w:t>3</w:t>
      </w:r>
      <w:r>
        <w:rPr>
          <w:rFonts w:hint="eastAsia" w:hAnsi="宋体" w:cs="宋体"/>
          <w:b/>
          <w:color w:val="auto"/>
          <w:sz w:val="21"/>
          <w:szCs w:val="21"/>
          <w:highlight w:val="none"/>
        </w:rPr>
        <w:t>：质疑函范本</w:t>
      </w:r>
      <w:bookmarkEnd w:id="271"/>
      <w:bookmarkEnd w:id="272"/>
      <w:bookmarkEnd w:id="273"/>
      <w:bookmarkEnd w:id="274"/>
      <w:bookmarkEnd w:id="275"/>
    </w:p>
    <w:p w14:paraId="202686C9">
      <w:pPr>
        <w:spacing w:line="360" w:lineRule="auto"/>
        <w:jc w:val="center"/>
        <w:rPr>
          <w:rFonts w:hAnsi="宋体" w:cs="宋体"/>
          <w:b/>
          <w:bCs/>
          <w:color w:val="auto"/>
          <w:sz w:val="21"/>
          <w:szCs w:val="21"/>
          <w:highlight w:val="none"/>
        </w:rPr>
      </w:pPr>
      <w:r>
        <w:rPr>
          <w:rFonts w:hint="eastAsia" w:hAnsi="宋体" w:cs="宋体"/>
          <w:b/>
          <w:bCs/>
          <w:color w:val="auto"/>
          <w:sz w:val="21"/>
          <w:szCs w:val="21"/>
          <w:highlight w:val="none"/>
        </w:rPr>
        <w:t>质疑函范本</w:t>
      </w:r>
    </w:p>
    <w:p w14:paraId="5DA1C586">
      <w:pPr>
        <w:adjustRightInd w:val="0"/>
        <w:snapToGrid w:val="0"/>
        <w:spacing w:before="312" w:beforeLines="100" w:line="360" w:lineRule="auto"/>
        <w:outlineLvl w:val="9"/>
        <w:rPr>
          <w:rFonts w:hAnsi="宋体" w:cs="宋体"/>
          <w:bCs/>
          <w:color w:val="auto"/>
          <w:sz w:val="21"/>
          <w:szCs w:val="21"/>
          <w:highlight w:val="none"/>
        </w:rPr>
      </w:pPr>
      <w:bookmarkStart w:id="276" w:name="_Toc29483"/>
      <w:r>
        <w:rPr>
          <w:rFonts w:hint="eastAsia" w:hAnsi="宋体" w:cs="宋体"/>
          <w:bCs/>
          <w:color w:val="auto"/>
          <w:sz w:val="21"/>
          <w:szCs w:val="21"/>
          <w:highlight w:val="none"/>
        </w:rPr>
        <w:t>一、质疑供应商基本信息</w:t>
      </w:r>
      <w:bookmarkEnd w:id="276"/>
    </w:p>
    <w:p w14:paraId="54B0192C">
      <w:pPr>
        <w:adjustRightInd w:val="0"/>
        <w:snapToGrid w:val="0"/>
        <w:spacing w:line="360" w:lineRule="auto"/>
        <w:rPr>
          <w:rFonts w:hAnsi="宋体" w:cs="宋体"/>
          <w:color w:val="auto"/>
          <w:sz w:val="21"/>
          <w:szCs w:val="21"/>
          <w:highlight w:val="none"/>
          <w:u w:val="dotted"/>
        </w:rPr>
      </w:pPr>
      <w:r>
        <w:rPr>
          <w:rFonts w:hint="eastAsia" w:hAnsi="宋体" w:cs="宋体"/>
          <w:color w:val="auto"/>
          <w:sz w:val="21"/>
          <w:szCs w:val="21"/>
          <w:highlight w:val="none"/>
        </w:rPr>
        <w:t>质疑供应商：</w:t>
      </w:r>
      <w:r>
        <w:rPr>
          <w:rFonts w:hint="eastAsia" w:hAnsi="宋体" w:cs="宋体"/>
          <w:color w:val="auto"/>
          <w:sz w:val="21"/>
          <w:szCs w:val="21"/>
          <w:highlight w:val="none"/>
          <w:u w:val="dotted"/>
        </w:rPr>
        <w:t xml:space="preserve">                                        </w:t>
      </w:r>
    </w:p>
    <w:p w14:paraId="362E3AA1">
      <w:pPr>
        <w:adjustRightInd w:val="0"/>
        <w:snapToGrid w:val="0"/>
        <w:spacing w:line="360" w:lineRule="auto"/>
        <w:rPr>
          <w:rFonts w:hAnsi="宋体" w:cs="宋体"/>
          <w:color w:val="auto"/>
          <w:sz w:val="21"/>
          <w:szCs w:val="21"/>
          <w:highlight w:val="none"/>
        </w:rPr>
      </w:pPr>
      <w:r>
        <w:rPr>
          <w:rFonts w:hint="eastAsia" w:hAnsi="宋体" w:cs="宋体"/>
          <w:color w:val="auto"/>
          <w:sz w:val="21"/>
          <w:szCs w:val="21"/>
          <w:highlight w:val="none"/>
        </w:rPr>
        <w:t>地址：</w:t>
      </w:r>
      <w:r>
        <w:rPr>
          <w:rFonts w:hint="eastAsia" w:hAnsi="宋体" w:cs="宋体"/>
          <w:color w:val="auto"/>
          <w:sz w:val="21"/>
          <w:szCs w:val="21"/>
          <w:highlight w:val="none"/>
          <w:u w:val="dotted"/>
        </w:rPr>
        <w:t xml:space="preserve">                          </w:t>
      </w:r>
      <w:r>
        <w:rPr>
          <w:rFonts w:hint="eastAsia" w:hAnsi="宋体" w:cs="宋体"/>
          <w:color w:val="auto"/>
          <w:sz w:val="21"/>
          <w:szCs w:val="21"/>
          <w:highlight w:val="none"/>
        </w:rPr>
        <w:t>邮编：</w:t>
      </w:r>
      <w:r>
        <w:rPr>
          <w:rFonts w:hint="eastAsia" w:hAnsi="宋体" w:cs="宋体"/>
          <w:color w:val="auto"/>
          <w:sz w:val="21"/>
          <w:szCs w:val="21"/>
          <w:highlight w:val="none"/>
          <w:u w:val="dotted"/>
        </w:rPr>
        <w:t xml:space="preserve">                                                   </w:t>
      </w:r>
    </w:p>
    <w:p w14:paraId="6803524C">
      <w:pPr>
        <w:adjustRightInd w:val="0"/>
        <w:snapToGrid w:val="0"/>
        <w:spacing w:line="360" w:lineRule="auto"/>
        <w:rPr>
          <w:rFonts w:hAnsi="宋体" w:cs="宋体"/>
          <w:color w:val="auto"/>
          <w:sz w:val="21"/>
          <w:szCs w:val="21"/>
          <w:highlight w:val="none"/>
        </w:rPr>
      </w:pPr>
      <w:r>
        <w:rPr>
          <w:rFonts w:hint="eastAsia" w:hAnsi="宋体" w:cs="宋体"/>
          <w:color w:val="auto"/>
          <w:sz w:val="21"/>
          <w:szCs w:val="21"/>
          <w:highlight w:val="none"/>
        </w:rPr>
        <w:t>联系人：</w:t>
      </w:r>
      <w:r>
        <w:rPr>
          <w:rFonts w:hint="eastAsia" w:hAnsi="宋体" w:cs="宋体"/>
          <w:color w:val="auto"/>
          <w:sz w:val="21"/>
          <w:szCs w:val="21"/>
          <w:highlight w:val="none"/>
          <w:u w:val="dotted"/>
        </w:rPr>
        <w:t xml:space="preserve">                      </w:t>
      </w:r>
      <w:r>
        <w:rPr>
          <w:rFonts w:hint="eastAsia" w:hAnsi="宋体" w:cs="宋体"/>
          <w:color w:val="auto"/>
          <w:sz w:val="21"/>
          <w:szCs w:val="21"/>
          <w:highlight w:val="none"/>
        </w:rPr>
        <w:t>联系电话：</w:t>
      </w:r>
      <w:r>
        <w:rPr>
          <w:rFonts w:hint="eastAsia" w:hAnsi="宋体" w:cs="宋体"/>
          <w:color w:val="auto"/>
          <w:sz w:val="21"/>
          <w:szCs w:val="21"/>
          <w:highlight w:val="none"/>
          <w:u w:val="dotted"/>
        </w:rPr>
        <w:t xml:space="preserve">                              </w:t>
      </w:r>
    </w:p>
    <w:p w14:paraId="6CEB5228">
      <w:pPr>
        <w:adjustRightInd w:val="0"/>
        <w:snapToGrid w:val="0"/>
        <w:spacing w:line="360" w:lineRule="auto"/>
        <w:rPr>
          <w:rFonts w:hAnsi="宋体" w:cs="宋体"/>
          <w:color w:val="auto"/>
          <w:sz w:val="21"/>
          <w:szCs w:val="21"/>
          <w:highlight w:val="none"/>
          <w:u w:val="dotted"/>
        </w:rPr>
      </w:pPr>
      <w:r>
        <w:rPr>
          <w:rFonts w:hint="eastAsia" w:hAnsi="宋体" w:cs="宋体"/>
          <w:color w:val="auto"/>
          <w:sz w:val="21"/>
          <w:szCs w:val="21"/>
          <w:highlight w:val="none"/>
        </w:rPr>
        <w:t>授权代表：</w:t>
      </w:r>
      <w:r>
        <w:rPr>
          <w:rFonts w:hint="eastAsia" w:hAnsi="宋体" w:cs="宋体"/>
          <w:color w:val="auto"/>
          <w:sz w:val="21"/>
          <w:szCs w:val="21"/>
          <w:highlight w:val="none"/>
          <w:u w:val="dotted"/>
        </w:rPr>
        <w:t xml:space="preserve">                                          </w:t>
      </w:r>
    </w:p>
    <w:p w14:paraId="4671F00B">
      <w:pPr>
        <w:adjustRightInd w:val="0"/>
        <w:snapToGrid w:val="0"/>
        <w:spacing w:line="360" w:lineRule="auto"/>
        <w:rPr>
          <w:rFonts w:hAnsi="宋体" w:cs="宋体"/>
          <w:color w:val="auto"/>
          <w:sz w:val="21"/>
          <w:szCs w:val="21"/>
          <w:highlight w:val="none"/>
        </w:rPr>
      </w:pPr>
      <w:r>
        <w:rPr>
          <w:rFonts w:hint="eastAsia" w:hAnsi="宋体" w:cs="宋体"/>
          <w:color w:val="auto"/>
          <w:sz w:val="21"/>
          <w:szCs w:val="21"/>
          <w:highlight w:val="none"/>
        </w:rPr>
        <w:t>联系电话：</w:t>
      </w:r>
      <w:r>
        <w:rPr>
          <w:rFonts w:hint="eastAsia" w:hAnsi="宋体" w:cs="宋体"/>
          <w:color w:val="auto"/>
          <w:sz w:val="21"/>
          <w:szCs w:val="21"/>
          <w:highlight w:val="none"/>
          <w:u w:val="dotted"/>
        </w:rPr>
        <w:t xml:space="preserve">                                           </w:t>
      </w:r>
      <w:r>
        <w:rPr>
          <w:rFonts w:hint="eastAsia" w:hAnsi="宋体" w:cs="宋体"/>
          <w:color w:val="auto"/>
          <w:sz w:val="21"/>
          <w:szCs w:val="21"/>
          <w:highlight w:val="none"/>
        </w:rPr>
        <w:t xml:space="preserve"> </w:t>
      </w:r>
    </w:p>
    <w:p w14:paraId="3E2797C0">
      <w:pPr>
        <w:adjustRightInd w:val="0"/>
        <w:snapToGrid w:val="0"/>
        <w:spacing w:line="360" w:lineRule="auto"/>
        <w:rPr>
          <w:rFonts w:hAnsi="宋体" w:cs="宋体"/>
          <w:color w:val="auto"/>
          <w:sz w:val="21"/>
          <w:szCs w:val="21"/>
          <w:highlight w:val="none"/>
        </w:rPr>
      </w:pPr>
      <w:r>
        <w:rPr>
          <w:rFonts w:hint="eastAsia" w:hAnsi="宋体" w:cs="宋体"/>
          <w:color w:val="auto"/>
          <w:sz w:val="21"/>
          <w:szCs w:val="21"/>
          <w:highlight w:val="none"/>
        </w:rPr>
        <w:t xml:space="preserve">地址： </w:t>
      </w:r>
      <w:r>
        <w:rPr>
          <w:rFonts w:hint="eastAsia" w:hAnsi="宋体" w:cs="宋体"/>
          <w:color w:val="auto"/>
          <w:sz w:val="21"/>
          <w:szCs w:val="21"/>
          <w:highlight w:val="none"/>
          <w:u w:val="dotted"/>
        </w:rPr>
        <w:t xml:space="preserve">                        </w:t>
      </w:r>
      <w:r>
        <w:rPr>
          <w:rFonts w:hint="eastAsia" w:hAnsi="宋体" w:cs="宋体"/>
          <w:color w:val="auto"/>
          <w:sz w:val="21"/>
          <w:szCs w:val="21"/>
          <w:highlight w:val="none"/>
        </w:rPr>
        <w:t>邮编：</w:t>
      </w:r>
      <w:r>
        <w:rPr>
          <w:rFonts w:hint="eastAsia" w:hAnsi="宋体" w:cs="宋体"/>
          <w:color w:val="auto"/>
          <w:sz w:val="21"/>
          <w:szCs w:val="21"/>
          <w:highlight w:val="none"/>
          <w:u w:val="dotted"/>
        </w:rPr>
        <w:t xml:space="preserve">                                                </w:t>
      </w:r>
    </w:p>
    <w:p w14:paraId="54A90B1D">
      <w:pPr>
        <w:adjustRightInd w:val="0"/>
        <w:snapToGrid w:val="0"/>
        <w:spacing w:line="360" w:lineRule="auto"/>
        <w:outlineLvl w:val="9"/>
        <w:rPr>
          <w:rFonts w:hAnsi="宋体" w:cs="宋体"/>
          <w:bCs/>
          <w:color w:val="auto"/>
          <w:sz w:val="21"/>
          <w:szCs w:val="21"/>
          <w:highlight w:val="none"/>
        </w:rPr>
      </w:pPr>
      <w:bookmarkStart w:id="277" w:name="_Toc13630"/>
      <w:r>
        <w:rPr>
          <w:rFonts w:hint="eastAsia" w:hAnsi="宋体" w:cs="宋体"/>
          <w:bCs/>
          <w:color w:val="auto"/>
          <w:sz w:val="21"/>
          <w:szCs w:val="21"/>
          <w:highlight w:val="none"/>
        </w:rPr>
        <w:t>二、质疑项目基本情况</w:t>
      </w:r>
      <w:bookmarkEnd w:id="277"/>
    </w:p>
    <w:p w14:paraId="2DF224A6">
      <w:pPr>
        <w:adjustRightInd w:val="0"/>
        <w:snapToGrid w:val="0"/>
        <w:spacing w:line="360" w:lineRule="auto"/>
        <w:rPr>
          <w:rFonts w:hAnsi="宋体" w:cs="宋体"/>
          <w:color w:val="auto"/>
          <w:sz w:val="21"/>
          <w:szCs w:val="21"/>
          <w:highlight w:val="none"/>
        </w:rPr>
      </w:pPr>
      <w:r>
        <w:rPr>
          <w:rFonts w:hint="eastAsia" w:hAnsi="宋体" w:cs="宋体"/>
          <w:color w:val="auto"/>
          <w:sz w:val="21"/>
          <w:szCs w:val="21"/>
          <w:highlight w:val="none"/>
        </w:rPr>
        <w:t>质疑项目的名称：</w:t>
      </w:r>
      <w:r>
        <w:rPr>
          <w:rFonts w:hint="eastAsia" w:hAnsi="宋体" w:cs="宋体"/>
          <w:color w:val="auto"/>
          <w:sz w:val="21"/>
          <w:szCs w:val="21"/>
          <w:highlight w:val="none"/>
          <w:u w:val="dotted"/>
        </w:rPr>
        <w:t xml:space="preserve">                                      </w:t>
      </w:r>
    </w:p>
    <w:p w14:paraId="00359012">
      <w:pPr>
        <w:adjustRightInd w:val="0"/>
        <w:snapToGrid w:val="0"/>
        <w:spacing w:line="360" w:lineRule="auto"/>
        <w:rPr>
          <w:rFonts w:hAnsi="宋体" w:cs="宋体"/>
          <w:color w:val="auto"/>
          <w:sz w:val="21"/>
          <w:szCs w:val="21"/>
          <w:highlight w:val="none"/>
        </w:rPr>
      </w:pPr>
      <w:r>
        <w:rPr>
          <w:rFonts w:hint="eastAsia" w:hAnsi="宋体" w:cs="宋体"/>
          <w:color w:val="auto"/>
          <w:sz w:val="21"/>
          <w:szCs w:val="21"/>
          <w:highlight w:val="none"/>
        </w:rPr>
        <w:t>质疑项目的编号：</w:t>
      </w:r>
      <w:r>
        <w:rPr>
          <w:rFonts w:hint="eastAsia" w:hAnsi="宋体" w:cs="宋体"/>
          <w:color w:val="auto"/>
          <w:sz w:val="21"/>
          <w:szCs w:val="21"/>
          <w:highlight w:val="none"/>
          <w:u w:val="dotted"/>
        </w:rPr>
        <w:t xml:space="preserve">               </w:t>
      </w:r>
      <w:r>
        <w:rPr>
          <w:rFonts w:hint="eastAsia" w:hAnsi="宋体" w:cs="宋体"/>
          <w:color w:val="auto"/>
          <w:sz w:val="21"/>
          <w:szCs w:val="21"/>
          <w:highlight w:val="none"/>
        </w:rPr>
        <w:t>包号：</w:t>
      </w:r>
      <w:r>
        <w:rPr>
          <w:rFonts w:hint="eastAsia" w:hAnsi="宋体" w:cs="宋体"/>
          <w:color w:val="auto"/>
          <w:sz w:val="21"/>
          <w:szCs w:val="21"/>
          <w:highlight w:val="none"/>
          <w:u w:val="dotted"/>
        </w:rPr>
        <w:t xml:space="preserve">                 </w:t>
      </w:r>
    </w:p>
    <w:p w14:paraId="0DF86D81">
      <w:pPr>
        <w:adjustRightInd w:val="0"/>
        <w:snapToGrid w:val="0"/>
        <w:spacing w:line="360" w:lineRule="auto"/>
        <w:rPr>
          <w:rFonts w:hAnsi="宋体" w:cs="宋体"/>
          <w:color w:val="auto"/>
          <w:sz w:val="21"/>
          <w:szCs w:val="21"/>
          <w:highlight w:val="none"/>
          <w:u w:val="dotted"/>
        </w:rPr>
      </w:pPr>
      <w:r>
        <w:rPr>
          <w:rFonts w:hint="eastAsia" w:hAnsi="宋体" w:cs="宋体"/>
          <w:color w:val="auto"/>
          <w:sz w:val="21"/>
          <w:szCs w:val="21"/>
          <w:highlight w:val="none"/>
        </w:rPr>
        <w:t>采购人名称：</w:t>
      </w:r>
      <w:r>
        <w:rPr>
          <w:rFonts w:hint="eastAsia" w:hAnsi="宋体" w:cs="宋体"/>
          <w:color w:val="auto"/>
          <w:sz w:val="21"/>
          <w:szCs w:val="21"/>
          <w:highlight w:val="none"/>
          <w:u w:val="dotted"/>
        </w:rPr>
        <w:t xml:space="preserve">                                         </w:t>
      </w:r>
    </w:p>
    <w:p w14:paraId="095B6B99">
      <w:pPr>
        <w:adjustRightInd w:val="0"/>
        <w:snapToGrid w:val="0"/>
        <w:spacing w:line="360" w:lineRule="auto"/>
        <w:rPr>
          <w:rFonts w:hAnsi="宋体" w:cs="宋体"/>
          <w:color w:val="auto"/>
          <w:sz w:val="21"/>
          <w:szCs w:val="21"/>
          <w:highlight w:val="none"/>
        </w:rPr>
      </w:pPr>
      <w:r>
        <w:rPr>
          <w:rFonts w:hint="eastAsia" w:hAnsi="宋体" w:cs="宋体"/>
          <w:color w:val="auto"/>
          <w:sz w:val="21"/>
          <w:szCs w:val="21"/>
          <w:highlight w:val="none"/>
        </w:rPr>
        <w:t>采购文件获取日期：</w:t>
      </w:r>
      <w:r>
        <w:rPr>
          <w:rFonts w:hint="eastAsia" w:hAnsi="宋体" w:cs="宋体"/>
          <w:color w:val="auto"/>
          <w:sz w:val="21"/>
          <w:szCs w:val="21"/>
          <w:highlight w:val="none"/>
          <w:u w:val="dotted"/>
        </w:rPr>
        <w:t xml:space="preserve">                                           </w:t>
      </w:r>
    </w:p>
    <w:p w14:paraId="19C5CACD">
      <w:pPr>
        <w:adjustRightInd w:val="0"/>
        <w:snapToGrid w:val="0"/>
        <w:spacing w:line="360" w:lineRule="auto"/>
        <w:outlineLvl w:val="9"/>
        <w:rPr>
          <w:rFonts w:hAnsi="宋体" w:cs="宋体"/>
          <w:bCs/>
          <w:color w:val="auto"/>
          <w:sz w:val="21"/>
          <w:szCs w:val="21"/>
          <w:highlight w:val="none"/>
        </w:rPr>
      </w:pPr>
      <w:bookmarkStart w:id="278" w:name="_Toc25824"/>
      <w:r>
        <w:rPr>
          <w:rFonts w:hint="eastAsia" w:hAnsi="宋体" w:cs="宋体"/>
          <w:bCs/>
          <w:color w:val="auto"/>
          <w:sz w:val="21"/>
          <w:szCs w:val="21"/>
          <w:highlight w:val="none"/>
        </w:rPr>
        <w:t>三、质疑事项具体内容</w:t>
      </w:r>
      <w:bookmarkEnd w:id="278"/>
    </w:p>
    <w:p w14:paraId="7030BAF0">
      <w:pPr>
        <w:adjustRightInd w:val="0"/>
        <w:snapToGrid w:val="0"/>
        <w:spacing w:line="360" w:lineRule="auto"/>
        <w:rPr>
          <w:rFonts w:hAnsi="宋体" w:cs="宋体"/>
          <w:color w:val="auto"/>
          <w:sz w:val="21"/>
          <w:szCs w:val="21"/>
          <w:highlight w:val="none"/>
          <w:u w:val="dotted"/>
        </w:rPr>
      </w:pPr>
      <w:r>
        <w:rPr>
          <w:rFonts w:hint="eastAsia" w:hAnsi="宋体" w:cs="宋体"/>
          <w:color w:val="auto"/>
          <w:sz w:val="21"/>
          <w:szCs w:val="21"/>
          <w:highlight w:val="none"/>
        </w:rPr>
        <w:t>质疑事项1：</w:t>
      </w:r>
      <w:r>
        <w:rPr>
          <w:rFonts w:hint="eastAsia" w:hAnsi="宋体" w:cs="宋体"/>
          <w:color w:val="auto"/>
          <w:sz w:val="21"/>
          <w:szCs w:val="21"/>
          <w:highlight w:val="none"/>
          <w:u w:val="dotted"/>
        </w:rPr>
        <w:t xml:space="preserve">                                         </w:t>
      </w:r>
    </w:p>
    <w:p w14:paraId="0F6EA41A">
      <w:pPr>
        <w:adjustRightInd w:val="0"/>
        <w:snapToGrid w:val="0"/>
        <w:spacing w:line="360" w:lineRule="auto"/>
        <w:rPr>
          <w:rFonts w:hAnsi="宋体" w:cs="宋体"/>
          <w:color w:val="auto"/>
          <w:sz w:val="21"/>
          <w:szCs w:val="21"/>
          <w:highlight w:val="none"/>
          <w:u w:val="dotted"/>
        </w:rPr>
      </w:pPr>
      <w:r>
        <w:rPr>
          <w:rFonts w:hint="eastAsia" w:hAnsi="宋体" w:cs="宋体"/>
          <w:color w:val="auto"/>
          <w:sz w:val="21"/>
          <w:szCs w:val="21"/>
          <w:highlight w:val="none"/>
        </w:rPr>
        <w:t>事实依据：</w:t>
      </w:r>
      <w:r>
        <w:rPr>
          <w:rFonts w:hint="eastAsia" w:hAnsi="宋体" w:cs="宋体"/>
          <w:color w:val="auto"/>
          <w:sz w:val="21"/>
          <w:szCs w:val="21"/>
          <w:highlight w:val="none"/>
          <w:u w:val="dotted"/>
        </w:rPr>
        <w:t xml:space="preserve">                                          </w:t>
      </w:r>
    </w:p>
    <w:p w14:paraId="126DBF2F">
      <w:pPr>
        <w:adjustRightInd w:val="0"/>
        <w:snapToGrid w:val="0"/>
        <w:spacing w:line="360" w:lineRule="auto"/>
        <w:rPr>
          <w:rFonts w:hAnsi="宋体" w:cs="宋体"/>
          <w:color w:val="auto"/>
          <w:sz w:val="21"/>
          <w:szCs w:val="21"/>
          <w:highlight w:val="none"/>
        </w:rPr>
      </w:pPr>
      <w:r>
        <w:rPr>
          <w:rFonts w:hint="eastAsia" w:hAnsi="宋体" w:cs="宋体"/>
          <w:color w:val="auto"/>
          <w:sz w:val="21"/>
          <w:szCs w:val="21"/>
          <w:highlight w:val="none"/>
          <w:u w:val="dotted"/>
        </w:rPr>
        <w:t xml:space="preserve">                                                       </w:t>
      </w:r>
    </w:p>
    <w:p w14:paraId="092A7018">
      <w:pPr>
        <w:adjustRightInd w:val="0"/>
        <w:snapToGrid w:val="0"/>
        <w:spacing w:line="360" w:lineRule="auto"/>
        <w:rPr>
          <w:rFonts w:hAnsi="宋体" w:cs="宋体"/>
          <w:color w:val="auto"/>
          <w:sz w:val="21"/>
          <w:szCs w:val="21"/>
          <w:highlight w:val="none"/>
          <w:u w:val="dotted"/>
        </w:rPr>
      </w:pPr>
      <w:r>
        <w:rPr>
          <w:rFonts w:hint="eastAsia" w:hAnsi="宋体" w:cs="宋体"/>
          <w:color w:val="auto"/>
          <w:sz w:val="21"/>
          <w:szCs w:val="21"/>
          <w:highlight w:val="none"/>
        </w:rPr>
        <w:t>法律依据：</w:t>
      </w:r>
      <w:r>
        <w:rPr>
          <w:rFonts w:hint="eastAsia" w:hAnsi="宋体" w:cs="宋体"/>
          <w:color w:val="auto"/>
          <w:sz w:val="21"/>
          <w:szCs w:val="21"/>
          <w:highlight w:val="none"/>
          <w:u w:val="dotted"/>
        </w:rPr>
        <w:t xml:space="preserve">                                          </w:t>
      </w:r>
    </w:p>
    <w:p w14:paraId="33155F3F">
      <w:pPr>
        <w:adjustRightInd w:val="0"/>
        <w:snapToGrid w:val="0"/>
        <w:spacing w:line="360" w:lineRule="auto"/>
        <w:rPr>
          <w:rFonts w:hAnsi="宋体" w:cs="宋体"/>
          <w:color w:val="auto"/>
          <w:sz w:val="21"/>
          <w:szCs w:val="21"/>
          <w:highlight w:val="none"/>
          <w:u w:val="dotted"/>
        </w:rPr>
      </w:pPr>
      <w:r>
        <w:rPr>
          <w:rFonts w:hint="eastAsia" w:hAnsi="宋体" w:cs="宋体"/>
          <w:color w:val="auto"/>
          <w:sz w:val="21"/>
          <w:szCs w:val="21"/>
          <w:highlight w:val="none"/>
          <w:u w:val="dotted"/>
        </w:rPr>
        <w:t xml:space="preserve">                                                     </w:t>
      </w:r>
    </w:p>
    <w:p w14:paraId="256B23EB">
      <w:pPr>
        <w:adjustRightInd w:val="0"/>
        <w:snapToGrid w:val="0"/>
        <w:spacing w:line="360" w:lineRule="auto"/>
        <w:rPr>
          <w:rFonts w:hAnsi="宋体" w:cs="宋体"/>
          <w:color w:val="auto"/>
          <w:sz w:val="21"/>
          <w:szCs w:val="21"/>
          <w:highlight w:val="none"/>
          <w:u w:val="dotted"/>
        </w:rPr>
      </w:pPr>
      <w:r>
        <w:rPr>
          <w:rFonts w:hint="eastAsia" w:hAnsi="宋体" w:cs="宋体"/>
          <w:color w:val="auto"/>
          <w:sz w:val="21"/>
          <w:szCs w:val="21"/>
          <w:highlight w:val="none"/>
        </w:rPr>
        <w:t>质疑事项2</w:t>
      </w:r>
    </w:p>
    <w:p w14:paraId="3861BE42">
      <w:pPr>
        <w:adjustRightInd w:val="0"/>
        <w:snapToGrid w:val="0"/>
        <w:spacing w:line="360" w:lineRule="auto"/>
        <w:rPr>
          <w:rFonts w:hAnsi="宋体" w:cs="宋体"/>
          <w:color w:val="auto"/>
          <w:sz w:val="21"/>
          <w:szCs w:val="21"/>
          <w:highlight w:val="none"/>
        </w:rPr>
      </w:pPr>
      <w:r>
        <w:rPr>
          <w:rFonts w:hint="eastAsia" w:hAnsi="宋体" w:cs="宋体"/>
          <w:color w:val="auto"/>
          <w:sz w:val="21"/>
          <w:szCs w:val="21"/>
          <w:highlight w:val="none"/>
        </w:rPr>
        <w:t>……</w:t>
      </w:r>
    </w:p>
    <w:p w14:paraId="2F1AF732">
      <w:pPr>
        <w:adjustRightInd w:val="0"/>
        <w:snapToGrid w:val="0"/>
        <w:spacing w:line="360" w:lineRule="auto"/>
        <w:outlineLvl w:val="9"/>
        <w:rPr>
          <w:rFonts w:hAnsi="宋体" w:cs="宋体"/>
          <w:bCs/>
          <w:color w:val="auto"/>
          <w:sz w:val="21"/>
          <w:szCs w:val="21"/>
          <w:highlight w:val="none"/>
        </w:rPr>
      </w:pPr>
      <w:bookmarkStart w:id="279" w:name="_Toc22359"/>
      <w:r>
        <w:rPr>
          <w:rFonts w:hint="eastAsia" w:hAnsi="宋体" w:cs="宋体"/>
          <w:bCs/>
          <w:color w:val="auto"/>
          <w:sz w:val="21"/>
          <w:szCs w:val="21"/>
          <w:highlight w:val="none"/>
        </w:rPr>
        <w:t>四、与质疑事项相关的质疑请求</w:t>
      </w:r>
      <w:bookmarkEnd w:id="279"/>
    </w:p>
    <w:p w14:paraId="7D189E37">
      <w:pPr>
        <w:adjustRightInd w:val="0"/>
        <w:snapToGrid w:val="0"/>
        <w:spacing w:line="360" w:lineRule="auto"/>
        <w:rPr>
          <w:rFonts w:hAnsi="宋体" w:cs="宋体"/>
          <w:color w:val="auto"/>
          <w:sz w:val="21"/>
          <w:szCs w:val="21"/>
          <w:highlight w:val="none"/>
          <w:u w:val="dotted"/>
        </w:rPr>
      </w:pPr>
      <w:r>
        <w:rPr>
          <w:rFonts w:hint="eastAsia" w:hAnsi="宋体" w:cs="宋体"/>
          <w:color w:val="auto"/>
          <w:sz w:val="21"/>
          <w:szCs w:val="21"/>
          <w:highlight w:val="none"/>
        </w:rPr>
        <w:t>请求：</w:t>
      </w:r>
      <w:r>
        <w:rPr>
          <w:rFonts w:hint="eastAsia" w:hAnsi="宋体" w:cs="宋体"/>
          <w:color w:val="auto"/>
          <w:sz w:val="21"/>
          <w:szCs w:val="21"/>
          <w:highlight w:val="none"/>
          <w:u w:val="dotted"/>
        </w:rPr>
        <w:t xml:space="preserve">                                               </w:t>
      </w:r>
    </w:p>
    <w:p w14:paraId="284DB053">
      <w:pPr>
        <w:spacing w:line="360" w:lineRule="auto"/>
        <w:rPr>
          <w:rFonts w:hAnsi="宋体" w:cs="宋体"/>
          <w:color w:val="auto"/>
          <w:sz w:val="21"/>
          <w:szCs w:val="21"/>
          <w:highlight w:val="none"/>
        </w:rPr>
      </w:pPr>
      <w:r>
        <w:rPr>
          <w:rFonts w:hint="eastAsia" w:hAnsi="宋体" w:cs="宋体"/>
          <w:color w:val="auto"/>
          <w:sz w:val="21"/>
          <w:szCs w:val="21"/>
          <w:highlight w:val="none"/>
        </w:rPr>
        <w:t xml:space="preserve">签字(签章)：                   公章：                      </w:t>
      </w:r>
    </w:p>
    <w:p w14:paraId="5C7DA3AF">
      <w:pPr>
        <w:spacing w:line="360" w:lineRule="auto"/>
        <w:rPr>
          <w:rFonts w:hAnsi="宋体" w:cs="宋体"/>
          <w:color w:val="auto"/>
          <w:sz w:val="21"/>
          <w:szCs w:val="21"/>
          <w:highlight w:val="none"/>
        </w:rPr>
      </w:pPr>
      <w:r>
        <w:rPr>
          <w:rFonts w:hint="eastAsia" w:hAnsi="宋体" w:cs="宋体"/>
          <w:color w:val="auto"/>
          <w:sz w:val="21"/>
          <w:szCs w:val="21"/>
          <w:highlight w:val="none"/>
        </w:rPr>
        <w:t xml:space="preserve">日期：    </w:t>
      </w:r>
    </w:p>
    <w:p w14:paraId="676A62C8">
      <w:pPr>
        <w:spacing w:line="360" w:lineRule="auto"/>
        <w:jc w:val="center"/>
        <w:rPr>
          <w:rFonts w:hAnsi="宋体" w:cs="宋体"/>
          <w:b/>
          <w:color w:val="auto"/>
          <w:sz w:val="21"/>
          <w:szCs w:val="21"/>
          <w:highlight w:val="none"/>
        </w:rPr>
      </w:pPr>
    </w:p>
    <w:p w14:paraId="69A024FC">
      <w:pPr>
        <w:spacing w:line="360" w:lineRule="auto"/>
        <w:jc w:val="center"/>
        <w:rPr>
          <w:rFonts w:hAnsi="宋体" w:cs="宋体"/>
          <w:b/>
          <w:color w:val="auto"/>
          <w:sz w:val="21"/>
          <w:szCs w:val="21"/>
          <w:highlight w:val="none"/>
        </w:rPr>
      </w:pPr>
    </w:p>
    <w:p w14:paraId="352657BD">
      <w:pPr>
        <w:spacing w:line="360" w:lineRule="auto"/>
        <w:rPr>
          <w:rFonts w:hAnsi="宋体" w:cs="宋体"/>
          <w:b/>
          <w:color w:val="auto"/>
          <w:sz w:val="21"/>
          <w:szCs w:val="21"/>
          <w:highlight w:val="none"/>
        </w:rPr>
      </w:pPr>
    </w:p>
    <w:p w14:paraId="3C4F85A1">
      <w:pPr>
        <w:rPr>
          <w:rFonts w:hint="eastAsia" w:hAnsi="宋体" w:cs="宋体"/>
          <w:b/>
          <w:color w:val="auto"/>
          <w:sz w:val="21"/>
          <w:szCs w:val="21"/>
          <w:highlight w:val="none"/>
        </w:rPr>
      </w:pPr>
      <w:bookmarkStart w:id="280" w:name="_Toc4878"/>
      <w:r>
        <w:rPr>
          <w:rFonts w:hint="eastAsia" w:hAnsi="宋体" w:cs="宋体"/>
          <w:b/>
          <w:color w:val="auto"/>
          <w:sz w:val="21"/>
          <w:szCs w:val="21"/>
          <w:highlight w:val="none"/>
        </w:rPr>
        <w:br w:type="page"/>
      </w:r>
    </w:p>
    <w:p w14:paraId="0B3F4DF6">
      <w:pPr>
        <w:spacing w:line="360" w:lineRule="auto"/>
        <w:jc w:val="center"/>
        <w:outlineLvl w:val="9"/>
        <w:rPr>
          <w:rFonts w:hAnsi="宋体" w:cs="宋体"/>
          <w:b/>
          <w:color w:val="auto"/>
          <w:sz w:val="21"/>
          <w:szCs w:val="21"/>
          <w:highlight w:val="none"/>
        </w:rPr>
      </w:pPr>
      <w:r>
        <w:rPr>
          <w:rFonts w:hint="eastAsia" w:hAnsi="宋体" w:cs="宋体"/>
          <w:b/>
          <w:color w:val="auto"/>
          <w:sz w:val="21"/>
          <w:szCs w:val="21"/>
          <w:highlight w:val="none"/>
        </w:rPr>
        <w:t>投诉书范本</w:t>
      </w:r>
      <w:bookmarkEnd w:id="280"/>
    </w:p>
    <w:p w14:paraId="755E5587">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9"/>
        <w:rPr>
          <w:rFonts w:hAnsi="宋体" w:cs="宋体"/>
          <w:color w:val="auto"/>
          <w:sz w:val="21"/>
          <w:szCs w:val="21"/>
          <w:highlight w:val="none"/>
        </w:rPr>
      </w:pPr>
      <w:bookmarkStart w:id="281" w:name="_Toc8454"/>
      <w:r>
        <w:rPr>
          <w:rFonts w:hint="eastAsia" w:hAnsi="宋体" w:cs="宋体"/>
          <w:color w:val="auto"/>
          <w:sz w:val="21"/>
          <w:szCs w:val="21"/>
          <w:highlight w:val="none"/>
        </w:rPr>
        <w:t>一、投诉相关主体基本情况</w:t>
      </w:r>
      <w:bookmarkEnd w:id="281"/>
    </w:p>
    <w:p w14:paraId="3CA95235">
      <w:pPr>
        <w:keepNext w:val="0"/>
        <w:keepLines w:val="0"/>
        <w:pageBreakBefore w:val="0"/>
        <w:widowControl w:val="0"/>
        <w:kinsoku/>
        <w:wordWrap/>
        <w:overflowPunct/>
        <w:topLinePunct w:val="0"/>
        <w:autoSpaceDE/>
        <w:autoSpaceDN/>
        <w:bidi w:val="0"/>
        <w:adjustRightInd/>
        <w:snapToGrid w:val="0"/>
        <w:spacing w:line="312" w:lineRule="auto"/>
        <w:textAlignment w:val="auto"/>
        <w:rPr>
          <w:rFonts w:hAnsi="宋体" w:cs="宋体"/>
          <w:color w:val="auto"/>
          <w:sz w:val="21"/>
          <w:szCs w:val="21"/>
          <w:highlight w:val="none"/>
          <w:u w:val="dotted"/>
        </w:rPr>
      </w:pPr>
      <w:r>
        <w:rPr>
          <w:rFonts w:hint="eastAsia" w:hAnsi="宋体" w:cs="宋体"/>
          <w:color w:val="auto"/>
          <w:sz w:val="21"/>
          <w:szCs w:val="21"/>
          <w:highlight w:val="none"/>
        </w:rPr>
        <w:t>投诉人：</w:t>
      </w:r>
      <w:r>
        <w:rPr>
          <w:rFonts w:hint="eastAsia" w:hAnsi="宋体" w:cs="宋体"/>
          <w:color w:val="auto"/>
          <w:sz w:val="21"/>
          <w:szCs w:val="21"/>
          <w:highlight w:val="none"/>
          <w:u w:val="dotted"/>
        </w:rPr>
        <w:t xml:space="preserve">                                               </w:t>
      </w:r>
    </w:p>
    <w:p w14:paraId="6B440B2A">
      <w:pPr>
        <w:keepNext w:val="0"/>
        <w:keepLines w:val="0"/>
        <w:pageBreakBefore w:val="0"/>
        <w:widowControl w:val="0"/>
        <w:kinsoku/>
        <w:wordWrap/>
        <w:overflowPunct/>
        <w:topLinePunct w:val="0"/>
        <w:autoSpaceDE/>
        <w:autoSpaceDN/>
        <w:bidi w:val="0"/>
        <w:adjustRightInd/>
        <w:snapToGrid w:val="0"/>
        <w:spacing w:line="312" w:lineRule="auto"/>
        <w:textAlignment w:val="auto"/>
        <w:rPr>
          <w:rFonts w:hAnsi="宋体" w:cs="宋体"/>
          <w:color w:val="auto"/>
          <w:sz w:val="21"/>
          <w:szCs w:val="21"/>
          <w:highlight w:val="none"/>
          <w:u w:val="single"/>
        </w:rPr>
      </w:pPr>
      <w:r>
        <w:rPr>
          <w:rFonts w:hint="eastAsia" w:hAnsi="宋体" w:cs="宋体"/>
          <w:color w:val="auto"/>
          <w:sz w:val="21"/>
          <w:szCs w:val="21"/>
          <w:highlight w:val="none"/>
        </w:rPr>
        <w:t>地     址：</w:t>
      </w:r>
      <w:r>
        <w:rPr>
          <w:rFonts w:hint="eastAsia" w:hAnsi="宋体" w:cs="宋体"/>
          <w:color w:val="auto"/>
          <w:sz w:val="21"/>
          <w:szCs w:val="21"/>
          <w:highlight w:val="none"/>
          <w:u w:val="dotted"/>
        </w:rPr>
        <w:t xml:space="preserve">                             </w:t>
      </w:r>
      <w:r>
        <w:rPr>
          <w:rFonts w:hint="eastAsia" w:hAnsi="宋体" w:cs="宋体"/>
          <w:color w:val="auto"/>
          <w:sz w:val="21"/>
          <w:szCs w:val="21"/>
          <w:highlight w:val="none"/>
        </w:rPr>
        <w:t>邮编：</w:t>
      </w:r>
      <w:r>
        <w:rPr>
          <w:rFonts w:hint="eastAsia" w:hAnsi="宋体" w:cs="宋体"/>
          <w:color w:val="auto"/>
          <w:sz w:val="21"/>
          <w:szCs w:val="21"/>
          <w:highlight w:val="none"/>
          <w:u w:val="dotted"/>
        </w:rPr>
        <w:t xml:space="preserve">         </w:t>
      </w:r>
      <w:r>
        <w:rPr>
          <w:rFonts w:hint="eastAsia" w:hAnsi="宋体" w:cs="宋体"/>
          <w:color w:val="auto"/>
          <w:sz w:val="21"/>
          <w:szCs w:val="21"/>
          <w:highlight w:val="none"/>
          <w:u w:val="single"/>
        </w:rPr>
        <w:t xml:space="preserve">   </w:t>
      </w:r>
    </w:p>
    <w:p w14:paraId="399A1AFA">
      <w:pPr>
        <w:keepNext w:val="0"/>
        <w:keepLines w:val="0"/>
        <w:pageBreakBefore w:val="0"/>
        <w:widowControl w:val="0"/>
        <w:tabs>
          <w:tab w:val="left" w:pos="6510"/>
        </w:tabs>
        <w:kinsoku/>
        <w:wordWrap/>
        <w:overflowPunct/>
        <w:topLinePunct w:val="0"/>
        <w:autoSpaceDE/>
        <w:autoSpaceDN/>
        <w:bidi w:val="0"/>
        <w:adjustRightInd/>
        <w:snapToGrid w:val="0"/>
        <w:spacing w:line="312" w:lineRule="auto"/>
        <w:jc w:val="left"/>
        <w:textAlignment w:val="auto"/>
        <w:rPr>
          <w:rFonts w:hAnsi="宋体" w:cs="宋体"/>
          <w:color w:val="auto"/>
          <w:sz w:val="21"/>
          <w:szCs w:val="21"/>
          <w:highlight w:val="none"/>
        </w:rPr>
      </w:pPr>
      <w:r>
        <w:rPr>
          <w:rFonts w:hint="eastAsia" w:hAnsi="宋体" w:cs="宋体"/>
          <w:color w:val="auto"/>
          <w:sz w:val="21"/>
          <w:szCs w:val="21"/>
          <w:highlight w:val="none"/>
        </w:rPr>
        <w:t>法定代表人/主要负责人：</w:t>
      </w:r>
      <w:r>
        <w:rPr>
          <w:rFonts w:hint="eastAsia" w:hAnsi="宋体" w:cs="宋体"/>
          <w:color w:val="auto"/>
          <w:sz w:val="21"/>
          <w:szCs w:val="21"/>
          <w:highlight w:val="none"/>
          <w:u w:val="dotted"/>
        </w:rPr>
        <w:t xml:space="preserve">                                   </w:t>
      </w:r>
      <w:r>
        <w:rPr>
          <w:rFonts w:hint="eastAsia" w:hAnsi="宋体" w:cs="宋体"/>
          <w:color w:val="auto"/>
          <w:sz w:val="21"/>
          <w:szCs w:val="21"/>
          <w:highlight w:val="none"/>
        </w:rPr>
        <w:t xml:space="preserve">  </w:t>
      </w:r>
    </w:p>
    <w:p w14:paraId="6C4B4FF5">
      <w:pPr>
        <w:keepNext w:val="0"/>
        <w:keepLines w:val="0"/>
        <w:pageBreakBefore w:val="0"/>
        <w:widowControl w:val="0"/>
        <w:tabs>
          <w:tab w:val="left" w:pos="6510"/>
        </w:tabs>
        <w:kinsoku/>
        <w:wordWrap/>
        <w:overflowPunct/>
        <w:topLinePunct w:val="0"/>
        <w:autoSpaceDE/>
        <w:autoSpaceDN/>
        <w:bidi w:val="0"/>
        <w:adjustRightInd/>
        <w:snapToGrid w:val="0"/>
        <w:spacing w:line="312" w:lineRule="auto"/>
        <w:textAlignment w:val="auto"/>
        <w:rPr>
          <w:rFonts w:hAnsi="宋体" w:cs="宋体"/>
          <w:color w:val="auto"/>
          <w:sz w:val="21"/>
          <w:szCs w:val="21"/>
          <w:highlight w:val="none"/>
          <w:u w:val="dotted"/>
        </w:rPr>
      </w:pPr>
      <w:r>
        <w:rPr>
          <w:rFonts w:hint="eastAsia" w:hAnsi="宋体" w:cs="宋体"/>
          <w:color w:val="auto"/>
          <w:sz w:val="21"/>
          <w:szCs w:val="21"/>
          <w:highlight w:val="none"/>
        </w:rPr>
        <w:t>联系电话：</w:t>
      </w:r>
      <w:r>
        <w:rPr>
          <w:rFonts w:hint="eastAsia" w:hAnsi="宋体" w:cs="宋体"/>
          <w:color w:val="auto"/>
          <w:sz w:val="21"/>
          <w:szCs w:val="21"/>
          <w:highlight w:val="none"/>
          <w:u w:val="dotted"/>
        </w:rPr>
        <w:t xml:space="preserve">                                             </w:t>
      </w:r>
    </w:p>
    <w:p w14:paraId="02ED9719">
      <w:pPr>
        <w:keepNext w:val="0"/>
        <w:keepLines w:val="0"/>
        <w:pageBreakBefore w:val="0"/>
        <w:widowControl w:val="0"/>
        <w:kinsoku/>
        <w:wordWrap/>
        <w:overflowPunct/>
        <w:topLinePunct w:val="0"/>
        <w:autoSpaceDE/>
        <w:autoSpaceDN/>
        <w:bidi w:val="0"/>
        <w:adjustRightInd/>
        <w:snapToGrid w:val="0"/>
        <w:spacing w:line="312" w:lineRule="auto"/>
        <w:textAlignment w:val="auto"/>
        <w:rPr>
          <w:rFonts w:hAnsi="宋体" w:cs="宋体"/>
          <w:color w:val="auto"/>
          <w:sz w:val="21"/>
          <w:szCs w:val="21"/>
          <w:highlight w:val="none"/>
          <w:u w:val="dotted"/>
        </w:rPr>
      </w:pPr>
      <w:r>
        <w:rPr>
          <w:rFonts w:hint="eastAsia" w:hAnsi="宋体" w:cs="宋体"/>
          <w:color w:val="auto"/>
          <w:sz w:val="21"/>
          <w:szCs w:val="21"/>
          <w:highlight w:val="none"/>
        </w:rPr>
        <w:t>授权代表：</w:t>
      </w:r>
      <w:r>
        <w:rPr>
          <w:rFonts w:hint="eastAsia" w:hAnsi="宋体" w:cs="宋体"/>
          <w:color w:val="auto"/>
          <w:sz w:val="21"/>
          <w:szCs w:val="21"/>
          <w:highlight w:val="none"/>
          <w:u w:val="dotted"/>
        </w:rPr>
        <w:t xml:space="preserve">             </w:t>
      </w:r>
      <w:r>
        <w:rPr>
          <w:rFonts w:hint="eastAsia" w:hAnsi="宋体" w:cs="宋体"/>
          <w:color w:val="auto"/>
          <w:sz w:val="21"/>
          <w:szCs w:val="21"/>
          <w:highlight w:val="none"/>
        </w:rPr>
        <w:t>联系电话</w:t>
      </w:r>
      <w:r>
        <w:rPr>
          <w:rFonts w:hint="eastAsia" w:hAnsi="宋体" w:cs="宋体"/>
          <w:color w:val="auto"/>
          <w:sz w:val="21"/>
          <w:szCs w:val="21"/>
          <w:highlight w:val="none"/>
          <w:u w:val="dotted"/>
        </w:rPr>
        <w:t xml:space="preserve">：                  </w:t>
      </w:r>
    </w:p>
    <w:p w14:paraId="5B3E087D">
      <w:pPr>
        <w:keepNext w:val="0"/>
        <w:keepLines w:val="0"/>
        <w:pageBreakBefore w:val="0"/>
        <w:widowControl w:val="0"/>
        <w:kinsoku/>
        <w:wordWrap/>
        <w:overflowPunct/>
        <w:topLinePunct w:val="0"/>
        <w:autoSpaceDE/>
        <w:autoSpaceDN/>
        <w:bidi w:val="0"/>
        <w:adjustRightInd/>
        <w:snapToGrid w:val="0"/>
        <w:spacing w:line="312" w:lineRule="auto"/>
        <w:textAlignment w:val="auto"/>
        <w:rPr>
          <w:rFonts w:hAnsi="宋体" w:cs="宋体"/>
          <w:color w:val="auto"/>
          <w:sz w:val="21"/>
          <w:szCs w:val="21"/>
          <w:highlight w:val="none"/>
          <w:u w:val="dotted"/>
        </w:rPr>
      </w:pPr>
      <w:r>
        <w:rPr>
          <w:rFonts w:hint="eastAsia" w:hAnsi="宋体" w:cs="宋体"/>
          <w:color w:val="auto"/>
          <w:sz w:val="21"/>
          <w:szCs w:val="21"/>
          <w:highlight w:val="none"/>
        </w:rPr>
        <w:t>地     址：</w:t>
      </w:r>
      <w:r>
        <w:rPr>
          <w:rFonts w:hint="eastAsia" w:hAnsi="宋体" w:cs="宋体"/>
          <w:color w:val="auto"/>
          <w:sz w:val="21"/>
          <w:szCs w:val="21"/>
          <w:highlight w:val="none"/>
          <w:u w:val="dotted"/>
        </w:rPr>
        <w:t xml:space="preserve">                             </w:t>
      </w:r>
      <w:r>
        <w:rPr>
          <w:rFonts w:hint="eastAsia" w:hAnsi="宋体" w:cs="宋体"/>
          <w:color w:val="auto"/>
          <w:sz w:val="21"/>
          <w:szCs w:val="21"/>
          <w:highlight w:val="none"/>
        </w:rPr>
        <w:t>邮编：</w:t>
      </w:r>
      <w:r>
        <w:rPr>
          <w:rFonts w:hint="eastAsia" w:hAnsi="宋体" w:cs="宋体"/>
          <w:color w:val="auto"/>
          <w:sz w:val="21"/>
          <w:szCs w:val="21"/>
          <w:highlight w:val="none"/>
          <w:u w:val="dotted"/>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dotted"/>
        </w:rPr>
        <w:t xml:space="preserve">                   </w:t>
      </w:r>
    </w:p>
    <w:p w14:paraId="7E14F6EB">
      <w:pPr>
        <w:keepNext w:val="0"/>
        <w:keepLines w:val="0"/>
        <w:pageBreakBefore w:val="0"/>
        <w:widowControl w:val="0"/>
        <w:kinsoku/>
        <w:wordWrap/>
        <w:overflowPunct/>
        <w:topLinePunct w:val="0"/>
        <w:autoSpaceDE/>
        <w:autoSpaceDN/>
        <w:bidi w:val="0"/>
        <w:adjustRightInd/>
        <w:snapToGrid w:val="0"/>
        <w:spacing w:line="312" w:lineRule="auto"/>
        <w:textAlignment w:val="auto"/>
        <w:rPr>
          <w:rFonts w:hAnsi="宋体" w:cs="宋体"/>
          <w:color w:val="auto"/>
          <w:sz w:val="21"/>
          <w:szCs w:val="21"/>
          <w:highlight w:val="none"/>
          <w:u w:val="single"/>
        </w:rPr>
      </w:pPr>
      <w:r>
        <w:rPr>
          <w:rFonts w:hint="eastAsia" w:hAnsi="宋体" w:cs="宋体"/>
          <w:color w:val="auto"/>
          <w:sz w:val="21"/>
          <w:szCs w:val="21"/>
          <w:highlight w:val="none"/>
        </w:rPr>
        <w:t>被投诉人1：</w:t>
      </w:r>
      <w:r>
        <w:rPr>
          <w:rFonts w:hint="eastAsia" w:hAnsi="宋体" w:cs="宋体"/>
          <w:color w:val="auto"/>
          <w:sz w:val="21"/>
          <w:szCs w:val="21"/>
          <w:highlight w:val="none"/>
          <w:u w:val="dotted"/>
        </w:rPr>
        <w:t xml:space="preserve">                                           </w:t>
      </w:r>
      <w:r>
        <w:rPr>
          <w:rFonts w:hint="eastAsia" w:hAnsi="宋体" w:cs="宋体"/>
          <w:color w:val="auto"/>
          <w:sz w:val="21"/>
          <w:szCs w:val="21"/>
          <w:highlight w:val="none"/>
          <w:u w:val="single"/>
        </w:rPr>
        <w:t xml:space="preserve">  </w:t>
      </w:r>
    </w:p>
    <w:p w14:paraId="2D17446C">
      <w:pPr>
        <w:keepNext w:val="0"/>
        <w:keepLines w:val="0"/>
        <w:pageBreakBefore w:val="0"/>
        <w:widowControl w:val="0"/>
        <w:kinsoku/>
        <w:wordWrap/>
        <w:overflowPunct/>
        <w:topLinePunct w:val="0"/>
        <w:autoSpaceDE/>
        <w:autoSpaceDN/>
        <w:bidi w:val="0"/>
        <w:adjustRightInd/>
        <w:snapToGrid w:val="0"/>
        <w:spacing w:line="312" w:lineRule="auto"/>
        <w:textAlignment w:val="auto"/>
        <w:rPr>
          <w:rFonts w:hAnsi="宋体" w:cs="宋体"/>
          <w:color w:val="auto"/>
          <w:sz w:val="21"/>
          <w:szCs w:val="21"/>
          <w:highlight w:val="none"/>
          <w:u w:val="single"/>
        </w:rPr>
      </w:pPr>
      <w:r>
        <w:rPr>
          <w:rFonts w:hint="eastAsia" w:hAnsi="宋体" w:cs="宋体"/>
          <w:color w:val="auto"/>
          <w:sz w:val="21"/>
          <w:szCs w:val="21"/>
          <w:highlight w:val="none"/>
        </w:rPr>
        <w:t>地     址：</w:t>
      </w:r>
      <w:r>
        <w:rPr>
          <w:rFonts w:hint="eastAsia" w:hAnsi="宋体" w:cs="宋体"/>
          <w:color w:val="auto"/>
          <w:sz w:val="21"/>
          <w:szCs w:val="21"/>
          <w:highlight w:val="none"/>
          <w:u w:val="dotted"/>
        </w:rPr>
        <w:t xml:space="preserve">                             </w:t>
      </w:r>
      <w:r>
        <w:rPr>
          <w:rFonts w:hint="eastAsia" w:hAnsi="宋体" w:cs="宋体"/>
          <w:color w:val="auto"/>
          <w:sz w:val="21"/>
          <w:szCs w:val="21"/>
          <w:highlight w:val="none"/>
        </w:rPr>
        <w:t>邮编：</w:t>
      </w:r>
      <w:r>
        <w:rPr>
          <w:rFonts w:hint="eastAsia" w:hAnsi="宋体" w:cs="宋体"/>
          <w:color w:val="auto"/>
          <w:sz w:val="21"/>
          <w:szCs w:val="21"/>
          <w:highlight w:val="none"/>
          <w:u w:val="dotted"/>
        </w:rPr>
        <w:t xml:space="preserve">          </w:t>
      </w:r>
      <w:r>
        <w:rPr>
          <w:rFonts w:hint="eastAsia" w:hAnsi="宋体" w:cs="宋体"/>
          <w:color w:val="auto"/>
          <w:sz w:val="21"/>
          <w:szCs w:val="21"/>
          <w:highlight w:val="none"/>
          <w:u w:val="single"/>
        </w:rPr>
        <w:t xml:space="preserve"> </w:t>
      </w:r>
    </w:p>
    <w:p w14:paraId="748A39B2">
      <w:pPr>
        <w:keepNext w:val="0"/>
        <w:keepLines w:val="0"/>
        <w:pageBreakBefore w:val="0"/>
        <w:widowControl w:val="0"/>
        <w:kinsoku/>
        <w:wordWrap/>
        <w:overflowPunct/>
        <w:topLinePunct w:val="0"/>
        <w:autoSpaceDE/>
        <w:autoSpaceDN/>
        <w:bidi w:val="0"/>
        <w:adjustRightInd/>
        <w:snapToGrid w:val="0"/>
        <w:spacing w:line="312" w:lineRule="auto"/>
        <w:textAlignment w:val="auto"/>
        <w:rPr>
          <w:rFonts w:hAnsi="宋体" w:cs="宋体"/>
          <w:color w:val="auto"/>
          <w:sz w:val="21"/>
          <w:szCs w:val="21"/>
          <w:highlight w:val="none"/>
          <w:u w:val="single"/>
        </w:rPr>
      </w:pPr>
      <w:r>
        <w:rPr>
          <w:rFonts w:hint="eastAsia" w:hAnsi="宋体" w:cs="宋体"/>
          <w:color w:val="auto"/>
          <w:sz w:val="21"/>
          <w:szCs w:val="21"/>
          <w:highlight w:val="none"/>
        </w:rPr>
        <w:t>联系人：</w:t>
      </w:r>
      <w:r>
        <w:rPr>
          <w:rFonts w:hint="eastAsia" w:hAnsi="宋体" w:cs="宋体"/>
          <w:color w:val="auto"/>
          <w:sz w:val="21"/>
          <w:szCs w:val="21"/>
          <w:highlight w:val="none"/>
          <w:u w:val="dotted"/>
        </w:rPr>
        <w:t xml:space="preserve">               </w:t>
      </w:r>
      <w:r>
        <w:rPr>
          <w:rFonts w:hint="eastAsia" w:hAnsi="宋体" w:cs="宋体"/>
          <w:color w:val="auto"/>
          <w:sz w:val="21"/>
          <w:szCs w:val="21"/>
          <w:highlight w:val="none"/>
        </w:rPr>
        <w:t>联系电话：</w:t>
      </w:r>
      <w:r>
        <w:rPr>
          <w:rFonts w:hint="eastAsia" w:hAnsi="宋体" w:cs="宋体"/>
          <w:color w:val="auto"/>
          <w:sz w:val="21"/>
          <w:szCs w:val="21"/>
          <w:highlight w:val="none"/>
          <w:u w:val="dotted"/>
        </w:rPr>
        <w:t xml:space="preserve">                      </w:t>
      </w:r>
      <w:r>
        <w:rPr>
          <w:rFonts w:hint="eastAsia" w:hAnsi="宋体" w:cs="宋体"/>
          <w:color w:val="auto"/>
          <w:sz w:val="21"/>
          <w:szCs w:val="21"/>
          <w:highlight w:val="none"/>
          <w:u w:val="single"/>
        </w:rPr>
        <w:t xml:space="preserve"> </w:t>
      </w:r>
    </w:p>
    <w:p w14:paraId="0672B2F8">
      <w:pPr>
        <w:keepNext w:val="0"/>
        <w:keepLines w:val="0"/>
        <w:pageBreakBefore w:val="0"/>
        <w:widowControl w:val="0"/>
        <w:kinsoku/>
        <w:wordWrap/>
        <w:overflowPunct/>
        <w:topLinePunct w:val="0"/>
        <w:autoSpaceDE/>
        <w:autoSpaceDN/>
        <w:bidi w:val="0"/>
        <w:adjustRightInd/>
        <w:snapToGrid w:val="0"/>
        <w:spacing w:line="312" w:lineRule="auto"/>
        <w:textAlignment w:val="auto"/>
        <w:rPr>
          <w:rFonts w:hAnsi="宋体" w:cs="宋体"/>
          <w:color w:val="auto"/>
          <w:sz w:val="21"/>
          <w:szCs w:val="21"/>
          <w:highlight w:val="none"/>
        </w:rPr>
      </w:pPr>
      <w:r>
        <w:rPr>
          <w:rFonts w:hint="eastAsia" w:hAnsi="宋体" w:cs="宋体"/>
          <w:color w:val="auto"/>
          <w:sz w:val="21"/>
          <w:szCs w:val="21"/>
          <w:highlight w:val="none"/>
        </w:rPr>
        <w:t>被投诉人2</w:t>
      </w:r>
    </w:p>
    <w:p w14:paraId="40BFC5D8">
      <w:pPr>
        <w:keepNext w:val="0"/>
        <w:keepLines w:val="0"/>
        <w:pageBreakBefore w:val="0"/>
        <w:widowControl w:val="0"/>
        <w:kinsoku/>
        <w:wordWrap/>
        <w:overflowPunct/>
        <w:topLinePunct w:val="0"/>
        <w:autoSpaceDE/>
        <w:autoSpaceDN/>
        <w:bidi w:val="0"/>
        <w:adjustRightInd/>
        <w:snapToGrid w:val="0"/>
        <w:spacing w:line="312" w:lineRule="auto"/>
        <w:textAlignment w:val="auto"/>
        <w:rPr>
          <w:rFonts w:hAnsi="宋体" w:cs="宋体"/>
          <w:color w:val="auto"/>
          <w:sz w:val="21"/>
          <w:szCs w:val="21"/>
          <w:highlight w:val="none"/>
          <w:u w:val="dotted"/>
        </w:rPr>
      </w:pPr>
      <w:r>
        <w:rPr>
          <w:rFonts w:hint="eastAsia" w:hAnsi="宋体" w:cs="宋体"/>
          <w:color w:val="auto"/>
          <w:sz w:val="21"/>
          <w:szCs w:val="21"/>
          <w:highlight w:val="none"/>
        </w:rPr>
        <w:t>……</w:t>
      </w:r>
    </w:p>
    <w:p w14:paraId="50549AB5">
      <w:pPr>
        <w:keepNext w:val="0"/>
        <w:keepLines w:val="0"/>
        <w:pageBreakBefore w:val="0"/>
        <w:widowControl w:val="0"/>
        <w:kinsoku/>
        <w:wordWrap/>
        <w:overflowPunct/>
        <w:topLinePunct w:val="0"/>
        <w:autoSpaceDE/>
        <w:autoSpaceDN/>
        <w:bidi w:val="0"/>
        <w:adjustRightInd/>
        <w:snapToGrid w:val="0"/>
        <w:spacing w:line="312" w:lineRule="auto"/>
        <w:textAlignment w:val="auto"/>
        <w:rPr>
          <w:rFonts w:hAnsi="宋体" w:cs="宋体"/>
          <w:color w:val="auto"/>
          <w:sz w:val="21"/>
          <w:szCs w:val="21"/>
          <w:highlight w:val="none"/>
          <w:u w:val="single"/>
        </w:rPr>
      </w:pPr>
      <w:r>
        <w:rPr>
          <w:rFonts w:hint="eastAsia" w:hAnsi="宋体" w:cs="宋体"/>
          <w:color w:val="auto"/>
          <w:sz w:val="21"/>
          <w:szCs w:val="21"/>
          <w:highlight w:val="none"/>
        </w:rPr>
        <w:t>相关供应商：</w:t>
      </w:r>
      <w:r>
        <w:rPr>
          <w:rFonts w:hint="eastAsia" w:hAnsi="宋体" w:cs="宋体"/>
          <w:color w:val="auto"/>
          <w:sz w:val="21"/>
          <w:szCs w:val="21"/>
          <w:highlight w:val="none"/>
          <w:u w:val="dotted"/>
        </w:rPr>
        <w:t xml:space="preserve">                                           </w:t>
      </w:r>
      <w:r>
        <w:rPr>
          <w:rFonts w:hint="eastAsia" w:hAnsi="宋体" w:cs="宋体"/>
          <w:color w:val="auto"/>
          <w:sz w:val="21"/>
          <w:szCs w:val="21"/>
          <w:highlight w:val="none"/>
          <w:u w:val="single"/>
        </w:rPr>
        <w:t xml:space="preserve">    </w:t>
      </w:r>
    </w:p>
    <w:p w14:paraId="18B0B03B">
      <w:pPr>
        <w:keepNext w:val="0"/>
        <w:keepLines w:val="0"/>
        <w:pageBreakBefore w:val="0"/>
        <w:widowControl w:val="0"/>
        <w:kinsoku/>
        <w:wordWrap/>
        <w:overflowPunct/>
        <w:topLinePunct w:val="0"/>
        <w:autoSpaceDE/>
        <w:autoSpaceDN/>
        <w:bidi w:val="0"/>
        <w:adjustRightInd/>
        <w:snapToGrid w:val="0"/>
        <w:spacing w:line="312" w:lineRule="auto"/>
        <w:textAlignment w:val="auto"/>
        <w:rPr>
          <w:rFonts w:hAnsi="宋体" w:cs="宋体"/>
          <w:color w:val="auto"/>
          <w:sz w:val="21"/>
          <w:szCs w:val="21"/>
          <w:highlight w:val="none"/>
          <w:u w:val="single"/>
        </w:rPr>
      </w:pPr>
      <w:r>
        <w:rPr>
          <w:rFonts w:hint="eastAsia" w:hAnsi="宋体" w:cs="宋体"/>
          <w:color w:val="auto"/>
          <w:sz w:val="21"/>
          <w:szCs w:val="21"/>
          <w:highlight w:val="none"/>
        </w:rPr>
        <w:t>地     址：</w:t>
      </w:r>
      <w:r>
        <w:rPr>
          <w:rFonts w:hint="eastAsia" w:hAnsi="宋体" w:cs="宋体"/>
          <w:color w:val="auto"/>
          <w:sz w:val="21"/>
          <w:szCs w:val="21"/>
          <w:highlight w:val="none"/>
          <w:u w:val="dotted"/>
        </w:rPr>
        <w:t xml:space="preserve">                             </w:t>
      </w:r>
      <w:r>
        <w:rPr>
          <w:rFonts w:hint="eastAsia" w:hAnsi="宋体" w:cs="宋体"/>
          <w:color w:val="auto"/>
          <w:sz w:val="21"/>
          <w:szCs w:val="21"/>
          <w:highlight w:val="none"/>
        </w:rPr>
        <w:t>邮编：</w:t>
      </w:r>
      <w:r>
        <w:rPr>
          <w:rFonts w:hint="eastAsia" w:hAnsi="宋体" w:cs="宋体"/>
          <w:color w:val="auto"/>
          <w:sz w:val="21"/>
          <w:szCs w:val="21"/>
          <w:highlight w:val="none"/>
          <w:u w:val="dotted"/>
        </w:rPr>
        <w:t xml:space="preserve">          </w:t>
      </w:r>
      <w:r>
        <w:rPr>
          <w:rFonts w:hint="eastAsia" w:hAnsi="宋体" w:cs="宋体"/>
          <w:color w:val="auto"/>
          <w:sz w:val="21"/>
          <w:szCs w:val="21"/>
          <w:highlight w:val="none"/>
          <w:u w:val="single"/>
        </w:rPr>
        <w:t xml:space="preserve"> </w:t>
      </w:r>
    </w:p>
    <w:p w14:paraId="42108B60">
      <w:pPr>
        <w:keepNext w:val="0"/>
        <w:keepLines w:val="0"/>
        <w:pageBreakBefore w:val="0"/>
        <w:widowControl w:val="0"/>
        <w:kinsoku/>
        <w:wordWrap/>
        <w:overflowPunct/>
        <w:topLinePunct w:val="0"/>
        <w:autoSpaceDE/>
        <w:autoSpaceDN/>
        <w:bidi w:val="0"/>
        <w:adjustRightInd/>
        <w:snapToGrid w:val="0"/>
        <w:spacing w:line="312" w:lineRule="auto"/>
        <w:textAlignment w:val="auto"/>
        <w:rPr>
          <w:rFonts w:hAnsi="宋体" w:cs="宋体"/>
          <w:color w:val="auto"/>
          <w:sz w:val="21"/>
          <w:szCs w:val="21"/>
          <w:highlight w:val="none"/>
          <w:u w:val="single"/>
        </w:rPr>
      </w:pPr>
      <w:r>
        <w:rPr>
          <w:rFonts w:hint="eastAsia" w:hAnsi="宋体" w:cs="宋体"/>
          <w:color w:val="auto"/>
          <w:sz w:val="21"/>
          <w:szCs w:val="21"/>
          <w:highlight w:val="none"/>
        </w:rPr>
        <w:t>联系人：</w:t>
      </w:r>
      <w:r>
        <w:rPr>
          <w:rFonts w:hint="eastAsia" w:hAnsi="宋体" w:cs="宋体"/>
          <w:color w:val="auto"/>
          <w:sz w:val="21"/>
          <w:szCs w:val="21"/>
          <w:highlight w:val="none"/>
          <w:u w:val="dotted"/>
        </w:rPr>
        <w:t xml:space="preserve">               </w:t>
      </w:r>
      <w:r>
        <w:rPr>
          <w:rFonts w:hint="eastAsia" w:hAnsi="宋体" w:cs="宋体"/>
          <w:color w:val="auto"/>
          <w:sz w:val="21"/>
          <w:szCs w:val="21"/>
          <w:highlight w:val="none"/>
        </w:rPr>
        <w:t>联系电话：</w:t>
      </w:r>
      <w:r>
        <w:rPr>
          <w:rFonts w:hint="eastAsia" w:hAnsi="宋体" w:cs="宋体"/>
          <w:color w:val="auto"/>
          <w:sz w:val="21"/>
          <w:szCs w:val="21"/>
          <w:highlight w:val="none"/>
          <w:u w:val="dotted"/>
        </w:rPr>
        <w:t xml:space="preserve">                      </w:t>
      </w:r>
      <w:r>
        <w:rPr>
          <w:rFonts w:hint="eastAsia" w:hAnsi="宋体" w:cs="宋体"/>
          <w:color w:val="auto"/>
          <w:sz w:val="21"/>
          <w:szCs w:val="21"/>
          <w:highlight w:val="none"/>
          <w:u w:val="single"/>
        </w:rPr>
        <w:t xml:space="preserve">      </w:t>
      </w:r>
    </w:p>
    <w:p w14:paraId="0B6874D8">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9"/>
        <w:rPr>
          <w:rFonts w:hAnsi="宋体" w:cs="宋体"/>
          <w:color w:val="auto"/>
          <w:sz w:val="21"/>
          <w:szCs w:val="21"/>
          <w:highlight w:val="none"/>
        </w:rPr>
      </w:pPr>
      <w:bookmarkStart w:id="282" w:name="_Toc1145"/>
      <w:r>
        <w:rPr>
          <w:rFonts w:hint="eastAsia" w:hAnsi="宋体" w:cs="宋体"/>
          <w:color w:val="auto"/>
          <w:sz w:val="21"/>
          <w:szCs w:val="21"/>
          <w:highlight w:val="none"/>
        </w:rPr>
        <w:t>二、投诉项目基本情况</w:t>
      </w:r>
      <w:bookmarkEnd w:id="282"/>
    </w:p>
    <w:p w14:paraId="2C41DF3E">
      <w:pPr>
        <w:keepNext w:val="0"/>
        <w:keepLines w:val="0"/>
        <w:pageBreakBefore w:val="0"/>
        <w:widowControl w:val="0"/>
        <w:kinsoku/>
        <w:wordWrap/>
        <w:overflowPunct/>
        <w:topLinePunct w:val="0"/>
        <w:autoSpaceDE/>
        <w:autoSpaceDN/>
        <w:bidi w:val="0"/>
        <w:adjustRightInd/>
        <w:snapToGrid w:val="0"/>
        <w:spacing w:line="312" w:lineRule="auto"/>
        <w:textAlignment w:val="auto"/>
        <w:rPr>
          <w:rFonts w:hAnsi="宋体" w:cs="宋体"/>
          <w:color w:val="auto"/>
          <w:sz w:val="21"/>
          <w:szCs w:val="21"/>
          <w:highlight w:val="none"/>
          <w:u w:val="dotted"/>
        </w:rPr>
      </w:pPr>
      <w:r>
        <w:rPr>
          <w:rFonts w:hint="eastAsia" w:hAnsi="宋体" w:cs="宋体"/>
          <w:color w:val="auto"/>
          <w:sz w:val="21"/>
          <w:szCs w:val="21"/>
          <w:highlight w:val="none"/>
        </w:rPr>
        <w:t>采购项目名称：</w:t>
      </w:r>
      <w:r>
        <w:rPr>
          <w:rFonts w:hint="eastAsia" w:hAnsi="宋体" w:cs="宋体"/>
          <w:color w:val="auto"/>
          <w:sz w:val="21"/>
          <w:szCs w:val="21"/>
          <w:highlight w:val="none"/>
          <w:u w:val="dotted"/>
        </w:rPr>
        <w:t xml:space="preserve">                                        </w:t>
      </w:r>
    </w:p>
    <w:p w14:paraId="619409D0">
      <w:pPr>
        <w:keepNext w:val="0"/>
        <w:keepLines w:val="0"/>
        <w:pageBreakBefore w:val="0"/>
        <w:widowControl w:val="0"/>
        <w:kinsoku/>
        <w:wordWrap/>
        <w:overflowPunct/>
        <w:topLinePunct w:val="0"/>
        <w:autoSpaceDE/>
        <w:autoSpaceDN/>
        <w:bidi w:val="0"/>
        <w:adjustRightInd/>
        <w:snapToGrid w:val="0"/>
        <w:spacing w:line="312" w:lineRule="auto"/>
        <w:textAlignment w:val="auto"/>
        <w:rPr>
          <w:rFonts w:hAnsi="宋体" w:cs="宋体"/>
          <w:color w:val="auto"/>
          <w:sz w:val="21"/>
          <w:szCs w:val="21"/>
          <w:highlight w:val="none"/>
          <w:u w:val="single"/>
        </w:rPr>
      </w:pPr>
      <w:r>
        <w:rPr>
          <w:rFonts w:hint="eastAsia" w:hAnsi="宋体" w:cs="宋体"/>
          <w:color w:val="auto"/>
          <w:sz w:val="21"/>
          <w:szCs w:val="21"/>
          <w:highlight w:val="none"/>
        </w:rPr>
        <w:t>采购项目编号：</w:t>
      </w:r>
      <w:r>
        <w:rPr>
          <w:rFonts w:hint="eastAsia" w:hAnsi="宋体" w:cs="宋体"/>
          <w:color w:val="auto"/>
          <w:sz w:val="21"/>
          <w:szCs w:val="21"/>
          <w:highlight w:val="none"/>
          <w:u w:val="dotted"/>
        </w:rPr>
        <w:t xml:space="preserve">                 </w:t>
      </w:r>
      <w:r>
        <w:rPr>
          <w:rFonts w:hint="eastAsia" w:hAnsi="宋体" w:cs="宋体"/>
          <w:color w:val="auto"/>
          <w:sz w:val="21"/>
          <w:szCs w:val="21"/>
          <w:highlight w:val="none"/>
        </w:rPr>
        <w:t>包号：</w:t>
      </w:r>
      <w:r>
        <w:rPr>
          <w:rFonts w:hint="eastAsia" w:hAnsi="宋体" w:cs="宋体"/>
          <w:color w:val="auto"/>
          <w:sz w:val="21"/>
          <w:szCs w:val="21"/>
          <w:highlight w:val="none"/>
          <w:u w:val="dotted"/>
        </w:rPr>
        <w:t xml:space="preserve">              </w:t>
      </w:r>
    </w:p>
    <w:p w14:paraId="17865350">
      <w:pPr>
        <w:keepNext w:val="0"/>
        <w:keepLines w:val="0"/>
        <w:pageBreakBefore w:val="0"/>
        <w:widowControl w:val="0"/>
        <w:kinsoku/>
        <w:wordWrap/>
        <w:overflowPunct/>
        <w:topLinePunct w:val="0"/>
        <w:autoSpaceDE/>
        <w:autoSpaceDN/>
        <w:bidi w:val="0"/>
        <w:adjustRightInd/>
        <w:snapToGrid w:val="0"/>
        <w:spacing w:line="312" w:lineRule="auto"/>
        <w:textAlignment w:val="auto"/>
        <w:rPr>
          <w:rFonts w:hAnsi="宋体" w:cs="宋体"/>
          <w:color w:val="auto"/>
          <w:sz w:val="21"/>
          <w:szCs w:val="21"/>
          <w:highlight w:val="none"/>
        </w:rPr>
      </w:pPr>
      <w:r>
        <w:rPr>
          <w:rFonts w:hint="eastAsia" w:hAnsi="宋体" w:cs="宋体"/>
          <w:color w:val="auto"/>
          <w:sz w:val="21"/>
          <w:szCs w:val="21"/>
          <w:highlight w:val="none"/>
        </w:rPr>
        <w:t>采购人名称：</w:t>
      </w:r>
      <w:r>
        <w:rPr>
          <w:rFonts w:hint="eastAsia" w:hAnsi="宋体" w:cs="宋体"/>
          <w:color w:val="auto"/>
          <w:sz w:val="21"/>
          <w:szCs w:val="21"/>
          <w:highlight w:val="none"/>
          <w:u w:val="dotted"/>
        </w:rPr>
        <w:t xml:space="preserve">                                           </w:t>
      </w:r>
      <w:r>
        <w:rPr>
          <w:rFonts w:hint="eastAsia" w:hAnsi="宋体" w:cs="宋体"/>
          <w:color w:val="auto"/>
          <w:sz w:val="21"/>
          <w:szCs w:val="21"/>
          <w:highlight w:val="none"/>
          <w:u w:val="single"/>
        </w:rPr>
        <w:t xml:space="preserve">  </w:t>
      </w:r>
    </w:p>
    <w:p w14:paraId="5BD31390">
      <w:pPr>
        <w:keepNext w:val="0"/>
        <w:keepLines w:val="0"/>
        <w:pageBreakBefore w:val="0"/>
        <w:widowControl w:val="0"/>
        <w:kinsoku/>
        <w:wordWrap/>
        <w:overflowPunct/>
        <w:topLinePunct w:val="0"/>
        <w:autoSpaceDE/>
        <w:autoSpaceDN/>
        <w:bidi w:val="0"/>
        <w:adjustRightInd/>
        <w:snapToGrid w:val="0"/>
        <w:spacing w:line="312" w:lineRule="auto"/>
        <w:textAlignment w:val="auto"/>
        <w:rPr>
          <w:rFonts w:hAnsi="宋体" w:cs="宋体"/>
          <w:color w:val="auto"/>
          <w:sz w:val="21"/>
          <w:szCs w:val="21"/>
          <w:highlight w:val="none"/>
          <w:u w:val="single"/>
        </w:rPr>
      </w:pPr>
      <w:r>
        <w:rPr>
          <w:rFonts w:hint="eastAsia" w:hAnsi="宋体" w:cs="宋体"/>
          <w:color w:val="auto"/>
          <w:sz w:val="21"/>
          <w:szCs w:val="21"/>
          <w:highlight w:val="none"/>
        </w:rPr>
        <w:t>代理机构名称：</w:t>
      </w:r>
      <w:r>
        <w:rPr>
          <w:rFonts w:hint="eastAsia" w:hAnsi="宋体" w:cs="宋体"/>
          <w:color w:val="auto"/>
          <w:sz w:val="21"/>
          <w:szCs w:val="21"/>
          <w:highlight w:val="none"/>
          <w:u w:val="dotted"/>
        </w:rPr>
        <w:t xml:space="preserve">                                         </w:t>
      </w:r>
    </w:p>
    <w:p w14:paraId="4A102138">
      <w:pPr>
        <w:keepNext w:val="0"/>
        <w:keepLines w:val="0"/>
        <w:pageBreakBefore w:val="0"/>
        <w:widowControl w:val="0"/>
        <w:kinsoku/>
        <w:wordWrap/>
        <w:overflowPunct/>
        <w:topLinePunct w:val="0"/>
        <w:autoSpaceDE/>
        <w:autoSpaceDN/>
        <w:bidi w:val="0"/>
        <w:adjustRightInd/>
        <w:snapToGrid w:val="0"/>
        <w:spacing w:line="312" w:lineRule="auto"/>
        <w:textAlignment w:val="auto"/>
        <w:rPr>
          <w:rFonts w:hAnsi="宋体" w:cs="宋体"/>
          <w:color w:val="auto"/>
          <w:sz w:val="21"/>
          <w:szCs w:val="21"/>
          <w:highlight w:val="none"/>
          <w:u w:val="dotted"/>
        </w:rPr>
      </w:pPr>
      <w:r>
        <w:rPr>
          <w:rFonts w:hint="eastAsia" w:hAnsi="宋体" w:cs="宋体"/>
          <w:color w:val="auto"/>
          <w:sz w:val="21"/>
          <w:szCs w:val="21"/>
          <w:highlight w:val="none"/>
        </w:rPr>
        <w:t>采购文件公告:</w:t>
      </w:r>
      <w:r>
        <w:rPr>
          <w:rFonts w:hint="eastAsia" w:hAnsi="宋体" w:cs="宋体"/>
          <w:color w:val="auto"/>
          <w:sz w:val="21"/>
          <w:szCs w:val="21"/>
          <w:highlight w:val="none"/>
          <w:u w:val="dotted"/>
        </w:rPr>
        <w:t xml:space="preserve">是/否 </w:t>
      </w:r>
      <w:r>
        <w:rPr>
          <w:rFonts w:hint="eastAsia" w:hAnsi="宋体" w:cs="宋体"/>
          <w:color w:val="auto"/>
          <w:sz w:val="21"/>
          <w:szCs w:val="21"/>
          <w:highlight w:val="none"/>
        </w:rPr>
        <w:t>公告期限：</w:t>
      </w:r>
      <w:r>
        <w:rPr>
          <w:rFonts w:hint="eastAsia" w:hAnsi="宋体" w:cs="宋体"/>
          <w:color w:val="auto"/>
          <w:sz w:val="21"/>
          <w:szCs w:val="21"/>
          <w:highlight w:val="none"/>
          <w:u w:val="dotted"/>
        </w:rPr>
        <w:t xml:space="preserve">                                 </w:t>
      </w:r>
    </w:p>
    <w:p w14:paraId="419BD7BA">
      <w:pPr>
        <w:keepNext w:val="0"/>
        <w:keepLines w:val="0"/>
        <w:pageBreakBefore w:val="0"/>
        <w:widowControl w:val="0"/>
        <w:kinsoku/>
        <w:wordWrap/>
        <w:overflowPunct/>
        <w:topLinePunct w:val="0"/>
        <w:autoSpaceDE/>
        <w:autoSpaceDN/>
        <w:bidi w:val="0"/>
        <w:adjustRightInd/>
        <w:snapToGrid w:val="0"/>
        <w:spacing w:line="312" w:lineRule="auto"/>
        <w:textAlignment w:val="auto"/>
        <w:rPr>
          <w:rFonts w:hAnsi="宋体" w:cs="宋体"/>
          <w:color w:val="auto"/>
          <w:sz w:val="21"/>
          <w:szCs w:val="21"/>
          <w:highlight w:val="none"/>
          <w:u w:val="single"/>
        </w:rPr>
      </w:pPr>
      <w:r>
        <w:rPr>
          <w:rFonts w:hint="eastAsia" w:hAnsi="宋体" w:cs="宋体"/>
          <w:color w:val="auto"/>
          <w:sz w:val="21"/>
          <w:szCs w:val="21"/>
          <w:highlight w:val="none"/>
        </w:rPr>
        <w:t>采购结果公告:</w:t>
      </w:r>
      <w:r>
        <w:rPr>
          <w:rFonts w:hint="eastAsia" w:hAnsi="宋体" w:cs="宋体"/>
          <w:color w:val="auto"/>
          <w:sz w:val="21"/>
          <w:szCs w:val="21"/>
          <w:highlight w:val="none"/>
          <w:u w:val="dotted"/>
        </w:rPr>
        <w:t xml:space="preserve">是/否 </w:t>
      </w:r>
      <w:r>
        <w:rPr>
          <w:rFonts w:hint="eastAsia" w:hAnsi="宋体" w:cs="宋体"/>
          <w:color w:val="auto"/>
          <w:sz w:val="21"/>
          <w:szCs w:val="21"/>
          <w:highlight w:val="none"/>
        </w:rPr>
        <w:t>公告期限：</w:t>
      </w:r>
      <w:r>
        <w:rPr>
          <w:rFonts w:hint="eastAsia" w:hAnsi="宋体" w:cs="宋体"/>
          <w:color w:val="auto"/>
          <w:sz w:val="21"/>
          <w:szCs w:val="21"/>
          <w:highlight w:val="none"/>
          <w:u w:val="dotted"/>
        </w:rPr>
        <w:t xml:space="preserve">                        </w:t>
      </w:r>
    </w:p>
    <w:p w14:paraId="37E7D493">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9"/>
        <w:rPr>
          <w:rFonts w:hAnsi="宋体" w:cs="宋体"/>
          <w:color w:val="auto"/>
          <w:sz w:val="21"/>
          <w:szCs w:val="21"/>
          <w:highlight w:val="none"/>
        </w:rPr>
      </w:pPr>
      <w:bookmarkStart w:id="283" w:name="_Toc32766"/>
      <w:r>
        <w:rPr>
          <w:rFonts w:hint="eastAsia" w:hAnsi="宋体" w:cs="宋体"/>
          <w:color w:val="auto"/>
          <w:sz w:val="21"/>
          <w:szCs w:val="21"/>
          <w:highlight w:val="none"/>
        </w:rPr>
        <w:t>三、质疑基本情况</w:t>
      </w:r>
      <w:bookmarkEnd w:id="283"/>
    </w:p>
    <w:p w14:paraId="3185F19D">
      <w:pPr>
        <w:keepNext w:val="0"/>
        <w:keepLines w:val="0"/>
        <w:pageBreakBefore w:val="0"/>
        <w:widowControl w:val="0"/>
        <w:kinsoku/>
        <w:wordWrap/>
        <w:overflowPunct/>
        <w:topLinePunct w:val="0"/>
        <w:autoSpaceDE/>
        <w:autoSpaceDN/>
        <w:bidi w:val="0"/>
        <w:adjustRightInd/>
        <w:snapToGrid w:val="0"/>
        <w:spacing w:line="312" w:lineRule="auto"/>
        <w:ind w:firstLine="420" w:firstLineChars="200"/>
        <w:textAlignment w:val="auto"/>
        <w:rPr>
          <w:rFonts w:hAnsi="宋体" w:cs="宋体"/>
          <w:color w:val="auto"/>
          <w:sz w:val="21"/>
          <w:szCs w:val="21"/>
          <w:highlight w:val="none"/>
          <w:u w:val="dotted"/>
        </w:rPr>
      </w:pPr>
      <w:r>
        <w:rPr>
          <w:rFonts w:hint="eastAsia" w:hAnsi="宋体" w:cs="宋体"/>
          <w:color w:val="auto"/>
          <w:sz w:val="21"/>
          <w:szCs w:val="21"/>
          <w:highlight w:val="none"/>
        </w:rPr>
        <w:t>投诉人于</w:t>
      </w:r>
      <w:r>
        <w:rPr>
          <w:rFonts w:hint="eastAsia" w:hAnsi="宋体" w:cs="宋体"/>
          <w:color w:val="auto"/>
          <w:sz w:val="21"/>
          <w:szCs w:val="21"/>
          <w:highlight w:val="none"/>
          <w:u w:val="dotted"/>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dotted"/>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dotted"/>
        </w:rPr>
        <w:t xml:space="preserve">  </w:t>
      </w:r>
      <w:r>
        <w:rPr>
          <w:rFonts w:hint="eastAsia" w:hAnsi="宋体" w:cs="宋体"/>
          <w:color w:val="auto"/>
          <w:sz w:val="21"/>
          <w:szCs w:val="21"/>
          <w:highlight w:val="none"/>
        </w:rPr>
        <w:t>日,向</w:t>
      </w:r>
      <w:r>
        <w:rPr>
          <w:rFonts w:hint="eastAsia" w:hAnsi="宋体" w:cs="宋体"/>
          <w:color w:val="auto"/>
          <w:sz w:val="21"/>
          <w:szCs w:val="21"/>
          <w:highlight w:val="none"/>
          <w:u w:val="dotted"/>
        </w:rPr>
        <w:t xml:space="preserve">                   </w:t>
      </w:r>
      <w:r>
        <w:rPr>
          <w:rFonts w:hint="eastAsia" w:hAnsi="宋体" w:cs="宋体"/>
          <w:color w:val="auto"/>
          <w:sz w:val="21"/>
          <w:szCs w:val="21"/>
          <w:highlight w:val="none"/>
        </w:rPr>
        <w:t>提出质疑，质疑事项为：</w:t>
      </w:r>
      <w:r>
        <w:rPr>
          <w:rFonts w:hint="eastAsia" w:hAnsi="宋体" w:cs="宋体"/>
          <w:color w:val="auto"/>
          <w:sz w:val="21"/>
          <w:szCs w:val="21"/>
          <w:highlight w:val="none"/>
          <w:u w:val="dotted"/>
        </w:rPr>
        <w:t xml:space="preserve">                                </w:t>
      </w:r>
    </w:p>
    <w:p w14:paraId="65A343FB">
      <w:pPr>
        <w:keepNext w:val="0"/>
        <w:keepLines w:val="0"/>
        <w:pageBreakBefore w:val="0"/>
        <w:widowControl w:val="0"/>
        <w:kinsoku/>
        <w:wordWrap/>
        <w:overflowPunct/>
        <w:topLinePunct w:val="0"/>
        <w:autoSpaceDE/>
        <w:autoSpaceDN/>
        <w:bidi w:val="0"/>
        <w:adjustRightInd/>
        <w:snapToGrid w:val="0"/>
        <w:spacing w:line="312" w:lineRule="auto"/>
        <w:textAlignment w:val="auto"/>
        <w:rPr>
          <w:rFonts w:hAnsi="宋体" w:cs="宋体"/>
          <w:color w:val="auto"/>
          <w:sz w:val="21"/>
          <w:szCs w:val="21"/>
          <w:highlight w:val="none"/>
          <w:u w:val="dotted"/>
        </w:rPr>
      </w:pPr>
      <w:r>
        <w:rPr>
          <w:rFonts w:hint="eastAsia" w:hAnsi="宋体" w:cs="宋体"/>
          <w:color w:val="auto"/>
          <w:sz w:val="21"/>
          <w:szCs w:val="21"/>
          <w:highlight w:val="none"/>
          <w:u w:val="dotted"/>
        </w:rPr>
        <w:t xml:space="preserve">                                                     </w:t>
      </w:r>
      <w:r>
        <w:rPr>
          <w:rFonts w:hint="eastAsia" w:hAnsi="宋体" w:cs="宋体"/>
          <w:color w:val="auto"/>
          <w:sz w:val="21"/>
          <w:szCs w:val="21"/>
          <w:highlight w:val="none"/>
        </w:rPr>
        <w:t xml:space="preserve">  </w:t>
      </w:r>
    </w:p>
    <w:p w14:paraId="79C3DCE3">
      <w:pPr>
        <w:keepNext w:val="0"/>
        <w:keepLines w:val="0"/>
        <w:pageBreakBefore w:val="0"/>
        <w:widowControl w:val="0"/>
        <w:kinsoku/>
        <w:wordWrap/>
        <w:overflowPunct/>
        <w:topLinePunct w:val="0"/>
        <w:autoSpaceDE/>
        <w:autoSpaceDN/>
        <w:bidi w:val="0"/>
        <w:adjustRightInd/>
        <w:snapToGrid w:val="0"/>
        <w:spacing w:line="312" w:lineRule="auto"/>
        <w:ind w:firstLine="315" w:firstLineChars="150"/>
        <w:textAlignment w:val="auto"/>
        <w:rPr>
          <w:rFonts w:hAnsi="宋体" w:cs="宋体"/>
          <w:color w:val="auto"/>
          <w:sz w:val="21"/>
          <w:szCs w:val="21"/>
          <w:highlight w:val="none"/>
        </w:rPr>
      </w:pPr>
      <w:r>
        <w:rPr>
          <w:rFonts w:hint="eastAsia" w:hAnsi="宋体" w:cs="宋体"/>
          <w:color w:val="auto"/>
          <w:sz w:val="21"/>
          <w:szCs w:val="21"/>
          <w:highlight w:val="none"/>
          <w:u w:val="dotted"/>
        </w:rPr>
        <w:t>采购人/代理机构</w:t>
      </w:r>
      <w:r>
        <w:rPr>
          <w:rFonts w:hint="eastAsia" w:hAnsi="宋体" w:cs="宋体"/>
          <w:color w:val="auto"/>
          <w:sz w:val="21"/>
          <w:szCs w:val="21"/>
          <w:highlight w:val="none"/>
        </w:rPr>
        <w:t>于</w:t>
      </w:r>
      <w:r>
        <w:rPr>
          <w:rFonts w:hint="eastAsia" w:hAnsi="宋体" w:cs="宋体"/>
          <w:color w:val="auto"/>
          <w:sz w:val="21"/>
          <w:szCs w:val="21"/>
          <w:highlight w:val="none"/>
          <w:u w:val="dotted"/>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dotted"/>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dotted"/>
        </w:rPr>
        <w:t xml:space="preserve">   </w:t>
      </w:r>
      <w:r>
        <w:rPr>
          <w:rFonts w:hint="eastAsia" w:hAnsi="宋体" w:cs="宋体"/>
          <w:color w:val="auto"/>
          <w:sz w:val="21"/>
          <w:szCs w:val="21"/>
          <w:highlight w:val="none"/>
        </w:rPr>
        <w:t>日,就质疑事项作出了答复/没有在法定期限内作出答复。</w:t>
      </w:r>
    </w:p>
    <w:p w14:paraId="3DB33623">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9"/>
        <w:rPr>
          <w:rFonts w:hAnsi="宋体" w:cs="宋体"/>
          <w:color w:val="auto"/>
          <w:sz w:val="21"/>
          <w:szCs w:val="21"/>
          <w:highlight w:val="none"/>
        </w:rPr>
      </w:pPr>
      <w:bookmarkStart w:id="284" w:name="_Toc29183"/>
      <w:r>
        <w:rPr>
          <w:rFonts w:hint="eastAsia" w:hAnsi="宋体" w:cs="宋体"/>
          <w:color w:val="auto"/>
          <w:sz w:val="21"/>
          <w:szCs w:val="21"/>
          <w:highlight w:val="none"/>
        </w:rPr>
        <w:t>四、投诉事项具体内容</w:t>
      </w:r>
      <w:bookmarkEnd w:id="284"/>
    </w:p>
    <w:p w14:paraId="39CDB600">
      <w:pPr>
        <w:keepNext w:val="0"/>
        <w:keepLines w:val="0"/>
        <w:pageBreakBefore w:val="0"/>
        <w:widowControl w:val="0"/>
        <w:kinsoku/>
        <w:wordWrap/>
        <w:overflowPunct/>
        <w:topLinePunct w:val="0"/>
        <w:autoSpaceDE/>
        <w:autoSpaceDN/>
        <w:bidi w:val="0"/>
        <w:adjustRightInd/>
        <w:snapToGrid w:val="0"/>
        <w:spacing w:line="312" w:lineRule="auto"/>
        <w:textAlignment w:val="auto"/>
        <w:rPr>
          <w:rFonts w:hAnsi="宋体" w:cs="宋体"/>
          <w:color w:val="auto"/>
          <w:sz w:val="21"/>
          <w:szCs w:val="21"/>
          <w:highlight w:val="none"/>
          <w:u w:val="single"/>
        </w:rPr>
      </w:pPr>
      <w:r>
        <w:rPr>
          <w:rFonts w:hint="eastAsia" w:hAnsi="宋体" w:cs="宋体"/>
          <w:color w:val="auto"/>
          <w:sz w:val="21"/>
          <w:szCs w:val="21"/>
          <w:highlight w:val="none"/>
        </w:rPr>
        <w:t>投诉事项 1：</w:t>
      </w:r>
      <w:r>
        <w:rPr>
          <w:rFonts w:hint="eastAsia" w:hAnsi="宋体" w:cs="宋体"/>
          <w:color w:val="auto"/>
          <w:sz w:val="21"/>
          <w:szCs w:val="21"/>
          <w:highlight w:val="none"/>
          <w:u w:val="dotted"/>
        </w:rPr>
        <w:t xml:space="preserve">                                       </w:t>
      </w:r>
    </w:p>
    <w:p w14:paraId="2D33F299">
      <w:pPr>
        <w:keepNext w:val="0"/>
        <w:keepLines w:val="0"/>
        <w:pageBreakBefore w:val="0"/>
        <w:widowControl w:val="0"/>
        <w:kinsoku/>
        <w:wordWrap/>
        <w:overflowPunct/>
        <w:topLinePunct w:val="0"/>
        <w:autoSpaceDE/>
        <w:autoSpaceDN/>
        <w:bidi w:val="0"/>
        <w:adjustRightInd/>
        <w:snapToGrid w:val="0"/>
        <w:spacing w:line="312" w:lineRule="auto"/>
        <w:textAlignment w:val="auto"/>
        <w:rPr>
          <w:rFonts w:hAnsi="宋体" w:cs="宋体"/>
          <w:color w:val="auto"/>
          <w:sz w:val="21"/>
          <w:szCs w:val="21"/>
          <w:highlight w:val="none"/>
        </w:rPr>
      </w:pPr>
      <w:r>
        <w:rPr>
          <w:rFonts w:hint="eastAsia" w:hAnsi="宋体" w:cs="宋体"/>
          <w:color w:val="auto"/>
          <w:sz w:val="21"/>
          <w:szCs w:val="21"/>
          <w:highlight w:val="none"/>
        </w:rPr>
        <w:t>事实依据：</w:t>
      </w:r>
      <w:r>
        <w:rPr>
          <w:rFonts w:hint="eastAsia" w:hAnsi="宋体" w:cs="宋体"/>
          <w:color w:val="auto"/>
          <w:sz w:val="21"/>
          <w:szCs w:val="21"/>
          <w:highlight w:val="none"/>
          <w:u w:val="dotted"/>
        </w:rPr>
        <w:t xml:space="preserve">                                         </w:t>
      </w:r>
    </w:p>
    <w:p w14:paraId="1289BC02">
      <w:pPr>
        <w:keepNext w:val="0"/>
        <w:keepLines w:val="0"/>
        <w:pageBreakBefore w:val="0"/>
        <w:widowControl w:val="0"/>
        <w:kinsoku/>
        <w:wordWrap/>
        <w:overflowPunct/>
        <w:topLinePunct w:val="0"/>
        <w:autoSpaceDE/>
        <w:autoSpaceDN/>
        <w:bidi w:val="0"/>
        <w:adjustRightInd/>
        <w:snapToGrid w:val="0"/>
        <w:spacing w:line="312" w:lineRule="auto"/>
        <w:textAlignment w:val="auto"/>
        <w:rPr>
          <w:rFonts w:hAnsi="宋体" w:cs="宋体"/>
          <w:color w:val="auto"/>
          <w:sz w:val="21"/>
          <w:szCs w:val="21"/>
          <w:highlight w:val="none"/>
          <w:u w:val="dotted"/>
        </w:rPr>
      </w:pPr>
      <w:r>
        <w:rPr>
          <w:rFonts w:hint="eastAsia" w:hAnsi="宋体" w:cs="宋体"/>
          <w:color w:val="auto"/>
          <w:sz w:val="21"/>
          <w:szCs w:val="21"/>
          <w:highlight w:val="none"/>
          <w:u w:val="dotted"/>
        </w:rPr>
        <w:t xml:space="preserve">                                                      </w:t>
      </w:r>
    </w:p>
    <w:p w14:paraId="57879705">
      <w:pPr>
        <w:keepNext w:val="0"/>
        <w:keepLines w:val="0"/>
        <w:pageBreakBefore w:val="0"/>
        <w:widowControl w:val="0"/>
        <w:kinsoku/>
        <w:wordWrap/>
        <w:overflowPunct/>
        <w:topLinePunct w:val="0"/>
        <w:autoSpaceDE/>
        <w:autoSpaceDN/>
        <w:bidi w:val="0"/>
        <w:adjustRightInd/>
        <w:snapToGrid w:val="0"/>
        <w:spacing w:line="312" w:lineRule="auto"/>
        <w:textAlignment w:val="auto"/>
        <w:rPr>
          <w:rFonts w:hAnsi="宋体" w:cs="宋体"/>
          <w:color w:val="auto"/>
          <w:sz w:val="21"/>
          <w:szCs w:val="21"/>
          <w:highlight w:val="none"/>
          <w:u w:val="single"/>
        </w:rPr>
      </w:pPr>
      <w:r>
        <w:rPr>
          <w:rFonts w:hint="eastAsia" w:hAnsi="宋体" w:cs="宋体"/>
          <w:color w:val="auto"/>
          <w:sz w:val="21"/>
          <w:szCs w:val="21"/>
          <w:highlight w:val="none"/>
        </w:rPr>
        <w:t>法律依据：</w:t>
      </w:r>
      <w:r>
        <w:rPr>
          <w:rFonts w:hint="eastAsia" w:hAnsi="宋体" w:cs="宋体"/>
          <w:color w:val="auto"/>
          <w:sz w:val="21"/>
          <w:szCs w:val="21"/>
          <w:highlight w:val="none"/>
          <w:u w:val="dotted"/>
        </w:rPr>
        <w:t xml:space="preserve">                                          </w:t>
      </w:r>
    </w:p>
    <w:p w14:paraId="36F64693">
      <w:pPr>
        <w:keepNext w:val="0"/>
        <w:keepLines w:val="0"/>
        <w:pageBreakBefore w:val="0"/>
        <w:widowControl w:val="0"/>
        <w:kinsoku/>
        <w:wordWrap/>
        <w:overflowPunct/>
        <w:topLinePunct w:val="0"/>
        <w:autoSpaceDE/>
        <w:autoSpaceDN/>
        <w:bidi w:val="0"/>
        <w:adjustRightInd/>
        <w:snapToGrid w:val="0"/>
        <w:spacing w:line="312" w:lineRule="auto"/>
        <w:textAlignment w:val="auto"/>
        <w:rPr>
          <w:rFonts w:hAnsi="宋体" w:cs="宋体"/>
          <w:color w:val="auto"/>
          <w:sz w:val="21"/>
          <w:szCs w:val="21"/>
          <w:highlight w:val="none"/>
          <w:u w:val="dotted"/>
        </w:rPr>
      </w:pPr>
      <w:r>
        <w:rPr>
          <w:rFonts w:hint="eastAsia" w:hAnsi="宋体" w:cs="宋体"/>
          <w:color w:val="auto"/>
          <w:sz w:val="21"/>
          <w:szCs w:val="21"/>
          <w:highlight w:val="none"/>
          <w:u w:val="dotted"/>
        </w:rPr>
        <w:t xml:space="preserve">                                                      </w:t>
      </w:r>
    </w:p>
    <w:p w14:paraId="7A0B6F91">
      <w:pPr>
        <w:keepNext w:val="0"/>
        <w:keepLines w:val="0"/>
        <w:pageBreakBefore w:val="0"/>
        <w:widowControl w:val="0"/>
        <w:kinsoku/>
        <w:wordWrap/>
        <w:overflowPunct/>
        <w:topLinePunct w:val="0"/>
        <w:autoSpaceDE/>
        <w:autoSpaceDN/>
        <w:bidi w:val="0"/>
        <w:adjustRightInd/>
        <w:snapToGrid w:val="0"/>
        <w:spacing w:line="312" w:lineRule="auto"/>
        <w:textAlignment w:val="auto"/>
        <w:rPr>
          <w:rFonts w:hAnsi="宋体" w:cs="宋体"/>
          <w:color w:val="auto"/>
          <w:sz w:val="21"/>
          <w:szCs w:val="21"/>
          <w:highlight w:val="none"/>
        </w:rPr>
      </w:pPr>
      <w:r>
        <w:rPr>
          <w:rFonts w:hint="eastAsia" w:hAnsi="宋体" w:cs="宋体"/>
          <w:color w:val="auto"/>
          <w:sz w:val="21"/>
          <w:szCs w:val="21"/>
          <w:highlight w:val="none"/>
        </w:rPr>
        <w:t>投诉事项2</w:t>
      </w:r>
    </w:p>
    <w:p w14:paraId="6C1A0698">
      <w:pPr>
        <w:keepNext w:val="0"/>
        <w:keepLines w:val="0"/>
        <w:pageBreakBefore w:val="0"/>
        <w:widowControl w:val="0"/>
        <w:kinsoku/>
        <w:wordWrap/>
        <w:overflowPunct/>
        <w:topLinePunct w:val="0"/>
        <w:autoSpaceDE/>
        <w:autoSpaceDN/>
        <w:bidi w:val="0"/>
        <w:adjustRightInd/>
        <w:snapToGrid w:val="0"/>
        <w:spacing w:line="312" w:lineRule="auto"/>
        <w:textAlignment w:val="auto"/>
        <w:rPr>
          <w:rFonts w:hAnsi="宋体" w:cs="宋体"/>
          <w:color w:val="auto"/>
          <w:sz w:val="21"/>
          <w:szCs w:val="21"/>
          <w:highlight w:val="none"/>
          <w:u w:val="dotted"/>
        </w:rPr>
      </w:pPr>
      <w:r>
        <w:rPr>
          <w:rFonts w:hint="eastAsia" w:hAnsi="宋体" w:cs="宋体"/>
          <w:color w:val="auto"/>
          <w:sz w:val="21"/>
          <w:szCs w:val="21"/>
          <w:highlight w:val="none"/>
        </w:rPr>
        <w:t>……</w:t>
      </w:r>
    </w:p>
    <w:p w14:paraId="31E0513C">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9"/>
        <w:rPr>
          <w:rFonts w:hAnsi="宋体" w:cs="宋体"/>
          <w:color w:val="auto"/>
          <w:sz w:val="21"/>
          <w:szCs w:val="21"/>
          <w:highlight w:val="none"/>
        </w:rPr>
      </w:pPr>
      <w:bookmarkStart w:id="285" w:name="_Toc11195"/>
      <w:r>
        <w:rPr>
          <w:rFonts w:hint="eastAsia" w:hAnsi="宋体" w:cs="宋体"/>
          <w:color w:val="auto"/>
          <w:sz w:val="21"/>
          <w:szCs w:val="21"/>
          <w:highlight w:val="none"/>
        </w:rPr>
        <w:t>五、与投诉事项相关的投诉请求</w:t>
      </w:r>
      <w:bookmarkEnd w:id="285"/>
    </w:p>
    <w:p w14:paraId="3588733E">
      <w:pPr>
        <w:keepNext w:val="0"/>
        <w:keepLines w:val="0"/>
        <w:pageBreakBefore w:val="0"/>
        <w:widowControl w:val="0"/>
        <w:kinsoku/>
        <w:wordWrap/>
        <w:overflowPunct/>
        <w:topLinePunct w:val="0"/>
        <w:autoSpaceDE/>
        <w:autoSpaceDN/>
        <w:bidi w:val="0"/>
        <w:adjustRightInd/>
        <w:snapToGrid w:val="0"/>
        <w:spacing w:line="312" w:lineRule="auto"/>
        <w:textAlignment w:val="auto"/>
        <w:rPr>
          <w:rFonts w:hAnsi="宋体" w:cs="宋体"/>
          <w:color w:val="auto"/>
          <w:sz w:val="21"/>
          <w:szCs w:val="21"/>
          <w:highlight w:val="none"/>
        </w:rPr>
      </w:pPr>
      <w:r>
        <w:rPr>
          <w:rFonts w:hint="eastAsia" w:hAnsi="宋体" w:cs="宋体"/>
          <w:color w:val="auto"/>
          <w:sz w:val="21"/>
          <w:szCs w:val="21"/>
          <w:highlight w:val="none"/>
        </w:rPr>
        <w:t>请求：</w:t>
      </w:r>
      <w:r>
        <w:rPr>
          <w:rFonts w:hint="eastAsia" w:hAnsi="宋体" w:cs="宋体"/>
          <w:color w:val="auto"/>
          <w:sz w:val="21"/>
          <w:szCs w:val="21"/>
          <w:highlight w:val="none"/>
          <w:u w:val="dotted"/>
        </w:rPr>
        <w:t xml:space="preserve">                                              </w:t>
      </w:r>
      <w:r>
        <w:rPr>
          <w:rFonts w:hint="eastAsia" w:hAnsi="宋体" w:cs="宋体"/>
          <w:color w:val="auto"/>
          <w:sz w:val="21"/>
          <w:szCs w:val="21"/>
          <w:highlight w:val="none"/>
        </w:rPr>
        <w:t xml:space="preserve"> </w:t>
      </w:r>
    </w:p>
    <w:p w14:paraId="00E3178D">
      <w:pPr>
        <w:keepNext w:val="0"/>
        <w:keepLines w:val="0"/>
        <w:pageBreakBefore w:val="0"/>
        <w:widowControl w:val="0"/>
        <w:kinsoku/>
        <w:wordWrap/>
        <w:overflowPunct/>
        <w:topLinePunct w:val="0"/>
        <w:autoSpaceDE/>
        <w:autoSpaceDN/>
        <w:bidi w:val="0"/>
        <w:adjustRightInd/>
        <w:snapToGrid w:val="0"/>
        <w:spacing w:line="312" w:lineRule="auto"/>
        <w:textAlignment w:val="auto"/>
        <w:rPr>
          <w:rFonts w:hAnsi="宋体" w:cs="宋体"/>
          <w:color w:val="auto"/>
          <w:sz w:val="21"/>
          <w:szCs w:val="21"/>
          <w:highlight w:val="none"/>
          <w:u w:val="single"/>
        </w:rPr>
      </w:pPr>
      <w:r>
        <w:rPr>
          <w:rFonts w:hint="eastAsia" w:hAnsi="宋体" w:cs="宋体"/>
          <w:color w:val="auto"/>
          <w:sz w:val="21"/>
          <w:szCs w:val="21"/>
          <w:highlight w:val="none"/>
        </w:rPr>
        <w:t xml:space="preserve">                                                                                                    </w:t>
      </w:r>
    </w:p>
    <w:p w14:paraId="0AF30742">
      <w:pPr>
        <w:rPr>
          <w:sz w:val="21"/>
          <w:szCs w:val="21"/>
        </w:rPr>
      </w:pPr>
      <w:bookmarkStart w:id="286" w:name="_Toc9814"/>
      <w:bookmarkStart w:id="287" w:name="_Toc22268"/>
      <w:r>
        <w:rPr>
          <w:rFonts w:hint="eastAsia" w:hAnsi="宋体" w:cs="宋体"/>
          <w:color w:val="auto"/>
          <w:sz w:val="21"/>
          <w:szCs w:val="21"/>
          <w:highlight w:val="none"/>
        </w:rPr>
        <w:t>签字(签章)：                   公章：</w:t>
      </w:r>
      <w:bookmarkEnd w:id="286"/>
      <w:bookmarkEnd w:id="287"/>
    </w:p>
    <w:sectPr>
      <w:pgSz w:w="11906" w:h="16838"/>
      <w:pgMar w:top="1417" w:right="1417" w:bottom="1417"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Helvetica">
    <w:altName w:val="Arial"/>
    <w:panose1 w:val="020B0604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35400">
    <w:pPr>
      <w:tabs>
        <w:tab w:val="left" w:pos="5646"/>
      </w:tabs>
      <w:rPr>
        <w:sz w:val="18"/>
        <w:szCs w:val="18"/>
      </w:rPr>
    </w:pPr>
    <w:r>
      <w:rPr>
        <w:sz w:val="18"/>
        <w:szCs w:val="18"/>
      </w:rPr>
      <mc:AlternateContent>
        <mc:Choice Requires="wps">
          <w:drawing>
            <wp:anchor distT="0" distB="0" distL="114300" distR="114300" simplePos="0" relativeHeight="251663360"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ACE455B">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3360;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BsFYq3GAQAAmwMAAA4AAAAAAAAAAQAgAAAAIwEAAGRycy9lMm9E&#10;b2MueG1sUEsFBgAAAAAGAAYAWQEAAFsFAAAAAA==&#10;">
              <v:fill on="f" focussize="0,0"/>
              <v:stroke on="f"/>
              <v:imagedata o:title=""/>
              <o:lock v:ext="edit" aspectratio="f"/>
              <v:textbox inset="0mm,0mm,0mm,0mm" style="mso-fit-shape-to-text:t;">
                <w:txbxContent>
                  <w:p w14:paraId="3ACE455B">
                    <w:pPr>
                      <w:snapToGrid w:val="0"/>
                      <w:rPr>
                        <w:sz w:val="18"/>
                      </w:rPr>
                    </w:pPr>
                  </w:p>
                </w:txbxContent>
              </v:textbox>
            </v:shape>
          </w:pict>
        </mc:Fallback>
      </mc:AlternateContent>
    </w:r>
    <w:r>
      <w:rPr>
        <w:rFonts w:hint="eastAsia"/>
        <w:sz w:val="18"/>
        <w:szCs w:val="18"/>
      </w:rPr>
      <w:t xml:space="preserve"> </w:t>
    </w:r>
    <w:r>
      <w:rPr>
        <w:rFonts w:hint="eastAsia" w:cs="宋体"/>
        <w:color w:val="333333"/>
        <w:sz w:val="18"/>
        <w:szCs w:val="18"/>
        <w:shd w:val="clear" w:color="auto" w:fill="FFFFFF"/>
        <w:lang w:eastAsia="zh-CN"/>
      </w:rPr>
      <w:t>陕西中源项目管理有限公司</w:t>
    </w:r>
    <w:r>
      <w:rPr>
        <w:rFonts w:hint="eastAsia"/>
        <w:sz w:val="18"/>
        <w:szCs w:val="18"/>
      </w:rPr>
      <w:t xml:space="preserve">                                   地址：</w:t>
    </w:r>
    <w:r>
      <w:rPr>
        <w:sz w:val="18"/>
        <w:szCs w:val="18"/>
      </w:rPr>
      <mc:AlternateContent>
        <mc:Choice Requires="wps">
          <w:drawing>
            <wp:anchor distT="0" distB="0" distL="114300" distR="114300" simplePos="0" relativeHeight="251662336"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D8680CF">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2336;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Kx2gwrGAQAAmwMAAA4AAAAAAAAAAQAgAAAAIwEAAGRycy9lMm9E&#10;b2MueG1sUEsFBgAAAAAGAAYAWQEAAFsFAAAAAA==&#10;">
              <v:fill on="f" focussize="0,0"/>
              <v:stroke on="f"/>
              <v:imagedata o:title=""/>
              <o:lock v:ext="edit" aspectratio="f"/>
              <v:textbox inset="0mm,0mm,0mm,0mm" style="mso-fit-shape-to-text:t;">
                <w:txbxContent>
                  <w:p w14:paraId="0D8680CF">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1312"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D2ECDCD">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1312;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Mtk7rrGAQAAmwMAAA4AAAAAAAAAAQAgAAAAIwEAAGRycy9lMm9E&#10;b2MueG1sUEsFBgAAAAAGAAYAWQEAAFsFAAAAAA==&#10;">
              <v:fill on="f" focussize="0,0"/>
              <v:stroke on="f"/>
              <v:imagedata o:title=""/>
              <o:lock v:ext="edit" aspectratio="f"/>
              <v:textbox inset="0mm,0mm,0mm,0mm" style="mso-fit-shape-to-text:t;">
                <w:txbxContent>
                  <w:p w14:paraId="5D2ECDCD">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0288"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4D49E19">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0288;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CNUKLHGAQAAmwMAAA4AAAAAAAAAAQAgAAAAIwEAAGRycy9lMm9E&#10;b2MueG1sUEsFBgAAAAAGAAYAWQEAAFsFAAAAAA==&#10;">
              <v:fill on="f" focussize="0,0"/>
              <v:stroke on="f"/>
              <v:imagedata o:title=""/>
              <o:lock v:ext="edit" aspectratio="f"/>
              <v:textbox inset="0mm,0mm,0mm,0mm" style="mso-fit-shape-to-text:t;">
                <w:txbxContent>
                  <w:p w14:paraId="74D49E19">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6EF3094">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ZFAcYBAACbAwAADgAAAGRycy9lMm9Eb2MueG1srVNLbtswEN0X6B0I&#10;7mspXjSG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mpI/rbQ6Qx8nQJdYQiVsmhN8v8pv1KS/HYz1UP/9Tm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ERkUBxgEAAJsDAAAOAAAAAAAAAAEAIAAAAB4BAABkcnMvZTJvRG9jLnht&#10;bFBLBQYAAAAABgAGAFkBAABWBQAAAAA=&#10;">
              <v:fill on="f" focussize="0,0"/>
              <v:stroke on="f"/>
              <v:imagedata o:title=""/>
              <o:lock v:ext="edit" aspectratio="f"/>
              <v:textbox inset="0mm,0mm,0mm,0mm" style="mso-fit-shape-to-text:t;">
                <w:txbxContent>
                  <w:p w14:paraId="26EF3094">
                    <w:pPr>
                      <w:snapToGrid w:val="0"/>
                      <w:rPr>
                        <w:sz w:val="18"/>
                      </w:rPr>
                    </w:pPr>
                  </w:p>
                </w:txbxContent>
              </v:textbox>
            </v:shape>
          </w:pict>
        </mc:Fallback>
      </mc:AlternateContent>
    </w:r>
    <w:r>
      <w:rPr>
        <w:rFonts w:hint="eastAsia"/>
        <w:sz w:val="18"/>
        <w:szCs w:val="18"/>
      </w:rPr>
      <w:t>陕西省西安市未央区未央路 171-1 银池广场道拉斯财富中心 21 楼 03 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7247E">
    <w:pPr>
      <w:tabs>
        <w:tab w:val="left" w:pos="5646"/>
      </w:tabs>
    </w:pPr>
    <w:r>
      <w:rPr>
        <w:sz w:val="18"/>
        <w:szCs w:val="18"/>
      </w:rPr>
      <mc:AlternateContent>
        <mc:Choice Requires="wps">
          <w:drawing>
            <wp:anchor distT="0" distB="0" distL="114300" distR="114300" simplePos="0" relativeHeight="25166438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8AF946E">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4384;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FuS7ALGAQAAnQMAAA4AAAAAAAAAAQAgAAAAIwEAAGRycy9lMm9E&#10;b2MueG1sUEsFBgAAAAAGAAYAWQEAAFsFAAAAAA==&#10;">
              <v:fill on="f" focussize="0,0"/>
              <v:stroke on="f"/>
              <v:imagedata o:title=""/>
              <o:lock v:ext="edit" aspectratio="f"/>
              <v:textbox inset="0mm,0mm,0mm,0mm" style="mso-fit-shape-to-text:t;">
                <w:txbxContent>
                  <w:p w14:paraId="68AF946E">
                    <w:pPr>
                      <w:snapToGrid w:val="0"/>
                      <w:rPr>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F4D18">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46EAD">
    <w:pPr>
      <w:pStyle w:val="13"/>
      <w:jc w:val="center"/>
      <w:rPr>
        <w:rFonts w:hint="default" w:ascii="Times New Roman" w:hAnsi="Times New Roman" w:eastAsia="宋体" w:cs="Times New Roman"/>
        <w:lang w:val="en-US"/>
      </w:rPr>
    </w:pPr>
    <w:r>
      <w:rPr>
        <w:rFonts w:ascii="Times New Roman" w:hAnsi="Times New Roman" w:eastAsia="宋体" w:cs="Times New Roman"/>
      </w:rPr>
      <mc:AlternateContent>
        <mc:Choice Requires="wps">
          <w:drawing>
            <wp:anchor distT="0" distB="0" distL="114300" distR="114300" simplePos="0" relativeHeight="251665408"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DBC8E20">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5408;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CtlDOVxwEAAJ0DAAAOAAAAAAAAAAEAIAAAACMBAABkcnMvZTJv&#10;RG9jLnhtbFBLBQYAAAAABgAGAFkBAABcBQAAAAA=&#10;">
              <v:fill on="f" focussize="0,0"/>
              <v:stroke on="f"/>
              <v:imagedata o:title=""/>
              <o:lock v:ext="edit" aspectratio="f"/>
              <v:textbox inset="0mm,0mm,0mm,0mm" style="mso-fit-shape-to-text:t;">
                <w:txbxContent>
                  <w:p w14:paraId="4DBC8E20">
                    <w:pPr>
                      <w:snapToGrid w:val="0"/>
                      <w:rPr>
                        <w:sz w:val="18"/>
                      </w:rPr>
                    </w:pPr>
                  </w:p>
                </w:txbxContent>
              </v:textbox>
            </v:shape>
          </w:pict>
        </mc:Fallback>
      </mc:AlternateContent>
    </w:r>
    <w:r>
      <w:rPr>
        <w:rFonts w:hint="eastAsia" w:cs="Times New Roman"/>
        <w:lang w:val="en-US" w:eastAsia="zh-CN"/>
      </w:rPr>
      <w:t>44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8BEC1">
    <w:pPr>
      <w:pStyle w:val="13"/>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0C2AC">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80C2AC">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0E410A55">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BDB43">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C457B3">
                          <w:pPr>
                            <w:pStyle w:val="1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4C457B3">
                    <w:pPr>
                      <w:pStyle w:val="1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FCEA5">
    <w:pPr>
      <w:pStyle w:val="13"/>
      <w:tabs>
        <w:tab w:val="center" w:pos="4213"/>
        <w:tab w:val="left" w:pos="5406"/>
      </w:tabs>
      <w:jc w:val="left"/>
      <w:rPr>
        <w:rFonts w:hint="default" w:ascii="Times New Roman" w:hAnsi="Times New Roman" w:eastAsia="宋体" w:cs="Times New Roman"/>
        <w:lang w:val="en-US"/>
      </w:rPr>
    </w:pPr>
    <w:r>
      <w:rPr>
        <w:rFonts w:ascii="Times New Roman" w:hAnsi="Times New Roman" w:eastAsia="宋体" w:cs="Times New Roman"/>
      </w:rPr>
      <mc:AlternateContent>
        <mc:Choice Requires="wps">
          <w:drawing>
            <wp:anchor distT="0" distB="0" distL="114300" distR="114300" simplePos="0" relativeHeight="251668480"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30D20B3">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8480;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J1FibDGAQAAnQMAAA4AAAAAAAAAAQAgAAAAIwEAAGRycy9lMm9E&#10;b2MueG1sUEsFBgAAAAAGAAYAWQEAAFsFAAAAAA==&#10;">
              <v:fill on="f" focussize="0,0"/>
              <v:stroke on="f"/>
              <v:imagedata o:title=""/>
              <o:lock v:ext="edit" aspectratio="f"/>
              <v:textbox inset="0mm,0mm,0mm,0mm" style="mso-fit-shape-to-text:t;">
                <w:txbxContent>
                  <w:p w14:paraId="630D20B3">
                    <w:pPr>
                      <w:snapToGrid w:val="0"/>
                      <w:rPr>
                        <w:sz w:val="18"/>
                      </w:rPr>
                    </w:pPr>
                  </w:p>
                </w:txbxContent>
              </v:textbox>
            </v:shape>
          </w:pict>
        </mc:Fallback>
      </mc:AlternateContent>
    </w:r>
    <w:r>
      <w:rPr>
        <w:rFonts w:hint="eastAsia" w:cs="Times New Roman"/>
        <w:lang w:val="en-US" w:eastAsia="zh-CN"/>
      </w:rPr>
      <w:tab/>
    </w:r>
    <w:r>
      <w:rPr>
        <w:rFonts w:hint="eastAsia" w:cs="Times New Roman"/>
        <w:lang w:val="en-US" w:eastAsia="zh-CN"/>
      </w:rPr>
      <w:t>37</w:t>
    </w:r>
    <w:r>
      <w:rPr>
        <w:rFonts w:hint="eastAsia" w:cs="Times New Roman"/>
        <w:lang w:val="en-US"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D2DF3">
    <w:pPr>
      <w:pStyle w:val="14"/>
      <w:pBdr>
        <w:bottom w:val="single" w:color="auto" w:sz="4" w:space="1"/>
      </w:pBdr>
      <w:tabs>
        <w:tab w:val="left" w:pos="2307"/>
        <w:tab w:val="clear" w:pos="4153"/>
      </w:tabs>
      <w:jc w:val="left"/>
      <w:rPr>
        <w:sz w:val="16"/>
        <w:szCs w:val="16"/>
      </w:rPr>
    </w:pPr>
    <w:r>
      <w:rPr>
        <w:rFonts w:hint="eastAsia" w:hAnsi="宋体"/>
        <w:sz w:val="16"/>
        <w:szCs w:val="16"/>
      </w:rPr>
      <w:t>陕西省人民检察院西安铁路运输分院、西安铁路运输检察院“两房”信息化建设项目-分院多功能厅与西安院多功能厅及远程视频接访室分项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68648">
    <w:pPr>
      <w:pStyle w:val="14"/>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B1852">
    <w:pPr>
      <w:pStyle w:val="14"/>
      <w:pBdr>
        <w:bottom w:val="none" w:color="auto" w:sz="0" w:space="1"/>
      </w:pBdr>
      <w:tabs>
        <w:tab w:val="left" w:pos="2307"/>
        <w:tab w:val="clear" w:pos="4153"/>
      </w:tabs>
      <w:jc w:val="left"/>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5E18A">
    <w:pPr>
      <w:pStyle w:val="14"/>
      <w:pBdr>
        <w:bottom w:val="none" w:color="auto" w:sz="0" w:space="1"/>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D9FDB">
    <w:pPr>
      <w:pStyle w:val="14"/>
      <w:pBdr>
        <w:bottom w:val="none" w:color="auto" w:sz="0" w:space="1"/>
      </w:pBdr>
      <w:tabs>
        <w:tab w:val="left" w:pos="2307"/>
        <w:tab w:val="clear" w:pos="4153"/>
      </w:tabs>
      <w:jc w:val="left"/>
      <w:rPr>
        <w:sz w:val="16"/>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29592">
    <w:pPr>
      <w:pStyle w:val="14"/>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895713"/>
    <w:multiLevelType w:val="singleLevel"/>
    <w:tmpl w:val="8A895713"/>
    <w:lvl w:ilvl="0" w:tentative="0">
      <w:start w:val="2"/>
      <w:numFmt w:val="decimal"/>
      <w:suff w:val="nothing"/>
      <w:lvlText w:val="%1、"/>
      <w:lvlJc w:val="left"/>
    </w:lvl>
  </w:abstractNum>
  <w:abstractNum w:abstractNumId="1">
    <w:nsid w:val="97E975D4"/>
    <w:multiLevelType w:val="singleLevel"/>
    <w:tmpl w:val="97E975D4"/>
    <w:lvl w:ilvl="0" w:tentative="0">
      <w:start w:val="1"/>
      <w:numFmt w:val="chineseCounting"/>
      <w:suff w:val="nothing"/>
      <w:lvlText w:val="%1、"/>
      <w:lvlJc w:val="left"/>
      <w:rPr>
        <w:rFonts w:hint="eastAsia"/>
      </w:rPr>
    </w:lvl>
  </w:abstractNum>
  <w:abstractNum w:abstractNumId="2">
    <w:nsid w:val="AB75B611"/>
    <w:multiLevelType w:val="singleLevel"/>
    <w:tmpl w:val="AB75B611"/>
    <w:lvl w:ilvl="0" w:tentative="0">
      <w:start w:val="3"/>
      <w:numFmt w:val="chineseCounting"/>
      <w:suff w:val="space"/>
      <w:lvlText w:val="第%1章"/>
      <w:lvlJc w:val="left"/>
      <w:rPr>
        <w:rFonts w:hint="eastAsia"/>
      </w:rPr>
    </w:lvl>
  </w:abstractNum>
  <w:abstractNum w:abstractNumId="3">
    <w:nsid w:val="BAA5057A"/>
    <w:multiLevelType w:val="singleLevel"/>
    <w:tmpl w:val="BAA5057A"/>
    <w:lvl w:ilvl="0" w:tentative="0">
      <w:start w:val="1"/>
      <w:numFmt w:val="decimal"/>
      <w:lvlText w:val="%1."/>
      <w:lvlJc w:val="left"/>
      <w:pPr>
        <w:tabs>
          <w:tab w:val="left" w:pos="312"/>
        </w:tabs>
      </w:pPr>
    </w:lvl>
  </w:abstractNum>
  <w:abstractNum w:abstractNumId="4">
    <w:nsid w:val="BF63CBF3"/>
    <w:multiLevelType w:val="singleLevel"/>
    <w:tmpl w:val="BF63CBF3"/>
    <w:lvl w:ilvl="0" w:tentative="0">
      <w:start w:val="1"/>
      <w:numFmt w:val="chineseCounting"/>
      <w:suff w:val="nothing"/>
      <w:lvlText w:val="%1、"/>
      <w:lvlJc w:val="left"/>
      <w:rPr>
        <w:rFonts w:hint="eastAsia"/>
      </w:rPr>
    </w:lvl>
  </w:abstractNum>
  <w:abstractNum w:abstractNumId="5">
    <w:nsid w:val="F46F4799"/>
    <w:multiLevelType w:val="singleLevel"/>
    <w:tmpl w:val="F46F4799"/>
    <w:lvl w:ilvl="0" w:tentative="0">
      <w:start w:val="3"/>
      <w:numFmt w:val="chineseCounting"/>
      <w:suff w:val="nothing"/>
      <w:lvlText w:val="%1、"/>
      <w:lvlJc w:val="left"/>
      <w:rPr>
        <w:rFonts w:hint="eastAsia"/>
      </w:rPr>
    </w:lvl>
  </w:abstractNum>
  <w:abstractNum w:abstractNumId="6">
    <w:nsid w:val="FE6013CA"/>
    <w:multiLevelType w:val="singleLevel"/>
    <w:tmpl w:val="FE6013CA"/>
    <w:lvl w:ilvl="0" w:tentative="0">
      <w:start w:val="1"/>
      <w:numFmt w:val="chineseCounting"/>
      <w:suff w:val="nothing"/>
      <w:lvlText w:val="%1、"/>
      <w:lvlJc w:val="left"/>
      <w:rPr>
        <w:rFonts w:hint="eastAsia"/>
      </w:rPr>
    </w:lvl>
  </w:abstractNum>
  <w:abstractNum w:abstractNumId="7">
    <w:nsid w:val="14B66CD3"/>
    <w:multiLevelType w:val="singleLevel"/>
    <w:tmpl w:val="14B66CD3"/>
    <w:lvl w:ilvl="0" w:tentative="0">
      <w:start w:val="1"/>
      <w:numFmt w:val="chineseCounting"/>
      <w:suff w:val="nothing"/>
      <w:lvlText w:val="%1、"/>
      <w:lvlJc w:val="left"/>
      <w:rPr>
        <w:rFonts w:hint="eastAsia"/>
      </w:rPr>
    </w:lvl>
  </w:abstractNum>
  <w:abstractNum w:abstractNumId="8">
    <w:nsid w:val="53EC41AD"/>
    <w:multiLevelType w:val="singleLevel"/>
    <w:tmpl w:val="53EC41AD"/>
    <w:lvl w:ilvl="0" w:tentative="0">
      <w:start w:val="1"/>
      <w:numFmt w:val="decimal"/>
      <w:lvlText w:val="（%1）"/>
      <w:lvlJc w:val="left"/>
      <w:pPr>
        <w:tabs>
          <w:tab w:val="left" w:pos="720"/>
        </w:tabs>
        <w:ind w:left="720" w:hanging="720"/>
      </w:pPr>
      <w:rPr>
        <w:rFonts w:hint="eastAsia"/>
      </w:rPr>
    </w:lvl>
  </w:abstractNum>
  <w:abstractNum w:abstractNumId="9">
    <w:nsid w:val="59B2460E"/>
    <w:multiLevelType w:val="singleLevel"/>
    <w:tmpl w:val="59B2460E"/>
    <w:lvl w:ilvl="0" w:tentative="0">
      <w:start w:val="2"/>
      <w:numFmt w:val="decimal"/>
      <w:suff w:val="nothing"/>
      <w:lvlText w:val="%1."/>
      <w:lvlJc w:val="left"/>
    </w:lvl>
  </w:abstractNum>
  <w:abstractNum w:abstractNumId="10">
    <w:nsid w:val="59B25AF4"/>
    <w:multiLevelType w:val="singleLevel"/>
    <w:tmpl w:val="59B25AF4"/>
    <w:lvl w:ilvl="0" w:tentative="0">
      <w:start w:val="1"/>
      <w:numFmt w:val="decimal"/>
      <w:suff w:val="nothing"/>
      <w:lvlText w:val="（%1）"/>
      <w:lvlJc w:val="left"/>
    </w:lvl>
  </w:abstractNum>
  <w:abstractNum w:abstractNumId="11">
    <w:nsid w:val="59B64AF0"/>
    <w:multiLevelType w:val="singleLevel"/>
    <w:tmpl w:val="59B64AF0"/>
    <w:lvl w:ilvl="0" w:tentative="0">
      <w:start w:val="16"/>
      <w:numFmt w:val="decimal"/>
      <w:suff w:val="nothing"/>
      <w:lvlText w:val="%1."/>
      <w:lvlJc w:val="left"/>
    </w:lvl>
  </w:abstractNum>
  <w:abstractNum w:abstractNumId="12">
    <w:nsid w:val="78209657"/>
    <w:multiLevelType w:val="singleLevel"/>
    <w:tmpl w:val="78209657"/>
    <w:lvl w:ilvl="0" w:tentative="0">
      <w:start w:val="1"/>
      <w:numFmt w:val="chineseCounting"/>
      <w:suff w:val="nothing"/>
      <w:lvlText w:val="%1、"/>
      <w:lvlJc w:val="left"/>
      <w:rPr>
        <w:rFonts w:hint="eastAsia"/>
      </w:rPr>
    </w:lvl>
  </w:abstractNum>
  <w:num w:numId="1">
    <w:abstractNumId w:val="3"/>
  </w:num>
  <w:num w:numId="2">
    <w:abstractNumId w:val="9"/>
  </w:num>
  <w:num w:numId="3">
    <w:abstractNumId w:val="11"/>
  </w:num>
  <w:num w:numId="4">
    <w:abstractNumId w:val="10"/>
  </w:num>
  <w:num w:numId="5">
    <w:abstractNumId w:val="2"/>
  </w:num>
  <w:num w:numId="6">
    <w:abstractNumId w:val="1"/>
  </w:num>
  <w:num w:numId="7">
    <w:abstractNumId w:val="0"/>
  </w:num>
  <w:num w:numId="8">
    <w:abstractNumId w:val="6"/>
  </w:num>
  <w:num w:numId="9">
    <w:abstractNumId w:val="4"/>
  </w:num>
  <w:num w:numId="10">
    <w:abstractNumId w:val="12"/>
  </w:num>
  <w:num w:numId="11">
    <w:abstractNumId w:val="7"/>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748D6"/>
    <w:rsid w:val="013A63A6"/>
    <w:rsid w:val="01D94532"/>
    <w:rsid w:val="022625D9"/>
    <w:rsid w:val="0E8250C5"/>
    <w:rsid w:val="14567B41"/>
    <w:rsid w:val="19296EDF"/>
    <w:rsid w:val="19B503F2"/>
    <w:rsid w:val="1B0748D6"/>
    <w:rsid w:val="1C6120B7"/>
    <w:rsid w:val="1EF97075"/>
    <w:rsid w:val="1FE656A3"/>
    <w:rsid w:val="20FE7DF2"/>
    <w:rsid w:val="237F71CE"/>
    <w:rsid w:val="23FF2E7C"/>
    <w:rsid w:val="2BB90F11"/>
    <w:rsid w:val="2D5F2163"/>
    <w:rsid w:val="351245CC"/>
    <w:rsid w:val="38D753D5"/>
    <w:rsid w:val="395F3294"/>
    <w:rsid w:val="3A3F5565"/>
    <w:rsid w:val="3ABE4805"/>
    <w:rsid w:val="3CB728A0"/>
    <w:rsid w:val="3E7257BA"/>
    <w:rsid w:val="44BD7EFD"/>
    <w:rsid w:val="472A456E"/>
    <w:rsid w:val="47F64131"/>
    <w:rsid w:val="495C5A12"/>
    <w:rsid w:val="4A640155"/>
    <w:rsid w:val="4C705CC5"/>
    <w:rsid w:val="4DBD0A2C"/>
    <w:rsid w:val="4FAD6AEC"/>
    <w:rsid w:val="50D4406A"/>
    <w:rsid w:val="52A6366D"/>
    <w:rsid w:val="546D634F"/>
    <w:rsid w:val="54A90E86"/>
    <w:rsid w:val="566C1362"/>
    <w:rsid w:val="57164267"/>
    <w:rsid w:val="58F769FC"/>
    <w:rsid w:val="5EB63712"/>
    <w:rsid w:val="665C0DB9"/>
    <w:rsid w:val="67C11B72"/>
    <w:rsid w:val="6B010D89"/>
    <w:rsid w:val="73561155"/>
    <w:rsid w:val="7BB77C49"/>
    <w:rsid w:val="7C48004F"/>
    <w:rsid w:val="7D6E0089"/>
    <w:rsid w:val="7E06519F"/>
    <w:rsid w:val="7EE95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qFormat/>
    <w:uiPriority w:val="0"/>
    <w:pPr>
      <w:keepNext/>
      <w:outlineLvl w:val="0"/>
    </w:pPr>
    <w:rPr>
      <w:rFonts w:ascii="仿宋_GB2312" w:hAnsi="宋体" w:eastAsia="仿宋_GB2312"/>
      <w:b/>
      <w:kern w:val="2"/>
      <w:sz w:val="32"/>
    </w:rPr>
  </w:style>
  <w:style w:type="paragraph" w:styleId="3">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4">
    <w:name w:val="heading 3"/>
    <w:basedOn w:val="1"/>
    <w:next w:val="1"/>
    <w:qFormat/>
    <w:uiPriority w:val="0"/>
    <w:pPr>
      <w:keepNext/>
      <w:spacing w:before="624" w:beforeLines="200" w:line="400" w:lineRule="exact"/>
      <w:jc w:val="center"/>
      <w:outlineLvl w:val="2"/>
    </w:pPr>
    <w:rPr>
      <w:rFonts w:ascii="Times New Roman"/>
      <w:b/>
      <w:bCs/>
      <w:kern w:val="2"/>
      <w:szCs w:val="24"/>
    </w:rPr>
  </w:style>
  <w:style w:type="paragraph" w:styleId="5">
    <w:name w:val="heading 4"/>
    <w:basedOn w:val="1"/>
    <w:next w:val="1"/>
    <w:qFormat/>
    <w:uiPriority w:val="0"/>
    <w:pPr>
      <w:keepNext/>
      <w:keepLines/>
      <w:widowControl/>
      <w:spacing w:before="280" w:after="290" w:line="376" w:lineRule="auto"/>
      <w:jc w:val="left"/>
      <w:outlineLvl w:val="3"/>
    </w:pPr>
    <w:rPr>
      <w:rFonts w:ascii="Arial" w:hAnsi="Arial" w:eastAsia="黑体"/>
      <w:b/>
      <w:bCs/>
      <w:sz w:val="28"/>
      <w:szCs w:val="28"/>
    </w:rPr>
  </w:style>
  <w:style w:type="paragraph" w:styleId="6">
    <w:name w:val="heading 6"/>
    <w:basedOn w:val="1"/>
    <w:next w:val="1"/>
    <w:semiHidden/>
    <w:unhideWhenUsed/>
    <w:qFormat/>
    <w:uiPriority w:val="0"/>
    <w:pPr>
      <w:spacing w:beforeAutospacing="1" w:afterAutospacing="1"/>
      <w:jc w:val="left"/>
      <w:outlineLvl w:val="5"/>
    </w:pPr>
    <w:rPr>
      <w:rFonts w:hint="eastAsia" w:hAnsi="宋体"/>
      <w:b/>
      <w:bCs/>
      <w:sz w:val="15"/>
      <w:szCs w:val="15"/>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spacing w:line="300" w:lineRule="auto"/>
      <w:ind w:firstLine="420" w:firstLineChars="200"/>
    </w:pPr>
    <w:rPr>
      <w:rFonts w:ascii="Calibri" w:hAnsi="Calibri Light" w:eastAsia="华文仿宋"/>
      <w:kern w:val="2"/>
      <w:sz w:val="21"/>
      <w:szCs w:val="24"/>
    </w:rPr>
  </w:style>
  <w:style w:type="paragraph" w:styleId="8">
    <w:name w:val="annotation text"/>
    <w:basedOn w:val="1"/>
    <w:qFormat/>
    <w:uiPriority w:val="99"/>
    <w:pPr>
      <w:jc w:val="left"/>
    </w:pPr>
    <w:rPr>
      <w:rFonts w:ascii="宋体" w:hAnsi="Times New Roman" w:eastAsia="宋体" w:cs="Times New Roman"/>
      <w:kern w:val="0"/>
      <w:sz w:val="24"/>
      <w:szCs w:val="20"/>
    </w:rPr>
  </w:style>
  <w:style w:type="paragraph" w:styleId="9">
    <w:name w:val="Body Text"/>
    <w:basedOn w:val="1"/>
    <w:next w:val="1"/>
    <w:qFormat/>
    <w:uiPriority w:val="0"/>
    <w:pPr>
      <w:spacing w:after="120"/>
    </w:pPr>
    <w:rPr>
      <w:rFonts w:ascii="Times New Roman"/>
      <w:kern w:val="2"/>
      <w:sz w:val="21"/>
    </w:rPr>
  </w:style>
  <w:style w:type="paragraph" w:styleId="10">
    <w:name w:val="Body Text Indent"/>
    <w:basedOn w:val="1"/>
    <w:qFormat/>
    <w:uiPriority w:val="0"/>
    <w:pPr>
      <w:widowControl/>
      <w:ind w:firstLine="652" w:firstLineChars="233"/>
    </w:pPr>
    <w:rPr>
      <w:rFonts w:ascii="Times New Roman"/>
      <w:sz w:val="28"/>
    </w:rPr>
  </w:style>
  <w:style w:type="paragraph" w:styleId="11">
    <w:name w:val="index 4"/>
    <w:basedOn w:val="1"/>
    <w:next w:val="1"/>
    <w:unhideWhenUsed/>
    <w:qFormat/>
    <w:uiPriority w:val="99"/>
    <w:pPr>
      <w:ind w:left="428" w:firstLine="140"/>
    </w:pPr>
  </w:style>
  <w:style w:type="paragraph" w:styleId="12">
    <w:name w:val="Plain Text"/>
    <w:basedOn w:val="1"/>
    <w:qFormat/>
    <w:uiPriority w:val="0"/>
    <w:rPr>
      <w:rFonts w:hAnsi="Courier New"/>
      <w:kern w:val="2"/>
      <w:sz w:val="21"/>
    </w:rPr>
  </w:style>
  <w:style w:type="paragraph" w:styleId="13">
    <w:name w:val="footer"/>
    <w:basedOn w:val="1"/>
    <w:qFormat/>
    <w:uiPriority w:val="99"/>
    <w:pPr>
      <w:tabs>
        <w:tab w:val="center" w:pos="4153"/>
        <w:tab w:val="right" w:pos="8306"/>
      </w:tabs>
      <w:snapToGrid w:val="0"/>
      <w:jc w:val="left"/>
    </w:pPr>
    <w:rPr>
      <w:rFonts w:ascii="Times New Roman"/>
      <w:kern w:val="2"/>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15">
    <w:name w:val="toc 1"/>
    <w:basedOn w:val="1"/>
    <w:next w:val="1"/>
    <w:unhideWhenUsed/>
    <w:qFormat/>
    <w:uiPriority w:val="39"/>
    <w:pPr>
      <w:tabs>
        <w:tab w:val="left" w:pos="1418"/>
        <w:tab w:val="right" w:leader="dot" w:pos="8302"/>
      </w:tabs>
      <w:spacing w:line="960" w:lineRule="auto"/>
    </w:pPr>
  </w:style>
  <w:style w:type="paragraph" w:styleId="16">
    <w:name w:val="Normal (Web)"/>
    <w:basedOn w:val="1"/>
    <w:qFormat/>
    <w:uiPriority w:val="99"/>
    <w:pPr>
      <w:widowControl/>
      <w:spacing w:before="100" w:beforeAutospacing="1" w:after="100" w:afterAutospacing="1"/>
      <w:jc w:val="left"/>
    </w:pPr>
    <w:rPr>
      <w:rFonts w:hAnsi="宋体"/>
      <w:szCs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customStyle="1" w:styleId="21">
    <w:name w:val="标题 1 字符"/>
    <w:autoRedefine/>
    <w:qFormat/>
    <w:uiPriority w:val="0"/>
    <w:rPr>
      <w:rFonts w:ascii="仿宋_GB2312" w:hAnsi="宋体" w:eastAsia="仿宋_GB2312"/>
      <w:b/>
      <w:kern w:val="2"/>
      <w:sz w:val="32"/>
    </w:rPr>
  </w:style>
  <w:style w:type="paragraph" w:customStyle="1" w:styleId="22">
    <w:name w:val="正文格式"/>
    <w:autoRedefine/>
    <w:qFormat/>
    <w:uiPriority w:val="0"/>
    <w:pPr>
      <w:spacing w:line="360" w:lineRule="auto"/>
      <w:ind w:firstLine="200" w:firstLineChars="200"/>
    </w:pPr>
    <w:rPr>
      <w:rFonts w:ascii="宋体" w:hAnsi="宋体" w:eastAsia="宋体" w:cs="Times New Roman"/>
      <w:kern w:val="2"/>
      <w:sz w:val="28"/>
      <w:szCs w:val="22"/>
      <w:lang w:val="en-US" w:eastAsia="zh-CN" w:bidi="ar-SA"/>
    </w:rPr>
  </w:style>
  <w:style w:type="paragraph" w:customStyle="1" w:styleId="23">
    <w:name w:val="WPSOffice手动目录 1"/>
    <w:autoRedefine/>
    <w:qFormat/>
    <w:uiPriority w:val="0"/>
    <w:pPr>
      <w:ind w:leftChars="0"/>
    </w:pPr>
    <w:rPr>
      <w:rFonts w:ascii="Times New Roman" w:hAnsi="Times New Roman" w:eastAsia="宋体" w:cs="Times New Roman"/>
      <w:sz w:val="20"/>
      <w:szCs w:val="20"/>
    </w:rPr>
  </w:style>
  <w:style w:type="paragraph" w:customStyle="1" w:styleId="24">
    <w:name w:val="列出段落1"/>
    <w:basedOn w:val="1"/>
    <w:autoRedefine/>
    <w:qFormat/>
    <w:uiPriority w:val="34"/>
    <w:pPr>
      <w:ind w:firstLine="420" w:firstLineChars="200"/>
    </w:pPr>
  </w:style>
  <w:style w:type="paragraph" w:customStyle="1" w:styleId="25">
    <w:name w:val="表格文字中"/>
    <w:basedOn w:val="1"/>
    <w:autoRedefine/>
    <w:qFormat/>
    <w:uiPriority w:val="0"/>
    <w:pPr>
      <w:adjustRightInd w:val="0"/>
      <w:snapToGrid w:val="0"/>
      <w:ind w:left="22" w:leftChars="8"/>
      <w:jc w:val="center"/>
    </w:pPr>
    <w:rPr>
      <w:szCs w:val="24"/>
    </w:rPr>
  </w:style>
  <w:style w:type="paragraph" w:customStyle="1" w:styleId="26">
    <w:name w:val="表注1"/>
    <w:basedOn w:val="1"/>
    <w:autoRedefine/>
    <w:qFormat/>
    <w:uiPriority w:val="0"/>
    <w:pPr>
      <w:adjustRightInd w:val="0"/>
      <w:snapToGrid w:val="0"/>
      <w:spacing w:beforeLines="50" w:line="300" w:lineRule="auto"/>
      <w:ind w:left="350" w:hanging="350" w:hangingChars="350"/>
    </w:pPr>
    <w:rPr>
      <w:rFonts w:eastAsia="仿宋_GB2312"/>
      <w:bCs/>
      <w:color w:val="000000"/>
      <w:szCs w:val="24"/>
    </w:rPr>
  </w:style>
  <w:style w:type="character" w:customStyle="1" w:styleId="27">
    <w:name w:val="标题 3 Char"/>
    <w:autoRedefine/>
    <w:qFormat/>
    <w:uiPriority w:val="0"/>
    <w:rPr>
      <w:rFonts w:ascii="Times New Roman"/>
      <w:b/>
      <w:bCs/>
      <w:kern w:val="2"/>
      <w:szCs w:val="24"/>
    </w:rPr>
  </w:style>
  <w:style w:type="paragraph" w:customStyle="1" w:styleId="28">
    <w:name w:val="列出段落11"/>
    <w:basedOn w:val="1"/>
    <w:autoRedefine/>
    <w:qFormat/>
    <w:uiPriority w:val="34"/>
    <w:pPr>
      <w:ind w:firstLine="420" w:firstLineChars="200"/>
    </w:pPr>
    <w:rPr>
      <w:rFonts w:ascii="Calibri" w:hAnsi="Calibri"/>
      <w:szCs w:val="22"/>
    </w:rPr>
  </w:style>
  <w:style w:type="paragraph" w:customStyle="1" w:styleId="29">
    <w:name w:val="Table Text"/>
    <w:basedOn w:val="1"/>
    <w:semiHidden/>
    <w:qFormat/>
    <w:uiPriority w:val="0"/>
    <w:rPr>
      <w:rFonts w:ascii="宋体" w:hAnsi="宋体" w:eastAsia="宋体" w:cs="宋体"/>
      <w:sz w:val="24"/>
      <w:szCs w:val="24"/>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Char"/>
    <w:basedOn w:val="1"/>
    <w:autoRedefine/>
    <w:qFormat/>
    <w:uiPriority w:val="0"/>
    <w:rPr>
      <w:rFonts w:ascii="Tahoma" w:hAnsi="Tahoma"/>
      <w:sz w:val="24"/>
    </w:rPr>
  </w:style>
  <w:style w:type="paragraph" w:customStyle="1" w:styleId="3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6199</Words>
  <Characters>6872</Characters>
  <Lines>0</Lines>
  <Paragraphs>0</Paragraphs>
  <TotalTime>9</TotalTime>
  <ScaleCrop>false</ScaleCrop>
  <LinksUpToDate>false</LinksUpToDate>
  <CharactersWithSpaces>7040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2025-04-11T12:48:00Z</dcterms:created>
  <dc:creator>救赎</dc:creator>
  <cp:lastModifiedBy>救赎</cp:lastModifiedBy>
  <dcterms:modified xsi:type="dcterms:W3CDTF">2025-09-04T07:37:34Z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C2CEB4F6EBA54C4DBF8A9C4870BDE489_13</vt:lpwstr>
  </property>
  <property fmtid="{D5CDD505-2E9C-101B-9397-08002B2CF9AE}" pid="4" name="KSOTemplateDocerSaveRecord">
    <vt:lpwstr>eyJoZGlkIjoiMTM2MmExZmM3MjhmNDhmZjI1MDBiNWQ3ODkxODIzZGEiLCJ1c2VySWQiOiIxNTU5MDg0MTUyIn0=</vt:lpwstr>
  </property>
</Properties>
</file>