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2"/>
        <w:gridCol w:w="1051"/>
        <w:gridCol w:w="6669"/>
      </w:tblGrid>
      <w:tr w14:paraId="58055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2" w:type="dxa"/>
          </w:tcPr>
          <w:p w14:paraId="64F476AF">
            <w:pPr>
              <w:pStyle w:val="4"/>
              <w:jc w:val="center"/>
              <w:rPr>
                <w:rFonts w:hint="eastAsia" w:ascii="仿宋" w:hAnsi="仿宋" w:eastAsia="仿宋" w:cs="仿宋"/>
              </w:rPr>
            </w:pPr>
            <w:r>
              <w:rPr>
                <w:rFonts w:hint="eastAsia" w:ascii="仿宋" w:hAnsi="仿宋" w:eastAsia="仿宋" w:cs="仿宋"/>
              </w:rPr>
              <w:t>序号</w:t>
            </w:r>
          </w:p>
        </w:tc>
        <w:tc>
          <w:tcPr>
            <w:tcW w:w="1100" w:type="dxa"/>
          </w:tcPr>
          <w:p w14:paraId="0BA7E207">
            <w:pPr>
              <w:pStyle w:val="4"/>
              <w:jc w:val="center"/>
              <w:rPr>
                <w:rFonts w:hint="eastAsia" w:ascii="仿宋" w:hAnsi="仿宋" w:eastAsia="仿宋" w:cs="仿宋"/>
              </w:rPr>
            </w:pPr>
            <w:r>
              <w:rPr>
                <w:rFonts w:hint="eastAsia" w:ascii="仿宋" w:hAnsi="仿宋" w:eastAsia="仿宋" w:cs="仿宋"/>
              </w:rPr>
              <w:t>参数性质</w:t>
            </w:r>
          </w:p>
        </w:tc>
        <w:tc>
          <w:tcPr>
            <w:tcW w:w="6590" w:type="dxa"/>
          </w:tcPr>
          <w:p w14:paraId="058C2AD3">
            <w:pPr>
              <w:pStyle w:val="4"/>
              <w:jc w:val="center"/>
              <w:rPr>
                <w:rFonts w:hint="eastAsia" w:ascii="仿宋" w:hAnsi="仿宋" w:eastAsia="仿宋" w:cs="仿宋"/>
              </w:rPr>
            </w:pPr>
            <w:r>
              <w:rPr>
                <w:rFonts w:hint="eastAsia" w:ascii="仿宋" w:hAnsi="仿宋" w:eastAsia="仿宋" w:cs="仿宋"/>
              </w:rPr>
              <w:t>技术参数与性能指标</w:t>
            </w:r>
          </w:p>
        </w:tc>
      </w:tr>
      <w:tr w14:paraId="04F94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2" w:type="dxa"/>
          </w:tcPr>
          <w:p w14:paraId="2F073EF6">
            <w:pPr>
              <w:pStyle w:val="4"/>
              <w:jc w:val="center"/>
              <w:rPr>
                <w:rFonts w:hint="eastAsia" w:ascii="仿宋" w:hAnsi="仿宋" w:eastAsia="仿宋" w:cs="仿宋"/>
              </w:rPr>
            </w:pPr>
            <w:r>
              <w:rPr>
                <w:rFonts w:hint="eastAsia" w:ascii="仿宋" w:hAnsi="仿宋" w:eastAsia="仿宋" w:cs="仿宋"/>
              </w:rPr>
              <w:t>1</w:t>
            </w:r>
          </w:p>
        </w:tc>
        <w:tc>
          <w:tcPr>
            <w:tcW w:w="1100" w:type="dxa"/>
          </w:tcPr>
          <w:p w14:paraId="6C1162ED">
            <w:pPr>
              <w:jc w:val="center"/>
              <w:rPr>
                <w:rFonts w:hint="eastAsia" w:ascii="仿宋" w:hAnsi="仿宋" w:eastAsia="仿宋" w:cs="仿宋"/>
              </w:rPr>
            </w:pPr>
          </w:p>
        </w:tc>
        <w:tc>
          <w:tcPr>
            <w:tcW w:w="6590" w:type="dxa"/>
          </w:tcPr>
          <w:p w14:paraId="4B904A57">
            <w:pPr>
              <w:pStyle w:val="4"/>
              <w:numPr>
                <w:ilvl w:val="0"/>
                <w:numId w:val="0"/>
              </w:numPr>
              <w:spacing w:line="360" w:lineRule="auto"/>
              <w:jc w:val="left"/>
              <w:rPr>
                <w:rFonts w:hint="eastAsia" w:ascii="仿宋" w:hAnsi="仿宋" w:eastAsia="仿宋" w:cs="仿宋"/>
                <w:b/>
                <w:bCs/>
              </w:rPr>
            </w:pPr>
            <w:r>
              <w:rPr>
                <w:rFonts w:hint="eastAsia" w:ascii="仿宋" w:hAnsi="仿宋" w:eastAsia="仿宋" w:cs="仿宋"/>
                <w:b/>
                <w:bCs/>
              </w:rPr>
              <w:t>1.项目概述</w:t>
            </w:r>
          </w:p>
          <w:p w14:paraId="25184A51">
            <w:pPr>
              <w:pStyle w:val="4"/>
              <w:numPr>
                <w:ilvl w:val="0"/>
                <w:numId w:val="0"/>
              </w:numPr>
              <w:spacing w:line="360" w:lineRule="auto"/>
              <w:jc w:val="left"/>
              <w:rPr>
                <w:rFonts w:hint="eastAsia" w:ascii="仿宋" w:hAnsi="仿宋" w:eastAsia="仿宋" w:cs="仿宋"/>
                <w:b/>
                <w:bCs/>
              </w:rPr>
            </w:pPr>
            <w:r>
              <w:rPr>
                <w:rFonts w:hint="eastAsia" w:ascii="仿宋" w:hAnsi="仿宋" w:eastAsia="仿宋" w:cs="仿宋"/>
                <w:b/>
                <w:bCs/>
              </w:rPr>
              <w:t>1.1项目背景</w:t>
            </w:r>
          </w:p>
          <w:p w14:paraId="40BBBF98">
            <w:pPr>
              <w:pStyle w:val="4"/>
              <w:numPr>
                <w:ilvl w:val="0"/>
                <w:numId w:val="0"/>
              </w:numPr>
              <w:spacing w:line="360" w:lineRule="auto"/>
              <w:ind w:firstLine="400" w:firstLineChars="200"/>
              <w:jc w:val="left"/>
              <w:rPr>
                <w:rFonts w:hint="eastAsia" w:ascii="仿宋" w:hAnsi="仿宋" w:eastAsia="仿宋" w:cs="仿宋"/>
              </w:rPr>
            </w:pPr>
            <w:r>
              <w:rPr>
                <w:rFonts w:hint="eastAsia" w:ascii="仿宋" w:hAnsi="仿宋" w:eastAsia="仿宋" w:cs="仿宋"/>
              </w:rPr>
              <w:t>陕西省《“三秦智医助理”系统暨基层能力提升项目》(以下简称“三秦智医”项目)按照省级统筹建设、省市两级部署、省市县镇村五级应用的总体思路，涵盖了基层卫生一体化应用子系统、基层人工智能辅助智慧医疗子系统、基层卫生综合监管子系统三个领域，同时按需完成县级医疗卫生机构和省市级相关业务信息系统与基层能力提升项目系统的对接，实现数据汇聚与共享，为区域卫生健康综合应用奠定基础。</w:t>
            </w:r>
          </w:p>
          <w:p w14:paraId="42226095">
            <w:pPr>
              <w:pStyle w:val="4"/>
              <w:numPr>
                <w:ilvl w:val="0"/>
                <w:numId w:val="0"/>
              </w:numPr>
              <w:spacing w:line="360" w:lineRule="auto"/>
              <w:ind w:firstLine="400" w:firstLineChars="200"/>
              <w:jc w:val="left"/>
              <w:rPr>
                <w:rFonts w:hint="eastAsia" w:ascii="仿宋" w:hAnsi="仿宋" w:eastAsia="仿宋" w:cs="仿宋"/>
              </w:rPr>
            </w:pPr>
            <w:r>
              <w:rPr>
                <w:rFonts w:hint="eastAsia" w:ascii="仿宋" w:hAnsi="仿宋" w:eastAsia="仿宋" w:cs="仿宋"/>
              </w:rPr>
              <w:t>省级“三秦智医”分3个包采购，其中采购包 1:基层卫生一体化应用子系统(含基层卫生综合监管子系统);采购包2:基层人工智能辅助智慧医疗子系统:采购包3:数据资源建设、数据迁移。</w:t>
            </w:r>
          </w:p>
          <w:p w14:paraId="2054E535">
            <w:pPr>
              <w:pStyle w:val="4"/>
              <w:numPr>
                <w:ilvl w:val="0"/>
                <w:numId w:val="0"/>
              </w:numPr>
              <w:spacing w:line="360" w:lineRule="auto"/>
              <w:jc w:val="left"/>
              <w:rPr>
                <w:rFonts w:hint="eastAsia" w:ascii="仿宋" w:hAnsi="仿宋" w:eastAsia="仿宋" w:cs="仿宋"/>
                <w:lang w:eastAsia="zh-CN"/>
              </w:rPr>
            </w:pPr>
            <w:r>
              <w:rPr>
                <w:rFonts w:hint="eastAsia" w:ascii="仿宋" w:hAnsi="仿宋" w:eastAsia="仿宋" w:cs="仿宋"/>
                <w:b/>
                <w:bCs/>
              </w:rPr>
              <w:t>项目培训:</w:t>
            </w:r>
            <w:r>
              <w:rPr>
                <w:rFonts w:hint="eastAsia" w:ascii="仿宋" w:hAnsi="仿宋" w:eastAsia="仿宋" w:cs="仿宋"/>
              </w:rPr>
              <w:t>省级“三秦智医”项目包1、包2软件开发方向本项目中标方进行培训</w:t>
            </w:r>
            <w:r>
              <w:rPr>
                <w:rFonts w:hint="eastAsia" w:ascii="仿宋" w:hAnsi="仿宋" w:eastAsia="仿宋" w:cs="仿宋"/>
                <w:lang w:eastAsia="zh-CN"/>
              </w:rPr>
              <w:t>。</w:t>
            </w:r>
          </w:p>
          <w:p w14:paraId="0228A584">
            <w:pPr>
              <w:pStyle w:val="4"/>
              <w:numPr>
                <w:ilvl w:val="0"/>
                <w:numId w:val="0"/>
              </w:numPr>
              <w:spacing w:line="360" w:lineRule="auto"/>
              <w:jc w:val="left"/>
              <w:rPr>
                <w:rFonts w:hint="eastAsia" w:ascii="仿宋" w:hAnsi="仿宋" w:eastAsia="仿宋" w:cs="仿宋"/>
              </w:rPr>
            </w:pPr>
            <w:r>
              <w:rPr>
                <w:rFonts w:hint="eastAsia" w:ascii="仿宋" w:hAnsi="仿宋" w:eastAsia="仿宋" w:cs="仿宋"/>
                <w:b/>
                <w:bCs/>
              </w:rPr>
              <w:t>培训内容主要包括:</w:t>
            </w:r>
            <w:r>
              <w:rPr>
                <w:rFonts w:hint="eastAsia" w:ascii="仿宋" w:hAnsi="仿宋" w:eastAsia="仿宋" w:cs="仿宋"/>
              </w:rPr>
              <w:t>应用软件操作培训、系统安装部署培训、系统运维培训，并提供完整的技术培训文档。</w:t>
            </w:r>
          </w:p>
          <w:p w14:paraId="201438C0">
            <w:pPr>
              <w:pStyle w:val="4"/>
              <w:numPr>
                <w:ilvl w:val="0"/>
                <w:numId w:val="0"/>
              </w:numPr>
              <w:spacing w:line="360" w:lineRule="auto"/>
              <w:jc w:val="left"/>
              <w:rPr>
                <w:rFonts w:hint="eastAsia" w:ascii="仿宋" w:hAnsi="仿宋" w:eastAsia="仿宋" w:cs="仿宋"/>
              </w:rPr>
            </w:pPr>
            <w:r>
              <w:rPr>
                <w:rFonts w:hint="eastAsia" w:ascii="仿宋" w:hAnsi="仿宋" w:eastAsia="仿宋" w:cs="仿宋"/>
                <w:b/>
                <w:bCs/>
              </w:rPr>
              <w:t>培训要求：</w:t>
            </w:r>
            <w:r>
              <w:rPr>
                <w:rFonts w:hint="eastAsia" w:ascii="仿宋" w:hAnsi="仿宋" w:eastAsia="仿宋" w:cs="仿宋"/>
              </w:rPr>
              <w:t>项目中标方在实施过程中对所涉及的实施机构应用人员分角色进行技术培训。</w:t>
            </w:r>
          </w:p>
          <w:p w14:paraId="761D5CAE">
            <w:pPr>
              <w:pStyle w:val="4"/>
              <w:numPr>
                <w:ilvl w:val="0"/>
                <w:numId w:val="0"/>
              </w:numPr>
              <w:spacing w:line="360" w:lineRule="auto"/>
              <w:jc w:val="left"/>
              <w:rPr>
                <w:rFonts w:hint="eastAsia" w:ascii="仿宋" w:hAnsi="仿宋" w:eastAsia="仿宋" w:cs="仿宋"/>
              </w:rPr>
            </w:pPr>
            <w:r>
              <w:rPr>
                <w:rFonts w:hint="eastAsia" w:ascii="仿宋" w:hAnsi="仿宋" w:eastAsia="仿宋" w:cs="仿宋"/>
                <w:b/>
                <w:bCs/>
              </w:rPr>
              <w:t>项目验收：</w:t>
            </w:r>
            <w:r>
              <w:rPr>
                <w:rFonts w:hint="eastAsia" w:ascii="仿宋" w:hAnsi="仿宋" w:eastAsia="仿宋" w:cs="仿宋"/>
              </w:rPr>
              <w:t>完成软件部署后，三秦智医软件经过测试由软件采购人进行初步验收。</w:t>
            </w:r>
          </w:p>
          <w:p w14:paraId="5D8E47B2">
            <w:pPr>
              <w:pStyle w:val="4"/>
              <w:numPr>
                <w:ilvl w:val="0"/>
                <w:numId w:val="0"/>
              </w:numPr>
              <w:spacing w:line="360" w:lineRule="auto"/>
              <w:jc w:val="left"/>
              <w:rPr>
                <w:rFonts w:hint="eastAsia" w:ascii="仿宋" w:hAnsi="仿宋" w:eastAsia="仿宋" w:cs="仿宋"/>
              </w:rPr>
            </w:pPr>
            <w:r>
              <w:rPr>
                <w:rFonts w:hint="eastAsia" w:ascii="仿宋" w:hAnsi="仿宋" w:eastAsia="仿宋" w:cs="仿宋"/>
              </w:rPr>
              <w:t>西安市市域内实施项目由本项目采购人进行验收。</w:t>
            </w:r>
          </w:p>
          <w:p w14:paraId="040876DC">
            <w:pPr>
              <w:pStyle w:val="4"/>
              <w:numPr>
                <w:ilvl w:val="0"/>
                <w:numId w:val="0"/>
              </w:numPr>
              <w:spacing w:line="360" w:lineRule="auto"/>
              <w:jc w:val="left"/>
              <w:rPr>
                <w:rFonts w:hint="eastAsia" w:ascii="仿宋" w:hAnsi="仿宋" w:eastAsia="仿宋" w:cs="仿宋"/>
                <w:b/>
                <w:bCs/>
              </w:rPr>
            </w:pPr>
            <w:r>
              <w:rPr>
                <w:rFonts w:hint="eastAsia" w:ascii="仿宋" w:hAnsi="仿宋" w:eastAsia="仿宋" w:cs="仿宋"/>
                <w:b/>
                <w:bCs/>
              </w:rPr>
              <w:t>1.2. 角色定义</w:t>
            </w:r>
          </w:p>
          <w:p w14:paraId="0DEA6D5E">
            <w:pPr>
              <w:pStyle w:val="4"/>
              <w:numPr>
                <w:ilvl w:val="0"/>
                <w:numId w:val="0"/>
              </w:numPr>
              <w:spacing w:line="360" w:lineRule="auto"/>
              <w:jc w:val="left"/>
              <w:rPr>
                <w:rFonts w:hint="eastAsia" w:ascii="仿宋" w:hAnsi="仿宋" w:eastAsia="仿宋" w:cs="仿宋"/>
              </w:rPr>
            </w:pPr>
            <w:r>
              <w:rPr>
                <w:rFonts w:hint="eastAsia" w:ascii="仿宋" w:hAnsi="仿宋" w:eastAsia="仿宋" w:cs="仿宋"/>
              </w:rPr>
              <w:t>中标方：通过公开招标方式负责西安市域内“三秦智医”项目实施的实施单位。</w:t>
            </w:r>
          </w:p>
          <w:p w14:paraId="42249013">
            <w:pPr>
              <w:pStyle w:val="4"/>
              <w:numPr>
                <w:ilvl w:val="0"/>
                <w:numId w:val="0"/>
              </w:numPr>
              <w:spacing w:line="360" w:lineRule="auto"/>
              <w:jc w:val="left"/>
              <w:rPr>
                <w:rFonts w:hint="eastAsia" w:ascii="仿宋" w:hAnsi="仿宋" w:eastAsia="仿宋" w:cs="仿宋"/>
              </w:rPr>
            </w:pPr>
            <w:r>
              <w:rPr>
                <w:rFonts w:hint="eastAsia" w:ascii="仿宋" w:hAnsi="仿宋" w:eastAsia="仿宋" w:cs="仿宋"/>
              </w:rPr>
              <w:t>应用方：按照省级“三秦智医”项目明确的项目使用单位，包含但不限于卫生院、村卫生室、县级医疗机构、县卫健局、市卫健委等各方。</w:t>
            </w:r>
          </w:p>
          <w:p w14:paraId="17B97719">
            <w:pPr>
              <w:pStyle w:val="4"/>
              <w:numPr>
                <w:ilvl w:val="0"/>
                <w:numId w:val="0"/>
              </w:numPr>
              <w:spacing w:line="360" w:lineRule="auto"/>
              <w:jc w:val="left"/>
              <w:rPr>
                <w:rFonts w:hint="eastAsia" w:ascii="仿宋" w:hAnsi="仿宋" w:eastAsia="仿宋" w:cs="仿宋"/>
              </w:rPr>
            </w:pPr>
            <w:r>
              <w:rPr>
                <w:rFonts w:hint="eastAsia" w:ascii="仿宋" w:hAnsi="仿宋" w:eastAsia="仿宋" w:cs="仿宋"/>
              </w:rPr>
              <w:t>管理方：省卫健委信息化工作专班，市卫健委信息化工作专班。</w:t>
            </w:r>
          </w:p>
          <w:p w14:paraId="644D2EEF">
            <w:pPr>
              <w:pStyle w:val="4"/>
              <w:numPr>
                <w:ilvl w:val="0"/>
                <w:numId w:val="0"/>
              </w:numPr>
              <w:spacing w:line="360" w:lineRule="auto"/>
              <w:jc w:val="left"/>
              <w:rPr>
                <w:rFonts w:hint="eastAsia" w:ascii="仿宋" w:hAnsi="仿宋" w:eastAsia="仿宋" w:cs="仿宋"/>
                <w:b/>
                <w:bCs/>
              </w:rPr>
            </w:pPr>
            <w:r>
              <w:rPr>
                <w:rFonts w:hint="eastAsia" w:ascii="仿宋" w:hAnsi="仿宋" w:eastAsia="仿宋" w:cs="仿宋"/>
                <w:b/>
                <w:bCs/>
              </w:rPr>
              <w:t>1.3.建设内容</w:t>
            </w:r>
          </w:p>
          <w:p w14:paraId="691C21F5">
            <w:pPr>
              <w:pStyle w:val="4"/>
              <w:numPr>
                <w:ilvl w:val="0"/>
                <w:numId w:val="0"/>
              </w:numPr>
              <w:spacing w:line="360" w:lineRule="auto"/>
              <w:ind w:firstLine="400" w:firstLineChars="200"/>
              <w:jc w:val="left"/>
              <w:rPr>
                <w:rFonts w:hint="eastAsia" w:ascii="仿宋" w:hAnsi="仿宋" w:eastAsia="仿宋" w:cs="仿宋"/>
              </w:rPr>
            </w:pPr>
            <w:r>
              <w:rPr>
                <w:rFonts w:hint="eastAsia" w:ascii="仿宋" w:hAnsi="仿宋" w:eastAsia="仿宋" w:cs="仿宋"/>
              </w:rPr>
              <w:t>西安市“三秦智医助理”系统暨基层能力提升项目实施(简称“本项目”)的建设任务为陕西省“三秦智医”项目在西安全市的实施交付工作，依据《西安市“三秦智医助理”系统暨基层能力提升项目试点工作方案》，基于市政务云和电子政务外网等资源，以分期、分批的原则，在省、市级政务云健康专区完成基层卫生一体化应用子系统、基层人工智能辅助智慧医疗子系统和基层卫生综合监管子系统的部署实施、联机调试、用户培训、运行保障以及需求跟踪与反馈等，同时按需完成县级医疗卫生机构、省市相关业务信息系统与基层能力提升项目系统的对接，实现数据汇聚与共享。</w:t>
            </w:r>
          </w:p>
          <w:p w14:paraId="41D3AAED">
            <w:pPr>
              <w:pStyle w:val="4"/>
              <w:numPr>
                <w:ilvl w:val="0"/>
                <w:numId w:val="0"/>
              </w:numPr>
              <w:spacing w:line="360" w:lineRule="auto"/>
              <w:jc w:val="center"/>
              <w:rPr>
                <w:rFonts w:hint="eastAsia" w:ascii="仿宋" w:hAnsi="仿宋" w:eastAsia="仿宋" w:cs="仿宋"/>
              </w:rPr>
            </w:pPr>
            <w:r>
              <w:rPr>
                <w:rFonts w:hint="eastAsia" w:ascii="仿宋" w:hAnsi="仿宋" w:eastAsia="仿宋" w:cs="仿宋"/>
              </w:rPr>
              <w:t>三秦智医助理暨基层能力提升项目部署架构图</w:t>
            </w:r>
          </w:p>
          <w:p w14:paraId="3F31AB80">
            <w:pPr>
              <w:pStyle w:val="4"/>
              <w:numPr>
                <w:ilvl w:val="0"/>
                <w:numId w:val="0"/>
              </w:numPr>
              <w:spacing w:line="360" w:lineRule="auto"/>
              <w:jc w:val="left"/>
              <w:rPr>
                <w:rFonts w:hint="eastAsia" w:ascii="仿宋" w:hAnsi="仿宋" w:eastAsia="仿宋" w:cs="仿宋"/>
              </w:rPr>
            </w:pPr>
            <w:r>
              <w:rPr>
                <w:rFonts w:hint="eastAsia" w:ascii="仿宋" w:hAnsi="仿宋" w:eastAsia="仿宋" w:cs="仿宋"/>
                <w:sz w:val="32"/>
                <w:szCs w:val="32"/>
              </w:rPr>
              <w:drawing>
                <wp:inline distT="0" distB="0" distL="0" distR="0">
                  <wp:extent cx="4095750" cy="2924810"/>
                  <wp:effectExtent l="0" t="0" r="190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0" cy="2924810"/>
                          </a:xfrm>
                          <a:prstGeom prst="rect">
                            <a:avLst/>
                          </a:prstGeom>
                          <a:noFill/>
                        </pic:spPr>
                      </pic:pic>
                    </a:graphicData>
                  </a:graphic>
                </wp:inline>
              </w:drawing>
            </w:r>
          </w:p>
          <w:p w14:paraId="5A4AEE6C">
            <w:pPr>
              <w:pStyle w:val="4"/>
              <w:numPr>
                <w:ilvl w:val="0"/>
                <w:numId w:val="0"/>
              </w:numPr>
              <w:spacing w:line="360" w:lineRule="auto"/>
              <w:jc w:val="left"/>
              <w:rPr>
                <w:rFonts w:hint="eastAsia" w:ascii="仿宋" w:hAnsi="仿宋" w:eastAsia="仿宋" w:cs="仿宋"/>
                <w:b/>
                <w:bCs/>
              </w:rPr>
            </w:pPr>
            <w:r>
              <w:rPr>
                <w:rFonts w:hint="eastAsia" w:ascii="仿宋" w:hAnsi="仿宋" w:eastAsia="仿宋" w:cs="仿宋"/>
                <w:b/>
                <w:bCs/>
              </w:rPr>
              <w:t>1.4.建设规模</w:t>
            </w:r>
          </w:p>
          <w:p w14:paraId="08F7F68E">
            <w:pPr>
              <w:pStyle w:val="4"/>
              <w:numPr>
                <w:ilvl w:val="0"/>
                <w:numId w:val="0"/>
              </w:numPr>
              <w:spacing w:line="360" w:lineRule="auto"/>
              <w:jc w:val="left"/>
              <w:rPr>
                <w:rFonts w:hint="eastAsia" w:ascii="仿宋" w:hAnsi="仿宋" w:eastAsia="仿宋" w:cs="仿宋"/>
              </w:rPr>
            </w:pPr>
            <w:r>
              <w:rPr>
                <w:rFonts w:hint="eastAsia" w:ascii="仿宋" w:hAnsi="仿宋" w:eastAsia="仿宋" w:cs="仿宋"/>
              </w:rPr>
              <w:t>中标人完成西安市各县（市、区）的122个乡镇卫生院、97个社区服务中心、25个街道卫生院、178个社区服务站、2552个村卫生室(社区服务站)的“三秦智医”项目部署实施。</w:t>
            </w:r>
          </w:p>
          <w:p w14:paraId="63A6469A">
            <w:pPr>
              <w:pStyle w:val="4"/>
              <w:numPr>
                <w:ilvl w:val="0"/>
                <w:numId w:val="0"/>
              </w:numPr>
              <w:spacing w:line="360" w:lineRule="auto"/>
              <w:jc w:val="left"/>
              <w:rPr>
                <w:rFonts w:hint="eastAsia" w:ascii="仿宋" w:hAnsi="仿宋" w:eastAsia="仿宋" w:cs="仿宋"/>
              </w:rPr>
            </w:pPr>
            <w:r>
              <w:rPr>
                <w:rFonts w:hint="eastAsia" w:ascii="仿宋" w:hAnsi="仿宋" w:eastAsia="仿宋" w:cs="仿宋"/>
                <w:b/>
                <w:bCs/>
              </w:rPr>
              <w:t>注：因基层医疗机构数量动态变化，卫生院、卫生室数量以项目实施时的各县（市区）实际数量为准</w:t>
            </w:r>
            <w:r>
              <w:rPr>
                <w:rFonts w:hint="eastAsia" w:ascii="仿宋" w:hAnsi="仿宋" w:eastAsia="仿宋" w:cs="仿宋"/>
                <w:b/>
                <w:bCs/>
                <w:lang w:eastAsia="zh-CN"/>
              </w:rPr>
              <w:t>（</w:t>
            </w:r>
            <w:r>
              <w:rPr>
                <w:rFonts w:hint="eastAsia" w:ascii="仿宋" w:hAnsi="仿宋" w:eastAsia="仿宋" w:cs="仿宋"/>
                <w:b/>
                <w:bCs/>
                <w:lang w:val="en-US" w:eastAsia="zh-CN"/>
              </w:rPr>
              <w:t>以上</w:t>
            </w:r>
            <w:r>
              <w:rPr>
                <w:rFonts w:hint="eastAsia" w:ascii="仿宋" w:hAnsi="仿宋" w:eastAsia="仿宋" w:cs="仿宋"/>
                <w:b/>
                <w:bCs/>
                <w:lang w:eastAsia="zh-CN"/>
              </w:rPr>
              <w:t>数量仅为参考数量，本项目结算金额为总价包干）</w:t>
            </w:r>
            <w:r>
              <w:rPr>
                <w:rFonts w:hint="eastAsia" w:ascii="仿宋" w:hAnsi="仿宋" w:eastAsia="仿宋" w:cs="仿宋"/>
                <w:b/>
                <w:bCs/>
              </w:rPr>
              <w:t>。</w:t>
            </w:r>
          </w:p>
        </w:tc>
      </w:tr>
      <w:tr w14:paraId="7CAA3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2" w:type="dxa"/>
          </w:tcPr>
          <w:p w14:paraId="28FE6477">
            <w:pPr>
              <w:pStyle w:val="4"/>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1100" w:type="dxa"/>
          </w:tcPr>
          <w:p w14:paraId="3BF0F76C">
            <w:pPr>
              <w:jc w:val="center"/>
              <w:rPr>
                <w:rFonts w:hint="eastAsia" w:ascii="仿宋" w:hAnsi="仿宋" w:eastAsia="仿宋" w:cs="仿宋"/>
              </w:rPr>
            </w:pPr>
          </w:p>
        </w:tc>
        <w:tc>
          <w:tcPr>
            <w:tcW w:w="6590" w:type="dxa"/>
          </w:tcPr>
          <w:p w14:paraId="067EBB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0"/>
                <w:szCs w:val="20"/>
              </w:rPr>
            </w:pPr>
            <w:r>
              <w:rPr>
                <w:rFonts w:hint="eastAsia" w:ascii="仿宋" w:hAnsi="仿宋" w:eastAsia="仿宋" w:cs="仿宋"/>
                <w:b/>
                <w:bCs/>
                <w:sz w:val="20"/>
                <w:szCs w:val="20"/>
              </w:rPr>
              <w:t>2.技术要求</w:t>
            </w:r>
          </w:p>
          <w:p w14:paraId="62BD6BCF">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left"/>
              <w:textAlignment w:val="auto"/>
              <w:rPr>
                <w:rFonts w:hint="eastAsia" w:ascii="仿宋" w:hAnsi="仿宋" w:eastAsia="仿宋" w:cs="仿宋"/>
                <w:b/>
                <w:bCs/>
                <w:sz w:val="20"/>
                <w:szCs w:val="20"/>
              </w:rPr>
            </w:pPr>
            <w:r>
              <w:rPr>
                <w:rFonts w:hint="eastAsia" w:ascii="仿宋" w:hAnsi="仿宋" w:eastAsia="仿宋" w:cs="仿宋"/>
                <w:b/>
                <w:bCs/>
                <w:sz w:val="20"/>
                <w:szCs w:val="20"/>
              </w:rPr>
              <w:t>2.1.项目部署及技术支撑</w:t>
            </w:r>
          </w:p>
          <w:p w14:paraId="7FA87CF9">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highlight w:val="yellow"/>
              </w:rPr>
            </w:pPr>
            <w:r>
              <w:rPr>
                <w:rFonts w:hint="eastAsia" w:ascii="仿宋" w:hAnsi="仿宋" w:eastAsia="仿宋" w:cs="仿宋"/>
                <w:sz w:val="20"/>
                <w:szCs w:val="20"/>
              </w:rPr>
              <w:t>“本项目”中标人负责市级政务云系统部署，并负责系统的日常运行维护、性能优化与安全保障工作。具体包括但不限</w:t>
            </w:r>
            <w:r>
              <w:rPr>
                <w:rFonts w:hint="eastAsia" w:ascii="仿宋" w:hAnsi="仿宋" w:eastAsia="仿宋" w:cs="仿宋"/>
                <w:sz w:val="20"/>
                <w:szCs w:val="20"/>
                <w:highlight w:val="none"/>
              </w:rPr>
              <w:t>于：包括与省级中标单位的技术协调；主动监控软件运行状态，识别性能瓶颈，主导实施系统架构优化、 数据库性能调优；进行系统日志分析，识别潜在风险，制定并执行应对措施；提供对国产化操作系统、数据库、中间件的基础运维与故障处理支持；负责市级部署系统的日常备份与恢复演练；协调并配合省级单位进行必要的补丁更新或重大架构变更。</w:t>
            </w:r>
          </w:p>
          <w:p w14:paraId="35194B78">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left"/>
              <w:textAlignment w:val="auto"/>
              <w:rPr>
                <w:rFonts w:hint="eastAsia" w:ascii="仿宋" w:hAnsi="仿宋" w:eastAsia="仿宋" w:cs="仿宋"/>
                <w:b/>
                <w:bCs/>
                <w:sz w:val="20"/>
                <w:szCs w:val="20"/>
              </w:rPr>
            </w:pPr>
            <w:r>
              <w:rPr>
                <w:rFonts w:hint="eastAsia" w:ascii="仿宋" w:hAnsi="仿宋" w:eastAsia="仿宋" w:cs="仿宋"/>
                <w:b/>
                <w:bCs/>
                <w:sz w:val="20"/>
                <w:szCs w:val="20"/>
              </w:rPr>
              <w:t>2.2.历史数据迁移服务</w:t>
            </w:r>
          </w:p>
          <w:p w14:paraId="3CDE48D3">
            <w:pPr>
              <w:keepNext w:val="0"/>
              <w:keepLines w:val="0"/>
              <w:pageBreakBefore w:val="0"/>
              <w:widowControl w:val="0"/>
              <w:kinsoku/>
              <w:wordWrap/>
              <w:overflowPunct/>
              <w:topLinePunct w:val="0"/>
              <w:autoSpaceDE/>
              <w:autoSpaceDN/>
              <w:bidi w:val="0"/>
              <w:adjustRightInd/>
              <w:snapToGrid/>
              <w:spacing w:line="360" w:lineRule="auto"/>
              <w:ind w:firstLine="200" w:firstLineChars="100"/>
              <w:jc w:val="left"/>
              <w:textAlignment w:val="auto"/>
              <w:rPr>
                <w:rFonts w:hint="eastAsia" w:ascii="仿宋" w:hAnsi="仿宋" w:eastAsia="仿宋" w:cs="仿宋"/>
                <w:sz w:val="20"/>
                <w:szCs w:val="20"/>
              </w:rPr>
            </w:pPr>
            <w:r>
              <w:rPr>
                <w:rFonts w:hint="eastAsia" w:ascii="仿宋" w:hAnsi="仿宋" w:eastAsia="仿宋" w:cs="仿宋"/>
                <w:sz w:val="20"/>
                <w:szCs w:val="20"/>
              </w:rPr>
              <w:t>“本项目”中标人需加强与省级“三秦智医助理”项目包3方的沟通协作，深入理解省级提供的迁移工具、脚本和方案，负责西安市各县区历史数据迁移；负责对迁移至本市的数据进行清洗、校验（制定校验规则并执行）、格式转换、逻辑关联等处理，确保数据完整性、准确性和一致性符合本市业务要求；负责将处理后的可用历史数据导入新系统进行初始化配置和维护；制定并执行新旧系统并 行及切换方案，确保基本公卫、财务、医保等连续性业务平稳过渡，数据零丢失；提供详细的数据迁移方案、清洗校验报告、迁移完成报告及新旧系统数据比对报告；密切配合省级包3团队，及时沟通解决迁移过程中的问题。</w:t>
            </w:r>
          </w:p>
          <w:p w14:paraId="1D183C3D">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left"/>
              <w:textAlignment w:val="auto"/>
              <w:rPr>
                <w:rFonts w:hint="eastAsia" w:ascii="仿宋" w:hAnsi="仿宋" w:eastAsia="仿宋" w:cs="仿宋"/>
                <w:b/>
                <w:bCs/>
                <w:sz w:val="20"/>
                <w:szCs w:val="20"/>
              </w:rPr>
            </w:pPr>
            <w:r>
              <w:rPr>
                <w:rFonts w:hint="eastAsia" w:ascii="仿宋" w:hAnsi="仿宋" w:eastAsia="仿宋" w:cs="仿宋"/>
                <w:b/>
                <w:bCs/>
                <w:sz w:val="20"/>
                <w:szCs w:val="20"/>
              </w:rPr>
              <w:t>2.3.配合推进设备采购</w:t>
            </w:r>
          </w:p>
          <w:p w14:paraId="6BE65D42">
            <w:pPr>
              <w:keepNext w:val="0"/>
              <w:keepLines w:val="0"/>
              <w:pageBreakBefore w:val="0"/>
              <w:widowControl w:val="0"/>
              <w:kinsoku/>
              <w:wordWrap/>
              <w:overflowPunct/>
              <w:topLinePunct w:val="0"/>
              <w:autoSpaceDE/>
              <w:autoSpaceDN/>
              <w:bidi w:val="0"/>
              <w:adjustRightInd/>
              <w:snapToGrid/>
              <w:spacing w:line="360" w:lineRule="auto"/>
              <w:ind w:firstLine="200" w:firstLineChars="100"/>
              <w:jc w:val="left"/>
              <w:textAlignment w:val="auto"/>
              <w:rPr>
                <w:rFonts w:hint="eastAsia" w:ascii="仿宋" w:hAnsi="仿宋" w:eastAsia="仿宋" w:cs="仿宋"/>
                <w:sz w:val="20"/>
                <w:szCs w:val="20"/>
              </w:rPr>
            </w:pPr>
            <w:r>
              <w:rPr>
                <w:rFonts w:hint="eastAsia" w:ascii="仿宋" w:hAnsi="仿宋" w:eastAsia="仿宋" w:cs="仿宋"/>
                <w:sz w:val="20"/>
                <w:szCs w:val="20"/>
              </w:rPr>
              <w:t>“本项目”中标人对照省级“三秦智医”推荐技术参数和数量要求，在周至县试点过程中对电脑终端、外设设备等完成测试的基础上，协助所实施县（市区）卫健局采购应增配补充设备数量。内容包括但不限于机构科室设置、医疗设备、外网配置、内网布线、终端电脑、网络安全设备、采集卡、输入输出设备等。</w:t>
            </w:r>
          </w:p>
          <w:p w14:paraId="2A278E64">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left"/>
              <w:textAlignment w:val="auto"/>
              <w:rPr>
                <w:rFonts w:hint="eastAsia" w:ascii="仿宋" w:hAnsi="仿宋" w:eastAsia="仿宋" w:cs="仿宋"/>
                <w:b/>
                <w:bCs/>
                <w:sz w:val="20"/>
                <w:szCs w:val="20"/>
              </w:rPr>
            </w:pPr>
            <w:r>
              <w:rPr>
                <w:rFonts w:hint="eastAsia" w:ascii="仿宋" w:hAnsi="仿宋" w:eastAsia="仿宋" w:cs="仿宋"/>
                <w:b/>
                <w:bCs/>
                <w:sz w:val="20"/>
                <w:szCs w:val="20"/>
              </w:rPr>
              <w:t>2.4.接口开发需求调研</w:t>
            </w:r>
          </w:p>
          <w:p w14:paraId="156FABBA">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按照“三秦智医”项目设计要求，“本项目”中标人对照“三秦智医”推荐技术参数，结合西安市、县两级实际现状，对所需外联平台进行调研，调研内容包含但不限于西安市域内运行的市级、县级远程医疗平台、互联网服务平台、电子健康卡平台、家庭医生签约服务平台、县域医共体平台、妇幼保健信息平台或应用等，并配合完成相关平台对接工作。</w:t>
            </w:r>
          </w:p>
          <w:p w14:paraId="211C87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0"/>
                <w:szCs w:val="20"/>
              </w:rPr>
            </w:pPr>
            <w:r>
              <w:rPr>
                <w:rFonts w:hint="eastAsia" w:ascii="仿宋" w:hAnsi="仿宋" w:eastAsia="仿宋" w:cs="仿宋"/>
                <w:sz w:val="20"/>
                <w:szCs w:val="20"/>
              </w:rPr>
              <w:t>注：具体对接数量由甲乙方在省级“三秦智医”项目要求内容的基础上，根据实际状况商定。</w:t>
            </w:r>
          </w:p>
          <w:p w14:paraId="005AB919">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left"/>
              <w:textAlignment w:val="auto"/>
              <w:rPr>
                <w:rFonts w:hint="eastAsia" w:ascii="仿宋" w:hAnsi="仿宋" w:eastAsia="仿宋" w:cs="仿宋"/>
                <w:b/>
                <w:bCs/>
                <w:sz w:val="20"/>
                <w:szCs w:val="20"/>
              </w:rPr>
            </w:pPr>
            <w:r>
              <w:rPr>
                <w:rFonts w:hint="eastAsia" w:ascii="仿宋" w:hAnsi="仿宋" w:eastAsia="仿宋" w:cs="仿宋"/>
                <w:b/>
                <w:bCs/>
                <w:sz w:val="20"/>
                <w:szCs w:val="20"/>
              </w:rPr>
              <w:t>2.5.基层医疗卫生机构的实施</w:t>
            </w:r>
          </w:p>
          <w:p w14:paraId="5CCCF521">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left"/>
              <w:textAlignment w:val="auto"/>
              <w:rPr>
                <w:rFonts w:hint="eastAsia" w:ascii="仿宋" w:hAnsi="仿宋" w:eastAsia="仿宋" w:cs="仿宋"/>
                <w:b/>
                <w:bCs/>
                <w:sz w:val="20"/>
                <w:szCs w:val="20"/>
              </w:rPr>
            </w:pPr>
            <w:r>
              <w:rPr>
                <w:rFonts w:hint="eastAsia" w:ascii="仿宋" w:hAnsi="仿宋" w:eastAsia="仿宋" w:cs="仿宋"/>
                <w:b/>
                <w:bCs/>
                <w:sz w:val="20"/>
                <w:szCs w:val="20"/>
              </w:rPr>
              <w:t>2.5.1机构网络改造</w:t>
            </w:r>
          </w:p>
          <w:p w14:paraId="37A5B7DA">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综合布线:“本项目”中标人按照所实施项目点位的业务需求，配合项目地网络接入商布设满足业务应用、设备接入的强弱电线路，要符合综合布线工程规范，保障视频、影像等大流量点位不延时。</w:t>
            </w:r>
          </w:p>
          <w:p w14:paraId="556C60E9">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网络管理:“本项目”中标人完善医院网络管理，以符合电子政务外网要求重新配置网络，确规范管理内外网互通，保网络高可用性，防止非法设备接入。</w:t>
            </w:r>
          </w:p>
          <w:p w14:paraId="1530BBFF">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left"/>
              <w:textAlignment w:val="auto"/>
              <w:rPr>
                <w:rFonts w:hint="eastAsia" w:ascii="仿宋" w:hAnsi="仿宋" w:eastAsia="仿宋" w:cs="仿宋"/>
                <w:b/>
                <w:bCs/>
                <w:sz w:val="20"/>
                <w:szCs w:val="20"/>
              </w:rPr>
            </w:pPr>
            <w:r>
              <w:rPr>
                <w:rFonts w:hint="eastAsia" w:ascii="仿宋" w:hAnsi="仿宋" w:eastAsia="仿宋" w:cs="仿宋"/>
                <w:b/>
                <w:bCs/>
                <w:sz w:val="20"/>
                <w:szCs w:val="20"/>
              </w:rPr>
              <w:t>2.5.2设备联机与对接</w:t>
            </w:r>
          </w:p>
          <w:p w14:paraId="7E025D16">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“三秦智医”项目基层一体化包括建设 LIS、PACS、心电、体检等系统，“本项目”中标人需要按“三秦智医”项目设计要求完成基层机构各类设备的联机工作。联机方式不限于 TCP/IP、R235/485串行通信、USB 等方式；连接设备包含但不限于检验设备、影像设备、心电设备、体检设备、健康小屋、社保卡(身份证)读卡器设备、移动支付扫码设备、医保电子凭证/电子健康码扫码等设备；联机准备包括不限于安装端口扩展卡、视频采集卡、心电采集卡等。（具体需要连接的设备以所实施机构现有设备为准）</w:t>
            </w:r>
          </w:p>
          <w:p w14:paraId="2F5D8456">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left"/>
              <w:textAlignment w:val="auto"/>
              <w:rPr>
                <w:rFonts w:hint="eastAsia" w:ascii="仿宋" w:hAnsi="仿宋" w:eastAsia="仿宋" w:cs="仿宋"/>
                <w:b/>
                <w:bCs/>
                <w:sz w:val="20"/>
                <w:szCs w:val="20"/>
              </w:rPr>
            </w:pPr>
            <w:r>
              <w:rPr>
                <w:rFonts w:hint="eastAsia" w:ascii="仿宋" w:hAnsi="仿宋" w:eastAsia="仿宋" w:cs="仿宋"/>
                <w:b/>
                <w:bCs/>
                <w:sz w:val="20"/>
                <w:szCs w:val="20"/>
              </w:rPr>
              <w:t>2.5.3应用系统培训</w:t>
            </w:r>
          </w:p>
          <w:p w14:paraId="1003DB8F">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本项目”中标人在接受省级集中实施培训后，针对全市范围的系统管理人员、业务管理人员及各县(区)基层医疗机构医护人员进行技术培训，培训内容主要包括:应用软件操作培训、系统安装部署培训、系统运维培训，并提供完整的技术培训文档。</w:t>
            </w:r>
          </w:p>
          <w:p w14:paraId="29950305">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本项目”中标人需要针对各医疗机构业务人员、系统管理人员、综合监管人员、中心平台维护人员进行分类分角色培训。通过培训使各类用户能独立进行系统设置、各角色业务操作、数据查询、综合指标监管、使用故障处理、日常数据维护等。</w:t>
            </w:r>
          </w:p>
          <w:p w14:paraId="3AC38FB1">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培训方式包含但不限于QQ群、微信、视频会议、电话、电子邮件、传真等方式，对每个卫生院操作人员至少进行1次现场培训。</w:t>
            </w:r>
          </w:p>
          <w:p w14:paraId="40C56ADE">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2.5.4用户初始化按省级“三秦智医”项目软件功能要求，“本项目”中标人配合实施点位机构，完成各系统初始化数据及关联对码工作，数据初始化内容不限于:科室信息、人员信息、物资库存、会计科目、药品对码等，并协助设置本机构计划任务。</w:t>
            </w:r>
          </w:p>
          <w:p w14:paraId="5D2CE9B9">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2.5.5试运行及需求反馈</w:t>
            </w:r>
            <w:r>
              <w:rPr>
                <w:rFonts w:hint="eastAsia" w:ascii="仿宋" w:hAnsi="仿宋" w:eastAsia="仿宋" w:cs="仿宋"/>
                <w:sz w:val="20"/>
                <w:szCs w:val="20"/>
                <w:lang w:eastAsia="zh-CN"/>
              </w:rPr>
              <w:t>，</w:t>
            </w:r>
            <w:r>
              <w:rPr>
                <w:rFonts w:hint="eastAsia" w:ascii="仿宋" w:hAnsi="仿宋" w:eastAsia="仿宋" w:cs="仿宋"/>
                <w:sz w:val="20"/>
                <w:szCs w:val="20"/>
              </w:rPr>
              <w:t>“本项目”中标人需要提前搜集各区县一线用户需求:经统一整理、分析、研判后，分别提交“三秦智医”包 1、包2中标人响应，并对包1、包2中标人完成响应的需求向用户培训交接，对“三秦智医”包1、包2中标人拒绝处理的需求向用户说明原因。此项任务不限于如下工作:</w:t>
            </w:r>
          </w:p>
          <w:p w14:paraId="0B6DD2DA">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在线需求采集:建立多渠道需求采集机制，包括但不限于web表单及在线通信群，以结构化模板、手机视频、系统截图或非结构化文本等内容，采集用户提交的功能优化和流程改进需求。</w:t>
            </w:r>
          </w:p>
          <w:p w14:paraId="30536C5E">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需求管理跟踪:与省级“三秦智医”包 1、包2中标人协同，建立需求在线管理平台，对所有采集的需求进行录入、跟踪、管理。</w:t>
            </w:r>
          </w:p>
          <w:p w14:paraId="77C258D8">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反馈优化结果:对已实施的需求，通过短信、邮件等方式通知用户，反馈内容不限于优化内容、实施效果及用户收益。对不采纳的需求，反馈原因并关闭需求工单。</w:t>
            </w:r>
          </w:p>
          <w:p w14:paraId="5308B021">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 xml:space="preserve">新旧数据迁移校验:在省级“三秦智医”包3完成数据迁移的基础上，协助对迁移后的数据进行校验，并导入到新系统，保证新旧系统数据基本一致，公卫、财务、医保等连续性业务不受影响。 </w:t>
            </w:r>
          </w:p>
          <w:p w14:paraId="78FC37AA">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left"/>
              <w:textAlignment w:val="auto"/>
              <w:rPr>
                <w:rFonts w:hint="eastAsia" w:ascii="仿宋" w:hAnsi="仿宋" w:eastAsia="仿宋" w:cs="仿宋"/>
                <w:b/>
                <w:bCs/>
                <w:sz w:val="20"/>
                <w:szCs w:val="20"/>
              </w:rPr>
            </w:pPr>
            <w:r>
              <w:rPr>
                <w:rFonts w:hint="eastAsia" w:ascii="仿宋" w:hAnsi="仿宋" w:eastAsia="仿宋" w:cs="仿宋"/>
                <w:b/>
                <w:bCs/>
                <w:sz w:val="20"/>
                <w:szCs w:val="20"/>
              </w:rPr>
              <w:t>2.5.6上线问题处置</w:t>
            </w:r>
          </w:p>
          <w:p w14:paraId="2FB1DDA5">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现场驻点支持:在门诊、住院部等关键区域安排技术支持人员，实时解决操作问题。</w:t>
            </w:r>
          </w:p>
          <w:p w14:paraId="7E578AB6">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多渠道响应:包括专线电话，通过远程工具快速接管用户屏幕，即时通讯群组技术支持途径，安排专业人员实时答疑。</w:t>
            </w:r>
          </w:p>
          <w:p w14:paraId="19D88985">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操作手册与资源包:制作简明扼要的《用户操作指南》(图文+视频)，提供“常见问题 Q&amp;A”文档，便于快速查阅。复杂操作分解制作分步操作视频，嵌入系统帮助中心。</w:t>
            </w:r>
          </w:p>
          <w:p w14:paraId="63C05ACB">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left"/>
              <w:textAlignment w:val="auto"/>
              <w:rPr>
                <w:rFonts w:hint="eastAsia" w:ascii="仿宋" w:hAnsi="仿宋" w:eastAsia="仿宋" w:cs="仿宋"/>
                <w:b/>
                <w:bCs/>
                <w:sz w:val="20"/>
                <w:szCs w:val="20"/>
              </w:rPr>
            </w:pPr>
            <w:r>
              <w:rPr>
                <w:rFonts w:hint="eastAsia" w:ascii="仿宋" w:hAnsi="仿宋" w:eastAsia="仿宋" w:cs="仿宋"/>
                <w:b/>
                <w:bCs/>
                <w:sz w:val="20"/>
                <w:szCs w:val="20"/>
              </w:rPr>
              <w:t>2.6县域机构数据接入</w:t>
            </w:r>
          </w:p>
          <w:p w14:paraId="30E6E7D6">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“本项目”中标人需要按照“三秦智医助理”项目建设方案要求，配合推进各实施县（市区）所辖县级公立医疗机构按照省级下发的对接标准接入基层卫生综合监管系统。</w:t>
            </w:r>
          </w:p>
          <w:p w14:paraId="51B2FC75">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rPr>
              <w:t>按照对接方案和采集标准，配合需接入的县级医疗机构完成网络配置、数据采集配置、配置上报业务和上报路径，数据上报联调、历史数据上报及增量上报等。</w:t>
            </w:r>
          </w:p>
          <w:p w14:paraId="3F279554">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 w:hAnsi="仿宋" w:eastAsia="仿宋" w:cs="仿宋"/>
              </w:rPr>
            </w:pPr>
            <w:r>
              <w:rPr>
                <w:rFonts w:hint="eastAsia" w:ascii="仿宋" w:hAnsi="仿宋" w:eastAsia="仿宋" w:cs="仿宋"/>
                <w:sz w:val="20"/>
                <w:szCs w:val="20"/>
              </w:rPr>
              <w:t>2.7区域协同系统对接按照省级“三秦智医”统一外联平台对接要求，完成与甲方商定的外联对接系统或平台的对接工作。</w:t>
            </w:r>
          </w:p>
        </w:tc>
      </w:tr>
      <w:tr w14:paraId="0FEAB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2" w:type="dxa"/>
          </w:tcPr>
          <w:p w14:paraId="71BE1FA5">
            <w:pPr>
              <w:pStyle w:val="4"/>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1100" w:type="dxa"/>
          </w:tcPr>
          <w:p w14:paraId="37F3951A">
            <w:pPr>
              <w:jc w:val="center"/>
              <w:rPr>
                <w:rFonts w:hint="eastAsia" w:ascii="仿宋" w:hAnsi="仿宋" w:eastAsia="仿宋" w:cs="仿宋"/>
              </w:rPr>
            </w:pPr>
          </w:p>
        </w:tc>
        <w:tc>
          <w:tcPr>
            <w:tcW w:w="6590" w:type="dxa"/>
          </w:tcPr>
          <w:p w14:paraId="5D9ADB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rPr>
              <w:t>3.其他要求</w:t>
            </w:r>
          </w:p>
          <w:p w14:paraId="55578E68">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both"/>
              <w:textAlignment w:val="auto"/>
              <w:rPr>
                <w:rFonts w:hint="eastAsia" w:ascii="仿宋" w:hAnsi="仿宋" w:eastAsia="仿宋" w:cs="仿宋"/>
                <w:b/>
                <w:bCs/>
                <w:sz w:val="20"/>
                <w:szCs w:val="20"/>
              </w:rPr>
            </w:pPr>
            <w:r>
              <w:rPr>
                <w:rFonts w:hint="eastAsia" w:ascii="仿宋" w:hAnsi="仿宋" w:eastAsia="仿宋" w:cs="仿宋"/>
                <w:b/>
                <w:bCs/>
                <w:sz w:val="20"/>
                <w:szCs w:val="20"/>
              </w:rPr>
              <w:t>3.1组织保障要求</w:t>
            </w:r>
          </w:p>
          <w:p w14:paraId="3A4E7E08">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rPr>
              <w:t>“本项目”中标人应合理配置团队，并按甲方要求计划时间，依次、依序、巡回推进调研、网络改造、数据初始化、设备联机、用户培训、上线前验证、需求反馈、系统上线保障、上线问题处置工作，保障进度要求。</w:t>
            </w:r>
          </w:p>
          <w:p w14:paraId="3B949477">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rPr>
              <w:t>3.1.1组织及能力要求</w:t>
            </w:r>
          </w:p>
          <w:p w14:paraId="5B94D4FE">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rPr>
              <w:t>项目自启动到正式运行期间，保证每个卫生院(社区服务中心)现场应有不少于1人到场实施，项目负责人需具备同类、同规模项目管理经验:全体项目团队需全面参加省级“三秦智医”包1、包2中标人的培训并满足考核要求。项目安排专人全面对接的工作，不限于专人优化培训材料、专人在线服务及管理“日常问答”、专人梳理需求并反馈用户等。</w:t>
            </w:r>
          </w:p>
          <w:p w14:paraId="4D073C8A">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rPr>
              <w:t>3.1.2.岗位及角色要求</w:t>
            </w:r>
          </w:p>
          <w:p w14:paraId="546CEF5E">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rPr>
              <w:t>项目实施团队角色需覆盖技术、医疗、管理和服务多维度，不限于如下核心岗位及其职责分工:</w:t>
            </w:r>
          </w:p>
          <w:p w14:paraId="0EE814DC">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w:t>
            </w:r>
            <w:r>
              <w:rPr>
                <w:rFonts w:hint="eastAsia" w:ascii="仿宋" w:hAnsi="仿宋" w:eastAsia="仿宋" w:cs="仿宋"/>
                <w:sz w:val="20"/>
                <w:szCs w:val="20"/>
                <w:lang w:eastAsia="zh-CN"/>
              </w:rPr>
              <w:t>）</w:t>
            </w:r>
            <w:r>
              <w:rPr>
                <w:rFonts w:hint="eastAsia" w:ascii="仿宋" w:hAnsi="仿宋" w:eastAsia="仿宋" w:cs="仿宋"/>
                <w:sz w:val="20"/>
                <w:szCs w:val="20"/>
              </w:rPr>
              <w:t>项目经理:统筹项目全生命周期，制定计划、分配资源、管控风险，协调医院方与</w:t>
            </w:r>
            <w:r>
              <w:rPr>
                <w:rFonts w:hint="eastAsia" w:ascii="仿宋" w:hAnsi="仿宋" w:eastAsia="仿宋" w:cs="仿宋"/>
                <w:sz w:val="20"/>
                <w:szCs w:val="20"/>
                <w:highlight w:val="none"/>
              </w:rPr>
              <w:t>厂商团队:协调临床科室、信息科、供应商召开需求确认会。</w:t>
            </w:r>
          </w:p>
          <w:p w14:paraId="3056653E">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实施顾问:负</w:t>
            </w:r>
            <w:r>
              <w:rPr>
                <w:rFonts w:hint="eastAsia" w:ascii="仿宋" w:hAnsi="仿宋" w:eastAsia="仿宋" w:cs="仿宋"/>
                <w:sz w:val="20"/>
                <w:szCs w:val="20"/>
                <w:highlight w:val="none"/>
                <w:lang w:val="en-US" w:eastAsia="zh-CN"/>
              </w:rPr>
              <w:t>责</w:t>
            </w:r>
            <w:r>
              <w:rPr>
                <w:rFonts w:hint="eastAsia" w:ascii="仿宋" w:hAnsi="仿宋" w:eastAsia="仿宋" w:cs="仿宋"/>
                <w:sz w:val="20"/>
                <w:szCs w:val="20"/>
                <w:highlight w:val="none"/>
              </w:rPr>
              <w:t>系统配置、流程优化与需求落地，如业务顾问梳理医院现有流程，设计系统适配方案，技术顾问处理接口开发(如HIS与医保系统对接)、报表定制。</w:t>
            </w:r>
          </w:p>
          <w:p w14:paraId="2CD1B383">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技术支持工程师:解决部署</w:t>
            </w:r>
            <w:r>
              <w:rPr>
                <w:rFonts w:hint="eastAsia" w:ascii="仿宋" w:hAnsi="仿宋" w:eastAsia="仿宋" w:cs="仿宋"/>
                <w:sz w:val="20"/>
                <w:szCs w:val="20"/>
              </w:rPr>
              <w:t>中的技术问题，包括服务器搭建、网络调试、数据库优化。</w:t>
            </w:r>
          </w:p>
          <w:p w14:paraId="3A8EFE61">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4</w:t>
            </w:r>
            <w:r>
              <w:rPr>
                <w:rFonts w:hint="eastAsia" w:ascii="仿宋" w:hAnsi="仿宋" w:eastAsia="仿宋" w:cs="仿宋"/>
                <w:sz w:val="20"/>
                <w:szCs w:val="20"/>
                <w:lang w:eastAsia="zh-CN"/>
              </w:rPr>
              <w:t>）</w:t>
            </w:r>
            <w:r>
              <w:rPr>
                <w:rFonts w:hint="eastAsia" w:ascii="仿宋" w:hAnsi="仿宋" w:eastAsia="仿宋" w:cs="仿宋"/>
                <w:sz w:val="20"/>
                <w:szCs w:val="20"/>
              </w:rPr>
              <w:t>培训专员:分科室培训医护人员(如医生工作站、护士护理屏操作)，制作培训材料。</w:t>
            </w:r>
          </w:p>
          <w:p w14:paraId="0B991687">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5</w:t>
            </w:r>
            <w:r>
              <w:rPr>
                <w:rFonts w:hint="eastAsia" w:ascii="仿宋" w:hAnsi="仿宋" w:eastAsia="仿宋" w:cs="仿宋"/>
                <w:sz w:val="20"/>
                <w:szCs w:val="20"/>
                <w:lang w:eastAsia="zh-CN"/>
              </w:rPr>
              <w:t>）</w:t>
            </w:r>
            <w:r>
              <w:rPr>
                <w:rFonts w:hint="eastAsia" w:ascii="仿宋" w:hAnsi="仿宋" w:eastAsia="仿宋" w:cs="仿宋"/>
                <w:sz w:val="20"/>
                <w:szCs w:val="20"/>
              </w:rPr>
              <w:t>数据工程师:处理历史数据(如系统外数据采集、平台数据推送等)及新系统数据初始化的脚本编写、任务调度等。</w:t>
            </w:r>
          </w:p>
          <w:p w14:paraId="179D1845">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6</w:t>
            </w:r>
            <w:r>
              <w:rPr>
                <w:rFonts w:hint="eastAsia" w:ascii="仿宋" w:hAnsi="仿宋" w:eastAsia="仿宋" w:cs="仿宋"/>
                <w:sz w:val="20"/>
                <w:szCs w:val="20"/>
                <w:lang w:eastAsia="zh-CN"/>
              </w:rPr>
              <w:t>）</w:t>
            </w:r>
            <w:r>
              <w:rPr>
                <w:rFonts w:hint="eastAsia" w:ascii="仿宋" w:hAnsi="仿宋" w:eastAsia="仿宋" w:cs="仿宋"/>
                <w:sz w:val="20"/>
                <w:szCs w:val="20"/>
              </w:rPr>
              <w:t>质量(QA)工程师:制定测试用例，执行功能/性能/安全测试，出具测试报告。</w:t>
            </w:r>
          </w:p>
          <w:p w14:paraId="65C72F3D">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7</w:t>
            </w:r>
            <w:r>
              <w:rPr>
                <w:rFonts w:hint="eastAsia" w:ascii="仿宋" w:hAnsi="仿宋" w:eastAsia="仿宋" w:cs="仿宋"/>
                <w:sz w:val="20"/>
                <w:szCs w:val="20"/>
                <w:lang w:eastAsia="zh-CN"/>
              </w:rPr>
              <w:t>）</w:t>
            </w:r>
            <w:r>
              <w:rPr>
                <w:rFonts w:hint="eastAsia" w:ascii="仿宋" w:hAnsi="仿宋" w:eastAsia="仿宋" w:cs="仿宋"/>
                <w:sz w:val="20"/>
                <w:szCs w:val="20"/>
              </w:rPr>
              <w:t>客户经理:上线后跟踪系统使用情况，收集反馈，推动持续优化(如个性化流程变更)。提升用户满意度</w:t>
            </w:r>
          </w:p>
          <w:p w14:paraId="7B68D7A6">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8</w:t>
            </w:r>
            <w:r>
              <w:rPr>
                <w:rFonts w:hint="eastAsia" w:ascii="仿宋" w:hAnsi="仿宋" w:eastAsia="仿宋" w:cs="仿宋"/>
                <w:sz w:val="20"/>
                <w:szCs w:val="20"/>
                <w:lang w:eastAsia="zh-CN"/>
              </w:rPr>
              <w:t>）</w:t>
            </w:r>
            <w:r>
              <w:rPr>
                <w:rFonts w:hint="eastAsia" w:ascii="仿宋" w:hAnsi="仿宋" w:eastAsia="仿宋" w:cs="仿宋"/>
                <w:sz w:val="20"/>
                <w:szCs w:val="20"/>
              </w:rPr>
              <w:t>变更管理顾问:通过沟通、培训、激励措施减少医护人员对系统变更的抵触。</w:t>
            </w:r>
          </w:p>
          <w:p w14:paraId="6A92078B">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both"/>
              <w:textAlignment w:val="auto"/>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3.2项目进度</w:t>
            </w:r>
          </w:p>
          <w:p w14:paraId="572702EE">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rPr>
            </w:pPr>
            <w:bookmarkStart w:id="0" w:name="OLE_LINK1"/>
            <w:r>
              <w:rPr>
                <w:rFonts w:hint="eastAsia" w:ascii="仿宋" w:hAnsi="仿宋" w:eastAsia="仿宋" w:cs="仿宋"/>
                <w:sz w:val="20"/>
                <w:szCs w:val="20"/>
              </w:rPr>
              <w:t>合同签署10个月内全部完成项目的所有实施内容，30日内完成市</w:t>
            </w:r>
            <w:r>
              <w:rPr>
                <w:rFonts w:hint="eastAsia" w:ascii="仿宋" w:hAnsi="仿宋" w:eastAsia="仿宋" w:cs="仿宋"/>
                <w:sz w:val="20"/>
                <w:szCs w:val="20"/>
                <w:lang w:val="en-US" w:eastAsia="zh-CN"/>
              </w:rPr>
              <w:t>级平台系统部署</w:t>
            </w:r>
            <w:r>
              <w:rPr>
                <w:rFonts w:hint="eastAsia" w:ascii="仿宋" w:hAnsi="仿宋" w:eastAsia="仿宋" w:cs="仿宋"/>
                <w:sz w:val="20"/>
                <w:szCs w:val="20"/>
              </w:rPr>
              <w:t>，</w:t>
            </w:r>
            <w:bookmarkEnd w:id="0"/>
            <w:r>
              <w:rPr>
                <w:rFonts w:hint="eastAsia" w:ascii="仿宋" w:hAnsi="仿宋" w:eastAsia="仿宋" w:cs="仿宋"/>
                <w:sz w:val="20"/>
                <w:szCs w:val="20"/>
              </w:rPr>
              <w:t>上线后根据省、市卫健委统一安排按进度开展项目验收工作。</w:t>
            </w:r>
          </w:p>
        </w:tc>
      </w:tr>
      <w:tr w14:paraId="412B8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2" w:type="dxa"/>
          </w:tcPr>
          <w:p w14:paraId="3BAE8C80">
            <w:pPr>
              <w:pStyle w:val="4"/>
              <w:jc w:val="center"/>
              <w:rPr>
                <w:rFonts w:hint="eastAsia" w:ascii="仿宋" w:hAnsi="仿宋" w:eastAsia="仿宋" w:cs="仿宋"/>
                <w:lang w:val="en-US" w:eastAsia="zh-CN"/>
              </w:rPr>
            </w:pPr>
            <w:r>
              <w:rPr>
                <w:rFonts w:hint="eastAsia" w:ascii="仿宋" w:hAnsi="仿宋" w:eastAsia="仿宋" w:cs="仿宋"/>
                <w:lang w:val="en-US" w:eastAsia="zh-CN"/>
              </w:rPr>
              <w:t>4</w:t>
            </w:r>
          </w:p>
        </w:tc>
        <w:tc>
          <w:tcPr>
            <w:tcW w:w="1100" w:type="dxa"/>
          </w:tcPr>
          <w:p w14:paraId="271103B3">
            <w:pPr>
              <w:jc w:val="center"/>
              <w:rPr>
                <w:rFonts w:hint="eastAsia" w:ascii="仿宋" w:hAnsi="仿宋" w:eastAsia="仿宋" w:cs="仿宋"/>
              </w:rPr>
            </w:pPr>
          </w:p>
        </w:tc>
        <w:tc>
          <w:tcPr>
            <w:tcW w:w="6590" w:type="dxa"/>
          </w:tcPr>
          <w:p w14:paraId="059733FC">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both"/>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val="en-US" w:eastAsia="zh-CN"/>
              </w:rPr>
              <w:t>4</w:t>
            </w:r>
            <w:r>
              <w:rPr>
                <w:rFonts w:hint="eastAsia" w:ascii="仿宋" w:hAnsi="仿宋" w:eastAsia="仿宋" w:cs="仿宋"/>
                <w:b/>
                <w:bCs/>
                <w:color w:val="auto"/>
                <w:sz w:val="20"/>
                <w:szCs w:val="20"/>
                <w:highlight w:val="none"/>
              </w:rPr>
              <w:t>.考核（验收）标准和方法</w:t>
            </w:r>
          </w:p>
          <w:p w14:paraId="6596641D">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both"/>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val="en-US" w:eastAsia="zh-CN"/>
              </w:rPr>
              <w:t>4</w:t>
            </w:r>
            <w:r>
              <w:rPr>
                <w:rFonts w:hint="eastAsia" w:ascii="仿宋" w:hAnsi="仿宋" w:eastAsia="仿宋" w:cs="仿宋"/>
                <w:b/>
                <w:bCs/>
                <w:color w:val="auto"/>
                <w:sz w:val="20"/>
                <w:szCs w:val="20"/>
                <w:highlight w:val="none"/>
              </w:rPr>
              <w:t>.1验收方式</w:t>
            </w:r>
          </w:p>
          <w:p w14:paraId="1C300BAA">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采用“</w:t>
            </w:r>
            <w:r>
              <w:rPr>
                <w:rFonts w:hint="eastAsia" w:ascii="仿宋" w:hAnsi="仿宋" w:eastAsia="仿宋" w:cs="仿宋"/>
                <w:color w:val="auto"/>
                <w:sz w:val="20"/>
                <w:szCs w:val="20"/>
                <w:highlight w:val="none"/>
                <w:lang w:val="en-US" w:eastAsia="zh-CN"/>
              </w:rPr>
              <w:t>阶段性验收</w:t>
            </w:r>
            <w:r>
              <w:rPr>
                <w:rFonts w:hint="eastAsia" w:ascii="仿宋" w:hAnsi="仿宋" w:eastAsia="仿宋" w:cs="仿宋"/>
                <w:color w:val="auto"/>
                <w:sz w:val="20"/>
                <w:szCs w:val="20"/>
                <w:highlight w:val="none"/>
              </w:rPr>
              <w:t>+稳定运行+终验”三阶段机制，</w:t>
            </w:r>
            <w:r>
              <w:rPr>
                <w:rFonts w:hint="eastAsia" w:ascii="仿宋" w:hAnsi="仿宋" w:eastAsia="仿宋" w:cs="仿宋"/>
                <w:color w:val="auto"/>
                <w:sz w:val="20"/>
                <w:szCs w:val="20"/>
                <w:highlight w:val="none"/>
                <w:lang w:val="en-US" w:eastAsia="zh-CN"/>
              </w:rPr>
              <w:t>阶段性验收为市级平台系统部署完成</w:t>
            </w:r>
            <w:r>
              <w:rPr>
                <w:rFonts w:hint="eastAsia" w:ascii="仿宋" w:hAnsi="仿宋" w:eastAsia="仿宋" w:cs="仿宋"/>
                <w:color w:val="auto"/>
                <w:sz w:val="20"/>
                <w:szCs w:val="20"/>
                <w:highlight w:val="none"/>
              </w:rPr>
              <w:t>；稳定运行为系统切换上线并稳定运行30天；终验为稳定运行期问题清零，并完成与甲方商定的相关外联接口对接。</w:t>
            </w:r>
          </w:p>
          <w:p w14:paraId="6C93D07A">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both"/>
              <w:textAlignment w:val="auto"/>
              <w:rPr>
                <w:rFonts w:hint="eastAsia" w:ascii="仿宋" w:hAnsi="仿宋" w:eastAsia="仿宋" w:cs="仿宋"/>
                <w:b/>
                <w:bCs/>
                <w:color w:val="auto"/>
                <w:sz w:val="20"/>
                <w:szCs w:val="20"/>
                <w:highlight w:val="none"/>
                <w:lang w:val="en-US" w:eastAsia="zh-CN"/>
              </w:rPr>
            </w:pPr>
            <w:r>
              <w:rPr>
                <w:rFonts w:hint="eastAsia" w:ascii="仿宋" w:hAnsi="仿宋" w:eastAsia="仿宋" w:cs="仿宋"/>
                <w:b/>
                <w:bCs/>
                <w:color w:val="auto"/>
                <w:sz w:val="20"/>
                <w:szCs w:val="20"/>
                <w:highlight w:val="none"/>
                <w:lang w:val="en-US" w:eastAsia="zh-CN"/>
              </w:rPr>
              <w:t>4</w:t>
            </w:r>
            <w:r>
              <w:rPr>
                <w:rFonts w:hint="eastAsia" w:ascii="仿宋" w:hAnsi="仿宋" w:eastAsia="仿宋" w:cs="仿宋"/>
                <w:b/>
                <w:bCs/>
                <w:color w:val="auto"/>
                <w:sz w:val="20"/>
                <w:szCs w:val="20"/>
                <w:highlight w:val="none"/>
              </w:rPr>
              <w:t>.2</w:t>
            </w:r>
            <w:r>
              <w:rPr>
                <w:rFonts w:hint="eastAsia" w:ascii="仿宋" w:hAnsi="仿宋" w:eastAsia="仿宋" w:cs="仿宋"/>
                <w:b/>
                <w:bCs/>
                <w:color w:val="auto"/>
                <w:sz w:val="20"/>
                <w:szCs w:val="20"/>
                <w:highlight w:val="none"/>
                <w:lang w:val="en-US" w:eastAsia="zh-CN"/>
              </w:rPr>
              <w:t>终验指标</w:t>
            </w:r>
          </w:p>
          <w:p w14:paraId="3CB3B0AD">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机构网络改造:新增点位符合综合布线工程规范，符合国家电子政务外网接入要求，内外网通过安全策略实现互通。</w:t>
            </w:r>
          </w:p>
          <w:p w14:paraId="3251D1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用户数据初始化:初始化数据完全满足系统运行及会计核算，准确率100% 设备联机与对接:支持联机并提供技术支持的设备，联机率100% 应用系统培训:全部用户参培率100%；系统管理用户考核通过率100%；</w:t>
            </w:r>
          </w:p>
          <w:p w14:paraId="1ED6A20F">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迁移数据验证:根据机构需求及新系统数据规范，完成软件上线前历史数据(由省级“三秦智医”包3提供)的验证，数据验证覆盖率100%</w:t>
            </w:r>
            <w:r>
              <w:rPr>
                <w:rFonts w:hint="eastAsia" w:ascii="仿宋" w:hAnsi="仿宋" w:eastAsia="仿宋" w:cs="仿宋"/>
                <w:color w:val="auto"/>
                <w:sz w:val="20"/>
                <w:szCs w:val="20"/>
                <w:highlight w:val="none"/>
                <w:lang w:eastAsia="zh-CN"/>
              </w:rPr>
              <w:t>；</w:t>
            </w:r>
          </w:p>
          <w:p w14:paraId="343FB84E">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试运行及需求反馈:进行需求闭环管理，一线需求采集率100%，需求管理跟踪100%，反馈优化结果100%，每个闭环时间，紧急问题</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4小时，一般问题不超过1天，复杂问题不超过1周。</w:t>
            </w:r>
          </w:p>
          <w:p w14:paraId="26343D67">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新旧系统割接:新旧系统切换过程平稳、高效、安全，切换前后实物库存衔接准确，会计科目期末期初一致，月度财务数据实现合并统计，月度记账平衡。</w:t>
            </w:r>
          </w:p>
          <w:p w14:paraId="61C76CBC">
            <w:pPr>
              <w:keepNext w:val="0"/>
              <w:keepLines w:val="0"/>
              <w:pageBreakBefore w:val="0"/>
              <w:widowControl w:val="0"/>
              <w:kinsoku/>
              <w:wordWrap/>
              <w:overflowPunct/>
              <w:topLinePunct w:val="0"/>
              <w:autoSpaceDE/>
              <w:autoSpaceDN/>
              <w:bidi w:val="0"/>
              <w:adjustRightInd/>
              <w:snapToGrid/>
              <w:spacing w:line="360" w:lineRule="auto"/>
              <w:ind w:firstLine="402" w:firstLineChars="200"/>
              <w:jc w:val="both"/>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val="en-US" w:eastAsia="zh-CN"/>
              </w:rPr>
              <w:t>4</w:t>
            </w:r>
            <w:r>
              <w:rPr>
                <w:rFonts w:hint="eastAsia" w:ascii="仿宋" w:hAnsi="仿宋" w:eastAsia="仿宋" w:cs="仿宋"/>
                <w:b/>
                <w:bCs/>
                <w:color w:val="auto"/>
                <w:sz w:val="20"/>
                <w:szCs w:val="20"/>
                <w:highlight w:val="none"/>
              </w:rPr>
              <w:t>.3文档验收</w:t>
            </w:r>
          </w:p>
          <w:p w14:paraId="2D822C8A">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文档包括过程管控、技术文档、用户手册等，“本项目”中标人基于省级“三秦智医”项目各包中标人提供的通用版文件，根据本项目交付实际进行调整及补充。文档要求版本与系统版本一致。</w:t>
            </w:r>
          </w:p>
          <w:p w14:paraId="167AD692">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过程文档交付:包括不限于《系统架构设计文档》、《业务流程设计报告》《测试计划》、《测试报告》、《软件运行报告》、《用户操作手册》、《培训材料》、《项目验收报告》、《运维交接清单》、《系统优化记录表》等。</w:t>
            </w:r>
          </w:p>
          <w:p w14:paraId="292E480E">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both"/>
              <w:textAlignment w:val="auto"/>
              <w:rPr>
                <w:rFonts w:hint="eastAsia" w:ascii="仿宋" w:hAnsi="仿宋" w:eastAsia="仿宋" w:cs="仿宋"/>
              </w:rPr>
            </w:pPr>
            <w:r>
              <w:rPr>
                <w:rFonts w:hint="eastAsia" w:ascii="仿宋" w:hAnsi="仿宋" w:eastAsia="仿宋" w:cs="仿宋"/>
                <w:color w:val="auto"/>
                <w:sz w:val="20"/>
                <w:szCs w:val="20"/>
                <w:highlight w:val="none"/>
              </w:rPr>
              <w:t>用户文档交付:包括不限于《用户操作手册》、《系统运维手册》、《故障处理指南》、《数据字典》、《接口文档》、《安全操作规范》等。</w:t>
            </w:r>
          </w:p>
        </w:tc>
      </w:tr>
      <w:tr w14:paraId="550C3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2" w:type="dxa"/>
          </w:tcPr>
          <w:p w14:paraId="0456D135">
            <w:pPr>
              <w:pStyle w:val="4"/>
              <w:jc w:val="center"/>
              <w:rPr>
                <w:rFonts w:hint="eastAsia" w:ascii="仿宋" w:hAnsi="仿宋" w:eastAsia="仿宋" w:cs="仿宋"/>
                <w:lang w:val="en-US" w:eastAsia="zh-CN"/>
              </w:rPr>
            </w:pPr>
            <w:r>
              <w:rPr>
                <w:rFonts w:hint="eastAsia" w:ascii="仿宋" w:hAnsi="仿宋" w:eastAsia="仿宋" w:cs="仿宋"/>
                <w:lang w:val="en-US" w:eastAsia="zh-CN"/>
              </w:rPr>
              <w:t>5</w:t>
            </w:r>
          </w:p>
        </w:tc>
        <w:tc>
          <w:tcPr>
            <w:tcW w:w="1100" w:type="dxa"/>
          </w:tcPr>
          <w:p w14:paraId="01FD9868">
            <w:pPr>
              <w:jc w:val="center"/>
              <w:rPr>
                <w:rFonts w:hint="eastAsia" w:ascii="仿宋" w:hAnsi="仿宋" w:eastAsia="仿宋" w:cs="仿宋"/>
              </w:rPr>
            </w:pPr>
          </w:p>
        </w:tc>
        <w:tc>
          <w:tcPr>
            <w:tcW w:w="6590" w:type="dxa"/>
          </w:tcPr>
          <w:p w14:paraId="454B5420">
            <w:pPr>
              <w:keepNext w:val="0"/>
              <w:keepLines w:val="0"/>
              <w:pageBreakBefore w:val="0"/>
              <w:widowControl w:val="0"/>
              <w:kinsoku/>
              <w:wordWrap/>
              <w:overflowPunct/>
              <w:topLinePunct w:val="0"/>
              <w:autoSpaceDE/>
              <w:autoSpaceDN/>
              <w:bidi w:val="0"/>
              <w:adjustRightInd/>
              <w:snapToGrid/>
              <w:spacing w:line="540" w:lineRule="exact"/>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.质量保证</w:t>
            </w:r>
          </w:p>
          <w:p w14:paraId="2E0419F1">
            <w:pPr>
              <w:keepNext w:val="0"/>
              <w:keepLines w:val="0"/>
              <w:pageBreakBefore w:val="0"/>
              <w:widowControl w:val="0"/>
              <w:kinsoku/>
              <w:wordWrap/>
              <w:overflowPunct/>
              <w:topLinePunct w:val="0"/>
              <w:autoSpaceDE/>
              <w:autoSpaceDN/>
              <w:bidi w:val="0"/>
              <w:adjustRightInd/>
              <w:snapToGrid/>
              <w:spacing w:line="540" w:lineRule="exact"/>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.1质保期：项目最终验收合格之日起3年。</w:t>
            </w:r>
          </w:p>
          <w:p w14:paraId="74013A43">
            <w:pPr>
              <w:keepNext w:val="0"/>
              <w:keepLines w:val="0"/>
              <w:pageBreakBefore w:val="0"/>
              <w:widowControl w:val="0"/>
              <w:kinsoku/>
              <w:wordWrap/>
              <w:overflowPunct/>
              <w:topLinePunct w:val="0"/>
              <w:autoSpaceDE/>
              <w:autoSpaceDN/>
              <w:bidi w:val="0"/>
              <w:adjustRightInd/>
              <w:snapToGrid/>
              <w:spacing w:line="540" w:lineRule="exact"/>
              <w:ind w:firstLine="400" w:firstLineChars="200"/>
              <w:jc w:val="left"/>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5</w:t>
            </w:r>
            <w:r>
              <w:rPr>
                <w:rFonts w:hint="eastAsia" w:ascii="仿宋" w:hAnsi="仿宋" w:eastAsia="仿宋" w:cs="仿宋"/>
                <w:sz w:val="20"/>
                <w:szCs w:val="20"/>
              </w:rPr>
              <w:t>.2现场服务：项目自启动到正式运行期间，保证每个卫生院(社区服务中心) 至少应有1人到达现场进行实施及上线支撑。全体项目团队需全面参加省级“三秦智医”包 1、包2中标人的培训并满足考核要求。项目安排专人全面对接的工作，不限于专人优化培训材料、专人在线服务及管理“日常问答”、专人梳理需求并反馈用户等。</w:t>
            </w:r>
          </w:p>
          <w:p w14:paraId="72EFAA25">
            <w:pPr>
              <w:keepNext w:val="0"/>
              <w:keepLines w:val="0"/>
              <w:pageBreakBefore w:val="0"/>
              <w:widowControl w:val="0"/>
              <w:kinsoku/>
              <w:wordWrap/>
              <w:overflowPunct/>
              <w:topLinePunct w:val="0"/>
              <w:autoSpaceDE/>
              <w:autoSpaceDN/>
              <w:bidi w:val="0"/>
              <w:adjustRightInd/>
              <w:snapToGrid/>
              <w:spacing w:line="540" w:lineRule="exact"/>
              <w:ind w:firstLine="400" w:firstLineChars="200"/>
              <w:jc w:val="left"/>
              <w:textAlignment w:val="auto"/>
              <w:rPr>
                <w:rFonts w:hint="eastAsia" w:ascii="仿宋" w:hAnsi="仿宋" w:eastAsia="仿宋" w:cs="仿宋"/>
              </w:rPr>
            </w:pPr>
            <w:r>
              <w:rPr>
                <w:rFonts w:hint="eastAsia" w:ascii="仿宋" w:hAnsi="仿宋" w:eastAsia="仿宋" w:cs="仿宋"/>
                <w:sz w:val="20"/>
                <w:szCs w:val="20"/>
                <w:lang w:val="en-US" w:eastAsia="zh-CN"/>
              </w:rPr>
              <w:t>5</w:t>
            </w:r>
            <w:r>
              <w:rPr>
                <w:rFonts w:hint="eastAsia" w:ascii="仿宋" w:hAnsi="仿宋" w:eastAsia="仿宋" w:cs="仿宋"/>
                <w:sz w:val="20"/>
                <w:szCs w:val="20"/>
              </w:rPr>
              <w:t>.3质保期内，乙方提供5×8小时技术咨询服务，7×24小时故障服务受理，2小时内完成故障分析与定位，启动故障恢复流程。若为本系统故障，乙方承诺30分钟内恢复系统服务；若为其他供应商导致的故障，乙方将积极配合对方，尽快恢复服务。</w:t>
            </w:r>
          </w:p>
        </w:tc>
      </w:tr>
    </w:tbl>
    <w:p w14:paraId="19CB96B4">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81807"/>
    <w:rsid w:val="2DC8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2025-09-29T10:49:00Z</dcterms:created>
  <dc:creator>白日梦</dc:creator>
  <cp:lastModifiedBy>白日梦</cp:lastModifiedBy>
  <dcterms:modified xsi:type="dcterms:W3CDTF">2025-09-29T10:49:55Z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BB136F1592D34271A5041A8140FC178E_11</vt:lpwstr>
  </property>
  <property fmtid="{D5CDD505-2E9C-101B-9397-08002B2CF9AE}" pid="4" name="KSOTemplateDocerSaveRecord">
    <vt:lpwstr>eyJoZGlkIjoiNTI1OGU5NzEwNjlmOTA0NzYwMTIyZGJlNThjMzMxOGYiLCJ1c2VySWQiOiIzMTI3MDEwNzEifQ==</vt:lpwstr>
  </property>
</Properties>
</file>