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5B90">
      <w:pPr>
        <w:spacing w:line="700" w:lineRule="exact"/>
        <w:jc w:val="center"/>
        <w:rPr>
          <w:rFonts w:hint="eastAsia" w:ascii="黑体" w:hAnsi="黑体" w:eastAsia="黑体" w:cs="黑体"/>
          <w:sz w:val="44"/>
          <w:szCs w:val="44"/>
        </w:rPr>
      </w:pPr>
    </w:p>
    <w:p w14:paraId="02103E52">
      <w:pPr>
        <w:pStyle w:val="6"/>
        <w:rPr>
          <w:rFonts w:hint="eastAsia"/>
        </w:rPr>
      </w:pPr>
    </w:p>
    <w:p w14:paraId="754E452D">
      <w:pPr>
        <w:spacing w:line="1100" w:lineRule="exact"/>
        <w:jc w:val="center"/>
        <w:rPr>
          <w:rFonts w:hint="eastAsia" w:ascii="黑体" w:hAnsi="黑体" w:eastAsia="黑体" w:cs="黑体"/>
          <w:b/>
          <w:bCs/>
          <w:sz w:val="52"/>
          <w:szCs w:val="52"/>
        </w:rPr>
      </w:pPr>
      <w:r>
        <w:rPr>
          <w:rFonts w:hint="eastAsia" w:ascii="黑体" w:hAnsi="黑体" w:eastAsia="黑体" w:cs="黑体"/>
          <w:b/>
          <w:bCs/>
          <w:sz w:val="48"/>
          <w:szCs w:val="48"/>
        </w:rPr>
        <w:t>关于《</w:t>
      </w:r>
      <w:r>
        <w:rPr>
          <w:rFonts w:hint="eastAsia" w:ascii="黑体" w:hAnsi="黑体" w:eastAsia="黑体" w:cs="黑体"/>
          <w:b/>
          <w:bCs/>
          <w:sz w:val="48"/>
          <w:szCs w:val="48"/>
          <w:lang w:eastAsia="zh-CN"/>
        </w:rPr>
        <w:t>西安市临潼区2025年残疾人居家安养服务</w:t>
      </w:r>
      <w:r>
        <w:rPr>
          <w:rFonts w:hint="eastAsia" w:ascii="黑体" w:hAnsi="黑体" w:eastAsia="黑体" w:cs="黑体"/>
          <w:b/>
          <w:bCs/>
          <w:sz w:val="48"/>
          <w:szCs w:val="48"/>
        </w:rPr>
        <w:t>》需求书</w:t>
      </w:r>
      <w:r>
        <w:rPr>
          <w:rFonts w:hint="eastAsia" w:ascii="黑体" w:hAnsi="黑体" w:eastAsia="黑体" w:cs="黑体"/>
          <w:b/>
          <w:bCs/>
          <w:sz w:val="52"/>
          <w:szCs w:val="52"/>
        </w:rPr>
        <w:br w:type="textWrapping"/>
      </w:r>
    </w:p>
    <w:p w14:paraId="56C0D372">
      <w:pPr>
        <w:spacing w:line="700" w:lineRule="exact"/>
        <w:jc w:val="center"/>
        <w:rPr>
          <w:rFonts w:hint="eastAsia" w:ascii="黑体" w:hAnsi="黑体" w:eastAsia="黑体" w:cs="黑体"/>
          <w:sz w:val="32"/>
          <w:szCs w:val="32"/>
        </w:rPr>
      </w:pPr>
    </w:p>
    <w:p w14:paraId="3E7C9F3F">
      <w:pPr>
        <w:spacing w:line="700" w:lineRule="exact"/>
        <w:jc w:val="center"/>
        <w:rPr>
          <w:rFonts w:hint="eastAsia" w:ascii="黑体" w:hAnsi="黑体" w:eastAsia="黑体" w:cs="黑体"/>
          <w:sz w:val="32"/>
          <w:szCs w:val="32"/>
        </w:rPr>
      </w:pPr>
    </w:p>
    <w:p w14:paraId="4DF5FDC4">
      <w:pPr>
        <w:spacing w:line="700" w:lineRule="exact"/>
        <w:jc w:val="center"/>
        <w:rPr>
          <w:rFonts w:hint="eastAsia" w:ascii="黑体" w:hAnsi="黑体" w:eastAsia="黑体" w:cs="黑体"/>
          <w:sz w:val="32"/>
          <w:szCs w:val="32"/>
        </w:rPr>
      </w:pPr>
    </w:p>
    <w:p w14:paraId="1C393945">
      <w:pPr>
        <w:pStyle w:val="6"/>
        <w:rPr>
          <w:rFonts w:hint="eastAsia" w:ascii="黑体" w:hAnsi="黑体" w:eastAsia="黑体" w:cs="黑体"/>
          <w:sz w:val="32"/>
          <w:szCs w:val="32"/>
        </w:rPr>
      </w:pPr>
    </w:p>
    <w:p w14:paraId="00AD0671">
      <w:pPr>
        <w:pStyle w:val="6"/>
        <w:rPr>
          <w:rFonts w:hint="eastAsia" w:ascii="黑体" w:hAnsi="黑体" w:eastAsia="黑体" w:cs="黑体"/>
          <w:sz w:val="32"/>
          <w:szCs w:val="32"/>
        </w:rPr>
      </w:pPr>
    </w:p>
    <w:p w14:paraId="711525C9">
      <w:pPr>
        <w:spacing w:line="700" w:lineRule="exact"/>
        <w:jc w:val="center"/>
        <w:rPr>
          <w:rFonts w:hint="eastAsia" w:ascii="黑体" w:hAnsi="黑体" w:eastAsia="黑体" w:cs="黑体"/>
          <w:sz w:val="32"/>
          <w:szCs w:val="32"/>
        </w:rPr>
      </w:pPr>
    </w:p>
    <w:p w14:paraId="53578B33">
      <w:pPr>
        <w:spacing w:line="540" w:lineRule="exact"/>
        <w:jc w:val="center"/>
        <w:rPr>
          <w:rFonts w:hint="eastAsia" w:ascii="黑体" w:hAnsi="黑体" w:eastAsia="黑体" w:cs="黑体"/>
          <w:sz w:val="32"/>
          <w:szCs w:val="32"/>
        </w:rPr>
      </w:pPr>
    </w:p>
    <w:p w14:paraId="6084150B">
      <w:pPr>
        <w:spacing w:line="540" w:lineRule="exact"/>
        <w:jc w:val="center"/>
        <w:rPr>
          <w:rFonts w:hint="eastAsia" w:ascii="黑体" w:hAnsi="黑体" w:eastAsia="黑体" w:cs="黑体"/>
          <w:sz w:val="32"/>
          <w:szCs w:val="32"/>
        </w:rPr>
      </w:pPr>
    </w:p>
    <w:p w14:paraId="462827F4">
      <w:pPr>
        <w:spacing w:line="540" w:lineRule="exact"/>
        <w:jc w:val="center"/>
        <w:rPr>
          <w:rFonts w:hint="eastAsia" w:ascii="黑体" w:hAnsi="黑体" w:eastAsia="黑体" w:cs="黑体"/>
          <w:sz w:val="32"/>
          <w:szCs w:val="32"/>
        </w:rPr>
      </w:pPr>
    </w:p>
    <w:p w14:paraId="0D919722">
      <w:pPr>
        <w:spacing w:line="540" w:lineRule="exact"/>
        <w:jc w:val="center"/>
        <w:rPr>
          <w:rFonts w:hint="eastAsia" w:ascii="黑体" w:hAnsi="黑体" w:eastAsia="黑体" w:cs="黑体"/>
          <w:sz w:val="32"/>
          <w:szCs w:val="32"/>
        </w:rPr>
      </w:pPr>
      <w:r>
        <w:rPr>
          <w:rFonts w:hint="eastAsia" w:ascii="黑体" w:hAnsi="黑体" w:eastAsia="黑体" w:cs="黑体"/>
          <w:sz w:val="32"/>
          <w:szCs w:val="32"/>
        </w:rPr>
        <w:t>招标人：西安市</w:t>
      </w:r>
      <w:r>
        <w:rPr>
          <w:rFonts w:hint="eastAsia" w:ascii="黑体" w:hAnsi="黑体" w:eastAsia="黑体" w:cs="黑体"/>
          <w:sz w:val="32"/>
          <w:szCs w:val="32"/>
          <w:lang w:val="en-US" w:eastAsia="zh-CN"/>
        </w:rPr>
        <w:t>临潼</w:t>
      </w:r>
      <w:r>
        <w:rPr>
          <w:rFonts w:hint="eastAsia" w:ascii="黑体" w:hAnsi="黑体" w:eastAsia="黑体" w:cs="黑体"/>
          <w:sz w:val="32"/>
          <w:szCs w:val="32"/>
        </w:rPr>
        <w:t xml:space="preserve">区残疾人联合会 </w:t>
      </w:r>
      <w:r>
        <w:rPr>
          <w:rFonts w:hint="eastAsia" w:ascii="黑体" w:hAnsi="黑体" w:eastAsia="黑体" w:cs="黑体"/>
          <w:sz w:val="32"/>
          <w:szCs w:val="32"/>
        </w:rPr>
        <w:br w:type="textWrapping"/>
      </w:r>
    </w:p>
    <w:p w14:paraId="255F9E83">
      <w:pPr>
        <w:spacing w:line="54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2025年1</w:t>
      </w:r>
      <w:r>
        <w:rPr>
          <w:rFonts w:hint="eastAsia" w:ascii="黑体" w:hAnsi="黑体" w:eastAsia="黑体" w:cs="黑体"/>
          <w:sz w:val="32"/>
          <w:szCs w:val="32"/>
          <w:lang w:val="en-US" w:eastAsia="zh-CN"/>
        </w:rPr>
        <w:t>0</w:t>
      </w:r>
      <w:r>
        <w:rPr>
          <w:rFonts w:hint="eastAsia" w:ascii="黑体" w:hAnsi="黑体" w:eastAsia="黑体" w:cs="黑体"/>
          <w:sz w:val="32"/>
          <w:szCs w:val="32"/>
        </w:rPr>
        <w:t>月</w:t>
      </w:r>
    </w:p>
    <w:p w14:paraId="6050D30A">
      <w:pPr>
        <w:jc w:val="center"/>
        <w:rPr>
          <w:rFonts w:hint="eastAsia" w:ascii="黑体" w:hAnsi="黑体" w:eastAsia="黑体" w:cs="黑体"/>
          <w:b/>
          <w:sz w:val="32"/>
          <w:szCs w:val="32"/>
        </w:rPr>
      </w:pPr>
    </w:p>
    <w:p w14:paraId="17BD2377">
      <w:pPr>
        <w:pStyle w:val="2"/>
        <w:rPr>
          <w:rFonts w:hint="eastAsia" w:ascii="黑体" w:hAnsi="黑体" w:eastAsia="黑体" w:cs="黑体"/>
          <w:b/>
          <w:sz w:val="32"/>
          <w:szCs w:val="32"/>
        </w:rPr>
      </w:pPr>
    </w:p>
    <w:p w14:paraId="57055FD1">
      <w:pPr>
        <w:pStyle w:val="6"/>
        <w:ind w:left="0" w:leftChars="0" w:firstLine="0" w:firstLineChars="0"/>
        <w:rPr>
          <w:rFonts w:hint="eastAsia"/>
        </w:rPr>
      </w:pPr>
    </w:p>
    <w:p w14:paraId="4E06573C">
      <w:pPr>
        <w:rPr>
          <w:rFonts w:hint="eastAsia" w:ascii="黑体" w:hAnsi="黑体" w:eastAsia="黑体" w:cs="黑体"/>
        </w:rPr>
      </w:pPr>
    </w:p>
    <w:p w14:paraId="644D6BD1">
      <w:pPr>
        <w:widowControl/>
        <w:jc w:val="center"/>
        <w:rPr>
          <w:rFonts w:hint="eastAsia" w:ascii="黑体" w:hAnsi="黑体" w:eastAsia="黑体" w:cs="黑体"/>
          <w:b/>
          <w:sz w:val="28"/>
          <w:szCs w:val="28"/>
        </w:rPr>
      </w:pPr>
      <w:r>
        <w:rPr>
          <w:rFonts w:hint="eastAsia" w:ascii="黑体" w:hAnsi="黑体" w:eastAsia="黑体" w:cs="黑体"/>
          <w:b/>
          <w:sz w:val="28"/>
          <w:szCs w:val="28"/>
        </w:rPr>
        <w:t>政府采购需求书</w:t>
      </w:r>
    </w:p>
    <w:tbl>
      <w:tblPr>
        <w:tblStyle w:val="7"/>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61"/>
        <w:gridCol w:w="1435"/>
        <w:gridCol w:w="7198"/>
      </w:tblGrid>
      <w:tr w14:paraId="3F61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0" w:hRule="atLeast"/>
          <w:jc w:val="center"/>
        </w:trPr>
        <w:tc>
          <w:tcPr>
            <w:tcW w:w="861" w:type="dxa"/>
            <w:vAlign w:val="center"/>
          </w:tcPr>
          <w:p w14:paraId="092E14A9">
            <w:pPr>
              <w:snapToGrid w:val="0"/>
              <w:jc w:val="center"/>
              <w:rPr>
                <w:rFonts w:hint="eastAsia" w:ascii="黑体" w:hAnsi="黑体" w:eastAsia="黑体" w:cs="黑体"/>
                <w:b/>
                <w:sz w:val="24"/>
              </w:rPr>
            </w:pPr>
            <w:r>
              <w:rPr>
                <w:rFonts w:hint="eastAsia" w:ascii="黑体" w:hAnsi="黑体" w:eastAsia="黑体" w:cs="黑体"/>
                <w:b/>
                <w:sz w:val="24"/>
                <w:lang w:val="zh-CN"/>
              </w:rPr>
              <w:t>序号</w:t>
            </w:r>
          </w:p>
        </w:tc>
        <w:tc>
          <w:tcPr>
            <w:tcW w:w="1435" w:type="dxa"/>
            <w:vAlign w:val="center"/>
          </w:tcPr>
          <w:p w14:paraId="47DB41CE">
            <w:pPr>
              <w:pStyle w:val="9"/>
              <w:spacing w:line="300" w:lineRule="exact"/>
              <w:ind w:left="38"/>
              <w:jc w:val="center"/>
              <w:rPr>
                <w:rFonts w:hint="eastAsia" w:ascii="黑体" w:hAnsi="黑体" w:eastAsia="黑体" w:cs="黑体"/>
                <w:b/>
                <w:kern w:val="2"/>
                <w:lang w:val="zh-CN"/>
              </w:rPr>
            </w:pPr>
            <w:r>
              <w:rPr>
                <w:rFonts w:hint="eastAsia" w:ascii="黑体" w:hAnsi="黑体" w:eastAsia="黑体" w:cs="黑体"/>
                <w:b/>
                <w:kern w:val="2"/>
                <w:lang w:val="zh-CN"/>
              </w:rPr>
              <w:t>关键事项</w:t>
            </w:r>
          </w:p>
        </w:tc>
        <w:tc>
          <w:tcPr>
            <w:tcW w:w="7198" w:type="dxa"/>
            <w:vAlign w:val="center"/>
          </w:tcPr>
          <w:p w14:paraId="41784E55">
            <w:pPr>
              <w:pStyle w:val="9"/>
              <w:jc w:val="center"/>
              <w:rPr>
                <w:rFonts w:hint="eastAsia" w:ascii="黑体" w:hAnsi="黑体" w:eastAsia="黑体" w:cs="黑体"/>
                <w:b/>
                <w:kern w:val="2"/>
                <w:lang w:val="zh-CN"/>
              </w:rPr>
            </w:pPr>
            <w:r>
              <w:rPr>
                <w:rFonts w:hint="eastAsia" w:ascii="黑体" w:hAnsi="黑体" w:eastAsia="黑体" w:cs="黑体"/>
                <w:b/>
                <w:kern w:val="2"/>
                <w:lang w:val="zh-CN"/>
              </w:rPr>
              <w:t>说明和要求</w:t>
            </w:r>
          </w:p>
        </w:tc>
      </w:tr>
      <w:tr w14:paraId="171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6" w:hRule="atLeast"/>
          <w:jc w:val="center"/>
        </w:trPr>
        <w:tc>
          <w:tcPr>
            <w:tcW w:w="861" w:type="dxa"/>
            <w:vAlign w:val="center"/>
          </w:tcPr>
          <w:p w14:paraId="2AAF016C">
            <w:pPr>
              <w:snapToGrid w:val="0"/>
              <w:spacing w:after="200"/>
              <w:jc w:val="center"/>
              <w:rPr>
                <w:rFonts w:hint="eastAsia" w:ascii="黑体" w:hAnsi="黑体" w:eastAsia="黑体" w:cs="黑体"/>
                <w:bCs/>
                <w:sz w:val="24"/>
                <w:lang w:val="zh-CN"/>
              </w:rPr>
            </w:pPr>
            <w:r>
              <w:rPr>
                <w:rFonts w:hint="eastAsia" w:ascii="黑体" w:hAnsi="黑体" w:eastAsia="黑体" w:cs="黑体"/>
                <w:bCs/>
                <w:sz w:val="24"/>
                <w:lang w:val="zh-CN"/>
              </w:rPr>
              <w:t>1</w:t>
            </w:r>
          </w:p>
        </w:tc>
        <w:tc>
          <w:tcPr>
            <w:tcW w:w="1435" w:type="dxa"/>
            <w:vAlign w:val="center"/>
          </w:tcPr>
          <w:p w14:paraId="16D65C1C">
            <w:pPr>
              <w:pStyle w:val="9"/>
              <w:spacing w:line="300" w:lineRule="exact"/>
              <w:ind w:left="38"/>
              <w:jc w:val="center"/>
              <w:rPr>
                <w:rFonts w:hint="eastAsia" w:ascii="黑体" w:hAnsi="黑体" w:eastAsia="黑体" w:cs="黑体"/>
                <w:bCs/>
                <w:kern w:val="2"/>
                <w:lang w:val="zh-CN"/>
              </w:rPr>
            </w:pPr>
            <w:r>
              <w:rPr>
                <w:rFonts w:hint="eastAsia" w:ascii="黑体" w:hAnsi="黑体" w:eastAsia="黑体" w:cs="黑体"/>
                <w:bCs/>
                <w:kern w:val="2"/>
                <w:lang w:val="zh-CN"/>
              </w:rPr>
              <w:t>采购预算</w:t>
            </w:r>
          </w:p>
        </w:tc>
        <w:tc>
          <w:tcPr>
            <w:tcW w:w="7198" w:type="dxa"/>
            <w:vAlign w:val="center"/>
          </w:tcPr>
          <w:p w14:paraId="387F747A">
            <w:pPr>
              <w:pStyle w:val="9"/>
              <w:jc w:val="both"/>
              <w:rPr>
                <w:rFonts w:hint="eastAsia" w:ascii="黑体" w:hAnsi="黑体" w:eastAsia="黑体" w:cs="黑体"/>
                <w:bCs/>
                <w:kern w:val="2"/>
                <w:lang w:val="en-US" w:eastAsia="zh-CN"/>
              </w:rPr>
            </w:pPr>
            <w:r>
              <w:rPr>
                <w:rFonts w:hint="eastAsia" w:ascii="黑体" w:hAnsi="黑体" w:eastAsia="黑体" w:cs="黑体"/>
                <w:bCs/>
                <w:kern w:val="2"/>
                <w:lang w:val="en-US" w:eastAsia="zh-CN"/>
              </w:rPr>
              <w:t>共人民币：2000000.00元，其中：</w:t>
            </w:r>
          </w:p>
          <w:p w14:paraId="389869C6">
            <w:pPr>
              <w:pStyle w:val="9"/>
              <w:jc w:val="both"/>
              <w:rPr>
                <w:rFonts w:hint="default" w:ascii="黑体" w:hAnsi="黑体" w:eastAsia="黑体" w:cs="黑体"/>
                <w:bCs/>
                <w:kern w:val="2"/>
                <w:lang w:val="en-US" w:eastAsia="zh-CN"/>
              </w:rPr>
            </w:pPr>
            <w:r>
              <w:rPr>
                <w:rFonts w:hint="eastAsia" w:ascii="黑体" w:hAnsi="黑体" w:eastAsia="黑体" w:cs="黑体"/>
                <w:bCs/>
                <w:kern w:val="2"/>
                <w:lang w:val="en-US" w:eastAsia="zh-CN"/>
              </w:rPr>
              <w:t>包1：250000.00元、包2：250000.00元、包3：250000.00元、包4：250000.00元、包5：250000.00元、包6：250000.00元、包7：250000.00元、包8：250000.00元。</w:t>
            </w:r>
          </w:p>
          <w:p w14:paraId="4A1EB555">
            <w:pPr>
              <w:pStyle w:val="9"/>
              <w:jc w:val="both"/>
              <w:rPr>
                <w:rFonts w:hint="eastAsia" w:ascii="黑体" w:hAnsi="黑体" w:eastAsia="黑体" w:cs="黑体"/>
                <w:bCs/>
                <w:kern w:val="2"/>
              </w:rPr>
            </w:pPr>
            <w:r>
              <w:rPr>
                <w:rFonts w:hint="eastAsia" w:ascii="黑体" w:hAnsi="黑体" w:eastAsia="黑体" w:cs="黑体"/>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258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0" w:hRule="atLeast"/>
          <w:jc w:val="center"/>
        </w:trPr>
        <w:tc>
          <w:tcPr>
            <w:tcW w:w="861" w:type="dxa"/>
            <w:vAlign w:val="center"/>
          </w:tcPr>
          <w:p w14:paraId="2ABF6522">
            <w:pPr>
              <w:snapToGrid w:val="0"/>
              <w:spacing w:after="200"/>
              <w:jc w:val="center"/>
              <w:rPr>
                <w:rFonts w:hint="eastAsia" w:ascii="黑体" w:hAnsi="黑体" w:eastAsia="黑体" w:cs="黑体"/>
                <w:bCs/>
                <w:sz w:val="24"/>
                <w:lang w:val="zh-CN"/>
              </w:rPr>
            </w:pPr>
            <w:r>
              <w:rPr>
                <w:rFonts w:hint="eastAsia" w:ascii="黑体" w:hAnsi="黑体" w:eastAsia="黑体" w:cs="黑体"/>
                <w:bCs/>
                <w:sz w:val="24"/>
                <w:lang w:val="zh-CN"/>
              </w:rPr>
              <w:t>2</w:t>
            </w:r>
          </w:p>
        </w:tc>
        <w:tc>
          <w:tcPr>
            <w:tcW w:w="1435" w:type="dxa"/>
            <w:vAlign w:val="center"/>
          </w:tcPr>
          <w:p w14:paraId="0B97A60B">
            <w:pPr>
              <w:pStyle w:val="9"/>
              <w:spacing w:line="300" w:lineRule="exact"/>
              <w:ind w:left="38"/>
              <w:jc w:val="center"/>
              <w:rPr>
                <w:rFonts w:hint="eastAsia" w:ascii="黑体" w:hAnsi="黑体" w:eastAsia="黑体" w:cs="黑体"/>
                <w:bCs/>
                <w:kern w:val="2"/>
                <w:lang w:val="zh-CN"/>
              </w:rPr>
            </w:pPr>
            <w:r>
              <w:rPr>
                <w:rFonts w:hint="eastAsia" w:ascii="黑体" w:hAnsi="黑体" w:eastAsia="黑体" w:cs="黑体"/>
                <w:bCs/>
                <w:kern w:val="2"/>
                <w:lang w:val="zh-CN"/>
              </w:rPr>
              <w:t>最高限价</w:t>
            </w:r>
          </w:p>
        </w:tc>
        <w:tc>
          <w:tcPr>
            <w:tcW w:w="7198" w:type="dxa"/>
            <w:vAlign w:val="center"/>
          </w:tcPr>
          <w:p w14:paraId="53C99B8F">
            <w:pPr>
              <w:pStyle w:val="9"/>
              <w:jc w:val="both"/>
              <w:rPr>
                <w:rFonts w:hint="eastAsia" w:ascii="黑体" w:hAnsi="黑体" w:eastAsia="黑体" w:cs="黑体"/>
                <w:bCs/>
                <w:kern w:val="2"/>
              </w:rPr>
            </w:pPr>
            <w:r>
              <w:rPr>
                <w:rFonts w:hint="eastAsia" w:ascii="黑体" w:hAnsi="黑体" w:eastAsia="黑体" w:cs="黑体"/>
                <w:bCs/>
                <w:kern w:val="2"/>
                <w:lang w:val="en-US" w:eastAsia="zh-CN"/>
              </w:rPr>
              <w:t>包1：250000.00元、包2：250000.00元、包3：250000.00元、包4：250000.00元、包5：250000.00元、包6：250000.00元、包7：250000.00元、包8：250000.00元</w:t>
            </w:r>
            <w:r>
              <w:rPr>
                <w:rFonts w:hint="eastAsia" w:ascii="黑体" w:hAnsi="黑体" w:eastAsia="黑体" w:cs="黑体"/>
                <w:bCs/>
                <w:kern w:val="2"/>
              </w:rPr>
              <w:t>。</w:t>
            </w:r>
          </w:p>
          <w:p w14:paraId="78619330">
            <w:pPr>
              <w:pStyle w:val="9"/>
              <w:jc w:val="both"/>
              <w:rPr>
                <w:rFonts w:hint="eastAsia" w:ascii="黑体" w:hAnsi="黑体" w:eastAsia="黑体" w:cs="黑体"/>
                <w:bCs/>
                <w:kern w:val="2"/>
              </w:rPr>
            </w:pPr>
            <w:r>
              <w:rPr>
                <w:rFonts w:hint="eastAsia" w:ascii="黑体" w:hAnsi="黑体" w:eastAsia="黑体" w:cs="黑体"/>
              </w:rPr>
              <w:t>供应商投标报价高于最高限价的则其投标文件将按无效投标文件处理。</w:t>
            </w:r>
          </w:p>
        </w:tc>
      </w:tr>
      <w:tr w14:paraId="1455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0" w:hRule="atLeast"/>
          <w:jc w:val="center"/>
        </w:trPr>
        <w:tc>
          <w:tcPr>
            <w:tcW w:w="861" w:type="dxa"/>
            <w:vAlign w:val="center"/>
          </w:tcPr>
          <w:p w14:paraId="2C4938E0">
            <w:pPr>
              <w:snapToGrid w:val="0"/>
              <w:spacing w:after="200"/>
              <w:jc w:val="center"/>
              <w:rPr>
                <w:rFonts w:hint="eastAsia" w:ascii="黑体" w:hAnsi="黑体" w:eastAsia="黑体" w:cs="黑体"/>
                <w:bCs/>
                <w:sz w:val="24"/>
                <w:lang w:val="zh-CN"/>
              </w:rPr>
            </w:pPr>
            <w:r>
              <w:rPr>
                <w:rFonts w:hint="eastAsia" w:ascii="黑体" w:hAnsi="黑体" w:eastAsia="黑体" w:cs="黑体"/>
                <w:bCs/>
                <w:sz w:val="24"/>
                <w:lang w:val="zh-CN"/>
              </w:rPr>
              <w:t>3</w:t>
            </w:r>
          </w:p>
        </w:tc>
        <w:tc>
          <w:tcPr>
            <w:tcW w:w="1435" w:type="dxa"/>
            <w:vAlign w:val="center"/>
          </w:tcPr>
          <w:p w14:paraId="1017B38F">
            <w:pPr>
              <w:pStyle w:val="9"/>
              <w:spacing w:line="300" w:lineRule="exact"/>
              <w:ind w:left="38"/>
              <w:jc w:val="center"/>
              <w:rPr>
                <w:rFonts w:hint="eastAsia" w:ascii="黑体" w:hAnsi="黑体" w:eastAsia="黑体" w:cs="黑体"/>
                <w:bCs/>
                <w:kern w:val="2"/>
                <w:lang w:val="zh-CN"/>
              </w:rPr>
            </w:pPr>
            <w:r>
              <w:rPr>
                <w:rFonts w:hint="eastAsia" w:ascii="黑体" w:hAnsi="黑体" w:eastAsia="黑体" w:cs="黑体"/>
                <w:bCs/>
                <w:kern w:val="2"/>
                <w:lang w:val="zh-CN"/>
              </w:rPr>
              <w:t>项目性质</w:t>
            </w:r>
          </w:p>
        </w:tc>
        <w:tc>
          <w:tcPr>
            <w:tcW w:w="7198" w:type="dxa"/>
            <w:vAlign w:val="center"/>
          </w:tcPr>
          <w:p w14:paraId="785021AE">
            <w:pPr>
              <w:pStyle w:val="9"/>
              <w:spacing w:line="280" w:lineRule="exact"/>
              <w:jc w:val="both"/>
              <w:rPr>
                <w:rFonts w:hint="eastAsia" w:ascii="黑体" w:hAnsi="黑体" w:eastAsia="黑体" w:cs="黑体"/>
                <w:bCs/>
                <w:kern w:val="2"/>
              </w:rPr>
            </w:pPr>
            <w:r>
              <w:rPr>
                <w:rFonts w:hint="eastAsia" w:ascii="黑体" w:hAnsi="黑体" w:eastAsia="黑体" w:cs="黑体"/>
              </w:rPr>
              <w:t>〇</w:t>
            </w:r>
            <w:r>
              <w:rPr>
                <w:rFonts w:hint="eastAsia" w:ascii="黑体" w:hAnsi="黑体" w:eastAsia="黑体" w:cs="黑体"/>
                <w:bCs/>
                <w:kern w:val="2"/>
              </w:rPr>
              <w:t>专门面向中小企业采购</w:t>
            </w:r>
          </w:p>
          <w:p w14:paraId="3528FAE9">
            <w:pPr>
              <w:pStyle w:val="9"/>
              <w:spacing w:line="280" w:lineRule="exact"/>
              <w:jc w:val="both"/>
              <w:rPr>
                <w:rFonts w:hint="eastAsia" w:ascii="黑体" w:hAnsi="黑体" w:eastAsia="黑体" w:cs="黑体"/>
              </w:rPr>
            </w:pPr>
            <w:r>
              <w:rPr>
                <w:rFonts w:hint="eastAsia" w:ascii="黑体" w:hAnsi="黑体" w:eastAsia="黑体" w:cs="黑体"/>
                <w:bCs/>
                <w:kern w:val="2"/>
              </w:rPr>
              <w:t>仅允许中小企业或小型、微型企</w:t>
            </w:r>
            <w:r>
              <w:rPr>
                <w:rFonts w:hint="eastAsia" w:ascii="黑体" w:hAnsi="黑体" w:eastAsia="黑体" w:cs="黑体"/>
              </w:rPr>
              <w:t>业参与投标。</w:t>
            </w:r>
          </w:p>
          <w:p w14:paraId="002E894D">
            <w:pPr>
              <w:spacing w:line="280" w:lineRule="exact"/>
              <w:rPr>
                <w:rFonts w:hint="eastAsia" w:ascii="黑体" w:hAnsi="黑体" w:eastAsia="黑体" w:cs="黑体"/>
                <w:kern w:val="0"/>
                <w:sz w:val="24"/>
              </w:rPr>
            </w:pPr>
            <w:r>
              <w:rPr>
                <w:rFonts w:hint="eastAsia" w:ascii="黑体" w:hAnsi="黑体" w:eastAsia="黑体" w:cs="黑体"/>
              </w:rPr>
              <w:t>√</w:t>
            </w:r>
            <w:r>
              <w:rPr>
                <w:rFonts w:hint="eastAsia" w:ascii="黑体" w:hAnsi="黑体" w:eastAsia="黑体" w:cs="黑体"/>
                <w:kern w:val="0"/>
                <w:sz w:val="24"/>
              </w:rPr>
              <w:t>非专门面向中小企业采购</w:t>
            </w:r>
          </w:p>
          <w:p w14:paraId="5015CD5C">
            <w:pPr>
              <w:pStyle w:val="9"/>
              <w:spacing w:line="280" w:lineRule="exact"/>
              <w:jc w:val="both"/>
              <w:rPr>
                <w:rFonts w:hint="eastAsia"/>
              </w:rPr>
            </w:pPr>
            <w:r>
              <w:rPr>
                <w:rFonts w:hint="eastAsia" w:ascii="黑体" w:hAnsi="黑体" w:eastAsia="黑体" w:cs="黑体"/>
                <w:bCs/>
                <w:kern w:val="2"/>
              </w:rPr>
              <w:t>对符合《政府釆购促进中小企业发展管理办法》（财库〔2020〕46号）规定的小微企业（监狱企业视同小型、微型企业）的报价给予</w:t>
            </w:r>
            <w:r>
              <w:rPr>
                <w:rFonts w:hint="eastAsia" w:ascii="黑体" w:hAnsi="黑体" w:eastAsia="黑体" w:cs="黑体"/>
                <w:bCs/>
                <w:kern w:val="2"/>
                <w:lang w:val="en-US" w:eastAsia="zh-CN"/>
              </w:rPr>
              <w:t>10</w:t>
            </w:r>
            <w:r>
              <w:rPr>
                <w:rFonts w:hint="eastAsia" w:ascii="黑体" w:hAnsi="黑体" w:eastAsia="黑体" w:cs="黑体"/>
                <w:bCs/>
                <w:kern w:val="2"/>
              </w:rPr>
              <w:t>%的扣除，用扣除后的价格参加评审。</w:t>
            </w:r>
          </w:p>
        </w:tc>
      </w:tr>
      <w:tr w14:paraId="7966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861" w:type="dxa"/>
            <w:vAlign w:val="center"/>
          </w:tcPr>
          <w:p w14:paraId="419D737A">
            <w:pPr>
              <w:snapToGrid w:val="0"/>
              <w:spacing w:after="200"/>
              <w:jc w:val="center"/>
              <w:rPr>
                <w:rFonts w:hint="eastAsia" w:ascii="黑体" w:hAnsi="黑体" w:eastAsia="黑体" w:cs="黑体"/>
                <w:bCs/>
                <w:sz w:val="24"/>
              </w:rPr>
            </w:pPr>
            <w:r>
              <w:rPr>
                <w:rFonts w:hint="eastAsia" w:ascii="黑体" w:hAnsi="黑体" w:eastAsia="黑体" w:cs="黑体"/>
                <w:bCs/>
                <w:sz w:val="24"/>
              </w:rPr>
              <w:t>4</w:t>
            </w:r>
          </w:p>
        </w:tc>
        <w:tc>
          <w:tcPr>
            <w:tcW w:w="1435" w:type="dxa"/>
            <w:vAlign w:val="center"/>
          </w:tcPr>
          <w:p w14:paraId="5063F6B4">
            <w:pPr>
              <w:pStyle w:val="9"/>
              <w:spacing w:line="300" w:lineRule="exact"/>
              <w:ind w:left="96"/>
              <w:jc w:val="center"/>
              <w:rPr>
                <w:rFonts w:hint="eastAsia" w:ascii="黑体" w:hAnsi="黑体" w:eastAsia="黑体" w:cs="黑体"/>
                <w:bCs/>
                <w:kern w:val="2"/>
                <w:lang w:val="zh-CN"/>
              </w:rPr>
            </w:pPr>
            <w:r>
              <w:rPr>
                <w:rFonts w:hint="eastAsia" w:ascii="黑体" w:hAnsi="黑体" w:eastAsia="黑体" w:cs="黑体"/>
                <w:bCs/>
                <w:kern w:val="2"/>
                <w:lang w:val="zh-CN"/>
              </w:rPr>
              <w:t>对供应商的</w:t>
            </w:r>
            <w:r>
              <w:rPr>
                <w:rFonts w:hint="eastAsia" w:ascii="黑体" w:hAnsi="黑体" w:eastAsia="黑体" w:cs="黑体"/>
                <w:bCs/>
                <w:kern w:val="2"/>
                <w:lang w:val="zh-CN"/>
              </w:rPr>
              <w:br w:type="textWrapping"/>
            </w:r>
            <w:r>
              <w:rPr>
                <w:rFonts w:hint="eastAsia" w:ascii="黑体" w:hAnsi="黑体" w:eastAsia="黑体" w:cs="黑体"/>
                <w:bCs/>
                <w:kern w:val="2"/>
                <w:lang w:val="zh-CN"/>
              </w:rPr>
              <w:t>资格要求</w:t>
            </w:r>
          </w:p>
        </w:tc>
        <w:tc>
          <w:tcPr>
            <w:tcW w:w="7198" w:type="dxa"/>
            <w:vAlign w:val="center"/>
          </w:tcPr>
          <w:p w14:paraId="78DD0E46">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①具有独立承担民事责任能力的法人、其他组织或自然人，营业执照、组织机构代码证、税务登记证（三证合一只提供营业执照，事业单位提供事业单位法人证书，自然人应提供身份证）合法有效；</w:t>
            </w:r>
            <w:r>
              <w:rPr>
                <w:rFonts w:hint="eastAsia" w:ascii="黑体" w:hAnsi="黑体" w:eastAsia="黑体" w:cs="黑体"/>
                <w:bCs/>
                <w:kern w:val="2"/>
                <w:lang w:val="zh-CN"/>
              </w:rPr>
              <w:t>业务范围包含居家养老服务、护理服务等相关内容；</w:t>
            </w:r>
          </w:p>
          <w:p w14:paraId="4994E84A">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②法定代表人参加投标时，提供本人身份证；授权代表参加投标时，提供法定代表人授权书和被授权人身份证；</w:t>
            </w:r>
          </w:p>
          <w:p w14:paraId="0B703A9C">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③税收缴纳证明：提供供应商2024年度</w:t>
            </w:r>
            <w:r>
              <w:rPr>
                <w:rFonts w:hint="eastAsia" w:ascii="黑体" w:hAnsi="黑体" w:eastAsia="黑体" w:cs="黑体"/>
                <w:bCs/>
                <w:kern w:val="2"/>
                <w:lang w:val="en-US" w:eastAsia="zh-CN"/>
              </w:rPr>
              <w:t>10</w:t>
            </w:r>
            <w:r>
              <w:rPr>
                <w:rFonts w:hint="eastAsia" w:ascii="黑体" w:hAnsi="黑体" w:eastAsia="黑体" w:cs="黑体"/>
                <w:bCs/>
                <w:kern w:val="2"/>
                <w:lang w:val="zh-CN" w:eastAsia="zh-CN"/>
              </w:rPr>
              <w:t>月至今已缴纳任意一个月完税凭证或税务机关开具的完税证明（任意税种）；依法免税的应提供相关文件证明；</w:t>
            </w:r>
          </w:p>
          <w:p w14:paraId="4BC3DE4A">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④社会保障资金缴纳证明：提供投标人2024年</w:t>
            </w:r>
            <w:r>
              <w:rPr>
                <w:rFonts w:hint="eastAsia" w:ascii="黑体" w:hAnsi="黑体" w:eastAsia="黑体" w:cs="黑体"/>
                <w:bCs/>
                <w:kern w:val="2"/>
                <w:lang w:val="en-US" w:eastAsia="zh-CN"/>
              </w:rPr>
              <w:t>10</w:t>
            </w:r>
            <w:r>
              <w:rPr>
                <w:rFonts w:hint="eastAsia" w:ascii="黑体" w:hAnsi="黑体" w:eastAsia="黑体" w:cs="黑体"/>
                <w:bCs/>
                <w:kern w:val="2"/>
                <w:lang w:val="zh-CN" w:eastAsia="zh-CN"/>
              </w:rPr>
              <w:t>月至今已缴存的任意一个月的社会保障资金缴存证明或社保机构开具的社会保险参保缴费情况证明；依法不需要缴纳社会保障资金的应提供相关文件证明；</w:t>
            </w:r>
          </w:p>
          <w:p w14:paraId="1F570DBE">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⑤财务状况报告：提供2023年或2024年经审计的财务报告（成立时间至提交响应文件截止时间不足一年的可提供成立后任意时段的资产负债表），或开标前三个月内开户银行开具的资信证明；</w:t>
            </w:r>
          </w:p>
          <w:p w14:paraId="20EC5047">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⑥书面声明。提供书面声明，包括声明具有履行合同所必需的设备、人员和专业技术能力；未为本项目提供评估、验收等服务。 </w:t>
            </w:r>
          </w:p>
          <w:p w14:paraId="55F35D2B">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⑦参加政府采购活动前三年内，在经营活动中没有重大违法记录的书面声明；</w:t>
            </w:r>
          </w:p>
          <w:p w14:paraId="6162D473">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⑧供应商不得为“信用中国”网站（www.creditchina.gov.cn）和中国政府采购网（www.ccgp.gov.cn）中被列入失信被执行人、重大税收违法案件当事人名单、政府采购严重违法失信行为记录名单的单位（提供查询结果网页截图并加盖投标人公章，查询时间为招标文件发售期至开标时间内）；</w:t>
            </w:r>
          </w:p>
          <w:p w14:paraId="5D290F41">
            <w:pPr>
              <w:pStyle w:val="9"/>
              <w:spacing w:line="280" w:lineRule="exact"/>
              <w:ind w:firstLine="480" w:firstLineChars="200"/>
              <w:jc w:val="both"/>
              <w:rPr>
                <w:rFonts w:hint="eastAsia" w:ascii="黑体" w:hAnsi="黑体" w:eastAsia="黑体" w:cs="黑体"/>
                <w:bCs/>
                <w:kern w:val="2"/>
                <w:lang w:val="zh-CN" w:eastAsia="zh-CN"/>
              </w:rPr>
            </w:pPr>
            <w:r>
              <w:rPr>
                <w:rFonts w:hint="eastAsia" w:ascii="黑体" w:hAnsi="黑体" w:eastAsia="黑体" w:cs="黑体"/>
                <w:bCs/>
                <w:kern w:val="2"/>
                <w:lang w:val="zh-CN" w:eastAsia="zh-CN"/>
              </w:rPr>
              <w:t>⑨单位负责人为同一人或者存在直接控股、管理关系的不同供应商，不得参加同一合同项下的政府采购活动。</w:t>
            </w:r>
          </w:p>
          <w:p w14:paraId="1DCF648B">
            <w:pPr>
              <w:pStyle w:val="9"/>
              <w:spacing w:line="280" w:lineRule="exact"/>
              <w:ind w:firstLine="480" w:firstLineChars="200"/>
              <w:jc w:val="both"/>
              <w:rPr>
                <w:rFonts w:hint="eastAsia" w:ascii="黑体" w:hAnsi="黑体" w:eastAsia="黑体" w:cs="黑体"/>
                <w:bCs/>
                <w:kern w:val="2"/>
                <w:lang w:val="zh-CN"/>
              </w:rPr>
            </w:pPr>
            <w:r>
              <w:rPr>
                <w:rFonts w:hint="eastAsia" w:ascii="黑体" w:hAnsi="黑体" w:eastAsia="黑体" w:cs="黑体"/>
                <w:bCs/>
                <w:kern w:val="2"/>
                <w:lang w:val="zh-CN" w:eastAsia="zh-CN"/>
              </w:rPr>
              <w:t>⑩本项目不允许联合体投标；</w:t>
            </w:r>
          </w:p>
        </w:tc>
      </w:tr>
      <w:tr w14:paraId="73F9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6" w:hRule="atLeast"/>
          <w:jc w:val="center"/>
        </w:trPr>
        <w:tc>
          <w:tcPr>
            <w:tcW w:w="861" w:type="dxa"/>
            <w:vMerge w:val="restart"/>
            <w:vAlign w:val="center"/>
          </w:tcPr>
          <w:p w14:paraId="5B57E4CD">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lang w:val="en-US" w:eastAsia="zh-CN"/>
              </w:rPr>
              <w:t>5</w:t>
            </w:r>
          </w:p>
        </w:tc>
        <w:tc>
          <w:tcPr>
            <w:tcW w:w="1435" w:type="dxa"/>
            <w:vMerge w:val="restart"/>
            <w:vAlign w:val="center"/>
          </w:tcPr>
          <w:p w14:paraId="55F17F30">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是否接受</w:t>
            </w:r>
            <w:r>
              <w:rPr>
                <w:rFonts w:hint="eastAsia" w:ascii="黑体" w:hAnsi="黑体" w:eastAsia="黑体" w:cs="黑体"/>
                <w:bCs/>
                <w:color w:val="auto"/>
                <w:kern w:val="2"/>
                <w:lang w:val="zh-CN"/>
              </w:rPr>
              <w:br w:type="textWrapping"/>
            </w:r>
            <w:r>
              <w:rPr>
                <w:rFonts w:hint="eastAsia" w:ascii="黑体" w:hAnsi="黑体" w:eastAsia="黑体" w:cs="黑体"/>
                <w:bCs/>
                <w:color w:val="auto"/>
                <w:kern w:val="2"/>
                <w:lang w:val="zh-CN"/>
              </w:rPr>
              <w:t>联合体投标</w:t>
            </w:r>
          </w:p>
        </w:tc>
        <w:tc>
          <w:tcPr>
            <w:tcW w:w="7198" w:type="dxa"/>
            <w:vAlign w:val="center"/>
          </w:tcPr>
          <w:p w14:paraId="2CA931CD">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〇接受</w:t>
            </w:r>
          </w:p>
          <w:p w14:paraId="76BABE7A">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对于联合体协议或者分包意向协议约定小微企业的合同份额占到合同总金额30%以上的，对联合体或者大中型企业的报价给予</w:t>
            </w:r>
            <w:r>
              <w:rPr>
                <w:rFonts w:hint="eastAsia" w:ascii="黑体" w:hAnsi="黑体" w:eastAsia="黑体" w:cs="黑体"/>
                <w:color w:val="auto"/>
                <w:kern w:val="0"/>
                <w:sz w:val="24"/>
                <w:u w:val="single"/>
                <w:lang w:val="en-US" w:eastAsia="zh-CN"/>
              </w:rPr>
              <w:t xml:space="preserve">  </w:t>
            </w:r>
            <w:r>
              <w:rPr>
                <w:rFonts w:hint="eastAsia" w:ascii="黑体" w:hAnsi="黑体" w:eastAsia="黑体" w:cs="黑体"/>
                <w:color w:val="auto"/>
                <w:kern w:val="0"/>
                <w:sz w:val="24"/>
              </w:rPr>
              <w:t>%（2%-3%）的扣除，</w:t>
            </w:r>
          </w:p>
          <w:p w14:paraId="752A5484">
            <w:pPr>
              <w:widowControl/>
              <w:jc w:val="left"/>
              <w:rPr>
                <w:rFonts w:hint="eastAsia" w:ascii="黑体" w:hAnsi="黑体" w:eastAsia="黑体" w:cs="黑体"/>
                <w:bCs/>
                <w:color w:val="auto"/>
                <w:sz w:val="24"/>
                <w:lang w:val="zh-CN"/>
              </w:rPr>
            </w:pPr>
            <w:r>
              <w:rPr>
                <w:rFonts w:hint="eastAsia" w:ascii="黑体" w:hAnsi="黑体" w:eastAsia="黑体" w:cs="黑体"/>
                <w:color w:val="auto"/>
                <w:kern w:val="0"/>
                <w:sz w:val="24"/>
              </w:rPr>
              <w:t>用扣除后的报价参加评审。</w:t>
            </w:r>
          </w:p>
        </w:tc>
      </w:tr>
      <w:tr w14:paraId="646D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jc w:val="center"/>
        </w:trPr>
        <w:tc>
          <w:tcPr>
            <w:tcW w:w="861" w:type="dxa"/>
            <w:vMerge w:val="continue"/>
            <w:vAlign w:val="center"/>
          </w:tcPr>
          <w:p w14:paraId="3A031949">
            <w:pPr>
              <w:snapToGrid w:val="0"/>
              <w:spacing w:after="200"/>
              <w:jc w:val="center"/>
              <w:rPr>
                <w:rFonts w:hint="eastAsia" w:ascii="黑体" w:hAnsi="黑体" w:eastAsia="黑体" w:cs="黑体"/>
                <w:bCs/>
                <w:color w:val="auto"/>
                <w:sz w:val="24"/>
              </w:rPr>
            </w:pPr>
          </w:p>
        </w:tc>
        <w:tc>
          <w:tcPr>
            <w:tcW w:w="1435" w:type="dxa"/>
            <w:vMerge w:val="continue"/>
            <w:vAlign w:val="center"/>
          </w:tcPr>
          <w:p w14:paraId="23EDCE47">
            <w:pPr>
              <w:pStyle w:val="9"/>
              <w:spacing w:line="300" w:lineRule="exact"/>
              <w:ind w:left="96"/>
              <w:jc w:val="center"/>
              <w:rPr>
                <w:rFonts w:hint="eastAsia" w:ascii="黑体" w:hAnsi="黑体" w:eastAsia="黑体" w:cs="黑体"/>
                <w:bCs/>
                <w:color w:val="auto"/>
                <w:kern w:val="2"/>
                <w:lang w:val="zh-CN"/>
              </w:rPr>
            </w:pPr>
          </w:p>
        </w:tc>
        <w:tc>
          <w:tcPr>
            <w:tcW w:w="7198" w:type="dxa"/>
            <w:vAlign w:val="center"/>
          </w:tcPr>
          <w:p w14:paraId="750F3B94">
            <w:pPr>
              <w:widowControl/>
              <w:jc w:val="left"/>
              <w:rPr>
                <w:rFonts w:hint="eastAsia" w:ascii="黑体" w:hAnsi="黑体" w:eastAsia="黑体" w:cs="黑体"/>
                <w:b/>
                <w:color w:val="auto"/>
                <w:sz w:val="24"/>
                <w:lang w:val="zh-CN"/>
              </w:rPr>
            </w:pPr>
            <w:r>
              <w:rPr>
                <w:rFonts w:hint="eastAsia" w:ascii="黑体" w:hAnsi="黑体" w:eastAsia="黑体" w:cs="黑体"/>
                <w:color w:val="auto"/>
                <w:kern w:val="0"/>
                <w:sz w:val="24"/>
              </w:rPr>
              <w:t>√不接受</w:t>
            </w:r>
          </w:p>
        </w:tc>
      </w:tr>
      <w:tr w14:paraId="4B0E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5" w:hRule="atLeast"/>
          <w:jc w:val="center"/>
        </w:trPr>
        <w:tc>
          <w:tcPr>
            <w:tcW w:w="861" w:type="dxa"/>
            <w:vAlign w:val="center"/>
          </w:tcPr>
          <w:p w14:paraId="592F0A3D">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lang w:val="en-US" w:eastAsia="zh-CN"/>
              </w:rPr>
              <w:t>6</w:t>
            </w:r>
          </w:p>
        </w:tc>
        <w:tc>
          <w:tcPr>
            <w:tcW w:w="1435" w:type="dxa"/>
            <w:vAlign w:val="center"/>
          </w:tcPr>
          <w:p w14:paraId="7CA8BC8B">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履约</w:t>
            </w:r>
          </w:p>
          <w:p w14:paraId="70562065">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保证金</w:t>
            </w:r>
          </w:p>
        </w:tc>
        <w:tc>
          <w:tcPr>
            <w:tcW w:w="7198" w:type="dxa"/>
            <w:vAlign w:val="center"/>
          </w:tcPr>
          <w:p w14:paraId="3325C54B">
            <w:pPr>
              <w:ind w:right="94" w:rightChars="45"/>
              <w:rPr>
                <w:rFonts w:hint="eastAsia" w:ascii="黑体" w:hAnsi="黑体" w:eastAsia="黑体" w:cs="黑体"/>
                <w:bCs/>
                <w:color w:val="auto"/>
                <w:sz w:val="24"/>
              </w:rPr>
            </w:pPr>
            <w:r>
              <w:rPr>
                <w:rFonts w:hint="eastAsia" w:ascii="黑体" w:hAnsi="黑体" w:eastAsia="黑体" w:cs="黑体"/>
                <w:color w:val="auto"/>
                <w:kern w:val="0"/>
                <w:sz w:val="24"/>
              </w:rPr>
              <w:t>本项目不收取履约保证金</w:t>
            </w:r>
          </w:p>
        </w:tc>
      </w:tr>
      <w:tr w14:paraId="40D4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861" w:type="dxa"/>
            <w:vAlign w:val="center"/>
          </w:tcPr>
          <w:p w14:paraId="0A08C00D">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lang w:val="en-US" w:eastAsia="zh-CN"/>
              </w:rPr>
              <w:t>7</w:t>
            </w:r>
          </w:p>
        </w:tc>
        <w:tc>
          <w:tcPr>
            <w:tcW w:w="1435" w:type="dxa"/>
            <w:vAlign w:val="center"/>
          </w:tcPr>
          <w:p w14:paraId="0CBC6275">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现场踏勘和集中答疑</w:t>
            </w:r>
          </w:p>
        </w:tc>
        <w:tc>
          <w:tcPr>
            <w:tcW w:w="7198" w:type="dxa"/>
            <w:vAlign w:val="center"/>
          </w:tcPr>
          <w:p w14:paraId="3219CAAB">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〇组织，集结地点为∶</w:t>
            </w:r>
          </w:p>
          <w:p w14:paraId="2280C363">
            <w:pPr>
              <w:ind w:right="94" w:rightChars="45"/>
              <w:rPr>
                <w:rFonts w:hint="eastAsia" w:ascii="黑体" w:hAnsi="黑体" w:eastAsia="黑体" w:cs="黑体"/>
                <w:bCs/>
                <w:color w:val="auto"/>
                <w:sz w:val="24"/>
              </w:rPr>
            </w:pPr>
            <w:r>
              <w:rPr>
                <w:rFonts w:hint="eastAsia" w:ascii="黑体" w:hAnsi="黑体" w:eastAsia="黑体" w:cs="黑体"/>
                <w:color w:val="auto"/>
                <w:kern w:val="0"/>
                <w:sz w:val="24"/>
              </w:rPr>
              <w:t>√不组织</w:t>
            </w:r>
          </w:p>
        </w:tc>
      </w:tr>
      <w:tr w14:paraId="4A17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23" w:hRule="atLeast"/>
          <w:jc w:val="center"/>
        </w:trPr>
        <w:tc>
          <w:tcPr>
            <w:tcW w:w="861" w:type="dxa"/>
            <w:vAlign w:val="center"/>
          </w:tcPr>
          <w:p w14:paraId="2FB832E3">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lang w:val="en-US" w:eastAsia="zh-CN"/>
              </w:rPr>
              <w:t>8</w:t>
            </w:r>
          </w:p>
        </w:tc>
        <w:tc>
          <w:tcPr>
            <w:tcW w:w="1435" w:type="dxa"/>
            <w:vAlign w:val="center"/>
          </w:tcPr>
          <w:p w14:paraId="4884F4E6">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价格分</w:t>
            </w:r>
          </w:p>
          <w:p w14:paraId="2FB3EB81">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比重</w:t>
            </w:r>
          </w:p>
        </w:tc>
        <w:tc>
          <w:tcPr>
            <w:tcW w:w="7198" w:type="dxa"/>
            <w:vAlign w:val="center"/>
          </w:tcPr>
          <w:p w14:paraId="245E8670">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占总分值的10%</w:t>
            </w:r>
          </w:p>
          <w:p w14:paraId="5958309B">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【招标】根据《政府采购货物和服务招标投标管理办法》（财政部 87 号令）的规定，综合评分法服务项目的价格分值占总分值的比重不得低于 10%。执行国家统一定价标准和采用固定价格采购的项目，其价格不列为评审因素。</w:t>
            </w:r>
          </w:p>
          <w:p w14:paraId="274D93CF">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【磋商】根据《政府采购竞争性磋商采购方式管理暂行办法》（财库（2014）214号）的规定，服务项目的价格分值占总分值的比重（即权值）为 10%-30%。</w:t>
            </w:r>
          </w:p>
          <w:p w14:paraId="662C3C72">
            <w:pPr>
              <w:widowControl/>
              <w:rPr>
                <w:rFonts w:hint="eastAsia" w:ascii="黑体" w:hAnsi="黑体" w:eastAsia="黑体" w:cs="黑体"/>
                <w:bCs/>
                <w:color w:val="auto"/>
                <w:kern w:val="0"/>
                <w:sz w:val="24"/>
                <w:lang w:val="zh-CN"/>
              </w:rPr>
            </w:pPr>
            <w:r>
              <w:rPr>
                <w:rFonts w:hint="eastAsia" w:ascii="黑体" w:hAnsi="黑体" w:eastAsia="黑体" w:cs="黑体"/>
                <w:color w:val="auto"/>
                <w:kern w:val="0"/>
                <w:sz w:val="24"/>
              </w:rPr>
              <w:t>【其他采购方式】无须设置。</w:t>
            </w:r>
          </w:p>
        </w:tc>
      </w:tr>
      <w:tr w14:paraId="6A9E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2" w:hRule="atLeast"/>
          <w:jc w:val="center"/>
        </w:trPr>
        <w:tc>
          <w:tcPr>
            <w:tcW w:w="861" w:type="dxa"/>
            <w:vAlign w:val="center"/>
          </w:tcPr>
          <w:p w14:paraId="0E8DFAB9">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lang w:val="en-US" w:eastAsia="zh-CN"/>
              </w:rPr>
              <w:t>9</w:t>
            </w:r>
          </w:p>
        </w:tc>
        <w:tc>
          <w:tcPr>
            <w:tcW w:w="1435" w:type="dxa"/>
            <w:vAlign w:val="center"/>
          </w:tcPr>
          <w:p w14:paraId="77D84FD7">
            <w:pPr>
              <w:pStyle w:val="9"/>
              <w:spacing w:line="300" w:lineRule="exact"/>
              <w:ind w:left="96"/>
              <w:jc w:val="center"/>
              <w:rPr>
                <w:rFonts w:hint="eastAsia" w:ascii="黑体" w:hAnsi="黑体" w:eastAsia="黑体" w:cs="黑体"/>
                <w:bCs/>
                <w:color w:val="auto"/>
                <w:kern w:val="2"/>
                <w:lang w:val="zh-CN"/>
              </w:rPr>
            </w:pPr>
            <w:r>
              <w:rPr>
                <w:rFonts w:hint="eastAsia" w:ascii="黑体" w:hAnsi="黑体" w:eastAsia="黑体" w:cs="黑体"/>
                <w:bCs/>
                <w:color w:val="auto"/>
                <w:kern w:val="2"/>
                <w:lang w:val="zh-CN"/>
              </w:rPr>
              <w:t>合同类型</w:t>
            </w:r>
          </w:p>
        </w:tc>
        <w:tc>
          <w:tcPr>
            <w:tcW w:w="7198" w:type="dxa"/>
            <w:vAlign w:val="center"/>
          </w:tcPr>
          <w:p w14:paraId="407BD3A1">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√固定总价</w:t>
            </w:r>
          </w:p>
          <w:p w14:paraId="6972B050">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〇固定单价（适用于采购数量不定的情形）</w:t>
            </w:r>
          </w:p>
          <w:p w14:paraId="6FE2CB52">
            <w:pPr>
              <w:widowControl/>
              <w:jc w:val="left"/>
              <w:rPr>
                <w:rFonts w:hint="eastAsia" w:ascii="黑体" w:hAnsi="黑体" w:eastAsia="黑体" w:cs="黑体"/>
                <w:bCs/>
                <w:color w:val="auto"/>
                <w:sz w:val="24"/>
                <w:lang w:val="zh-CN"/>
              </w:rPr>
            </w:pPr>
            <w:r>
              <w:rPr>
                <w:rFonts w:hint="eastAsia" w:ascii="黑体" w:hAnsi="黑体" w:eastAsia="黑体" w:cs="黑体"/>
                <w:color w:val="auto"/>
                <w:kern w:val="0"/>
                <w:sz w:val="24"/>
              </w:rPr>
              <w:t>〇其他∶</w:t>
            </w:r>
          </w:p>
        </w:tc>
      </w:tr>
      <w:tr w14:paraId="0A6E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 w:hRule="atLeast"/>
          <w:jc w:val="center"/>
        </w:trPr>
        <w:tc>
          <w:tcPr>
            <w:tcW w:w="861" w:type="dxa"/>
            <w:vAlign w:val="center"/>
          </w:tcPr>
          <w:p w14:paraId="6F4EAADE">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rPr>
              <w:t>1</w:t>
            </w:r>
            <w:r>
              <w:rPr>
                <w:rFonts w:hint="eastAsia" w:ascii="黑体" w:hAnsi="黑体" w:eastAsia="黑体" w:cs="黑体"/>
                <w:bCs/>
                <w:color w:val="auto"/>
                <w:sz w:val="24"/>
                <w:lang w:val="en-US" w:eastAsia="zh-CN"/>
              </w:rPr>
              <w:t>0</w:t>
            </w:r>
          </w:p>
        </w:tc>
        <w:tc>
          <w:tcPr>
            <w:tcW w:w="1435" w:type="dxa"/>
            <w:vAlign w:val="center"/>
          </w:tcPr>
          <w:p w14:paraId="37FDF1F2">
            <w:pPr>
              <w:tabs>
                <w:tab w:val="left" w:pos="7665"/>
              </w:tabs>
              <w:snapToGrid w:val="0"/>
              <w:spacing w:line="300" w:lineRule="exact"/>
              <w:jc w:val="center"/>
              <w:rPr>
                <w:rFonts w:hint="eastAsia" w:ascii="黑体" w:hAnsi="黑体" w:eastAsia="黑体" w:cs="黑体"/>
                <w:bCs/>
                <w:color w:val="auto"/>
                <w:sz w:val="24"/>
              </w:rPr>
            </w:pPr>
            <w:r>
              <w:rPr>
                <w:rFonts w:hint="eastAsia" w:ascii="黑体" w:hAnsi="黑体" w:eastAsia="黑体" w:cs="黑体"/>
                <w:bCs/>
                <w:color w:val="auto"/>
                <w:sz w:val="24"/>
              </w:rPr>
              <w:t>争议解决途径</w:t>
            </w:r>
          </w:p>
        </w:tc>
        <w:tc>
          <w:tcPr>
            <w:tcW w:w="7198" w:type="dxa"/>
            <w:vAlign w:val="center"/>
          </w:tcPr>
          <w:p w14:paraId="2437AEF3">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√向有管辖权的人民法院提起诉讼</w:t>
            </w:r>
          </w:p>
          <w:p w14:paraId="073F788C">
            <w:pPr>
              <w:widowControl/>
              <w:jc w:val="left"/>
              <w:rPr>
                <w:rFonts w:hint="eastAsia" w:ascii="黑体" w:hAnsi="黑体" w:eastAsia="黑体" w:cs="黑体"/>
                <w:color w:val="auto"/>
                <w:kern w:val="0"/>
                <w:sz w:val="24"/>
              </w:rPr>
            </w:pPr>
            <w:r>
              <w:rPr>
                <w:rFonts w:hint="eastAsia" w:ascii="黑体" w:hAnsi="黑体" w:eastAsia="黑体" w:cs="黑体"/>
                <w:color w:val="auto"/>
                <w:kern w:val="0"/>
                <w:sz w:val="24"/>
              </w:rPr>
              <w:t>〇向西安仲裁委员会提请仲裁</w:t>
            </w:r>
          </w:p>
          <w:p w14:paraId="2900454A">
            <w:pPr>
              <w:widowControl/>
              <w:jc w:val="left"/>
              <w:rPr>
                <w:rFonts w:hint="eastAsia" w:ascii="黑体" w:hAnsi="黑体" w:eastAsia="黑体" w:cs="黑体"/>
                <w:bCs/>
                <w:color w:val="auto"/>
                <w:sz w:val="24"/>
              </w:rPr>
            </w:pPr>
            <w:r>
              <w:rPr>
                <w:rFonts w:hint="eastAsia" w:ascii="黑体" w:hAnsi="黑体" w:eastAsia="黑体" w:cs="黑体"/>
                <w:color w:val="auto"/>
                <w:kern w:val="0"/>
                <w:sz w:val="24"/>
              </w:rPr>
              <w:t>〇由供应商做出选择</w:t>
            </w:r>
          </w:p>
        </w:tc>
      </w:tr>
      <w:tr w14:paraId="22CF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 w:hRule="atLeast"/>
          <w:jc w:val="center"/>
        </w:trPr>
        <w:tc>
          <w:tcPr>
            <w:tcW w:w="861" w:type="dxa"/>
            <w:vAlign w:val="center"/>
          </w:tcPr>
          <w:p w14:paraId="5B4979ED">
            <w:pPr>
              <w:snapToGrid w:val="0"/>
              <w:spacing w:after="200"/>
              <w:jc w:val="center"/>
              <w:rPr>
                <w:rFonts w:hint="eastAsia" w:ascii="黑体" w:hAnsi="黑体" w:eastAsia="黑体" w:cs="黑体"/>
                <w:bCs/>
                <w:color w:val="auto"/>
                <w:sz w:val="24"/>
                <w:lang w:eastAsia="zh-CN"/>
              </w:rPr>
            </w:pPr>
            <w:r>
              <w:rPr>
                <w:rFonts w:hint="eastAsia" w:ascii="黑体" w:hAnsi="黑体" w:eastAsia="黑体" w:cs="黑体"/>
                <w:bCs/>
                <w:color w:val="auto"/>
                <w:sz w:val="24"/>
              </w:rPr>
              <w:t>1</w:t>
            </w:r>
            <w:r>
              <w:rPr>
                <w:rFonts w:hint="eastAsia" w:ascii="黑体" w:hAnsi="黑体" w:eastAsia="黑体" w:cs="黑体"/>
                <w:bCs/>
                <w:color w:val="auto"/>
                <w:sz w:val="24"/>
                <w:lang w:val="en-US" w:eastAsia="zh-CN"/>
              </w:rPr>
              <w:t>1</w:t>
            </w:r>
          </w:p>
        </w:tc>
        <w:tc>
          <w:tcPr>
            <w:tcW w:w="1435" w:type="dxa"/>
            <w:vAlign w:val="center"/>
          </w:tcPr>
          <w:p w14:paraId="2CD76871">
            <w:pPr>
              <w:snapToGrid w:val="0"/>
              <w:spacing w:line="300" w:lineRule="exact"/>
              <w:jc w:val="center"/>
              <w:rPr>
                <w:rFonts w:hint="eastAsia" w:ascii="黑体" w:hAnsi="黑体" w:eastAsia="黑体" w:cs="黑体"/>
                <w:bCs/>
                <w:color w:val="auto"/>
                <w:sz w:val="24"/>
              </w:rPr>
            </w:pPr>
            <w:r>
              <w:rPr>
                <w:rFonts w:hint="eastAsia" w:ascii="黑体" w:hAnsi="黑体" w:eastAsia="黑体" w:cs="黑体"/>
                <w:bCs/>
                <w:color w:val="auto"/>
                <w:sz w:val="24"/>
              </w:rPr>
              <w:t>联系方式</w:t>
            </w:r>
          </w:p>
        </w:tc>
        <w:tc>
          <w:tcPr>
            <w:tcW w:w="7198" w:type="dxa"/>
            <w:vAlign w:val="center"/>
          </w:tcPr>
          <w:p w14:paraId="5ECE8DBE">
            <w:pPr>
              <w:widowControl/>
              <w:jc w:val="left"/>
              <w:rPr>
                <w:rFonts w:hint="eastAsia" w:ascii="黑体" w:hAnsi="黑体" w:eastAsia="黑体" w:cs="黑体"/>
                <w:color w:val="auto"/>
                <w:kern w:val="0"/>
                <w:sz w:val="24"/>
                <w:lang w:eastAsia="zh-CN"/>
              </w:rPr>
            </w:pPr>
            <w:r>
              <w:rPr>
                <w:rFonts w:hint="eastAsia" w:ascii="黑体" w:hAnsi="黑体" w:eastAsia="黑体" w:cs="黑体"/>
                <w:color w:val="auto"/>
                <w:kern w:val="0"/>
                <w:sz w:val="24"/>
              </w:rPr>
              <w:t>项目对接人：</w:t>
            </w:r>
            <w:r>
              <w:rPr>
                <w:rFonts w:hint="eastAsia" w:ascii="黑体" w:hAnsi="黑体" w:eastAsia="黑体" w:cs="黑体"/>
                <w:color w:val="auto"/>
                <w:kern w:val="0"/>
                <w:sz w:val="24"/>
                <w:lang w:val="en-US" w:eastAsia="zh-CN"/>
              </w:rPr>
              <w:t>李工</w:t>
            </w:r>
          </w:p>
          <w:p w14:paraId="352091EF">
            <w:pPr>
              <w:widowControl/>
              <w:jc w:val="left"/>
              <w:rPr>
                <w:rFonts w:hint="default" w:ascii="黑体" w:hAnsi="黑体" w:eastAsia="黑体" w:cs="黑体"/>
                <w:color w:val="auto"/>
                <w:kern w:val="0"/>
                <w:sz w:val="24"/>
                <w:lang w:val="en-US" w:eastAsia="zh-CN"/>
              </w:rPr>
            </w:pPr>
            <w:r>
              <w:rPr>
                <w:rFonts w:hint="eastAsia" w:ascii="黑体" w:hAnsi="黑体" w:eastAsia="黑体" w:cs="黑体"/>
                <w:color w:val="auto"/>
                <w:kern w:val="0"/>
                <w:sz w:val="24"/>
              </w:rPr>
              <w:t>联系电话：029-8</w:t>
            </w:r>
            <w:r>
              <w:rPr>
                <w:rFonts w:hint="eastAsia" w:ascii="黑体" w:hAnsi="黑体" w:eastAsia="黑体" w:cs="黑体"/>
                <w:color w:val="auto"/>
                <w:kern w:val="0"/>
                <w:sz w:val="24"/>
                <w:lang w:val="en-US" w:eastAsia="zh-CN"/>
              </w:rPr>
              <w:t>3871056</w:t>
            </w:r>
          </w:p>
          <w:p w14:paraId="3D8B447B">
            <w:pPr>
              <w:widowControl/>
              <w:jc w:val="left"/>
              <w:rPr>
                <w:rFonts w:hint="eastAsia" w:ascii="黑体" w:hAnsi="黑体" w:eastAsia="黑体" w:cs="黑体"/>
                <w:bCs/>
                <w:color w:val="auto"/>
                <w:sz w:val="24"/>
                <w:lang w:val="en-US" w:eastAsia="zh-CN"/>
              </w:rPr>
            </w:pPr>
            <w:r>
              <w:rPr>
                <w:rFonts w:hint="eastAsia" w:ascii="黑体" w:hAnsi="黑体" w:eastAsia="黑体" w:cs="黑体"/>
                <w:color w:val="auto"/>
                <w:kern w:val="0"/>
                <w:sz w:val="24"/>
              </w:rPr>
              <w:t>电子邮箱：</w:t>
            </w:r>
            <w:r>
              <w:rPr>
                <w:rFonts w:hint="eastAsia" w:ascii="黑体" w:hAnsi="黑体" w:eastAsia="黑体" w:cs="黑体"/>
                <w:color w:val="auto"/>
                <w:kern w:val="0"/>
                <w:sz w:val="24"/>
                <w:lang w:val="en-US" w:eastAsia="zh-CN"/>
              </w:rPr>
              <w:t>/</w:t>
            </w:r>
          </w:p>
        </w:tc>
      </w:tr>
    </w:tbl>
    <w:p w14:paraId="31646163">
      <w:pPr>
        <w:rPr>
          <w:rFonts w:hint="eastAsia" w:ascii="黑体" w:hAnsi="黑体" w:eastAsia="黑体" w:cs="黑体"/>
          <w:b/>
          <w:sz w:val="28"/>
          <w:szCs w:val="28"/>
        </w:rPr>
      </w:pPr>
      <w:r>
        <w:rPr>
          <w:rFonts w:hint="eastAsia" w:ascii="黑体" w:hAnsi="黑体" w:eastAsia="黑体" w:cs="黑体"/>
          <w:b/>
          <w:sz w:val="28"/>
          <w:szCs w:val="28"/>
        </w:rPr>
        <w:br w:type="page"/>
      </w:r>
    </w:p>
    <w:p w14:paraId="53308E03">
      <w:pPr>
        <w:spacing w:line="500" w:lineRule="exact"/>
        <w:rPr>
          <w:rFonts w:hint="eastAsia" w:ascii="黑体" w:hAnsi="黑体" w:eastAsia="黑体" w:cs="黑体"/>
          <w:b/>
          <w:sz w:val="28"/>
          <w:szCs w:val="28"/>
        </w:rPr>
      </w:pPr>
      <w:r>
        <w:rPr>
          <w:rFonts w:hint="eastAsia" w:ascii="黑体" w:hAnsi="黑体" w:eastAsia="黑体" w:cs="黑体"/>
          <w:b/>
          <w:sz w:val="28"/>
          <w:szCs w:val="28"/>
        </w:rPr>
        <w:t>一、项目概况</w:t>
      </w:r>
    </w:p>
    <w:p w14:paraId="6D681690">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根据《中华人民共和国政府采购法》、《中华人民共和国民法典》及相关政策法规相关要求，结合我区的需求，现拟对西安市临潼区2025年残疾人居家托养服务采购事宜进行招标。</w:t>
      </w:r>
    </w:p>
    <w:p w14:paraId="174339F5">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第三方机构以免费做餐、助洁、康复护理，心理慰藉等服务方式为重度残疾人开展居家安养服务。为残疾人提供生活照料和护理；社会适应能力辅导和运动功能训练。</w:t>
      </w:r>
    </w:p>
    <w:p w14:paraId="05060D58">
      <w:pPr>
        <w:tabs>
          <w:tab w:val="left" w:pos="232"/>
        </w:tabs>
        <w:spacing w:line="560" w:lineRule="exact"/>
        <w:ind w:firstLine="480" w:firstLineChars="200"/>
        <w:jc w:val="left"/>
        <w:rPr>
          <w:rFonts w:hint="default" w:ascii="宋体" w:hAnsi="宋体" w:eastAsia="宋体" w:cs="宋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总预算：</w:t>
      </w:r>
      <w:r>
        <w:rPr>
          <w:rFonts w:hint="eastAsia" w:ascii="黑体" w:hAnsi="黑体" w:eastAsia="黑体" w:cs="黑体"/>
          <w:i w:val="0"/>
          <w:iCs w:val="0"/>
          <w:caps w:val="0"/>
          <w:color w:val="333333"/>
          <w:spacing w:val="0"/>
          <w:kern w:val="0"/>
          <w:sz w:val="24"/>
          <w:szCs w:val="24"/>
          <w:highlight w:val="none"/>
          <w:shd w:val="clear" w:color="auto" w:fill="FFFFFF"/>
          <w:vertAlign w:val="baseline"/>
          <w:lang w:val="zh-CN" w:eastAsia="zh-CN" w:bidi="ar-SA"/>
        </w:rPr>
        <w:t>人民币</w:t>
      </w: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2000000.00元。</w:t>
      </w:r>
    </w:p>
    <w:p w14:paraId="543A904E">
      <w:pPr>
        <w:spacing w:line="500" w:lineRule="exact"/>
        <w:rPr>
          <w:rFonts w:hint="eastAsia" w:ascii="黑体" w:hAnsi="黑体" w:eastAsia="黑体" w:cs="黑体"/>
          <w:b/>
          <w:sz w:val="28"/>
          <w:szCs w:val="28"/>
        </w:rPr>
      </w:pPr>
      <w:r>
        <w:rPr>
          <w:rFonts w:hint="eastAsia" w:ascii="黑体" w:hAnsi="黑体" w:eastAsia="黑体" w:cs="黑体"/>
          <w:b/>
          <w:sz w:val="28"/>
          <w:szCs w:val="28"/>
        </w:rPr>
        <w:t>二、采购内容</w:t>
      </w:r>
    </w:p>
    <w:p w14:paraId="69B0B4DE">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西安市临潼区2025年残疾人居家安养服务按照我区23个街办分为8个包开展服务，其中：</w:t>
      </w:r>
    </w:p>
    <w:p w14:paraId="376D4721">
      <w:pPr>
        <w:tabs>
          <w:tab w:val="left" w:pos="232"/>
        </w:tabs>
        <w:spacing w:line="560" w:lineRule="exact"/>
        <w:ind w:firstLine="480" w:firstLineChars="200"/>
        <w:jc w:val="left"/>
        <w:rPr>
          <w:rFonts w:hint="default"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包1：骊山街办、斜口街办采购1家服务机构执行服务，预算金额为250000.00元，服务期限为6个月。</w:t>
      </w:r>
    </w:p>
    <w:p w14:paraId="764E7EFF">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包2：秦陵街办、零口街办、何寨街办采购1家服务机构执行服务，预算金额为250000.00元，服务期限为6个月。</w:t>
      </w:r>
    </w:p>
    <w:p w14:paraId="2C1C4CDA">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包3：行者街办、西泉街办、新丰街办采购1家服务机构执行服务，预算金额为250000.00元，服务期限为6个月。</w:t>
      </w:r>
    </w:p>
    <w:p w14:paraId="58CBFB7F">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包4：代王街办、仁宗街办、穆寨街办采购1家服务机构执行服务，预算金额为250000.00元，服务期限为6个月。</w:t>
      </w:r>
    </w:p>
    <w:p w14:paraId="392A9635">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包5：新市街办、北田街办、徐扬街办采购1家服务机构执行服务，预算金额为250000.00元，服务期限为6个月。</w:t>
      </w:r>
    </w:p>
    <w:p w14:paraId="57E0CD43">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包6：交口街办、油槐街办、相桥街办采购1家服务机构执行服务，预算金额为250000.00元，服务期限为6个月。</w:t>
      </w:r>
    </w:p>
    <w:p w14:paraId="515B3B9D">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包7：任留街办、雨金街办、栎阳街办采购1家服务机构执行服务，预算金额为250000.00元，服务期限为6个月。</w:t>
      </w:r>
    </w:p>
    <w:p w14:paraId="49465B66">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yellow"/>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包8：马额街办、铁炉街办、小金街办采购1家服务机构执行服务，预算金额为250000.00元，服务期限为6个月。</w:t>
      </w:r>
    </w:p>
    <w:p w14:paraId="3C6AFDD0">
      <w:pPr>
        <w:tabs>
          <w:tab w:val="left" w:pos="232"/>
        </w:tabs>
        <w:spacing w:line="560" w:lineRule="exact"/>
        <w:ind w:firstLine="480" w:firstLineChars="200"/>
        <w:jc w:val="lef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经区财政局评审中心评审，最终预算金额为2000000.00元。</w:t>
      </w:r>
    </w:p>
    <w:p w14:paraId="3CDFA0A9">
      <w:pPr>
        <w:numPr>
          <w:ilvl w:val="0"/>
          <w:numId w:val="0"/>
        </w:numPr>
        <w:tabs>
          <w:tab w:val="left" w:pos="232"/>
        </w:tabs>
        <w:spacing w:line="560" w:lineRule="exact"/>
        <w:jc w:val="left"/>
        <w:rPr>
          <w:rFonts w:hint="eastAsia" w:ascii="黑体" w:hAnsi="黑体" w:eastAsia="黑体" w:cs="黑体"/>
          <w:b/>
          <w:sz w:val="28"/>
          <w:szCs w:val="28"/>
        </w:rPr>
      </w:pPr>
      <w:r>
        <w:rPr>
          <w:rFonts w:hint="eastAsia" w:ascii="黑体" w:hAnsi="黑体" w:eastAsia="黑体" w:cs="黑体"/>
          <w:b/>
          <w:kern w:val="2"/>
          <w:sz w:val="28"/>
          <w:szCs w:val="28"/>
          <w:lang w:val="en-US" w:eastAsia="zh-CN" w:bidi="ar-SA"/>
        </w:rPr>
        <w:t>三、</w:t>
      </w:r>
      <w:r>
        <w:rPr>
          <w:rFonts w:hint="eastAsia" w:ascii="黑体" w:hAnsi="黑体" w:eastAsia="黑体" w:cs="黑体"/>
          <w:b/>
          <w:sz w:val="28"/>
          <w:szCs w:val="28"/>
        </w:rPr>
        <w:t>服务要求</w:t>
      </w:r>
    </w:p>
    <w:p w14:paraId="270D044A">
      <w:pPr>
        <w:widowControl/>
        <w:wordWrap w:val="0"/>
        <w:spacing w:beforeAutospacing="0" w:afterAutospacing="0" w:line="480" w:lineRule="atLeast"/>
        <w:ind w:firstLine="480"/>
        <w:jc w:val="both"/>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zh-CN" w:eastAsia="zh-CN" w:bidi="ar-SA"/>
        </w:rPr>
        <w:t>根据西安市残联、市财政局《关于印发西安市残疾人托养服务工作实施方案的通知》（市残联发〔2024〕98号）和《关于印发西安市残疾人托养服务工作实施细则的通知》（市残联发〔2024〕114号）有关要求，结合</w:t>
      </w: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临潼</w:t>
      </w:r>
      <w:r>
        <w:rPr>
          <w:rFonts w:hint="eastAsia" w:ascii="黑体" w:hAnsi="黑体" w:eastAsia="黑体" w:cs="黑体"/>
          <w:i w:val="0"/>
          <w:iCs w:val="0"/>
          <w:caps w:val="0"/>
          <w:color w:val="333333"/>
          <w:spacing w:val="0"/>
          <w:kern w:val="0"/>
          <w:sz w:val="24"/>
          <w:szCs w:val="24"/>
          <w:highlight w:val="none"/>
          <w:shd w:val="clear" w:color="auto" w:fill="FFFFFF"/>
          <w:vertAlign w:val="baseline"/>
          <w:lang w:val="zh-CN" w:eastAsia="zh-CN" w:bidi="ar-SA"/>
        </w:rPr>
        <w:t>区实际，为进一步加强残疾人托养服务规范化管理，提升托养服务质量，实施本次采购。</w:t>
      </w:r>
    </w:p>
    <w:p w14:paraId="4C55109C">
      <w:pPr>
        <w:keepNext w:val="0"/>
        <w:keepLines w:val="0"/>
        <w:pageBreakBefore w:val="0"/>
        <w:kinsoku/>
        <w:wordWrap/>
        <w:overflowPunct/>
        <w:topLinePunct w:val="0"/>
        <w:autoSpaceDE/>
        <w:autoSpaceDN/>
        <w:bidi w:val="0"/>
        <w:adjustRightInd/>
        <w:snapToGrid/>
        <w:spacing w:line="360" w:lineRule="auto"/>
        <w:ind w:left="0" w:leftChars="0" w:right="0" w:firstLine="504" w:firstLineChars="200"/>
        <w:textAlignment w:val="auto"/>
        <w:rPr>
          <w:rFonts w:hint="eastAsia" w:ascii="黑体" w:hAnsi="黑体" w:eastAsia="黑体" w:cs="黑体"/>
          <w:sz w:val="24"/>
          <w:szCs w:val="24"/>
          <w:lang w:eastAsia="zh-CN"/>
        </w:rPr>
      </w:pPr>
      <w:r>
        <w:rPr>
          <w:rFonts w:hint="eastAsia" w:ascii="黑体" w:hAnsi="黑体" w:eastAsia="黑体" w:cs="黑体"/>
          <w:spacing w:val="6"/>
          <w:sz w:val="24"/>
          <w:szCs w:val="24"/>
          <w:lang w:val="en-US" w:eastAsia="zh-CN"/>
        </w:rPr>
        <w:t>1）</w:t>
      </w:r>
      <w:r>
        <w:rPr>
          <w:rFonts w:hint="eastAsia" w:ascii="黑体" w:hAnsi="黑体" w:eastAsia="黑体" w:cs="黑体"/>
          <w:spacing w:val="6"/>
          <w:sz w:val="24"/>
          <w:szCs w:val="24"/>
        </w:rPr>
        <w:t>技术要求</w:t>
      </w:r>
      <w:r>
        <w:rPr>
          <w:rFonts w:hint="eastAsia" w:ascii="黑体" w:hAnsi="黑体" w:eastAsia="黑体" w:cs="黑体"/>
          <w:sz w:val="24"/>
          <w:szCs w:val="24"/>
          <w:lang w:eastAsia="zh-CN"/>
        </w:rPr>
        <w:t>：</w:t>
      </w:r>
    </w:p>
    <w:p w14:paraId="2F47BC0F">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 xml:space="preserve">按照残疾人个性化需求，分类开展服务，通过基本生活照料和护理、生活自理能力训练、社会适应能力辅导、康复护理和劳动技能训练、辅助运动和运动功能训练、残疾人生活和健康知识宣讲等方面的社会服务等服务使残疾人真正感受到政府的关心。 </w:t>
      </w:r>
    </w:p>
    <w:p w14:paraId="77FD0B23">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2）服务时间及人员要求：</w:t>
      </w:r>
    </w:p>
    <w:p w14:paraId="5ACE5A70">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服务时间要求：居家安养服务采取政府购买服务的形式，按服务24次确定为1人次，每人次购买标准2500元。个别服务对象确需长期服务或多次服务的，按具体服务时间或服务的次数确定人次。每次服务不少于4小时。</w:t>
      </w:r>
    </w:p>
    <w:p w14:paraId="08D08AFE">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服务人员要求：</w:t>
      </w:r>
    </w:p>
    <w:p w14:paraId="040F6CB0">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①配备不少于1名专职的管理人员</w:t>
      </w:r>
    </w:p>
    <w:p w14:paraId="274625E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a. 具有社会工作、社会福利、特殊教育、康复、医疗等相关学历或相关专业培训。</w:t>
      </w:r>
    </w:p>
    <w:p w14:paraId="3D708F79">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b.熟悉残疾人相关法律法规与政策，掌握残疾人托养的相关知识。</w:t>
      </w:r>
    </w:p>
    <w:p w14:paraId="3322C8A0">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②配备各类专业人员</w:t>
      </w:r>
    </w:p>
    <w:p w14:paraId="52D291C6">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a.有一定数量的专业人员以便于提供相关专业服务，具体包括从事残疾人居家托养的社会工作人员:残疾人就业服务指导或心理咨询、疏导的专业人员；专业医务人员或康复技术人员、精神卫生医师、专业心理治疗师或心理咨询师:专业财务人员至少1名。</w:t>
      </w:r>
    </w:p>
    <w:p w14:paraId="5890D4C8">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b.专业人员应具有从事职业须持有有效的从业资格和职业资格证书；有本人身份证明、健康证明等。</w:t>
      </w:r>
    </w:p>
    <w:p w14:paraId="4CD66AB8">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③</w:t>
      </w:r>
      <w:r>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t>配备一定数量、相对稳定的服务人员</w:t>
      </w:r>
    </w:p>
    <w:p w14:paraId="1B16322B">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t>a.配备有一定数量、稳定合作关系的服务人员以便于提供相关社会服务，具体包括家政服务人员、护工人员；居家托养服务人员。</w:t>
      </w:r>
    </w:p>
    <w:p w14:paraId="5A3065F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auto"/>
          <w:spacing w:val="0"/>
          <w:sz w:val="24"/>
          <w:szCs w:val="24"/>
          <w:highlight w:val="none"/>
          <w:shd w:val="clear" w:color="auto" w:fill="FFFFFF"/>
          <w:vertAlign w:val="baseline"/>
          <w:lang w:val="en-US" w:eastAsia="zh-CN"/>
        </w:rPr>
        <w:t>b.服务人员从事职业应经相关行业部门的认可，需持证上岗的职业应按有关法律法规规定持有效的从业资格和职业资格证书；有本人身份证明、健康证明等；接受过残疾人身心知识与托养服务培训。</w:t>
      </w:r>
    </w:p>
    <w:p w14:paraId="70345F8A">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④服务人员须遵纪守法，遵守职业道德，尊重和善待残疾人，对待服务对象应文明友善、耐心细致，熟练掌握相应的业务知识和岗位技能。</w:t>
      </w:r>
    </w:p>
    <w:p w14:paraId="782AADE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kern w:val="0"/>
          <w:sz w:val="24"/>
          <w:szCs w:val="24"/>
          <w:shd w:val="clear" w:fill="FFFFFF"/>
          <w:vertAlign w:val="baseline"/>
          <w:lang w:val="en-US" w:eastAsia="zh-CN" w:bidi="ar-SA"/>
        </w:rPr>
        <w:t>3）</w:t>
      </w: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其它技术要求：</w:t>
      </w:r>
    </w:p>
    <w:p w14:paraId="60E4FDD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pPr>
      <w:bookmarkStart w:id="0" w:name="_GoBack"/>
      <w:r>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t>生活照料和护理</w:t>
      </w:r>
    </w:p>
    <w:p w14:paraId="539A015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①承担或协助服务对象整理家庭环境卫生。</w:t>
      </w:r>
    </w:p>
    <w:p w14:paraId="5A3B69A3">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②承担或协助服务对象整理个人卫生。</w:t>
      </w:r>
    </w:p>
    <w:p w14:paraId="6D919A5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③上门送餐或在服务对象家中协助准备膳食, 可根据情况提供帮助进食服务。</w:t>
      </w:r>
    </w:p>
    <w:p w14:paraId="7AEDCC62">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④经过合法的委托手续，可协助办理家庭日常事务。</w:t>
      </w:r>
    </w:p>
    <w:p w14:paraId="1DEA84CE">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⑤可陪同在服务对象居住附近安全合理的地区进行户外活动。</w:t>
      </w:r>
    </w:p>
    <w:p w14:paraId="23D57FFE">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⑥其他合法、安全并经所在服务机构批准同意提供的服务。</w:t>
      </w:r>
    </w:p>
    <w:p w14:paraId="530163C0">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t>社会适应能力辅导</w:t>
      </w:r>
    </w:p>
    <w:p w14:paraId="2FF41F55">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①根据个别化居家托养方案，辅导服务对象的社会适应能力，并适时调整计划。</w:t>
      </w:r>
    </w:p>
    <w:p w14:paraId="7216042F">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②协助有需要的服务对象通过网络、电视、广播、报纸杂志等多种方式了解新闻和知识。</w:t>
      </w:r>
    </w:p>
    <w:p w14:paraId="73B99C32">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③对有需求的服务对象提供简单的家务劳动训练和辅导。</w:t>
      </w:r>
    </w:p>
    <w:p w14:paraId="5A7AD99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④对服务对象提供手工编织、绘画或其他适宜在家庭环境中进行的职业康复功能训练和辅导。</w:t>
      </w:r>
    </w:p>
    <w:p w14:paraId="0CCFD921">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⑤协助陪同服务对象参与与其身体状况相适应的文体活动及有益身心的公益活动。</w:t>
      </w:r>
    </w:p>
    <w:p w14:paraId="6D69F6B5">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⑥其他合法、安全、力所能及并经所在服务机构批准同意提供的服务。</w:t>
      </w:r>
    </w:p>
    <w:p w14:paraId="0D35AE3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⑦经常与服务对象交流，了解其心理特点，对需要进行心理干预者提供建议和服务。</w:t>
      </w:r>
    </w:p>
    <w:p w14:paraId="054B834E">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b/>
          <w:bCs/>
          <w:i w:val="0"/>
          <w:iCs w:val="0"/>
          <w:caps w:val="0"/>
          <w:color w:val="333333"/>
          <w:spacing w:val="0"/>
          <w:sz w:val="24"/>
          <w:szCs w:val="24"/>
          <w:highlight w:val="none"/>
          <w:shd w:val="clear" w:color="auto" w:fill="FFFFFF"/>
          <w:vertAlign w:val="baseline"/>
          <w:lang w:val="en-US" w:eastAsia="zh-CN"/>
        </w:rPr>
        <w:t>运动功能训练</w:t>
      </w:r>
    </w:p>
    <w:p w14:paraId="17304001">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①指导并协助有需要的服务对象或其监护人正确使用配发的康复辅助器具。</w:t>
      </w:r>
    </w:p>
    <w:p w14:paraId="1500ED6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②指导并协助有需要的服务对象或其监护人正确使用保健仪器。</w:t>
      </w:r>
    </w:p>
    <w:bookmarkEnd w:id="0"/>
    <w:p w14:paraId="0D27BC1B">
      <w:pPr>
        <w:pStyle w:val="10"/>
        <w:spacing w:line="500" w:lineRule="exact"/>
        <w:ind w:firstLine="0" w:firstLineChars="0"/>
        <w:rPr>
          <w:rFonts w:hint="eastAsia" w:ascii="黑体" w:hAnsi="黑体" w:eastAsia="黑体" w:cs="黑体"/>
          <w:b/>
          <w:kern w:val="2"/>
          <w:sz w:val="28"/>
          <w:szCs w:val="28"/>
        </w:rPr>
      </w:pPr>
      <w:r>
        <w:rPr>
          <w:rFonts w:hint="eastAsia" w:ascii="黑体" w:hAnsi="黑体" w:eastAsia="黑体" w:cs="黑体"/>
          <w:b/>
          <w:kern w:val="2"/>
          <w:sz w:val="28"/>
          <w:szCs w:val="28"/>
        </w:rPr>
        <w:t>四、商务要求</w:t>
      </w:r>
    </w:p>
    <w:p w14:paraId="486807FA">
      <w:pPr>
        <w:pStyle w:val="10"/>
        <w:spacing w:line="500" w:lineRule="exac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1、服务期：6个月。</w:t>
      </w:r>
    </w:p>
    <w:p w14:paraId="5A06EAE6">
      <w:pPr>
        <w:pStyle w:val="10"/>
        <w:spacing w:line="500" w:lineRule="exac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2、服务地点：服务商提供。</w:t>
      </w:r>
    </w:p>
    <w:p w14:paraId="566E4DC6">
      <w:pPr>
        <w:pStyle w:val="10"/>
        <w:spacing w:line="480" w:lineRule="exact"/>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pPr>
      <w:r>
        <w:rPr>
          <w:rFonts w:hint="eastAsia" w:ascii="黑体" w:hAnsi="黑体" w:eastAsia="黑体" w:cs="黑体"/>
          <w:i w:val="0"/>
          <w:iCs w:val="0"/>
          <w:caps w:val="0"/>
          <w:color w:val="333333"/>
          <w:spacing w:val="0"/>
          <w:kern w:val="0"/>
          <w:sz w:val="24"/>
          <w:szCs w:val="24"/>
          <w:highlight w:val="none"/>
          <w:shd w:val="clear" w:color="auto" w:fill="FFFFFF"/>
          <w:vertAlign w:val="baseline"/>
          <w:lang w:val="en-US" w:eastAsia="zh-CN" w:bidi="ar-SA"/>
        </w:rPr>
        <w:t>3、结算方式：自服务期满，7个工作日内，支付全部款项。</w:t>
      </w:r>
    </w:p>
    <w:p w14:paraId="60AA8510">
      <w:pPr>
        <w:pStyle w:val="6"/>
        <w:spacing w:after="0" w:line="480" w:lineRule="exact"/>
        <w:ind w:firstLine="0" w:firstLineChars="0"/>
        <w:rPr>
          <w:rFonts w:hint="eastAsia" w:ascii="黑体" w:hAnsi="黑体" w:eastAsia="黑体" w:cs="黑体"/>
          <w:b/>
          <w:bCs/>
          <w:sz w:val="28"/>
          <w:szCs w:val="28"/>
        </w:rPr>
      </w:pPr>
      <w:r>
        <w:rPr>
          <w:rFonts w:hint="eastAsia" w:ascii="黑体" w:hAnsi="黑体" w:eastAsia="黑体" w:cs="黑体"/>
          <w:b/>
          <w:bCs/>
          <w:sz w:val="28"/>
          <w:szCs w:val="28"/>
        </w:rPr>
        <w:t>五、其他</w:t>
      </w:r>
    </w:p>
    <w:p w14:paraId="3759AC30">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1、进度要求</w:t>
      </w:r>
    </w:p>
    <w:p w14:paraId="204C927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在规定时间内完成服务。</w:t>
      </w:r>
    </w:p>
    <w:p w14:paraId="3D4CBC13">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2、成果交付要求</w:t>
      </w:r>
    </w:p>
    <w:p w14:paraId="7FF1F6B6">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机构承接的安养服务类型应符合《就业年龄段智力、精神及重度肢体残疾人托养服务规范》（GB/T 37516—2019）、中国残联《政府购买残疾人托养服务技术标准与规范》和《残疾人服务机构管理办法》有关规定（照护服务参照执行）。</w:t>
      </w:r>
    </w:p>
    <w:p w14:paraId="602EB3F9">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3、质量验收标准或规范</w:t>
      </w:r>
    </w:p>
    <w:p w14:paraId="09F1D765">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残疾人服务行业验收标准。</w:t>
      </w:r>
    </w:p>
    <w:p w14:paraId="330CD644">
      <w:pPr>
        <w:pStyle w:val="5"/>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4、违约责任</w:t>
      </w:r>
    </w:p>
    <w:p w14:paraId="70149B9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pPr>
      <w:r>
        <w:rPr>
          <w:rFonts w:hint="eastAsia" w:ascii="黑体" w:hAnsi="黑体" w:eastAsia="黑体" w:cs="黑体"/>
          <w:i w:val="0"/>
          <w:iCs w:val="0"/>
          <w:caps w:val="0"/>
          <w:color w:val="333333"/>
          <w:spacing w:val="0"/>
          <w:sz w:val="24"/>
          <w:szCs w:val="24"/>
          <w:highlight w:val="none"/>
          <w:shd w:val="clear" w:color="auto" w:fill="FFFFFF"/>
          <w:vertAlign w:val="baseline"/>
          <w:lang w:val="en-US" w:eastAsia="zh-CN"/>
        </w:rPr>
        <w:t>按《中华人民共和国政府采购法》第七十三条、《中华人民共和国民法典》第五百七十七条中的相关条款执行。未按合同或招标文件要求提供的产品或者服务，质量不能满足采购人技术要求，采购单位有权终止合同，甚至对供应商违约行为进行追究。</w:t>
      </w:r>
    </w:p>
    <w:p w14:paraId="4B1E0850">
      <w:pPr>
        <w:rPr>
          <w:rFonts w:hint="eastAsia" w:ascii="黑体" w:hAnsi="黑体" w:eastAsia="黑体" w:cs="黑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40D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1FB50">
                          <w:pPr>
                            <w:pStyle w:val="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E1FB50">
                    <w:pPr>
                      <w:pStyle w:val="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42D3C"/>
    <w:rsid w:val="0F8D7D0F"/>
    <w:rsid w:val="18C01DD4"/>
    <w:rsid w:val="1BF46089"/>
    <w:rsid w:val="1FDE6A4A"/>
    <w:rsid w:val="22207E30"/>
    <w:rsid w:val="2994507C"/>
    <w:rsid w:val="2DC97662"/>
    <w:rsid w:val="3EDB4669"/>
    <w:rsid w:val="41D46B10"/>
    <w:rsid w:val="4D063625"/>
    <w:rsid w:val="51DE6158"/>
    <w:rsid w:val="5ADD11FB"/>
    <w:rsid w:val="6054459C"/>
    <w:rsid w:val="60B665BB"/>
    <w:rsid w:val="62F35FA1"/>
    <w:rsid w:val="6DC6175B"/>
    <w:rsid w:val="727E5FDE"/>
    <w:rsid w:val="7440091B"/>
    <w:rsid w:val="77242D3C"/>
    <w:rsid w:val="78B2489D"/>
    <w:rsid w:val="7E60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6">
    <w:name w:val="Body Text First Indent"/>
    <w:basedOn w:val="2"/>
    <w:qFormat/>
    <w:uiPriority w:val="0"/>
    <w:pPr>
      <w:ind w:firstLine="420" w:firstLineChars="100"/>
    </w:p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
    <w:name w:val="样式 首行缩进:  2 字符"/>
    <w:qFormat/>
    <w:uiPriority w:val="0"/>
    <w:pPr>
      <w:spacing w:line="400" w:lineRule="exact"/>
      <w:ind w:firstLine="200" w:firstLineChars="200"/>
    </w:pPr>
    <w:rPr>
      <w:rFonts w:ascii="Calibri" w:hAnsi="Calibri" w:eastAsia="宋体" w:cs="宋体"/>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3761</Words>
  <Characters>4113</Characters>
  <Lines>0</Lines>
  <Paragraphs>0</Paragraphs>
  <TotalTime>146</TotalTime>
  <ScaleCrop>false</ScaleCrop>
  <LinksUpToDate>false</LinksUpToDate>
  <CharactersWithSpaces>4125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2025-10-06T12:39:00Z</dcterms:created>
  <dc:creator>XZ</dc:creator>
  <cp:lastModifiedBy>三鑫财务</cp:lastModifiedBy>
  <dcterms:modified xsi:type="dcterms:W3CDTF">2025-10-10T12:39:55Z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77156C07AFD64D99A4F73C76C61E4650_11</vt:lpwstr>
  </property>
  <property fmtid="{D5CDD505-2E9C-101B-9397-08002B2CF9AE}" pid="4" name="KSOTemplateDocerSaveRecord">
    <vt:lpwstr>eyJoZGlkIjoiMWNkZDc0Mzk5YWZhY2I0ZDlhMzNmNGNkNjcyMTBlMmYiLCJ1c2VySWQiOiIzMjc2Mzk1MjUifQ==</vt:lpwstr>
  </property>
</Properties>
</file>