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1FD13">
      <w:pPr>
        <w:spacing w:line="360" w:lineRule="auto"/>
        <w:jc w:val="center"/>
        <w:rPr>
          <w:rFonts w:hint="eastAsia" w:ascii="宋体" w:hAnsi="宋体" w:eastAsia="宋体" w:cs="宋体"/>
          <w:color w:val="auto"/>
          <w:highlight w:val="none"/>
          <w:lang w:eastAsia="zh-CN"/>
        </w:rPr>
      </w:pPr>
    </w:p>
    <w:p w14:paraId="3310B412">
      <w:pPr>
        <w:rPr>
          <w:rFonts w:hint="eastAsia" w:ascii="宋体" w:hAnsi="宋体" w:eastAsia="宋体" w:cs="宋体"/>
          <w:color w:val="auto"/>
          <w:highlight w:val="none"/>
          <w:lang w:eastAsia="zh-CN"/>
        </w:rPr>
      </w:pPr>
    </w:p>
    <w:p w14:paraId="433C847B">
      <w:pPr>
        <w:jc w:val="center"/>
        <w:rPr>
          <w:rFonts w:hint="eastAsia" w:ascii="宋体" w:hAnsi="宋体" w:cs="宋体"/>
          <w:b/>
          <w:bCs/>
          <w:color w:val="auto"/>
          <w:sz w:val="44"/>
          <w:szCs w:val="44"/>
          <w:highlight w:val="none"/>
          <w:lang w:eastAsia="zh-CN"/>
        </w:rPr>
      </w:pPr>
      <w:r>
        <w:rPr>
          <w:rFonts w:hint="eastAsia" w:ascii="宋体" w:hAnsi="宋体" w:eastAsia="宋体" w:cs="宋体"/>
          <w:color w:val="auto"/>
          <w:highlight w:val="none"/>
          <w:lang w:eastAsia="zh-CN"/>
        </w:rPr>
        <w:br w:type="textWrapping"/>
      </w:r>
      <w:r>
        <w:rPr>
          <w:rFonts w:hint="eastAsia" w:ascii="宋体" w:hAnsi="宋体" w:cs="宋体"/>
          <w:b/>
          <w:bCs/>
          <w:color w:val="auto"/>
          <w:sz w:val="44"/>
          <w:szCs w:val="44"/>
          <w:highlight w:val="none"/>
          <w:lang w:eastAsia="zh-CN"/>
        </w:rPr>
        <w:t>西咸新区房地产风险化解专项法律服务项目</w:t>
      </w:r>
    </w:p>
    <w:p w14:paraId="7692FC19">
      <w:pPr>
        <w:jc w:val="center"/>
        <w:rPr>
          <w:rFonts w:hint="eastAsia" w:ascii="宋体" w:hAnsi="宋体" w:cs="宋体"/>
          <w:b/>
          <w:bCs/>
          <w:color w:val="auto"/>
          <w:sz w:val="44"/>
          <w:szCs w:val="44"/>
          <w:highlight w:val="none"/>
          <w:lang w:eastAsia="zh-CN"/>
        </w:rPr>
      </w:pPr>
    </w:p>
    <w:p w14:paraId="13707790">
      <w:pPr>
        <w:jc w:val="center"/>
        <w:rPr>
          <w:rFonts w:hint="eastAsia" w:ascii="宋体" w:hAnsi="宋体" w:cs="宋体"/>
          <w:b/>
          <w:bCs/>
          <w:color w:val="auto"/>
          <w:sz w:val="44"/>
          <w:szCs w:val="44"/>
          <w:highlight w:val="none"/>
          <w:lang w:eastAsia="zh-CN"/>
        </w:rPr>
      </w:pPr>
    </w:p>
    <w:p w14:paraId="1B522088">
      <w:pPr>
        <w:spacing w:line="360" w:lineRule="auto"/>
        <w:jc w:val="center"/>
        <w:rPr>
          <w:rFonts w:hint="eastAsia" w:ascii="宋体" w:hAnsi="宋体" w:eastAsia="宋体" w:cs="宋体"/>
          <w:b/>
          <w:bCs/>
          <w:color w:val="auto"/>
          <w:sz w:val="48"/>
          <w:szCs w:val="48"/>
          <w:highlight w:val="none"/>
        </w:rPr>
      </w:pPr>
      <w:r>
        <w:rPr>
          <w:rFonts w:hint="eastAsia" w:ascii="宋体" w:hAnsi="宋体" w:cs="宋体"/>
          <w:b/>
          <w:bCs/>
          <w:kern w:val="0"/>
          <w:sz w:val="56"/>
          <w:szCs w:val="56"/>
          <w:highlight w:val="none"/>
          <w:lang w:val="en-US" w:eastAsia="zh-CN"/>
        </w:rPr>
        <w:drawing>
          <wp:inline distT="0" distB="0" distL="114300" distR="114300">
            <wp:extent cx="2872105" cy="2872105"/>
            <wp:effectExtent l="0" t="0" r="4445" b="444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8"/>
                    <a:stretch>
                      <a:fillRect/>
                    </a:stretch>
                  </pic:blipFill>
                  <pic:spPr>
                    <a:xfrm>
                      <a:off x="0" y="0"/>
                      <a:ext cx="2872105" cy="2872105"/>
                    </a:xfrm>
                    <a:prstGeom prst="rect">
                      <a:avLst/>
                    </a:prstGeom>
                    <a:noFill/>
                    <a:ln>
                      <a:noFill/>
                    </a:ln>
                  </pic:spPr>
                </pic:pic>
              </a:graphicData>
            </a:graphic>
          </wp:inline>
        </w:drawing>
      </w:r>
    </w:p>
    <w:p w14:paraId="6300E975">
      <w:pPr>
        <w:spacing w:line="360" w:lineRule="auto"/>
        <w:jc w:val="center"/>
        <w:rPr>
          <w:rStyle w:val="37"/>
          <w:rFonts w:hint="eastAsia" w:ascii="宋体" w:hAnsi="宋体" w:eastAsia="宋体" w:cs="宋体"/>
          <w:color w:val="auto"/>
          <w:highlight w:val="none"/>
        </w:rPr>
      </w:pPr>
    </w:p>
    <w:p w14:paraId="3737EB17">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竞争性磋商文件</w:t>
      </w:r>
    </w:p>
    <w:p w14:paraId="037781CD">
      <w:pPr>
        <w:spacing w:line="360" w:lineRule="auto"/>
        <w:jc w:val="center"/>
        <w:rPr>
          <w:rFonts w:hint="eastAsia" w:ascii="宋体" w:hAnsi="宋体" w:eastAsia="宋体" w:cs="宋体"/>
          <w:b/>
          <w:color w:val="auto"/>
          <w:sz w:val="32"/>
          <w:highlight w:val="yellow"/>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JXD2025-ZCXX-0828</w:t>
      </w:r>
    </w:p>
    <w:p w14:paraId="56033C4C">
      <w:pPr>
        <w:spacing w:line="360" w:lineRule="auto"/>
        <w:rPr>
          <w:rFonts w:hint="eastAsia" w:ascii="宋体" w:hAnsi="宋体" w:eastAsia="宋体" w:cs="宋体"/>
          <w:color w:val="auto"/>
          <w:sz w:val="32"/>
          <w:highlight w:val="none"/>
        </w:rPr>
      </w:pPr>
    </w:p>
    <w:p w14:paraId="572CE09F">
      <w:pPr>
        <w:pStyle w:val="3"/>
        <w:rPr>
          <w:rFonts w:hint="eastAsia" w:ascii="宋体" w:hAnsi="宋体" w:eastAsia="宋体" w:cs="宋体"/>
          <w:color w:val="auto"/>
          <w:highlight w:val="none"/>
        </w:rPr>
      </w:pPr>
    </w:p>
    <w:p w14:paraId="789D47F3">
      <w:pPr>
        <w:pStyle w:val="12"/>
        <w:rPr>
          <w:rFonts w:hint="eastAsia" w:ascii="宋体" w:hAnsi="宋体" w:eastAsia="宋体" w:cs="宋体"/>
          <w:color w:val="auto"/>
          <w:highlight w:val="none"/>
        </w:rPr>
      </w:pPr>
    </w:p>
    <w:p w14:paraId="377B55AD">
      <w:pPr>
        <w:pStyle w:val="12"/>
        <w:rPr>
          <w:rFonts w:hint="eastAsia" w:ascii="宋体" w:hAnsi="宋体" w:eastAsia="宋体" w:cs="宋体"/>
          <w:color w:val="auto"/>
          <w:highlight w:val="none"/>
        </w:rPr>
      </w:pPr>
    </w:p>
    <w:p w14:paraId="32AA79CE">
      <w:pPr>
        <w:spacing w:line="360" w:lineRule="auto"/>
        <w:rPr>
          <w:rFonts w:hint="eastAsia" w:ascii="宋体" w:hAnsi="宋体" w:eastAsia="宋体" w:cs="宋体"/>
          <w:color w:val="auto"/>
          <w:sz w:val="32"/>
          <w:highlight w:val="none"/>
        </w:rPr>
      </w:pPr>
    </w:p>
    <w:p w14:paraId="2D237C8A">
      <w:pPr>
        <w:spacing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cs="宋体"/>
          <w:b/>
          <w:color w:val="auto"/>
          <w:sz w:val="30"/>
          <w:szCs w:val="30"/>
          <w:highlight w:val="none"/>
          <w:lang w:eastAsia="zh-CN"/>
        </w:rPr>
        <w:t>陕西钜信达工程项目管理有限公司</w:t>
      </w:r>
    </w:p>
    <w:p w14:paraId="0706E9DA">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二零二</w:t>
      </w: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九</w:t>
      </w:r>
      <w:r>
        <w:rPr>
          <w:rFonts w:hint="eastAsia" w:ascii="宋体" w:hAnsi="宋体" w:eastAsia="宋体" w:cs="宋体"/>
          <w:b/>
          <w:color w:val="auto"/>
          <w:sz w:val="30"/>
          <w:szCs w:val="30"/>
          <w:highlight w:val="none"/>
        </w:rPr>
        <w:t>月</w:t>
      </w:r>
    </w:p>
    <w:p w14:paraId="57E1512B">
      <w:pPr>
        <w:spacing w:line="360" w:lineRule="auto"/>
        <w:jc w:val="center"/>
        <w:rPr>
          <w:rFonts w:hint="eastAsia" w:ascii="宋体" w:hAnsi="宋体" w:eastAsia="宋体" w:cs="宋体"/>
          <w:b/>
          <w:color w:val="auto"/>
          <w:sz w:val="36"/>
          <w:szCs w:val="36"/>
          <w:highlight w:val="none"/>
        </w:rPr>
        <w:sectPr>
          <w:footerReference r:id="rId6" w:type="first"/>
          <w:headerReference r:id="rId3" w:type="default"/>
          <w:footerReference r:id="rId4" w:type="default"/>
          <w:footerReference r:id="rId5" w:type="even"/>
          <w:footnotePr>
            <w:pos w:val="beneathText"/>
          </w:footnotePr>
          <w:pgSz w:w="11906" w:h="16838"/>
          <w:pgMar w:top="1440" w:right="1644" w:bottom="1219" w:left="1644" w:header="850" w:footer="992" w:gutter="0"/>
          <w:pgNumType w:fmt="decimal"/>
          <w:cols w:space="720" w:num="1"/>
          <w:titlePg/>
          <w:docGrid w:linePitch="312" w:charSpace="0"/>
        </w:sectPr>
      </w:pPr>
    </w:p>
    <w:p w14:paraId="0F858170">
      <w:pPr>
        <w:spacing w:line="360" w:lineRule="auto"/>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36"/>
          <w:szCs w:val="36"/>
          <w:highlight w:val="none"/>
        </w:rPr>
        <w:t>目  录</w:t>
      </w:r>
    </w:p>
    <w:p w14:paraId="1A4987DC">
      <w:pPr>
        <w:pStyle w:val="16"/>
        <w:tabs>
          <w:tab w:val="right" w:leader="dot" w:pos="8618"/>
        </w:tabs>
        <w:spacing w:line="480" w:lineRule="auto"/>
        <w:rPr>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"1-1"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_Toc27886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第一部分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_Toc27886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bCs w:val="0"/>
          <w:color w:val="auto"/>
          <w:szCs w:val="24"/>
          <w:highlight w:val="none"/>
        </w:rPr>
        <w:fldChar w:fldCharType="end"/>
      </w:r>
    </w:p>
    <w:p w14:paraId="54B0A5F9">
      <w:pPr>
        <w:pStyle w:val="16"/>
        <w:tabs>
          <w:tab w:val="right" w:leader="dot" w:pos="8618"/>
        </w:tabs>
        <w:spacing w:line="48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_Toc27022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第二部分  供应商须知前附表</w:t>
      </w:r>
      <w:r>
        <w:rPr>
          <w:color w:val="auto"/>
          <w:highlight w:val="none"/>
        </w:rPr>
        <w:tab/>
      </w:r>
      <w:r>
        <w:rPr>
          <w:color w:val="auto"/>
          <w:highlight w:val="none"/>
        </w:rPr>
        <w:fldChar w:fldCharType="begin"/>
      </w:r>
      <w:r>
        <w:rPr>
          <w:color w:val="auto"/>
          <w:highlight w:val="none"/>
        </w:rPr>
        <w:instrText xml:space="preserve"> PAGEREF _Toc27022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bCs w:val="0"/>
          <w:color w:val="auto"/>
          <w:szCs w:val="24"/>
          <w:highlight w:val="none"/>
        </w:rPr>
        <w:fldChar w:fldCharType="end"/>
      </w:r>
    </w:p>
    <w:p w14:paraId="03B64F7F">
      <w:pPr>
        <w:pStyle w:val="16"/>
        <w:tabs>
          <w:tab w:val="right" w:leader="dot" w:pos="8618"/>
        </w:tabs>
        <w:spacing w:line="48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_Toc15204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第三部分  磋商须知</w:t>
      </w:r>
      <w:r>
        <w:rPr>
          <w:color w:val="auto"/>
          <w:highlight w:val="none"/>
        </w:rPr>
        <w:tab/>
      </w:r>
      <w:r>
        <w:rPr>
          <w:color w:val="auto"/>
          <w:highlight w:val="none"/>
        </w:rPr>
        <w:fldChar w:fldCharType="begin"/>
      </w:r>
      <w:r>
        <w:rPr>
          <w:color w:val="auto"/>
          <w:highlight w:val="none"/>
        </w:rPr>
        <w:instrText xml:space="preserve"> PAGEREF _Toc15204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val="0"/>
          <w:color w:val="auto"/>
          <w:szCs w:val="24"/>
          <w:highlight w:val="none"/>
        </w:rPr>
        <w:fldChar w:fldCharType="end"/>
      </w:r>
    </w:p>
    <w:p w14:paraId="4F68A872">
      <w:pPr>
        <w:pStyle w:val="16"/>
        <w:tabs>
          <w:tab w:val="right" w:leader="dot" w:pos="8618"/>
        </w:tabs>
        <w:spacing w:line="48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_Toc28844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32"/>
          <w:highlight w:val="none"/>
        </w:rPr>
        <w:t>第四部分  合同格式</w:t>
      </w:r>
      <w:r>
        <w:rPr>
          <w:color w:val="auto"/>
          <w:highlight w:val="none"/>
        </w:rPr>
        <w:tab/>
      </w:r>
      <w:r>
        <w:rPr>
          <w:color w:val="auto"/>
          <w:highlight w:val="none"/>
        </w:rPr>
        <w:fldChar w:fldCharType="begin"/>
      </w:r>
      <w:r>
        <w:rPr>
          <w:color w:val="auto"/>
          <w:highlight w:val="none"/>
        </w:rPr>
        <w:instrText xml:space="preserve"> PAGEREF _Toc28844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bCs w:val="0"/>
          <w:color w:val="auto"/>
          <w:szCs w:val="24"/>
          <w:highlight w:val="none"/>
        </w:rPr>
        <w:fldChar w:fldCharType="end"/>
      </w:r>
    </w:p>
    <w:p w14:paraId="1F45AB8E">
      <w:pPr>
        <w:pStyle w:val="16"/>
        <w:tabs>
          <w:tab w:val="right" w:leader="dot" w:pos="8618"/>
        </w:tabs>
        <w:spacing w:line="48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_Toc2730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第五部分  附件—响应文件格式</w:t>
      </w:r>
      <w:r>
        <w:rPr>
          <w:color w:val="auto"/>
          <w:highlight w:val="none"/>
        </w:rPr>
        <w:tab/>
      </w:r>
      <w:r>
        <w:rPr>
          <w:color w:val="auto"/>
          <w:highlight w:val="none"/>
        </w:rPr>
        <w:fldChar w:fldCharType="begin"/>
      </w:r>
      <w:r>
        <w:rPr>
          <w:color w:val="auto"/>
          <w:highlight w:val="none"/>
        </w:rPr>
        <w:instrText xml:space="preserve"> PAGEREF _Toc2730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bCs w:val="0"/>
          <w:color w:val="auto"/>
          <w:szCs w:val="24"/>
          <w:highlight w:val="none"/>
        </w:rPr>
        <w:fldChar w:fldCharType="end"/>
      </w:r>
    </w:p>
    <w:p w14:paraId="5EE55946">
      <w:pPr>
        <w:pStyle w:val="16"/>
        <w:tabs>
          <w:tab w:val="right" w:leader="dot" w:pos="8618"/>
        </w:tabs>
        <w:spacing w:line="48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_Toc8351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2"/>
          <w:highlight w:val="none"/>
        </w:rPr>
        <w:t>第六部分 采购内容</w:t>
      </w:r>
      <w:r>
        <w:rPr>
          <w:rFonts w:hint="eastAsia" w:ascii="宋体" w:hAnsi="宋体" w:eastAsia="宋体" w:cs="宋体"/>
          <w:color w:val="auto"/>
          <w:highlight w:val="none"/>
        </w:rPr>
        <w:t>及要求</w:t>
      </w:r>
      <w:r>
        <w:rPr>
          <w:color w:val="auto"/>
          <w:highlight w:val="none"/>
        </w:rPr>
        <w:tab/>
      </w:r>
      <w:r>
        <w:rPr>
          <w:color w:val="auto"/>
          <w:highlight w:val="none"/>
        </w:rPr>
        <w:fldChar w:fldCharType="begin"/>
      </w:r>
      <w:r>
        <w:rPr>
          <w:color w:val="auto"/>
          <w:highlight w:val="none"/>
        </w:rPr>
        <w:instrText xml:space="preserve"> PAGEREF _Toc8351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bCs w:val="0"/>
          <w:color w:val="auto"/>
          <w:szCs w:val="24"/>
          <w:highlight w:val="none"/>
        </w:rPr>
        <w:fldChar w:fldCharType="end"/>
      </w:r>
    </w:p>
    <w:p w14:paraId="13EF852C">
      <w:pPr>
        <w:pStyle w:val="16"/>
        <w:tabs>
          <w:tab w:val="right" w:leader="dot" w:pos="8829"/>
        </w:tabs>
        <w:spacing w:line="360" w:lineRule="auto"/>
        <w:rPr>
          <w:rFonts w:hint="eastAsia" w:ascii="宋体" w:hAnsi="宋体" w:eastAsia="宋体" w:cs="宋体"/>
          <w:color w:val="auto"/>
          <w:sz w:val="28"/>
          <w:szCs w:val="28"/>
          <w:highlight w:val="none"/>
        </w:rPr>
      </w:pPr>
      <w:r>
        <w:rPr>
          <w:rFonts w:hint="eastAsia" w:ascii="宋体" w:hAnsi="宋体" w:eastAsia="宋体" w:cs="宋体"/>
          <w:bCs w:val="0"/>
          <w:color w:val="auto"/>
          <w:szCs w:val="24"/>
          <w:highlight w:val="none"/>
        </w:rPr>
        <w:fldChar w:fldCharType="end"/>
      </w:r>
    </w:p>
    <w:p w14:paraId="2E8F9AD9">
      <w:pPr>
        <w:tabs>
          <w:tab w:val="center" w:pos="4419"/>
        </w:tabs>
        <w:spacing w:line="360" w:lineRule="auto"/>
        <w:jc w:val="left"/>
        <w:rPr>
          <w:rFonts w:hint="eastAsia" w:ascii="宋体" w:hAnsi="宋体" w:eastAsia="宋体" w:cs="宋体"/>
          <w:color w:val="auto"/>
          <w:sz w:val="28"/>
          <w:szCs w:val="28"/>
          <w:highlight w:val="none"/>
        </w:rPr>
        <w:sectPr>
          <w:headerReference r:id="rId7" w:type="first"/>
          <w:footerReference r:id="rId9" w:type="first"/>
          <w:footerReference r:id="rId8" w:type="default"/>
          <w:footnotePr>
            <w:pos w:val="beneathText"/>
          </w:footnotePr>
          <w:pgSz w:w="11906" w:h="16838"/>
          <w:pgMar w:top="1440" w:right="1644" w:bottom="1219" w:left="1644" w:header="850" w:footer="992" w:gutter="0"/>
          <w:pgNumType w:fmt="decimal" w:start="1"/>
          <w:cols w:space="720" w:num="1"/>
          <w:titlePg/>
          <w:docGrid w:linePitch="312" w:charSpace="0"/>
        </w:sectPr>
      </w:pPr>
      <w:bookmarkStart w:id="0" w:name="_Toc193702467"/>
      <w:bookmarkStart w:id="1" w:name="_Toc246928891"/>
    </w:p>
    <w:bookmarkEnd w:id="0"/>
    <w:bookmarkEnd w:id="1"/>
    <w:p w14:paraId="11F1A525">
      <w:pPr>
        <w:pStyle w:val="4"/>
        <w:numPr>
          <w:ilvl w:val="0"/>
          <w:numId w:val="1"/>
        </w:numPr>
        <w:spacing w:line="360" w:lineRule="auto"/>
        <w:jc w:val="center"/>
        <w:rPr>
          <w:rFonts w:hint="eastAsia" w:ascii="宋体" w:hAnsi="宋体" w:eastAsia="宋体" w:cs="宋体"/>
          <w:color w:val="auto"/>
          <w:sz w:val="36"/>
          <w:highlight w:val="none"/>
        </w:rPr>
      </w:pPr>
      <w:bookmarkStart w:id="2" w:name="_Toc8767"/>
      <w:bookmarkStart w:id="3" w:name="_Toc7598"/>
      <w:bookmarkStart w:id="4" w:name="_Toc27886"/>
      <w:bookmarkStart w:id="5" w:name="_Hlk48567332"/>
      <w:r>
        <w:rPr>
          <w:rFonts w:hint="eastAsia" w:ascii="宋体" w:hAnsi="宋体" w:eastAsia="宋体" w:cs="宋体"/>
          <w:color w:val="auto"/>
          <w:sz w:val="36"/>
          <w:highlight w:val="none"/>
          <w:lang w:val="en-US" w:eastAsia="zh-CN"/>
        </w:rPr>
        <w:t xml:space="preserve"> </w:t>
      </w:r>
      <w:r>
        <w:rPr>
          <w:rFonts w:hint="eastAsia" w:ascii="宋体" w:hAnsi="宋体" w:eastAsia="宋体" w:cs="宋体"/>
          <w:color w:val="auto"/>
          <w:sz w:val="36"/>
          <w:highlight w:val="none"/>
        </w:rPr>
        <w:t>竞争性磋商公告</w:t>
      </w:r>
      <w:bookmarkEnd w:id="2"/>
      <w:bookmarkEnd w:id="3"/>
      <w:bookmarkEnd w:id="4"/>
    </w:p>
    <w:p w14:paraId="69F624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项目概况</w:t>
      </w:r>
    </w:p>
    <w:p w14:paraId="2C853A7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西咸新区房地产风险化解专项法律服务项目采购项目的潜在供应商应在全国公共资源交易中心平台（陕西省·西咸新区) （http:/ggzyjy.xixianxinqu.gov.cn/）自行下载获取采购文件，并于 2025年10月11日 14时00分 （北京时间）前提交响应文件。</w:t>
      </w:r>
    </w:p>
    <w:p w14:paraId="5B07264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一、项目基本情况</w:t>
      </w:r>
    </w:p>
    <w:p w14:paraId="615541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项目编号：JXD2025-ZCXX-0828</w:t>
      </w:r>
    </w:p>
    <w:p w14:paraId="7CA361F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项目名称：西咸新区房地产风险化解专项法律服务项目</w:t>
      </w:r>
    </w:p>
    <w:p w14:paraId="3B5F41F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采购方式：竞争性磋商</w:t>
      </w:r>
    </w:p>
    <w:p w14:paraId="71B5C83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预算金额：720,000.00元</w:t>
      </w:r>
    </w:p>
    <w:p w14:paraId="76891EA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采购需求：</w:t>
      </w:r>
    </w:p>
    <w:p w14:paraId="236167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合同包1(西咸新区房地产风险化解专项法律服务):</w:t>
      </w:r>
    </w:p>
    <w:p w14:paraId="3813E23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合同包预算金额：720,000.00元</w:t>
      </w:r>
    </w:p>
    <w:p w14:paraId="5CC0360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合同包最高限价：720,000.00元</w:t>
      </w:r>
    </w:p>
    <w:tbl>
      <w:tblPr>
        <w:tblW w:w="9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0"/>
        <w:gridCol w:w="2352"/>
        <w:gridCol w:w="2353"/>
        <w:gridCol w:w="925"/>
        <w:gridCol w:w="1798"/>
        <w:gridCol w:w="1640"/>
      </w:tblGrid>
      <w:tr w14:paraId="0E52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1" w:hRule="atLeast"/>
          <w:tblHeader/>
        </w:trPr>
        <w:tc>
          <w:tcPr>
            <w:tcW w:w="7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228EF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品目号</w:t>
            </w:r>
          </w:p>
        </w:tc>
        <w:tc>
          <w:tcPr>
            <w:tcW w:w="2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F3C4E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品目名称</w:t>
            </w:r>
          </w:p>
        </w:tc>
        <w:tc>
          <w:tcPr>
            <w:tcW w:w="25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8CD8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采购标的</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DCE7C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数量（单位）</w:t>
            </w:r>
          </w:p>
        </w:tc>
        <w:tc>
          <w:tcPr>
            <w:tcW w:w="1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D692D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技术规格、参数及要求</w:t>
            </w:r>
          </w:p>
        </w:tc>
        <w:tc>
          <w:tcPr>
            <w:tcW w:w="11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7E55F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品目预算(元)</w:t>
            </w:r>
          </w:p>
        </w:tc>
      </w:tr>
      <w:tr w14:paraId="764D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9CC91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B5062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法律咨询服务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99D4A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专项法律服务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E1A5F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0AC09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71088D">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vertAlign w:val="baseline"/>
                <w:lang w:val="en-US" w:eastAsia="zh-CN" w:bidi="ar"/>
              </w:rPr>
              <w:t>720,000.00</w:t>
            </w:r>
          </w:p>
        </w:tc>
      </w:tr>
    </w:tbl>
    <w:p w14:paraId="7878090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本合同包不接受联合体投标</w:t>
      </w:r>
    </w:p>
    <w:p w14:paraId="6952A3E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合同履行期限：自合同签订之日起一年</w:t>
      </w:r>
    </w:p>
    <w:p w14:paraId="400EEA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二、申请人的资格要求：</w:t>
      </w:r>
    </w:p>
    <w:p w14:paraId="132EA73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1.满足《中华人民共和国政府采购法》第二十二条规定;</w:t>
      </w:r>
    </w:p>
    <w:p w14:paraId="758CAC1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2.落实政府采购政策需满足的资格要求：</w:t>
      </w:r>
    </w:p>
    <w:p w14:paraId="014C1BA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合同包1(西咸新区房地产风险化解专项法律服务)落实政府采购政策需满足的资格要求如下:</w:t>
      </w:r>
    </w:p>
    <w:p w14:paraId="2567D73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480"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(1)《政府采购促进中小企业发展管理办法》 (财库〔2020〕46号)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 (2)《关于进一步加大政府采购支持中小企业力度的通知》  (财库〔2022〕19 号；</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 (3)《陕西省财政厅关于进一步加大政府采购支持中小企业力度的通知》 (陕财办采〔2022〕5 号)；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(4)《财政部 司法部关于政府采购支持监狱企业发展有关问题的通知》 (财库〔2014〕68 号)；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(5) 《三部门联合发布关于促进残疾人就业政府采购政策的通知》(财库〔2017〕141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(6)《国务院办公厅关于建立政府强制采购节能产品制度的通知》(国发办〔2007〕51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(7) 《节能产品政府采购实施意见》 (财库〔2004〕185 号)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(8)《环境标志产品政府采  购实施的意见》 (财库〔2006〕90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(9)《财政部 发展改革委 生态环境部 市场监管总 局关于调整优化节能产品、环境标志产品政府采购执行机制的通知》(财库〔2019〕9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(10)《关于运用政府采购政策支持乡村产业振兴的通知》 (财库〔2021〕19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(11)《财政部农业农村部国家 乡村振兴局 中华全国供销合作总社关于印发&lt;关于深入开展政府采购脱  贫地区农副产品工作推进乡村产业振兴的实施意见&gt;的通知》  (财库〔2021〕20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(12）《陕西省财政厅关于进一步加强政府绿色采购有关问题的通知》  (陕财办采〔2021〕29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(13)《财政部关于在政府采购活动中落实平等对待内外资企业有关政策的通知》(财库〔2021〕35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(14) 陕西省财政厅关于印发《陕西省中小企业政府采购信用融资办法》(陕财办采 〔2018〕23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(15) 陕西省财政厅《关于加快推进我省中小企业政府采购信用融资工作的通知》  (陕财办采〔2020〕15 号) ； </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(16) 其他需要落实的政府采购政策，详见竞争性磋商文件。</w:t>
      </w:r>
    </w:p>
    <w:p w14:paraId="0D50A12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3.本项目的特定资格要求：</w:t>
      </w:r>
    </w:p>
    <w:p w14:paraId="49470D4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合同包1(西咸新区房地产风险化解专项法律服务)特定资格要求如下:</w:t>
      </w:r>
      <w:bookmarkStart w:id="287" w:name="_GoBack"/>
      <w:bookmarkEnd w:id="287"/>
    </w:p>
    <w:p w14:paraId="686B86A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(1) 法定代表人授权书（附法定代表人、被授权人身份证复印件）及被授权人身份证（法定代表人直接参加磋商，须提供法定代表人身份证明及身份证复印件）；</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(2) 供应商未被“中国执行信息公开网”（http://zxgk.court.gov.cn/shixin/）列入失信被执行人、未被“信用中国”网站（www.creditchina.gov.cn）列入重大税收违法案件当事人名单及未被“中国政府采购网”（http://www.ccgp.gov.cn/）列入政府采购严重违法失信行为记录名单；（提供查询结果网页截图并加盖投标人公章，查询时间为文件发售期至磋商时间内）；</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(3) 单位负责人为同一人或者存在直接控股、管理关系的不同供应商，不得同时参加本项目采购活动；</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(4) 供应商须具有司法部门核发的有效的《律师事务所执业许可证》；</w:t>
      </w:r>
      <w:r>
        <w:rPr>
          <w:rFonts w:hint="eastAsia" w:ascii="宋体" w:hAnsi="宋体" w:eastAsia="宋体" w:cs="宋体"/>
          <w:i w:val="0"/>
          <w:iCs w:val="0"/>
          <w:caps w:val="0"/>
          <w:color w:val="333333"/>
          <w:spacing w:val="0"/>
          <w:sz w:val="28"/>
          <w:szCs w:val="28"/>
          <w:bdr w:val="none" w:color="auto" w:sz="0" w:space="0"/>
          <w:shd w:val="clear" w:fill="FFFFFF"/>
          <w:vertAlign w:val="baseline"/>
        </w:rPr>
        <w:br w:type="textWrapping"/>
      </w:r>
      <w:r>
        <w:rPr>
          <w:rFonts w:hint="eastAsia" w:ascii="宋体" w:hAnsi="宋体" w:eastAsia="宋体" w:cs="宋体"/>
          <w:i w:val="0"/>
          <w:iCs w:val="0"/>
          <w:caps w:val="0"/>
          <w:color w:val="333333"/>
          <w:spacing w:val="0"/>
          <w:sz w:val="28"/>
          <w:szCs w:val="28"/>
          <w:bdr w:val="none" w:color="auto" w:sz="0" w:space="0"/>
          <w:shd w:val="clear" w:fill="FFFFFF"/>
          <w:vertAlign w:val="baseline"/>
        </w:rPr>
        <w:t>(5) 不接受联合体磋商。</w:t>
      </w:r>
    </w:p>
    <w:p w14:paraId="438E10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三、获取采购文件</w:t>
      </w:r>
    </w:p>
    <w:p w14:paraId="3E141D2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时间： 2025年09月26日 至 2025年10月09日 ，每天上午 00:00:00 至 12:00:00 ，下午 12:00:00 至 23:59:59 （北京时间）</w:t>
      </w:r>
    </w:p>
    <w:p w14:paraId="573DB3D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途径：全国公共资源交易中心平台（陕西省·西咸新区) （http:/ggzyjy.xixianxinqu.gov.cn/）自行下载</w:t>
      </w:r>
    </w:p>
    <w:p w14:paraId="6766880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方式：在线获取</w:t>
      </w:r>
    </w:p>
    <w:p w14:paraId="4416FD0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售价： 0元</w:t>
      </w:r>
    </w:p>
    <w:p w14:paraId="7376CF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四、响应文件提交</w:t>
      </w:r>
    </w:p>
    <w:p w14:paraId="4275BCB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截止时间： 2025年10月11日 14时00分00秒 （北京时间）</w:t>
      </w:r>
    </w:p>
    <w:p w14:paraId="4A3A5BC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地点：全国公共资源交易中心平台（陕西省·西咸新区) （http://ggzyjy.xixianxinqu.gov.cn/）线上提交</w:t>
      </w:r>
    </w:p>
    <w:p w14:paraId="537D9C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五、开启</w:t>
      </w:r>
    </w:p>
    <w:p w14:paraId="3146B30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时间： 2025年10月11日 14时00分00秒 （北京时间）</w:t>
      </w:r>
    </w:p>
    <w:p w14:paraId="66D9B86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地点：全国公共资源交易中心平台（陕西省·西咸新区)不见面开标大厅（http://www.xqggzyjy.cn:8081/BidOpening-XQGC/bidopeninghallaction/hall/login）/西咸新区公共资源交易中心开标室</w:t>
      </w:r>
    </w:p>
    <w:p w14:paraId="784D44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六、公告期限</w:t>
      </w:r>
    </w:p>
    <w:p w14:paraId="43F0490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自本公告发布之日起3个工作日。</w:t>
      </w:r>
    </w:p>
    <w:p w14:paraId="70C6E8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七、其他补充事宜</w:t>
      </w:r>
    </w:p>
    <w:p w14:paraId="1434F7A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textAlignment w:val="baseline"/>
        <w:rPr>
          <w:rFonts w:hint="eastAsia" w:ascii="宋体" w:hAnsi="宋体" w:eastAsia="宋体" w:cs="宋体"/>
          <w:sz w:val="28"/>
          <w:szCs w:val="28"/>
        </w:rPr>
      </w:pPr>
      <w:r>
        <w:rPr>
          <w:rStyle w:val="24"/>
          <w:rFonts w:hint="eastAsia" w:ascii="宋体" w:hAnsi="宋体" w:eastAsia="宋体" w:cs="宋体"/>
          <w:b/>
          <w:bCs/>
          <w:i w:val="0"/>
          <w:iCs w:val="0"/>
          <w:caps w:val="0"/>
          <w:color w:val="333333"/>
          <w:spacing w:val="0"/>
          <w:kern w:val="0"/>
          <w:sz w:val="28"/>
          <w:szCs w:val="28"/>
          <w:bdr w:val="none" w:color="auto" w:sz="0" w:space="0"/>
          <w:shd w:val="clear" w:fill="FFFFFF"/>
          <w:vertAlign w:val="baseline"/>
          <w:lang w:val="en-US" w:eastAsia="zh-CN" w:bidi="ar"/>
        </w:rPr>
        <w:t>①.供应商须按照陕西省财政厅《关于政府采购供应商注册登记有关事项的通知》中的要求，通过陕西省政府采购网（http://www.ccgp-shaanxi.gov.cn/）注册登记加入陕西省政府采购供应商库。②.供应商须于采购文件发售时间内在全国公共资源交易平台（陕西省·西咸新区）（http://ggzyjy.xixianxinqu.gov.cn/）登记。在主页选择“电子交易平台—陕西政府采购交易系统—陕西省公共资源交易平台-主体单位”进行登录，登录后选择“交易受托方”身份进入供应商界面进行“我要投标”后免费获取采购文件。③.供应商下载后缀格式为“SXSZF”的采购文件，超出发售时间将无法下载，以此引起的后果自负。④.本项目采用“不见面开标”方式。不见面开标大厅登录方式为：全国公共资源交易平台（陕西省·西咸新区）→电子交易平台→西咸新区公共资源交易不见面开标系统。各供应商可在全国公共资源交易平台（陕西省·西咸新区）（http://ggzyjy.xixianxinqu.gov.cn/fwzn/004003/20201103/38d20540-d448-43e7-a3a5-2abe4fd5496d.html）下载“不见面开标”操作手册,并在投标截止时间前通过全国公共资源交易平台（陕西省·西咸新区）递交电子投标文件。因供应商自身设施故障或自身原因导致无法完成投标和解密的，由供应商自行承担后果。⑤.根据陕西省公共资源交易中心2021年7月22日印发的《关于在政府采购交易系统中开通标书雷同性分析功能的通知》，在符合性审查环节，将由评标委员会在评标系统中对供应商的电子投标文件进行雷同性分析。雷同性分析由两项指标组成，分别是“文件制作机器码”和“文件创建标识码”。其中，前者通过验证电子投标文件制作设备的特征信息（如MAC地址、硬盘序列号、CPU编号、主板号等），判断电子投标文件是否出自同一台设备。若“文件制作机器码”一致，则表明不同投标供应商的电子投标文件出自同一台制作设备，根据《陕西省财政厅关于政府采购有关政策的复函》（陕财办采函〔2019〕18号），该情形可以视为投标供应商串通投标，其投标无效。若“文件创建标识码”一致，则表示不同投标供应商使用投标文件制作软件时，使用同一源工程文件，该情形建议由评标委员会结合项目情况综合判定。⑥.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767DF8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24"/>
          <w:rFonts w:hint="eastAsia" w:ascii="宋体" w:hAnsi="宋体" w:eastAsia="宋体" w:cs="宋体"/>
          <w:b/>
          <w:bCs/>
          <w:i w:val="0"/>
          <w:iCs w:val="0"/>
          <w:caps w:val="0"/>
          <w:color w:val="333333"/>
          <w:spacing w:val="0"/>
          <w:sz w:val="28"/>
          <w:szCs w:val="28"/>
          <w:bdr w:val="none" w:color="auto" w:sz="0" w:space="0"/>
          <w:shd w:val="clear" w:fill="FFFFFF"/>
          <w:vertAlign w:val="baseline"/>
        </w:rPr>
        <w:t>八、对本次招标提出询问，请按以下方式联系。</w:t>
      </w:r>
    </w:p>
    <w:p w14:paraId="5A36FC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vertAlign w:val="baseline"/>
        </w:rPr>
        <w:t>1.采购人信息</w:t>
      </w:r>
    </w:p>
    <w:p w14:paraId="2FA4894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名称：陕西省西咸新区住房和城乡建设局</w:t>
      </w:r>
    </w:p>
    <w:p w14:paraId="06A7098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地址：西咸新区沣泾大道西一路1号西咸大厦</w:t>
      </w:r>
    </w:p>
    <w:p w14:paraId="290367D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联系方式：王工 029-33585368</w:t>
      </w:r>
    </w:p>
    <w:p w14:paraId="306AE2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vertAlign w:val="baseline"/>
        </w:rPr>
        <w:t>2.采购代理机构信息</w:t>
      </w:r>
    </w:p>
    <w:p w14:paraId="51D5EAF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名称：陕西钜信达工程项目管理有限公司</w:t>
      </w:r>
    </w:p>
    <w:p w14:paraId="16F8A3F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地址：西安市雁塔区雁翔路 111 号中京坊公寓 B 座 623 室</w:t>
      </w:r>
    </w:p>
    <w:p w14:paraId="1D71AEA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联系方式：029-82292656</w:t>
      </w:r>
    </w:p>
    <w:p w14:paraId="504656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vertAlign w:val="baseline"/>
        </w:rPr>
        <w:t>3.项目联系方式</w:t>
      </w:r>
    </w:p>
    <w:p w14:paraId="411D29E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项目联系人：王春</w:t>
      </w:r>
    </w:p>
    <w:p w14:paraId="753325A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电话：17868393545</w:t>
      </w:r>
    </w:p>
    <w:p w14:paraId="6A0D0FB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陕西钜信达工程项目管理有限公司</w:t>
      </w:r>
    </w:p>
    <w:p w14:paraId="6FF2331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vertAlign w:val="baseline"/>
        </w:rPr>
        <w:t>2025年09月25日</w:t>
      </w:r>
    </w:p>
    <w:p w14:paraId="14649D82">
      <w:pPr>
        <w:numPr>
          <w:numId w:val="0"/>
        </w:numPr>
        <w:rPr>
          <w:rFonts w:hint="eastAsia" w:ascii="宋体" w:hAnsi="宋体" w:eastAsia="宋体" w:cs="宋体"/>
          <w:sz w:val="28"/>
          <w:szCs w:val="28"/>
        </w:rPr>
      </w:pPr>
    </w:p>
    <w:bookmarkEnd w:id="5"/>
    <w:p w14:paraId="2E34C40B">
      <w:pPr>
        <w:pStyle w:val="4"/>
        <w:pageBreakBefore/>
        <w:spacing w:line="360" w:lineRule="auto"/>
        <w:jc w:val="center"/>
        <w:rPr>
          <w:rFonts w:hint="eastAsia" w:ascii="宋体" w:hAnsi="宋体" w:eastAsia="宋体" w:cs="宋体"/>
          <w:color w:val="auto"/>
          <w:sz w:val="36"/>
          <w:highlight w:val="none"/>
        </w:rPr>
      </w:pPr>
      <w:bookmarkStart w:id="6" w:name="_Toc246928893"/>
      <w:bookmarkStart w:id="7" w:name="_Toc9353"/>
      <w:bookmarkStart w:id="8" w:name="_Toc11521"/>
      <w:bookmarkStart w:id="9" w:name="_Toc27022"/>
      <w:r>
        <w:rPr>
          <w:rFonts w:hint="eastAsia" w:ascii="宋体" w:hAnsi="宋体" w:eastAsia="宋体" w:cs="宋体"/>
          <w:color w:val="auto"/>
          <w:sz w:val="36"/>
          <w:highlight w:val="none"/>
        </w:rPr>
        <w:t>第二部分  供应商须知前附表</w:t>
      </w:r>
      <w:bookmarkEnd w:id="6"/>
      <w:bookmarkEnd w:id="7"/>
      <w:bookmarkEnd w:id="8"/>
      <w:bookmarkEnd w:id="9"/>
    </w:p>
    <w:tbl>
      <w:tblPr>
        <w:tblStyle w:val="21"/>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89"/>
        <w:gridCol w:w="6733"/>
      </w:tblGrid>
      <w:tr w14:paraId="6443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763" w:type="dxa"/>
            <w:vAlign w:val="center"/>
          </w:tcPr>
          <w:p w14:paraId="4B623AA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1489" w:type="dxa"/>
            <w:vAlign w:val="center"/>
          </w:tcPr>
          <w:p w14:paraId="4C4B677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6733" w:type="dxa"/>
            <w:vAlign w:val="center"/>
          </w:tcPr>
          <w:p w14:paraId="2B61C81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编列内容</w:t>
            </w:r>
          </w:p>
        </w:tc>
      </w:tr>
      <w:tr w14:paraId="2F2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63" w:type="dxa"/>
            <w:vAlign w:val="center"/>
          </w:tcPr>
          <w:p w14:paraId="5B340C04">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3001BC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竞争性磋商公告</w:t>
            </w:r>
          </w:p>
        </w:tc>
        <w:tc>
          <w:tcPr>
            <w:tcW w:w="6733" w:type="dxa"/>
            <w:vAlign w:val="center"/>
          </w:tcPr>
          <w:p w14:paraId="70AA0E6E">
            <w:pPr>
              <w:spacing w:line="360" w:lineRule="auto"/>
              <w:ind w:leftChars="-9" w:hanging="19" w:hangingChars="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西咸新区房地产风险化解专项法律服务项目</w:t>
            </w:r>
          </w:p>
          <w:p w14:paraId="35DE1181">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JXD2025-ZCXX-0828</w:t>
            </w:r>
          </w:p>
        </w:tc>
      </w:tr>
      <w:tr w14:paraId="6610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3" w:type="dxa"/>
            <w:vAlign w:val="center"/>
          </w:tcPr>
          <w:p w14:paraId="5C3EB3B1">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52275E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6733" w:type="dxa"/>
            <w:vAlign w:val="center"/>
          </w:tcPr>
          <w:p w14:paraId="5BF77822">
            <w:pPr>
              <w:spacing w:line="360" w:lineRule="auto"/>
              <w:ind w:leftChars="-9" w:hanging="19" w:hangingChars="8"/>
              <w:rPr>
                <w:rFonts w:hint="eastAsia" w:ascii="宋体" w:hAnsi="宋体" w:eastAsia="宋体" w:cs="宋体"/>
                <w:color w:val="auto"/>
                <w:sz w:val="24"/>
                <w:highlight w:val="none"/>
              </w:rPr>
            </w:pPr>
            <w:r>
              <w:rPr>
                <w:rFonts w:hint="eastAsia" w:ascii="宋体" w:hAnsi="宋体" w:eastAsia="宋体" w:cs="宋体"/>
                <w:color w:val="auto"/>
                <w:sz w:val="24"/>
                <w:highlight w:val="none"/>
              </w:rPr>
              <w:t>财政拨款</w:t>
            </w:r>
          </w:p>
        </w:tc>
      </w:tr>
      <w:tr w14:paraId="304E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63" w:type="dxa"/>
            <w:vAlign w:val="center"/>
          </w:tcPr>
          <w:p w14:paraId="5A7244ED">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1E55599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竞争性磋商公告</w:t>
            </w:r>
          </w:p>
        </w:tc>
        <w:tc>
          <w:tcPr>
            <w:tcW w:w="6733" w:type="dxa"/>
            <w:vAlign w:val="center"/>
          </w:tcPr>
          <w:p w14:paraId="16869F62">
            <w:pPr>
              <w:spacing w:line="360" w:lineRule="auto"/>
              <w:ind w:leftChars="-9" w:hanging="19" w:hangingChars="8"/>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采购人：</w:t>
            </w:r>
            <w:r>
              <w:rPr>
                <w:rFonts w:hint="eastAsia" w:ascii="宋体" w:hAnsi="宋体" w:cs="宋体"/>
                <w:color w:val="auto"/>
                <w:sz w:val="24"/>
                <w:szCs w:val="22"/>
                <w:highlight w:val="none"/>
                <w:lang w:eastAsia="zh-CN"/>
              </w:rPr>
              <w:t>陕西省西咸新区住房和城乡建设局</w:t>
            </w:r>
          </w:p>
          <w:p w14:paraId="3FD1C961">
            <w:pPr>
              <w:spacing w:line="360" w:lineRule="auto"/>
              <w:ind w:leftChars="-9" w:hanging="19" w:hangingChars="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陕西钜信达工程项目管理有限公司</w:t>
            </w:r>
          </w:p>
        </w:tc>
      </w:tr>
      <w:tr w14:paraId="661B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3" w:type="dxa"/>
            <w:vAlign w:val="center"/>
          </w:tcPr>
          <w:p w14:paraId="528D3EEB">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5D37976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采购内容 </w:t>
            </w:r>
          </w:p>
        </w:tc>
        <w:tc>
          <w:tcPr>
            <w:tcW w:w="6733" w:type="dxa"/>
            <w:vAlign w:val="center"/>
          </w:tcPr>
          <w:p w14:paraId="21172D31">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详见磋商文件第六部分采购内容及要求。本次采购、磋商报价、评审和合同授予均以项目为单位，供应商必须就一个完整项目进行响应。</w:t>
            </w:r>
          </w:p>
        </w:tc>
      </w:tr>
      <w:tr w14:paraId="48A2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63" w:type="dxa"/>
            <w:vAlign w:val="center"/>
          </w:tcPr>
          <w:p w14:paraId="75E9A423">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78830B6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本项目是否专门面向中小企业采购</w:t>
            </w:r>
          </w:p>
        </w:tc>
        <w:tc>
          <w:tcPr>
            <w:tcW w:w="6733" w:type="dxa"/>
            <w:vAlign w:val="center"/>
          </w:tcPr>
          <w:p w14:paraId="15BA6599">
            <w:pPr>
              <w:spacing w:line="360" w:lineRule="auto"/>
              <w:rPr>
                <w:rFonts w:hint="default" w:ascii="宋体" w:hAnsi="宋体" w:eastAsia="宋体" w:cs="宋体"/>
                <w:color w:val="auto"/>
                <w:sz w:val="24"/>
                <w:szCs w:val="22"/>
                <w:highlight w:val="none"/>
                <w:lang w:val="en-US" w:eastAsia="zh-CN"/>
              </w:rPr>
            </w:pPr>
            <w:r>
              <w:rPr>
                <w:rFonts w:hint="eastAsia" w:ascii="宋体" w:hAnsi="宋体" w:cs="宋体"/>
                <w:color w:val="auto"/>
                <w:sz w:val="24"/>
                <w:highlight w:val="none"/>
                <w:lang w:val="en-US" w:eastAsia="zh-CN"/>
              </w:rPr>
              <w:t>否，本项目非专门面向中小企业采购。</w:t>
            </w:r>
          </w:p>
        </w:tc>
      </w:tr>
      <w:tr w14:paraId="16BF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14:paraId="2B0AF4E9">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0157EF0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733" w:type="dxa"/>
            <w:vAlign w:val="center"/>
          </w:tcPr>
          <w:p w14:paraId="586A49F1">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根据《西咸新区财政局关于促进政府采购公平竞争优化营商环境的通知》（陕西咸财函〔2021〕359号），供应商参与本项目免交磋商保证金。</w:t>
            </w:r>
          </w:p>
        </w:tc>
      </w:tr>
      <w:tr w14:paraId="7658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14:paraId="4F8E97EC">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466AA527">
            <w:pPr>
              <w:spacing w:line="360" w:lineRule="auto"/>
              <w:jc w:val="center"/>
              <w:rPr>
                <w:rFonts w:hint="eastAsia" w:ascii="宋体" w:hAnsi="宋体" w:eastAsia="宋体" w:cs="宋体"/>
                <w:b/>
                <w:bCs/>
                <w:color w:val="auto"/>
                <w:sz w:val="24"/>
                <w:highlight w:val="none"/>
              </w:rPr>
            </w:pPr>
            <w:r>
              <w:rPr>
                <w:rFonts w:hint="eastAsia" w:ascii="宋体" w:hAnsi="宋体" w:cs="宋体"/>
                <w:color w:val="auto"/>
                <w:kern w:val="0"/>
                <w:sz w:val="24"/>
                <w:highlight w:val="none"/>
                <w:lang w:val="en-US" w:eastAsia="zh-CN"/>
              </w:rPr>
              <w:t>所属</w:t>
            </w:r>
            <w:r>
              <w:rPr>
                <w:rFonts w:hint="eastAsia" w:ascii="宋体" w:hAnsi="宋体" w:eastAsia="宋体" w:cs="宋体"/>
                <w:color w:val="auto"/>
                <w:kern w:val="0"/>
                <w:sz w:val="24"/>
                <w:highlight w:val="none"/>
              </w:rPr>
              <w:t>行业划分</w:t>
            </w:r>
          </w:p>
        </w:tc>
        <w:tc>
          <w:tcPr>
            <w:tcW w:w="6733" w:type="dxa"/>
            <w:vAlign w:val="center"/>
          </w:tcPr>
          <w:p w14:paraId="21C5C931">
            <w:pPr>
              <w:spacing w:line="360" w:lineRule="auto"/>
              <w:rPr>
                <w:rFonts w:hint="default" w:ascii="宋体" w:hAnsi="宋体" w:eastAsia="宋体" w:cs="宋体"/>
                <w:b/>
                <w:bCs/>
                <w:color w:val="auto"/>
                <w:sz w:val="24"/>
                <w:szCs w:val="22"/>
                <w:highlight w:val="none"/>
                <w:u w:val="single"/>
                <w:lang w:val="en-US" w:eastAsia="zh-CN"/>
              </w:rPr>
            </w:pPr>
            <w:r>
              <w:rPr>
                <w:rFonts w:hint="eastAsia" w:ascii="宋体" w:hAnsi="宋体" w:eastAsia="宋体" w:cs="宋体"/>
                <w:color w:val="auto"/>
                <w:sz w:val="24"/>
                <w:highlight w:val="none"/>
              </w:rPr>
              <w:t>根据</w:t>
            </w:r>
            <w:r>
              <w:rPr>
                <w:rFonts w:hint="default" w:ascii="宋体" w:hAnsi="宋体" w:eastAsia="宋体" w:cs="宋体"/>
                <w:color w:val="auto"/>
                <w:sz w:val="24"/>
                <w:highlight w:val="none"/>
              </w:rPr>
              <w:t>工信部答复，律师事务所是根据《律师事务所管理办法》设立的非企业，不适用《中小企业化型标准规定》。</w:t>
            </w:r>
          </w:p>
        </w:tc>
      </w:tr>
      <w:tr w14:paraId="786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3" w:type="dxa"/>
            <w:vAlign w:val="center"/>
          </w:tcPr>
          <w:p w14:paraId="25FCC75A">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2FABF9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733" w:type="dxa"/>
            <w:vAlign w:val="center"/>
          </w:tcPr>
          <w:p w14:paraId="714159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响应文件自递交截至之日起，有效期为90日历天。</w:t>
            </w:r>
          </w:p>
        </w:tc>
      </w:tr>
      <w:tr w14:paraId="2DC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3" w:type="dxa"/>
            <w:vAlign w:val="center"/>
          </w:tcPr>
          <w:p w14:paraId="15E45BFE">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3E84BF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w:t>
            </w:r>
          </w:p>
        </w:tc>
        <w:tc>
          <w:tcPr>
            <w:tcW w:w="6733" w:type="dxa"/>
            <w:vAlign w:val="center"/>
          </w:tcPr>
          <w:p w14:paraId="62D803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与采购人签订合同。</w:t>
            </w:r>
          </w:p>
        </w:tc>
      </w:tr>
      <w:tr w14:paraId="430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dxa"/>
            <w:vAlign w:val="center"/>
          </w:tcPr>
          <w:p w14:paraId="3F21727C">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32DF81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质疑受理</w:t>
            </w:r>
          </w:p>
        </w:tc>
        <w:tc>
          <w:tcPr>
            <w:tcW w:w="6733" w:type="dxa"/>
            <w:vAlign w:val="center"/>
          </w:tcPr>
          <w:p w14:paraId="6D2E4EC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（1）质疑</w:t>
            </w:r>
          </w:p>
          <w:p w14:paraId="1D738FA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1、供应商认为采购文件、采购过程或中标/成交结果使自身的合法权益受到损害，可以在法定期限内，以书面形式向采购代理机构或采购人</w:t>
            </w:r>
            <w:r>
              <w:rPr>
                <w:rFonts w:hint="eastAsia" w:ascii="宋体" w:hAnsi="宋体" w:eastAsia="宋体" w:cs="宋体"/>
                <w:color w:val="auto"/>
                <w:sz w:val="24"/>
                <w:szCs w:val="22"/>
                <w:highlight w:val="none"/>
                <w:lang w:val="en-US" w:eastAsia="zh-CN"/>
              </w:rPr>
              <w:t>一次性</w:t>
            </w:r>
            <w:r>
              <w:rPr>
                <w:rFonts w:hint="eastAsia" w:ascii="宋体" w:hAnsi="宋体" w:eastAsia="宋体" w:cs="宋体"/>
                <w:color w:val="auto"/>
                <w:sz w:val="24"/>
                <w:szCs w:val="22"/>
                <w:highlight w:val="none"/>
              </w:rPr>
              <w:t>提出质疑。</w:t>
            </w:r>
          </w:p>
          <w:p w14:paraId="52B8F72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（1）提出质疑应当提交质疑函和必要的证明材料，质疑函应当包括以下主要内容：</w:t>
            </w:r>
          </w:p>
          <w:p w14:paraId="720DB58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①供应商的姓名或者名称、地址、邮编、联系人及联系电话；②质疑项目的名称、编号；③具体、明确的质疑事项和与质疑事项相关的请求；④事实依据；⑤必要的法律依据；⑥提出质疑的日期。 </w:t>
            </w:r>
          </w:p>
          <w:p w14:paraId="300AC86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（2）质疑函应当由法定代表人签字并加盖公章，公章不得以合同章或其他印章代替。</w:t>
            </w:r>
          </w:p>
          <w:p w14:paraId="4423103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（3）质疑人可以委托代理人办理质疑事项，代理人办理质疑事项时，除提交质疑函外，还应当提交法人授权委托书及代理人的有效身份证明，授权委托书应当载明委托代理的具体权限和事项。</w:t>
            </w:r>
          </w:p>
          <w:p w14:paraId="45C2A79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（4）有下列情形之一的，属于无效质疑：</w:t>
            </w:r>
          </w:p>
          <w:p w14:paraId="6DEE7AB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①质疑人不是参与本次政府采购项目的供应商或潜在供应商；</w:t>
            </w:r>
          </w:p>
          <w:p w14:paraId="4F36085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②质疑人与质疑事项不存在利害关系的；</w:t>
            </w:r>
          </w:p>
          <w:p w14:paraId="5000857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③未在法定期限内提出质疑的；</w:t>
            </w:r>
          </w:p>
          <w:p w14:paraId="23A5EEC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④质疑未以书面形式提出，或质疑函主要内容构成不完整的；</w:t>
            </w:r>
          </w:p>
          <w:p w14:paraId="6A93DC2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⑤质疑函没有合法有效的签字、盖章或授权的；</w:t>
            </w:r>
          </w:p>
          <w:p w14:paraId="340B5FD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⑥以非法手段取得证据、材料的；</w:t>
            </w:r>
          </w:p>
          <w:p w14:paraId="6807D1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⑦质疑答复后，同一质疑人就同一事项再次提出质疑的；</w:t>
            </w:r>
          </w:p>
          <w:p w14:paraId="29A4F4A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⑧不符合法律、法规、规章和政府采购监管机构规定的其他条件的。</w:t>
            </w:r>
          </w:p>
          <w:p w14:paraId="2978687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2、符合要求的质疑，采购代理机构将予以受理并答复，具体联系方式如下：</w:t>
            </w:r>
          </w:p>
          <w:p w14:paraId="699499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 系 人：</w:t>
            </w:r>
            <w:r>
              <w:rPr>
                <w:rFonts w:hint="eastAsia" w:ascii="宋体" w:hAnsi="宋体" w:cs="宋体"/>
                <w:color w:val="auto"/>
                <w:sz w:val="24"/>
                <w:szCs w:val="22"/>
                <w:highlight w:val="none"/>
                <w:lang w:val="en-US" w:eastAsia="zh-CN"/>
              </w:rPr>
              <w:t>王</w:t>
            </w:r>
            <w:r>
              <w:rPr>
                <w:rFonts w:hint="eastAsia" w:ascii="宋体" w:hAnsi="宋体" w:eastAsia="宋体" w:cs="宋体"/>
                <w:color w:val="auto"/>
                <w:sz w:val="24"/>
                <w:szCs w:val="22"/>
                <w:highlight w:val="none"/>
              </w:rPr>
              <w:t>工</w:t>
            </w:r>
          </w:p>
          <w:p w14:paraId="5431C5E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w:t>
            </w:r>
            <w:r>
              <w:rPr>
                <w:rFonts w:hint="eastAsia" w:ascii="宋体" w:hAnsi="宋体" w:cs="宋体"/>
                <w:color w:val="auto"/>
                <w:sz w:val="24"/>
                <w:szCs w:val="22"/>
                <w:highlight w:val="none"/>
                <w:lang w:eastAsia="zh-CN"/>
              </w:rPr>
              <w:t>029-82292656</w:t>
            </w:r>
            <w:r>
              <w:rPr>
                <w:rFonts w:hint="eastAsia" w:ascii="宋体" w:hAnsi="宋体" w:eastAsia="宋体" w:cs="宋体"/>
                <w:color w:val="auto"/>
                <w:sz w:val="24"/>
                <w:szCs w:val="22"/>
                <w:highlight w:val="none"/>
              </w:rPr>
              <w:t xml:space="preserve"> </w:t>
            </w:r>
          </w:p>
          <w:p w14:paraId="694DF8F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3、采购代理机构或采购人将在收到书面质疑后7个工作日内做出答复，并以书面形式通知质疑人和其他有关供应商。</w:t>
            </w:r>
          </w:p>
          <w:p w14:paraId="7E96C4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（2）投诉</w:t>
            </w:r>
          </w:p>
          <w:p w14:paraId="638E5E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1、质疑人对采购代理机构或采购人的答复不满意，以及采购代理机构或采购人未在规定时间内做出答复的，可以在答复期满后15个工作日内向政府采购监管机构提出投诉。</w:t>
            </w:r>
          </w:p>
          <w:p w14:paraId="08703A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2、投诉的事项不得超出已质疑事项的范围。</w:t>
            </w:r>
          </w:p>
        </w:tc>
      </w:tr>
      <w:tr w14:paraId="3187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dxa"/>
            <w:vAlign w:val="center"/>
          </w:tcPr>
          <w:p w14:paraId="4C88DE05">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40C0BBE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关于验收</w:t>
            </w:r>
          </w:p>
        </w:tc>
        <w:tc>
          <w:tcPr>
            <w:tcW w:w="6733" w:type="dxa"/>
            <w:vAlign w:val="center"/>
          </w:tcPr>
          <w:p w14:paraId="5AEE15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成交供应商</w:t>
            </w:r>
            <w:r>
              <w:rPr>
                <w:rFonts w:hint="eastAsia" w:ascii="宋体" w:hAnsi="宋体" w:eastAsia="宋体" w:cs="宋体"/>
                <w:color w:val="auto"/>
                <w:sz w:val="24"/>
                <w:szCs w:val="22"/>
                <w:highlight w:val="none"/>
              </w:rPr>
              <w:t>与采购人应严格按照财政部《关于进一步加强政府采购需求和履约验收管理的指导意见》（财库〔2016〕205号）的要求进行验收。</w:t>
            </w:r>
          </w:p>
          <w:p w14:paraId="6F7AEB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（一）服务期满后，采购人进行验收，确认服务标准和服务方式是否达到采购要求（必要时采购人可委托技术专家对项目进行验收）。验收合格后，填写政府采购项目验收单（一式伍份）作为对项目的最终认可。</w:t>
            </w:r>
          </w:p>
          <w:p w14:paraId="7921E0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（二）验收依据</w:t>
            </w:r>
          </w:p>
          <w:p w14:paraId="47EBF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eastAsia="zh-CN"/>
              </w:rPr>
              <w:t>磋商文件</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响应</w:t>
            </w:r>
            <w:r>
              <w:rPr>
                <w:rFonts w:hint="eastAsia" w:ascii="宋体" w:hAnsi="宋体" w:eastAsia="宋体" w:cs="宋体"/>
                <w:color w:val="auto"/>
                <w:sz w:val="24"/>
                <w:szCs w:val="22"/>
                <w:highlight w:val="none"/>
              </w:rPr>
              <w:t>文件、澄清表（函）；</w:t>
            </w:r>
          </w:p>
          <w:p w14:paraId="599C03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2、本合同及附件文本；</w:t>
            </w:r>
          </w:p>
          <w:p w14:paraId="706E2C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3、合同签订时国家及行业现行的标准和技术规范。</w:t>
            </w:r>
          </w:p>
          <w:p w14:paraId="703DB3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（三）</w:t>
            </w:r>
            <w:r>
              <w:rPr>
                <w:rFonts w:hint="eastAsia" w:ascii="宋体" w:hAnsi="宋体" w:eastAsia="宋体" w:cs="宋体"/>
                <w:color w:val="auto"/>
                <w:sz w:val="24"/>
                <w:szCs w:val="22"/>
                <w:highlight w:val="none"/>
                <w:lang w:eastAsia="zh-CN"/>
              </w:rPr>
              <w:t>成交供应商</w:t>
            </w:r>
            <w:r>
              <w:rPr>
                <w:rFonts w:hint="eastAsia" w:ascii="宋体" w:hAnsi="宋体" w:eastAsia="宋体" w:cs="宋体"/>
                <w:color w:val="auto"/>
                <w:sz w:val="24"/>
                <w:szCs w:val="22"/>
                <w:highlight w:val="none"/>
              </w:rPr>
              <w:t>应向采购人提交项目实施过程中的所有资料，以便采购人日后管理和维护。</w:t>
            </w:r>
          </w:p>
        </w:tc>
      </w:tr>
      <w:tr w14:paraId="74D9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dxa"/>
            <w:vAlign w:val="center"/>
          </w:tcPr>
          <w:p w14:paraId="082934E2">
            <w:pPr>
              <w:numPr>
                <w:ilvl w:val="0"/>
                <w:numId w:val="2"/>
              </w:numPr>
              <w:spacing w:line="360" w:lineRule="auto"/>
              <w:ind w:left="460" w:leftChars="0" w:firstLineChars="0"/>
              <w:jc w:val="center"/>
              <w:rPr>
                <w:rFonts w:hint="eastAsia" w:ascii="宋体" w:hAnsi="宋体" w:eastAsia="宋体" w:cs="宋体"/>
                <w:color w:val="000000" w:themeColor="text1"/>
                <w:sz w:val="24"/>
                <w:highlight w:val="none"/>
                <w14:textFill>
                  <w14:solidFill>
                    <w14:schemeClr w14:val="tx1"/>
                  </w14:solidFill>
                </w14:textFill>
              </w:rPr>
            </w:pPr>
          </w:p>
        </w:tc>
        <w:tc>
          <w:tcPr>
            <w:tcW w:w="1489" w:type="dxa"/>
            <w:vAlign w:val="center"/>
          </w:tcPr>
          <w:p w14:paraId="59714A5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招标代理服务费</w:t>
            </w:r>
          </w:p>
        </w:tc>
        <w:tc>
          <w:tcPr>
            <w:tcW w:w="6733" w:type="dxa"/>
            <w:vAlign w:val="center"/>
          </w:tcPr>
          <w:p w14:paraId="28272F55">
            <w:pPr>
              <w:keepNext w:val="0"/>
              <w:keepLines w:val="0"/>
              <w:pageBreakBefore w:val="0"/>
              <w:widowControl w:val="0"/>
              <w:numPr>
                <w:ilvl w:val="0"/>
                <w:numId w:val="3"/>
              </w:numPr>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应向招标代理机构交纳招标代理服务费。</w:t>
            </w:r>
          </w:p>
          <w:p w14:paraId="4CFAEC71">
            <w:pPr>
              <w:keepNext w:val="0"/>
              <w:keepLines w:val="0"/>
              <w:pageBreakBefore w:val="0"/>
              <w:widowControl w:val="0"/>
              <w:numPr>
                <w:ilvl w:val="0"/>
                <w:numId w:val="3"/>
              </w:numPr>
              <w:kinsoku/>
              <w:wordWrap/>
              <w:overflowPunct/>
              <w:topLinePunct w:val="0"/>
              <w:autoSpaceDE/>
              <w:autoSpaceDN/>
              <w:bidi w:val="0"/>
              <w:adjustRightInd w:val="0"/>
              <w:snapToGrid w:val="0"/>
              <w:spacing w:line="276" w:lineRule="auto"/>
              <w:ind w:left="0" w:leftChars="0" w:firstLine="0" w:firstLineChars="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招标代理服务费收取参照国家计委关于印发《招标代理服务收费管理暂行办法》的通知（计价格〔2002〕1980 号）和国家发展改革委关于进一步放开建设项目专业服务价格的通知（发改价格〔2015〕299 号）</w:t>
            </w:r>
            <w:r>
              <w:rPr>
                <w:rFonts w:hint="eastAsia" w:ascii="宋体" w:hAnsi="宋体" w:cs="宋体"/>
                <w:color w:val="000000" w:themeColor="text1"/>
                <w:sz w:val="24"/>
                <w:highlight w:val="none"/>
                <w14:textFill>
                  <w14:solidFill>
                    <w14:schemeClr w14:val="tx1"/>
                  </w14:solidFill>
                </w14:textFill>
              </w:rPr>
              <w:t>、《西安市财政局关于推进政府采购代理机构转型升级相关工作的通知》（市财函[2022]1299号）的相关要求按照</w:t>
            </w:r>
            <w:r>
              <w:rPr>
                <w:rFonts w:hint="eastAsia" w:ascii="宋体" w:hAnsi="宋体" w:cs="宋体"/>
                <w:color w:val="000000" w:themeColor="text1"/>
                <w:sz w:val="24"/>
                <w:highlight w:val="none"/>
                <w:lang w:val="en-US" w:eastAsia="zh-CN"/>
                <w14:textFill>
                  <w14:solidFill>
                    <w14:schemeClr w14:val="tx1"/>
                  </w14:solidFill>
                </w14:textFill>
              </w:rPr>
              <w:t>服务类进行收取。</w:t>
            </w:r>
          </w:p>
          <w:p w14:paraId="0F2F75DC">
            <w:pPr>
              <w:keepNext w:val="0"/>
              <w:keepLines w:val="0"/>
              <w:pageBreakBefore w:val="0"/>
              <w:widowControl w:val="0"/>
              <w:numPr>
                <w:ilvl w:val="0"/>
                <w:numId w:val="3"/>
              </w:numPr>
              <w:kinsoku/>
              <w:wordWrap/>
              <w:overflowPunct/>
              <w:topLinePunct w:val="0"/>
              <w:autoSpaceDE/>
              <w:autoSpaceDN/>
              <w:bidi w:val="0"/>
              <w:adjustRightInd w:val="0"/>
              <w:snapToGrid w:val="0"/>
              <w:spacing w:line="276" w:lineRule="auto"/>
              <w:ind w:left="0" w:leftChars="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缴纳方式：采用现金或转账方式缴纳（账号信息如下）。</w:t>
            </w:r>
          </w:p>
          <w:p w14:paraId="55F5A147">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4</w:t>
            </w:r>
            <w:r>
              <w:rPr>
                <w:rFonts w:hint="eastAsia" w:ascii="宋体" w:hAnsi="宋体" w:eastAsia="宋体" w:cs="宋体"/>
                <w:color w:val="000000" w:themeColor="text1"/>
                <w:sz w:val="24"/>
                <w:szCs w:val="22"/>
                <w:highlight w:val="none"/>
                <w:lang w:val="en-US" w:eastAsia="zh-CN"/>
                <w14:textFill>
                  <w14:solidFill>
                    <w14:schemeClr w14:val="tx1"/>
                  </w14:solidFill>
                </w14:textFill>
              </w:rPr>
              <w:t>、账户信息如下：</w:t>
            </w:r>
          </w:p>
          <w:p w14:paraId="4CD3561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账户名称: 陕西钜信达工程项目管理有限公司西安第一分公司</w:t>
            </w:r>
          </w:p>
          <w:p w14:paraId="4B0A5A7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账号：129918351510001</w:t>
            </w:r>
          </w:p>
          <w:p w14:paraId="0AABE6D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开户行：招商银行股份有限公司西安西影路支行</w:t>
            </w:r>
          </w:p>
          <w:p w14:paraId="556ECEB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转账事由：</w:t>
            </w:r>
            <w:r>
              <w:rPr>
                <w:rFonts w:hint="eastAsia" w:ascii="宋体" w:hAnsi="宋体" w:eastAsia="宋体" w:cs="宋体"/>
                <w:color w:val="000000" w:themeColor="text1"/>
                <w:sz w:val="24"/>
                <w:szCs w:val="22"/>
                <w:highlight w:val="none"/>
                <w:u w:val="single"/>
                <w14:textFill>
                  <w14:solidFill>
                    <w14:schemeClr w14:val="tx1"/>
                  </w14:solidFill>
                </w14:textFill>
              </w:rPr>
              <w:t xml:space="preserve"> （项目简称或项目编号） </w:t>
            </w:r>
            <w:r>
              <w:rPr>
                <w:rFonts w:hint="eastAsia" w:ascii="宋体" w:hAnsi="宋体" w:eastAsia="宋体" w:cs="宋体"/>
                <w:color w:val="000000" w:themeColor="text1"/>
                <w:sz w:val="24"/>
                <w:szCs w:val="22"/>
                <w:highlight w:val="none"/>
                <w14:textFill>
                  <w14:solidFill>
                    <w14:schemeClr w14:val="tx1"/>
                  </w14:solidFill>
                </w14:textFill>
              </w:rPr>
              <w:t>项目服务费</w:t>
            </w:r>
          </w:p>
        </w:tc>
      </w:tr>
      <w:tr w14:paraId="5282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dxa"/>
            <w:vAlign w:val="center"/>
          </w:tcPr>
          <w:p w14:paraId="3128C0B1">
            <w:pPr>
              <w:numPr>
                <w:ilvl w:val="0"/>
                <w:numId w:val="2"/>
              </w:numPr>
              <w:spacing w:line="360" w:lineRule="auto"/>
              <w:ind w:left="460" w:leftChars="0" w:firstLineChars="0"/>
              <w:jc w:val="center"/>
              <w:rPr>
                <w:rFonts w:hint="eastAsia" w:ascii="宋体" w:hAnsi="宋体" w:eastAsia="宋体" w:cs="宋体"/>
                <w:color w:val="auto"/>
                <w:sz w:val="24"/>
                <w:highlight w:val="none"/>
              </w:rPr>
            </w:pPr>
          </w:p>
        </w:tc>
        <w:tc>
          <w:tcPr>
            <w:tcW w:w="1489" w:type="dxa"/>
            <w:vAlign w:val="center"/>
          </w:tcPr>
          <w:p w14:paraId="6202F9A4">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特别提醒</w:t>
            </w:r>
          </w:p>
        </w:tc>
        <w:tc>
          <w:tcPr>
            <w:tcW w:w="6733" w:type="dxa"/>
            <w:vAlign w:val="center"/>
          </w:tcPr>
          <w:p w14:paraId="478C6534">
            <w:pPr>
              <w:numPr>
                <w:ilvl w:val="0"/>
                <w:numId w:val="4"/>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开标当日，供应商不必抵达开标现场，可通过西咸新区公共资源交易不见面开标系统参加开标会议。</w:t>
            </w:r>
          </w:p>
          <w:p w14:paraId="3B10D736">
            <w:pPr>
              <w:numPr>
                <w:ilvl w:val="0"/>
                <w:numId w:val="4"/>
              </w:numPr>
              <w:spacing w:line="360" w:lineRule="auto"/>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西咸新区公共资源交易中心《关于在西咸新区公共资源交易活动中推广使用“不见面开标系统”有关事项的通知》（陕西咸交易办发〔2020〕3号），本项目将启用“不见面开标系统”。请供应商仔细阅读“通知”并下载相关操作手册。（网址：</w:t>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"http://xxxq.sxggzyjy.cn/xwzx/002002/20200323/6d6626a9-2172-433e-a1d6-af9c0742e3e0.html）" </w:instrText>
            </w:r>
            <w:r>
              <w:rPr>
                <w:rFonts w:hint="eastAsia" w:ascii="宋体" w:hAnsi="宋体" w:eastAsia="宋体" w:cs="宋体"/>
                <w:color w:val="auto"/>
                <w:sz w:val="24"/>
                <w:szCs w:val="22"/>
                <w:highlight w:val="none"/>
              </w:rPr>
              <w:fldChar w:fldCharType="separate"/>
            </w:r>
            <w:r>
              <w:rPr>
                <w:rStyle w:val="26"/>
                <w:rFonts w:hint="eastAsia" w:ascii="宋体" w:hAnsi="宋体" w:eastAsia="宋体" w:cs="宋体"/>
                <w:color w:val="auto"/>
                <w:sz w:val="24"/>
                <w:szCs w:val="22"/>
                <w:highlight w:val="none"/>
              </w:rPr>
              <w:t>http://xxxq.sxggzyjy.cn/xwzx/002002/20200323/6d6626a9-2172-433e-a1d6-af9c0742e3e0.html）</w:t>
            </w:r>
            <w:r>
              <w:rPr>
                <w:rFonts w:hint="eastAsia" w:ascii="宋体" w:hAnsi="宋体" w:eastAsia="宋体" w:cs="宋体"/>
                <w:color w:val="auto"/>
                <w:sz w:val="24"/>
                <w:szCs w:val="22"/>
                <w:highlight w:val="none"/>
              </w:rPr>
              <w:fldChar w:fldCharType="end"/>
            </w:r>
          </w:p>
          <w:p w14:paraId="0FF5AA76">
            <w:pPr>
              <w:numPr>
                <w:ilvl w:val="0"/>
                <w:numId w:val="4"/>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采用电子化投标的方式。供应商须使用数字认证证书对电子化投标文件进行签章、加密、递交及开标时解密等相关招投标事宜。如因供应商自身原因造成未能解密、解密失败或解密超时，按无效投标对待。（注：供应商应在开标前1个小时内进行电子签到，否则无法参与不见面开标工作。具体操作详见操作手册）</w:t>
            </w:r>
          </w:p>
          <w:p w14:paraId="56BDF5EB">
            <w:pPr>
              <w:numPr>
                <w:ilvl w:val="0"/>
                <w:numId w:val="4"/>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制作电子投标文件。供应商须在“全国公共资源交易中心平台（陕西省</w:t>
            </w:r>
            <w:r>
              <w:rPr>
                <w:rFonts w:hint="eastAsia" w:ascii="宋体" w:hAnsi="宋体" w:cs="宋体"/>
                <w:color w:val="auto"/>
                <w:sz w:val="24"/>
                <w:szCs w:val="22"/>
                <w:highlight w:val="none"/>
                <w:lang w:val="en-US" w:eastAsia="zh-CN"/>
              </w:rPr>
              <w:t>·西咸新区</w:t>
            </w:r>
            <w:r>
              <w:rPr>
                <w:rFonts w:hint="eastAsia" w:ascii="宋体" w:hAnsi="宋体" w:eastAsia="宋体" w:cs="宋体"/>
                <w:color w:val="auto"/>
                <w:sz w:val="24"/>
                <w:szCs w:val="22"/>
                <w:highlight w:val="none"/>
              </w:rPr>
              <w:t>）（</w:t>
            </w:r>
            <w:r>
              <w:rPr>
                <w:rFonts w:hint="eastAsia" w:ascii="宋体" w:hAnsi="宋体" w:cs="宋体"/>
                <w:color w:val="auto"/>
                <w:sz w:val="24"/>
                <w:szCs w:val="22"/>
                <w:highlight w:val="none"/>
                <w:lang w:eastAsia="zh-CN"/>
              </w:rPr>
              <w:t>http:/ggzyjy.xixianxinqu.gov.cn/</w:t>
            </w:r>
            <w:r>
              <w:rPr>
                <w:rFonts w:hint="eastAsia" w:ascii="宋体" w:hAnsi="宋体" w:eastAsia="宋体" w:cs="宋体"/>
                <w:color w:val="auto"/>
                <w:sz w:val="24"/>
                <w:szCs w:val="22"/>
                <w:highlight w:val="none"/>
              </w:rPr>
              <w:t>）”的“服务指南”栏目“下载专区”中，免费下载“陕西省公共资源交易平台政府采购电子标书制作工具”，并使用该客户端制作电子投标文件，制作扩展名为“.SXSTF”的电子投标文件。</w:t>
            </w:r>
          </w:p>
          <w:p w14:paraId="52DC27ED">
            <w:pPr>
              <w:numPr>
                <w:ilvl w:val="0"/>
                <w:numId w:val="4"/>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递交电子投标文件。登录</w:t>
            </w:r>
            <w:r>
              <w:rPr>
                <w:rFonts w:hint="eastAsia" w:ascii="宋体" w:hAnsi="宋体" w:cs="宋体"/>
                <w:color w:val="auto"/>
                <w:sz w:val="24"/>
                <w:szCs w:val="22"/>
                <w:highlight w:val="none"/>
                <w:lang w:eastAsia="zh-CN"/>
              </w:rPr>
              <w:t>全国公共资源交易中心平台（陕西省·西咸新区)</w:t>
            </w:r>
            <w:r>
              <w:rPr>
                <w:rFonts w:hint="eastAsia" w:ascii="宋体" w:hAnsi="宋体" w:eastAsia="宋体" w:cs="宋体"/>
                <w:color w:val="auto"/>
                <w:sz w:val="24"/>
                <w:szCs w:val="22"/>
                <w:highlight w:val="none"/>
              </w:rPr>
              <w:t>（http://xxxq.sxggzyjy.cn/），选择“电子交易平台-陕西政府采购交易系统-陕西省西咸新区公共资源交易平台-供应商”进行登录，登录后选择“交易乙方”身份进入，选择“上传投标文件”菜单页面，上传加密的电子化投标文件。上传成功后，电子化平台将予以记录。</w:t>
            </w:r>
          </w:p>
          <w:p w14:paraId="68A4C691">
            <w:pPr>
              <w:numPr>
                <w:ilvl w:val="0"/>
                <w:numId w:val="4"/>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应于开标前检查网络环境、安装插件以及浏览器，提前阅读西咸新区公共资源交易不见面开标大厅操作手册，务必在开标前一小时内完成在线签到工作，否则将视同为放弃投标。如有供应商因不熟悉系统操作流程无法签到，应及时联系新区公共资源交易中心技术人员指导完成相应操作。（技术人员及联系方式：</w:t>
            </w:r>
            <w:r>
              <w:rPr>
                <w:rFonts w:hint="eastAsia" w:ascii="宋体" w:hAnsi="宋体" w:eastAsia="宋体" w:cs="宋体"/>
                <w:color w:val="auto"/>
                <w:sz w:val="24"/>
                <w:szCs w:val="22"/>
                <w:highlight w:val="none"/>
                <w:lang w:val="en-US" w:eastAsia="zh-CN"/>
              </w:rPr>
              <w:t>新点技术支持电话</w:t>
            </w:r>
            <w:r>
              <w:rPr>
                <w:rFonts w:hint="eastAsia" w:ascii="宋体" w:hAnsi="宋体" w:eastAsia="宋体" w:cs="宋体"/>
                <w:color w:val="auto"/>
                <w:sz w:val="24"/>
                <w:szCs w:val="24"/>
                <w:highlight w:val="none"/>
              </w:rPr>
              <w:t>4009980000</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交易中心</w:t>
            </w:r>
            <w:r>
              <w:rPr>
                <w:rFonts w:hint="eastAsia" w:ascii="宋体" w:hAnsi="宋体" w:eastAsia="宋体" w:cs="宋体"/>
                <w:color w:val="auto"/>
                <w:sz w:val="24"/>
                <w:szCs w:val="22"/>
                <w:highlight w:val="none"/>
              </w:rPr>
              <w:t>康工    029-33585729）</w:t>
            </w:r>
          </w:p>
          <w:p w14:paraId="6870DF21">
            <w:pPr>
              <w:numPr>
                <w:ilvl w:val="0"/>
                <w:numId w:val="4"/>
              </w:numPr>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二次报价。</w:t>
            </w:r>
          </w:p>
          <w:p w14:paraId="217937FA">
            <w:pPr>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val="en-US" w:eastAsia="zh-CN"/>
              </w:rPr>
              <w:t>7</w:t>
            </w:r>
            <w:r>
              <w:rPr>
                <w:rFonts w:hint="eastAsia" w:ascii="宋体" w:hAnsi="宋体" w:eastAsia="宋体" w:cs="宋体"/>
                <w:b/>
                <w:bCs/>
                <w:color w:val="auto"/>
                <w:sz w:val="24"/>
                <w:szCs w:val="22"/>
                <w:highlight w:val="none"/>
              </w:rPr>
              <w:t>.1供应商须在“全国公共资源交易中心平台（陕西省</w:t>
            </w:r>
            <w:r>
              <w:rPr>
                <w:rFonts w:hint="eastAsia" w:ascii="宋体" w:hAnsi="宋体" w:cs="宋体"/>
                <w:b/>
                <w:bCs/>
                <w:color w:val="auto"/>
                <w:sz w:val="24"/>
                <w:szCs w:val="22"/>
                <w:highlight w:val="none"/>
                <w:lang w:val="en-US" w:eastAsia="zh-CN"/>
              </w:rPr>
              <w:t>·西咸新区</w:t>
            </w:r>
            <w:r>
              <w:rPr>
                <w:rFonts w:hint="eastAsia" w:ascii="宋体" w:hAnsi="宋体" w:eastAsia="宋体" w:cs="宋体"/>
                <w:b/>
                <w:bCs/>
                <w:color w:val="auto"/>
                <w:sz w:val="24"/>
                <w:szCs w:val="22"/>
                <w:highlight w:val="none"/>
              </w:rPr>
              <w:t>）（</w:t>
            </w:r>
            <w:r>
              <w:rPr>
                <w:rFonts w:hint="eastAsia" w:ascii="宋体" w:hAnsi="宋体" w:cs="宋体"/>
                <w:b/>
                <w:bCs/>
                <w:color w:val="auto"/>
                <w:sz w:val="24"/>
                <w:szCs w:val="22"/>
                <w:highlight w:val="none"/>
                <w:lang w:eastAsia="zh-CN"/>
              </w:rPr>
              <w:t>http:/ggzyjy.xixianxinqu.gov.cn/</w:t>
            </w:r>
            <w:r>
              <w:rPr>
                <w:rFonts w:hint="eastAsia" w:ascii="宋体" w:hAnsi="宋体" w:eastAsia="宋体" w:cs="宋体"/>
                <w:b/>
                <w:bCs/>
                <w:color w:val="auto"/>
                <w:sz w:val="24"/>
                <w:szCs w:val="22"/>
                <w:highlight w:val="none"/>
              </w:rPr>
              <w:t>）”的“服务指南”栏目“下载专区”中，免费下载“政府采购投标单位二次报价操作手册”并按照操作手册在开标当日进行网上二次报价。</w:t>
            </w:r>
          </w:p>
          <w:p w14:paraId="52319B24">
            <w:pPr>
              <w:numPr>
                <w:ilvl w:val="0"/>
                <w:numId w:val="4"/>
              </w:numPr>
              <w:spacing w:line="360" w:lineRule="auto"/>
              <w:ind w:firstLine="482"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b/>
                <w:bCs/>
                <w:color w:val="auto"/>
                <w:sz w:val="24"/>
                <w:szCs w:val="22"/>
                <w:highlight w:val="none"/>
              </w:rPr>
              <w:t>发布</w:t>
            </w:r>
            <w:r>
              <w:rPr>
                <w:rFonts w:hint="eastAsia" w:ascii="宋体" w:hAnsi="宋体" w:eastAsia="宋体" w:cs="宋体"/>
                <w:b/>
                <w:bCs/>
                <w:color w:val="auto"/>
                <w:sz w:val="24"/>
                <w:szCs w:val="22"/>
                <w:highlight w:val="none"/>
                <w:lang w:val="en-US" w:eastAsia="zh-CN"/>
              </w:rPr>
              <w:t>成交</w:t>
            </w:r>
            <w:r>
              <w:rPr>
                <w:rFonts w:hint="eastAsia" w:ascii="宋体" w:hAnsi="宋体" w:eastAsia="宋体" w:cs="宋体"/>
                <w:b/>
                <w:bCs/>
                <w:color w:val="auto"/>
                <w:sz w:val="24"/>
                <w:szCs w:val="22"/>
                <w:highlight w:val="none"/>
              </w:rPr>
              <w:t>结果公告后，</w:t>
            </w:r>
            <w:r>
              <w:rPr>
                <w:rFonts w:hint="eastAsia" w:ascii="宋体" w:hAnsi="宋体" w:eastAsia="宋体" w:cs="宋体"/>
                <w:b/>
                <w:bCs/>
                <w:color w:val="auto"/>
                <w:sz w:val="24"/>
                <w:szCs w:val="22"/>
                <w:highlight w:val="none"/>
                <w:lang w:eastAsia="zh-CN"/>
              </w:rPr>
              <w:t>成交供应商</w:t>
            </w:r>
            <w:r>
              <w:rPr>
                <w:rFonts w:hint="eastAsia" w:ascii="宋体" w:hAnsi="宋体" w:eastAsia="宋体" w:cs="宋体"/>
                <w:b/>
                <w:bCs/>
                <w:color w:val="auto"/>
                <w:sz w:val="24"/>
                <w:szCs w:val="22"/>
                <w:highlight w:val="none"/>
              </w:rPr>
              <w:t>应</w:t>
            </w:r>
            <w:r>
              <w:rPr>
                <w:rFonts w:hint="eastAsia" w:ascii="宋体" w:hAnsi="宋体" w:eastAsia="宋体" w:cs="宋体"/>
                <w:b/>
                <w:bCs/>
                <w:color w:val="auto"/>
                <w:sz w:val="24"/>
                <w:szCs w:val="22"/>
                <w:highlight w:val="none"/>
                <w:lang w:val="en-US" w:eastAsia="zh-CN"/>
              </w:rPr>
              <w:t>及时</w:t>
            </w:r>
            <w:r>
              <w:rPr>
                <w:rFonts w:hint="eastAsia" w:ascii="宋体" w:hAnsi="宋体" w:eastAsia="宋体" w:cs="宋体"/>
                <w:b/>
                <w:bCs/>
                <w:color w:val="auto"/>
                <w:sz w:val="24"/>
                <w:szCs w:val="22"/>
                <w:highlight w:val="none"/>
              </w:rPr>
              <w:t>向采购</w:t>
            </w:r>
            <w:r>
              <w:rPr>
                <w:rFonts w:hint="eastAsia" w:ascii="宋体" w:hAnsi="宋体" w:eastAsia="宋体" w:cs="宋体"/>
                <w:b/>
                <w:bCs/>
                <w:color w:val="auto"/>
                <w:sz w:val="24"/>
                <w:szCs w:val="22"/>
                <w:highlight w:val="none"/>
                <w:lang w:val="en-US" w:eastAsia="zh-CN"/>
              </w:rPr>
              <w:t>代理机构</w:t>
            </w:r>
            <w:r>
              <w:rPr>
                <w:rFonts w:hint="eastAsia" w:ascii="宋体" w:hAnsi="宋体" w:eastAsia="宋体" w:cs="宋体"/>
                <w:b/>
                <w:bCs/>
                <w:color w:val="auto"/>
                <w:sz w:val="24"/>
                <w:szCs w:val="22"/>
                <w:highlight w:val="none"/>
              </w:rPr>
              <w:t>提交一正一副，书籍（胶装）方式装订的盖章的纸质文件</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1套电子响应文件（以U盘形式提供，版本为Word、PDF和拓展名为.SXSTF的电子响应文件）。</w:t>
            </w:r>
          </w:p>
        </w:tc>
      </w:tr>
      <w:tr w14:paraId="149A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dxa"/>
            <w:vAlign w:val="center"/>
          </w:tcPr>
          <w:p w14:paraId="15FA44B1">
            <w:pPr>
              <w:numPr>
                <w:ilvl w:val="0"/>
                <w:numId w:val="2"/>
              </w:numPr>
              <w:spacing w:line="360" w:lineRule="auto"/>
              <w:ind w:left="460" w:leftChars="0" w:hanging="250" w:firstLineChars="0"/>
              <w:jc w:val="center"/>
              <w:rPr>
                <w:rFonts w:hint="eastAsia" w:ascii="宋体" w:hAnsi="宋体" w:eastAsia="宋体" w:cs="宋体"/>
                <w:color w:val="auto"/>
                <w:sz w:val="24"/>
                <w:highlight w:val="none"/>
              </w:rPr>
            </w:pPr>
          </w:p>
        </w:tc>
        <w:tc>
          <w:tcPr>
            <w:tcW w:w="1489" w:type="dxa"/>
            <w:vAlign w:val="center"/>
          </w:tcPr>
          <w:p w14:paraId="35C11D21">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特别说明</w:t>
            </w:r>
          </w:p>
        </w:tc>
        <w:tc>
          <w:tcPr>
            <w:tcW w:w="6733" w:type="dxa"/>
            <w:vAlign w:val="center"/>
          </w:tcPr>
          <w:p w14:paraId="62518422">
            <w:pPr>
              <w:spacing w:line="360" w:lineRule="auto"/>
              <w:rPr>
                <w:rStyle w:val="24"/>
                <w:rFonts w:hint="default" w:ascii="宋体" w:hAnsi="宋体" w:eastAsia="宋体" w:cs="宋体"/>
                <w:b/>
                <w:bCs/>
                <w:i w:val="0"/>
                <w:iCs w:val="0"/>
                <w:caps w:val="0"/>
                <w:color w:val="auto"/>
                <w:spacing w:val="0"/>
                <w:sz w:val="24"/>
                <w:szCs w:val="24"/>
                <w:highlight w:val="none"/>
                <w:shd w:val="clear" w:color="auto" w:fill="FFFFFF"/>
                <w:lang w:val="en-US" w:eastAsia="zh-CN"/>
              </w:rPr>
            </w:pPr>
            <w:r>
              <w:rPr>
                <w:rStyle w:val="24"/>
                <w:rFonts w:hint="eastAsia" w:ascii="宋体" w:hAnsi="宋体" w:eastAsia="宋体" w:cs="宋体"/>
                <w:b/>
                <w:bCs/>
                <w:i w:val="0"/>
                <w:iCs w:val="0"/>
                <w:caps w:val="0"/>
                <w:color w:val="auto"/>
                <w:spacing w:val="0"/>
                <w:sz w:val="24"/>
                <w:szCs w:val="24"/>
                <w:highlight w:val="none"/>
                <w:shd w:val="clear" w:color="auto" w:fill="FFFFFF"/>
                <w:lang w:val="en-US" w:eastAsia="zh-CN"/>
              </w:rPr>
              <w:t>1、本次采购合同签订将与</w:t>
            </w:r>
            <w:r>
              <w:rPr>
                <w:rStyle w:val="24"/>
                <w:rFonts w:hint="eastAsia" w:ascii="宋体" w:hAnsi="宋体" w:eastAsia="宋体" w:cs="宋体"/>
                <w:b/>
                <w:bCs/>
                <w:i w:val="0"/>
                <w:iCs w:val="0"/>
                <w:caps w:val="0"/>
                <w:color w:val="auto"/>
                <w:spacing w:val="0"/>
                <w:sz w:val="24"/>
                <w:szCs w:val="24"/>
                <w:highlight w:val="none"/>
                <w:shd w:val="clear" w:color="auto" w:fill="FFFFFF"/>
              </w:rPr>
              <w:t>陕西省西咸新区开发建设管理委员会</w:t>
            </w:r>
            <w:r>
              <w:rPr>
                <w:rStyle w:val="24"/>
                <w:rFonts w:hint="eastAsia" w:ascii="宋体" w:hAnsi="宋体" w:eastAsia="宋体" w:cs="宋体"/>
                <w:b/>
                <w:bCs/>
                <w:i w:val="0"/>
                <w:iCs w:val="0"/>
                <w:caps w:val="0"/>
                <w:color w:val="auto"/>
                <w:spacing w:val="0"/>
                <w:sz w:val="24"/>
                <w:szCs w:val="24"/>
                <w:highlight w:val="none"/>
                <w:shd w:val="clear" w:color="auto" w:fill="FFFFFF"/>
                <w:lang w:val="en-US" w:eastAsia="zh-CN"/>
              </w:rPr>
              <w:t>签订。</w:t>
            </w:r>
          </w:p>
          <w:p w14:paraId="6C321B33">
            <w:pPr>
              <w:spacing w:line="360" w:lineRule="auto"/>
              <w:rPr>
                <w:rFonts w:hint="eastAsia" w:ascii="宋体" w:hAnsi="宋体" w:eastAsia="宋体" w:cs="宋体"/>
                <w:color w:val="auto"/>
                <w:sz w:val="24"/>
                <w:szCs w:val="22"/>
                <w:highlight w:val="none"/>
              </w:rPr>
            </w:pPr>
            <w:r>
              <w:rPr>
                <w:rStyle w:val="24"/>
                <w:rFonts w:hint="eastAsia" w:ascii="宋体" w:hAnsi="宋体" w:cs="宋体"/>
                <w:b/>
                <w:bCs/>
                <w:i w:val="0"/>
                <w:iCs w:val="0"/>
                <w:caps w:val="0"/>
                <w:color w:val="auto"/>
                <w:spacing w:val="0"/>
                <w:sz w:val="24"/>
                <w:szCs w:val="24"/>
                <w:highlight w:val="none"/>
                <w:shd w:val="clear" w:color="auto" w:fill="FFFFFF"/>
                <w:lang w:val="en-US" w:eastAsia="zh-CN"/>
              </w:rPr>
              <w:t>2、</w:t>
            </w:r>
            <w:r>
              <w:rPr>
                <w:rStyle w:val="24"/>
                <w:rFonts w:hint="eastAsia" w:ascii="宋体" w:hAnsi="宋体" w:eastAsia="宋体" w:cs="宋体"/>
                <w:b/>
                <w:bCs/>
                <w:i w:val="0"/>
                <w:iCs w:val="0"/>
                <w:caps w:val="0"/>
                <w:color w:val="auto"/>
                <w:spacing w:val="0"/>
                <w:sz w:val="24"/>
                <w:szCs w:val="24"/>
                <w:highlight w:val="none"/>
                <w:shd w:val="clear" w:color="auto" w:fill="FFFFFF"/>
              </w:rPr>
              <w:t>根据《西咸新区财政局关于促进政府采购公平竞争优化营商环境的通知》（陕西咸财函〔2021〕359号），供应商登记免费领取采购文件的，如不参与项目投标，应在递交响应文件截止时间前一日以书面形式告知采购代理机构。否则采购代理机构可以向财政部门反映情况并提供相应的佐证。供应商一年内累计出现三次该情形，将被监管部门记录为失信行为</w:t>
            </w:r>
            <w:r>
              <w:rPr>
                <w:rStyle w:val="24"/>
                <w:rFonts w:hint="eastAsia" w:ascii="宋体" w:hAnsi="宋体" w:eastAsia="宋体" w:cs="宋体"/>
                <w:b/>
                <w:bCs/>
                <w:i w:val="0"/>
                <w:iCs w:val="0"/>
                <w:caps w:val="0"/>
                <w:color w:val="auto"/>
                <w:spacing w:val="0"/>
                <w:sz w:val="24"/>
                <w:szCs w:val="24"/>
                <w:highlight w:val="none"/>
                <w:shd w:val="clear" w:color="auto" w:fill="FFFFFF"/>
                <w:lang w:eastAsia="zh-CN"/>
              </w:rPr>
              <w:t>。</w:t>
            </w:r>
          </w:p>
        </w:tc>
      </w:tr>
    </w:tbl>
    <w:p w14:paraId="407ECBA1">
      <w:pPr>
        <w:pStyle w:val="19"/>
        <w:spacing w:line="360" w:lineRule="auto"/>
        <w:ind w:firstLine="0"/>
        <w:rPr>
          <w:rFonts w:hint="eastAsia" w:ascii="宋体" w:hAnsi="宋体" w:eastAsia="宋体" w:cs="宋体"/>
          <w:color w:val="auto"/>
          <w:sz w:val="24"/>
          <w:highlight w:val="none"/>
        </w:rPr>
      </w:pPr>
    </w:p>
    <w:p w14:paraId="024EF2F6">
      <w:pPr>
        <w:rPr>
          <w:rFonts w:hint="eastAsia" w:ascii="宋体" w:hAnsi="宋体" w:eastAsia="宋体" w:cs="宋体"/>
          <w:color w:val="auto"/>
          <w:sz w:val="36"/>
          <w:highlight w:val="none"/>
        </w:rPr>
      </w:pPr>
      <w:bookmarkStart w:id="10" w:name="_Hlt497548036"/>
      <w:bookmarkEnd w:id="10"/>
      <w:bookmarkStart w:id="11" w:name="_Toc423508219"/>
      <w:bookmarkStart w:id="12" w:name="_Toc492955459"/>
      <w:bookmarkStart w:id="13" w:name="_Toc497551820"/>
      <w:bookmarkStart w:id="14" w:name="_Toc497711585"/>
      <w:bookmarkStart w:id="15" w:name="_Toc93800308"/>
      <w:bookmarkStart w:id="16" w:name="_Toc497712133"/>
      <w:bookmarkStart w:id="17" w:name="_Toc246928930"/>
      <w:bookmarkStart w:id="18" w:name="_Toc497546918"/>
      <w:r>
        <w:rPr>
          <w:rFonts w:hint="eastAsia" w:ascii="宋体" w:hAnsi="宋体" w:eastAsia="宋体" w:cs="宋体"/>
          <w:color w:val="auto"/>
          <w:sz w:val="36"/>
          <w:highlight w:val="none"/>
        </w:rPr>
        <w:br w:type="page"/>
      </w:r>
    </w:p>
    <w:p w14:paraId="638DEEE7">
      <w:pPr>
        <w:pStyle w:val="4"/>
        <w:spacing w:line="360" w:lineRule="auto"/>
        <w:jc w:val="center"/>
        <w:rPr>
          <w:rFonts w:hint="eastAsia" w:ascii="宋体" w:hAnsi="宋体" w:eastAsia="宋体" w:cs="宋体"/>
          <w:color w:val="auto"/>
          <w:sz w:val="36"/>
          <w:highlight w:val="none"/>
        </w:rPr>
      </w:pPr>
      <w:bookmarkStart w:id="19" w:name="_Toc12803"/>
      <w:bookmarkStart w:id="20" w:name="_Toc20254"/>
      <w:bookmarkStart w:id="21" w:name="_Toc15204"/>
      <w:r>
        <w:rPr>
          <w:rFonts w:hint="eastAsia" w:ascii="宋体" w:hAnsi="宋体" w:eastAsia="宋体" w:cs="宋体"/>
          <w:color w:val="auto"/>
          <w:sz w:val="36"/>
          <w:highlight w:val="none"/>
        </w:rPr>
        <w:t>第三部分  磋商须知</w:t>
      </w:r>
      <w:bookmarkEnd w:id="11"/>
      <w:bookmarkEnd w:id="19"/>
      <w:bookmarkEnd w:id="20"/>
      <w:bookmarkEnd w:id="21"/>
    </w:p>
    <w:p w14:paraId="1BEC3363">
      <w:pPr>
        <w:pStyle w:val="5"/>
        <w:spacing w:line="360" w:lineRule="auto"/>
        <w:jc w:val="center"/>
        <w:rPr>
          <w:rFonts w:hint="eastAsia" w:ascii="宋体" w:hAnsi="宋体" w:eastAsia="宋体" w:cs="宋体"/>
          <w:b w:val="0"/>
          <w:color w:val="auto"/>
          <w:sz w:val="36"/>
          <w:highlight w:val="none"/>
        </w:rPr>
      </w:pPr>
      <w:bookmarkStart w:id="22" w:name="_Toc423508220"/>
      <w:bookmarkStart w:id="23" w:name="_Toc651"/>
      <w:bookmarkStart w:id="24" w:name="_Toc246928895"/>
      <w:r>
        <w:rPr>
          <w:rFonts w:hint="eastAsia" w:ascii="宋体" w:hAnsi="宋体" w:eastAsia="宋体" w:cs="宋体"/>
          <w:b w:val="0"/>
          <w:color w:val="auto"/>
          <w:sz w:val="36"/>
          <w:highlight w:val="none"/>
        </w:rPr>
        <w:t>A 总则</w:t>
      </w:r>
      <w:bookmarkEnd w:id="22"/>
      <w:bookmarkEnd w:id="23"/>
      <w:bookmarkEnd w:id="24"/>
    </w:p>
    <w:p w14:paraId="33A8C84B">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25" w:name="_Toc246928896"/>
      <w:bookmarkStart w:id="26" w:name="_Toc14373"/>
      <w:bookmarkStart w:id="27" w:name="_Toc423508221"/>
      <w:r>
        <w:rPr>
          <w:rFonts w:hint="eastAsia" w:ascii="宋体" w:hAnsi="宋体" w:eastAsia="宋体" w:cs="宋体"/>
          <w:color w:val="auto"/>
          <w:sz w:val="24"/>
          <w:szCs w:val="24"/>
          <w:highlight w:val="none"/>
        </w:rPr>
        <w:t>1. 适用范围</w:t>
      </w:r>
      <w:bookmarkEnd w:id="25"/>
      <w:bookmarkEnd w:id="26"/>
      <w:bookmarkEnd w:id="27"/>
    </w:p>
    <w:p w14:paraId="74164F31">
      <w:pPr>
        <w:overflowPunct w:val="0"/>
        <w:adjustRightInd w:val="0"/>
        <w:snapToGrid w:val="0"/>
        <w:spacing w:line="360" w:lineRule="auto"/>
        <w:rPr>
          <w:rFonts w:hint="eastAsia" w:ascii="宋体" w:hAnsi="宋体" w:eastAsia="宋体" w:cs="宋体"/>
          <w:color w:val="auto"/>
          <w:sz w:val="24"/>
          <w:highlight w:val="none"/>
        </w:rPr>
      </w:pPr>
      <w:bookmarkStart w:id="28" w:name="_Toc246928897"/>
      <w:r>
        <w:rPr>
          <w:rFonts w:hint="eastAsia" w:ascii="宋体" w:hAnsi="宋体" w:eastAsia="宋体" w:cs="宋体"/>
          <w:color w:val="auto"/>
          <w:sz w:val="24"/>
          <w:highlight w:val="none"/>
        </w:rPr>
        <w:t>1.1 本磋商文件仅适用于本磋商公告中所叙述项目的服务采购。</w:t>
      </w:r>
    </w:p>
    <w:p w14:paraId="5F35815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14:paraId="6E79073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磋商文件解释权归采购代理机构所有。</w:t>
      </w:r>
    </w:p>
    <w:p w14:paraId="507E1BEC">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29" w:name="_Toc4136"/>
      <w:bookmarkStart w:id="30" w:name="_Toc423508222"/>
      <w:r>
        <w:rPr>
          <w:rFonts w:hint="eastAsia" w:ascii="宋体" w:hAnsi="宋体" w:eastAsia="宋体" w:cs="宋体"/>
          <w:color w:val="auto"/>
          <w:sz w:val="24"/>
          <w:szCs w:val="24"/>
          <w:highlight w:val="none"/>
        </w:rPr>
        <w:t>2. 定义</w:t>
      </w:r>
      <w:bookmarkEnd w:id="28"/>
      <w:bookmarkEnd w:id="29"/>
      <w:bookmarkEnd w:id="30"/>
    </w:p>
    <w:p w14:paraId="75DFA156">
      <w:pPr>
        <w:spacing w:line="360" w:lineRule="auto"/>
        <w:ind w:leftChars="-9" w:hanging="19" w:hangingChars="8"/>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2.1 “采购人”系指</w:t>
      </w:r>
      <w:r>
        <w:rPr>
          <w:rFonts w:hint="eastAsia" w:ascii="宋体" w:hAnsi="宋体" w:cs="宋体"/>
          <w:color w:val="auto"/>
          <w:sz w:val="24"/>
          <w:highlight w:val="none"/>
          <w:lang w:eastAsia="zh-CN"/>
        </w:rPr>
        <w:t>陕西省西咸新区住房和城乡建设局</w:t>
      </w:r>
      <w:r>
        <w:rPr>
          <w:rFonts w:hint="eastAsia" w:ascii="宋体" w:hAnsi="宋体" w:eastAsia="宋体" w:cs="宋体"/>
          <w:color w:val="auto"/>
          <w:sz w:val="24"/>
          <w:highlight w:val="none"/>
        </w:rPr>
        <w:t>。</w:t>
      </w:r>
    </w:p>
    <w:p w14:paraId="7590EF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“采购代理机构”系指</w:t>
      </w:r>
      <w:r>
        <w:rPr>
          <w:rFonts w:hint="eastAsia" w:ascii="宋体" w:hAnsi="宋体" w:cs="宋体"/>
          <w:color w:val="auto"/>
          <w:sz w:val="24"/>
          <w:highlight w:val="none"/>
          <w:lang w:eastAsia="zh-CN"/>
        </w:rPr>
        <w:t>陕西钜信达工程项目管理有限公司</w:t>
      </w:r>
      <w:r>
        <w:rPr>
          <w:rFonts w:hint="eastAsia" w:ascii="宋体" w:hAnsi="宋体" w:eastAsia="宋体" w:cs="宋体"/>
          <w:color w:val="auto"/>
          <w:sz w:val="24"/>
          <w:highlight w:val="none"/>
        </w:rPr>
        <w:t>。</w:t>
      </w:r>
    </w:p>
    <w:p w14:paraId="0ADB4D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“供应商”系指参与本项目并提交响应文件的法人单位或其他组织或自然人。</w:t>
      </w:r>
    </w:p>
    <w:p w14:paraId="442AD3CD">
      <w:pPr>
        <w:spacing w:line="360" w:lineRule="auto"/>
        <w:rPr>
          <w:rFonts w:hint="eastAsia" w:ascii="宋体" w:hAnsi="宋体" w:eastAsia="宋体" w:cs="宋体"/>
          <w:color w:val="auto"/>
          <w:sz w:val="24"/>
          <w:highlight w:val="none"/>
        </w:rPr>
      </w:pPr>
      <w:bookmarkStart w:id="31" w:name="_Toc423508223"/>
      <w:bookmarkStart w:id="32" w:name="_Toc246928898"/>
      <w:r>
        <w:rPr>
          <w:rFonts w:hint="eastAsia" w:ascii="宋体" w:hAnsi="宋体" w:eastAsia="宋体" w:cs="宋体"/>
          <w:color w:val="auto"/>
          <w:sz w:val="24"/>
          <w:highlight w:val="none"/>
        </w:rPr>
        <w:t>2.3 “采购文件”系指采购人或代理机构编制并向供应商发售的磋商文件。</w:t>
      </w:r>
    </w:p>
    <w:p w14:paraId="09196D78">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 “响应文件”系指供应商按照采购文件要求编制并向采购人或代理机构递交的响应文件。</w:t>
      </w:r>
    </w:p>
    <w:p w14:paraId="424DE18B">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14:paraId="03D666ED">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33" w:name="_Toc9305"/>
      <w:r>
        <w:rPr>
          <w:rFonts w:hint="eastAsia" w:ascii="宋体" w:hAnsi="宋体" w:eastAsia="宋体" w:cs="宋体"/>
          <w:color w:val="auto"/>
          <w:sz w:val="24"/>
          <w:szCs w:val="24"/>
          <w:highlight w:val="none"/>
        </w:rPr>
        <w:t>3. 合格的供应商</w:t>
      </w:r>
      <w:bookmarkEnd w:id="31"/>
      <w:bookmarkEnd w:id="32"/>
      <w:bookmarkEnd w:id="33"/>
    </w:p>
    <w:p w14:paraId="45477619">
      <w:pPr>
        <w:overflowPunct w:val="0"/>
        <w:adjustRightInd w:val="0"/>
        <w:snapToGrid w:val="0"/>
        <w:spacing w:line="360" w:lineRule="auto"/>
        <w:rPr>
          <w:rFonts w:hint="eastAsia" w:ascii="宋体" w:hAnsi="宋体" w:eastAsia="宋体" w:cs="宋体"/>
          <w:color w:val="auto"/>
          <w:sz w:val="24"/>
          <w:highlight w:val="none"/>
        </w:rPr>
      </w:pPr>
      <w:bookmarkStart w:id="34" w:name="_Toc246928899"/>
      <w:r>
        <w:rPr>
          <w:rFonts w:hint="eastAsia" w:ascii="宋体" w:hAnsi="宋体" w:eastAsia="宋体" w:cs="宋体"/>
          <w:color w:val="auto"/>
          <w:sz w:val="24"/>
          <w:highlight w:val="none"/>
        </w:rPr>
        <w:t>3.1 凡符合供应商资格要求且有能力提供采购服务的供应商均可参加磋商采购活动。</w:t>
      </w:r>
    </w:p>
    <w:p w14:paraId="1A75990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供应商必须在磋商公告载明的地点购买获取磋商文件并登记备案，未购买获取磋商文件并登记备案的潜在供应商均无资格参加本次磋商采购活动。</w:t>
      </w:r>
    </w:p>
    <w:p w14:paraId="056ABE6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供应商应</w:t>
      </w:r>
      <w:r>
        <w:rPr>
          <w:rFonts w:hint="eastAsia" w:ascii="宋体" w:hAnsi="宋体" w:eastAsia="宋体" w:cs="宋体"/>
          <w:color w:val="auto"/>
          <w:sz w:val="24"/>
          <w:highlight w:val="none"/>
          <w:lang w:val="en-US" w:eastAsia="zh-CN"/>
        </w:rPr>
        <w:t>遵守</w:t>
      </w:r>
      <w:r>
        <w:rPr>
          <w:rFonts w:hint="eastAsia" w:ascii="宋体" w:hAnsi="宋体" w:eastAsia="宋体" w:cs="宋体"/>
          <w:color w:val="auto"/>
          <w:sz w:val="24"/>
          <w:highlight w:val="none"/>
        </w:rPr>
        <w:t>《中华人民共和国政府采购法》、《政府采购竞争性磋商采购方式管理暂行办法》及其它有关的中国法律和法规。</w:t>
      </w:r>
    </w:p>
    <w:p w14:paraId="6FDFB445">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只有在法律上和财务上独立，合法运作，并独立于采购代理机构和采购人的供应商才能参加磋商采购活动。</w:t>
      </w:r>
    </w:p>
    <w:bookmarkEnd w:id="34"/>
    <w:p w14:paraId="5A6DB16C">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35" w:name="_Toc311415574"/>
      <w:bookmarkStart w:id="36" w:name="_Toc16135"/>
      <w:bookmarkStart w:id="37" w:name="_Toc423508224"/>
      <w:bookmarkStart w:id="38" w:name="_Toc246928900"/>
      <w:r>
        <w:rPr>
          <w:rFonts w:hint="eastAsia" w:ascii="宋体" w:hAnsi="宋体" w:eastAsia="宋体" w:cs="宋体"/>
          <w:color w:val="auto"/>
          <w:sz w:val="24"/>
          <w:szCs w:val="24"/>
          <w:highlight w:val="none"/>
        </w:rPr>
        <w:t>4. 合格服务</w:t>
      </w:r>
      <w:bookmarkEnd w:id="35"/>
      <w:bookmarkEnd w:id="36"/>
      <w:bookmarkEnd w:id="37"/>
    </w:p>
    <w:p w14:paraId="2FC7AFB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合同中提供的所有有关的服务，均应来自国家有关政府采购规定的服务的合格来源，本合同的支付也仅限于这些服务。</w:t>
      </w:r>
    </w:p>
    <w:p w14:paraId="10979A89">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39" w:name="_Toc311415575"/>
      <w:bookmarkStart w:id="40" w:name="_Toc423508225"/>
      <w:bookmarkStart w:id="41" w:name="_Toc9579"/>
      <w:r>
        <w:rPr>
          <w:rFonts w:hint="eastAsia" w:ascii="宋体" w:hAnsi="宋体" w:eastAsia="宋体" w:cs="宋体"/>
          <w:color w:val="auto"/>
          <w:sz w:val="24"/>
          <w:szCs w:val="24"/>
          <w:highlight w:val="none"/>
        </w:rPr>
        <w:t>5. 费用</w:t>
      </w:r>
      <w:bookmarkEnd w:id="39"/>
      <w:bookmarkEnd w:id="40"/>
      <w:bookmarkEnd w:id="41"/>
    </w:p>
    <w:p w14:paraId="6023B80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供应商应承担所有与编写和提交响应文件有关的费用，无论磋商过程中的做法和结果如何，采购人和采购代理机构在任何情况下均无义务和责任承担这些费用。</w:t>
      </w:r>
    </w:p>
    <w:p w14:paraId="7AE0BCEE">
      <w:pPr>
        <w:pStyle w:val="5"/>
        <w:spacing w:line="360" w:lineRule="auto"/>
        <w:jc w:val="center"/>
        <w:rPr>
          <w:rFonts w:hint="eastAsia" w:ascii="宋体" w:hAnsi="宋体" w:eastAsia="宋体" w:cs="宋体"/>
          <w:b w:val="0"/>
          <w:color w:val="auto"/>
          <w:sz w:val="44"/>
          <w:highlight w:val="none"/>
        </w:rPr>
      </w:pPr>
      <w:bookmarkStart w:id="42" w:name="_Toc423508226"/>
      <w:bookmarkStart w:id="43" w:name="_Toc23144"/>
      <w:r>
        <w:rPr>
          <w:rFonts w:hint="eastAsia" w:ascii="宋体" w:hAnsi="宋体" w:eastAsia="宋体" w:cs="宋体"/>
          <w:b w:val="0"/>
          <w:color w:val="auto"/>
          <w:sz w:val="44"/>
          <w:highlight w:val="none"/>
        </w:rPr>
        <w:t>B 磋商文件说明</w:t>
      </w:r>
      <w:bookmarkEnd w:id="38"/>
      <w:bookmarkEnd w:id="42"/>
      <w:bookmarkEnd w:id="43"/>
    </w:p>
    <w:p w14:paraId="683ECBCC">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44" w:name="_Toc246928901"/>
      <w:bookmarkStart w:id="45" w:name="_Toc423508227"/>
      <w:bookmarkStart w:id="46" w:name="_Toc8350"/>
      <w:r>
        <w:rPr>
          <w:rFonts w:hint="eastAsia" w:ascii="宋体" w:hAnsi="宋体" w:eastAsia="宋体" w:cs="宋体"/>
          <w:color w:val="auto"/>
          <w:sz w:val="24"/>
          <w:szCs w:val="24"/>
          <w:highlight w:val="none"/>
        </w:rPr>
        <w:t>6．磋商文件的构成</w:t>
      </w:r>
      <w:bookmarkEnd w:id="44"/>
      <w:bookmarkEnd w:id="45"/>
      <w:bookmarkEnd w:id="46"/>
    </w:p>
    <w:p w14:paraId="052264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磋商文件用以阐明所需提供的服务、采购、磋商程序和合同条件。磋商文件包括：</w:t>
      </w:r>
    </w:p>
    <w:p w14:paraId="5B84D0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6.1.1 竞争性磋商公告；</w:t>
      </w:r>
    </w:p>
    <w:p w14:paraId="353755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6.1.2 供应商须知前附表；</w:t>
      </w:r>
    </w:p>
    <w:p w14:paraId="6B291C9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6.1.3 磋商须知；</w:t>
      </w:r>
    </w:p>
    <w:p w14:paraId="0F3F3321">
      <w:pPr>
        <w:tabs>
          <w:tab w:val="left" w:pos="241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6.1.4 合同格式；</w:t>
      </w:r>
      <w:r>
        <w:rPr>
          <w:rFonts w:hint="eastAsia" w:ascii="宋体" w:hAnsi="宋体" w:eastAsia="宋体" w:cs="宋体"/>
          <w:color w:val="auto"/>
          <w:sz w:val="24"/>
          <w:highlight w:val="none"/>
        </w:rPr>
        <w:tab/>
      </w:r>
    </w:p>
    <w:p w14:paraId="213E7A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6.1.5 附件—响应文件格式；</w:t>
      </w:r>
    </w:p>
    <w:p w14:paraId="7AEEDB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6.1.6 采购内容及要求。</w:t>
      </w:r>
    </w:p>
    <w:p w14:paraId="62A33B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6.2供应商应认真阅读磋商文件中所有的事项、格式条款和规范要求等。供应商没有对磋商文件全面做出实质性响应是供应商的风险。</w:t>
      </w:r>
      <w:bookmarkStart w:id="47" w:name="_Toc246928902"/>
    </w:p>
    <w:p w14:paraId="558CC8EE">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48" w:name="_Toc1382"/>
      <w:bookmarkStart w:id="49" w:name="_Toc423508228"/>
      <w:r>
        <w:rPr>
          <w:rFonts w:hint="eastAsia" w:ascii="宋体" w:hAnsi="宋体" w:eastAsia="宋体" w:cs="宋体"/>
          <w:color w:val="auto"/>
          <w:sz w:val="24"/>
          <w:szCs w:val="24"/>
          <w:highlight w:val="none"/>
        </w:rPr>
        <w:t>7．磋商文件的澄清</w:t>
      </w:r>
      <w:bookmarkEnd w:id="47"/>
      <w:bookmarkEnd w:id="48"/>
      <w:bookmarkEnd w:id="49"/>
    </w:p>
    <w:p w14:paraId="58DAC572">
      <w:pPr>
        <w:overflowPunct w:val="0"/>
        <w:adjustRightInd w:val="0"/>
        <w:snapToGrid w:val="0"/>
        <w:spacing w:line="360" w:lineRule="auto"/>
        <w:rPr>
          <w:rFonts w:hint="eastAsia" w:ascii="宋体" w:hAnsi="宋体" w:eastAsia="宋体" w:cs="宋体"/>
          <w:color w:val="auto"/>
          <w:sz w:val="24"/>
          <w:highlight w:val="none"/>
        </w:rPr>
      </w:pPr>
      <w:bookmarkStart w:id="50" w:name="_Toc246928903"/>
      <w:r>
        <w:rPr>
          <w:rFonts w:hint="eastAsia" w:ascii="宋体" w:hAnsi="宋体" w:eastAsia="宋体" w:cs="宋体"/>
          <w:color w:val="auto"/>
          <w:sz w:val="24"/>
          <w:highlight w:val="none"/>
        </w:rPr>
        <w:t>7.1 任何要求对磋商文件澄清的供应商，均应以书面形式在规定时间内通知采购代理机构。在此之后提出的质疑为无效质疑。采购代理机构将视情况确定采用适当方式予以澄清或以书面形式予以答复，涉及变更或修正内容在政府采购发布媒体上发布更正公告，并以书面形式通知所有磋商文件收受人，且作为磋商文件的组成部分。</w:t>
      </w:r>
    </w:p>
    <w:p w14:paraId="47C33F23">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51" w:name="_Toc15364"/>
      <w:bookmarkStart w:id="52" w:name="_Toc423508229"/>
      <w:r>
        <w:rPr>
          <w:rFonts w:hint="eastAsia" w:ascii="宋体" w:hAnsi="宋体" w:eastAsia="宋体" w:cs="宋体"/>
          <w:color w:val="auto"/>
          <w:sz w:val="24"/>
          <w:szCs w:val="24"/>
          <w:highlight w:val="none"/>
        </w:rPr>
        <w:t>8．磋商文件的修改</w:t>
      </w:r>
      <w:bookmarkEnd w:id="50"/>
      <w:bookmarkEnd w:id="51"/>
      <w:bookmarkEnd w:id="52"/>
    </w:p>
    <w:p w14:paraId="0E78FAA4">
      <w:pPr>
        <w:overflowPunct w:val="0"/>
        <w:adjustRightInd w:val="0"/>
        <w:snapToGrid w:val="0"/>
        <w:spacing w:line="360" w:lineRule="auto"/>
        <w:rPr>
          <w:rFonts w:hint="eastAsia" w:ascii="宋体" w:hAnsi="宋体" w:eastAsia="宋体" w:cs="宋体"/>
          <w:color w:val="auto"/>
          <w:sz w:val="24"/>
          <w:highlight w:val="none"/>
        </w:rPr>
      </w:pPr>
      <w:bookmarkStart w:id="53" w:name="_Toc283626504"/>
      <w:bookmarkStart w:id="54" w:name="_Toc409684168"/>
      <w:bookmarkStart w:id="55" w:name="_Toc311415580"/>
      <w:bookmarkStart w:id="56" w:name="_Toc332874421"/>
      <w:bookmarkStart w:id="57" w:name="_Toc283240488"/>
      <w:bookmarkStart w:id="58" w:name="_Toc389620207"/>
      <w:bookmarkStart w:id="59" w:name="_Toc246928929"/>
      <w:bookmarkStart w:id="60" w:name="_Toc385992368"/>
      <w:r>
        <w:rPr>
          <w:rFonts w:hint="eastAsia" w:ascii="宋体" w:hAnsi="宋体" w:eastAsia="宋体" w:cs="宋体"/>
          <w:color w:val="auto"/>
          <w:sz w:val="24"/>
          <w:highlight w:val="none"/>
        </w:rPr>
        <w:t>8.1 在磋商文件要求提交响应文件截止时间前，无论出于何种原因，采购人可主动地或在解答供应商要求澄清的问题时对磋商文件进行修改。</w:t>
      </w:r>
    </w:p>
    <w:p w14:paraId="3FE5424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磋商文件的修改将以书面形式通知所有磋商文件的收受人，供应商在收到该通知后应立即以传真的形式予以确认。</w:t>
      </w:r>
    </w:p>
    <w:p w14:paraId="467CFAF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为使供应商在准备响应文件时，有充分的时间对磋商文件的修改进行研究考虑，采购人可自行决定，酌情推迟磋商截止日期，并以书面形式通知所有已购买磋商文件的供应商。</w:t>
      </w:r>
    </w:p>
    <w:p w14:paraId="62C8D5C0">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磋商文件的修改书将构成磋商文件的一部分，对采购人和供应商都具有约束力。</w:t>
      </w:r>
    </w:p>
    <w:p w14:paraId="6B40654D">
      <w:pPr>
        <w:pStyle w:val="5"/>
        <w:spacing w:line="360" w:lineRule="auto"/>
        <w:jc w:val="center"/>
        <w:rPr>
          <w:rFonts w:hint="eastAsia" w:ascii="宋体" w:hAnsi="宋体" w:eastAsia="宋体" w:cs="宋体"/>
          <w:b w:val="0"/>
          <w:color w:val="auto"/>
          <w:sz w:val="44"/>
          <w:highlight w:val="none"/>
        </w:rPr>
      </w:pPr>
      <w:bookmarkStart w:id="61" w:name="_Toc423508230"/>
      <w:bookmarkStart w:id="62" w:name="_Toc1979"/>
      <w:r>
        <w:rPr>
          <w:rFonts w:hint="eastAsia" w:ascii="宋体" w:hAnsi="宋体" w:eastAsia="宋体" w:cs="宋体"/>
          <w:b w:val="0"/>
          <w:color w:val="auto"/>
          <w:sz w:val="44"/>
          <w:highlight w:val="none"/>
        </w:rPr>
        <w:t>C．响应文件的编写</w:t>
      </w:r>
      <w:bookmarkEnd w:id="53"/>
      <w:bookmarkEnd w:id="54"/>
      <w:bookmarkEnd w:id="55"/>
      <w:bookmarkEnd w:id="56"/>
      <w:bookmarkEnd w:id="57"/>
      <w:bookmarkEnd w:id="61"/>
      <w:bookmarkEnd w:id="62"/>
    </w:p>
    <w:p w14:paraId="74A2037D">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63" w:name="_Toc311415581"/>
      <w:bookmarkStart w:id="64" w:name="_Toc423508231"/>
      <w:bookmarkStart w:id="65" w:name="_Toc14993"/>
      <w:r>
        <w:rPr>
          <w:rFonts w:hint="eastAsia" w:ascii="宋体" w:hAnsi="宋体" w:eastAsia="宋体" w:cs="宋体"/>
          <w:color w:val="auto"/>
          <w:sz w:val="24"/>
          <w:szCs w:val="24"/>
          <w:highlight w:val="none"/>
        </w:rPr>
        <w:t>9．响应文件编制的原则</w:t>
      </w:r>
      <w:bookmarkEnd w:id="63"/>
      <w:bookmarkEnd w:id="64"/>
      <w:bookmarkEnd w:id="65"/>
    </w:p>
    <w:p w14:paraId="0A1FACDD">
      <w:pPr>
        <w:overflowPunct w:val="0"/>
        <w:adjustRightInd w:val="0"/>
        <w:snapToGrid w:val="0"/>
        <w:spacing w:line="360" w:lineRule="auto"/>
        <w:rPr>
          <w:rFonts w:hint="eastAsia" w:ascii="宋体" w:hAnsi="宋体" w:eastAsia="宋体" w:cs="宋体"/>
          <w:color w:val="auto"/>
          <w:sz w:val="24"/>
          <w:highlight w:val="none"/>
        </w:rPr>
      </w:pPr>
      <w:bookmarkStart w:id="66" w:name="_Toc311415582"/>
      <w:r>
        <w:rPr>
          <w:rFonts w:hint="eastAsia" w:ascii="宋体" w:hAnsi="宋体" w:eastAsia="宋体" w:cs="宋体"/>
          <w:color w:val="auto"/>
          <w:sz w:val="24"/>
          <w:highlight w:val="none"/>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14:paraId="19EC300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供应商必须保证响应文件所提供的全部资料真实可靠，并接受对其中任何资料进一步审查的要求。</w:t>
      </w:r>
    </w:p>
    <w:p w14:paraId="13BF3A9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响应文件须对磋商文件中的内容做出实质性和完整的响应，否则其将被拒绝。</w:t>
      </w:r>
    </w:p>
    <w:p w14:paraId="55C03575">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67" w:name="_Toc29197"/>
      <w:bookmarkStart w:id="68" w:name="_Toc423508232"/>
      <w:r>
        <w:rPr>
          <w:rFonts w:hint="eastAsia" w:ascii="宋体" w:hAnsi="宋体" w:eastAsia="宋体" w:cs="宋体"/>
          <w:color w:val="auto"/>
          <w:sz w:val="24"/>
          <w:szCs w:val="24"/>
          <w:highlight w:val="none"/>
        </w:rPr>
        <w:t>10．磋商语言</w:t>
      </w:r>
      <w:bookmarkEnd w:id="66"/>
      <w:bookmarkEnd w:id="67"/>
      <w:bookmarkEnd w:id="68"/>
    </w:p>
    <w:p w14:paraId="0670AAB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由供应商编写的响应文件和往来信件应以简体中文书写。</w:t>
      </w:r>
    </w:p>
    <w:p w14:paraId="72D80D86">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69" w:name="_Toc423508233"/>
      <w:bookmarkStart w:id="70" w:name="_Toc311415583"/>
      <w:bookmarkStart w:id="71" w:name="_Toc26065"/>
      <w:r>
        <w:rPr>
          <w:rFonts w:hint="eastAsia" w:ascii="宋体" w:hAnsi="宋体" w:eastAsia="宋体" w:cs="宋体"/>
          <w:color w:val="auto"/>
          <w:sz w:val="24"/>
          <w:szCs w:val="24"/>
          <w:highlight w:val="none"/>
        </w:rPr>
        <w:t>11．计量单位</w:t>
      </w:r>
      <w:bookmarkEnd w:id="69"/>
      <w:bookmarkEnd w:id="70"/>
      <w:bookmarkEnd w:id="71"/>
    </w:p>
    <w:p w14:paraId="315EB44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除在磋商文件的技术规格中另有规定外，计量单位应使用中华人民共和国法定计量单位。</w:t>
      </w:r>
    </w:p>
    <w:p w14:paraId="1ED50D18">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72" w:name="_Toc423508234"/>
      <w:bookmarkStart w:id="73" w:name="_Toc23881"/>
      <w:bookmarkStart w:id="74" w:name="_Toc311415584"/>
      <w:r>
        <w:rPr>
          <w:rFonts w:hint="eastAsia" w:ascii="宋体" w:hAnsi="宋体" w:eastAsia="宋体" w:cs="宋体"/>
          <w:color w:val="auto"/>
          <w:sz w:val="24"/>
          <w:szCs w:val="24"/>
          <w:highlight w:val="none"/>
        </w:rPr>
        <w:t>12．响应文件的组成</w:t>
      </w:r>
      <w:bookmarkEnd w:id="72"/>
      <w:bookmarkEnd w:id="73"/>
      <w:bookmarkEnd w:id="74"/>
    </w:p>
    <w:p w14:paraId="4C2AF24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12.1采购人只接受供应商提供的唯一响应方案，不接受任何有选择的方案和报价（包括有条件的折扣）。供应商未按要求，提供了选择方案和/或报价的，其磋商将被拒绝。</w:t>
      </w:r>
    </w:p>
    <w:p w14:paraId="056781C5">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供应商编写的响应文件应包括下列部分：</w:t>
      </w:r>
    </w:p>
    <w:p w14:paraId="245DF1B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响应函、第一次磋商报价表以及所有附件内容。</w:t>
      </w:r>
    </w:p>
    <w:p w14:paraId="124B567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按照供应商须知出具的供应商资格证明文件。</w:t>
      </w:r>
    </w:p>
    <w:p w14:paraId="4DEFE59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按照供应商须知出具的报价符合磋商文件规定的证明文件及供应商认为需加以说明的其他内容。</w:t>
      </w:r>
    </w:p>
    <w:p w14:paraId="63AE9132">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磋商文件要求供应商提供的其他内容。</w:t>
      </w:r>
    </w:p>
    <w:p w14:paraId="7E42FB4D">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75" w:name="_Toc311415585"/>
      <w:bookmarkStart w:id="76" w:name="_Toc23111"/>
      <w:bookmarkStart w:id="77" w:name="_Toc423508235"/>
      <w:r>
        <w:rPr>
          <w:rFonts w:hint="eastAsia" w:ascii="宋体" w:hAnsi="宋体" w:eastAsia="宋体" w:cs="宋体"/>
          <w:color w:val="auto"/>
          <w:sz w:val="24"/>
          <w:szCs w:val="24"/>
          <w:highlight w:val="none"/>
        </w:rPr>
        <w:t>13．响应文件格式</w:t>
      </w:r>
      <w:bookmarkEnd w:id="75"/>
      <w:bookmarkEnd w:id="76"/>
      <w:bookmarkEnd w:id="77"/>
    </w:p>
    <w:p w14:paraId="47A665E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 供应商应按磋商文件中提供的响应文件格式填写“响应函”、“第一次磋商报价表”以及其他相关文件。</w:t>
      </w:r>
    </w:p>
    <w:p w14:paraId="16826205">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78" w:name="_Toc311415586"/>
      <w:bookmarkStart w:id="79" w:name="_Toc26123"/>
      <w:bookmarkStart w:id="80" w:name="_Toc423508236"/>
      <w:r>
        <w:rPr>
          <w:rFonts w:hint="eastAsia" w:ascii="宋体" w:hAnsi="宋体" w:eastAsia="宋体" w:cs="宋体"/>
          <w:color w:val="auto"/>
          <w:sz w:val="24"/>
          <w:szCs w:val="24"/>
          <w:highlight w:val="none"/>
        </w:rPr>
        <w:t>14．磋商报价</w:t>
      </w:r>
      <w:bookmarkEnd w:id="78"/>
      <w:bookmarkEnd w:id="79"/>
      <w:bookmarkEnd w:id="80"/>
    </w:p>
    <w:p w14:paraId="25F14D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 供应商应对所列的所有要求按项目进行响应，不得将采购内容拆开投标。</w:t>
      </w:r>
    </w:p>
    <w:p w14:paraId="3D4C80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14.2各磋商报价为供应商响应文件中所列的各项支付金额的总和。磋商报价将不会因国家政策调整及市场变化因素而得到调整。</w:t>
      </w:r>
    </w:p>
    <w:p w14:paraId="32617A0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凡本磋商文件要求（或允许）及供应商认为需要进行磋商总报价的各项费用项目（不论是否要求进入报价），若报价时未报或未在响应文件中予以说明，采购人将认为这些费用供应商已计取，并包含在总报价中（项目内容、项目量调整除外）。供应商按上述14.2款要求填写“分项报价表”只是为了方便采购人对谈判响应文件进行比较，并不限制采购人以其它方式签订合同的</w:t>
      </w:r>
      <w:r>
        <w:rPr>
          <w:rFonts w:hint="eastAsia" w:ascii="宋体" w:hAnsi="宋体" w:eastAsia="宋体" w:cs="宋体"/>
          <w:color w:val="auto"/>
          <w:sz w:val="24"/>
          <w:highlight w:val="none"/>
          <w:lang w:val="en-US" w:eastAsia="zh-CN"/>
        </w:rPr>
        <w:t>权利</w:t>
      </w:r>
      <w:r>
        <w:rPr>
          <w:rFonts w:hint="eastAsia" w:ascii="宋体" w:hAnsi="宋体" w:eastAsia="宋体" w:cs="宋体"/>
          <w:color w:val="auto"/>
          <w:sz w:val="24"/>
          <w:highlight w:val="none"/>
        </w:rPr>
        <w:t>。</w:t>
      </w:r>
    </w:p>
    <w:p w14:paraId="635C9303">
      <w:pPr>
        <w:overflowPunct w:val="0"/>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14.4 供应商应按照磋商文件附件提供的格式填写“第一次磋商报价表”和“分项报价表”。如果“第一次磋商报价表”中的报价与响应文件中的报价不符，以“第一次磋商报价表”中的价格为准。文字大写表示的数据与同一数字表示的有差别，则以文字大写表示的数据为准。如果单价与总价不符，以单价为准；除非磋商小组认为单价有明显的小数点错误，此时应以合价为准，并修改单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或者有大写有明显的书写错误，应当给予供应商合理的修订机会。</w:t>
      </w:r>
    </w:p>
    <w:p w14:paraId="1194D28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供应商所报的磋商报价在合同执行过程中是固定不变的，不得以任何理由予以变更。以可调整的价格提交的响应文件将作为非响应性磋商而予以拒绝。</w:t>
      </w:r>
    </w:p>
    <w:p w14:paraId="38EBA322">
      <w:pPr>
        <w:overflowPunct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w:t>
      </w:r>
      <w:r>
        <w:rPr>
          <w:rFonts w:hint="eastAsia" w:ascii="宋体" w:hAnsi="宋体" w:eastAsia="宋体" w:cs="宋体"/>
          <w:b/>
          <w:bCs/>
          <w:color w:val="auto"/>
          <w:sz w:val="24"/>
          <w:highlight w:val="none"/>
        </w:rPr>
        <w:t>成交金额以最后报价为准，签订合同时，分项报价表应按照供应商的首轮报价明细同比例下浮。</w:t>
      </w:r>
    </w:p>
    <w:p w14:paraId="40853916">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14.7凡因供应商对磋商文件阅读不深、理解不透、误解、疏漏、或因市场行情了解不清造成的后果和风险均由供应商自负。磋商响应过程中所产生的一切费用由供应商自行承担。</w:t>
      </w:r>
    </w:p>
    <w:p w14:paraId="1DC07EC2">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采购人只接受供应商提供的唯一响应方案，不接受备选方案。</w:t>
      </w:r>
    </w:p>
    <w:p w14:paraId="133B5F42">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81" w:name="_Toc311415587"/>
      <w:bookmarkStart w:id="82" w:name="_Toc423508237"/>
      <w:bookmarkStart w:id="83" w:name="_Toc29625"/>
      <w:r>
        <w:rPr>
          <w:rFonts w:hint="eastAsia" w:ascii="宋体" w:hAnsi="宋体" w:eastAsia="宋体" w:cs="宋体"/>
          <w:color w:val="auto"/>
          <w:sz w:val="24"/>
          <w:szCs w:val="24"/>
          <w:highlight w:val="none"/>
        </w:rPr>
        <w:t>15．磋商货币</w:t>
      </w:r>
      <w:bookmarkEnd w:id="81"/>
      <w:bookmarkEnd w:id="82"/>
      <w:bookmarkEnd w:id="83"/>
    </w:p>
    <w:p w14:paraId="02E2B1D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采购人只接受人民币作为唯一磋商货币。</w:t>
      </w:r>
    </w:p>
    <w:p w14:paraId="6FF6C5B4">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84" w:name="_Toc423508238"/>
      <w:bookmarkStart w:id="85" w:name="_Toc311415588"/>
      <w:bookmarkStart w:id="86" w:name="_Toc19502"/>
      <w:r>
        <w:rPr>
          <w:rFonts w:hint="eastAsia" w:ascii="宋体" w:hAnsi="宋体" w:eastAsia="宋体" w:cs="宋体"/>
          <w:color w:val="auto"/>
          <w:sz w:val="24"/>
          <w:szCs w:val="24"/>
          <w:highlight w:val="none"/>
        </w:rPr>
        <w:t>16．证明供应商资格的证明文件</w:t>
      </w:r>
      <w:bookmarkEnd w:id="84"/>
      <w:bookmarkEnd w:id="85"/>
      <w:bookmarkEnd w:id="86"/>
    </w:p>
    <w:p w14:paraId="17300FB5">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供应商必须按要求提交证明文件，以证明其有资格参加磋商和成交后有履行合同的能力，并作为其响应文件的一部分。</w:t>
      </w:r>
    </w:p>
    <w:p w14:paraId="6CBC9925">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87" w:name="_Toc423508239"/>
      <w:bookmarkStart w:id="88" w:name="_Toc311415589"/>
      <w:bookmarkStart w:id="89" w:name="_Toc16637"/>
      <w:r>
        <w:rPr>
          <w:rFonts w:hint="eastAsia" w:ascii="宋体" w:hAnsi="宋体" w:eastAsia="宋体" w:cs="宋体"/>
          <w:color w:val="auto"/>
          <w:sz w:val="24"/>
          <w:szCs w:val="24"/>
          <w:highlight w:val="none"/>
        </w:rPr>
        <w:t>17．证明服务的合格性和符合磋商文件规定的文件</w:t>
      </w:r>
      <w:bookmarkEnd w:id="87"/>
      <w:bookmarkEnd w:id="88"/>
      <w:bookmarkEnd w:id="89"/>
    </w:p>
    <w:p w14:paraId="5D33249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供应商应对磋商文件中的各项条款做出清晰准确的答复。</w:t>
      </w:r>
    </w:p>
    <w:p w14:paraId="1B99339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证明服务质量与磋商文件的要求相一致的文件，它可以是文字资料、图表、数据、证书、业主证明，包括：</w:t>
      </w:r>
    </w:p>
    <w:p w14:paraId="18317138">
      <w:pPr>
        <w:overflowPunct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a. 提供服务方案。</w:t>
      </w:r>
    </w:p>
    <w:p w14:paraId="3AF351C4">
      <w:pPr>
        <w:overflowPunct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b. 供应商书面承诺：将承担起后期服务的责任，并提供服务承诺书。</w:t>
      </w:r>
    </w:p>
    <w:p w14:paraId="489D3665">
      <w:pPr>
        <w:pStyle w:val="6"/>
        <w:overflowPunct w:val="0"/>
        <w:adjustRightInd w:val="0"/>
        <w:snapToGrid w:val="0"/>
        <w:spacing w:line="360" w:lineRule="auto"/>
        <w:rPr>
          <w:rFonts w:hint="eastAsia" w:ascii="宋体" w:hAnsi="宋体" w:eastAsia="宋体" w:cs="宋体"/>
          <w:color w:val="auto"/>
          <w:sz w:val="24"/>
          <w:szCs w:val="24"/>
          <w:highlight w:val="none"/>
          <w:lang w:eastAsia="zh-CN"/>
        </w:rPr>
      </w:pPr>
      <w:bookmarkStart w:id="90" w:name="_Toc423508240"/>
      <w:bookmarkStart w:id="91" w:name="_Toc311415590"/>
      <w:bookmarkStart w:id="92" w:name="_Toc8185"/>
      <w:r>
        <w:rPr>
          <w:rFonts w:hint="eastAsia" w:ascii="宋体" w:hAnsi="宋体" w:eastAsia="宋体" w:cs="宋体"/>
          <w:color w:val="auto"/>
          <w:sz w:val="24"/>
          <w:szCs w:val="24"/>
          <w:highlight w:val="none"/>
        </w:rPr>
        <w:t>18．磋商保证金</w:t>
      </w:r>
      <w:bookmarkEnd w:id="90"/>
      <w:bookmarkEnd w:id="9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lang w:eastAsia="zh-CN"/>
        </w:rPr>
        <w:t>）</w:t>
      </w:r>
      <w:bookmarkEnd w:id="92"/>
    </w:p>
    <w:p w14:paraId="0C17C62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18.1磋商保证金按供应商须知前附表要求进行提交。</w:t>
      </w:r>
    </w:p>
    <w:p w14:paraId="1AF6522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 对于未能按要求提交磋商保证金的供应商，响应无效。</w:t>
      </w:r>
    </w:p>
    <w:p w14:paraId="62623276">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未成交的供应商的磋商保证金将于成交通知书发出后5个工作日内退还。</w:t>
      </w:r>
    </w:p>
    <w:p w14:paraId="54129BB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成交供应商的磋商保证金，在成交供应商与采购人签订合同后5日内退还。</w:t>
      </w:r>
    </w:p>
    <w:p w14:paraId="777ED13E">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18.5 如发生下列情况之一时，磋商保证金将不予退还：</w:t>
      </w:r>
    </w:p>
    <w:p w14:paraId="4E7CB12D">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供应商有违法违规行为给采购人造成损失的；</w:t>
      </w:r>
    </w:p>
    <w:p w14:paraId="0BEA8FED">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供应商在响应文件中提供虚假材料的； </w:t>
      </w:r>
    </w:p>
    <w:p w14:paraId="60E2EC4C">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c. 除因不可抗力或磋商文件认可的情形以外，成交供应商不与采购人签订合同的； </w:t>
      </w:r>
    </w:p>
    <w:p w14:paraId="2A34D50E">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供应商与采购人、其他供应商或者采购代理机构恶意串通的；</w:t>
      </w:r>
    </w:p>
    <w:p w14:paraId="6E0002F0">
      <w:pPr>
        <w:overflowPunct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e. </w:t>
      </w:r>
      <w:r>
        <w:rPr>
          <w:rFonts w:hint="eastAsia" w:ascii="宋体" w:hAnsi="宋体" w:eastAsia="宋体" w:cs="宋体"/>
          <w:color w:val="auto"/>
          <w:sz w:val="24"/>
          <w:highlight w:val="none"/>
        </w:rPr>
        <w:t>未能按磋商文件规定提交履约保证金；</w:t>
      </w:r>
    </w:p>
    <w:p w14:paraId="4548F018">
      <w:pPr>
        <w:overflowPunct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 提交了磋商保证金不提交响应文件并未在开标前提交书面投标放弃函的；</w:t>
      </w:r>
    </w:p>
    <w:p w14:paraId="73638E81">
      <w:pPr>
        <w:overflowPunct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 未能按规定签订合同或未能按规定缴纳招标代理服务费;</w:t>
      </w:r>
    </w:p>
    <w:p w14:paraId="2C13087F">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h．磋商文件规定的其他情形。</w:t>
      </w:r>
    </w:p>
    <w:p w14:paraId="534F6DE2">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18.6 磋商保证金用于保护采购人免受因供应商行为而蒙受的损失，供应商未按照磋商文件要求提交磋商保证金的，响应无效。</w:t>
      </w:r>
    </w:p>
    <w:p w14:paraId="582E6E11">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93" w:name="_Toc311415591"/>
      <w:bookmarkStart w:id="94" w:name="_Toc423508241"/>
      <w:bookmarkStart w:id="95" w:name="_Toc25340"/>
      <w:r>
        <w:rPr>
          <w:rFonts w:hint="eastAsia" w:ascii="宋体" w:hAnsi="宋体" w:eastAsia="宋体" w:cs="宋体"/>
          <w:color w:val="auto"/>
          <w:sz w:val="24"/>
          <w:szCs w:val="24"/>
          <w:highlight w:val="none"/>
        </w:rPr>
        <w:t>19．磋商有效期</w:t>
      </w:r>
      <w:bookmarkEnd w:id="93"/>
      <w:bookmarkEnd w:id="94"/>
      <w:bookmarkEnd w:id="95"/>
    </w:p>
    <w:p w14:paraId="76031B62">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响应文件从磋商之日起，磋商有效期为90天。响应文件的有效期比本须知规定的有效期短的，将被视为非响应报价，采购人有权拒绝。</w:t>
      </w:r>
    </w:p>
    <w:p w14:paraId="287FC53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特殊情况下，采购人可于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磋商有效期的延长期内继续有效。</w:t>
      </w:r>
    </w:p>
    <w:p w14:paraId="2DF8742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19.3从磋商截止期至供应商在响应函格式中确定的磋商有效期之间的这段时间内，供应商不得撤回其投标。</w:t>
      </w:r>
    </w:p>
    <w:p w14:paraId="32A8A52B">
      <w:pPr>
        <w:pStyle w:val="6"/>
        <w:overflowPunct w:val="0"/>
        <w:adjustRightInd w:val="0"/>
        <w:snapToGrid w:val="0"/>
        <w:spacing w:line="360" w:lineRule="auto"/>
        <w:rPr>
          <w:rFonts w:hint="eastAsia" w:ascii="宋体" w:hAnsi="宋体" w:eastAsia="宋体" w:cs="宋体"/>
          <w:color w:val="auto"/>
          <w:sz w:val="24"/>
          <w:szCs w:val="24"/>
          <w:highlight w:val="none"/>
          <w:lang w:eastAsia="zh-CN"/>
        </w:rPr>
      </w:pPr>
      <w:bookmarkStart w:id="96" w:name="_Toc311415592"/>
      <w:bookmarkStart w:id="97" w:name="_Toc423508242"/>
      <w:bookmarkStart w:id="98" w:name="_Toc29053"/>
      <w:r>
        <w:rPr>
          <w:rFonts w:hint="eastAsia" w:ascii="宋体" w:hAnsi="宋体" w:eastAsia="宋体" w:cs="宋体"/>
          <w:color w:val="auto"/>
          <w:sz w:val="24"/>
          <w:szCs w:val="24"/>
          <w:highlight w:val="none"/>
        </w:rPr>
        <w:t>20．响应文件的签署及格式</w:t>
      </w:r>
      <w:bookmarkEnd w:id="96"/>
      <w:bookmarkEnd w:id="9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本项目采用不见面开标方式，本项内容不适用</w:t>
      </w:r>
      <w:r>
        <w:rPr>
          <w:rFonts w:hint="eastAsia" w:ascii="宋体" w:hAnsi="宋体" w:eastAsia="宋体" w:cs="宋体"/>
          <w:color w:val="auto"/>
          <w:sz w:val="24"/>
          <w:szCs w:val="24"/>
          <w:highlight w:val="none"/>
          <w:lang w:eastAsia="zh-CN"/>
        </w:rPr>
        <w:t>）</w:t>
      </w:r>
      <w:bookmarkEnd w:id="98"/>
    </w:p>
    <w:p w14:paraId="2A453871">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响应文件正本应打印或用不褪色的墨水书写，并由供应商的法定代表人或其委托代理人在“磋商文件”要求的地方签字加盖印章。委托代理人签字的，响应文件应附法定代表人签署的授权委托书。响应文件应尽量避免涂改、行间插字或删除。如果出现上述情况，改动之处应加盖单位公章或由供应商的法定代表人或其授权的代理人签字确认。字迹潦草、表达不清、未按要求填写而导致非唯一理解，造成非实质性响应磋商文件的响应文件将会被认定为无效磋商。副本可以是正本的复印件，正本与副本不一致时以正本为准。</w:t>
      </w:r>
    </w:p>
    <w:p w14:paraId="2617D41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 除供应商对错处作必要修改外，响应文件中不许有加行、涂抹或改写。若有修改须由签署响应文件的授权代表在旁边签字才有效。</w:t>
      </w:r>
    </w:p>
    <w:p w14:paraId="2CFA440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20.3以电话、传真、电子邮件形式的磋商响应将被拒绝。</w:t>
      </w:r>
    </w:p>
    <w:p w14:paraId="0A540C52">
      <w:pPr>
        <w:pStyle w:val="5"/>
        <w:spacing w:line="360" w:lineRule="auto"/>
        <w:jc w:val="center"/>
        <w:rPr>
          <w:rFonts w:hint="eastAsia" w:ascii="宋体" w:hAnsi="宋体" w:eastAsia="宋体" w:cs="宋体"/>
          <w:b w:val="0"/>
          <w:color w:val="auto"/>
          <w:sz w:val="44"/>
          <w:highlight w:val="none"/>
        </w:rPr>
      </w:pPr>
      <w:bookmarkStart w:id="99" w:name="_Toc283240489"/>
      <w:bookmarkStart w:id="100" w:name="_Toc409684169"/>
      <w:bookmarkStart w:id="101" w:name="_Toc6410"/>
      <w:bookmarkStart w:id="102" w:name="_Toc423508243"/>
      <w:bookmarkStart w:id="103" w:name="_Toc332874422"/>
      <w:bookmarkStart w:id="104" w:name="_Toc311415593"/>
      <w:bookmarkStart w:id="105" w:name="_Toc283626505"/>
      <w:r>
        <w:rPr>
          <w:rFonts w:hint="eastAsia" w:ascii="宋体" w:hAnsi="宋体" w:eastAsia="宋体" w:cs="宋体"/>
          <w:b w:val="0"/>
          <w:color w:val="auto"/>
          <w:sz w:val="44"/>
          <w:highlight w:val="none"/>
        </w:rPr>
        <w:t>D．响应文件的递交</w:t>
      </w:r>
      <w:bookmarkEnd w:id="99"/>
      <w:bookmarkEnd w:id="100"/>
      <w:bookmarkEnd w:id="101"/>
      <w:bookmarkEnd w:id="102"/>
      <w:bookmarkEnd w:id="103"/>
      <w:bookmarkEnd w:id="104"/>
      <w:bookmarkEnd w:id="105"/>
    </w:p>
    <w:p w14:paraId="2DE65E92">
      <w:pPr>
        <w:pStyle w:val="6"/>
        <w:overflowPunct w:val="0"/>
        <w:adjustRightInd w:val="0"/>
        <w:snapToGrid w:val="0"/>
        <w:spacing w:line="360" w:lineRule="auto"/>
        <w:rPr>
          <w:rFonts w:hint="eastAsia" w:ascii="宋体" w:hAnsi="宋体" w:eastAsia="宋体" w:cs="宋体"/>
          <w:color w:val="auto"/>
          <w:sz w:val="24"/>
          <w:szCs w:val="24"/>
          <w:highlight w:val="none"/>
          <w:lang w:eastAsia="zh-CN"/>
        </w:rPr>
      </w:pPr>
      <w:bookmarkStart w:id="106" w:name="_Toc311415594"/>
      <w:bookmarkStart w:id="107" w:name="_Toc423508244"/>
      <w:bookmarkStart w:id="108" w:name="_Toc23588"/>
      <w:r>
        <w:rPr>
          <w:rFonts w:hint="eastAsia" w:ascii="宋体" w:hAnsi="宋体" w:eastAsia="宋体" w:cs="宋体"/>
          <w:color w:val="auto"/>
          <w:sz w:val="24"/>
          <w:szCs w:val="24"/>
          <w:highlight w:val="none"/>
        </w:rPr>
        <w:t>21．响应文件的数量、包装和标记</w:t>
      </w:r>
      <w:bookmarkEnd w:id="106"/>
      <w:bookmarkEnd w:id="10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本项目采用不见面开标方式，本项内容不适用</w:t>
      </w:r>
      <w:r>
        <w:rPr>
          <w:rFonts w:hint="eastAsia" w:ascii="宋体" w:hAnsi="宋体" w:eastAsia="宋体" w:cs="宋体"/>
          <w:color w:val="auto"/>
          <w:sz w:val="24"/>
          <w:szCs w:val="24"/>
          <w:highlight w:val="none"/>
          <w:lang w:eastAsia="zh-CN"/>
        </w:rPr>
        <w:t>）</w:t>
      </w:r>
      <w:bookmarkEnd w:id="108"/>
    </w:p>
    <w:p w14:paraId="58DF25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供应商应供应商须知前附表制作响应文件。</w:t>
      </w:r>
    </w:p>
    <w:p w14:paraId="743F2A1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响应文件必须进行密封递交。对封装材料及样式不作特别规定，但供应商应当保证其封装的可靠性，不致因搬运、堆放等原因散开。磋商时，供应商应当将响应文件正本以密封袋单独密封，所有的副本以密封袋单独密封，或者正、副本密封袋放入一个密封包装箱里。所有密封袋正面和响应文件封面须标明项目名称、项目编号、供应商名称及“正本”、“副本”等字样；所有响应文件的密封袋应加盖供应商公章。</w:t>
      </w:r>
    </w:p>
    <w:p w14:paraId="3E2E6A9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21.3未密封的响应文件将被拒绝接收。</w:t>
      </w:r>
    </w:p>
    <w:p w14:paraId="59D2B8D3">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09" w:name="_Toc3268"/>
      <w:bookmarkStart w:id="110" w:name="_Toc423508245"/>
      <w:bookmarkStart w:id="111" w:name="_Toc311415595"/>
      <w:r>
        <w:rPr>
          <w:rFonts w:hint="eastAsia" w:ascii="宋体" w:hAnsi="宋体" w:eastAsia="宋体" w:cs="宋体"/>
          <w:color w:val="auto"/>
          <w:sz w:val="24"/>
          <w:szCs w:val="24"/>
          <w:highlight w:val="none"/>
        </w:rPr>
        <w:t>22．磋商截止时间</w:t>
      </w:r>
      <w:bookmarkEnd w:id="109"/>
      <w:bookmarkEnd w:id="110"/>
      <w:bookmarkEnd w:id="111"/>
    </w:p>
    <w:p w14:paraId="13804071">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出现第8.3款因磋商文件的修改推迟磋商截止日期时，则按采购人修改通知规定的时间递交。</w:t>
      </w:r>
    </w:p>
    <w:p w14:paraId="4B865E0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在响应文件递交截止时间之后的任何响应文件将被拒绝接收。</w:t>
      </w:r>
    </w:p>
    <w:p w14:paraId="632F427B">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12" w:name="_Toc22405"/>
      <w:bookmarkStart w:id="113" w:name="_Toc311415596"/>
      <w:bookmarkStart w:id="114" w:name="_Toc423508246"/>
      <w:r>
        <w:rPr>
          <w:rFonts w:hint="eastAsia" w:ascii="宋体" w:hAnsi="宋体" w:eastAsia="宋体" w:cs="宋体"/>
          <w:color w:val="auto"/>
          <w:sz w:val="24"/>
          <w:szCs w:val="24"/>
          <w:highlight w:val="none"/>
        </w:rPr>
        <w:t>23．响应文件的修改与撤回</w:t>
      </w:r>
      <w:bookmarkEnd w:id="112"/>
      <w:bookmarkEnd w:id="113"/>
      <w:bookmarkEnd w:id="114"/>
    </w:p>
    <w:p w14:paraId="49CDEC4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 在磋商截止期之后，供应商不得对其磋商做任何修改。</w:t>
      </w:r>
    </w:p>
    <w:p w14:paraId="10AD3371">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已提交响应文件的供应商，在提交最后报价之前，可以根据磋商情况退出磋商。采购人、采购代理机构按照规定退还退出磋商的供应商磋商保证金。</w:t>
      </w:r>
    </w:p>
    <w:p w14:paraId="3D6F18CD">
      <w:pPr>
        <w:pStyle w:val="5"/>
        <w:spacing w:line="360" w:lineRule="auto"/>
        <w:jc w:val="center"/>
        <w:rPr>
          <w:rFonts w:hint="eastAsia" w:ascii="宋体" w:hAnsi="宋体" w:eastAsia="宋体" w:cs="宋体"/>
          <w:b w:val="0"/>
          <w:color w:val="auto"/>
          <w:sz w:val="44"/>
          <w:highlight w:val="none"/>
        </w:rPr>
      </w:pPr>
      <w:bookmarkStart w:id="115" w:name="_Toc423508247"/>
      <w:bookmarkStart w:id="116" w:name="_Toc16914"/>
      <w:bookmarkStart w:id="117" w:name="_Toc332874423"/>
      <w:bookmarkStart w:id="118" w:name="_Toc311415597"/>
      <w:bookmarkStart w:id="119" w:name="_Toc409684170"/>
      <w:bookmarkStart w:id="120" w:name="_Toc283240490"/>
      <w:bookmarkStart w:id="121" w:name="_Toc283626506"/>
      <w:r>
        <w:rPr>
          <w:rFonts w:hint="eastAsia" w:ascii="宋体" w:hAnsi="宋体" w:eastAsia="宋体" w:cs="宋体"/>
          <w:b w:val="0"/>
          <w:color w:val="auto"/>
          <w:sz w:val="44"/>
          <w:highlight w:val="none"/>
        </w:rPr>
        <w:t>E．磋商/评审</w:t>
      </w:r>
      <w:bookmarkEnd w:id="115"/>
      <w:bookmarkEnd w:id="116"/>
      <w:bookmarkEnd w:id="117"/>
      <w:bookmarkEnd w:id="118"/>
      <w:bookmarkEnd w:id="119"/>
      <w:bookmarkEnd w:id="120"/>
      <w:bookmarkEnd w:id="121"/>
    </w:p>
    <w:p w14:paraId="0653100B">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22" w:name="_Toc311415598"/>
      <w:bookmarkStart w:id="123" w:name="_Toc423508248"/>
      <w:bookmarkStart w:id="124" w:name="_Toc449367176"/>
      <w:bookmarkStart w:id="125" w:name="_Toc16367"/>
      <w:r>
        <w:rPr>
          <w:rFonts w:hint="eastAsia" w:ascii="宋体" w:hAnsi="宋体" w:eastAsia="宋体" w:cs="宋体"/>
          <w:color w:val="auto"/>
          <w:sz w:val="24"/>
          <w:szCs w:val="24"/>
          <w:highlight w:val="none"/>
        </w:rPr>
        <w:t>24．</w:t>
      </w:r>
      <w:bookmarkEnd w:id="122"/>
      <w:bookmarkEnd w:id="123"/>
      <w:r>
        <w:rPr>
          <w:rFonts w:hint="eastAsia" w:ascii="宋体" w:hAnsi="宋体" w:eastAsia="宋体" w:cs="宋体"/>
          <w:color w:val="auto"/>
          <w:sz w:val="24"/>
          <w:szCs w:val="24"/>
          <w:highlight w:val="none"/>
        </w:rPr>
        <w:t>磋商</w:t>
      </w:r>
      <w:bookmarkEnd w:id="124"/>
      <w:bookmarkEnd w:id="125"/>
    </w:p>
    <w:p w14:paraId="37D17C4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 采购代理机构按磋商公告中规定的时间和地点接受供应商递交的响应文件。供应商的法定代表人或其授权的代表</w:t>
      </w:r>
      <w:r>
        <w:rPr>
          <w:rFonts w:hint="eastAsia" w:ascii="宋体" w:hAnsi="宋体" w:eastAsia="宋体" w:cs="宋体"/>
          <w:color w:val="auto"/>
          <w:sz w:val="24"/>
          <w:highlight w:val="none"/>
          <w:lang w:val="en-US" w:eastAsia="zh-CN"/>
        </w:rPr>
        <w:t>进行线上</w:t>
      </w:r>
      <w:r>
        <w:rPr>
          <w:rFonts w:hint="eastAsia" w:ascii="宋体" w:hAnsi="宋体" w:eastAsia="宋体" w:cs="宋体"/>
          <w:color w:val="auto"/>
          <w:sz w:val="24"/>
          <w:highlight w:val="none"/>
        </w:rPr>
        <w:t>签到，并参加</w:t>
      </w:r>
      <w:r>
        <w:rPr>
          <w:rFonts w:hint="eastAsia" w:ascii="宋体" w:hAnsi="宋体" w:eastAsia="宋体" w:cs="宋体"/>
          <w:color w:val="auto"/>
          <w:sz w:val="24"/>
          <w:highlight w:val="none"/>
          <w:lang w:val="en-US" w:eastAsia="zh-CN"/>
        </w:rPr>
        <w:t>不见面</w:t>
      </w:r>
      <w:r>
        <w:rPr>
          <w:rFonts w:hint="eastAsia" w:ascii="宋体" w:hAnsi="宋体" w:eastAsia="宋体" w:cs="宋体"/>
          <w:color w:val="auto"/>
          <w:sz w:val="24"/>
          <w:highlight w:val="none"/>
        </w:rPr>
        <w:t>磋商会议。如果未按前述规定签到、参加磋商会议，供应商的响应文件将按无效响应文件处理。</w:t>
      </w:r>
    </w:p>
    <w:p w14:paraId="268F496A">
      <w:pPr>
        <w:overflowPunct w:val="0"/>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24.2磋商时，供应商和监标人查验响应文件密封情况并签字认可。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本项目不适用</w:t>
      </w:r>
      <w:r>
        <w:rPr>
          <w:rFonts w:hint="eastAsia" w:ascii="宋体" w:hAnsi="宋体" w:eastAsia="宋体" w:cs="宋体"/>
          <w:color w:val="auto"/>
          <w:sz w:val="24"/>
          <w:highlight w:val="none"/>
          <w:lang w:eastAsia="zh-CN"/>
        </w:rPr>
        <w:t>）</w:t>
      </w:r>
    </w:p>
    <w:p w14:paraId="1CC6C0B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24.3按照《中华人民共和国政府采购法》和《政府采购竞争性磋商采购方式管理暂行办法》的相关规定，由磋商小组与各个供应商分别进行磋商。采购代理机构将作磋商价格记录，磋商价格记录包括 “第一次磋商报价表”规定的全部内容。磋商过程中所有磋商报价现场不对供应商公开宣读。</w:t>
      </w:r>
    </w:p>
    <w:p w14:paraId="4E5A650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24.4磋商程序:</w:t>
      </w:r>
    </w:p>
    <w:p w14:paraId="6BD84FC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a.介绍与会各方人员；</w:t>
      </w:r>
    </w:p>
    <w:p w14:paraId="13DC2495">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lang w:val="en-US" w:eastAsia="zh-CN"/>
        </w:rPr>
        <w:t>公布</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名单</w:t>
      </w:r>
      <w:r>
        <w:rPr>
          <w:rFonts w:hint="eastAsia" w:ascii="宋体" w:hAnsi="宋体" w:eastAsia="宋体" w:cs="宋体"/>
          <w:color w:val="auto"/>
          <w:sz w:val="24"/>
          <w:highlight w:val="none"/>
        </w:rPr>
        <w:t>；</w:t>
      </w:r>
    </w:p>
    <w:p w14:paraId="738F176E">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c.宣布磋商会议纪律；</w:t>
      </w:r>
    </w:p>
    <w:p w14:paraId="2DCFC86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d.签署拒绝商业贿赂承诺书；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适用于纸质响应文件</w:t>
      </w:r>
      <w:r>
        <w:rPr>
          <w:rFonts w:hint="eastAsia" w:ascii="宋体" w:hAnsi="宋体" w:eastAsia="宋体" w:cs="宋体"/>
          <w:color w:val="auto"/>
          <w:sz w:val="24"/>
          <w:highlight w:val="none"/>
          <w:lang w:eastAsia="zh-CN"/>
        </w:rPr>
        <w:t>）</w:t>
      </w:r>
    </w:p>
    <w:p w14:paraId="612C0A9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e.由供应商法定代表人或其授权的代表、监标人检查响应文件的密封情况，并对密封情况确认；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适用于纸质响应文件</w:t>
      </w:r>
      <w:r>
        <w:rPr>
          <w:rFonts w:hint="eastAsia" w:ascii="宋体" w:hAnsi="宋体" w:eastAsia="宋体" w:cs="宋体"/>
          <w:color w:val="auto"/>
          <w:sz w:val="24"/>
          <w:highlight w:val="none"/>
          <w:lang w:eastAsia="zh-CN"/>
        </w:rPr>
        <w:t>）</w:t>
      </w:r>
    </w:p>
    <w:p w14:paraId="49D06472">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f.当众拆启响应文件送至评审室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适用于纸质响应文件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或线上解密并上传数据（适用于不见面开标）</w:t>
      </w:r>
      <w:r>
        <w:rPr>
          <w:rFonts w:hint="eastAsia" w:ascii="宋体" w:hAnsi="宋体" w:eastAsia="宋体" w:cs="宋体"/>
          <w:color w:val="auto"/>
          <w:sz w:val="24"/>
          <w:highlight w:val="none"/>
        </w:rPr>
        <w:t>；</w:t>
      </w:r>
    </w:p>
    <w:p w14:paraId="40B240D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g.宣布休会，进入评审和磋商阶段；</w:t>
      </w:r>
    </w:p>
    <w:p w14:paraId="659CFEC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h.会议结束。</w:t>
      </w:r>
    </w:p>
    <w:p w14:paraId="79CE150E">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26" w:name="_Toc423508249"/>
      <w:bookmarkStart w:id="127" w:name="_Toc29694"/>
      <w:bookmarkStart w:id="128" w:name="_Toc311415599"/>
      <w:r>
        <w:rPr>
          <w:rFonts w:hint="eastAsia" w:ascii="宋体" w:hAnsi="宋体" w:eastAsia="宋体" w:cs="宋体"/>
          <w:color w:val="auto"/>
          <w:sz w:val="24"/>
          <w:szCs w:val="24"/>
          <w:highlight w:val="none"/>
        </w:rPr>
        <w:t>25．磋商小组</w:t>
      </w:r>
      <w:bookmarkEnd w:id="126"/>
      <w:bookmarkEnd w:id="127"/>
      <w:bookmarkEnd w:id="128"/>
    </w:p>
    <w:p w14:paraId="3723398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 采购人将根据本次采购项目的特点，参照《中华人民共和国政府采购法》等有关规定组建磋商小组。</w:t>
      </w:r>
    </w:p>
    <w:p w14:paraId="53F4DEE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 磋商小组成员由采购人及有关技术、经济等方面的专家组成，其中技术、经济类专家人数不少于总人数的2/3。</w:t>
      </w:r>
    </w:p>
    <w:p w14:paraId="3C18F92E">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 磋商小组成员对各供应商响应文件进行审查、质疑、评估和比较，并推荐成交候选供应商。</w:t>
      </w:r>
    </w:p>
    <w:p w14:paraId="535D1F0B">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25.4磋商小组与参加采购活动的供应商存在下列利害关系之一的，应当回避：</w:t>
      </w:r>
    </w:p>
    <w:p w14:paraId="51522772">
      <w:pPr>
        <w:numPr>
          <w:ilvl w:val="0"/>
          <w:numId w:val="5"/>
        </w:num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参加采购活动前3年内，与供应商存在劳动关系，或者担任过供应商的董事、监事，或者是供应商的控股股东或实际控制人；</w:t>
      </w:r>
    </w:p>
    <w:p w14:paraId="74C6CA81">
      <w:pPr>
        <w:numPr>
          <w:ilvl w:val="0"/>
          <w:numId w:val="5"/>
        </w:num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参加采购活动前3年内与供应商发生过法律纠纷；</w:t>
      </w:r>
    </w:p>
    <w:p w14:paraId="77D0517C">
      <w:pPr>
        <w:numPr>
          <w:ilvl w:val="0"/>
          <w:numId w:val="5"/>
        </w:num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与供应商的法定代表人或者负责人有夫妻、直系血亲、三代以内旁系血亲或者近姻亲关系；</w:t>
      </w:r>
    </w:p>
    <w:p w14:paraId="583403B1">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（4）与供应商有其他可能影响政府采购活动公平、公正进行的关系。</w:t>
      </w:r>
    </w:p>
    <w:p w14:paraId="6067705C">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25.5磋商小组的权利与义务及监管制度：</w:t>
      </w:r>
    </w:p>
    <w:p w14:paraId="6D73477B">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权利：</w:t>
      </w:r>
    </w:p>
    <w:p w14:paraId="08CDF77B">
      <w:pPr>
        <w:numPr>
          <w:ilvl w:val="0"/>
          <w:numId w:val="6"/>
        </w:num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对政府采购法律制度及相关情况的知情权；</w:t>
      </w:r>
    </w:p>
    <w:p w14:paraId="2306AE9F">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（2）对政府采购项目的独立评审权；</w:t>
      </w:r>
    </w:p>
    <w:p w14:paraId="304DA20A">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（3）按照规定推荐成交候选供应商的权利；</w:t>
      </w:r>
    </w:p>
    <w:p w14:paraId="0BD32CD5">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（4）按照规定获取评审劳务报酬的权利；</w:t>
      </w:r>
    </w:p>
    <w:p w14:paraId="16775941">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（5）法律、法规规定的其他权利。</w:t>
      </w:r>
    </w:p>
    <w:p w14:paraId="7DC96447">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义务及监管制度：</w:t>
      </w:r>
    </w:p>
    <w:p w14:paraId="0A202836">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（1）磋商小组在评审期间应当严格遵守评审工作纪律，主动出具身份证明，将手机等通讯工具或者相关电子设备交由采购人或者采购代理机构统一保管，不得记录，复制或者带走任何评审资料；</w:t>
      </w:r>
    </w:p>
    <w:p w14:paraId="55BE4E0B">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（2）磋商小组应当按照客观、公正、审慎的原则，根据磋商文件规定的评审程序、评审方法和评审标准进行独立评审；</w:t>
      </w:r>
    </w:p>
    <w:p w14:paraId="0AC0145E">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（3）及时向财政部门报告评审过程中发现的采购人、采购代理机构向评审专家做倾向性、误导性的解释或者说明，以及供应商行贿、提供虚假材料或者串通等违法行为；</w:t>
      </w:r>
    </w:p>
    <w:p w14:paraId="188C3D82">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（4）维护国家利益、社会公共利益和当事人的合法权益；</w:t>
      </w:r>
    </w:p>
    <w:p w14:paraId="4EC2BC30">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（5）参加由财政部门组织的专题学习、培训；</w:t>
      </w:r>
    </w:p>
    <w:p w14:paraId="61E7A5EB">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（6）法律、法规规定的其他义务；</w:t>
      </w:r>
    </w:p>
    <w:p w14:paraId="2C1C48D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（7）磋商小组遵从《陕西省政府采购评审专家管理实施办法》的各项监督管理制度。</w:t>
      </w:r>
    </w:p>
    <w:p w14:paraId="49DCB1E3">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29" w:name="_Toc311415601"/>
      <w:bookmarkStart w:id="130" w:name="_Toc423508250"/>
      <w:bookmarkStart w:id="131" w:name="_Toc23635"/>
      <w:r>
        <w:rPr>
          <w:rFonts w:hint="eastAsia" w:ascii="宋体" w:hAnsi="宋体" w:eastAsia="宋体" w:cs="宋体"/>
          <w:color w:val="auto"/>
          <w:sz w:val="24"/>
          <w:szCs w:val="24"/>
          <w:highlight w:val="none"/>
        </w:rPr>
        <w:t>26．响应文件的</w:t>
      </w:r>
      <w:bookmarkEnd w:id="129"/>
      <w:bookmarkEnd w:id="130"/>
      <w:r>
        <w:rPr>
          <w:rFonts w:hint="eastAsia" w:ascii="宋体" w:hAnsi="宋体" w:eastAsia="宋体" w:cs="宋体"/>
          <w:color w:val="auto"/>
          <w:sz w:val="24"/>
          <w:szCs w:val="24"/>
          <w:highlight w:val="none"/>
        </w:rPr>
        <w:t>初步审查</w:t>
      </w:r>
      <w:bookmarkEnd w:id="131"/>
    </w:p>
    <w:p w14:paraId="39A55EF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26.1响应文件的</w:t>
      </w:r>
      <w:r>
        <w:rPr>
          <w:rFonts w:hint="eastAsia" w:ascii="宋体" w:hAnsi="宋体" w:eastAsia="宋体" w:cs="宋体"/>
          <w:b/>
          <w:bCs/>
          <w:color w:val="auto"/>
          <w:sz w:val="24"/>
          <w:highlight w:val="none"/>
          <w:u w:val="single"/>
        </w:rPr>
        <w:t>资格性审查</w:t>
      </w:r>
      <w:r>
        <w:rPr>
          <w:rFonts w:hint="eastAsia" w:ascii="宋体" w:hAnsi="宋体" w:eastAsia="宋体" w:cs="宋体"/>
          <w:color w:val="auto"/>
          <w:sz w:val="24"/>
          <w:highlight w:val="none"/>
        </w:rPr>
        <w:t>：响应文件的资格性审查：依据法律法规和磋商文件的规定，对响应文件中的资格证明文件进行审查，以确保供应商是否具备相应资格。</w:t>
      </w:r>
    </w:p>
    <w:p w14:paraId="41F012E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21"/>
        <w:tblW w:w="92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18"/>
        <w:gridCol w:w="6587"/>
      </w:tblGrid>
      <w:tr w14:paraId="2056E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718" w:type="dxa"/>
            <w:noWrap w:val="0"/>
            <w:vAlign w:val="center"/>
          </w:tcPr>
          <w:p w14:paraId="565DFCFF">
            <w:pPr>
              <w:spacing w:line="420" w:lineRule="exact"/>
              <w:ind w:left="42" w:leftChars="20"/>
              <w:jc w:val="center"/>
              <w:rPr>
                <w:rFonts w:hint="eastAsia" w:ascii="宋体" w:hAnsi="宋体" w:eastAsia="宋体" w:cs="宋体"/>
                <w:szCs w:val="24"/>
                <w:highlight w:val="none"/>
              </w:rPr>
            </w:pPr>
            <w:r>
              <w:rPr>
                <w:rFonts w:hint="eastAsia" w:ascii="宋体" w:hAnsi="宋体" w:eastAsia="宋体" w:cs="宋体"/>
                <w:szCs w:val="24"/>
                <w:highlight w:val="none"/>
              </w:rPr>
              <w:t>资格证明文件</w:t>
            </w:r>
          </w:p>
        </w:tc>
        <w:tc>
          <w:tcPr>
            <w:tcW w:w="6587" w:type="dxa"/>
            <w:noWrap w:val="0"/>
            <w:vAlign w:val="top"/>
          </w:tcPr>
          <w:p w14:paraId="018CFF30">
            <w:pPr>
              <w:numPr>
                <w:ilvl w:val="0"/>
                <w:numId w:val="7"/>
              </w:numPr>
              <w:autoSpaceDE w:val="0"/>
              <w:autoSpaceDN w:val="0"/>
              <w:adjustRightInd w:val="0"/>
              <w:snapToGrid w:val="0"/>
              <w:spacing w:line="360" w:lineRule="auto"/>
              <w:ind w:left="148" w:leftChars="0" w:firstLine="480" w:firstLineChars="0"/>
              <w:rPr>
                <w:rFonts w:hint="eastAsia" w:ascii="宋体" w:hAnsi="宋体" w:eastAsia="宋体" w:cs="宋体"/>
                <w:kern w:val="0"/>
                <w:sz w:val="24"/>
                <w:szCs w:val="24"/>
                <w:highlight w:val="none"/>
                <w:shd w:val="clear" w:color="auto" w:fill="FFFFFF"/>
                <w:lang w:val="en-US" w:eastAsia="zh-CN" w:bidi="ar-SA"/>
              </w:rPr>
            </w:pPr>
            <w:r>
              <w:rPr>
                <w:rFonts w:hint="eastAsia" w:ascii="宋体" w:hAnsi="宋体" w:cs="宋体"/>
                <w:sz w:val="24"/>
                <w:szCs w:val="24"/>
                <w:highlight w:val="none"/>
              </w:rPr>
              <w:t>基本资格条件：符合《中华人民共和国政府采购法》第二十二条的规定</w:t>
            </w:r>
            <w:r>
              <w:rPr>
                <w:rFonts w:hint="eastAsia" w:ascii="宋体" w:hAnsi="宋体" w:eastAsia="宋体" w:cs="宋体"/>
                <w:kern w:val="0"/>
                <w:sz w:val="24"/>
                <w:szCs w:val="24"/>
                <w:highlight w:val="none"/>
                <w:shd w:val="clear" w:color="auto" w:fill="FFFFFF"/>
                <w:lang w:val="en-US" w:eastAsia="zh-CN" w:bidi="ar-SA"/>
              </w:rPr>
              <w:t>：</w:t>
            </w:r>
          </w:p>
          <w:p w14:paraId="5FC75579">
            <w:pPr>
              <w:autoSpaceDE w:val="0"/>
              <w:autoSpaceDN w:val="0"/>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供应商应为具有独立承担民事责任能力且具备向采购人提供相关服务的企业法人、事业法人、其他组织或自然人。企业法人应提供具有统一社会信用代码的营业执照；事业法人应提供事业单位法人证等证明文件；其他组织应提供合法证明文件；自然人提供身份证明文件；</w:t>
            </w:r>
          </w:p>
          <w:p w14:paraId="51FD156F">
            <w:pPr>
              <w:pStyle w:val="14"/>
              <w:numPr>
                <w:ilvl w:val="0"/>
                <w:numId w:val="0"/>
              </w:numPr>
              <w:rPr>
                <w:rFonts w:hint="eastAsia"/>
                <w:lang w:val="en-US" w:eastAsia="zh-CN"/>
              </w:rPr>
            </w:pPr>
          </w:p>
          <w:p w14:paraId="5FF526B9">
            <w:pPr>
              <w:autoSpaceDE w:val="0"/>
              <w:autoSpaceDN w:val="0"/>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Times New Roman" w:hAnsi="Times New Roman" w:eastAsia="宋体" w:cs="Times New Roman"/>
                <w:b/>
                <w:bCs/>
                <w:sz w:val="24"/>
                <w:szCs w:val="24"/>
                <w:lang w:val="en-US" w:eastAsia="zh-CN"/>
              </w:rPr>
              <w:t>(2)根据《陕西省西咸新区财政金融局关于全面推行政府采购供应商基本资格条件承诺制的通知 （陕西咸财金发〔2023〕119 号）》供应商在参与政府采购活动时，不再需要提供 :1）符合国家规定的财务的证明材料、 2）依法缴纳税收的证明材料、 3）依法缴纳社会保障金的证明材料、 4）具备履行合同所必需的设备和专业技术能力的证明材料、 5）参加政府采购活动（以开</w:t>
            </w:r>
            <w:r>
              <w:rPr>
                <w:rFonts w:hint="eastAsia" w:ascii="Times New Roman" w:cs="Times New Roman"/>
                <w:b/>
                <w:bCs/>
                <w:sz w:val="24"/>
                <w:szCs w:val="24"/>
                <w:lang w:val="en-US" w:eastAsia="zh-CN"/>
              </w:rPr>
              <w:t>标</w:t>
            </w:r>
            <w:r>
              <w:rPr>
                <w:rFonts w:hint="eastAsia" w:ascii="Times New Roman" w:hAnsi="Times New Roman" w:eastAsia="宋体" w:cs="Times New Roman"/>
                <w:b/>
                <w:bCs/>
                <w:sz w:val="24"/>
                <w:szCs w:val="24"/>
                <w:lang w:val="en-US" w:eastAsia="zh-CN"/>
              </w:rPr>
              <w:t>时间为准）前 3 年内，在经营活动中没有重大违法记录证明材料。供应商只需以书面形式提供规定格式的《基本资格条件承诺函》，</w:t>
            </w:r>
            <w:r>
              <w:rPr>
                <w:rFonts w:hint="eastAsia"/>
                <w:b/>
                <w:bCs/>
                <w:sz w:val="24"/>
                <w:szCs w:val="24"/>
                <w:lang w:val="en-US" w:eastAsia="zh-CN"/>
              </w:rPr>
              <w:t>不提供《基本资格条件承诺函》的供应商需提交相关证明材料。</w:t>
            </w:r>
            <w:r>
              <w:rPr>
                <w:rFonts w:hint="eastAsia" w:ascii="宋体" w:hAnsi="宋体" w:eastAsia="宋体" w:cs="宋体"/>
                <w:b/>
                <w:bCs/>
                <w:sz w:val="24"/>
                <w:szCs w:val="24"/>
                <w:highlight w:val="none"/>
                <w:lang w:val="en-US" w:eastAsia="zh-CN"/>
              </w:rPr>
              <w:t xml:space="preserve">提供《基本资格条件承诺函》，供应商应对承诺内容的真实性、合法性、有效性负责。经调查核实为虚假承诺的，视同为“提供虚假材料谋取中标、成交”的违法行为，依照《中华人民共和国政府采购法》等法律法规追究相应责任。承诺函格式详情见投标文件附件。 </w:t>
            </w:r>
          </w:p>
          <w:p w14:paraId="7D512EF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不提供《基本资格条件承诺函》的供应商需提交如下资格证明文件：</w:t>
            </w:r>
          </w:p>
          <w:p w14:paraId="447859C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年度经审计的财务报告（成立时间至提交投标文件截止时间不足一年的可提供成立后任意时段的资产负债表）</w:t>
            </w:r>
            <w:r>
              <w:rPr>
                <w:rFonts w:hint="eastAsia" w:ascii="宋体" w:hAnsi="宋体" w:eastAsia="宋体" w:cs="宋体"/>
                <w:sz w:val="24"/>
                <w:szCs w:val="24"/>
                <w:highlight w:val="none"/>
              </w:rPr>
              <w:t>，或其基本存款账户开户银行出具的资信证明及基本存款账户开户许可证（基本账户信息表）；</w:t>
            </w:r>
          </w:p>
          <w:p w14:paraId="4002ABF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截止日前一年内已缴纳的至少一个月的纳税证明或完税证明，依法免税的单位应提供相关证明材料；</w:t>
            </w:r>
          </w:p>
          <w:p w14:paraId="01749740">
            <w:pPr>
              <w:autoSpaceDE w:val="0"/>
              <w:autoSpaceDN w:val="0"/>
              <w:adjustRightInd w:val="0"/>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截止日前一年内已缴存的至少一个月的社会保障资金缴存单据或社保机构开具的社会保险参保缴费情况证明，依法不需要缴纳社会保障资金的单位应提供相关证明材料；</w:t>
            </w:r>
          </w:p>
          <w:p w14:paraId="7C874521">
            <w:pPr>
              <w:autoSpaceDE w:val="0"/>
              <w:autoSpaceDN w:val="0"/>
              <w:adjustRightInd w:val="0"/>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提供具有履行合同所必需的设备和专业技术能力的承诺；（格式自拟）</w:t>
            </w:r>
          </w:p>
          <w:p w14:paraId="331B77F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参加政府采购活动前3年内，在经营活动中没有重大违法记录的书面声明；（格式自拟）</w:t>
            </w:r>
          </w:p>
          <w:p w14:paraId="099E9888">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240" w:firstLineChars="1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特定资格条件：</w:t>
            </w:r>
          </w:p>
          <w:p w14:paraId="45E62B5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1）法定代表人授权书（附法定代表人、被授权人身份证复印件）及被授权人身份证（法定代表人直接参加磋商，须提供法定代表人身份证明及身份证</w:t>
            </w:r>
            <w:r>
              <w:rPr>
                <w:rFonts w:hint="eastAsia" w:ascii="宋体" w:hAnsi="宋体" w:eastAsia="宋体" w:cs="宋体"/>
                <w:i w:val="0"/>
                <w:iCs w:val="0"/>
                <w:caps w:val="0"/>
                <w:color w:val="auto"/>
                <w:spacing w:val="0"/>
                <w:sz w:val="24"/>
                <w:szCs w:val="24"/>
                <w:highlight w:val="none"/>
                <w:shd w:val="clear" w:fill="FFFFFF"/>
                <w:lang w:val="en-US" w:eastAsia="zh-CN"/>
              </w:rPr>
              <w:t>复印件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 xml:space="preserve">  </w:t>
            </w:r>
          </w:p>
          <w:p w14:paraId="16A0CED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lang w:eastAsia="zh-CN"/>
              </w:rPr>
              <w:t>未被“中国执行信息公开网”（http://zxgk.court.gov.cn/shixin/）列入失信被执行人、未被“信用中国”网站（www.creditchina.gov.cn）列入重大税收违法案件当事人名单及未被“中国政府采购网”（http://www.ccgp.gov.cn/）列入政府采购严重违法失信行为记录名单；（提供查询结果网页截图并加盖投标人公章，查询时间为文件发售期至</w:t>
            </w:r>
            <w:r>
              <w:rPr>
                <w:rFonts w:hint="eastAsia" w:ascii="宋体" w:hAnsi="宋体" w:eastAsia="宋体" w:cs="宋体"/>
                <w:i w:val="0"/>
                <w:iCs w:val="0"/>
                <w:caps w:val="0"/>
                <w:color w:val="auto"/>
                <w:spacing w:val="0"/>
                <w:sz w:val="24"/>
                <w:szCs w:val="24"/>
                <w:highlight w:val="none"/>
                <w:shd w:val="clear" w:fill="FFFFFF"/>
                <w:lang w:val="en-US" w:eastAsia="zh-CN"/>
              </w:rPr>
              <w:t>磋商</w:t>
            </w:r>
            <w:r>
              <w:rPr>
                <w:rFonts w:hint="eastAsia" w:ascii="宋体" w:hAnsi="宋体" w:eastAsia="宋体" w:cs="宋体"/>
                <w:i w:val="0"/>
                <w:iCs w:val="0"/>
                <w:caps w:val="0"/>
                <w:color w:val="auto"/>
                <w:spacing w:val="0"/>
                <w:sz w:val="24"/>
                <w:szCs w:val="24"/>
                <w:highlight w:val="none"/>
                <w:shd w:val="clear" w:fill="FFFFFF"/>
                <w:lang w:eastAsia="zh-CN"/>
              </w:rPr>
              <w:t>时间内）；</w:t>
            </w:r>
          </w:p>
          <w:p w14:paraId="6B01D03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单位负责人为同一人或者存在直接控股、管理关系的不同供应商，不得同时参加本项目采购活动；</w:t>
            </w:r>
          </w:p>
          <w:p w14:paraId="46705B15">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highlight w:val="none"/>
                <w:lang w:val="en-US" w:eastAsia="zh-CN"/>
              </w:rPr>
              <w:t>4）供应商须具有司法部门核发的有效的《律师事务所执业许可证》</w:t>
            </w:r>
            <w:r>
              <w:rPr>
                <w:rFonts w:hint="eastAsia" w:ascii="宋体" w:hAnsi="宋体" w:eastAsia="宋体" w:cs="宋体"/>
                <w:i w:val="0"/>
                <w:iCs w:val="0"/>
                <w:caps w:val="0"/>
                <w:color w:val="auto"/>
                <w:spacing w:val="0"/>
                <w:sz w:val="24"/>
                <w:szCs w:val="24"/>
                <w:highlight w:val="none"/>
                <w:shd w:val="clear" w:fill="FFFFFF"/>
                <w:lang w:eastAsia="zh-CN"/>
              </w:rPr>
              <w:t>；</w:t>
            </w:r>
          </w:p>
          <w:p w14:paraId="7D550FC8">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5）不接受联合体磋商</w:t>
            </w:r>
          </w:p>
        </w:tc>
      </w:tr>
    </w:tbl>
    <w:p w14:paraId="6DE9DB13">
      <w:pPr>
        <w:spacing w:line="360" w:lineRule="auto"/>
        <w:rPr>
          <w:rFonts w:hint="eastAsia" w:ascii="宋体" w:hAnsi="宋体" w:eastAsia="宋体" w:cs="宋体"/>
          <w:color w:val="auto"/>
          <w:highlight w:val="none"/>
        </w:rPr>
      </w:pPr>
    </w:p>
    <w:p w14:paraId="19A6DB14">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26.2响应文件符合性审查：依据磋商文件的规定，从响应文件的有效性、完整性和对磋商文件的响应程度进行审查，以确定是否对磋商文件的实质性内容作出响应。</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2448"/>
        <w:gridCol w:w="5781"/>
      </w:tblGrid>
      <w:tr w14:paraId="3013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86E93D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48" w:type="dxa"/>
            <w:tcBorders>
              <w:top w:val="single" w:color="auto" w:sz="4" w:space="0"/>
              <w:left w:val="single" w:color="auto" w:sz="4" w:space="0"/>
              <w:bottom w:val="single" w:color="auto" w:sz="4" w:space="0"/>
              <w:right w:val="single" w:color="auto" w:sz="4" w:space="0"/>
            </w:tcBorders>
            <w:vAlign w:val="center"/>
          </w:tcPr>
          <w:p w14:paraId="1365C17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符合审查项</w:t>
            </w:r>
          </w:p>
        </w:tc>
        <w:tc>
          <w:tcPr>
            <w:tcW w:w="5781" w:type="dxa"/>
            <w:tcBorders>
              <w:top w:val="single" w:color="auto" w:sz="4" w:space="0"/>
              <w:left w:val="single" w:color="auto" w:sz="4" w:space="0"/>
              <w:bottom w:val="single" w:color="auto" w:sz="4" w:space="0"/>
              <w:right w:val="single" w:color="auto" w:sz="4" w:space="0"/>
            </w:tcBorders>
            <w:vAlign w:val="center"/>
          </w:tcPr>
          <w:p w14:paraId="5921F58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通过条件</w:t>
            </w:r>
          </w:p>
        </w:tc>
      </w:tr>
      <w:tr w14:paraId="64C9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2E1FB1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2448" w:type="dxa"/>
            <w:tcBorders>
              <w:top w:val="single" w:color="auto" w:sz="4" w:space="0"/>
              <w:left w:val="single" w:color="auto" w:sz="4" w:space="0"/>
              <w:bottom w:val="single" w:color="auto" w:sz="4" w:space="0"/>
              <w:right w:val="single" w:color="auto" w:sz="4" w:space="0"/>
            </w:tcBorders>
            <w:vAlign w:val="center"/>
          </w:tcPr>
          <w:p w14:paraId="15B7E23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响应文件签署、盖章</w:t>
            </w:r>
          </w:p>
        </w:tc>
        <w:tc>
          <w:tcPr>
            <w:tcW w:w="5781" w:type="dxa"/>
            <w:tcBorders>
              <w:top w:val="single" w:color="auto" w:sz="4" w:space="0"/>
              <w:left w:val="single" w:color="auto" w:sz="4" w:space="0"/>
              <w:bottom w:val="single" w:color="auto" w:sz="4" w:space="0"/>
              <w:right w:val="single" w:color="auto" w:sz="4" w:space="0"/>
            </w:tcBorders>
            <w:vAlign w:val="center"/>
          </w:tcPr>
          <w:p w14:paraId="4B9561A6">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符合磋商文件要求。</w:t>
            </w:r>
          </w:p>
        </w:tc>
      </w:tr>
      <w:tr w14:paraId="4D4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B096FC2">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p>
        </w:tc>
        <w:tc>
          <w:tcPr>
            <w:tcW w:w="2448" w:type="dxa"/>
            <w:tcBorders>
              <w:top w:val="single" w:color="auto" w:sz="4" w:space="0"/>
              <w:left w:val="single" w:color="auto" w:sz="4" w:space="0"/>
              <w:bottom w:val="single" w:color="auto" w:sz="4" w:space="0"/>
              <w:right w:val="single" w:color="auto" w:sz="4" w:space="0"/>
            </w:tcBorders>
            <w:vAlign w:val="center"/>
          </w:tcPr>
          <w:p w14:paraId="665FA0F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磋商有效期</w:t>
            </w:r>
          </w:p>
        </w:tc>
        <w:tc>
          <w:tcPr>
            <w:tcW w:w="5781" w:type="dxa"/>
            <w:tcBorders>
              <w:top w:val="single" w:color="auto" w:sz="4" w:space="0"/>
              <w:left w:val="single" w:color="auto" w:sz="4" w:space="0"/>
              <w:bottom w:val="single" w:color="auto" w:sz="4" w:space="0"/>
              <w:right w:val="single" w:color="auto" w:sz="4" w:space="0"/>
            </w:tcBorders>
            <w:vAlign w:val="center"/>
          </w:tcPr>
          <w:p w14:paraId="059F0AF4">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符合磋商文件要求。</w:t>
            </w:r>
          </w:p>
        </w:tc>
      </w:tr>
      <w:tr w14:paraId="726F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E482050">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48" w:type="dxa"/>
            <w:tcBorders>
              <w:top w:val="single" w:color="auto" w:sz="4" w:space="0"/>
              <w:left w:val="single" w:color="auto" w:sz="4" w:space="0"/>
              <w:bottom w:val="single" w:color="auto" w:sz="4" w:space="0"/>
              <w:right w:val="single" w:color="auto" w:sz="4" w:space="0"/>
            </w:tcBorders>
            <w:vAlign w:val="center"/>
          </w:tcPr>
          <w:p w14:paraId="3AB0EA3B">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服务期限</w:t>
            </w:r>
          </w:p>
        </w:tc>
        <w:tc>
          <w:tcPr>
            <w:tcW w:w="5781" w:type="dxa"/>
            <w:tcBorders>
              <w:top w:val="single" w:color="auto" w:sz="4" w:space="0"/>
              <w:left w:val="single" w:color="auto" w:sz="4" w:space="0"/>
              <w:bottom w:val="single" w:color="auto" w:sz="4" w:space="0"/>
              <w:right w:val="single" w:color="auto" w:sz="4" w:space="0"/>
            </w:tcBorders>
            <w:vAlign w:val="center"/>
          </w:tcPr>
          <w:p w14:paraId="55B8077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符合磋商文件要求。</w:t>
            </w:r>
          </w:p>
        </w:tc>
      </w:tr>
      <w:tr w14:paraId="06B1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A3C30F7">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p>
        </w:tc>
        <w:tc>
          <w:tcPr>
            <w:tcW w:w="2448" w:type="dxa"/>
            <w:tcBorders>
              <w:top w:val="single" w:color="auto" w:sz="4" w:space="0"/>
              <w:left w:val="single" w:color="auto" w:sz="4" w:space="0"/>
              <w:bottom w:val="single" w:color="auto" w:sz="4" w:space="0"/>
              <w:right w:val="single" w:color="auto" w:sz="4" w:space="0"/>
            </w:tcBorders>
            <w:vAlign w:val="center"/>
          </w:tcPr>
          <w:p w14:paraId="78D6D2D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磋商报价</w:t>
            </w:r>
          </w:p>
        </w:tc>
        <w:tc>
          <w:tcPr>
            <w:tcW w:w="5781" w:type="dxa"/>
            <w:tcBorders>
              <w:top w:val="single" w:color="auto" w:sz="4" w:space="0"/>
              <w:left w:val="single" w:color="auto" w:sz="4" w:space="0"/>
              <w:bottom w:val="single" w:color="auto" w:sz="4" w:space="0"/>
              <w:right w:val="single" w:color="auto" w:sz="4" w:space="0"/>
            </w:tcBorders>
            <w:vAlign w:val="center"/>
          </w:tcPr>
          <w:p w14:paraId="240AE218">
            <w:pPr>
              <w:numPr>
                <w:ilvl w:val="0"/>
                <w:numId w:val="8"/>
              </w:numPr>
              <w:spacing w:line="360" w:lineRule="auto"/>
              <w:rPr>
                <w:rFonts w:hint="eastAsia"/>
                <w:color w:val="auto"/>
                <w:highlight w:val="none"/>
              </w:rPr>
            </w:pPr>
            <w:r>
              <w:rPr>
                <w:rFonts w:hint="eastAsia" w:ascii="宋体" w:hAnsi="宋体" w:eastAsia="宋体" w:cs="宋体"/>
                <w:bCs/>
                <w:color w:val="auto"/>
                <w:sz w:val="24"/>
                <w:szCs w:val="24"/>
                <w:highlight w:val="none"/>
              </w:rPr>
              <w:t>磋商报价符合唯一性要求；</w:t>
            </w:r>
          </w:p>
          <w:p w14:paraId="5D6F4019">
            <w:pPr>
              <w:numPr>
                <w:ilvl w:val="0"/>
                <w:numId w:val="8"/>
              </w:numPr>
              <w:spacing w:line="360" w:lineRule="auto"/>
              <w:jc w:val="left"/>
              <w:rPr>
                <w:color w:val="auto"/>
                <w:highlight w:val="none"/>
              </w:rPr>
            </w:pPr>
            <w:r>
              <w:rPr>
                <w:rFonts w:hint="eastAsia" w:ascii="宋体" w:hAnsi="宋体" w:cs="宋体"/>
                <w:bCs/>
                <w:color w:val="auto"/>
                <w:sz w:val="24"/>
                <w:highlight w:val="none"/>
              </w:rPr>
              <w:t xml:space="preserve">第一次磋商报价表填写符合要求； </w:t>
            </w:r>
          </w:p>
          <w:p w14:paraId="122FBF16">
            <w:pPr>
              <w:numPr>
                <w:ilvl w:val="0"/>
                <w:numId w:val="8"/>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计量单位、报价货币均符合磋商文件要求；</w:t>
            </w:r>
          </w:p>
          <w:p w14:paraId="0E23DBC3">
            <w:pPr>
              <w:numPr>
                <w:ilvl w:val="0"/>
                <w:numId w:val="8"/>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未超出采购预算或磋商文件规定的最高限价。</w:t>
            </w:r>
          </w:p>
        </w:tc>
      </w:tr>
    </w:tbl>
    <w:p w14:paraId="0BE5CD8D">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26.3经过对供应商及响应文件的资格性、符合性审查，出现下列情况者，按无效处理。</w:t>
      </w:r>
    </w:p>
    <w:p w14:paraId="00365497">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26.4供应商没有经过正常渠道获取标书或供应商的名称与登记领取磋商文件供应商的名称不符；</w:t>
      </w:r>
    </w:p>
    <w:p w14:paraId="1179881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26.4.1响应文件没有法定代表人授权书（法人直接参加除外）或授权书的合法性或有效性不符合磋商文件规定；</w:t>
      </w:r>
    </w:p>
    <w:p w14:paraId="3405430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26.4.2供应商资质的有效性或符合性不符合要求的；</w:t>
      </w:r>
    </w:p>
    <w:p w14:paraId="569D017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26.4.3供应商未按磋商文件要求提供磋商保证金的；</w:t>
      </w:r>
    </w:p>
    <w:p w14:paraId="734C32AF">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26.4.4响应文件未按磋商文件规定有效签字和盖章的；或由供应商授权代表签字的,但未随响应文件一起提交有效的“授权委托书”原件的；</w:t>
      </w:r>
    </w:p>
    <w:p w14:paraId="7D21A898">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26.4.5磋商有效期不足的；</w:t>
      </w:r>
    </w:p>
    <w:p w14:paraId="5E8FFA3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26.4.6磋商内容出现漏项或数量与要求不符，出现重大负偏差；</w:t>
      </w:r>
    </w:p>
    <w:p w14:paraId="15840B23">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26.4.7响应文件的合同主要条款响应与磋商文件要求不一致（付款、验收等项），附加了采购人难以接受的条件；</w:t>
      </w:r>
    </w:p>
    <w:p w14:paraId="2D5F642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26.4.8规定不接受选择方案和选择报价（包括交叉折扣）的，供应商提供了选择方案和/或选择报价（包括交叉折扣）；</w:t>
      </w:r>
    </w:p>
    <w:p w14:paraId="2C4BC25C">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26.4.9磋商报价与市场价偏离较大，低于成本，形成不正当竞争；</w:t>
      </w:r>
    </w:p>
    <w:p w14:paraId="7BD8335F">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26.4.10磋商报价超出采购预算的；</w:t>
      </w:r>
    </w:p>
    <w:p w14:paraId="7762CF80">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26.4.11提供虚假证明，开具虚假资质，出现虚假应答，除按无效标处理外，还进行相应的处罚；</w:t>
      </w:r>
    </w:p>
    <w:p w14:paraId="4FABB0A6">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26.4.12违反磋商文件其他有关规定或相关法律法规规定的；</w:t>
      </w:r>
    </w:p>
    <w:p w14:paraId="65A946B3">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32" w:name="_Toc311415600"/>
      <w:bookmarkStart w:id="133" w:name="_Toc11645"/>
      <w:bookmarkStart w:id="134" w:name="_Toc423508251"/>
      <w:r>
        <w:rPr>
          <w:rFonts w:hint="eastAsia" w:ascii="宋体" w:hAnsi="宋体" w:eastAsia="宋体" w:cs="宋体"/>
          <w:color w:val="auto"/>
          <w:sz w:val="24"/>
          <w:szCs w:val="24"/>
          <w:highlight w:val="none"/>
        </w:rPr>
        <w:t>27．响应文件的澄清</w:t>
      </w:r>
      <w:bookmarkEnd w:id="132"/>
      <w:bookmarkEnd w:id="133"/>
      <w:bookmarkEnd w:id="134"/>
    </w:p>
    <w:p w14:paraId="6AAFC2EF">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在评审期间, 磋商小组在对响应文件的有效性、完整性和响应程度进行审查时，可以要求供应商对响应文件中含义不明确、同类问题表述不一致或者有明显文字和计算错误的内容等作出必要的澄清、说明或者更正。</w:t>
      </w:r>
    </w:p>
    <w:p w14:paraId="35EC298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27.2供应商应采用书面形式进行澄清或说明，但不得超出响应文件的范围或改变响应文件的实质性内容。供应商的澄清、说明或者更正应当由法定代表人或其授权代表签字。</w:t>
      </w:r>
    </w:p>
    <w:p w14:paraId="798BB7BD">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35" w:name="_Toc423508252"/>
      <w:bookmarkStart w:id="136" w:name="_Toc5234"/>
      <w:r>
        <w:rPr>
          <w:rFonts w:hint="eastAsia" w:ascii="宋体" w:hAnsi="宋体" w:eastAsia="宋体" w:cs="宋体"/>
          <w:color w:val="auto"/>
          <w:sz w:val="24"/>
          <w:szCs w:val="24"/>
          <w:highlight w:val="none"/>
        </w:rPr>
        <w:t>28．响应文件的比较和评价</w:t>
      </w:r>
      <w:bookmarkEnd w:id="135"/>
      <w:bookmarkEnd w:id="136"/>
    </w:p>
    <w:p w14:paraId="449F4C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28.1磋商小组在评审过程中，发现响应文件出现下列情况之一者，按以下原则修正：</w:t>
      </w:r>
    </w:p>
    <w:p w14:paraId="7CA17996">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28.1.1第一次磋商报价表内容与响应文件中报价内容不一致的，以第一次磋商报价表为准；</w:t>
      </w:r>
    </w:p>
    <w:p w14:paraId="5D85A22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28.1.2大写金额和小写金额不一致的，以大写金额为准；</w:t>
      </w:r>
    </w:p>
    <w:p w14:paraId="249D8D3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28.1.3如果以单价计算的结果与总价不一致，则以单价为准修改总价；单价金额小数点有明显错位的，应以总价为准，并修改单价；</w:t>
      </w:r>
    </w:p>
    <w:p w14:paraId="24FC28E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28.1.4如果用文字表示的数值与用数字表示的数值不一致，以文字表示的值为准。</w:t>
      </w:r>
    </w:p>
    <w:p w14:paraId="7D0739FB">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28.1.5对不同文字文本响应文件的解释发生异议的，以中文文本为准；</w:t>
      </w:r>
    </w:p>
    <w:p w14:paraId="4CDA137E">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28.1.6正本与副本不一致的，以正本为准。</w:t>
      </w:r>
    </w:p>
    <w:p w14:paraId="31E070CD">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28.2如果磋商实质上没有响应磋商文件的要求，其磋商将被拒绝，供应商不得通过修正或撤消不合要求的偏离或保留从而使其磋商成为实质上响应的磋商。</w:t>
      </w:r>
    </w:p>
    <w:p w14:paraId="69238294">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28.3评审程序：采取逐项分步评审方式，每一步评审不符合者，不进入下一步评审，先进行资格性审查，再进行符合性审查。</w:t>
      </w:r>
    </w:p>
    <w:p w14:paraId="53A8979E">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28.4磋商小组所有成员对上述审查合格的响应磋商文件的单一供应商分别进行磋商，并给予参加磋商的供应商平等的磋商机会。磋商过程中所有磋商所有报价现场不对供应商公开宣读。</w:t>
      </w:r>
    </w:p>
    <w:p w14:paraId="0351D97F">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14:paraId="13B7BE19">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28.6磋商文件能够详细列明采购标的的技术、服务要求的，磋商结束后，磋商小组应当要求所有实质性响应的供应商在规定时间内提交最后报价。</w:t>
      </w:r>
    </w:p>
    <w:p w14:paraId="74D4969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28.7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够提供相关材料证明其报价的合理性，其最后报价为无效报价。</w:t>
      </w:r>
    </w:p>
    <w:p w14:paraId="06D2EC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28.8经磋商确定最终采购需求和提交最后报价的供应商后，由磋商小组采用综合评分法对提交最后报价的供应商的响应文件和最后报价进行综合评分。</w:t>
      </w:r>
    </w:p>
    <w:p w14:paraId="6127678B">
      <w:pPr>
        <w:pStyle w:val="6"/>
        <w:overflowPunct w:val="0"/>
        <w:adjustRightInd w:val="0"/>
        <w:snapToGrid w:val="0"/>
        <w:spacing w:line="360" w:lineRule="auto"/>
        <w:rPr>
          <w:rFonts w:hint="eastAsia" w:ascii="宋体" w:hAnsi="宋体" w:eastAsia="宋体" w:cs="宋体"/>
          <w:color w:val="auto"/>
          <w:sz w:val="24"/>
          <w:szCs w:val="24"/>
          <w:highlight w:val="none"/>
        </w:rPr>
      </w:pPr>
      <w:bookmarkStart w:id="137" w:name="_Toc423508253"/>
      <w:bookmarkStart w:id="138" w:name="_Toc311415604"/>
      <w:bookmarkStart w:id="139" w:name="_Toc9575"/>
      <w:r>
        <w:rPr>
          <w:rFonts w:hint="eastAsia" w:ascii="宋体" w:hAnsi="宋体" w:eastAsia="宋体" w:cs="宋体"/>
          <w:color w:val="auto"/>
          <w:sz w:val="24"/>
          <w:szCs w:val="24"/>
          <w:highlight w:val="none"/>
        </w:rPr>
        <w:t>29．评审原则及主要方法</w:t>
      </w:r>
      <w:bookmarkEnd w:id="137"/>
      <w:bookmarkEnd w:id="138"/>
      <w:bookmarkEnd w:id="139"/>
    </w:p>
    <w:p w14:paraId="6881345D">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磋商小组将遵循公平、公正和择优的原则，对所有提交最后报价的供应商的响应文件评审，都采用相同的程序和标准。</w:t>
      </w:r>
    </w:p>
    <w:p w14:paraId="3FCB072D">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 评审过程的保密：在响应文件的评审、比较、成交候选供应商推荐以及授予合同的过程中，供应商向采购人和磋商小组施加影响的任何行为，都将会导致其报价被拒绝。</w:t>
      </w:r>
    </w:p>
    <w:p w14:paraId="45160F90">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评审办法：综合评分法，是指响应文件满足磋商文件全部实质性要求且按评审因素的量化指标评审得分最高的供应商为成交候选供应商的评审方法（本项目不保证最低价中标），本项目磋商小组根据量化指标评审得分由高到底推荐1-3名成交候选</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p>
    <w:p w14:paraId="0D5EEC62">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9FBD69">
      <w:pPr>
        <w:tabs>
          <w:tab w:val="left" w:pos="1800"/>
        </w:tabs>
        <w:overflowPunct w:val="0"/>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评分标准</w:t>
      </w:r>
    </w:p>
    <w:tbl>
      <w:tblPr>
        <w:tblStyle w:val="21"/>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999"/>
        <w:gridCol w:w="6379"/>
        <w:gridCol w:w="709"/>
      </w:tblGrid>
      <w:tr w14:paraId="63025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3093CF36">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项别</w:t>
            </w:r>
          </w:p>
        </w:tc>
        <w:tc>
          <w:tcPr>
            <w:tcW w:w="1639" w:type="dxa"/>
            <w:gridSpan w:val="2"/>
            <w:tcBorders>
              <w:top w:val="single" w:color="auto" w:sz="12" w:space="0"/>
              <w:bottom w:val="single" w:color="auto" w:sz="2" w:space="0"/>
            </w:tcBorders>
            <w:shd w:val="clear" w:color="auto" w:fill="F1F1F1" w:themeFill="background1" w:themeFillShade="F2"/>
            <w:vAlign w:val="center"/>
          </w:tcPr>
          <w:p w14:paraId="249DFC86">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总分值</w:t>
            </w:r>
          </w:p>
        </w:tc>
        <w:tc>
          <w:tcPr>
            <w:tcW w:w="6379" w:type="dxa"/>
            <w:vMerge w:val="restart"/>
            <w:tcBorders>
              <w:top w:val="single" w:color="auto" w:sz="12" w:space="0"/>
              <w:bottom w:val="single" w:color="auto" w:sz="2" w:space="0"/>
            </w:tcBorders>
            <w:shd w:val="clear" w:color="auto" w:fill="F1F1F1" w:themeFill="background1" w:themeFillShade="F2"/>
            <w:vAlign w:val="center"/>
          </w:tcPr>
          <w:p w14:paraId="19716719">
            <w:pPr>
              <w:spacing w:line="400" w:lineRule="exact"/>
              <w:ind w:firstLine="422"/>
              <w:jc w:val="center"/>
              <w:rPr>
                <w:rFonts w:asciiTheme="minorEastAsia" w:hAnsiTheme="minorEastAsia" w:cstheme="minorHAnsi"/>
                <w:b/>
                <w:bCs/>
                <w:sz w:val="21"/>
                <w:szCs w:val="21"/>
              </w:rPr>
            </w:pPr>
            <w:r>
              <w:rPr>
                <w:rFonts w:asciiTheme="minorEastAsia" w:hAnsiTheme="minorEastAsia" w:cstheme="minorHAnsi"/>
                <w:b/>
                <w:bCs/>
                <w:sz w:val="21"/>
                <w:szCs w:val="21"/>
              </w:rPr>
              <w:t>评分标准</w:t>
            </w:r>
          </w:p>
        </w:tc>
        <w:tc>
          <w:tcPr>
            <w:tcW w:w="709" w:type="dxa"/>
            <w:vMerge w:val="restart"/>
            <w:tcBorders>
              <w:top w:val="single" w:color="auto" w:sz="12" w:space="0"/>
              <w:bottom w:val="single" w:color="auto" w:sz="2" w:space="0"/>
            </w:tcBorders>
            <w:shd w:val="clear" w:color="auto" w:fill="F1F1F1" w:themeFill="background1" w:themeFillShade="F2"/>
            <w:vAlign w:val="center"/>
          </w:tcPr>
          <w:p w14:paraId="65DA9304">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备注</w:t>
            </w:r>
          </w:p>
        </w:tc>
      </w:tr>
      <w:tr w14:paraId="06F3E0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11B2E8">
            <w:pPr>
              <w:spacing w:line="400" w:lineRule="exact"/>
              <w:jc w:val="center"/>
              <w:rPr>
                <w:rFonts w:asciiTheme="minorEastAsia" w:hAnsiTheme="minorEastAsia"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347DCF24">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100</w:t>
            </w:r>
          </w:p>
        </w:tc>
        <w:tc>
          <w:tcPr>
            <w:tcW w:w="999" w:type="dxa"/>
            <w:tcBorders>
              <w:top w:val="single" w:color="auto" w:sz="2" w:space="0"/>
              <w:bottom w:val="single" w:color="auto" w:sz="2" w:space="0"/>
            </w:tcBorders>
            <w:shd w:val="clear" w:color="auto" w:fill="F1F1F1" w:themeFill="background1" w:themeFillShade="F2"/>
            <w:vAlign w:val="center"/>
          </w:tcPr>
          <w:p w14:paraId="19381C2A">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分项最高分值</w:t>
            </w:r>
          </w:p>
        </w:tc>
        <w:tc>
          <w:tcPr>
            <w:tcW w:w="6379" w:type="dxa"/>
            <w:vMerge w:val="continue"/>
            <w:tcBorders>
              <w:top w:val="single" w:color="auto" w:sz="2" w:space="0"/>
              <w:bottom w:val="single" w:color="auto" w:sz="2" w:space="0"/>
            </w:tcBorders>
            <w:shd w:val="clear" w:color="auto" w:fill="F1F1F1" w:themeFill="background1" w:themeFillShade="F2"/>
            <w:vAlign w:val="center"/>
          </w:tcPr>
          <w:p w14:paraId="34982AE1">
            <w:pPr>
              <w:spacing w:line="400" w:lineRule="exact"/>
              <w:ind w:firstLine="420"/>
              <w:jc w:val="center"/>
              <w:rPr>
                <w:rFonts w:asciiTheme="minorEastAsia" w:hAnsiTheme="minorEastAsia" w:cstheme="minorHAnsi"/>
                <w:bCs/>
                <w:sz w:val="21"/>
                <w:szCs w:val="21"/>
              </w:rPr>
            </w:pPr>
          </w:p>
        </w:tc>
        <w:tc>
          <w:tcPr>
            <w:tcW w:w="709" w:type="dxa"/>
            <w:vMerge w:val="continue"/>
            <w:tcBorders>
              <w:top w:val="single" w:color="auto" w:sz="2" w:space="0"/>
              <w:bottom w:val="single" w:color="auto" w:sz="2" w:space="0"/>
            </w:tcBorders>
            <w:shd w:val="clear" w:color="auto" w:fill="F1F1F1" w:themeFill="background1" w:themeFillShade="F2"/>
            <w:vAlign w:val="center"/>
          </w:tcPr>
          <w:p w14:paraId="5A12149A">
            <w:pPr>
              <w:spacing w:line="400" w:lineRule="exact"/>
              <w:jc w:val="center"/>
              <w:rPr>
                <w:rFonts w:asciiTheme="minorEastAsia" w:hAnsiTheme="minorEastAsia" w:cstheme="minorHAnsi"/>
                <w:bCs/>
                <w:sz w:val="21"/>
                <w:szCs w:val="21"/>
              </w:rPr>
            </w:pPr>
          </w:p>
        </w:tc>
      </w:tr>
      <w:tr w14:paraId="58691B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124CA940">
            <w:pPr>
              <w:spacing w:line="400" w:lineRule="exact"/>
              <w:jc w:val="center"/>
              <w:rPr>
                <w:rFonts w:cs="宋体" w:asciiTheme="minorEastAsia" w:hAnsiTheme="minorEastAsia"/>
                <w:bCs/>
                <w:sz w:val="21"/>
                <w:szCs w:val="21"/>
              </w:rPr>
            </w:pPr>
            <w:r>
              <w:rPr>
                <w:rFonts w:hint="eastAsia" w:cs="宋体" w:asciiTheme="minorEastAsia" w:hAnsiTheme="minorEastAsia"/>
                <w:b/>
                <w:sz w:val="21"/>
                <w:szCs w:val="21"/>
              </w:rPr>
              <w:t>价格</w:t>
            </w:r>
          </w:p>
        </w:tc>
        <w:tc>
          <w:tcPr>
            <w:tcW w:w="640" w:type="dxa"/>
            <w:tcBorders>
              <w:top w:val="single" w:color="auto" w:sz="2" w:space="0"/>
            </w:tcBorders>
            <w:shd w:val="clear" w:color="auto" w:fill="auto"/>
            <w:vAlign w:val="center"/>
          </w:tcPr>
          <w:p w14:paraId="3A31E7AF">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10</w:t>
            </w:r>
          </w:p>
        </w:tc>
        <w:tc>
          <w:tcPr>
            <w:tcW w:w="999" w:type="dxa"/>
            <w:shd w:val="clear" w:color="auto" w:fill="auto"/>
            <w:vAlign w:val="center"/>
          </w:tcPr>
          <w:p w14:paraId="4F5A2CF5">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10</w:t>
            </w:r>
          </w:p>
        </w:tc>
        <w:tc>
          <w:tcPr>
            <w:tcW w:w="6379" w:type="dxa"/>
            <w:tcBorders>
              <w:top w:val="single" w:color="auto" w:sz="2" w:space="0"/>
            </w:tcBorders>
            <w:shd w:val="clear" w:color="auto" w:fill="auto"/>
            <w:vAlign w:val="center"/>
          </w:tcPr>
          <w:p w14:paraId="439BB69A">
            <w:pPr>
              <w:tabs>
                <w:tab w:val="left" w:pos="547"/>
              </w:tabs>
              <w:spacing w:line="400" w:lineRule="exact"/>
              <w:ind w:firstLine="420"/>
              <w:jc w:val="both"/>
              <w:rPr>
                <w:rFonts w:cs="宋体" w:asciiTheme="minorEastAsia" w:hAnsiTheme="minorEastAsia"/>
                <w:sz w:val="21"/>
                <w:szCs w:val="21"/>
              </w:rPr>
            </w:pPr>
            <w:r>
              <w:rPr>
                <w:rFonts w:hint="eastAsia" w:asciiTheme="minorEastAsia" w:hAnsiTheme="minorEastAsia" w:cstheme="minorHAnsi"/>
                <w:bCs/>
                <w:sz w:val="21"/>
                <w:szCs w:val="21"/>
              </w:rPr>
              <w:t>满足磋商文件要求且最后报价最低的供应商的价格为磋商基准价得10分，其他各供应商的最后报价得分按下列公式计算：（磋商基准价/最后磋商报价）×10％×100。</w:t>
            </w:r>
          </w:p>
        </w:tc>
        <w:tc>
          <w:tcPr>
            <w:tcW w:w="709" w:type="dxa"/>
            <w:tcBorders>
              <w:top w:val="single" w:color="auto" w:sz="2" w:space="0"/>
            </w:tcBorders>
            <w:shd w:val="clear" w:color="auto" w:fill="auto"/>
            <w:vAlign w:val="center"/>
          </w:tcPr>
          <w:p w14:paraId="5FE680E2">
            <w:pPr>
              <w:spacing w:line="400" w:lineRule="exact"/>
              <w:jc w:val="center"/>
              <w:rPr>
                <w:rFonts w:cs="宋体" w:asciiTheme="minorEastAsia" w:hAnsiTheme="minorEastAsia"/>
                <w:bCs/>
                <w:color w:val="FF0000"/>
                <w:sz w:val="21"/>
                <w:szCs w:val="21"/>
              </w:rPr>
            </w:pPr>
          </w:p>
        </w:tc>
      </w:tr>
      <w:tr w14:paraId="67D3F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5791A4A9">
            <w:pPr>
              <w:spacing w:line="400" w:lineRule="exact"/>
              <w:jc w:val="center"/>
              <w:rPr>
                <w:rFonts w:cs="宋体" w:asciiTheme="minorEastAsia" w:hAnsiTheme="minorEastAsia"/>
                <w:b/>
                <w:sz w:val="21"/>
                <w:szCs w:val="21"/>
              </w:rPr>
            </w:pPr>
            <w:r>
              <w:rPr>
                <w:rFonts w:hint="eastAsia" w:cs="宋体" w:asciiTheme="minorEastAsia" w:hAnsiTheme="minorEastAsia"/>
                <w:b/>
                <w:sz w:val="21"/>
                <w:szCs w:val="21"/>
              </w:rPr>
              <w:t>服务</w:t>
            </w:r>
            <w:r>
              <w:rPr>
                <w:rFonts w:cs="宋体" w:asciiTheme="minorEastAsia" w:hAnsiTheme="minorEastAsia"/>
                <w:b/>
                <w:sz w:val="21"/>
                <w:szCs w:val="21"/>
              </w:rPr>
              <w:t>方案</w:t>
            </w:r>
          </w:p>
        </w:tc>
        <w:tc>
          <w:tcPr>
            <w:tcW w:w="640" w:type="dxa"/>
            <w:vMerge w:val="restart"/>
            <w:tcBorders>
              <w:top w:val="single" w:color="auto" w:sz="2" w:space="0"/>
            </w:tcBorders>
            <w:shd w:val="clear" w:color="auto" w:fill="auto"/>
            <w:vAlign w:val="center"/>
          </w:tcPr>
          <w:p w14:paraId="513A3819">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45</w:t>
            </w:r>
          </w:p>
        </w:tc>
        <w:tc>
          <w:tcPr>
            <w:tcW w:w="999" w:type="dxa"/>
            <w:shd w:val="clear" w:color="auto" w:fill="auto"/>
            <w:vAlign w:val="center"/>
          </w:tcPr>
          <w:p w14:paraId="57474E38">
            <w:pPr>
              <w:spacing w:line="400" w:lineRule="exact"/>
              <w:jc w:val="center"/>
              <w:rPr>
                <w:rFonts w:hint="default" w:cs="宋体" w:asciiTheme="minorEastAsia" w:hAnsiTheme="minorEastAsia" w:eastAsiaTheme="minorEastAsia"/>
                <w:bCs/>
                <w:sz w:val="21"/>
                <w:szCs w:val="21"/>
                <w:lang w:val="en-US" w:eastAsia="zh-CN"/>
              </w:rPr>
            </w:pPr>
            <w:r>
              <w:rPr>
                <w:rFonts w:hint="eastAsia" w:cs="宋体" w:asciiTheme="minorEastAsia" w:hAnsiTheme="minorEastAsia"/>
                <w:bCs/>
                <w:sz w:val="21"/>
                <w:szCs w:val="21"/>
                <w:lang w:val="en-US" w:eastAsia="zh-CN"/>
              </w:rPr>
              <w:t>30</w:t>
            </w:r>
          </w:p>
        </w:tc>
        <w:tc>
          <w:tcPr>
            <w:tcW w:w="6379" w:type="dxa"/>
            <w:tcBorders>
              <w:top w:val="single" w:color="auto" w:sz="2" w:space="0"/>
            </w:tcBorders>
            <w:shd w:val="clear" w:color="auto" w:fill="auto"/>
            <w:vAlign w:val="center"/>
          </w:tcPr>
          <w:p w14:paraId="0F79CF28">
            <w:pPr>
              <w:autoSpaceDE w:val="0"/>
              <w:autoSpaceDN w:val="0"/>
              <w:spacing w:line="400" w:lineRule="exact"/>
              <w:rPr>
                <w:rFonts w:cs="Calibri Light" w:asciiTheme="minorEastAsia" w:hAnsiTheme="minorEastAsia"/>
                <w:b/>
                <w:color w:val="FF0000"/>
                <w:sz w:val="21"/>
                <w:szCs w:val="21"/>
              </w:rPr>
            </w:pPr>
            <w:r>
              <w:rPr>
                <w:rFonts w:hint="eastAsia" w:cs="Calibri Light" w:asciiTheme="minorEastAsia" w:hAnsiTheme="minorEastAsia"/>
                <w:b/>
                <w:color w:val="FF0000"/>
                <w:sz w:val="21"/>
                <w:szCs w:val="21"/>
              </w:rPr>
              <w:t>服务方案：</w:t>
            </w:r>
          </w:p>
          <w:p w14:paraId="69DBFE3A">
            <w:pPr>
              <w:autoSpaceDE w:val="0"/>
              <w:autoSpaceDN w:val="0"/>
              <w:spacing w:line="400" w:lineRule="exact"/>
              <w:rPr>
                <w:rFonts w:cs="Calibri Light" w:asciiTheme="minorEastAsia" w:hAnsiTheme="minorEastAsia"/>
                <w:b/>
                <w:sz w:val="21"/>
                <w:szCs w:val="21"/>
              </w:rPr>
            </w:pPr>
            <w:r>
              <w:rPr>
                <w:rFonts w:hint="eastAsia" w:cs="Calibri Light" w:asciiTheme="minorEastAsia" w:hAnsiTheme="minorEastAsia"/>
                <w:b/>
                <w:sz w:val="21"/>
                <w:szCs w:val="21"/>
              </w:rPr>
              <w:t>1、评审内容：</w:t>
            </w:r>
          </w:p>
          <w:p w14:paraId="1F948326">
            <w:pPr>
              <w:autoSpaceDE w:val="0"/>
              <w:autoSpaceDN w:val="0"/>
              <w:spacing w:line="400" w:lineRule="exact"/>
              <w:rPr>
                <w:rFonts w:cs="Calibri Light" w:asciiTheme="minorEastAsia" w:hAnsiTheme="minorEastAsia"/>
                <w:sz w:val="21"/>
                <w:szCs w:val="21"/>
              </w:rPr>
            </w:pPr>
            <w:r>
              <w:rPr>
                <w:rFonts w:hint="eastAsia" w:cs="Calibri Light" w:asciiTheme="minorEastAsia" w:hAnsiTheme="minorEastAsia"/>
                <w:sz w:val="21"/>
                <w:szCs w:val="21"/>
              </w:rPr>
              <w:t>供应商应基于对本项目服务方案的深入分析与精准理解，围绕采购人亟待解决的法律类问题，系统性、完整且合理地编制服务方案，方案内容涵盖：①</w:t>
            </w:r>
            <w:r>
              <w:rPr>
                <w:rFonts w:cs="Calibri Light" w:asciiTheme="minorEastAsia" w:hAnsiTheme="minorEastAsia"/>
                <w:sz w:val="21"/>
                <w:szCs w:val="21"/>
              </w:rPr>
              <w:t>服务内容</w:t>
            </w:r>
            <w:r>
              <w:rPr>
                <w:rFonts w:hint="eastAsia" w:cs="Calibri Light" w:asciiTheme="minorEastAsia" w:hAnsiTheme="minorEastAsia"/>
                <w:sz w:val="21"/>
                <w:szCs w:val="21"/>
              </w:rPr>
              <w:t>；②服务方式以及处理采购人法律事务的思路；③程序和建议。</w:t>
            </w:r>
          </w:p>
          <w:p w14:paraId="656D5FAD">
            <w:pPr>
              <w:autoSpaceDE w:val="0"/>
              <w:autoSpaceDN w:val="0"/>
              <w:spacing w:line="400" w:lineRule="exact"/>
              <w:rPr>
                <w:rFonts w:cs="Calibri Light" w:asciiTheme="minorEastAsia" w:hAnsiTheme="minorEastAsia"/>
                <w:b/>
                <w:sz w:val="21"/>
                <w:szCs w:val="21"/>
              </w:rPr>
            </w:pPr>
            <w:r>
              <w:rPr>
                <w:rFonts w:hint="eastAsia" w:cs="Calibri Light" w:asciiTheme="minorEastAsia" w:hAnsiTheme="minorEastAsia"/>
                <w:b/>
                <w:sz w:val="21"/>
                <w:szCs w:val="21"/>
              </w:rPr>
              <w:t>2、评审标准：</w:t>
            </w:r>
          </w:p>
          <w:p w14:paraId="0209A959">
            <w:pPr>
              <w:autoSpaceDE w:val="0"/>
              <w:autoSpaceDN w:val="0"/>
              <w:spacing w:line="400" w:lineRule="exact"/>
              <w:rPr>
                <w:rFonts w:cs="Calibri Light" w:asciiTheme="minorEastAsia" w:hAnsiTheme="minorEastAsia"/>
                <w:sz w:val="21"/>
                <w:szCs w:val="21"/>
              </w:rPr>
            </w:pPr>
            <w:r>
              <w:rPr>
                <w:rFonts w:hint="eastAsia" w:cs="Calibri Light" w:asciiTheme="minorEastAsia" w:hAnsiTheme="minorEastAsia"/>
                <w:sz w:val="21"/>
                <w:szCs w:val="21"/>
              </w:rPr>
              <w:t>①完整性：方案需全面，对评审内容中的要求有详细描述及说明；</w:t>
            </w:r>
          </w:p>
          <w:p w14:paraId="4F7FE3CA">
            <w:pPr>
              <w:autoSpaceDE w:val="0"/>
              <w:autoSpaceDN w:val="0"/>
              <w:spacing w:line="400" w:lineRule="exact"/>
              <w:rPr>
                <w:rFonts w:cs="Calibri Light" w:asciiTheme="minorEastAsia" w:hAnsiTheme="minorEastAsia"/>
                <w:sz w:val="21"/>
                <w:szCs w:val="21"/>
              </w:rPr>
            </w:pPr>
            <w:r>
              <w:rPr>
                <w:rFonts w:hint="eastAsia" w:cs="Calibri Light" w:asciiTheme="minorEastAsia" w:hAnsiTheme="minorEastAsia"/>
                <w:sz w:val="21"/>
                <w:szCs w:val="21"/>
              </w:rPr>
              <w:t>②全面性：方案合理可行，流程规范清晰；</w:t>
            </w:r>
          </w:p>
          <w:p w14:paraId="10E65885">
            <w:pPr>
              <w:autoSpaceDE w:val="0"/>
              <w:autoSpaceDN w:val="0"/>
              <w:spacing w:line="400" w:lineRule="exact"/>
              <w:rPr>
                <w:rFonts w:cs="Calibri Light" w:asciiTheme="minorEastAsia" w:hAnsiTheme="minorEastAsia"/>
                <w:sz w:val="21"/>
                <w:szCs w:val="21"/>
              </w:rPr>
            </w:pPr>
            <w:r>
              <w:rPr>
                <w:rFonts w:hint="eastAsia" w:cs="Calibri Light" w:asciiTheme="minorEastAsia" w:hAnsiTheme="minorEastAsia"/>
                <w:sz w:val="21"/>
                <w:szCs w:val="21"/>
              </w:rPr>
              <w:t>③认知深度：具有专业性，对问题的分析有深入的理解和掌握；</w:t>
            </w:r>
          </w:p>
          <w:p w14:paraId="7908EA4B">
            <w:pPr>
              <w:autoSpaceDE w:val="0"/>
              <w:autoSpaceDN w:val="0"/>
              <w:spacing w:line="400" w:lineRule="exact"/>
              <w:rPr>
                <w:rFonts w:cs="Calibri Light" w:asciiTheme="minorEastAsia" w:hAnsiTheme="minorEastAsia"/>
                <w:sz w:val="21"/>
                <w:szCs w:val="21"/>
              </w:rPr>
            </w:pPr>
            <w:r>
              <w:rPr>
                <w:rFonts w:hint="eastAsia" w:cs="Calibri Light" w:asciiTheme="minorEastAsia" w:hAnsiTheme="minorEastAsia"/>
                <w:sz w:val="21"/>
                <w:szCs w:val="21"/>
              </w:rPr>
              <w:t>④针对性：方案能够紧扣项目实际情况，内容科学合理。</w:t>
            </w:r>
          </w:p>
          <w:p w14:paraId="12793831">
            <w:pPr>
              <w:autoSpaceDE w:val="0"/>
              <w:autoSpaceDN w:val="0"/>
              <w:spacing w:line="400" w:lineRule="exact"/>
              <w:rPr>
                <w:rFonts w:cs="Calibri Light" w:asciiTheme="minorEastAsia" w:hAnsiTheme="minorEastAsia"/>
                <w:b/>
                <w:sz w:val="21"/>
                <w:szCs w:val="21"/>
              </w:rPr>
            </w:pPr>
            <w:r>
              <w:rPr>
                <w:rFonts w:hint="eastAsia" w:cs="Calibri Light" w:asciiTheme="minorEastAsia" w:hAnsiTheme="minorEastAsia"/>
                <w:b/>
                <w:sz w:val="21"/>
                <w:szCs w:val="21"/>
              </w:rPr>
              <w:t>3、赋分</w:t>
            </w:r>
            <w:r>
              <w:rPr>
                <w:rFonts w:hint="eastAsia" w:cs="Calibri Light" w:asciiTheme="minorEastAsia" w:hAnsiTheme="minorEastAsia"/>
                <w:b/>
                <w:sz w:val="21"/>
                <w:szCs w:val="21"/>
                <w:highlight w:val="none"/>
              </w:rPr>
              <w:t>标准（满分</w:t>
            </w:r>
            <w:r>
              <w:rPr>
                <w:rFonts w:hint="eastAsia" w:cs="Calibri Light" w:asciiTheme="minorEastAsia" w:hAnsiTheme="minorEastAsia"/>
                <w:b/>
                <w:sz w:val="21"/>
                <w:szCs w:val="21"/>
                <w:highlight w:val="none"/>
                <w:lang w:val="en-US" w:eastAsia="zh-CN"/>
              </w:rPr>
              <w:t>30</w:t>
            </w:r>
            <w:r>
              <w:rPr>
                <w:rFonts w:hint="eastAsia" w:cs="Calibri Light" w:asciiTheme="minorEastAsia" w:hAnsiTheme="minorEastAsia"/>
                <w:b/>
                <w:sz w:val="21"/>
                <w:szCs w:val="21"/>
                <w:highlight w:val="none"/>
              </w:rPr>
              <w:t>分）：</w:t>
            </w:r>
          </w:p>
          <w:p w14:paraId="40911637">
            <w:pPr>
              <w:autoSpaceDE w:val="0"/>
              <w:autoSpaceDN w:val="0"/>
              <w:spacing w:line="400" w:lineRule="exact"/>
              <w:rPr>
                <w:rFonts w:cs="Calibri Light" w:asciiTheme="minorEastAsia" w:hAnsiTheme="minorEastAsia"/>
                <w:bCs/>
                <w:sz w:val="21"/>
                <w:szCs w:val="21"/>
              </w:rPr>
            </w:pPr>
            <w:r>
              <w:rPr>
                <w:rFonts w:hint="eastAsia" w:cs="Calibri Light" w:asciiTheme="minorEastAsia" w:hAnsiTheme="minorEastAsia"/>
                <w:bCs/>
                <w:sz w:val="21"/>
                <w:szCs w:val="21"/>
              </w:rPr>
              <w:t>①</w:t>
            </w:r>
            <w:r>
              <w:rPr>
                <w:rFonts w:cs="Calibri Light" w:asciiTheme="minorEastAsia" w:hAnsiTheme="minorEastAsia"/>
                <w:sz w:val="21"/>
                <w:szCs w:val="21"/>
              </w:rPr>
              <w:t>服务内容</w:t>
            </w:r>
            <w:r>
              <w:rPr>
                <w:rFonts w:hint="eastAsia" w:cs="Calibri Light" w:asciiTheme="minorEastAsia" w:hAnsiTheme="minorEastAsia"/>
                <w:bCs/>
                <w:sz w:val="21"/>
                <w:szCs w:val="21"/>
              </w:rPr>
              <w:t>：每完全满足一项评审标准得</w:t>
            </w:r>
            <w:r>
              <w:rPr>
                <w:rFonts w:hint="eastAsia" w:cs="Calibri Light" w:asciiTheme="minorEastAsia" w:hAnsiTheme="minorEastAsia"/>
                <w:bCs/>
                <w:sz w:val="21"/>
                <w:szCs w:val="21"/>
                <w:lang w:val="en-US" w:eastAsia="zh-CN"/>
              </w:rPr>
              <w:t>5</w:t>
            </w:r>
            <w:r>
              <w:rPr>
                <w:rFonts w:hint="eastAsia" w:cs="Calibri Light" w:asciiTheme="minorEastAsia" w:hAnsiTheme="minorEastAsia"/>
                <w:bCs/>
                <w:sz w:val="21"/>
                <w:szCs w:val="21"/>
              </w:rPr>
              <w:t>分，不满足得0分。本项满分</w:t>
            </w:r>
            <w:r>
              <w:rPr>
                <w:rFonts w:hint="eastAsia" w:cs="Calibri Light" w:asciiTheme="minorEastAsia" w:hAnsiTheme="minorEastAsia"/>
                <w:bCs/>
                <w:sz w:val="21"/>
                <w:szCs w:val="21"/>
                <w:lang w:val="en-US" w:eastAsia="zh-CN"/>
              </w:rPr>
              <w:t>20</w:t>
            </w:r>
            <w:r>
              <w:rPr>
                <w:rFonts w:hint="eastAsia" w:cs="Calibri Light" w:asciiTheme="minorEastAsia" w:hAnsiTheme="minorEastAsia"/>
                <w:bCs/>
                <w:sz w:val="21"/>
                <w:szCs w:val="21"/>
              </w:rPr>
              <w:t>分；</w:t>
            </w:r>
          </w:p>
          <w:p w14:paraId="5BFA54C9">
            <w:pPr>
              <w:autoSpaceDE w:val="0"/>
              <w:autoSpaceDN w:val="0"/>
              <w:spacing w:line="400" w:lineRule="exact"/>
              <w:rPr>
                <w:rFonts w:cs="Calibri Light" w:asciiTheme="minorEastAsia" w:hAnsiTheme="minorEastAsia"/>
                <w:bCs/>
                <w:sz w:val="21"/>
                <w:szCs w:val="21"/>
              </w:rPr>
            </w:pPr>
            <w:r>
              <w:rPr>
                <w:rFonts w:hint="eastAsia" w:cs="Calibri Light" w:asciiTheme="minorEastAsia" w:hAnsiTheme="minorEastAsia"/>
                <w:bCs/>
                <w:sz w:val="21"/>
                <w:szCs w:val="21"/>
              </w:rPr>
              <w:t>②</w:t>
            </w:r>
            <w:r>
              <w:rPr>
                <w:rFonts w:hint="eastAsia" w:cs="Calibri Light" w:asciiTheme="minorEastAsia" w:hAnsiTheme="minorEastAsia"/>
                <w:sz w:val="21"/>
                <w:szCs w:val="21"/>
              </w:rPr>
              <w:t>服务方式以及处理采购人法律事务的思路</w:t>
            </w:r>
            <w:r>
              <w:rPr>
                <w:rFonts w:hint="eastAsia" w:cs="Calibri Light" w:asciiTheme="minorEastAsia" w:hAnsiTheme="minorEastAsia"/>
                <w:bCs/>
                <w:sz w:val="21"/>
                <w:szCs w:val="21"/>
              </w:rPr>
              <w:t>：每完全满足一项评审标准得</w:t>
            </w:r>
            <w:r>
              <w:rPr>
                <w:rFonts w:hint="eastAsia" w:cs="Calibri Light" w:asciiTheme="minorEastAsia" w:hAnsiTheme="minorEastAsia"/>
                <w:bCs/>
                <w:sz w:val="21"/>
                <w:szCs w:val="21"/>
                <w:lang w:val="en-US" w:eastAsia="zh-CN"/>
              </w:rPr>
              <w:t>2</w:t>
            </w:r>
            <w:r>
              <w:rPr>
                <w:rFonts w:hint="eastAsia" w:cs="Calibri Light" w:asciiTheme="minorEastAsia" w:hAnsiTheme="minorEastAsia"/>
                <w:bCs/>
                <w:sz w:val="21"/>
                <w:szCs w:val="21"/>
              </w:rPr>
              <w:t>分，不满足得0分。本项满分</w:t>
            </w:r>
            <w:r>
              <w:rPr>
                <w:rFonts w:hint="eastAsia" w:cs="Calibri Light" w:asciiTheme="minorEastAsia" w:hAnsiTheme="minorEastAsia"/>
                <w:bCs/>
                <w:sz w:val="21"/>
                <w:szCs w:val="21"/>
                <w:lang w:val="en-US" w:eastAsia="zh-CN"/>
              </w:rPr>
              <w:t>8</w:t>
            </w:r>
            <w:r>
              <w:rPr>
                <w:rFonts w:hint="eastAsia" w:cs="Calibri Light" w:asciiTheme="minorEastAsia" w:hAnsiTheme="minorEastAsia"/>
                <w:bCs/>
                <w:sz w:val="21"/>
                <w:szCs w:val="21"/>
              </w:rPr>
              <w:t>分；</w:t>
            </w:r>
          </w:p>
          <w:p w14:paraId="5B94C0CD">
            <w:pPr>
              <w:tabs>
                <w:tab w:val="left" w:pos="547"/>
              </w:tabs>
              <w:spacing w:line="400" w:lineRule="exact"/>
              <w:rPr>
                <w:rFonts w:cs="宋体" w:asciiTheme="minorEastAsia" w:hAnsiTheme="minorEastAsia"/>
                <w:sz w:val="21"/>
                <w:szCs w:val="21"/>
              </w:rPr>
            </w:pPr>
            <w:r>
              <w:rPr>
                <w:rFonts w:hint="eastAsia" w:cs="Calibri Light" w:asciiTheme="minorEastAsia" w:hAnsiTheme="minorEastAsia"/>
                <w:bCs/>
                <w:sz w:val="21"/>
                <w:szCs w:val="21"/>
              </w:rPr>
              <w:t>③</w:t>
            </w:r>
            <w:r>
              <w:rPr>
                <w:rFonts w:hint="eastAsia" w:cs="Calibri Light" w:asciiTheme="minorEastAsia" w:hAnsiTheme="minorEastAsia"/>
                <w:sz w:val="21"/>
                <w:szCs w:val="21"/>
              </w:rPr>
              <w:t>程序和建议</w:t>
            </w:r>
            <w:r>
              <w:rPr>
                <w:rFonts w:hint="eastAsia" w:cs="Calibri Light" w:asciiTheme="minorEastAsia" w:hAnsiTheme="minorEastAsia"/>
                <w:bCs/>
                <w:sz w:val="21"/>
                <w:szCs w:val="21"/>
              </w:rPr>
              <w:t>：每完全满足一项评审标准得</w:t>
            </w:r>
            <w:r>
              <w:rPr>
                <w:rFonts w:hint="eastAsia" w:cs="Calibri Light" w:asciiTheme="minorEastAsia" w:hAnsiTheme="minorEastAsia"/>
                <w:bCs/>
                <w:sz w:val="21"/>
                <w:szCs w:val="21"/>
                <w:lang w:val="en-US" w:eastAsia="zh-CN"/>
              </w:rPr>
              <w:t>0.5</w:t>
            </w:r>
            <w:r>
              <w:rPr>
                <w:rFonts w:hint="eastAsia" w:cs="Calibri Light" w:asciiTheme="minorEastAsia" w:hAnsiTheme="minorEastAsia"/>
                <w:bCs/>
                <w:sz w:val="21"/>
                <w:szCs w:val="21"/>
              </w:rPr>
              <w:t>分，不满足得0分。本项满分</w:t>
            </w:r>
            <w:r>
              <w:rPr>
                <w:rFonts w:hint="eastAsia" w:cs="Calibri Light" w:asciiTheme="minorEastAsia" w:hAnsiTheme="minorEastAsia"/>
                <w:bCs/>
                <w:sz w:val="21"/>
                <w:szCs w:val="21"/>
                <w:lang w:val="en-US" w:eastAsia="zh-CN"/>
              </w:rPr>
              <w:t>2</w:t>
            </w:r>
            <w:r>
              <w:rPr>
                <w:rFonts w:hint="eastAsia" w:cs="Calibri Light" w:asciiTheme="minorEastAsia" w:hAnsiTheme="minorEastAsia"/>
                <w:bCs/>
                <w:sz w:val="21"/>
                <w:szCs w:val="21"/>
              </w:rPr>
              <w:t>分。</w:t>
            </w:r>
          </w:p>
        </w:tc>
        <w:tc>
          <w:tcPr>
            <w:tcW w:w="709" w:type="dxa"/>
            <w:tcBorders>
              <w:top w:val="single" w:color="auto" w:sz="2" w:space="0"/>
            </w:tcBorders>
            <w:shd w:val="clear" w:color="auto" w:fill="auto"/>
            <w:vAlign w:val="center"/>
          </w:tcPr>
          <w:p w14:paraId="12BA2211">
            <w:pPr>
              <w:spacing w:line="400" w:lineRule="exact"/>
              <w:jc w:val="center"/>
              <w:rPr>
                <w:rFonts w:cs="宋体" w:asciiTheme="minorEastAsia" w:hAnsiTheme="minorEastAsia"/>
                <w:bCs/>
                <w:color w:val="FF0000"/>
                <w:sz w:val="21"/>
                <w:szCs w:val="21"/>
              </w:rPr>
            </w:pPr>
          </w:p>
        </w:tc>
      </w:tr>
      <w:tr w14:paraId="58CBEE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AF9423E">
            <w:pPr>
              <w:spacing w:line="400" w:lineRule="exact"/>
              <w:jc w:val="center"/>
              <w:rPr>
                <w:rFonts w:cs="宋体" w:asciiTheme="minorEastAsia" w:hAnsiTheme="minorEastAsia"/>
                <w:b/>
                <w:sz w:val="21"/>
                <w:szCs w:val="21"/>
              </w:rPr>
            </w:pPr>
          </w:p>
        </w:tc>
        <w:tc>
          <w:tcPr>
            <w:tcW w:w="640" w:type="dxa"/>
            <w:vMerge w:val="continue"/>
            <w:shd w:val="clear" w:color="auto" w:fill="auto"/>
            <w:vAlign w:val="center"/>
          </w:tcPr>
          <w:p w14:paraId="5C4BAFB7">
            <w:pPr>
              <w:spacing w:line="400" w:lineRule="exact"/>
              <w:jc w:val="center"/>
              <w:rPr>
                <w:rFonts w:cs="宋体" w:asciiTheme="minorEastAsia" w:hAnsiTheme="minorEastAsia"/>
                <w:bCs/>
                <w:sz w:val="21"/>
                <w:szCs w:val="21"/>
              </w:rPr>
            </w:pPr>
          </w:p>
        </w:tc>
        <w:tc>
          <w:tcPr>
            <w:tcW w:w="999" w:type="dxa"/>
            <w:shd w:val="clear" w:color="auto" w:fill="auto"/>
            <w:vAlign w:val="center"/>
          </w:tcPr>
          <w:p w14:paraId="33FF194F">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9</w:t>
            </w:r>
          </w:p>
        </w:tc>
        <w:tc>
          <w:tcPr>
            <w:tcW w:w="6379" w:type="dxa"/>
            <w:tcBorders>
              <w:top w:val="single" w:color="auto" w:sz="2" w:space="0"/>
            </w:tcBorders>
            <w:shd w:val="clear" w:color="auto" w:fill="auto"/>
            <w:vAlign w:val="center"/>
          </w:tcPr>
          <w:p w14:paraId="5C82633A">
            <w:pPr>
              <w:spacing w:line="400" w:lineRule="exact"/>
              <w:rPr>
                <w:rFonts w:asciiTheme="minorEastAsia" w:hAnsiTheme="minorEastAsia"/>
                <w:b/>
                <w:color w:val="FF0000"/>
                <w:sz w:val="21"/>
                <w:szCs w:val="21"/>
              </w:rPr>
            </w:pPr>
            <w:r>
              <w:rPr>
                <w:rFonts w:hint="eastAsia" w:asciiTheme="minorEastAsia" w:hAnsiTheme="minorEastAsia"/>
                <w:b/>
                <w:color w:val="FF0000"/>
                <w:sz w:val="21"/>
                <w:szCs w:val="21"/>
              </w:rPr>
              <w:t>保障措施：</w:t>
            </w:r>
          </w:p>
          <w:p w14:paraId="7D0C079B">
            <w:pPr>
              <w:spacing w:line="400" w:lineRule="exact"/>
              <w:rPr>
                <w:rFonts w:asciiTheme="minorEastAsia" w:hAnsiTheme="minorEastAsia"/>
                <w:b/>
                <w:sz w:val="21"/>
                <w:szCs w:val="21"/>
              </w:rPr>
            </w:pPr>
            <w:r>
              <w:rPr>
                <w:rFonts w:hint="eastAsia" w:asciiTheme="minorEastAsia" w:hAnsiTheme="minorEastAsia"/>
                <w:b/>
                <w:sz w:val="21"/>
                <w:szCs w:val="21"/>
              </w:rPr>
              <w:t>1、评审内容：</w:t>
            </w:r>
          </w:p>
          <w:p w14:paraId="7A885A71">
            <w:pPr>
              <w:spacing w:line="400" w:lineRule="exact"/>
              <w:rPr>
                <w:rFonts w:cs="Calibri Light" w:asciiTheme="minorEastAsia" w:hAnsiTheme="minorEastAsia"/>
                <w:sz w:val="21"/>
                <w:szCs w:val="21"/>
              </w:rPr>
            </w:pPr>
            <w:r>
              <w:rPr>
                <w:rFonts w:hint="eastAsia" w:cs="Calibri Light" w:asciiTheme="minorEastAsia" w:hAnsiTheme="minorEastAsia"/>
                <w:sz w:val="21"/>
                <w:szCs w:val="21"/>
              </w:rPr>
              <w:t>针对本项目特点提出各项服务措施，内容包括：</w:t>
            </w:r>
            <w:r>
              <w:rPr>
                <w:rFonts w:hint="eastAsia" w:asciiTheme="minorEastAsia" w:hAnsiTheme="minorEastAsia"/>
                <w:sz w:val="21"/>
                <w:szCs w:val="21"/>
              </w:rPr>
              <w:t>①</w:t>
            </w:r>
            <w:r>
              <w:rPr>
                <w:rFonts w:hint="eastAsia" w:cs="Calibri Light" w:asciiTheme="minorEastAsia" w:hAnsiTheme="minorEastAsia"/>
                <w:sz w:val="21"/>
                <w:szCs w:val="21"/>
              </w:rPr>
              <w:t>质量保证措施；</w:t>
            </w:r>
            <w:r>
              <w:rPr>
                <w:rFonts w:hint="eastAsia" w:asciiTheme="minorEastAsia" w:hAnsiTheme="minorEastAsia"/>
                <w:sz w:val="21"/>
                <w:szCs w:val="21"/>
              </w:rPr>
              <w:t>②</w:t>
            </w:r>
            <w:r>
              <w:rPr>
                <w:rFonts w:hint="eastAsia" w:cs="Calibri Light" w:asciiTheme="minorEastAsia" w:hAnsiTheme="minorEastAsia"/>
                <w:sz w:val="21"/>
                <w:szCs w:val="21"/>
              </w:rPr>
              <w:t>服务保证措施；</w:t>
            </w:r>
            <w:r>
              <w:rPr>
                <w:rFonts w:hint="eastAsia" w:asciiTheme="minorEastAsia" w:hAnsiTheme="minorEastAsia"/>
                <w:sz w:val="21"/>
                <w:szCs w:val="21"/>
              </w:rPr>
              <w:t>③</w:t>
            </w:r>
            <w:r>
              <w:rPr>
                <w:rFonts w:hint="eastAsia" w:asciiTheme="minorEastAsia" w:hAnsiTheme="minorEastAsia"/>
                <w:sz w:val="21"/>
                <w:szCs w:val="21"/>
                <w:lang w:val="en-US" w:eastAsia="zh-CN"/>
              </w:rPr>
              <w:t>进度保证措施</w:t>
            </w:r>
            <w:r>
              <w:rPr>
                <w:rFonts w:hint="eastAsia" w:cs="Calibri Light" w:asciiTheme="minorEastAsia" w:hAnsiTheme="minorEastAsia"/>
                <w:sz w:val="21"/>
                <w:szCs w:val="21"/>
              </w:rPr>
              <w:t>。</w:t>
            </w:r>
          </w:p>
          <w:p w14:paraId="48B5DE10">
            <w:pPr>
              <w:spacing w:line="400" w:lineRule="exact"/>
              <w:rPr>
                <w:rFonts w:asciiTheme="minorEastAsia" w:hAnsiTheme="minorEastAsia"/>
                <w:b/>
                <w:sz w:val="21"/>
                <w:szCs w:val="21"/>
              </w:rPr>
            </w:pPr>
            <w:r>
              <w:rPr>
                <w:rFonts w:hint="eastAsia" w:asciiTheme="minorEastAsia" w:hAnsiTheme="minorEastAsia"/>
                <w:b/>
                <w:sz w:val="21"/>
                <w:szCs w:val="21"/>
              </w:rPr>
              <w:t>2、评审标准：</w:t>
            </w:r>
          </w:p>
          <w:p w14:paraId="442A4E99">
            <w:pPr>
              <w:spacing w:line="400" w:lineRule="exact"/>
              <w:rPr>
                <w:rFonts w:asciiTheme="minorEastAsia" w:hAnsiTheme="minorEastAsia"/>
                <w:sz w:val="21"/>
                <w:szCs w:val="21"/>
              </w:rPr>
            </w:pPr>
            <w:r>
              <w:rPr>
                <w:rFonts w:hint="eastAsia" w:asciiTheme="minorEastAsia" w:hAnsiTheme="minorEastAsia"/>
                <w:sz w:val="21"/>
                <w:szCs w:val="21"/>
              </w:rPr>
              <w:t xml:space="preserve">①完整性：方案须全面完整，对评审内容中的各项要求有详细描述及说明； </w:t>
            </w:r>
          </w:p>
          <w:p w14:paraId="4DDBF30C">
            <w:pPr>
              <w:spacing w:line="400" w:lineRule="exact"/>
              <w:rPr>
                <w:rFonts w:asciiTheme="minorEastAsia" w:hAnsiTheme="minorEastAsia"/>
                <w:sz w:val="21"/>
                <w:szCs w:val="21"/>
              </w:rPr>
            </w:pPr>
            <w:r>
              <w:rPr>
                <w:rFonts w:hint="eastAsia" w:asciiTheme="minorEastAsia" w:hAnsiTheme="minorEastAsia"/>
                <w:sz w:val="21"/>
                <w:szCs w:val="21"/>
              </w:rPr>
              <w:t>②可实施性：服务措施科学合理，可操作性强；</w:t>
            </w:r>
          </w:p>
          <w:p w14:paraId="4C39C940">
            <w:pPr>
              <w:spacing w:line="400" w:lineRule="exact"/>
              <w:rPr>
                <w:rFonts w:asciiTheme="minorEastAsia" w:hAnsiTheme="minorEastAsia"/>
                <w:sz w:val="21"/>
                <w:szCs w:val="21"/>
              </w:rPr>
            </w:pPr>
            <w:r>
              <w:rPr>
                <w:rFonts w:hint="eastAsia" w:asciiTheme="minorEastAsia" w:hAnsiTheme="minorEastAsia"/>
                <w:sz w:val="21"/>
                <w:szCs w:val="21"/>
              </w:rPr>
              <w:t>③针对性：服务措施能紧扣本项目实际情况，满足本项目各项具体要求。</w:t>
            </w:r>
          </w:p>
          <w:p w14:paraId="554CF0E3">
            <w:pPr>
              <w:autoSpaceDE w:val="0"/>
              <w:autoSpaceDN w:val="0"/>
              <w:spacing w:line="400" w:lineRule="exact"/>
              <w:rPr>
                <w:rFonts w:asciiTheme="minorEastAsia" w:hAnsiTheme="minorEastAsia"/>
                <w:b/>
                <w:sz w:val="21"/>
                <w:szCs w:val="21"/>
              </w:rPr>
            </w:pPr>
            <w:r>
              <w:rPr>
                <w:rFonts w:hint="eastAsia" w:asciiTheme="minorEastAsia" w:hAnsiTheme="minorEastAsia"/>
                <w:b/>
                <w:sz w:val="21"/>
                <w:szCs w:val="21"/>
              </w:rPr>
              <w:t>3、赋分标准（满分9分）：</w:t>
            </w:r>
          </w:p>
          <w:p w14:paraId="3FE88D7F">
            <w:pPr>
              <w:autoSpaceDE w:val="0"/>
              <w:autoSpaceDN w:val="0"/>
              <w:spacing w:line="400" w:lineRule="exact"/>
              <w:rPr>
                <w:rFonts w:cs="Calibri Light" w:asciiTheme="minorEastAsia" w:hAnsiTheme="minorEastAsia"/>
                <w:bCs/>
                <w:sz w:val="21"/>
                <w:szCs w:val="21"/>
              </w:rPr>
            </w:pPr>
            <w:r>
              <w:rPr>
                <w:rFonts w:hint="eastAsia" w:cs="Calibri Light" w:asciiTheme="minorEastAsia" w:hAnsiTheme="minorEastAsia"/>
                <w:bCs/>
                <w:sz w:val="21"/>
                <w:szCs w:val="21"/>
              </w:rPr>
              <w:t>①</w:t>
            </w:r>
            <w:r>
              <w:rPr>
                <w:rFonts w:hint="eastAsia" w:cs="Calibri Light" w:asciiTheme="minorEastAsia" w:hAnsiTheme="minorEastAsia"/>
                <w:sz w:val="21"/>
                <w:szCs w:val="21"/>
              </w:rPr>
              <w:t>质量保证措施</w:t>
            </w:r>
            <w:r>
              <w:rPr>
                <w:rFonts w:hint="eastAsia" w:cs="Calibri Light" w:asciiTheme="minorEastAsia" w:hAnsiTheme="minorEastAsia"/>
                <w:bCs/>
                <w:sz w:val="21"/>
                <w:szCs w:val="21"/>
              </w:rPr>
              <w:t>：每完全满足一项评审标准得1分，不满足得0分。本项满分3分；</w:t>
            </w:r>
          </w:p>
          <w:p w14:paraId="74A2A3D1">
            <w:pPr>
              <w:autoSpaceDE w:val="0"/>
              <w:autoSpaceDN w:val="0"/>
              <w:spacing w:line="400" w:lineRule="exact"/>
              <w:rPr>
                <w:rFonts w:cs="Calibri Light" w:asciiTheme="minorEastAsia" w:hAnsiTheme="minorEastAsia"/>
                <w:bCs/>
                <w:sz w:val="21"/>
                <w:szCs w:val="21"/>
              </w:rPr>
            </w:pPr>
            <w:r>
              <w:rPr>
                <w:rFonts w:hint="eastAsia" w:cs="Calibri Light" w:asciiTheme="minorEastAsia" w:hAnsiTheme="minorEastAsia"/>
                <w:bCs/>
                <w:sz w:val="21"/>
                <w:szCs w:val="21"/>
              </w:rPr>
              <w:t>②</w:t>
            </w:r>
            <w:r>
              <w:rPr>
                <w:rFonts w:hint="eastAsia" w:cs="Calibri Light" w:asciiTheme="minorEastAsia" w:hAnsiTheme="minorEastAsia"/>
                <w:sz w:val="21"/>
                <w:szCs w:val="21"/>
              </w:rPr>
              <w:t>服务保证措施</w:t>
            </w:r>
            <w:r>
              <w:rPr>
                <w:rFonts w:hint="eastAsia" w:cs="Calibri Light" w:asciiTheme="minorEastAsia" w:hAnsiTheme="minorEastAsia"/>
                <w:bCs/>
                <w:sz w:val="21"/>
                <w:szCs w:val="21"/>
              </w:rPr>
              <w:t>：每完全满足一项评审标准得1分，不满足得0分。本项满分3分；</w:t>
            </w:r>
          </w:p>
          <w:p w14:paraId="74B4C112">
            <w:pPr>
              <w:autoSpaceDE w:val="0"/>
              <w:autoSpaceDN w:val="0"/>
              <w:spacing w:line="400" w:lineRule="exact"/>
              <w:rPr>
                <w:rFonts w:cs="Calibri Light" w:asciiTheme="minorEastAsia" w:hAnsiTheme="minorEastAsia"/>
                <w:bCs/>
                <w:sz w:val="21"/>
                <w:szCs w:val="21"/>
              </w:rPr>
            </w:pPr>
            <w:r>
              <w:rPr>
                <w:rFonts w:hint="eastAsia" w:asciiTheme="minorEastAsia" w:hAnsiTheme="minorEastAsia"/>
                <w:sz w:val="21"/>
                <w:szCs w:val="21"/>
              </w:rPr>
              <w:t>③</w:t>
            </w:r>
            <w:r>
              <w:rPr>
                <w:rFonts w:hint="eastAsia" w:asciiTheme="minorEastAsia" w:hAnsiTheme="minorEastAsia"/>
                <w:sz w:val="21"/>
                <w:szCs w:val="21"/>
                <w:lang w:val="en-US" w:eastAsia="zh-CN"/>
              </w:rPr>
              <w:t>进度保证</w:t>
            </w:r>
            <w:r>
              <w:rPr>
                <w:rFonts w:hint="eastAsia" w:asciiTheme="minorEastAsia" w:hAnsiTheme="minorEastAsia"/>
                <w:sz w:val="21"/>
                <w:szCs w:val="21"/>
              </w:rPr>
              <w:t>措施：</w:t>
            </w:r>
            <w:r>
              <w:rPr>
                <w:rFonts w:hint="eastAsia" w:cs="Calibri Light" w:asciiTheme="minorEastAsia" w:hAnsiTheme="minorEastAsia"/>
                <w:bCs/>
                <w:sz w:val="21"/>
                <w:szCs w:val="21"/>
              </w:rPr>
              <w:t>每完全满足一项评审标准得1分，不满足得0分。本项满分3分。</w:t>
            </w:r>
          </w:p>
        </w:tc>
        <w:tc>
          <w:tcPr>
            <w:tcW w:w="709" w:type="dxa"/>
            <w:tcBorders>
              <w:top w:val="single" w:color="auto" w:sz="2" w:space="0"/>
            </w:tcBorders>
            <w:shd w:val="clear" w:color="auto" w:fill="auto"/>
            <w:vAlign w:val="center"/>
          </w:tcPr>
          <w:p w14:paraId="29109BE7">
            <w:pPr>
              <w:spacing w:line="400" w:lineRule="exact"/>
              <w:jc w:val="center"/>
              <w:rPr>
                <w:rFonts w:cs="宋体" w:asciiTheme="minorEastAsia" w:hAnsiTheme="minorEastAsia"/>
                <w:bCs/>
                <w:color w:val="FF0000"/>
                <w:sz w:val="21"/>
                <w:szCs w:val="21"/>
              </w:rPr>
            </w:pPr>
          </w:p>
        </w:tc>
      </w:tr>
      <w:tr w14:paraId="0A525E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CAE9412">
            <w:pPr>
              <w:spacing w:line="400" w:lineRule="exact"/>
              <w:jc w:val="center"/>
              <w:rPr>
                <w:rFonts w:cs="宋体" w:asciiTheme="minorEastAsia" w:hAnsiTheme="minorEastAsia"/>
                <w:b/>
                <w:sz w:val="21"/>
                <w:szCs w:val="21"/>
              </w:rPr>
            </w:pPr>
          </w:p>
        </w:tc>
        <w:tc>
          <w:tcPr>
            <w:tcW w:w="640" w:type="dxa"/>
            <w:vMerge w:val="continue"/>
            <w:shd w:val="clear" w:color="auto" w:fill="auto"/>
            <w:vAlign w:val="center"/>
          </w:tcPr>
          <w:p w14:paraId="02F7987B">
            <w:pPr>
              <w:spacing w:line="400" w:lineRule="exact"/>
              <w:jc w:val="center"/>
              <w:rPr>
                <w:rFonts w:cs="宋体" w:asciiTheme="minorEastAsia" w:hAnsiTheme="minorEastAsia"/>
                <w:bCs/>
                <w:sz w:val="21"/>
                <w:szCs w:val="21"/>
              </w:rPr>
            </w:pPr>
          </w:p>
        </w:tc>
        <w:tc>
          <w:tcPr>
            <w:tcW w:w="999" w:type="dxa"/>
            <w:shd w:val="clear" w:color="auto" w:fill="auto"/>
            <w:vAlign w:val="center"/>
          </w:tcPr>
          <w:p w14:paraId="68B3F50D">
            <w:pPr>
              <w:spacing w:line="400" w:lineRule="exact"/>
              <w:jc w:val="center"/>
              <w:rPr>
                <w:rFonts w:hint="eastAsia" w:cs="宋体" w:asciiTheme="minorEastAsia" w:hAnsiTheme="minorEastAsia" w:eastAsiaTheme="minorEastAsia"/>
                <w:bCs/>
                <w:sz w:val="21"/>
                <w:szCs w:val="21"/>
                <w:lang w:eastAsia="zh-CN"/>
              </w:rPr>
            </w:pPr>
            <w:r>
              <w:rPr>
                <w:rFonts w:hint="eastAsia" w:cs="宋体" w:asciiTheme="minorEastAsia" w:hAnsiTheme="minorEastAsia"/>
                <w:bCs/>
                <w:sz w:val="21"/>
                <w:szCs w:val="21"/>
                <w:highlight w:val="none"/>
                <w:lang w:val="en-US" w:eastAsia="zh-CN"/>
              </w:rPr>
              <w:t>6</w:t>
            </w:r>
          </w:p>
        </w:tc>
        <w:tc>
          <w:tcPr>
            <w:tcW w:w="6379" w:type="dxa"/>
            <w:tcBorders>
              <w:top w:val="single" w:color="auto" w:sz="2" w:space="0"/>
            </w:tcBorders>
            <w:shd w:val="clear" w:color="auto" w:fill="auto"/>
            <w:vAlign w:val="center"/>
          </w:tcPr>
          <w:p w14:paraId="1BF5521C">
            <w:pPr>
              <w:autoSpaceDE w:val="0"/>
              <w:autoSpaceDN w:val="0"/>
              <w:spacing w:line="400" w:lineRule="exact"/>
              <w:rPr>
                <w:rFonts w:cs="Calibri Light" w:asciiTheme="minorEastAsia" w:hAnsiTheme="minorEastAsia"/>
                <w:b/>
                <w:bCs/>
                <w:color w:val="FF0000"/>
                <w:sz w:val="21"/>
                <w:szCs w:val="21"/>
              </w:rPr>
            </w:pPr>
            <w:bookmarkStart w:id="140" w:name="OLE_LINK4"/>
            <w:bookmarkStart w:id="141" w:name="OLE_LINK3"/>
            <w:r>
              <w:rPr>
                <w:rFonts w:hint="eastAsia" w:cs="Calibri Light" w:asciiTheme="minorEastAsia" w:hAnsiTheme="minorEastAsia"/>
                <w:b/>
                <w:bCs/>
                <w:color w:val="FF0000"/>
                <w:sz w:val="21"/>
                <w:szCs w:val="21"/>
              </w:rPr>
              <w:t>保密制度：</w:t>
            </w:r>
          </w:p>
          <w:p w14:paraId="7083017C">
            <w:pPr>
              <w:autoSpaceDE w:val="0"/>
              <w:autoSpaceDN w:val="0"/>
              <w:spacing w:line="400" w:lineRule="exact"/>
              <w:rPr>
                <w:rFonts w:asciiTheme="minorEastAsia" w:hAnsiTheme="minorEastAsia"/>
                <w:b/>
                <w:bCs/>
                <w:sz w:val="21"/>
                <w:szCs w:val="21"/>
              </w:rPr>
            </w:pPr>
            <w:r>
              <w:rPr>
                <w:rFonts w:hint="eastAsia" w:asciiTheme="minorEastAsia" w:hAnsiTheme="minorEastAsia"/>
                <w:b/>
                <w:bCs/>
                <w:sz w:val="21"/>
                <w:szCs w:val="21"/>
              </w:rPr>
              <w:t>1、评审内容：</w:t>
            </w:r>
          </w:p>
          <w:p w14:paraId="2C4B89F4">
            <w:pPr>
              <w:autoSpaceDE w:val="0"/>
              <w:autoSpaceDN w:val="0"/>
              <w:spacing w:line="400" w:lineRule="exact"/>
              <w:rPr>
                <w:rFonts w:asciiTheme="minorEastAsia" w:hAnsiTheme="minorEastAsia"/>
                <w:b/>
                <w:bCs/>
                <w:sz w:val="21"/>
                <w:szCs w:val="21"/>
              </w:rPr>
            </w:pPr>
            <w:r>
              <w:rPr>
                <w:rFonts w:hint="eastAsia" w:asciiTheme="minorEastAsia" w:hAnsiTheme="minorEastAsia"/>
                <w:sz w:val="21"/>
                <w:szCs w:val="21"/>
              </w:rPr>
              <w:t>针对本项目制定专项保密制度，内容包括：①保密管理制度；②保密管理办法；③</w:t>
            </w:r>
            <w:r>
              <w:rPr>
                <w:rFonts w:hint="eastAsia" w:asciiTheme="minorEastAsia" w:hAnsiTheme="minorEastAsia"/>
                <w:sz w:val="21"/>
                <w:szCs w:val="21"/>
                <w:lang w:val="en-US" w:eastAsia="zh-CN"/>
              </w:rPr>
              <w:t>根据项目需要签署《保密协议》的承诺</w:t>
            </w:r>
            <w:r>
              <w:rPr>
                <w:rFonts w:hint="eastAsia" w:asciiTheme="minorEastAsia" w:hAnsiTheme="minorEastAsia"/>
                <w:sz w:val="21"/>
                <w:szCs w:val="21"/>
              </w:rPr>
              <w:t>。</w:t>
            </w:r>
          </w:p>
          <w:p w14:paraId="2366B49A">
            <w:pPr>
              <w:autoSpaceDE w:val="0"/>
              <w:autoSpaceDN w:val="0"/>
              <w:spacing w:line="400" w:lineRule="exact"/>
              <w:rPr>
                <w:rFonts w:asciiTheme="minorEastAsia" w:hAnsiTheme="minorEastAsia"/>
                <w:b/>
                <w:bCs/>
                <w:sz w:val="21"/>
                <w:szCs w:val="21"/>
              </w:rPr>
            </w:pPr>
            <w:r>
              <w:rPr>
                <w:rFonts w:hint="eastAsia" w:asciiTheme="minorEastAsia" w:hAnsiTheme="minorEastAsia"/>
                <w:b/>
                <w:bCs/>
                <w:sz w:val="21"/>
                <w:szCs w:val="21"/>
              </w:rPr>
              <w:t>2、评审标准：</w:t>
            </w:r>
          </w:p>
          <w:p w14:paraId="44C5882E">
            <w:pPr>
              <w:spacing w:line="400" w:lineRule="exact"/>
              <w:rPr>
                <w:rFonts w:asciiTheme="minorEastAsia" w:hAnsiTheme="minorEastAsia"/>
                <w:sz w:val="21"/>
                <w:szCs w:val="21"/>
              </w:rPr>
            </w:pPr>
            <w:r>
              <w:rPr>
                <w:rFonts w:hint="eastAsia" w:asciiTheme="minorEastAsia" w:hAnsiTheme="minorEastAsia"/>
                <w:sz w:val="21"/>
                <w:szCs w:val="21"/>
              </w:rPr>
              <w:t>①完整性：方案须全面完整，对评审内容中的各项要求有详细描述及说明；</w:t>
            </w:r>
            <w:r>
              <w:rPr>
                <w:rFonts w:asciiTheme="minorEastAsia" w:hAnsiTheme="minorEastAsia"/>
                <w:sz w:val="21"/>
                <w:szCs w:val="21"/>
              </w:rPr>
              <w:t xml:space="preserve"> </w:t>
            </w:r>
          </w:p>
          <w:p w14:paraId="7E7C69B9">
            <w:pPr>
              <w:spacing w:line="400" w:lineRule="exact"/>
              <w:rPr>
                <w:rFonts w:asciiTheme="minorEastAsia" w:hAnsiTheme="minorEastAsia"/>
                <w:sz w:val="21"/>
                <w:szCs w:val="21"/>
              </w:rPr>
            </w:pPr>
            <w:r>
              <w:rPr>
                <w:rFonts w:hint="eastAsia" w:asciiTheme="minorEastAsia" w:hAnsiTheme="minorEastAsia"/>
                <w:sz w:val="21"/>
                <w:szCs w:val="21"/>
              </w:rPr>
              <w:t>②可</w:t>
            </w:r>
            <w:r>
              <w:rPr>
                <w:rFonts w:asciiTheme="minorEastAsia" w:hAnsiTheme="minorEastAsia"/>
                <w:sz w:val="21"/>
                <w:szCs w:val="21"/>
              </w:rPr>
              <w:t>实施性：</w:t>
            </w:r>
            <w:r>
              <w:rPr>
                <w:rFonts w:hint="eastAsia" w:asciiTheme="minorEastAsia" w:hAnsiTheme="minorEastAsia"/>
                <w:sz w:val="21"/>
                <w:szCs w:val="21"/>
              </w:rPr>
              <w:t>方案科学</w:t>
            </w:r>
            <w:r>
              <w:rPr>
                <w:rFonts w:asciiTheme="minorEastAsia" w:hAnsiTheme="minorEastAsia"/>
                <w:sz w:val="21"/>
                <w:szCs w:val="21"/>
              </w:rPr>
              <w:t>合理</w:t>
            </w:r>
            <w:r>
              <w:rPr>
                <w:rFonts w:hint="eastAsia" w:asciiTheme="minorEastAsia" w:hAnsiTheme="minorEastAsia"/>
                <w:sz w:val="21"/>
                <w:szCs w:val="21"/>
              </w:rPr>
              <w:t>，</w:t>
            </w:r>
            <w:r>
              <w:rPr>
                <w:rFonts w:asciiTheme="minorEastAsia" w:hAnsiTheme="minorEastAsia"/>
                <w:sz w:val="21"/>
                <w:szCs w:val="21"/>
              </w:rPr>
              <w:t>可操作性强；</w:t>
            </w:r>
          </w:p>
          <w:p w14:paraId="2E50D563">
            <w:pPr>
              <w:spacing w:line="400" w:lineRule="exact"/>
              <w:rPr>
                <w:rFonts w:asciiTheme="minorEastAsia" w:hAnsiTheme="minorEastAsia"/>
                <w:sz w:val="21"/>
                <w:szCs w:val="21"/>
              </w:rPr>
            </w:pPr>
            <w:r>
              <w:rPr>
                <w:rFonts w:hint="eastAsia" w:asciiTheme="minorEastAsia" w:hAnsiTheme="minorEastAsia"/>
                <w:sz w:val="21"/>
                <w:szCs w:val="21"/>
              </w:rPr>
              <w:t>③针对性</w:t>
            </w:r>
            <w:r>
              <w:rPr>
                <w:rFonts w:asciiTheme="minorEastAsia" w:hAnsiTheme="minorEastAsia"/>
                <w:sz w:val="21"/>
                <w:szCs w:val="21"/>
              </w:rPr>
              <w:t>：</w:t>
            </w:r>
            <w:r>
              <w:rPr>
                <w:rFonts w:hint="eastAsia" w:asciiTheme="minorEastAsia" w:hAnsiTheme="minorEastAsia"/>
                <w:sz w:val="21"/>
                <w:szCs w:val="21"/>
              </w:rPr>
              <w:t>方案能紧扣</w:t>
            </w:r>
            <w:r>
              <w:rPr>
                <w:rFonts w:asciiTheme="minorEastAsia" w:hAnsiTheme="minorEastAsia"/>
                <w:sz w:val="21"/>
                <w:szCs w:val="21"/>
              </w:rPr>
              <w:t>本</w:t>
            </w:r>
            <w:r>
              <w:rPr>
                <w:rFonts w:hint="eastAsia" w:asciiTheme="minorEastAsia" w:hAnsiTheme="minorEastAsia"/>
                <w:sz w:val="21"/>
                <w:szCs w:val="21"/>
              </w:rPr>
              <w:t>项目</w:t>
            </w:r>
            <w:r>
              <w:rPr>
                <w:rFonts w:asciiTheme="minorEastAsia" w:hAnsiTheme="minorEastAsia"/>
                <w:sz w:val="21"/>
                <w:szCs w:val="21"/>
              </w:rPr>
              <w:t>实际情况，</w:t>
            </w:r>
            <w:r>
              <w:rPr>
                <w:rFonts w:hint="eastAsia" w:asciiTheme="minorEastAsia" w:hAnsiTheme="minorEastAsia"/>
                <w:sz w:val="21"/>
                <w:szCs w:val="21"/>
              </w:rPr>
              <w:t>满足</w:t>
            </w:r>
            <w:r>
              <w:rPr>
                <w:rFonts w:asciiTheme="minorEastAsia" w:hAnsiTheme="minorEastAsia"/>
                <w:sz w:val="21"/>
                <w:szCs w:val="21"/>
              </w:rPr>
              <w:t>本项目各项具体要求。</w:t>
            </w:r>
          </w:p>
          <w:p w14:paraId="1CA83415">
            <w:pPr>
              <w:spacing w:line="400" w:lineRule="exact"/>
              <w:rPr>
                <w:rFonts w:asciiTheme="minorEastAsia" w:hAnsiTheme="minorEastAsia"/>
                <w:b/>
                <w:bCs/>
                <w:sz w:val="21"/>
                <w:szCs w:val="21"/>
              </w:rPr>
            </w:pPr>
            <w:r>
              <w:rPr>
                <w:rFonts w:hint="eastAsia" w:asciiTheme="minorEastAsia" w:hAnsiTheme="minorEastAsia"/>
                <w:b/>
                <w:bCs/>
                <w:sz w:val="21"/>
                <w:szCs w:val="21"/>
              </w:rPr>
              <w:t>3</w:t>
            </w:r>
            <w:r>
              <w:rPr>
                <w:rFonts w:hint="eastAsia" w:cs="Calibri Light" w:asciiTheme="minorEastAsia" w:hAnsiTheme="minorEastAsia"/>
                <w:b/>
                <w:sz w:val="21"/>
                <w:szCs w:val="21"/>
              </w:rPr>
              <w:t>、</w:t>
            </w:r>
            <w:r>
              <w:rPr>
                <w:rFonts w:hint="eastAsia" w:asciiTheme="minorEastAsia" w:hAnsiTheme="minorEastAsia"/>
                <w:b/>
                <w:bCs/>
                <w:sz w:val="21"/>
                <w:szCs w:val="21"/>
              </w:rPr>
              <w:t>赋分标准（满分</w:t>
            </w:r>
            <w:r>
              <w:rPr>
                <w:rFonts w:hint="eastAsia" w:asciiTheme="minorEastAsia" w:hAnsiTheme="minorEastAsia"/>
                <w:b/>
                <w:bCs/>
                <w:sz w:val="21"/>
                <w:szCs w:val="21"/>
                <w:lang w:val="en-US" w:eastAsia="zh-CN"/>
              </w:rPr>
              <w:t>6</w:t>
            </w:r>
            <w:r>
              <w:rPr>
                <w:rFonts w:hint="eastAsia" w:asciiTheme="minorEastAsia" w:hAnsiTheme="minorEastAsia"/>
                <w:b/>
                <w:bCs/>
                <w:sz w:val="21"/>
                <w:szCs w:val="21"/>
              </w:rPr>
              <w:t>分）：</w:t>
            </w:r>
          </w:p>
          <w:bookmarkEnd w:id="140"/>
          <w:bookmarkEnd w:id="141"/>
          <w:p w14:paraId="1F373D98">
            <w:pPr>
              <w:spacing w:line="400" w:lineRule="exact"/>
              <w:rPr>
                <w:rFonts w:hint="default"/>
                <w:sz w:val="21"/>
                <w:szCs w:val="20"/>
                <w:lang w:val="en-US" w:eastAsia="zh-CN"/>
              </w:rPr>
            </w:pPr>
            <w:r>
              <w:rPr>
                <w:rFonts w:hint="eastAsia" w:asciiTheme="minorEastAsia" w:hAnsiTheme="minorEastAsia"/>
                <w:sz w:val="21"/>
                <w:szCs w:val="21"/>
              </w:rPr>
              <w:t>每完全满足一项评审标准得</w:t>
            </w:r>
            <w:r>
              <w:rPr>
                <w:rFonts w:hint="eastAsia" w:asciiTheme="minorEastAsia" w:hAnsiTheme="minorEastAsia"/>
                <w:sz w:val="21"/>
                <w:szCs w:val="21"/>
                <w:lang w:val="en-US" w:eastAsia="zh-CN"/>
              </w:rPr>
              <w:t>2</w:t>
            </w:r>
            <w:r>
              <w:rPr>
                <w:rFonts w:hint="eastAsia" w:asciiTheme="minorEastAsia" w:hAnsiTheme="minorEastAsia"/>
                <w:sz w:val="21"/>
                <w:szCs w:val="21"/>
              </w:rPr>
              <w:t>分，不满足得0分。本项满分</w:t>
            </w:r>
            <w:r>
              <w:rPr>
                <w:rFonts w:hint="eastAsia" w:asciiTheme="minorEastAsia" w:hAnsiTheme="minorEastAsia"/>
                <w:sz w:val="21"/>
                <w:szCs w:val="21"/>
                <w:lang w:val="en-US" w:eastAsia="zh-CN"/>
              </w:rPr>
              <w:t>6</w:t>
            </w:r>
            <w:r>
              <w:rPr>
                <w:rFonts w:hint="eastAsia" w:asciiTheme="minorEastAsia" w:hAnsiTheme="minorEastAsia"/>
                <w:sz w:val="21"/>
                <w:szCs w:val="21"/>
              </w:rPr>
              <w:t>分</w:t>
            </w:r>
          </w:p>
        </w:tc>
        <w:tc>
          <w:tcPr>
            <w:tcW w:w="709" w:type="dxa"/>
            <w:tcBorders>
              <w:top w:val="single" w:color="auto" w:sz="2" w:space="0"/>
            </w:tcBorders>
            <w:shd w:val="clear" w:color="auto" w:fill="auto"/>
            <w:vAlign w:val="center"/>
          </w:tcPr>
          <w:p w14:paraId="71EAA6B9">
            <w:pPr>
              <w:spacing w:line="400" w:lineRule="exact"/>
              <w:jc w:val="center"/>
              <w:rPr>
                <w:rFonts w:cs="宋体" w:asciiTheme="minorEastAsia" w:hAnsiTheme="minorEastAsia"/>
                <w:bCs/>
                <w:color w:val="FF0000"/>
                <w:sz w:val="21"/>
                <w:szCs w:val="21"/>
              </w:rPr>
            </w:pPr>
          </w:p>
        </w:tc>
      </w:tr>
      <w:tr w14:paraId="39019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9" w:hRule="atLeast"/>
        </w:trPr>
        <w:tc>
          <w:tcPr>
            <w:tcW w:w="756" w:type="dxa"/>
            <w:vMerge w:val="restart"/>
            <w:shd w:val="clear" w:color="auto" w:fill="auto"/>
            <w:vAlign w:val="center"/>
          </w:tcPr>
          <w:p w14:paraId="3C79791F">
            <w:pPr>
              <w:spacing w:line="400" w:lineRule="exact"/>
              <w:jc w:val="center"/>
              <w:rPr>
                <w:rFonts w:cs="宋体" w:asciiTheme="minorEastAsia" w:hAnsiTheme="minorEastAsia"/>
                <w:bCs/>
                <w:sz w:val="21"/>
                <w:szCs w:val="21"/>
              </w:rPr>
            </w:pPr>
            <w:bookmarkStart w:id="142" w:name="OLE_LINK6"/>
            <w:bookmarkStart w:id="143" w:name="OLE_LINK7"/>
            <w:r>
              <w:rPr>
                <w:rFonts w:hint="eastAsia" w:cs="宋体" w:asciiTheme="minorEastAsia" w:hAnsiTheme="minorEastAsia"/>
                <w:b/>
                <w:sz w:val="21"/>
                <w:szCs w:val="21"/>
              </w:rPr>
              <w:t xml:space="preserve">商务部分 </w:t>
            </w:r>
            <w:bookmarkEnd w:id="142"/>
            <w:bookmarkEnd w:id="143"/>
          </w:p>
        </w:tc>
        <w:tc>
          <w:tcPr>
            <w:tcW w:w="640" w:type="dxa"/>
            <w:vMerge w:val="restart"/>
            <w:shd w:val="clear" w:color="auto" w:fill="auto"/>
            <w:vAlign w:val="center"/>
          </w:tcPr>
          <w:p w14:paraId="1DA49E95">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45</w:t>
            </w:r>
          </w:p>
        </w:tc>
        <w:tc>
          <w:tcPr>
            <w:tcW w:w="999" w:type="dxa"/>
            <w:shd w:val="clear" w:color="auto" w:fill="auto"/>
            <w:vAlign w:val="center"/>
          </w:tcPr>
          <w:p w14:paraId="138A0AA0">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20</w:t>
            </w:r>
          </w:p>
        </w:tc>
        <w:tc>
          <w:tcPr>
            <w:tcW w:w="6379" w:type="dxa"/>
            <w:shd w:val="clear" w:color="auto" w:fill="auto"/>
            <w:vAlign w:val="center"/>
          </w:tcPr>
          <w:p w14:paraId="58CAD081">
            <w:pPr>
              <w:autoSpaceDE w:val="0"/>
              <w:autoSpaceDN w:val="0"/>
              <w:spacing w:line="400" w:lineRule="exact"/>
              <w:rPr>
                <w:rFonts w:cs="Calibri Light" w:asciiTheme="minorEastAsia" w:hAnsiTheme="minorEastAsia"/>
                <w:b/>
                <w:bCs/>
                <w:color w:val="FF0000"/>
                <w:sz w:val="21"/>
                <w:szCs w:val="21"/>
              </w:rPr>
            </w:pPr>
            <w:r>
              <w:rPr>
                <w:rFonts w:hint="eastAsia" w:cs="Calibri Light" w:asciiTheme="minorEastAsia" w:hAnsiTheme="minorEastAsia"/>
                <w:b/>
                <w:bCs/>
                <w:color w:val="FF0000"/>
                <w:sz w:val="21"/>
                <w:szCs w:val="21"/>
              </w:rPr>
              <w:t>人员配</w:t>
            </w:r>
            <w:r>
              <w:rPr>
                <w:rFonts w:hint="eastAsia" w:cs="Calibri Light" w:asciiTheme="minorEastAsia" w:hAnsiTheme="minorEastAsia"/>
                <w:b/>
                <w:bCs/>
                <w:color w:val="FF0000"/>
                <w:sz w:val="21"/>
                <w:szCs w:val="21"/>
                <w:lang w:val="en-US" w:eastAsia="zh-CN"/>
              </w:rPr>
              <w:t>置</w:t>
            </w:r>
            <w:r>
              <w:rPr>
                <w:rFonts w:hint="eastAsia" w:cs="Calibri Light" w:asciiTheme="minorEastAsia" w:hAnsiTheme="minorEastAsia"/>
                <w:b/>
                <w:bCs/>
                <w:color w:val="FF0000"/>
                <w:sz w:val="21"/>
                <w:szCs w:val="21"/>
              </w:rPr>
              <w:t>：</w:t>
            </w:r>
          </w:p>
          <w:p w14:paraId="41A95955">
            <w:pPr>
              <w:shd w:val="clear" w:fill="FFFFFF" w:themeFill="background1"/>
              <w:autoSpaceDE w:val="0"/>
              <w:autoSpaceDN w:val="0"/>
              <w:spacing w:line="400" w:lineRule="exact"/>
              <w:rPr>
                <w:rFonts w:asciiTheme="minorEastAsia" w:hAnsiTheme="minorEastAsia"/>
                <w:bCs/>
                <w:sz w:val="21"/>
                <w:szCs w:val="21"/>
                <w:highlight w:val="none"/>
              </w:rPr>
            </w:pPr>
            <w:r>
              <w:rPr>
                <w:rFonts w:hint="eastAsia" w:asciiTheme="minorEastAsia" w:hAnsiTheme="minorEastAsia"/>
                <w:bCs/>
                <w:sz w:val="21"/>
                <w:szCs w:val="21"/>
                <w:highlight w:val="none"/>
              </w:rPr>
              <w:t>1、拟派律师团队人数</w:t>
            </w:r>
            <w:r>
              <w:rPr>
                <w:rFonts w:asciiTheme="minorEastAsia" w:hAnsiTheme="minorEastAsia"/>
                <w:bCs/>
                <w:sz w:val="21"/>
                <w:szCs w:val="21"/>
                <w:highlight w:val="none"/>
              </w:rPr>
              <w:t>5</w:t>
            </w:r>
            <w:r>
              <w:rPr>
                <w:rFonts w:hint="eastAsia" w:asciiTheme="minorEastAsia" w:hAnsiTheme="minorEastAsia"/>
                <w:bCs/>
                <w:sz w:val="21"/>
                <w:szCs w:val="21"/>
                <w:highlight w:val="none"/>
              </w:rPr>
              <w:t>人（含5人）以上的，</w:t>
            </w:r>
            <w:r>
              <w:rPr>
                <w:rFonts w:hint="eastAsia" w:asciiTheme="minorEastAsia" w:hAnsiTheme="minorEastAsia"/>
                <w:b/>
                <w:bCs w:val="0"/>
                <w:sz w:val="21"/>
                <w:szCs w:val="21"/>
                <w:highlight w:val="none"/>
              </w:rPr>
              <w:t>得2分</w:t>
            </w:r>
            <w:r>
              <w:rPr>
                <w:rFonts w:hint="eastAsia" w:asciiTheme="minorEastAsia" w:hAnsiTheme="minorEastAsia"/>
                <w:bCs/>
                <w:sz w:val="21"/>
                <w:szCs w:val="21"/>
                <w:highlight w:val="none"/>
              </w:rPr>
              <w:t>。（提供拟派人员</w:t>
            </w:r>
            <w:r>
              <w:rPr>
                <w:rFonts w:asciiTheme="minorEastAsia" w:hAnsiTheme="minorEastAsia"/>
                <w:bCs/>
                <w:sz w:val="21"/>
                <w:szCs w:val="21"/>
                <w:highlight w:val="none"/>
              </w:rPr>
              <w:t>202</w:t>
            </w:r>
            <w:r>
              <w:rPr>
                <w:rFonts w:hint="eastAsia" w:asciiTheme="minorEastAsia" w:hAnsiTheme="minorEastAsia"/>
                <w:bCs/>
                <w:sz w:val="21"/>
                <w:szCs w:val="21"/>
                <w:highlight w:val="none"/>
                <w:lang w:val="en-US" w:eastAsia="zh-CN"/>
              </w:rPr>
              <w:t>3</w:t>
            </w:r>
            <w:r>
              <w:rPr>
                <w:rFonts w:hint="eastAsia" w:asciiTheme="minorEastAsia" w:hAnsiTheme="minorEastAsia"/>
                <w:bCs/>
                <w:sz w:val="21"/>
                <w:szCs w:val="21"/>
                <w:highlight w:val="none"/>
              </w:rPr>
              <w:t>年</w:t>
            </w:r>
            <w:r>
              <w:rPr>
                <w:rFonts w:asciiTheme="minorEastAsia" w:hAnsiTheme="minorEastAsia"/>
                <w:bCs/>
                <w:sz w:val="21"/>
                <w:szCs w:val="21"/>
                <w:highlight w:val="none"/>
              </w:rPr>
              <w:t>1</w:t>
            </w:r>
            <w:r>
              <w:rPr>
                <w:rFonts w:hint="eastAsia" w:asciiTheme="minorEastAsia" w:hAnsiTheme="minorEastAsia"/>
                <w:bCs/>
                <w:sz w:val="21"/>
                <w:szCs w:val="21"/>
                <w:highlight w:val="none"/>
              </w:rPr>
              <w:t>月以来供应商为其缴纳社保证明或劳动合同）</w:t>
            </w:r>
          </w:p>
          <w:p w14:paraId="2058593F">
            <w:pPr>
              <w:shd w:val="clear" w:fill="FFFFFF" w:themeFill="background1"/>
              <w:autoSpaceDE w:val="0"/>
              <w:autoSpaceDN w:val="0"/>
              <w:spacing w:line="400" w:lineRule="exact"/>
              <w:rPr>
                <w:rFonts w:asciiTheme="minorEastAsia" w:hAnsiTheme="minorEastAsia"/>
                <w:bCs/>
                <w:sz w:val="21"/>
                <w:szCs w:val="21"/>
                <w:highlight w:val="none"/>
              </w:rPr>
            </w:pPr>
            <w:r>
              <w:rPr>
                <w:rFonts w:hint="eastAsia" w:asciiTheme="minorEastAsia" w:hAnsiTheme="minorEastAsia"/>
                <w:b/>
                <w:bCs/>
                <w:sz w:val="21"/>
                <w:szCs w:val="21"/>
                <w:highlight w:val="none"/>
              </w:rPr>
              <w:t>注</w:t>
            </w:r>
            <w:r>
              <w:rPr>
                <w:rFonts w:asciiTheme="minorEastAsia" w:hAnsiTheme="minorEastAsia"/>
                <w:b/>
                <w:bCs/>
                <w:sz w:val="21"/>
                <w:szCs w:val="21"/>
                <w:highlight w:val="none"/>
              </w:rPr>
              <w:t>：</w:t>
            </w:r>
            <w:r>
              <w:rPr>
                <w:rFonts w:hint="eastAsia" w:asciiTheme="minorEastAsia" w:hAnsiTheme="minorEastAsia"/>
                <w:bCs/>
                <w:sz w:val="21"/>
                <w:szCs w:val="21"/>
                <w:highlight w:val="none"/>
              </w:rPr>
              <w:t>拟派</w:t>
            </w:r>
            <w:r>
              <w:rPr>
                <w:rFonts w:asciiTheme="minorEastAsia" w:hAnsiTheme="minorEastAsia"/>
                <w:bCs/>
                <w:sz w:val="21"/>
                <w:szCs w:val="21"/>
                <w:highlight w:val="none"/>
              </w:rPr>
              <w:t>服务</w:t>
            </w:r>
            <w:r>
              <w:rPr>
                <w:rFonts w:hint="eastAsia" w:asciiTheme="minorEastAsia" w:hAnsiTheme="minorEastAsia"/>
                <w:bCs/>
                <w:sz w:val="21"/>
                <w:szCs w:val="21"/>
                <w:highlight w:val="none"/>
              </w:rPr>
              <w:t>团队</w:t>
            </w:r>
            <w:r>
              <w:rPr>
                <w:rFonts w:asciiTheme="minorEastAsia" w:hAnsiTheme="minorEastAsia"/>
                <w:bCs/>
                <w:sz w:val="21"/>
                <w:szCs w:val="21"/>
                <w:highlight w:val="none"/>
              </w:rPr>
              <w:t>人数不足或</w:t>
            </w:r>
            <w:r>
              <w:rPr>
                <w:rFonts w:hint="eastAsia" w:asciiTheme="minorEastAsia" w:hAnsiTheme="minorEastAsia"/>
                <w:bCs/>
                <w:sz w:val="21"/>
                <w:szCs w:val="21"/>
                <w:highlight w:val="none"/>
              </w:rPr>
              <w:t>不提供证明</w:t>
            </w:r>
            <w:r>
              <w:rPr>
                <w:rFonts w:asciiTheme="minorEastAsia" w:hAnsiTheme="minorEastAsia"/>
                <w:bCs/>
                <w:sz w:val="21"/>
                <w:szCs w:val="21"/>
                <w:highlight w:val="none"/>
              </w:rPr>
              <w:t>材料不得</w:t>
            </w:r>
            <w:r>
              <w:rPr>
                <w:rFonts w:hint="eastAsia" w:asciiTheme="minorEastAsia" w:hAnsiTheme="minorEastAsia"/>
                <w:bCs/>
                <w:sz w:val="21"/>
                <w:szCs w:val="21"/>
                <w:highlight w:val="none"/>
              </w:rPr>
              <w:t>分；</w:t>
            </w:r>
          </w:p>
          <w:p w14:paraId="58E11EA1">
            <w:pPr>
              <w:shd w:val="clear" w:fill="FFFFFF" w:themeFill="background1"/>
              <w:autoSpaceDE w:val="0"/>
              <w:autoSpaceDN w:val="0"/>
              <w:spacing w:line="400" w:lineRule="exact"/>
              <w:rPr>
                <w:rFonts w:asciiTheme="minorEastAsia" w:hAnsiTheme="minorEastAsia"/>
                <w:bCs/>
                <w:sz w:val="21"/>
                <w:szCs w:val="21"/>
                <w:highlight w:val="none"/>
              </w:rPr>
            </w:pPr>
            <w:r>
              <w:rPr>
                <w:rFonts w:asciiTheme="minorEastAsia" w:hAnsiTheme="minorEastAsia"/>
                <w:bCs/>
                <w:sz w:val="21"/>
                <w:szCs w:val="21"/>
                <w:highlight w:val="none"/>
              </w:rPr>
              <w:t>2</w:t>
            </w:r>
            <w:r>
              <w:rPr>
                <w:rFonts w:hint="eastAsia" w:asciiTheme="minorEastAsia" w:hAnsiTheme="minorEastAsia"/>
                <w:bCs/>
                <w:sz w:val="21"/>
                <w:szCs w:val="21"/>
                <w:highlight w:val="none"/>
              </w:rPr>
              <w:t>、</w:t>
            </w:r>
            <w:r>
              <w:rPr>
                <w:rFonts w:hint="eastAsia" w:asciiTheme="minorEastAsia" w:hAnsiTheme="minorEastAsia"/>
                <w:bCs/>
                <w:sz w:val="21"/>
                <w:szCs w:val="21"/>
                <w:highlight w:val="none"/>
                <w:lang w:val="en-US" w:eastAsia="zh-CN"/>
              </w:rPr>
              <w:t>项目负责</w:t>
            </w:r>
            <w:r>
              <w:rPr>
                <w:rFonts w:asciiTheme="minorEastAsia" w:hAnsiTheme="minorEastAsia"/>
                <w:bCs/>
                <w:sz w:val="21"/>
                <w:szCs w:val="21"/>
                <w:highlight w:val="none"/>
              </w:rPr>
              <w:t>律师</w:t>
            </w:r>
            <w:r>
              <w:rPr>
                <w:rFonts w:hint="eastAsia" w:asciiTheme="minorEastAsia" w:hAnsiTheme="minorEastAsia"/>
                <w:bCs/>
                <w:sz w:val="21"/>
                <w:szCs w:val="21"/>
                <w:highlight w:val="none"/>
              </w:rPr>
              <w:t>1名：</w:t>
            </w:r>
            <w:r>
              <w:rPr>
                <w:rFonts w:hint="eastAsia" w:asciiTheme="minorEastAsia" w:hAnsiTheme="minorEastAsia"/>
                <w:b/>
                <w:bCs/>
                <w:sz w:val="21"/>
                <w:szCs w:val="21"/>
                <w:highlight w:val="none"/>
              </w:rPr>
              <w:t>（本项满分</w:t>
            </w:r>
            <w:r>
              <w:rPr>
                <w:rFonts w:hint="eastAsia" w:asciiTheme="minorEastAsia" w:hAnsiTheme="minorEastAsia"/>
                <w:b/>
                <w:bCs/>
                <w:sz w:val="21"/>
                <w:szCs w:val="21"/>
                <w:highlight w:val="none"/>
                <w:lang w:val="en-US" w:eastAsia="zh-CN"/>
              </w:rPr>
              <w:t>6</w:t>
            </w:r>
            <w:r>
              <w:rPr>
                <w:rFonts w:hint="eastAsia" w:asciiTheme="minorEastAsia" w:hAnsiTheme="minorEastAsia"/>
                <w:b/>
                <w:bCs/>
                <w:sz w:val="21"/>
                <w:szCs w:val="21"/>
                <w:highlight w:val="none"/>
              </w:rPr>
              <w:t>分）</w:t>
            </w:r>
          </w:p>
          <w:p w14:paraId="44728C83">
            <w:pPr>
              <w:shd w:val="clear" w:fill="FFFFFF" w:themeFill="background1"/>
              <w:autoSpaceDE w:val="0"/>
              <w:autoSpaceDN w:val="0"/>
              <w:spacing w:line="400" w:lineRule="exact"/>
              <w:rPr>
                <w:rFonts w:ascii="宋体" w:hAnsi="宋体" w:cs="宋体"/>
                <w:sz w:val="21"/>
                <w:szCs w:val="21"/>
                <w:highlight w:val="none"/>
              </w:rPr>
            </w:pPr>
            <w:r>
              <w:rPr>
                <w:rFonts w:hint="eastAsia" w:asciiTheme="minorEastAsia" w:hAnsiTheme="minorEastAsia"/>
                <w:bCs/>
                <w:sz w:val="21"/>
                <w:szCs w:val="21"/>
                <w:highlight w:val="none"/>
              </w:rPr>
              <w:t>①具备研究生</w:t>
            </w:r>
            <w:r>
              <w:rPr>
                <w:rFonts w:asciiTheme="minorEastAsia" w:hAnsiTheme="minorEastAsia"/>
                <w:bCs/>
                <w:sz w:val="21"/>
                <w:szCs w:val="21"/>
                <w:highlight w:val="none"/>
              </w:rPr>
              <w:t>及以上学历</w:t>
            </w:r>
            <w:r>
              <w:rPr>
                <w:rFonts w:hint="eastAsia" w:asciiTheme="minorEastAsia" w:hAnsiTheme="minorEastAsia"/>
                <w:bCs/>
                <w:sz w:val="21"/>
                <w:szCs w:val="21"/>
                <w:highlight w:val="none"/>
              </w:rPr>
              <w:t>，得</w:t>
            </w:r>
            <w:r>
              <w:rPr>
                <w:rFonts w:hint="eastAsia" w:asciiTheme="minorEastAsia" w:hAnsiTheme="minorEastAsia"/>
                <w:b/>
                <w:bCs/>
                <w:sz w:val="21"/>
                <w:szCs w:val="21"/>
                <w:highlight w:val="none"/>
                <w:lang w:val="en-US" w:eastAsia="zh-CN"/>
              </w:rPr>
              <w:t>1</w:t>
            </w:r>
            <w:r>
              <w:rPr>
                <w:rFonts w:hint="eastAsia" w:asciiTheme="minorEastAsia" w:hAnsiTheme="minorEastAsia"/>
                <w:b/>
                <w:bCs/>
                <w:sz w:val="21"/>
                <w:szCs w:val="21"/>
                <w:highlight w:val="none"/>
              </w:rPr>
              <w:t>分</w:t>
            </w:r>
            <w:r>
              <w:rPr>
                <w:rFonts w:hint="eastAsia" w:asciiTheme="minorEastAsia" w:hAnsiTheme="minorEastAsia"/>
                <w:bCs/>
                <w:sz w:val="21"/>
                <w:szCs w:val="21"/>
                <w:highlight w:val="none"/>
              </w:rPr>
              <w:t>。</w:t>
            </w:r>
            <w:r>
              <w:rPr>
                <w:rFonts w:ascii="宋体" w:hAnsi="宋体" w:cs="宋体"/>
                <w:sz w:val="21"/>
                <w:szCs w:val="21"/>
                <w:highlight w:val="none"/>
              </w:rPr>
              <w:t>须提供</w:t>
            </w:r>
            <w:r>
              <w:rPr>
                <w:rFonts w:hint="eastAsia" w:ascii="宋体" w:hAnsi="宋体" w:cs="宋体"/>
                <w:sz w:val="21"/>
                <w:szCs w:val="21"/>
                <w:highlight w:val="none"/>
              </w:rPr>
              <w:t>身份证</w:t>
            </w:r>
            <w:r>
              <w:rPr>
                <w:rFonts w:ascii="宋体" w:hAnsi="宋体" w:cs="宋体"/>
                <w:sz w:val="21"/>
                <w:szCs w:val="21"/>
                <w:highlight w:val="none"/>
              </w:rPr>
              <w:t>扫描件及学信网经查证的《教育部学历证书电子注册备案表》，不提供或不满足学历要求不得分</w:t>
            </w:r>
            <w:r>
              <w:rPr>
                <w:rFonts w:hint="eastAsia" w:ascii="宋体" w:hAnsi="宋体" w:cs="宋体"/>
                <w:sz w:val="21"/>
                <w:szCs w:val="21"/>
                <w:highlight w:val="none"/>
              </w:rPr>
              <w:t>；</w:t>
            </w:r>
          </w:p>
          <w:p w14:paraId="38C4F182">
            <w:pPr>
              <w:shd w:val="clear" w:fill="FFFFFF" w:themeFill="background1"/>
              <w:autoSpaceDE w:val="0"/>
              <w:autoSpaceDN w:val="0"/>
              <w:spacing w:line="400" w:lineRule="exact"/>
              <w:rPr>
                <w:rFonts w:ascii="宋体" w:hAnsi="宋体" w:cs="宋体"/>
                <w:sz w:val="21"/>
                <w:szCs w:val="21"/>
                <w:highlight w:val="none"/>
              </w:rPr>
            </w:pPr>
            <w:r>
              <w:rPr>
                <w:rFonts w:hint="eastAsia" w:ascii="宋体" w:hAnsi="宋体" w:cs="宋体"/>
                <w:sz w:val="21"/>
                <w:szCs w:val="21"/>
                <w:highlight w:val="none"/>
              </w:rPr>
              <w:t>②</w:t>
            </w:r>
            <w:bookmarkStart w:id="144" w:name="OLE_LINK5"/>
            <w:r>
              <w:rPr>
                <w:rFonts w:asciiTheme="minorEastAsia" w:hAnsiTheme="minorEastAsia"/>
                <w:bCs/>
                <w:sz w:val="21"/>
                <w:szCs w:val="21"/>
                <w:highlight w:val="none"/>
              </w:rPr>
              <w:t>具有</w:t>
            </w:r>
            <w:r>
              <w:rPr>
                <w:rFonts w:hint="eastAsia" w:asciiTheme="minorEastAsia" w:hAnsiTheme="minorEastAsia"/>
                <w:bCs/>
                <w:sz w:val="21"/>
                <w:szCs w:val="21"/>
                <w:highlight w:val="none"/>
                <w:lang w:val="en-US" w:eastAsia="zh-CN"/>
              </w:rPr>
              <w:t>20</w:t>
            </w:r>
            <w:r>
              <w:rPr>
                <w:rFonts w:hint="eastAsia" w:asciiTheme="minorEastAsia" w:hAnsiTheme="minorEastAsia"/>
                <w:bCs/>
                <w:sz w:val="21"/>
                <w:szCs w:val="21"/>
                <w:highlight w:val="none"/>
              </w:rPr>
              <w:t>年及</w:t>
            </w:r>
            <w:r>
              <w:rPr>
                <w:rFonts w:asciiTheme="minorEastAsia" w:hAnsiTheme="minorEastAsia"/>
                <w:bCs/>
                <w:sz w:val="21"/>
                <w:szCs w:val="21"/>
                <w:highlight w:val="none"/>
              </w:rPr>
              <w:t>以上</w:t>
            </w:r>
            <w:r>
              <w:rPr>
                <w:rFonts w:hint="eastAsia" w:asciiTheme="minorEastAsia" w:hAnsiTheme="minorEastAsia"/>
                <w:bCs/>
                <w:sz w:val="21"/>
                <w:szCs w:val="21"/>
                <w:highlight w:val="none"/>
              </w:rPr>
              <w:t>执业经验，得</w:t>
            </w:r>
            <w:r>
              <w:rPr>
                <w:rFonts w:hint="eastAsia" w:asciiTheme="minorEastAsia" w:hAnsiTheme="minorEastAsia"/>
                <w:b/>
                <w:bCs/>
                <w:sz w:val="21"/>
                <w:szCs w:val="21"/>
                <w:highlight w:val="none"/>
                <w:lang w:val="en-US" w:eastAsia="zh-CN"/>
              </w:rPr>
              <w:t>2</w:t>
            </w:r>
            <w:r>
              <w:rPr>
                <w:rFonts w:hint="eastAsia" w:asciiTheme="minorEastAsia" w:hAnsiTheme="minorEastAsia"/>
                <w:b/>
                <w:bCs/>
                <w:sz w:val="21"/>
                <w:szCs w:val="21"/>
                <w:highlight w:val="none"/>
              </w:rPr>
              <w:t>分</w:t>
            </w:r>
            <w:bookmarkEnd w:id="144"/>
            <w:r>
              <w:rPr>
                <w:rFonts w:hint="eastAsia" w:asciiTheme="minorEastAsia" w:hAnsiTheme="minorEastAsia"/>
                <w:bCs/>
                <w:sz w:val="21"/>
                <w:szCs w:val="21"/>
                <w:highlight w:val="none"/>
              </w:rPr>
              <w:t>。（</w:t>
            </w:r>
            <w:r>
              <w:rPr>
                <w:rFonts w:hint="eastAsia" w:asciiTheme="minorEastAsia" w:hAnsiTheme="minorEastAsia" w:cstheme="minorBidi"/>
                <w:bCs/>
                <w:kern w:val="2"/>
                <w:sz w:val="21"/>
                <w:szCs w:val="21"/>
                <w:highlight w:val="none"/>
              </w:rPr>
              <w:t>须提供律师执业证为证明材料，以发证日期计算</w:t>
            </w:r>
            <w:r>
              <w:rPr>
                <w:rFonts w:hint="eastAsia" w:asciiTheme="minorEastAsia" w:hAnsiTheme="minorEastAsia"/>
                <w:bCs/>
                <w:sz w:val="21"/>
                <w:szCs w:val="21"/>
                <w:highlight w:val="none"/>
              </w:rPr>
              <w:t>）</w:t>
            </w:r>
            <w:r>
              <w:rPr>
                <w:rFonts w:hint="eastAsia" w:asciiTheme="minorEastAsia" w:hAnsiTheme="minorEastAsia" w:cstheme="minorBidi"/>
                <w:bCs/>
                <w:kern w:val="2"/>
                <w:sz w:val="21"/>
                <w:szCs w:val="21"/>
                <w:highlight w:val="none"/>
              </w:rPr>
              <w:t>,</w:t>
            </w:r>
            <w:r>
              <w:rPr>
                <w:rFonts w:asciiTheme="minorEastAsia" w:hAnsiTheme="minorEastAsia"/>
                <w:bCs/>
                <w:sz w:val="21"/>
                <w:szCs w:val="21"/>
                <w:highlight w:val="none"/>
              </w:rPr>
              <w:t>不提供或不满足资格要求不得分</w:t>
            </w:r>
            <w:r>
              <w:rPr>
                <w:rFonts w:hint="eastAsia" w:asciiTheme="minorEastAsia" w:hAnsiTheme="minorEastAsia"/>
                <w:bCs/>
                <w:sz w:val="21"/>
                <w:szCs w:val="21"/>
                <w:highlight w:val="none"/>
              </w:rPr>
              <w:t>。</w:t>
            </w:r>
          </w:p>
          <w:p w14:paraId="0273AA2C">
            <w:pPr>
              <w:shd w:val="clear" w:fill="FFFFFF" w:themeFill="background1"/>
              <w:autoSpaceDE w:val="0"/>
              <w:autoSpaceDN w:val="0"/>
              <w:spacing w:line="400" w:lineRule="exact"/>
              <w:rPr>
                <w:rFonts w:hint="eastAsia" w:ascii="宋体" w:hAnsi="宋体" w:cs="宋体"/>
                <w:sz w:val="21"/>
                <w:szCs w:val="21"/>
                <w:highlight w:val="none"/>
              </w:rPr>
            </w:pPr>
            <w:r>
              <w:rPr>
                <w:rFonts w:hint="eastAsia" w:ascii="宋体" w:hAnsi="宋体" w:cs="宋体"/>
                <w:sz w:val="21"/>
                <w:szCs w:val="21"/>
                <w:highlight w:val="none"/>
              </w:rPr>
              <w:t>③</w:t>
            </w:r>
            <w:r>
              <w:rPr>
                <w:rFonts w:hint="eastAsia" w:asciiTheme="minorEastAsia" w:hAnsiTheme="minorEastAsia"/>
                <w:bCs/>
                <w:sz w:val="21"/>
                <w:szCs w:val="21"/>
                <w:highlight w:val="none"/>
              </w:rPr>
              <w:t>具有5年及以上房地产领域相关办案经验，得</w:t>
            </w:r>
            <w:r>
              <w:rPr>
                <w:rFonts w:hint="eastAsia" w:asciiTheme="minorEastAsia" w:hAnsiTheme="minorEastAsia"/>
                <w:b/>
                <w:bCs/>
                <w:sz w:val="21"/>
                <w:szCs w:val="21"/>
                <w:highlight w:val="none"/>
                <w:lang w:val="en-US" w:eastAsia="zh-CN"/>
              </w:rPr>
              <w:t>1</w:t>
            </w:r>
            <w:r>
              <w:rPr>
                <w:rFonts w:hint="eastAsia" w:asciiTheme="minorEastAsia" w:hAnsiTheme="minorEastAsia"/>
                <w:b/>
                <w:bCs/>
                <w:sz w:val="21"/>
                <w:szCs w:val="21"/>
                <w:highlight w:val="none"/>
              </w:rPr>
              <w:t>分</w:t>
            </w:r>
            <w:r>
              <w:rPr>
                <w:rFonts w:hint="eastAsia" w:asciiTheme="minorEastAsia" w:hAnsiTheme="minorEastAsia"/>
                <w:bCs/>
                <w:sz w:val="21"/>
                <w:szCs w:val="21"/>
                <w:highlight w:val="none"/>
              </w:rPr>
              <w:t>。须</w:t>
            </w:r>
            <w:r>
              <w:rPr>
                <w:rFonts w:asciiTheme="minorEastAsia" w:hAnsiTheme="minorEastAsia"/>
                <w:bCs/>
                <w:sz w:val="21"/>
                <w:szCs w:val="21"/>
                <w:highlight w:val="none"/>
              </w:rPr>
              <w:t>提供</w:t>
            </w:r>
            <w:r>
              <w:rPr>
                <w:rFonts w:hint="eastAsia" w:ascii="宋体" w:hAnsi="宋体" w:cs="宋体"/>
                <w:sz w:val="21"/>
                <w:szCs w:val="21"/>
                <w:highlight w:val="none"/>
              </w:rPr>
              <w:t>类似</w:t>
            </w:r>
            <w:r>
              <w:rPr>
                <w:rFonts w:ascii="宋体" w:hAnsi="宋体" w:cs="宋体"/>
                <w:sz w:val="21"/>
                <w:szCs w:val="21"/>
                <w:highlight w:val="none"/>
              </w:rPr>
              <w:t>工作证明文件或被服务单位加盖公章的证明材料</w:t>
            </w:r>
            <w:r>
              <w:rPr>
                <w:rFonts w:hint="eastAsia" w:asciiTheme="minorEastAsia" w:hAnsiTheme="minorEastAsia"/>
                <w:bCs/>
                <w:sz w:val="21"/>
                <w:szCs w:val="21"/>
                <w:highlight w:val="none"/>
              </w:rPr>
              <w:t>，</w:t>
            </w:r>
            <w:r>
              <w:rPr>
                <w:rFonts w:ascii="宋体" w:hAnsi="宋体" w:cs="宋体"/>
                <w:sz w:val="21"/>
                <w:szCs w:val="21"/>
                <w:highlight w:val="none"/>
              </w:rPr>
              <w:t>不提供或不满足</w:t>
            </w:r>
            <w:r>
              <w:rPr>
                <w:rFonts w:hint="eastAsia" w:ascii="宋体" w:hAnsi="宋体" w:cs="宋体"/>
                <w:sz w:val="21"/>
                <w:szCs w:val="21"/>
                <w:highlight w:val="none"/>
              </w:rPr>
              <w:t>执业</w:t>
            </w:r>
            <w:r>
              <w:rPr>
                <w:rFonts w:ascii="宋体" w:hAnsi="宋体" w:cs="宋体"/>
                <w:sz w:val="21"/>
                <w:szCs w:val="21"/>
                <w:highlight w:val="none"/>
              </w:rPr>
              <w:t>经验要求不得分</w:t>
            </w:r>
            <w:r>
              <w:rPr>
                <w:rFonts w:hint="eastAsia" w:ascii="宋体" w:hAnsi="宋体" w:cs="宋体"/>
                <w:sz w:val="21"/>
                <w:szCs w:val="21"/>
                <w:highlight w:val="none"/>
              </w:rPr>
              <w:t>。</w:t>
            </w:r>
          </w:p>
          <w:p w14:paraId="35885FC1">
            <w:pPr>
              <w:pStyle w:val="2"/>
              <w:shd w:val="clear" w:fill="FFFFFF" w:themeFill="background1"/>
              <w:rPr>
                <w:rFonts w:hint="eastAsia" w:asciiTheme="minorEastAsia" w:hAnsiTheme="minorEastAsia"/>
                <w:b/>
                <w:bCs/>
                <w:sz w:val="21"/>
                <w:szCs w:val="21"/>
                <w:highlight w:val="none"/>
                <w:lang w:eastAsia="zh-CN"/>
              </w:rPr>
            </w:pPr>
            <w:r>
              <w:rPr>
                <w:rFonts w:hint="eastAsia" w:cs="Calibri Light" w:asciiTheme="minorEastAsia" w:hAnsiTheme="minorEastAsia"/>
                <w:sz w:val="21"/>
                <w:szCs w:val="21"/>
                <w:highlight w:val="none"/>
              </w:rPr>
              <w:t>④</w:t>
            </w:r>
            <w:r>
              <w:rPr>
                <w:rFonts w:hint="eastAsia" w:cs="Calibri Light" w:asciiTheme="minorEastAsia" w:hAnsiTheme="minorEastAsia"/>
                <w:sz w:val="21"/>
                <w:szCs w:val="21"/>
                <w:highlight w:val="none"/>
                <w:lang w:val="en-US" w:eastAsia="zh-CN"/>
              </w:rPr>
              <w:t>在市级及以上人民政府担任法律顾问的，得</w:t>
            </w:r>
            <w:r>
              <w:rPr>
                <w:rFonts w:asciiTheme="minorEastAsia" w:hAnsiTheme="minorEastAsia"/>
                <w:b/>
                <w:bCs/>
                <w:sz w:val="21"/>
                <w:szCs w:val="21"/>
                <w:highlight w:val="none"/>
              </w:rPr>
              <w:t>2</w:t>
            </w:r>
            <w:r>
              <w:rPr>
                <w:rFonts w:hint="eastAsia" w:asciiTheme="minorEastAsia" w:hAnsiTheme="minorEastAsia"/>
                <w:b/>
                <w:bCs/>
                <w:sz w:val="21"/>
                <w:szCs w:val="21"/>
                <w:highlight w:val="none"/>
              </w:rPr>
              <w:t>分</w:t>
            </w:r>
            <w:r>
              <w:rPr>
                <w:rFonts w:hint="eastAsia" w:asciiTheme="minorEastAsia" w:hAnsiTheme="minorEastAsia"/>
                <w:b/>
                <w:bCs/>
                <w:sz w:val="21"/>
                <w:szCs w:val="21"/>
                <w:highlight w:val="none"/>
                <w:lang w:eastAsia="zh-CN"/>
              </w:rPr>
              <w:t>。</w:t>
            </w:r>
          </w:p>
          <w:p w14:paraId="639C493D">
            <w:pPr>
              <w:shd w:val="clear" w:fill="FFFFFF" w:themeFill="background1"/>
              <w:autoSpaceDE w:val="0"/>
              <w:autoSpaceDN w:val="0"/>
              <w:spacing w:line="400" w:lineRule="exact"/>
              <w:rPr>
                <w:rFonts w:hint="default" w:eastAsia="宋体" w:cs="Times New Roman" w:asciiTheme="minorEastAsia" w:hAnsiTheme="minorEastAsia"/>
                <w:bCs/>
                <w:sz w:val="21"/>
                <w:szCs w:val="21"/>
                <w:highlight w:val="none"/>
                <w:lang w:val="en-US" w:eastAsia="zh-CN"/>
              </w:rPr>
            </w:pPr>
            <w:r>
              <w:rPr>
                <w:rFonts w:hint="eastAsia" w:eastAsia="宋体" w:cs="Times New Roman" w:asciiTheme="minorEastAsia" w:hAnsiTheme="minorEastAsia"/>
                <w:bCs/>
                <w:sz w:val="21"/>
                <w:szCs w:val="21"/>
                <w:highlight w:val="none"/>
                <w:lang w:val="en-US" w:eastAsia="zh-CN"/>
              </w:rPr>
              <w:t>3、其他人员要求</w:t>
            </w:r>
            <w:r>
              <w:rPr>
                <w:rFonts w:hint="eastAsia" w:eastAsia="宋体" w:cs="Calibri Light" w:asciiTheme="minorEastAsia" w:hAnsiTheme="minorEastAsia"/>
                <w:b/>
                <w:bCs/>
                <w:kern w:val="2"/>
                <w:sz w:val="21"/>
                <w:szCs w:val="21"/>
                <w:highlight w:val="none"/>
                <w:lang w:val="en-US" w:eastAsia="zh-CN" w:bidi="ar-SA"/>
              </w:rPr>
              <w:t>（本项满分4分）</w:t>
            </w:r>
          </w:p>
          <w:p w14:paraId="67E2E686">
            <w:pPr>
              <w:autoSpaceDE w:val="0"/>
              <w:autoSpaceDN w:val="0"/>
              <w:spacing w:line="400" w:lineRule="exact"/>
              <w:rPr>
                <w:rFonts w:asciiTheme="minorEastAsia" w:hAnsiTheme="minorEastAsia"/>
                <w:b/>
                <w:bCs/>
                <w:sz w:val="21"/>
                <w:szCs w:val="21"/>
                <w:highlight w:val="none"/>
              </w:rPr>
            </w:pPr>
            <w:r>
              <w:rPr>
                <w:rFonts w:hint="eastAsia" w:asciiTheme="minorEastAsia" w:hAnsiTheme="minorEastAsia"/>
                <w:bCs/>
                <w:sz w:val="21"/>
                <w:szCs w:val="21"/>
                <w:lang w:val="en-US" w:eastAsia="zh-CN"/>
              </w:rPr>
              <w:t>①</w:t>
            </w:r>
            <w:r>
              <w:rPr>
                <w:rFonts w:hint="eastAsia" w:asciiTheme="minorEastAsia" w:hAnsiTheme="minorEastAsia"/>
                <w:bCs/>
                <w:sz w:val="21"/>
                <w:szCs w:val="21"/>
              </w:rPr>
              <w:t>坐班</w:t>
            </w:r>
            <w:r>
              <w:rPr>
                <w:rFonts w:asciiTheme="minorEastAsia" w:hAnsiTheme="minorEastAsia"/>
                <w:bCs/>
                <w:sz w:val="21"/>
                <w:szCs w:val="21"/>
              </w:rPr>
              <w:t>固定律师</w:t>
            </w:r>
            <w:r>
              <w:rPr>
                <w:rFonts w:hint="eastAsia" w:asciiTheme="minorEastAsia" w:hAnsiTheme="minorEastAsia"/>
                <w:bCs/>
                <w:sz w:val="21"/>
                <w:szCs w:val="21"/>
                <w:lang w:val="en-US" w:eastAsia="zh-CN"/>
              </w:rPr>
              <w:t>2</w:t>
            </w:r>
            <w:r>
              <w:rPr>
                <w:rFonts w:hint="eastAsia" w:asciiTheme="minorEastAsia" w:hAnsiTheme="minorEastAsia"/>
                <w:bCs/>
                <w:sz w:val="21"/>
                <w:szCs w:val="21"/>
              </w:rPr>
              <w:t>名：</w:t>
            </w:r>
          </w:p>
          <w:p w14:paraId="7AB22F57">
            <w:pPr>
              <w:autoSpaceDE w:val="0"/>
              <w:autoSpaceDN w:val="0"/>
              <w:spacing w:line="400" w:lineRule="exact"/>
              <w:rPr>
                <w:rFonts w:ascii="宋体" w:hAnsi="宋体" w:cs="宋体"/>
                <w:sz w:val="21"/>
                <w:szCs w:val="21"/>
                <w:highlight w:val="none"/>
              </w:rPr>
            </w:pPr>
            <w:r>
              <w:rPr>
                <w:rFonts w:hint="eastAsia" w:asciiTheme="minorEastAsia" w:hAnsiTheme="minorEastAsia" w:cstheme="minorBidi"/>
                <w:bCs/>
                <w:kern w:val="2"/>
                <w:sz w:val="21"/>
                <w:szCs w:val="21"/>
                <w:highlight w:val="none"/>
              </w:rPr>
              <w:t>每1名</w:t>
            </w:r>
            <w:r>
              <w:rPr>
                <w:rFonts w:asciiTheme="minorEastAsia" w:hAnsiTheme="minorEastAsia" w:cstheme="minorBidi"/>
                <w:bCs/>
                <w:kern w:val="2"/>
                <w:sz w:val="21"/>
                <w:szCs w:val="21"/>
                <w:highlight w:val="none"/>
              </w:rPr>
              <w:t>律师</w:t>
            </w:r>
            <w:r>
              <w:rPr>
                <w:rFonts w:hint="eastAsia" w:asciiTheme="minorEastAsia" w:hAnsiTheme="minorEastAsia" w:cstheme="minorBidi"/>
                <w:bCs/>
                <w:kern w:val="2"/>
                <w:sz w:val="21"/>
                <w:szCs w:val="21"/>
                <w:highlight w:val="none"/>
              </w:rPr>
              <w:t>具备</w:t>
            </w:r>
            <w:r>
              <w:rPr>
                <w:rFonts w:hint="eastAsia" w:asciiTheme="minorEastAsia" w:hAnsiTheme="minorEastAsia" w:cstheme="minorBidi"/>
                <w:bCs/>
                <w:kern w:val="2"/>
                <w:sz w:val="21"/>
                <w:szCs w:val="21"/>
                <w:highlight w:val="none"/>
                <w:lang w:val="en-US" w:eastAsia="zh-CN"/>
              </w:rPr>
              <w:t>6</w:t>
            </w:r>
            <w:r>
              <w:rPr>
                <w:rFonts w:hint="eastAsia" w:asciiTheme="minorEastAsia" w:hAnsiTheme="minorEastAsia" w:cstheme="minorBidi"/>
                <w:bCs/>
                <w:kern w:val="2"/>
                <w:sz w:val="21"/>
                <w:szCs w:val="21"/>
                <w:highlight w:val="none"/>
              </w:rPr>
              <w:t>年及以上执业经验（须提供律师执业证为证明材料，以发证日期计算）</w:t>
            </w:r>
            <w:r>
              <w:rPr>
                <w:rFonts w:hint="eastAsia" w:asciiTheme="minorEastAsia" w:hAnsiTheme="minorEastAsia"/>
                <w:bCs/>
                <w:sz w:val="21"/>
                <w:szCs w:val="21"/>
                <w:highlight w:val="none"/>
              </w:rPr>
              <w:t>得</w:t>
            </w:r>
            <w:r>
              <w:rPr>
                <w:rFonts w:hint="eastAsia" w:asciiTheme="minorEastAsia" w:hAnsiTheme="minorEastAsia"/>
                <w:bCs/>
                <w:sz w:val="21"/>
                <w:szCs w:val="21"/>
                <w:highlight w:val="none"/>
                <w:lang w:val="en-US" w:eastAsia="zh-CN"/>
              </w:rPr>
              <w:t>2</w:t>
            </w:r>
            <w:r>
              <w:rPr>
                <w:rFonts w:hint="eastAsia" w:asciiTheme="minorEastAsia" w:hAnsiTheme="minorEastAsia"/>
                <w:bCs/>
                <w:sz w:val="21"/>
                <w:szCs w:val="21"/>
                <w:highlight w:val="none"/>
              </w:rPr>
              <w:t>分，满分</w:t>
            </w:r>
            <w:r>
              <w:rPr>
                <w:rFonts w:hint="eastAsia" w:asciiTheme="minorEastAsia" w:hAnsiTheme="minorEastAsia"/>
                <w:bCs/>
                <w:sz w:val="21"/>
                <w:szCs w:val="21"/>
                <w:highlight w:val="none"/>
                <w:lang w:val="en-US" w:eastAsia="zh-CN"/>
              </w:rPr>
              <w:t>4</w:t>
            </w:r>
            <w:r>
              <w:rPr>
                <w:rFonts w:hint="eastAsia" w:asciiTheme="minorEastAsia" w:hAnsiTheme="minorEastAsia"/>
                <w:bCs/>
                <w:sz w:val="21"/>
                <w:szCs w:val="21"/>
                <w:highlight w:val="none"/>
              </w:rPr>
              <w:t>分</w:t>
            </w:r>
            <w:r>
              <w:rPr>
                <w:rFonts w:asciiTheme="minorEastAsia" w:hAnsiTheme="minorEastAsia"/>
                <w:bCs/>
                <w:sz w:val="21"/>
                <w:szCs w:val="21"/>
                <w:highlight w:val="none"/>
              </w:rPr>
              <w:t>。</w:t>
            </w:r>
            <w:r>
              <w:rPr>
                <w:rFonts w:ascii="宋体" w:hAnsi="宋体" w:cs="宋体"/>
                <w:sz w:val="21"/>
                <w:szCs w:val="21"/>
                <w:highlight w:val="none"/>
              </w:rPr>
              <w:t>不提供或</w:t>
            </w:r>
            <w:r>
              <w:rPr>
                <w:rFonts w:hint="eastAsia" w:ascii="宋体" w:hAnsi="宋体" w:cs="宋体"/>
                <w:sz w:val="21"/>
                <w:szCs w:val="21"/>
                <w:highlight w:val="none"/>
              </w:rPr>
              <w:t>不满足执业</w:t>
            </w:r>
            <w:r>
              <w:rPr>
                <w:rFonts w:ascii="宋体" w:hAnsi="宋体" w:cs="宋体"/>
                <w:sz w:val="21"/>
                <w:szCs w:val="21"/>
                <w:highlight w:val="none"/>
              </w:rPr>
              <w:t>经验要求不得分</w:t>
            </w:r>
            <w:r>
              <w:rPr>
                <w:rFonts w:hint="eastAsia" w:ascii="宋体" w:hAnsi="宋体" w:cs="宋体"/>
                <w:sz w:val="21"/>
                <w:szCs w:val="21"/>
                <w:highlight w:val="none"/>
              </w:rPr>
              <w:t>。</w:t>
            </w:r>
          </w:p>
          <w:p w14:paraId="3E3E8755">
            <w:pPr>
              <w:autoSpaceDE w:val="0"/>
              <w:autoSpaceDN w:val="0"/>
              <w:spacing w:line="400" w:lineRule="exact"/>
              <w:rPr>
                <w:rFonts w:asciiTheme="minorEastAsia" w:hAnsiTheme="minorEastAsia"/>
                <w:b w:val="0"/>
                <w:bCs w:val="0"/>
                <w:sz w:val="21"/>
                <w:szCs w:val="21"/>
                <w:highlight w:val="yellow"/>
              </w:rPr>
            </w:pPr>
            <w:r>
              <w:rPr>
                <w:rFonts w:hint="eastAsia" w:asciiTheme="minorEastAsia" w:hAnsiTheme="minorEastAsia"/>
                <w:b w:val="0"/>
                <w:bCs w:val="0"/>
                <w:sz w:val="21"/>
                <w:szCs w:val="21"/>
              </w:rPr>
              <w:t>4、人员配</w:t>
            </w:r>
            <w:r>
              <w:rPr>
                <w:rFonts w:hint="eastAsia" w:cs="宋体" w:asciiTheme="minorEastAsia" w:hAnsiTheme="minorEastAsia"/>
                <w:sz w:val="21"/>
                <w:szCs w:val="21"/>
              </w:rPr>
              <w:t>置方案</w:t>
            </w:r>
            <w:r>
              <w:rPr>
                <w:rFonts w:hint="eastAsia" w:cs="宋体" w:asciiTheme="minorEastAsia" w:hAnsiTheme="minorEastAsia"/>
                <w:b/>
                <w:bCs/>
                <w:sz w:val="21"/>
                <w:szCs w:val="21"/>
                <w:highlight w:val="none"/>
              </w:rPr>
              <w:t>（本项满分</w:t>
            </w:r>
            <w:r>
              <w:rPr>
                <w:rFonts w:hint="eastAsia" w:cs="宋体" w:asciiTheme="minorEastAsia" w:hAnsiTheme="minorEastAsia"/>
                <w:b/>
                <w:bCs/>
                <w:sz w:val="21"/>
                <w:szCs w:val="21"/>
                <w:highlight w:val="none"/>
                <w:lang w:val="en-US" w:eastAsia="zh-CN"/>
              </w:rPr>
              <w:t>8</w:t>
            </w:r>
            <w:r>
              <w:rPr>
                <w:rFonts w:hint="eastAsia" w:cs="宋体" w:asciiTheme="minorEastAsia" w:hAnsiTheme="minorEastAsia"/>
                <w:b/>
                <w:bCs/>
                <w:sz w:val="21"/>
                <w:szCs w:val="21"/>
                <w:highlight w:val="none"/>
              </w:rPr>
              <w:t>分）</w:t>
            </w:r>
          </w:p>
          <w:p w14:paraId="2979614B">
            <w:pPr>
              <w:autoSpaceDE w:val="0"/>
              <w:autoSpaceDN w:val="0"/>
              <w:spacing w:line="400" w:lineRule="exact"/>
              <w:rPr>
                <w:rFonts w:asciiTheme="minorEastAsia" w:hAnsiTheme="minorEastAsia"/>
                <w:b/>
                <w:bCs/>
                <w:sz w:val="21"/>
                <w:szCs w:val="21"/>
              </w:rPr>
            </w:pPr>
            <w:r>
              <w:rPr>
                <w:rFonts w:asciiTheme="minorEastAsia" w:hAnsiTheme="minorEastAsia"/>
                <w:b/>
                <w:bCs/>
                <w:sz w:val="21"/>
                <w:szCs w:val="21"/>
              </w:rPr>
              <w:t>（</w:t>
            </w:r>
            <w:r>
              <w:rPr>
                <w:rFonts w:hint="eastAsia" w:asciiTheme="minorEastAsia" w:hAnsiTheme="minorEastAsia"/>
                <w:b/>
                <w:bCs/>
                <w:sz w:val="21"/>
                <w:szCs w:val="21"/>
              </w:rPr>
              <w:t>1</w:t>
            </w:r>
            <w:r>
              <w:rPr>
                <w:rFonts w:asciiTheme="minorEastAsia" w:hAnsiTheme="minorEastAsia"/>
                <w:b/>
                <w:bCs/>
                <w:sz w:val="21"/>
                <w:szCs w:val="21"/>
              </w:rPr>
              <w:t>）</w:t>
            </w:r>
            <w:r>
              <w:rPr>
                <w:rFonts w:hint="eastAsia" w:asciiTheme="minorEastAsia" w:hAnsiTheme="minorEastAsia"/>
                <w:b/>
                <w:bCs/>
                <w:sz w:val="21"/>
                <w:szCs w:val="21"/>
              </w:rPr>
              <w:t>评审内容：</w:t>
            </w:r>
          </w:p>
          <w:p w14:paraId="0485F17F">
            <w:pPr>
              <w:tabs>
                <w:tab w:val="left" w:pos="547"/>
              </w:tabs>
              <w:spacing w:line="400" w:lineRule="exact"/>
              <w:rPr>
                <w:rFonts w:cs="宋体" w:asciiTheme="minorEastAsia" w:hAnsiTheme="minorEastAsia"/>
                <w:sz w:val="21"/>
                <w:szCs w:val="21"/>
              </w:rPr>
            </w:pPr>
            <w:r>
              <w:rPr>
                <w:rFonts w:hint="eastAsia" w:cs="宋体" w:asciiTheme="minorEastAsia" w:hAnsiTheme="minorEastAsia"/>
                <w:sz w:val="21"/>
                <w:szCs w:val="21"/>
              </w:rPr>
              <w:t>提供本项目的人员配置方案，方案内容包含：岗位名称、人员姓名、年龄</w:t>
            </w:r>
            <w:r>
              <w:rPr>
                <w:rFonts w:cs="宋体" w:asciiTheme="minorEastAsia" w:hAnsiTheme="minorEastAsia"/>
                <w:sz w:val="21"/>
                <w:szCs w:val="21"/>
              </w:rPr>
              <w:t>、</w:t>
            </w:r>
            <w:r>
              <w:rPr>
                <w:rFonts w:hint="eastAsia" w:cs="宋体" w:asciiTheme="minorEastAsia" w:hAnsiTheme="minorEastAsia"/>
                <w:sz w:val="21"/>
                <w:szCs w:val="21"/>
              </w:rPr>
              <w:t>数量、所学专业、</w:t>
            </w:r>
            <w:r>
              <w:rPr>
                <w:rFonts w:cs="宋体" w:asciiTheme="minorEastAsia" w:hAnsiTheme="minorEastAsia"/>
                <w:sz w:val="21"/>
                <w:szCs w:val="21"/>
              </w:rPr>
              <w:t>执业年限等</w:t>
            </w:r>
            <w:r>
              <w:rPr>
                <w:rFonts w:hint="eastAsia" w:cs="宋体" w:asciiTheme="minorEastAsia" w:hAnsiTheme="minorEastAsia"/>
                <w:sz w:val="21"/>
                <w:szCs w:val="21"/>
              </w:rPr>
              <w:t>。（以投标方案中《</w:t>
            </w:r>
            <w:r>
              <w:rPr>
                <w:rFonts w:cs="宋体" w:asciiTheme="minorEastAsia" w:hAnsiTheme="minorEastAsia"/>
                <w:color w:val="FF0000"/>
                <w:sz w:val="21"/>
                <w:szCs w:val="21"/>
              </w:rPr>
              <w:t>拟派项目团队及人员情况</w:t>
            </w:r>
            <w:r>
              <w:rPr>
                <w:rFonts w:hint="eastAsia" w:cs="宋体" w:asciiTheme="minorEastAsia" w:hAnsiTheme="minorEastAsia"/>
                <w:color w:val="FF0000"/>
                <w:sz w:val="21"/>
                <w:szCs w:val="21"/>
              </w:rPr>
              <w:t>表</w:t>
            </w:r>
            <w:r>
              <w:rPr>
                <w:rFonts w:hint="eastAsia" w:cs="宋体" w:asciiTheme="minorEastAsia" w:hAnsiTheme="minorEastAsia"/>
                <w:sz w:val="21"/>
                <w:szCs w:val="21"/>
              </w:rPr>
              <w:t>》为依据）</w:t>
            </w:r>
          </w:p>
          <w:p w14:paraId="6BC5912B">
            <w:pPr>
              <w:autoSpaceDE w:val="0"/>
              <w:autoSpaceDN w:val="0"/>
              <w:spacing w:line="400" w:lineRule="exact"/>
              <w:rPr>
                <w:rFonts w:asciiTheme="minorEastAsia" w:hAnsiTheme="minorEastAsia"/>
                <w:b/>
                <w:bCs/>
                <w:sz w:val="21"/>
                <w:szCs w:val="21"/>
              </w:rPr>
            </w:pPr>
            <w:r>
              <w:rPr>
                <w:rFonts w:hint="eastAsia" w:asciiTheme="minorEastAsia" w:hAnsiTheme="minorEastAsia"/>
                <w:b/>
                <w:bCs/>
                <w:sz w:val="21"/>
                <w:szCs w:val="21"/>
              </w:rPr>
              <w:t>（</w:t>
            </w:r>
            <w:r>
              <w:rPr>
                <w:rFonts w:hint="eastAsia" w:asciiTheme="minorEastAsia" w:hAnsiTheme="minorEastAsia"/>
                <w:b/>
                <w:bCs/>
                <w:sz w:val="21"/>
                <w:szCs w:val="21"/>
                <w:lang w:val="en-US" w:eastAsia="zh-CN"/>
              </w:rPr>
              <w:t>2</w:t>
            </w:r>
            <w:r>
              <w:rPr>
                <w:rFonts w:hint="eastAsia" w:asciiTheme="minorEastAsia" w:hAnsiTheme="minorEastAsia"/>
                <w:b/>
                <w:bCs/>
                <w:sz w:val="21"/>
                <w:szCs w:val="21"/>
              </w:rPr>
              <w:t>）评审标准</w:t>
            </w:r>
          </w:p>
          <w:p w14:paraId="10AEB0D5">
            <w:pPr>
              <w:spacing w:line="400" w:lineRule="exact"/>
              <w:rPr>
                <w:rFonts w:cs="Calibri" w:asciiTheme="minorEastAsia" w:hAnsiTheme="minorEastAsia"/>
                <w:bCs/>
                <w:sz w:val="21"/>
                <w:szCs w:val="21"/>
              </w:rPr>
            </w:pPr>
            <w:r>
              <w:rPr>
                <w:rFonts w:hint="eastAsia" w:cs="Calibri" w:asciiTheme="minorEastAsia" w:hAnsiTheme="minorEastAsia"/>
                <w:bCs/>
                <w:sz w:val="21"/>
                <w:szCs w:val="21"/>
              </w:rPr>
              <w:t>1、完整性：人员数量充足，各岗位分工合理，</w:t>
            </w:r>
            <w:r>
              <w:rPr>
                <w:rFonts w:cs="Calibri" w:asciiTheme="minorEastAsia" w:hAnsiTheme="minorEastAsia"/>
                <w:bCs/>
                <w:sz w:val="21"/>
                <w:szCs w:val="21"/>
              </w:rPr>
              <w:t>专业丰富</w:t>
            </w:r>
            <w:r>
              <w:rPr>
                <w:rFonts w:hint="eastAsia" w:cs="Calibri" w:asciiTheme="minorEastAsia" w:hAnsiTheme="minorEastAsia"/>
                <w:bCs/>
                <w:sz w:val="21"/>
                <w:szCs w:val="21"/>
              </w:rPr>
              <w:t>；</w:t>
            </w:r>
          </w:p>
          <w:p w14:paraId="721F4883">
            <w:pPr>
              <w:spacing w:line="400" w:lineRule="exact"/>
              <w:rPr>
                <w:rFonts w:cs="Calibri" w:asciiTheme="minorEastAsia" w:hAnsiTheme="minorEastAsia"/>
                <w:bCs/>
                <w:sz w:val="21"/>
                <w:szCs w:val="21"/>
              </w:rPr>
            </w:pPr>
            <w:r>
              <w:rPr>
                <w:rFonts w:hint="eastAsia" w:cs="Calibri" w:asciiTheme="minorEastAsia" w:hAnsiTheme="minorEastAsia"/>
                <w:bCs/>
                <w:sz w:val="21"/>
                <w:szCs w:val="21"/>
              </w:rPr>
              <w:t>2、专业性：人员</w:t>
            </w:r>
            <w:r>
              <w:rPr>
                <w:rFonts w:hint="eastAsia" w:cs="Calibri" w:asciiTheme="minorEastAsia" w:hAnsiTheme="minorEastAsia"/>
                <w:bCs/>
                <w:sz w:val="21"/>
                <w:szCs w:val="21"/>
                <w:lang w:val="en-US" w:eastAsia="zh-CN"/>
              </w:rPr>
              <w:t>服务经验内容</w:t>
            </w:r>
            <w:r>
              <w:rPr>
                <w:rFonts w:hint="eastAsia" w:cs="Calibri" w:asciiTheme="minorEastAsia" w:hAnsiTheme="minorEastAsia"/>
                <w:bCs/>
                <w:sz w:val="21"/>
                <w:szCs w:val="21"/>
              </w:rPr>
              <w:t>切合本项目实际情况；</w:t>
            </w:r>
          </w:p>
          <w:p w14:paraId="2E20FAE3">
            <w:pPr>
              <w:spacing w:line="400" w:lineRule="exact"/>
              <w:rPr>
                <w:rFonts w:hint="eastAsia" w:cs="Calibri" w:asciiTheme="minorEastAsia" w:hAnsiTheme="minorEastAsia"/>
                <w:bCs/>
                <w:sz w:val="21"/>
                <w:szCs w:val="21"/>
                <w:highlight w:val="none"/>
                <w:lang w:eastAsia="zh-CN"/>
              </w:rPr>
            </w:pPr>
            <w:r>
              <w:rPr>
                <w:rFonts w:hint="eastAsia" w:cs="Calibri" w:asciiTheme="minorEastAsia" w:hAnsiTheme="minorEastAsia"/>
                <w:bCs/>
                <w:sz w:val="21"/>
                <w:szCs w:val="21"/>
                <w:highlight w:val="none"/>
              </w:rPr>
              <w:t>3、针对性：不同专业</w:t>
            </w:r>
            <w:r>
              <w:rPr>
                <w:rFonts w:cs="Calibri" w:asciiTheme="minorEastAsia" w:hAnsiTheme="minorEastAsia"/>
                <w:bCs/>
                <w:sz w:val="21"/>
                <w:szCs w:val="21"/>
                <w:highlight w:val="none"/>
              </w:rPr>
              <w:t>人员搭配合理，</w:t>
            </w:r>
            <w:r>
              <w:rPr>
                <w:rFonts w:hint="eastAsia" w:cs="Calibri" w:asciiTheme="minorEastAsia" w:hAnsiTheme="minorEastAsia"/>
                <w:bCs/>
                <w:sz w:val="21"/>
                <w:szCs w:val="21"/>
                <w:highlight w:val="none"/>
              </w:rPr>
              <w:t>方案能够紧扣项目实际情况</w:t>
            </w:r>
            <w:r>
              <w:rPr>
                <w:rFonts w:hint="eastAsia" w:cs="Calibri" w:asciiTheme="minorEastAsia" w:hAnsiTheme="minorEastAsia"/>
                <w:bCs/>
                <w:sz w:val="21"/>
                <w:szCs w:val="21"/>
                <w:highlight w:val="none"/>
                <w:lang w:eastAsia="zh-CN"/>
              </w:rPr>
              <w:t>；</w:t>
            </w:r>
          </w:p>
          <w:p w14:paraId="66FC1886">
            <w:pPr>
              <w:spacing w:line="400" w:lineRule="exact"/>
              <w:rPr>
                <w:rFonts w:hint="default" w:cs="Calibri" w:asciiTheme="minorEastAsia" w:hAnsiTheme="minorEastAsia"/>
                <w:bCs/>
                <w:sz w:val="21"/>
                <w:szCs w:val="21"/>
                <w:highlight w:val="none"/>
                <w:lang w:val="en-US" w:eastAsia="zh-CN"/>
              </w:rPr>
            </w:pPr>
            <w:r>
              <w:rPr>
                <w:rFonts w:hint="eastAsia" w:cs="Calibri" w:asciiTheme="minorEastAsia" w:hAnsiTheme="minorEastAsia"/>
                <w:bCs/>
                <w:sz w:val="21"/>
                <w:szCs w:val="21"/>
                <w:highlight w:val="none"/>
                <w:lang w:val="en-US" w:eastAsia="zh-CN"/>
              </w:rPr>
              <w:t>4、实践性：项目负责律师</w:t>
            </w:r>
            <w:r>
              <w:rPr>
                <w:rFonts w:hint="eastAsia" w:cs="Calibri" w:asciiTheme="minorEastAsia" w:hAnsiTheme="minorEastAsia"/>
                <w:bCs/>
                <w:sz w:val="21"/>
                <w:szCs w:val="21"/>
                <w:highlight w:val="none"/>
              </w:rPr>
              <w:t>经验丰富，</w:t>
            </w:r>
            <w:r>
              <w:rPr>
                <w:rFonts w:hint="eastAsia" w:cs="Calibri" w:asciiTheme="minorEastAsia" w:hAnsiTheme="minorEastAsia"/>
                <w:bCs/>
                <w:sz w:val="21"/>
                <w:szCs w:val="21"/>
                <w:highlight w:val="none"/>
                <w:lang w:val="en-US" w:eastAsia="zh-CN"/>
              </w:rPr>
              <w:t>符合项目需求。</w:t>
            </w:r>
          </w:p>
          <w:p w14:paraId="1845BEAA">
            <w:pPr>
              <w:spacing w:line="400" w:lineRule="exact"/>
              <w:rPr>
                <w:rFonts w:asciiTheme="minorEastAsia" w:hAnsiTheme="minorEastAsia"/>
                <w:b/>
                <w:bCs/>
                <w:sz w:val="21"/>
                <w:szCs w:val="21"/>
              </w:rPr>
            </w:pPr>
            <w:r>
              <w:rPr>
                <w:rFonts w:hint="eastAsia" w:asciiTheme="minorEastAsia" w:hAnsiTheme="minorEastAsia"/>
                <w:b/>
                <w:bCs/>
                <w:sz w:val="21"/>
                <w:szCs w:val="21"/>
              </w:rPr>
              <w:t>（3）赋分标准：</w:t>
            </w:r>
          </w:p>
          <w:p w14:paraId="56920B20">
            <w:pPr>
              <w:tabs>
                <w:tab w:val="left" w:pos="547"/>
              </w:tabs>
              <w:spacing w:line="400" w:lineRule="exact"/>
              <w:jc w:val="both"/>
              <w:rPr>
                <w:rFonts w:cs="宋体" w:asciiTheme="minorEastAsia" w:hAnsiTheme="minorEastAsia"/>
                <w:sz w:val="21"/>
                <w:szCs w:val="21"/>
              </w:rPr>
            </w:pPr>
            <w:r>
              <w:rPr>
                <w:rFonts w:hint="eastAsia" w:asciiTheme="minorEastAsia" w:hAnsiTheme="minorEastAsia"/>
                <w:sz w:val="21"/>
                <w:szCs w:val="21"/>
              </w:rPr>
              <w:t>人员配置方案：每完全满足一项评审标准得</w:t>
            </w:r>
            <w:r>
              <w:rPr>
                <w:rFonts w:hint="eastAsia" w:asciiTheme="minorEastAsia" w:hAnsiTheme="minorEastAsia"/>
                <w:sz w:val="21"/>
                <w:szCs w:val="21"/>
                <w:lang w:val="en-US" w:eastAsia="zh-CN"/>
              </w:rPr>
              <w:t>2</w:t>
            </w:r>
            <w:r>
              <w:rPr>
                <w:rFonts w:hint="eastAsia" w:asciiTheme="minorEastAsia" w:hAnsiTheme="minorEastAsia"/>
                <w:sz w:val="21"/>
                <w:szCs w:val="21"/>
              </w:rPr>
              <w:t>分，不满足</w:t>
            </w:r>
            <w:r>
              <w:rPr>
                <w:rFonts w:hint="eastAsia" w:asciiTheme="minorEastAsia" w:hAnsiTheme="minorEastAsia"/>
                <w:sz w:val="21"/>
                <w:szCs w:val="21"/>
                <w:lang w:val="en-US" w:eastAsia="zh-CN"/>
              </w:rPr>
              <w:t>不得分</w:t>
            </w:r>
            <w:r>
              <w:rPr>
                <w:rFonts w:hint="eastAsia" w:asciiTheme="minorEastAsia" w:hAnsiTheme="minorEastAsia"/>
                <w:sz w:val="21"/>
                <w:szCs w:val="21"/>
              </w:rPr>
              <w:t>。本项满分</w:t>
            </w:r>
            <w:r>
              <w:rPr>
                <w:rFonts w:hint="eastAsia" w:asciiTheme="minorEastAsia" w:hAnsiTheme="minorEastAsia"/>
                <w:sz w:val="21"/>
                <w:szCs w:val="21"/>
                <w:lang w:val="en-US" w:eastAsia="zh-CN"/>
              </w:rPr>
              <w:t>8</w:t>
            </w:r>
            <w:r>
              <w:rPr>
                <w:rFonts w:hint="eastAsia" w:asciiTheme="minorEastAsia" w:hAnsiTheme="minorEastAsia"/>
                <w:sz w:val="21"/>
                <w:szCs w:val="21"/>
              </w:rPr>
              <w:t>分。</w:t>
            </w:r>
          </w:p>
        </w:tc>
        <w:tc>
          <w:tcPr>
            <w:tcW w:w="709" w:type="dxa"/>
            <w:shd w:val="clear" w:color="auto" w:fill="auto"/>
            <w:vAlign w:val="center"/>
          </w:tcPr>
          <w:p w14:paraId="572A529D">
            <w:pPr>
              <w:spacing w:line="400" w:lineRule="exact"/>
              <w:jc w:val="center"/>
              <w:rPr>
                <w:rFonts w:cs="宋体" w:asciiTheme="minorEastAsia" w:hAnsiTheme="minorEastAsia"/>
                <w:bCs/>
                <w:color w:val="FF0000"/>
                <w:sz w:val="21"/>
                <w:szCs w:val="21"/>
              </w:rPr>
            </w:pPr>
          </w:p>
        </w:tc>
      </w:tr>
      <w:tr w14:paraId="2A25B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B13908A">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14:paraId="490C8CED">
            <w:pPr>
              <w:spacing w:line="400" w:lineRule="exact"/>
              <w:jc w:val="center"/>
              <w:rPr>
                <w:rFonts w:cs="宋体" w:asciiTheme="minorEastAsia" w:hAnsiTheme="minorEastAsia"/>
                <w:bCs/>
                <w:sz w:val="21"/>
                <w:szCs w:val="21"/>
              </w:rPr>
            </w:pPr>
          </w:p>
        </w:tc>
        <w:tc>
          <w:tcPr>
            <w:tcW w:w="999" w:type="dxa"/>
            <w:shd w:val="clear" w:color="auto" w:fill="auto"/>
            <w:vAlign w:val="center"/>
          </w:tcPr>
          <w:p w14:paraId="35552997">
            <w:pPr>
              <w:spacing w:line="400" w:lineRule="exact"/>
              <w:jc w:val="center"/>
              <w:rPr>
                <w:rFonts w:hint="default" w:cs="宋体" w:asciiTheme="minorEastAsia" w:hAnsiTheme="minorEastAsia" w:eastAsiaTheme="minorEastAsia"/>
                <w:bCs/>
                <w:sz w:val="21"/>
                <w:szCs w:val="21"/>
                <w:lang w:val="en-US" w:eastAsia="zh-CN"/>
              </w:rPr>
            </w:pPr>
            <w:r>
              <w:rPr>
                <w:rFonts w:hint="eastAsia" w:cs="宋体" w:asciiTheme="minorEastAsia" w:hAnsiTheme="minorEastAsia"/>
                <w:bCs/>
                <w:sz w:val="21"/>
                <w:szCs w:val="21"/>
                <w:lang w:val="en-US" w:eastAsia="zh-CN"/>
              </w:rPr>
              <w:t>10</w:t>
            </w:r>
          </w:p>
        </w:tc>
        <w:tc>
          <w:tcPr>
            <w:tcW w:w="6379" w:type="dxa"/>
            <w:shd w:val="clear" w:color="auto" w:fill="auto"/>
            <w:vAlign w:val="center"/>
          </w:tcPr>
          <w:p w14:paraId="79FE6428">
            <w:pPr>
              <w:autoSpaceDE w:val="0"/>
              <w:autoSpaceDN w:val="0"/>
              <w:spacing w:line="400" w:lineRule="exact"/>
              <w:rPr>
                <w:rFonts w:cs="Calibri Light" w:asciiTheme="minorEastAsia" w:hAnsiTheme="minorEastAsia"/>
                <w:b/>
                <w:color w:val="FF0000"/>
                <w:sz w:val="21"/>
                <w:szCs w:val="21"/>
              </w:rPr>
            </w:pPr>
            <w:r>
              <w:rPr>
                <w:rFonts w:hint="eastAsia" w:cs="Calibri Light" w:asciiTheme="minorEastAsia" w:hAnsiTheme="minorEastAsia"/>
                <w:b/>
                <w:color w:val="FF0000"/>
                <w:sz w:val="21"/>
                <w:szCs w:val="21"/>
              </w:rPr>
              <w:t>人员</w:t>
            </w:r>
            <w:r>
              <w:rPr>
                <w:rFonts w:cs="Calibri Light" w:asciiTheme="minorEastAsia" w:hAnsiTheme="minorEastAsia"/>
                <w:b/>
                <w:color w:val="FF0000"/>
                <w:sz w:val="21"/>
                <w:szCs w:val="21"/>
              </w:rPr>
              <w:t>经验</w:t>
            </w:r>
          </w:p>
          <w:p w14:paraId="138A2D7A">
            <w:pPr>
              <w:autoSpaceDE w:val="0"/>
              <w:autoSpaceDN w:val="0"/>
              <w:spacing w:line="400" w:lineRule="exact"/>
              <w:rPr>
                <w:sz w:val="21"/>
                <w:szCs w:val="20"/>
                <w:highlight w:val="none"/>
              </w:rPr>
            </w:pPr>
            <w:r>
              <w:rPr>
                <w:rFonts w:asciiTheme="minorEastAsia" w:hAnsiTheme="minorEastAsia"/>
                <w:b/>
                <w:bCs/>
                <w:sz w:val="21"/>
                <w:szCs w:val="21"/>
                <w:highlight w:val="none"/>
              </w:rPr>
              <w:t>（</w:t>
            </w:r>
            <w:r>
              <w:rPr>
                <w:rFonts w:hint="eastAsia" w:asciiTheme="minorEastAsia" w:hAnsiTheme="minorEastAsia"/>
                <w:b/>
                <w:bCs/>
                <w:sz w:val="21"/>
                <w:szCs w:val="21"/>
                <w:highlight w:val="none"/>
              </w:rPr>
              <w:t>1</w:t>
            </w:r>
            <w:r>
              <w:rPr>
                <w:rFonts w:asciiTheme="minorEastAsia" w:hAnsiTheme="minorEastAsia"/>
                <w:b/>
                <w:bCs/>
                <w:sz w:val="21"/>
                <w:szCs w:val="21"/>
                <w:highlight w:val="none"/>
              </w:rPr>
              <w:t>）</w:t>
            </w:r>
            <w:r>
              <w:rPr>
                <w:rFonts w:hint="eastAsia" w:asciiTheme="minorEastAsia" w:hAnsiTheme="minorEastAsia"/>
                <w:b/>
                <w:bCs/>
                <w:sz w:val="21"/>
                <w:szCs w:val="21"/>
                <w:highlight w:val="none"/>
              </w:rPr>
              <w:t>评审内容：</w:t>
            </w:r>
          </w:p>
          <w:p w14:paraId="05C63A7A">
            <w:pPr>
              <w:numPr>
                <w:ilvl w:val="0"/>
                <w:numId w:val="0"/>
              </w:numPr>
              <w:autoSpaceDE w:val="0"/>
              <w:autoSpaceDN w:val="0"/>
              <w:spacing w:line="400" w:lineRule="exact"/>
              <w:rPr>
                <w:rFonts w:hint="eastAsia" w:cs="Calibri Light" w:asciiTheme="minorEastAsia" w:hAnsiTheme="minorEastAsia"/>
                <w:sz w:val="21"/>
                <w:szCs w:val="21"/>
                <w:highlight w:val="none"/>
                <w:lang w:eastAsia="zh-CN"/>
              </w:rPr>
            </w:pPr>
            <w:r>
              <w:rPr>
                <w:rFonts w:hint="eastAsia" w:cs="Calibri Light" w:asciiTheme="minorEastAsia" w:hAnsiTheme="minorEastAsia"/>
                <w:sz w:val="21"/>
                <w:szCs w:val="21"/>
                <w:highlight w:val="none"/>
              </w:rPr>
              <w:t>供应商</w:t>
            </w:r>
            <w:r>
              <w:rPr>
                <w:rFonts w:hint="eastAsia" w:cs="Calibri Light" w:asciiTheme="minorEastAsia" w:hAnsiTheme="minorEastAsia"/>
                <w:sz w:val="21"/>
                <w:szCs w:val="21"/>
                <w:highlight w:val="none"/>
                <w:lang w:val="en-US" w:eastAsia="zh-CN"/>
              </w:rPr>
              <w:t>为</w:t>
            </w:r>
            <w:r>
              <w:rPr>
                <w:rFonts w:hint="eastAsia" w:cs="Calibri Light" w:asciiTheme="minorEastAsia" w:hAnsiTheme="minorEastAsia"/>
                <w:sz w:val="21"/>
                <w:szCs w:val="21"/>
                <w:highlight w:val="none"/>
              </w:rPr>
              <w:t>本项目</w:t>
            </w:r>
            <w:r>
              <w:rPr>
                <w:rFonts w:hint="eastAsia" w:asciiTheme="minorEastAsia" w:hAnsiTheme="minorEastAsia"/>
                <w:bCs/>
                <w:sz w:val="21"/>
                <w:szCs w:val="21"/>
                <w:highlight w:val="none"/>
              </w:rPr>
              <w:t>拟派律师团队</w:t>
            </w:r>
            <w:r>
              <w:rPr>
                <w:rFonts w:hint="eastAsia" w:asciiTheme="minorEastAsia" w:hAnsiTheme="minorEastAsia"/>
                <w:bCs/>
                <w:sz w:val="21"/>
                <w:szCs w:val="21"/>
                <w:highlight w:val="none"/>
                <w:lang w:val="en-US" w:eastAsia="zh-CN"/>
              </w:rPr>
              <w:t>成员</w:t>
            </w:r>
            <w:r>
              <w:rPr>
                <w:rFonts w:hint="eastAsia" w:cs="Calibri Light" w:asciiTheme="minorEastAsia" w:hAnsiTheme="minorEastAsia"/>
                <w:sz w:val="21"/>
                <w:szCs w:val="21"/>
                <w:highlight w:val="none"/>
              </w:rPr>
              <w:t>曾经担任或</w:t>
            </w:r>
            <w:r>
              <w:rPr>
                <w:rFonts w:hint="eastAsia" w:cs="Calibri Light" w:asciiTheme="minorEastAsia" w:hAnsiTheme="minorEastAsia"/>
                <w:sz w:val="21"/>
                <w:szCs w:val="21"/>
                <w:highlight w:val="none"/>
                <w:lang w:val="en-US" w:eastAsia="zh-CN"/>
              </w:rPr>
              <w:t>现在担任</w:t>
            </w:r>
            <w:r>
              <w:rPr>
                <w:rFonts w:hint="eastAsia" w:cs="Calibri Light" w:asciiTheme="minorEastAsia" w:hAnsiTheme="minorEastAsia"/>
                <w:sz w:val="21"/>
                <w:szCs w:val="21"/>
                <w:highlight w:val="none"/>
              </w:rPr>
              <w:t>政府机关</w:t>
            </w:r>
            <w:r>
              <w:rPr>
                <w:rFonts w:hint="eastAsia" w:cs="Calibri Light" w:asciiTheme="minorEastAsia" w:hAnsiTheme="minorEastAsia"/>
                <w:sz w:val="21"/>
                <w:szCs w:val="21"/>
                <w:highlight w:val="none"/>
                <w:lang w:val="en-US" w:eastAsia="zh-CN"/>
              </w:rPr>
              <w:t>法律</w:t>
            </w:r>
            <w:r>
              <w:rPr>
                <w:rFonts w:hint="eastAsia" w:cs="Calibri Light" w:asciiTheme="minorEastAsia" w:hAnsiTheme="minorEastAsia"/>
                <w:sz w:val="21"/>
                <w:szCs w:val="21"/>
                <w:highlight w:val="none"/>
              </w:rPr>
              <w:t>顾问</w:t>
            </w:r>
            <w:r>
              <w:rPr>
                <w:rFonts w:hint="eastAsia" w:cs="Calibri Light" w:asciiTheme="minorEastAsia" w:hAnsiTheme="minorEastAsia"/>
                <w:sz w:val="21"/>
                <w:szCs w:val="21"/>
                <w:highlight w:val="none"/>
                <w:lang w:val="en-US" w:eastAsia="zh-CN"/>
              </w:rPr>
              <w:t>或提供专项法律服务</w:t>
            </w:r>
            <w:r>
              <w:rPr>
                <w:rFonts w:hint="eastAsia" w:cs="Calibri Light" w:asciiTheme="minorEastAsia" w:hAnsiTheme="minorEastAsia"/>
                <w:sz w:val="21"/>
                <w:szCs w:val="21"/>
                <w:highlight w:val="none"/>
                <w:lang w:eastAsia="zh-CN"/>
              </w:rPr>
              <w:t>。</w:t>
            </w:r>
          </w:p>
          <w:p w14:paraId="28E1A1C1">
            <w:pPr>
              <w:numPr>
                <w:ilvl w:val="0"/>
                <w:numId w:val="0"/>
              </w:numPr>
              <w:autoSpaceDE w:val="0"/>
              <w:autoSpaceDN w:val="0"/>
              <w:spacing w:line="400" w:lineRule="exact"/>
              <w:rPr>
                <w:rFonts w:hint="eastAsia" w:asciiTheme="minorEastAsia" w:hAnsiTheme="minorEastAsia"/>
                <w:b/>
                <w:bCs/>
                <w:sz w:val="21"/>
                <w:szCs w:val="21"/>
                <w:highlight w:val="none"/>
              </w:rPr>
            </w:pPr>
            <w:r>
              <w:rPr>
                <w:rFonts w:asciiTheme="minorEastAsia" w:hAnsiTheme="minorEastAsia"/>
                <w:b/>
                <w:bCs/>
                <w:sz w:val="21"/>
                <w:szCs w:val="21"/>
                <w:highlight w:val="none"/>
              </w:rPr>
              <w:t>（</w:t>
            </w:r>
            <w:r>
              <w:rPr>
                <w:rFonts w:hint="eastAsia" w:asciiTheme="minorEastAsia" w:hAnsiTheme="minorEastAsia"/>
                <w:b/>
                <w:bCs/>
                <w:sz w:val="21"/>
                <w:szCs w:val="21"/>
                <w:highlight w:val="none"/>
                <w:lang w:val="en-US" w:eastAsia="zh-CN"/>
              </w:rPr>
              <w:t>2</w:t>
            </w:r>
            <w:r>
              <w:rPr>
                <w:rFonts w:asciiTheme="minorEastAsia" w:hAnsiTheme="minorEastAsia"/>
                <w:b/>
                <w:bCs/>
                <w:sz w:val="21"/>
                <w:szCs w:val="21"/>
                <w:highlight w:val="none"/>
              </w:rPr>
              <w:t>）</w:t>
            </w:r>
            <w:r>
              <w:rPr>
                <w:rFonts w:hint="eastAsia" w:asciiTheme="minorEastAsia" w:hAnsiTheme="minorEastAsia"/>
                <w:b/>
                <w:bCs/>
                <w:sz w:val="21"/>
                <w:szCs w:val="21"/>
                <w:highlight w:val="none"/>
              </w:rPr>
              <w:t>评审标准</w:t>
            </w:r>
          </w:p>
          <w:p w14:paraId="696D8A5C">
            <w:pPr>
              <w:spacing w:line="400" w:lineRule="exact"/>
              <w:rPr>
                <w:rFonts w:hint="eastAsia" w:cs="Calibri" w:asciiTheme="minorEastAsia" w:hAnsiTheme="minorEastAsia"/>
                <w:bCs/>
                <w:sz w:val="21"/>
                <w:szCs w:val="21"/>
                <w:highlight w:val="none"/>
                <w:lang w:val="en-US" w:eastAsia="zh-CN"/>
              </w:rPr>
            </w:pPr>
            <w:r>
              <w:rPr>
                <w:rFonts w:hint="eastAsia" w:cs="Calibri" w:asciiTheme="minorEastAsia" w:hAnsiTheme="minorEastAsia"/>
                <w:bCs/>
                <w:sz w:val="21"/>
                <w:szCs w:val="21"/>
                <w:highlight w:val="none"/>
                <w:lang w:val="en-US" w:eastAsia="zh-CN"/>
              </w:rPr>
              <w:t>1、专业性：服务经验内容切合本项目实际情况；</w:t>
            </w:r>
          </w:p>
          <w:p w14:paraId="631F3FD9">
            <w:pPr>
              <w:spacing w:line="400" w:lineRule="exact"/>
              <w:rPr>
                <w:rFonts w:hint="default" w:cs="Calibri" w:asciiTheme="minorEastAsia" w:hAnsiTheme="minorEastAsia"/>
                <w:bCs/>
                <w:sz w:val="21"/>
                <w:szCs w:val="21"/>
                <w:highlight w:val="none"/>
                <w:lang w:val="en-US" w:eastAsia="zh-CN"/>
              </w:rPr>
            </w:pPr>
            <w:r>
              <w:rPr>
                <w:rFonts w:hint="eastAsia" w:cs="Calibri" w:asciiTheme="minorEastAsia" w:hAnsiTheme="minorEastAsia"/>
                <w:bCs/>
                <w:sz w:val="21"/>
                <w:szCs w:val="21"/>
                <w:highlight w:val="none"/>
                <w:lang w:val="en-US" w:eastAsia="zh-CN"/>
              </w:rPr>
              <w:t>2、针对性：实际参加过房地产风险项目处置工作，具备提供本项目服务的能力与经验。</w:t>
            </w:r>
          </w:p>
          <w:p w14:paraId="1422F696">
            <w:pPr>
              <w:spacing w:line="400" w:lineRule="exact"/>
              <w:rPr>
                <w:rFonts w:asciiTheme="minorEastAsia" w:hAnsiTheme="minorEastAsia"/>
                <w:b/>
                <w:bCs/>
                <w:sz w:val="21"/>
                <w:szCs w:val="21"/>
                <w:highlight w:val="none"/>
              </w:rPr>
            </w:pPr>
            <w:r>
              <w:rPr>
                <w:rFonts w:hint="eastAsia" w:asciiTheme="minorEastAsia" w:hAnsiTheme="minorEastAsia"/>
                <w:b/>
                <w:bCs/>
                <w:sz w:val="21"/>
                <w:szCs w:val="21"/>
                <w:highlight w:val="none"/>
              </w:rPr>
              <w:t>（3）赋分标准：</w:t>
            </w:r>
          </w:p>
          <w:p w14:paraId="51574F64">
            <w:pPr>
              <w:numPr>
                <w:ilvl w:val="0"/>
                <w:numId w:val="0"/>
              </w:numPr>
              <w:autoSpaceDE w:val="0"/>
              <w:autoSpaceDN w:val="0"/>
              <w:spacing w:line="400" w:lineRule="exact"/>
              <w:rPr>
                <w:rFonts w:hint="eastAsia" w:asciiTheme="minorEastAsia" w:hAnsiTheme="minorEastAsia" w:eastAsiaTheme="minorEastAsia"/>
                <w:sz w:val="21"/>
                <w:szCs w:val="21"/>
                <w:lang w:val="en-US" w:eastAsia="zh-CN"/>
              </w:rPr>
            </w:pPr>
            <w:r>
              <w:rPr>
                <w:rFonts w:hint="eastAsia" w:cs="Calibri Light" w:asciiTheme="minorEastAsia" w:hAnsiTheme="minorEastAsia"/>
                <w:sz w:val="21"/>
                <w:szCs w:val="21"/>
                <w:highlight w:val="none"/>
                <w:lang w:val="en-US" w:eastAsia="zh-CN"/>
              </w:rPr>
              <w:t>每担任</w:t>
            </w:r>
            <w:r>
              <w:rPr>
                <w:rFonts w:hint="eastAsia" w:cs="Calibri Light" w:asciiTheme="minorEastAsia" w:hAnsiTheme="minorEastAsia"/>
                <w:sz w:val="21"/>
                <w:szCs w:val="21"/>
                <w:highlight w:val="none"/>
              </w:rPr>
              <w:t>政府机关</w:t>
            </w:r>
            <w:r>
              <w:rPr>
                <w:rFonts w:hint="eastAsia" w:cs="Calibri Light" w:asciiTheme="minorEastAsia" w:hAnsiTheme="minorEastAsia"/>
                <w:sz w:val="21"/>
                <w:szCs w:val="21"/>
                <w:highlight w:val="none"/>
                <w:lang w:val="en-US" w:eastAsia="zh-CN"/>
              </w:rPr>
              <w:t>法律</w:t>
            </w:r>
            <w:r>
              <w:rPr>
                <w:rFonts w:hint="eastAsia" w:cs="Calibri Light" w:asciiTheme="minorEastAsia" w:hAnsiTheme="minorEastAsia"/>
                <w:sz w:val="21"/>
                <w:szCs w:val="21"/>
                <w:highlight w:val="none"/>
              </w:rPr>
              <w:t>顾问</w:t>
            </w:r>
            <w:r>
              <w:rPr>
                <w:rFonts w:hint="eastAsia" w:cs="Calibri Light" w:asciiTheme="minorEastAsia" w:hAnsiTheme="minorEastAsia"/>
                <w:sz w:val="21"/>
                <w:szCs w:val="21"/>
                <w:highlight w:val="none"/>
                <w:lang w:val="en-US" w:eastAsia="zh-CN"/>
              </w:rPr>
              <w:t>或提供专项法律服务一次</w:t>
            </w:r>
            <w:r>
              <w:rPr>
                <w:rFonts w:hint="eastAsia" w:cs="Calibri Light" w:asciiTheme="minorEastAsia" w:hAnsiTheme="minorEastAsia"/>
                <w:sz w:val="21"/>
                <w:szCs w:val="21"/>
                <w:highlight w:val="none"/>
              </w:rPr>
              <w:t>获得</w:t>
            </w:r>
            <w:r>
              <w:rPr>
                <w:rFonts w:hint="eastAsia" w:cs="Calibri Light" w:asciiTheme="minorEastAsia" w:hAnsiTheme="minorEastAsia"/>
                <w:sz w:val="21"/>
                <w:szCs w:val="21"/>
                <w:highlight w:val="none"/>
                <w:lang w:val="en-US" w:eastAsia="zh-CN"/>
              </w:rPr>
              <w:t>2</w:t>
            </w:r>
            <w:r>
              <w:rPr>
                <w:rFonts w:hint="eastAsia" w:cs="Calibri Light" w:asciiTheme="minorEastAsia" w:hAnsiTheme="minorEastAsia"/>
                <w:sz w:val="21"/>
                <w:szCs w:val="21"/>
                <w:highlight w:val="none"/>
              </w:rPr>
              <w:t>分，满分</w:t>
            </w:r>
            <w:r>
              <w:rPr>
                <w:rFonts w:hint="eastAsia" w:cs="Calibri Light" w:asciiTheme="minorEastAsia" w:hAnsiTheme="minorEastAsia"/>
                <w:sz w:val="21"/>
                <w:szCs w:val="21"/>
                <w:highlight w:val="none"/>
                <w:lang w:val="en-US" w:eastAsia="zh-CN"/>
              </w:rPr>
              <w:t>10</w:t>
            </w:r>
            <w:r>
              <w:rPr>
                <w:rFonts w:hint="eastAsia" w:cs="Calibri Light" w:asciiTheme="minorEastAsia" w:hAnsiTheme="minorEastAsia"/>
                <w:sz w:val="21"/>
                <w:szCs w:val="21"/>
                <w:highlight w:val="none"/>
              </w:rPr>
              <w:t>分</w:t>
            </w:r>
            <w:r>
              <w:rPr>
                <w:rFonts w:hint="eastAsia" w:asciiTheme="minorEastAsia" w:hAnsiTheme="minorEastAsia"/>
                <w:sz w:val="21"/>
                <w:szCs w:val="21"/>
                <w:highlight w:val="none"/>
              </w:rPr>
              <w:t>，不满足</w:t>
            </w:r>
            <w:r>
              <w:rPr>
                <w:rFonts w:hint="eastAsia" w:asciiTheme="minorEastAsia" w:hAnsiTheme="minorEastAsia"/>
                <w:sz w:val="21"/>
                <w:szCs w:val="21"/>
                <w:highlight w:val="none"/>
                <w:lang w:val="en-US" w:eastAsia="zh-CN"/>
              </w:rPr>
              <w:t>不得分</w:t>
            </w:r>
            <w:r>
              <w:rPr>
                <w:rFonts w:hint="eastAsia" w:cs="Calibri Light" w:asciiTheme="minorEastAsia" w:hAnsiTheme="minorEastAsia"/>
                <w:sz w:val="21"/>
                <w:szCs w:val="21"/>
                <w:highlight w:val="none"/>
                <w:lang w:eastAsia="zh-CN"/>
              </w:rPr>
              <w:t>。</w:t>
            </w:r>
          </w:p>
        </w:tc>
        <w:tc>
          <w:tcPr>
            <w:tcW w:w="709" w:type="dxa"/>
            <w:shd w:val="clear" w:color="auto" w:fill="auto"/>
            <w:vAlign w:val="center"/>
          </w:tcPr>
          <w:p w14:paraId="2DD33BBB">
            <w:pPr>
              <w:spacing w:line="400" w:lineRule="exact"/>
              <w:jc w:val="center"/>
              <w:rPr>
                <w:rFonts w:cs="宋体" w:asciiTheme="minorEastAsia" w:hAnsiTheme="minorEastAsia"/>
                <w:bCs/>
                <w:color w:val="FF0000"/>
                <w:sz w:val="21"/>
                <w:szCs w:val="21"/>
              </w:rPr>
            </w:pPr>
          </w:p>
        </w:tc>
      </w:tr>
      <w:tr w14:paraId="22A38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6AF455A">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14:paraId="76AE27FD">
            <w:pPr>
              <w:spacing w:line="400" w:lineRule="exact"/>
              <w:jc w:val="center"/>
              <w:rPr>
                <w:rFonts w:cs="宋体" w:asciiTheme="minorEastAsia" w:hAnsiTheme="minorEastAsia"/>
                <w:bCs/>
                <w:sz w:val="21"/>
                <w:szCs w:val="21"/>
              </w:rPr>
            </w:pPr>
          </w:p>
        </w:tc>
        <w:tc>
          <w:tcPr>
            <w:tcW w:w="999" w:type="dxa"/>
            <w:shd w:val="clear" w:color="auto" w:fill="auto"/>
            <w:vAlign w:val="center"/>
          </w:tcPr>
          <w:p w14:paraId="79EF5587">
            <w:pPr>
              <w:spacing w:line="400" w:lineRule="exact"/>
              <w:jc w:val="center"/>
              <w:rPr>
                <w:rFonts w:hint="eastAsia" w:cs="宋体" w:asciiTheme="minorEastAsia" w:hAnsiTheme="minorEastAsia" w:eastAsiaTheme="minorEastAsia"/>
                <w:bCs/>
                <w:sz w:val="21"/>
                <w:szCs w:val="21"/>
                <w:lang w:eastAsia="zh-CN"/>
              </w:rPr>
            </w:pPr>
            <w:r>
              <w:rPr>
                <w:rFonts w:hint="eastAsia" w:cs="宋体" w:asciiTheme="minorEastAsia" w:hAnsiTheme="minorEastAsia"/>
                <w:bCs/>
                <w:sz w:val="21"/>
                <w:szCs w:val="21"/>
              </w:rPr>
              <w:t>1</w:t>
            </w:r>
            <w:r>
              <w:rPr>
                <w:rFonts w:hint="eastAsia" w:cs="宋体" w:asciiTheme="minorEastAsia" w:hAnsiTheme="minorEastAsia"/>
                <w:bCs/>
                <w:sz w:val="21"/>
                <w:szCs w:val="21"/>
                <w:lang w:val="en-US" w:eastAsia="zh-CN"/>
              </w:rPr>
              <w:t>5</w:t>
            </w:r>
          </w:p>
        </w:tc>
        <w:tc>
          <w:tcPr>
            <w:tcW w:w="6379" w:type="dxa"/>
            <w:shd w:val="clear" w:color="auto" w:fill="auto"/>
            <w:vAlign w:val="center"/>
          </w:tcPr>
          <w:p w14:paraId="001B6631">
            <w:pPr>
              <w:spacing w:line="400" w:lineRule="exact"/>
              <w:rPr>
                <w:rFonts w:cs="Calibri Light" w:asciiTheme="minorEastAsia" w:hAnsiTheme="minorEastAsia"/>
                <w:b/>
                <w:bCs/>
                <w:color w:val="FF0000"/>
                <w:sz w:val="21"/>
                <w:szCs w:val="21"/>
              </w:rPr>
            </w:pPr>
            <w:r>
              <w:rPr>
                <w:rFonts w:hint="eastAsia" w:cs="Calibri Light" w:asciiTheme="minorEastAsia" w:hAnsiTheme="minorEastAsia"/>
                <w:b/>
                <w:bCs/>
                <w:color w:val="FF0000"/>
                <w:sz w:val="21"/>
                <w:szCs w:val="21"/>
              </w:rPr>
              <w:t>房地产</w:t>
            </w:r>
            <w:r>
              <w:rPr>
                <w:rFonts w:hint="eastAsia" w:cs="Calibri Light" w:asciiTheme="minorEastAsia" w:hAnsiTheme="minorEastAsia"/>
                <w:b/>
                <w:bCs/>
                <w:color w:val="FF0000"/>
                <w:sz w:val="21"/>
                <w:szCs w:val="21"/>
                <w:lang w:val="en-US" w:eastAsia="zh-CN"/>
              </w:rPr>
              <w:t>项目风险处置</w:t>
            </w:r>
            <w:r>
              <w:rPr>
                <w:rFonts w:hint="eastAsia" w:cs="Calibri Light" w:asciiTheme="minorEastAsia" w:hAnsiTheme="minorEastAsia"/>
                <w:b/>
                <w:bCs/>
                <w:color w:val="FF0000"/>
                <w:sz w:val="21"/>
                <w:szCs w:val="21"/>
              </w:rPr>
              <w:t>业绩：</w:t>
            </w:r>
          </w:p>
          <w:p w14:paraId="0907F6CA">
            <w:pPr>
              <w:autoSpaceDE w:val="0"/>
              <w:autoSpaceDN w:val="0"/>
              <w:spacing w:line="400" w:lineRule="exact"/>
              <w:rPr>
                <w:sz w:val="21"/>
                <w:szCs w:val="20"/>
              </w:rPr>
            </w:pPr>
            <w:r>
              <w:rPr>
                <w:rFonts w:asciiTheme="minorEastAsia" w:hAnsiTheme="minorEastAsia"/>
                <w:b/>
                <w:bCs/>
                <w:sz w:val="21"/>
                <w:szCs w:val="21"/>
              </w:rPr>
              <w:t>（</w:t>
            </w:r>
            <w:r>
              <w:rPr>
                <w:rFonts w:hint="eastAsia" w:asciiTheme="minorEastAsia" w:hAnsiTheme="minorEastAsia"/>
                <w:b/>
                <w:bCs/>
                <w:sz w:val="21"/>
                <w:szCs w:val="21"/>
              </w:rPr>
              <w:t>1</w:t>
            </w:r>
            <w:r>
              <w:rPr>
                <w:rFonts w:asciiTheme="minorEastAsia" w:hAnsiTheme="minorEastAsia"/>
                <w:b/>
                <w:bCs/>
                <w:sz w:val="21"/>
                <w:szCs w:val="21"/>
              </w:rPr>
              <w:t>）</w:t>
            </w:r>
            <w:r>
              <w:rPr>
                <w:rFonts w:hint="eastAsia" w:asciiTheme="minorEastAsia" w:hAnsiTheme="minorEastAsia"/>
                <w:b/>
                <w:bCs/>
                <w:sz w:val="21"/>
                <w:szCs w:val="21"/>
              </w:rPr>
              <w:t>评审内容：</w:t>
            </w:r>
          </w:p>
          <w:p w14:paraId="551CEC2F">
            <w:pPr>
              <w:spacing w:line="400" w:lineRule="exact"/>
              <w:rPr>
                <w:rFonts w:hint="default" w:asciiTheme="minorEastAsia" w:hAnsiTheme="minorEastAsia" w:cstheme="majorHAnsi"/>
                <w:sz w:val="21"/>
                <w:szCs w:val="21"/>
                <w:lang w:val="en-US" w:eastAsia="zh-CN"/>
              </w:rPr>
            </w:pPr>
            <w:r>
              <w:rPr>
                <w:rFonts w:hint="eastAsia" w:asciiTheme="minorEastAsia" w:hAnsiTheme="minorEastAsia" w:cstheme="majorHAnsi"/>
                <w:sz w:val="21"/>
                <w:szCs w:val="21"/>
              </w:rPr>
              <w:t>供应商拟派往本项目承办律师曾代理涉及房地产</w:t>
            </w:r>
            <w:r>
              <w:rPr>
                <w:rFonts w:hint="eastAsia" w:asciiTheme="minorEastAsia" w:hAnsiTheme="minorEastAsia" w:cstheme="majorHAnsi"/>
                <w:sz w:val="21"/>
                <w:szCs w:val="21"/>
                <w:lang w:val="en-US" w:eastAsia="zh-CN"/>
              </w:rPr>
              <w:t>项目风险处置案件</w:t>
            </w:r>
          </w:p>
          <w:p w14:paraId="73F26A3C">
            <w:pPr>
              <w:spacing w:line="400" w:lineRule="exact"/>
              <w:rPr>
                <w:rFonts w:asciiTheme="minorEastAsia" w:hAnsiTheme="minorEastAsia"/>
                <w:b/>
                <w:bCs/>
                <w:sz w:val="21"/>
                <w:szCs w:val="21"/>
              </w:rPr>
            </w:pPr>
            <w:r>
              <w:rPr>
                <w:rFonts w:hint="eastAsia" w:asciiTheme="minorEastAsia" w:hAnsiTheme="minorEastAsia"/>
                <w:b/>
                <w:bCs/>
                <w:sz w:val="21"/>
                <w:szCs w:val="21"/>
              </w:rPr>
              <w:t>（</w:t>
            </w:r>
            <w:r>
              <w:rPr>
                <w:rFonts w:hint="eastAsia" w:asciiTheme="minorEastAsia" w:hAnsiTheme="minorEastAsia"/>
                <w:b/>
                <w:bCs/>
                <w:sz w:val="21"/>
                <w:szCs w:val="21"/>
                <w:lang w:val="en-US" w:eastAsia="zh-CN"/>
              </w:rPr>
              <w:t>2</w:t>
            </w:r>
            <w:r>
              <w:rPr>
                <w:rFonts w:hint="eastAsia" w:asciiTheme="minorEastAsia" w:hAnsiTheme="minorEastAsia"/>
                <w:b/>
                <w:bCs/>
                <w:sz w:val="21"/>
                <w:szCs w:val="21"/>
              </w:rPr>
              <w:t>）赋分标准：</w:t>
            </w:r>
          </w:p>
          <w:p w14:paraId="0B0F353E">
            <w:pPr>
              <w:spacing w:line="400" w:lineRule="exact"/>
              <w:rPr>
                <w:rFonts w:asciiTheme="minorEastAsia" w:hAnsiTheme="minorEastAsia"/>
                <w:sz w:val="21"/>
                <w:szCs w:val="21"/>
              </w:rPr>
            </w:pPr>
            <w:r>
              <w:rPr>
                <w:rFonts w:hint="eastAsia" w:asciiTheme="minorEastAsia" w:hAnsiTheme="minorEastAsia" w:cstheme="majorHAnsi"/>
                <w:sz w:val="21"/>
                <w:szCs w:val="21"/>
              </w:rPr>
              <w:t>提供</w:t>
            </w:r>
            <w:r>
              <w:rPr>
                <w:rFonts w:hint="eastAsia" w:cs="Calibri Light" w:asciiTheme="minorEastAsia" w:hAnsiTheme="minorEastAsia"/>
                <w:sz w:val="21"/>
                <w:szCs w:val="21"/>
                <w:highlight w:val="none"/>
              </w:rPr>
              <w:t>房地产</w:t>
            </w:r>
            <w:r>
              <w:rPr>
                <w:rFonts w:hint="eastAsia" w:cs="Calibri Light" w:asciiTheme="minorEastAsia" w:hAnsiTheme="minorEastAsia"/>
                <w:sz w:val="21"/>
                <w:szCs w:val="21"/>
                <w:highlight w:val="none"/>
                <w:lang w:val="en-US" w:eastAsia="zh-CN"/>
              </w:rPr>
              <w:t>项目风险处置</w:t>
            </w:r>
            <w:r>
              <w:rPr>
                <w:rFonts w:hint="eastAsia" w:asciiTheme="minorEastAsia" w:hAnsiTheme="minorEastAsia" w:cstheme="majorHAnsi"/>
                <w:sz w:val="21"/>
                <w:szCs w:val="21"/>
              </w:rPr>
              <w:t>业绩证明</w:t>
            </w:r>
            <w:r>
              <w:rPr>
                <w:rFonts w:asciiTheme="minorEastAsia" w:hAnsiTheme="minorEastAsia" w:cstheme="majorHAnsi"/>
                <w:sz w:val="21"/>
                <w:szCs w:val="21"/>
              </w:rPr>
              <w:t>文件</w:t>
            </w:r>
            <w:r>
              <w:rPr>
                <w:rFonts w:hint="eastAsia" w:asciiTheme="minorEastAsia" w:hAnsiTheme="minorEastAsia" w:cstheme="majorHAnsi"/>
                <w:sz w:val="21"/>
                <w:szCs w:val="21"/>
              </w:rPr>
              <w:t>（</w:t>
            </w:r>
            <w:r>
              <w:rPr>
                <w:rFonts w:asciiTheme="minorEastAsia" w:hAnsiTheme="minorEastAsia" w:cstheme="majorHAnsi"/>
                <w:sz w:val="21"/>
                <w:szCs w:val="21"/>
              </w:rPr>
              <w:t>合同</w:t>
            </w:r>
            <w:r>
              <w:rPr>
                <w:rFonts w:hint="eastAsia" w:asciiTheme="minorEastAsia" w:hAnsiTheme="minorEastAsia" w:cstheme="majorHAnsi"/>
                <w:sz w:val="21"/>
                <w:szCs w:val="21"/>
              </w:rPr>
              <w:t>、服务费用发票</w:t>
            </w:r>
            <w:r>
              <w:rPr>
                <w:rFonts w:hint="eastAsia" w:asciiTheme="minorEastAsia" w:hAnsiTheme="minorEastAsia" w:cstheme="majorHAnsi"/>
                <w:sz w:val="21"/>
                <w:szCs w:val="21"/>
                <w:lang w:val="en-US" w:eastAsia="zh-CN"/>
              </w:rPr>
              <w:t>二</w:t>
            </w:r>
            <w:r>
              <w:rPr>
                <w:rFonts w:hint="eastAsia" w:asciiTheme="minorEastAsia" w:hAnsiTheme="minorEastAsia" w:cstheme="majorHAnsi"/>
                <w:sz w:val="21"/>
                <w:szCs w:val="21"/>
              </w:rPr>
              <w:t>者同时出具方为有效</w:t>
            </w:r>
            <w:r>
              <w:rPr>
                <w:rFonts w:asciiTheme="minorEastAsia" w:hAnsiTheme="minorEastAsia" w:cstheme="majorHAnsi"/>
                <w:sz w:val="21"/>
                <w:szCs w:val="21"/>
              </w:rPr>
              <w:t>）</w:t>
            </w:r>
            <w:r>
              <w:rPr>
                <w:rFonts w:hint="eastAsia" w:asciiTheme="minorEastAsia" w:hAnsiTheme="minorEastAsia" w:cstheme="majorHAnsi"/>
                <w:sz w:val="21"/>
                <w:szCs w:val="21"/>
              </w:rPr>
              <w:t>评审时以响应文件中的扫描件加盖公章为计分依据，每出具一份业绩证明文件得</w:t>
            </w:r>
            <w:r>
              <w:rPr>
                <w:rFonts w:hint="eastAsia" w:asciiTheme="minorEastAsia" w:hAnsiTheme="minorEastAsia" w:cstheme="majorHAnsi"/>
                <w:sz w:val="21"/>
                <w:szCs w:val="21"/>
                <w:lang w:val="en-US" w:eastAsia="zh-CN"/>
              </w:rPr>
              <w:t>3</w:t>
            </w:r>
            <w:r>
              <w:rPr>
                <w:rFonts w:hint="eastAsia" w:asciiTheme="minorEastAsia" w:hAnsiTheme="minorEastAsia" w:cstheme="majorHAnsi"/>
                <w:sz w:val="21"/>
                <w:szCs w:val="21"/>
              </w:rPr>
              <w:t>分，满分</w:t>
            </w:r>
            <w:r>
              <w:rPr>
                <w:rFonts w:hint="eastAsia" w:asciiTheme="minorEastAsia" w:hAnsiTheme="minorEastAsia" w:cstheme="majorHAnsi"/>
                <w:sz w:val="21"/>
                <w:szCs w:val="21"/>
                <w:lang w:val="en-US" w:eastAsia="zh-CN"/>
              </w:rPr>
              <w:t>15</w:t>
            </w:r>
            <w:r>
              <w:rPr>
                <w:rFonts w:hint="eastAsia" w:asciiTheme="minorEastAsia" w:hAnsiTheme="minorEastAsia" w:cstheme="majorHAnsi"/>
                <w:sz w:val="21"/>
                <w:szCs w:val="21"/>
              </w:rPr>
              <w:t>分</w:t>
            </w:r>
            <w:r>
              <w:rPr>
                <w:rFonts w:hint="eastAsia" w:asciiTheme="minorEastAsia" w:hAnsiTheme="minorEastAsia"/>
                <w:sz w:val="21"/>
                <w:szCs w:val="21"/>
              </w:rPr>
              <w:t>，不满足</w:t>
            </w:r>
            <w:r>
              <w:rPr>
                <w:rFonts w:hint="eastAsia" w:asciiTheme="minorEastAsia" w:hAnsiTheme="minorEastAsia"/>
                <w:sz w:val="21"/>
                <w:szCs w:val="21"/>
                <w:lang w:val="en-US" w:eastAsia="zh-CN"/>
              </w:rPr>
              <w:t>不得分</w:t>
            </w:r>
            <w:r>
              <w:rPr>
                <w:rFonts w:hint="eastAsia" w:asciiTheme="minorEastAsia" w:hAnsiTheme="minorEastAsia" w:cstheme="majorHAnsi"/>
                <w:sz w:val="21"/>
                <w:szCs w:val="21"/>
              </w:rPr>
              <w:t>。</w:t>
            </w:r>
          </w:p>
        </w:tc>
        <w:tc>
          <w:tcPr>
            <w:tcW w:w="709" w:type="dxa"/>
            <w:shd w:val="clear" w:color="auto" w:fill="auto"/>
            <w:vAlign w:val="center"/>
          </w:tcPr>
          <w:p w14:paraId="10831296">
            <w:pPr>
              <w:spacing w:line="400" w:lineRule="exact"/>
              <w:jc w:val="center"/>
              <w:rPr>
                <w:rFonts w:cs="宋体" w:asciiTheme="minorEastAsia" w:hAnsiTheme="minorEastAsia"/>
                <w:bCs/>
                <w:color w:val="FF0000"/>
                <w:sz w:val="21"/>
                <w:szCs w:val="21"/>
              </w:rPr>
            </w:pPr>
          </w:p>
        </w:tc>
      </w:tr>
      <w:tr w14:paraId="3103B9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79B5FF8C">
            <w:pPr>
              <w:spacing w:line="400" w:lineRule="exact"/>
              <w:jc w:val="center"/>
              <w:rPr>
                <w:rFonts w:cs="宋体" w:asciiTheme="minorEastAsia" w:hAnsiTheme="minorEastAsia"/>
                <w:bCs/>
                <w:sz w:val="21"/>
                <w:szCs w:val="21"/>
              </w:rPr>
            </w:pPr>
            <w:r>
              <w:rPr>
                <w:rFonts w:cs="宋体" w:asciiTheme="minorEastAsia" w:hAnsiTheme="minorEastAsia"/>
                <w:bCs/>
                <w:sz w:val="21"/>
                <w:szCs w:val="21"/>
              </w:rPr>
              <w:t>说明</w:t>
            </w:r>
          </w:p>
        </w:tc>
        <w:tc>
          <w:tcPr>
            <w:tcW w:w="8727" w:type="dxa"/>
            <w:gridSpan w:val="4"/>
            <w:shd w:val="clear" w:color="auto" w:fill="auto"/>
            <w:vAlign w:val="center"/>
          </w:tcPr>
          <w:p w14:paraId="7DF1D3C9">
            <w:pPr>
              <w:spacing w:line="400" w:lineRule="exact"/>
              <w:ind w:firstLine="420" w:firstLineChars="200"/>
              <w:jc w:val="both"/>
              <w:rPr>
                <w:rFonts w:cs="宋体" w:asciiTheme="minorEastAsia" w:hAnsiTheme="minorEastAsia"/>
                <w:bCs/>
                <w:sz w:val="21"/>
                <w:szCs w:val="21"/>
              </w:rPr>
            </w:pPr>
            <w:r>
              <w:rPr>
                <w:rFonts w:hint="eastAsia" w:cs="宋体" w:asciiTheme="minorEastAsia" w:hAnsiTheme="minorEastAsia"/>
                <w:bCs/>
                <w:sz w:val="21"/>
                <w:szCs w:val="21"/>
              </w:rPr>
              <w:t>1．磋商小组成员必须按照本评审要素据实打分，各类数字计算均按“四舍五入”保留小数点后两位。</w:t>
            </w:r>
          </w:p>
          <w:p w14:paraId="4C047267">
            <w:pPr>
              <w:spacing w:line="400" w:lineRule="exact"/>
              <w:ind w:firstLine="420" w:firstLineChars="200"/>
              <w:jc w:val="both"/>
              <w:rPr>
                <w:rFonts w:hint="eastAsia" w:cs="宋体" w:asciiTheme="minorEastAsia" w:hAnsiTheme="minorEastAsia"/>
                <w:bCs/>
                <w:sz w:val="21"/>
                <w:szCs w:val="21"/>
              </w:rPr>
            </w:pPr>
            <w:r>
              <w:rPr>
                <w:rFonts w:hint="eastAsia" w:cs="宋体" w:asciiTheme="minorEastAsia" w:hAnsiTheme="minorEastAsia"/>
                <w:bCs/>
                <w:sz w:val="21"/>
                <w:szCs w:val="21"/>
              </w:rPr>
              <w:t>2．</w:t>
            </w:r>
            <w:r>
              <w:rPr>
                <w:rFonts w:cs="宋体" w:asciiTheme="minorEastAsia" w:hAnsiTheme="minorEastAsia"/>
                <w:bCs/>
                <w:sz w:val="21"/>
                <w:szCs w:val="21"/>
              </w:rPr>
              <w:t>价格评审优惠：</w:t>
            </w:r>
            <w:r>
              <w:rPr>
                <w:rFonts w:hint="eastAsia" w:cs="宋体" w:asciiTheme="minorEastAsia" w:hAnsiTheme="minorEastAsia"/>
                <w:bCs/>
                <w:sz w:val="21"/>
                <w:szCs w:val="21"/>
              </w:rPr>
              <w:t>对符合政府采购优惠政策的小型和微型企业制造的货物、承接的服务报价给予</w:t>
            </w:r>
            <w:r>
              <w:rPr>
                <w:rFonts w:hint="eastAsia" w:cs="宋体" w:asciiTheme="minorEastAsia" w:hAnsiTheme="minorEastAsia"/>
                <w:bCs/>
                <w:sz w:val="21"/>
                <w:szCs w:val="21"/>
                <w:u w:val="single"/>
              </w:rPr>
              <w:t>10%</w:t>
            </w:r>
            <w:r>
              <w:rPr>
                <w:rFonts w:hint="eastAsia" w:cs="宋体" w:asciiTheme="minorEastAsia" w:hAnsiTheme="minorEastAsia"/>
                <w:bCs/>
                <w:sz w:val="21"/>
                <w:szCs w:val="21"/>
              </w:rPr>
              <w:t>的扣除，用扣除后的价格参加评审。未提供中小企业声明函的不享受价格扣除优惠政策。</w:t>
            </w:r>
          </w:p>
          <w:p w14:paraId="28034D93">
            <w:pPr>
              <w:spacing w:line="400" w:lineRule="exact"/>
              <w:ind w:firstLine="420" w:firstLineChars="200"/>
              <w:jc w:val="both"/>
              <w:rPr>
                <w:rFonts w:hint="eastAsia" w:cs="宋体" w:asciiTheme="minorEastAsia" w:hAnsiTheme="minorEastAsia"/>
                <w:bCs/>
                <w:sz w:val="21"/>
                <w:szCs w:val="21"/>
              </w:rPr>
            </w:pPr>
            <w:r>
              <w:rPr>
                <w:rFonts w:hint="eastAsia" w:cs="宋体" w:asciiTheme="minorEastAsia" w:hAnsiTheme="minorEastAsia"/>
                <w:bCs/>
                <w:sz w:val="21"/>
                <w:szCs w:val="21"/>
                <w:lang w:val="en-US" w:eastAsia="zh-CN"/>
              </w:rPr>
              <w:t>3.</w:t>
            </w:r>
            <w:r>
              <w:rPr>
                <w:rFonts w:hint="eastAsia" w:cs="宋体" w:asciiTheme="minorEastAsia" w:hAnsiTheme="minorEastAsia"/>
                <w:bCs/>
                <w:sz w:val="21"/>
                <w:szCs w:val="21"/>
              </w:rPr>
              <w:t>根据工信部答复，律师事务所是根据《律师事务所管理办法》设立的非企业，不适用《中小企业化型标准规定》。</w:t>
            </w:r>
          </w:p>
        </w:tc>
      </w:tr>
    </w:tbl>
    <w:p w14:paraId="0B07F5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napToGrid/>
          <w:kern w:val="2"/>
          <w:sz w:val="28"/>
          <w:szCs w:val="28"/>
          <w:lang w:val="en-US" w:eastAsia="zh-CN"/>
        </w:rPr>
      </w:pPr>
    </w:p>
    <w:p w14:paraId="4966B33A">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29.4磋商小组应当根据综合评分情况，按照评审得分由高到低顺序推荐1-3名以上成交候选供应商，评审得分相同的，按照最后报价由低到高的顺序推荐。评审得分且最后报价相同的，按照技术指标优劣顺序推荐。</w:t>
      </w:r>
    </w:p>
    <w:p w14:paraId="3D10298A">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29.5评审过程中，若出现本办法以外的特殊情况时，将暂停评审，有关情况待磋商小组确定后，再行评定。</w:t>
      </w:r>
    </w:p>
    <w:p w14:paraId="3CDF2FE4">
      <w:pPr>
        <w:pStyle w:val="6"/>
        <w:numPr>
          <w:ilvl w:val="0"/>
          <w:numId w:val="9"/>
        </w:numPr>
        <w:overflowPunct w:val="0"/>
        <w:adjustRightInd w:val="0"/>
        <w:snapToGrid w:val="0"/>
        <w:spacing w:line="360" w:lineRule="auto"/>
        <w:rPr>
          <w:rFonts w:hint="eastAsia" w:ascii="宋体" w:hAnsi="宋体" w:eastAsia="宋体" w:cs="宋体"/>
          <w:color w:val="auto"/>
          <w:sz w:val="24"/>
          <w:szCs w:val="24"/>
          <w:highlight w:val="none"/>
          <w:lang w:val="zh-CN"/>
        </w:rPr>
      </w:pPr>
      <w:bookmarkStart w:id="145" w:name="_Toc24952"/>
      <w:r>
        <w:rPr>
          <w:rFonts w:hint="eastAsia" w:ascii="宋体" w:hAnsi="宋体" w:eastAsia="宋体" w:cs="宋体"/>
          <w:color w:val="auto"/>
          <w:sz w:val="24"/>
          <w:szCs w:val="24"/>
          <w:highlight w:val="none"/>
          <w:lang w:val="zh-CN"/>
        </w:rPr>
        <w:t>需要落实的政府采购政策</w:t>
      </w:r>
      <w:bookmarkEnd w:id="145"/>
    </w:p>
    <w:p w14:paraId="711EA7A9">
      <w:pPr>
        <w:spacing w:line="360" w:lineRule="auto"/>
        <w:rPr>
          <w:rFonts w:hint="eastAsia" w:ascii="宋体" w:hAnsi="宋体" w:eastAsia="宋体" w:cs="宋体"/>
          <w:color w:val="auto"/>
          <w:spacing w:val="4"/>
          <w:sz w:val="24"/>
          <w:highlight w:val="none"/>
        </w:rPr>
      </w:pPr>
      <w:bookmarkStart w:id="146" w:name="_Toc410389005"/>
      <w:bookmarkStart w:id="147" w:name="_Toc311415605"/>
      <w:bookmarkStart w:id="148" w:name="_Toc423508254"/>
      <w:r>
        <w:rPr>
          <w:rFonts w:hint="eastAsia" w:ascii="宋体" w:hAnsi="宋体" w:eastAsia="宋体" w:cs="宋体"/>
          <w:color w:val="auto"/>
          <w:spacing w:val="4"/>
          <w:sz w:val="24"/>
          <w:highlight w:val="none"/>
        </w:rPr>
        <w:t>30.1磋商响应文件经审查合格的</w:t>
      </w:r>
      <w:r>
        <w:rPr>
          <w:rFonts w:hint="eastAsia" w:ascii="宋体" w:hAnsi="宋体" w:eastAsia="宋体" w:cs="宋体"/>
          <w:color w:val="auto"/>
          <w:sz w:val="24"/>
          <w:szCs w:val="24"/>
          <w:highlight w:val="none"/>
        </w:rPr>
        <w:t>，为有效投标。</w:t>
      </w:r>
      <w:r>
        <w:rPr>
          <w:rFonts w:hint="eastAsia" w:ascii="宋体" w:hAnsi="宋体" w:eastAsia="宋体" w:cs="宋体"/>
          <w:color w:val="auto"/>
          <w:spacing w:val="4"/>
          <w:sz w:val="24"/>
          <w:highlight w:val="none"/>
        </w:rPr>
        <w:t>对于符合政策性优惠的，其评标价按照以下规则进行计算调整</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lang w:val="en-US" w:eastAsia="zh-CN"/>
        </w:rPr>
        <w:t>以下规则不累计享受</w:t>
      </w:r>
      <w:r>
        <w:rPr>
          <w:rFonts w:hint="eastAsia" w:ascii="宋体" w:hAnsi="宋体" w:eastAsia="宋体" w:cs="宋体"/>
          <w:color w:val="auto"/>
          <w:spacing w:val="4"/>
          <w:sz w:val="24"/>
          <w:highlight w:val="none"/>
        </w:rPr>
        <w:t>。</w:t>
      </w:r>
    </w:p>
    <w:p w14:paraId="13497B27">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0.1.1供应商为小型和微型企业、监狱企业、</w:t>
      </w:r>
      <w:r>
        <w:rPr>
          <w:rFonts w:hint="eastAsia" w:ascii="宋体" w:hAnsi="宋体" w:eastAsia="宋体" w:cs="宋体"/>
          <w:color w:val="auto"/>
          <w:sz w:val="24"/>
          <w:highlight w:val="none"/>
        </w:rPr>
        <w:t>残疾人福利性单位</w:t>
      </w:r>
      <w:r>
        <w:rPr>
          <w:rFonts w:hint="eastAsia" w:ascii="宋体" w:hAnsi="宋体" w:eastAsia="宋体" w:cs="宋体"/>
          <w:color w:val="auto"/>
          <w:spacing w:val="4"/>
          <w:sz w:val="24"/>
          <w:highlight w:val="none"/>
        </w:rPr>
        <w:t>的评标价计算规则：</w:t>
      </w:r>
    </w:p>
    <w:p w14:paraId="004EFC49">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lang w:val="en-US" w:eastAsia="zh-CN"/>
        </w:rPr>
        <w:t>3</w:t>
      </w:r>
      <w:r>
        <w:rPr>
          <w:rFonts w:hint="eastAsia" w:ascii="宋体" w:hAnsi="宋体" w:eastAsia="宋体" w:cs="宋体"/>
          <w:color w:val="auto"/>
          <w:spacing w:val="4"/>
          <w:sz w:val="24"/>
          <w:szCs w:val="22"/>
          <w:highlight w:val="none"/>
        </w:rPr>
        <w:t>0.1.1.1供应商为非联合体投标的情况：其评标价=磋商报价*（1-</w:t>
      </w:r>
      <w:r>
        <w:rPr>
          <w:rFonts w:hint="eastAsia" w:ascii="宋体" w:hAnsi="宋体" w:eastAsia="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14:paraId="2FCAB548">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0.1.1.2供应商为大中型企业与小微企业</w:t>
      </w:r>
      <w:r>
        <w:rPr>
          <w:rFonts w:hint="eastAsia" w:ascii="宋体" w:hAnsi="宋体" w:eastAsia="宋体" w:cs="宋体"/>
          <w:color w:val="auto"/>
          <w:spacing w:val="4"/>
          <w:sz w:val="24"/>
          <w:highlight w:val="none"/>
          <w:lang w:val="en-US" w:eastAsia="zh-CN"/>
        </w:rPr>
        <w:t>组成</w:t>
      </w:r>
      <w:r>
        <w:rPr>
          <w:rFonts w:hint="eastAsia" w:ascii="宋体" w:hAnsi="宋体" w:eastAsia="宋体" w:cs="宋体"/>
          <w:color w:val="auto"/>
          <w:spacing w:val="4"/>
          <w:sz w:val="24"/>
          <w:highlight w:val="none"/>
        </w:rPr>
        <w:t>联合体的情况：其评标价=</w:t>
      </w:r>
      <w:r>
        <w:rPr>
          <w:rFonts w:hint="eastAsia" w:ascii="宋体" w:hAnsi="宋体" w:eastAsia="宋体" w:cs="宋体"/>
          <w:color w:val="auto"/>
          <w:spacing w:val="4"/>
          <w:sz w:val="24"/>
          <w:highlight w:val="none"/>
          <w:lang w:eastAsia="zh-CN"/>
        </w:rPr>
        <w:t>投标报价</w:t>
      </w:r>
      <w:r>
        <w:rPr>
          <w:rFonts w:hint="eastAsia" w:ascii="宋体" w:hAnsi="宋体" w:eastAsia="宋体" w:cs="宋体"/>
          <w:color w:val="auto"/>
          <w:spacing w:val="4"/>
          <w:sz w:val="24"/>
          <w:highlight w:val="none"/>
        </w:rPr>
        <w:t>*（1-</w:t>
      </w:r>
      <w:r>
        <w:rPr>
          <w:rFonts w:hint="eastAsia" w:ascii="宋体" w:hAnsi="宋体" w:eastAsia="宋体" w:cs="宋体"/>
          <w:color w:val="auto"/>
          <w:spacing w:val="4"/>
          <w:sz w:val="24"/>
          <w:highlight w:val="none"/>
          <w:lang w:val="en-US" w:eastAsia="zh-CN"/>
        </w:rPr>
        <w:t>4</w:t>
      </w:r>
      <w:r>
        <w:rPr>
          <w:rFonts w:hint="eastAsia" w:ascii="宋体" w:hAnsi="宋体" w:eastAsia="宋体" w:cs="宋体"/>
          <w:color w:val="auto"/>
          <w:spacing w:val="4"/>
          <w:sz w:val="24"/>
          <w:highlight w:val="none"/>
        </w:rPr>
        <w:t>%）；</w:t>
      </w:r>
    </w:p>
    <w:p w14:paraId="1414FCA0">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0.1.1.3供应商为联合体投标且联合协议中约定监狱企业、</w:t>
      </w:r>
      <w:r>
        <w:rPr>
          <w:rFonts w:hint="eastAsia" w:ascii="宋体" w:hAnsi="宋体" w:eastAsia="宋体" w:cs="宋体"/>
          <w:color w:val="auto"/>
          <w:sz w:val="24"/>
          <w:highlight w:val="none"/>
        </w:rPr>
        <w:t>残疾人福利性单位</w:t>
      </w:r>
      <w:r>
        <w:rPr>
          <w:rFonts w:hint="eastAsia" w:ascii="宋体" w:hAnsi="宋体" w:eastAsia="宋体" w:cs="宋体"/>
          <w:color w:val="auto"/>
          <w:spacing w:val="4"/>
          <w:sz w:val="24"/>
          <w:highlight w:val="none"/>
        </w:rPr>
        <w:t>的协议合同金额占到联合体协议合同总金额30％以上的情况：</w:t>
      </w:r>
    </w:p>
    <w:p w14:paraId="65825B30">
      <w:pPr>
        <w:spacing w:line="360" w:lineRule="auto"/>
        <w:ind w:left="523" w:leftChars="249" w:firstLine="868" w:firstLine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其评标价=磋商报价*（1-2%）；</w:t>
      </w:r>
    </w:p>
    <w:p w14:paraId="25B1CEAF">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lang w:val="en-US" w:eastAsia="zh-CN"/>
        </w:rPr>
        <w:t>3</w:t>
      </w:r>
      <w:r>
        <w:rPr>
          <w:rFonts w:hint="eastAsia" w:ascii="宋体" w:hAnsi="宋体" w:eastAsia="宋体" w:cs="宋体"/>
          <w:color w:val="auto"/>
          <w:spacing w:val="4"/>
          <w:sz w:val="24"/>
          <w:szCs w:val="22"/>
          <w:highlight w:val="none"/>
        </w:rPr>
        <w:t>0.1.1.4投标服务涉及提供的所有投标产品进入 “节能产品政府采购清单” （且产品的国家节能产品认证证书在有效期内）的，其评标价=磋商报价*（1-3%）；（不是所有投标产品的不享受此项优惠）</w:t>
      </w:r>
    </w:p>
    <w:p w14:paraId="4BCCF640">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lang w:val="en-US" w:eastAsia="zh-CN"/>
        </w:rPr>
        <w:t>3</w:t>
      </w:r>
      <w:r>
        <w:rPr>
          <w:rFonts w:hint="eastAsia" w:ascii="宋体" w:hAnsi="宋体" w:eastAsia="宋体" w:cs="宋体"/>
          <w:color w:val="auto"/>
          <w:spacing w:val="4"/>
          <w:sz w:val="24"/>
          <w:szCs w:val="22"/>
          <w:highlight w:val="none"/>
        </w:rPr>
        <w:t xml:space="preserve">0.1.1.5投标服务涉及提供的所有投标产品进入“环境标志产品政府采购清单”（且产品的中国环境标志产品认证证书在有效期内）的，其评标价=磋商报价*（1-3%）；（不是所有投标产品的不享受此项优惠）    </w:t>
      </w:r>
    </w:p>
    <w:p w14:paraId="0358232C">
      <w:pPr>
        <w:spacing w:line="360" w:lineRule="auto"/>
        <w:ind w:firstLine="495"/>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0.2.确认为小微企业（含小型、微型企业，下同）投标的，应当同时符合以下条件：</w:t>
      </w:r>
    </w:p>
    <w:p w14:paraId="25A47068">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0.2.1符合国务院有关部门根据企业从业人员、营业收入、资产总额等指标制定的中小企业划型标准</w:t>
      </w:r>
      <w:r>
        <w:rPr>
          <w:rFonts w:hint="eastAsia" w:ascii="宋体" w:hAnsi="宋体" w:eastAsia="宋体" w:cs="宋体"/>
          <w:color w:val="auto"/>
          <w:spacing w:val="4"/>
          <w:sz w:val="24"/>
          <w:highlight w:val="none"/>
          <w:lang w:eastAsia="zh-CN"/>
        </w:rPr>
        <w:t>《工业和信息化部、国家统计局、国家发展和改革委员会、财政部关于印发中小企业划型标准规定的通知》（工信部联企业〔2011〕300号）</w:t>
      </w:r>
      <w:r>
        <w:rPr>
          <w:rFonts w:hint="eastAsia" w:ascii="宋体" w:hAnsi="宋体" w:eastAsia="宋体" w:cs="宋体"/>
          <w:color w:val="auto"/>
          <w:spacing w:val="4"/>
          <w:sz w:val="24"/>
          <w:highlight w:val="none"/>
        </w:rPr>
        <w:t>；</w:t>
      </w:r>
    </w:p>
    <w:p w14:paraId="077559E8">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0.2.2符合财政部关于印发《政府采购促进中小企业发展管理办法》的通知（财库【2020】46号）；</w:t>
      </w:r>
    </w:p>
    <w:p w14:paraId="795B4774">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0.2.2.1在货物采购项目中，货物由中小企业制造，即货物由中小企业生产且使用该中小企业商号或者注册商标；</w:t>
      </w:r>
    </w:p>
    <w:p w14:paraId="3AB10D20">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0.2.2.2在工程采购项目中，工程由中小企业承接，即工程施工单位为中小企业；</w:t>
      </w:r>
    </w:p>
    <w:p w14:paraId="311D3694">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0.2.2.3在服务采购项目中，服务由中小企业承接，即提供服务的人员为中小企业依照《中华人民共和国劳动合同法》订立劳动合同的从业人员。</w:t>
      </w:r>
    </w:p>
    <w:p w14:paraId="31394BA4">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0.2.3在货物采购项目中，供应商提供的货物既有中小企业制造货物，也有大型企业制造货物的，不享受本项目列明的中小企业扶持政策。</w:t>
      </w:r>
    </w:p>
    <w:p w14:paraId="64D077DE">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0.2.4以联合体形式参加政府采购活动，联合体各方均为中小企业的，联合体视同中小企业。其中联合体各方均为小微企业的，联合体视同小微企业。</w:t>
      </w:r>
    </w:p>
    <w:p w14:paraId="74B698C2">
      <w:pPr>
        <w:spacing w:line="360" w:lineRule="auto"/>
        <w:ind w:left="1143" w:leftChars="249" w:hanging="620" w:hangingChars="25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0.2.5投标时须</w:t>
      </w:r>
      <w:r>
        <w:rPr>
          <w:rFonts w:hint="eastAsia" w:ascii="宋体" w:hAnsi="宋体" w:eastAsia="宋体" w:cs="宋体"/>
          <w:color w:val="auto"/>
          <w:sz w:val="24"/>
          <w:highlight w:val="none"/>
        </w:rPr>
        <w:t>提供“中小企业声明函”（中标单位如为小微企业并填写声明函，代理机构将在《陕西省政府采购网》发布</w:t>
      </w:r>
      <w:r>
        <w:rPr>
          <w:rFonts w:hint="eastAsia" w:ascii="宋体" w:hAnsi="宋体" w:eastAsia="宋体" w:cs="宋体"/>
          <w:color w:val="auto"/>
          <w:sz w:val="24"/>
          <w:highlight w:val="none"/>
          <w:lang w:eastAsia="zh-CN"/>
        </w:rPr>
        <w:t>成交公告</w:t>
      </w:r>
      <w:r>
        <w:rPr>
          <w:rFonts w:hint="eastAsia" w:ascii="宋体" w:hAnsi="宋体" w:eastAsia="宋体" w:cs="宋体"/>
          <w:color w:val="auto"/>
          <w:sz w:val="24"/>
          <w:highlight w:val="none"/>
        </w:rPr>
        <w:t>时同步公告声明函相关信息）。</w:t>
      </w:r>
    </w:p>
    <w:p w14:paraId="5271EAA0">
      <w:pPr>
        <w:spacing w:line="360" w:lineRule="auto"/>
        <w:ind w:left="1145" w:leftChars="249" w:hanging="622" w:hangingChars="250"/>
        <w:rPr>
          <w:rFonts w:hint="eastAsia" w:ascii="宋体" w:hAnsi="宋体" w:eastAsia="宋体" w:cs="宋体"/>
          <w:color w:val="auto"/>
          <w:sz w:val="24"/>
          <w:highlight w:val="none"/>
        </w:rPr>
      </w:pPr>
      <w:r>
        <w:rPr>
          <w:rFonts w:hint="eastAsia" w:ascii="宋体" w:hAnsi="宋体" w:eastAsia="宋体" w:cs="宋体"/>
          <w:b/>
          <w:bCs/>
          <w:color w:val="auto"/>
          <w:spacing w:val="4"/>
          <w:sz w:val="24"/>
          <w:highlight w:val="none"/>
          <w:lang w:val="en-US" w:eastAsia="zh-CN"/>
        </w:rPr>
        <w:t>30.2.6 专门面向</w:t>
      </w:r>
      <w:r>
        <w:rPr>
          <w:rFonts w:hint="eastAsia" w:eastAsia="宋体" w:cs="宋体"/>
          <w:b/>
          <w:bCs/>
          <w:color w:val="auto"/>
          <w:sz w:val="24"/>
          <w:highlight w:val="none"/>
          <w:lang w:val="en-US" w:eastAsia="zh-CN"/>
        </w:rPr>
        <w:t>中小企业采购的项目不再享受此项优惠政策。</w:t>
      </w:r>
    </w:p>
    <w:p w14:paraId="0DF6DD3E">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0.3.确认为监狱企业投标的，应当同时符合以下条件：</w:t>
      </w:r>
    </w:p>
    <w:p w14:paraId="5C1C59D3">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0.3.1符合</w:t>
      </w:r>
      <w:r>
        <w:rPr>
          <w:rFonts w:hint="eastAsia" w:ascii="宋体" w:hAnsi="宋体" w:eastAsia="宋体" w:cs="宋体"/>
          <w:color w:val="auto"/>
          <w:sz w:val="24"/>
          <w:highlight w:val="none"/>
          <w:lang w:eastAsia="zh-CN"/>
        </w:rPr>
        <w:t>《财政部、司法部关于政府采购支持监狱企业发展有关问题的通知》（财库[2014]68号）</w:t>
      </w:r>
      <w:r>
        <w:rPr>
          <w:rFonts w:hint="eastAsia" w:ascii="宋体" w:hAnsi="宋体" w:eastAsia="宋体" w:cs="宋体"/>
          <w:color w:val="auto"/>
          <w:sz w:val="24"/>
          <w:highlight w:val="none"/>
        </w:rPr>
        <w:t>文件规定的</w:t>
      </w:r>
      <w:r>
        <w:rPr>
          <w:rFonts w:hint="eastAsia" w:ascii="宋体" w:hAnsi="宋体" w:eastAsia="宋体" w:cs="宋体"/>
          <w:color w:val="auto"/>
          <w:spacing w:val="4"/>
          <w:sz w:val="24"/>
          <w:highlight w:val="none"/>
        </w:rPr>
        <w:t>监狱企业，提供本企业的服务。</w:t>
      </w:r>
    </w:p>
    <w:p w14:paraId="7A93AC20">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0.3.2投标时须提供由省级以上监狱管理局、戒毒管理局（含新疆生产建设兵团）出具的属于监狱企业的证明文件。</w:t>
      </w:r>
    </w:p>
    <w:p w14:paraId="06A96DCF">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0.4.确认为残疾人福利性单位投标的，应当同时符合以下条件：</w:t>
      </w:r>
    </w:p>
    <w:p w14:paraId="029F92ED">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0.4.1符合</w:t>
      </w:r>
      <w:r>
        <w:rPr>
          <w:rFonts w:hint="eastAsia" w:ascii="宋体" w:hAnsi="宋体" w:eastAsia="宋体" w:cs="宋体"/>
          <w:color w:val="auto"/>
          <w:spacing w:val="4"/>
          <w:sz w:val="24"/>
          <w:highlight w:val="none"/>
          <w:lang w:eastAsia="zh-CN"/>
        </w:rPr>
        <w:t>《财政部、民政部、中国残疾人联合会关于促进残疾人就业政府采购政策的通知》（财库[2017]141号）</w:t>
      </w:r>
      <w:r>
        <w:rPr>
          <w:rFonts w:hint="eastAsia" w:ascii="宋体" w:hAnsi="宋体" w:eastAsia="宋体" w:cs="宋体"/>
          <w:color w:val="auto"/>
          <w:spacing w:val="4"/>
          <w:sz w:val="24"/>
          <w:highlight w:val="none"/>
        </w:rPr>
        <w:t>文件规定的残疾人福利性单位，提供本单位的服务（以下简称产品），或者提供其他残疾人福利性单位承担的服务（不包括使用非残疾人福利性单位注册商标的服务）.</w:t>
      </w:r>
    </w:p>
    <w:p w14:paraId="49886649">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0.4.2投标时须提供《残疾人福利性单位声明函》，并对声明的真实性负责。</w:t>
      </w:r>
    </w:p>
    <w:p w14:paraId="1E6FAA34">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0.4.3供应商提供的《残疾人福利性单位声明函》与事实不符的，依照《政府采购法》第七十七条第一款的规定追究法律责任。</w:t>
      </w:r>
    </w:p>
    <w:p w14:paraId="2DFB977A">
      <w:pPr>
        <w:spacing w:line="360" w:lineRule="auto"/>
        <w:ind w:left="1019" w:leftChars="249" w:hanging="496" w:hangingChars="20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30.5. 符合《关于运用政府采购政策支持乡村产业振兴的通知》（财库〔2021〕19号）文件规定的投标产品或供应商：</w:t>
      </w:r>
    </w:p>
    <w:p w14:paraId="4A4F8658">
      <w:pPr>
        <w:spacing w:line="360" w:lineRule="auto"/>
        <w:ind w:left="1019" w:leftChars="249" w:hanging="496" w:hangingChars="20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30.5.1投标产品为贫困地区农副产品的评标价计算规则：其评标价=磋商报价*（1-5%）；</w:t>
      </w:r>
    </w:p>
    <w:p w14:paraId="7DB5AA45">
      <w:pPr>
        <w:spacing w:line="360" w:lineRule="auto"/>
        <w:ind w:left="1019" w:leftChars="249" w:hanging="496" w:hangingChars="20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30.5.1.1贫困地区农副产品是指832个国家级贫困县域内注册的企业、农民专业合作社、家庭农场等出产的农副产品。</w:t>
      </w:r>
    </w:p>
    <w:p w14:paraId="00EB6097">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w:t>
      </w:r>
      <w:r>
        <w:rPr>
          <w:rFonts w:hint="eastAsia" w:ascii="宋体" w:hAnsi="宋体" w:eastAsia="宋体" w:cs="宋体"/>
          <w:color w:val="auto"/>
          <w:spacing w:val="4"/>
          <w:sz w:val="24"/>
          <w:highlight w:val="none"/>
          <w:shd w:val="clear" w:color="auto" w:fill="FFFFFF"/>
        </w:rPr>
        <w:t>5.2供应商</w:t>
      </w:r>
      <w:r>
        <w:rPr>
          <w:rFonts w:hint="eastAsia" w:ascii="宋体" w:hAnsi="宋体" w:eastAsia="宋体" w:cs="宋体"/>
          <w:color w:val="auto"/>
          <w:spacing w:val="4"/>
          <w:sz w:val="24"/>
          <w:szCs w:val="22"/>
          <w:highlight w:val="none"/>
        </w:rPr>
        <w:t>为物业公司提供物业服务的评标价计算规则：其评标价=磋商报价*（1-5%）；</w:t>
      </w:r>
    </w:p>
    <w:p w14:paraId="5BFB4CDA">
      <w:pPr>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3</w:t>
      </w:r>
      <w:r>
        <w:rPr>
          <w:rFonts w:hint="eastAsia" w:ascii="宋体" w:hAnsi="宋体" w:eastAsia="宋体" w:cs="宋体"/>
          <w:color w:val="auto"/>
          <w:spacing w:val="4"/>
          <w:sz w:val="24"/>
          <w:highlight w:val="none"/>
        </w:rPr>
        <w:t>0.</w:t>
      </w:r>
      <w:r>
        <w:rPr>
          <w:rFonts w:hint="eastAsia" w:ascii="宋体" w:hAnsi="宋体" w:eastAsia="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w:t>
      </w:r>
      <w:r>
        <w:rPr>
          <w:rFonts w:hint="eastAsia" w:ascii="宋体" w:hAnsi="宋体" w:eastAsia="宋体" w:cs="宋体"/>
          <w:color w:val="auto"/>
          <w:spacing w:val="4"/>
          <w:sz w:val="24"/>
          <w:highlight w:val="none"/>
        </w:rPr>
        <w:t>以上的物业公司提供的物业服务。</w:t>
      </w:r>
    </w:p>
    <w:p w14:paraId="2B003BCE">
      <w:pPr>
        <w:pStyle w:val="3"/>
        <w:rPr>
          <w:rFonts w:hint="eastAsia" w:ascii="宋体" w:hAnsi="宋体" w:eastAsia="宋体" w:cs="宋体"/>
          <w:color w:val="auto"/>
          <w:highlight w:val="none"/>
        </w:rPr>
      </w:pPr>
    </w:p>
    <w:p w14:paraId="769B7712">
      <w:pPr>
        <w:pStyle w:val="6"/>
        <w:numPr>
          <w:ilvl w:val="0"/>
          <w:numId w:val="9"/>
        </w:numPr>
        <w:overflowPunct w:val="0"/>
        <w:adjustRightInd w:val="0"/>
        <w:snapToGrid w:val="0"/>
        <w:spacing w:line="360" w:lineRule="auto"/>
        <w:rPr>
          <w:rFonts w:hint="eastAsia" w:ascii="宋体" w:hAnsi="宋体" w:eastAsia="宋体" w:cs="宋体"/>
          <w:color w:val="auto"/>
          <w:sz w:val="24"/>
          <w:szCs w:val="24"/>
          <w:highlight w:val="none"/>
          <w:lang w:val="zh-CN"/>
        </w:rPr>
      </w:pPr>
      <w:bookmarkStart w:id="149" w:name="_Toc24359"/>
      <w:r>
        <w:rPr>
          <w:rFonts w:hint="eastAsia" w:ascii="宋体" w:hAnsi="宋体" w:eastAsia="宋体" w:cs="宋体"/>
          <w:color w:val="auto"/>
          <w:sz w:val="24"/>
          <w:szCs w:val="24"/>
          <w:highlight w:val="none"/>
          <w:lang w:val="zh-CN"/>
        </w:rPr>
        <w:t>信用融资</w:t>
      </w:r>
      <w:bookmarkEnd w:id="149"/>
    </w:p>
    <w:p w14:paraId="04381EF2">
      <w:pPr>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14:paraId="051468F3">
      <w:pPr>
        <w:wordWrap w:val="0"/>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融资政策链接：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"http://www.ccgp-shaanxi.gov.cn/zcdservice/zcd/shanxi/article/zcfg"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http://www.ccgp-shaanxi.gov.cn/zcdservice/zcd/shanxi/article/zcfg</w:t>
      </w:r>
      <w:r>
        <w:rPr>
          <w:rFonts w:hint="eastAsia" w:ascii="宋体" w:hAnsi="宋体" w:eastAsia="宋体" w:cs="宋体"/>
          <w:color w:val="auto"/>
          <w:sz w:val="24"/>
          <w:szCs w:val="24"/>
          <w:highlight w:val="none"/>
        </w:rPr>
        <w:fldChar w:fldCharType="end"/>
      </w:r>
    </w:p>
    <w:p w14:paraId="137170E3">
      <w:pPr>
        <w:keepNext w:val="0"/>
        <w:keepLines w:val="0"/>
        <w:pageBreakBefore w:val="0"/>
        <w:widowControl w:val="0"/>
        <w:kinsoku/>
        <w:wordWrap w:val="0"/>
        <w:overflowPunct/>
        <w:topLinePunct w:val="0"/>
        <w:autoSpaceDE/>
        <w:autoSpaceDN/>
        <w:bidi w:val="0"/>
        <w:adjustRightInd/>
        <w:snapToGrid/>
        <w:spacing w:line="360" w:lineRule="auto"/>
        <w:ind w:firstLine="496" w:firstLineChars="200"/>
        <w:jc w:val="left"/>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融资渠道链接：http://www.ccgp-shaanxi.gov.cn/zcdservice/zcd/shanxi/</w:t>
      </w:r>
    </w:p>
    <w:p w14:paraId="7FB51F1C">
      <w:pPr>
        <w:wordWrap w:val="0"/>
        <w:spacing w:line="360" w:lineRule="auto"/>
        <w:ind w:firstLine="496" w:firstLineChars="200"/>
        <w:jc w:val="left"/>
        <w:rPr>
          <w:rFonts w:hint="eastAsia" w:ascii="宋体" w:hAnsi="宋体" w:eastAsia="宋体" w:cs="宋体"/>
          <w:color w:val="auto"/>
          <w:spacing w:val="4"/>
          <w:sz w:val="24"/>
          <w:szCs w:val="20"/>
          <w:highlight w:val="none"/>
        </w:rPr>
      </w:pPr>
      <w:r>
        <w:rPr>
          <w:rFonts w:hint="eastAsia" w:ascii="宋体" w:hAnsi="宋体" w:eastAsia="宋体" w:cs="宋体"/>
          <w:color w:val="auto"/>
          <w:spacing w:val="4"/>
          <w:sz w:val="24"/>
          <w:szCs w:val="20"/>
          <w:highlight w:val="none"/>
        </w:rPr>
        <w:t>担保合作机构名单链接：http://xaczj.xa.gov.cn/zfcg/cgfg/5db9054565cbd804f69e97e0.html</w:t>
      </w:r>
    </w:p>
    <w:bookmarkEnd w:id="146"/>
    <w:bookmarkEnd w:id="147"/>
    <w:bookmarkEnd w:id="148"/>
    <w:p w14:paraId="3912F2B0">
      <w:pPr>
        <w:pStyle w:val="5"/>
        <w:spacing w:line="360" w:lineRule="auto"/>
        <w:jc w:val="center"/>
        <w:rPr>
          <w:rFonts w:hint="eastAsia" w:ascii="宋体" w:hAnsi="宋体" w:eastAsia="宋体" w:cs="宋体"/>
          <w:b w:val="0"/>
          <w:color w:val="auto"/>
          <w:sz w:val="44"/>
          <w:highlight w:val="none"/>
        </w:rPr>
      </w:pPr>
      <w:bookmarkStart w:id="150" w:name="_Toc283626507"/>
      <w:bookmarkStart w:id="151" w:name="_Toc332874424"/>
      <w:bookmarkStart w:id="152" w:name="_Toc423508255"/>
      <w:bookmarkStart w:id="153" w:name="_Toc283240491"/>
      <w:bookmarkStart w:id="154" w:name="_Toc311415606"/>
      <w:bookmarkStart w:id="155" w:name="_Toc5223"/>
      <w:bookmarkStart w:id="156" w:name="_Toc409684171"/>
      <w:r>
        <w:rPr>
          <w:rFonts w:hint="eastAsia" w:ascii="宋体" w:hAnsi="宋体" w:eastAsia="宋体" w:cs="宋体"/>
          <w:b w:val="0"/>
          <w:color w:val="auto"/>
          <w:sz w:val="44"/>
          <w:highlight w:val="none"/>
        </w:rPr>
        <w:t>F．授予合同</w:t>
      </w:r>
      <w:bookmarkEnd w:id="150"/>
      <w:bookmarkEnd w:id="151"/>
      <w:bookmarkEnd w:id="152"/>
      <w:bookmarkEnd w:id="153"/>
      <w:bookmarkEnd w:id="154"/>
      <w:bookmarkEnd w:id="155"/>
      <w:bookmarkEnd w:id="156"/>
    </w:p>
    <w:p w14:paraId="47B746C9">
      <w:pPr>
        <w:pStyle w:val="6"/>
        <w:adjustRightInd w:val="0"/>
        <w:snapToGrid w:val="0"/>
        <w:spacing w:line="360" w:lineRule="auto"/>
        <w:rPr>
          <w:rFonts w:hint="eastAsia" w:ascii="宋体" w:hAnsi="宋体" w:eastAsia="宋体" w:cs="宋体"/>
          <w:color w:val="auto"/>
          <w:sz w:val="24"/>
          <w:szCs w:val="24"/>
          <w:highlight w:val="none"/>
        </w:rPr>
      </w:pPr>
      <w:bookmarkStart w:id="157" w:name="_Toc311415607"/>
      <w:bookmarkStart w:id="158" w:name="_Toc423508256"/>
      <w:bookmarkStart w:id="159" w:name="_Toc24042"/>
      <w:r>
        <w:rPr>
          <w:rFonts w:hint="eastAsia" w:ascii="宋体" w:hAnsi="宋体" w:eastAsia="宋体" w:cs="宋体"/>
          <w:color w:val="auto"/>
          <w:sz w:val="24"/>
          <w:szCs w:val="24"/>
          <w:highlight w:val="none"/>
        </w:rPr>
        <w:t>32．</w:t>
      </w:r>
      <w:bookmarkEnd w:id="157"/>
      <w:r>
        <w:rPr>
          <w:rFonts w:hint="eastAsia" w:ascii="宋体" w:hAnsi="宋体" w:eastAsia="宋体" w:cs="宋体"/>
          <w:color w:val="auto"/>
          <w:sz w:val="24"/>
          <w:szCs w:val="24"/>
          <w:highlight w:val="none"/>
        </w:rPr>
        <w:t>供应商确定及合同授予</w:t>
      </w:r>
      <w:bookmarkEnd w:id="158"/>
      <w:bookmarkEnd w:id="159"/>
    </w:p>
    <w:p w14:paraId="77BAFC3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32.1采购代理机构应在评审结束后2个工作日内，将评审报告送采购人确认。</w:t>
      </w:r>
    </w:p>
    <w:p w14:paraId="0265A65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32.2采购人在收到评审报告后5个工作日内，根据评审报告对评审过程及结果进行严格审核后确定成交供应商，复函采购代理机构。</w:t>
      </w:r>
    </w:p>
    <w:p w14:paraId="7732EF5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32.3采购代理机构在接到采购人的成交供应商复函后，在财政部门指定的政府采购信息发布媒体上公告，并向成交供应商发《成交通知书》。</w:t>
      </w:r>
    </w:p>
    <w:p w14:paraId="4600CE51">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32.4采购代理机构向成交供应商发出《成交通知书》，对于其他未成交供应商，将在保证金有效期内无息退还其磋商保证金。</w:t>
      </w:r>
    </w:p>
    <w:p w14:paraId="7366633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32.5《成交通知书》将作为签订合同的依据，磋商文件、成交供应商的响应文件和补充文件（如澄清、承诺等）等，均为有法律约束力的经济合同组成的一部分。</w:t>
      </w:r>
    </w:p>
    <w:p w14:paraId="212B622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32.6《成交通知书》发出30天内，如果已成交的供应商不能按响应文件，包括补充文件（如澄清、承诺等）中承诺的条件履行签约行为，采购人有权取消其成交资格，并扣除其磋商保证金。</w:t>
      </w:r>
    </w:p>
    <w:p w14:paraId="4CC1CBB6">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32.7成交供应商如果因不可抗力或自身原因不能履行采购合同，采购人可与排位在成交供应商之后第一位的成交候选供应商签订采购合同，以此类推。</w:t>
      </w:r>
    </w:p>
    <w:p w14:paraId="6FFF840B">
      <w:pPr>
        <w:pStyle w:val="6"/>
        <w:adjustRightInd w:val="0"/>
        <w:snapToGrid w:val="0"/>
        <w:spacing w:line="360" w:lineRule="auto"/>
        <w:rPr>
          <w:rFonts w:hint="eastAsia" w:ascii="宋体" w:hAnsi="宋体" w:eastAsia="宋体" w:cs="宋体"/>
          <w:color w:val="auto"/>
          <w:sz w:val="24"/>
          <w:szCs w:val="24"/>
          <w:highlight w:val="none"/>
        </w:rPr>
      </w:pPr>
      <w:bookmarkStart w:id="160" w:name="_Toc10508"/>
      <w:bookmarkStart w:id="161" w:name="_Toc311415609"/>
      <w:bookmarkStart w:id="162" w:name="_Toc423508257"/>
      <w:r>
        <w:rPr>
          <w:rFonts w:hint="eastAsia" w:ascii="宋体" w:hAnsi="宋体" w:eastAsia="宋体" w:cs="宋体"/>
          <w:color w:val="auto"/>
          <w:sz w:val="24"/>
          <w:szCs w:val="24"/>
          <w:highlight w:val="none"/>
        </w:rPr>
        <w:t>33．接受和拒绝任何或所有磋商的</w:t>
      </w:r>
      <w:r>
        <w:rPr>
          <w:rFonts w:hint="eastAsia" w:ascii="宋体" w:hAnsi="宋体" w:eastAsia="宋体" w:cs="宋体"/>
          <w:color w:val="auto"/>
          <w:sz w:val="24"/>
          <w:szCs w:val="24"/>
          <w:highlight w:val="none"/>
          <w:lang w:val="en-US" w:eastAsia="zh-CN"/>
        </w:rPr>
        <w:t>权利</w:t>
      </w:r>
      <w:bookmarkEnd w:id="160"/>
      <w:bookmarkEnd w:id="161"/>
      <w:bookmarkEnd w:id="162"/>
    </w:p>
    <w:p w14:paraId="3966DB6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采购代理机构和采购人保留在授标之前任何时候接受或拒绝任何磋商，以及宣布磋商程序无效或拒绝所有磋商的</w:t>
      </w:r>
      <w:r>
        <w:rPr>
          <w:rFonts w:hint="eastAsia" w:ascii="宋体" w:hAnsi="宋体" w:eastAsia="宋体" w:cs="宋体"/>
          <w:color w:val="auto"/>
          <w:sz w:val="24"/>
          <w:highlight w:val="none"/>
          <w:lang w:val="en-US" w:eastAsia="zh-CN"/>
        </w:rPr>
        <w:t>权利</w:t>
      </w:r>
      <w:r>
        <w:rPr>
          <w:rFonts w:hint="eastAsia" w:ascii="宋体" w:hAnsi="宋体" w:eastAsia="宋体" w:cs="宋体"/>
          <w:color w:val="auto"/>
          <w:sz w:val="24"/>
          <w:highlight w:val="none"/>
        </w:rPr>
        <w:t>，对受影响的供应商不承担任何责任，也无义务向受影响的供应商解释采取这一行动的理由。</w:t>
      </w:r>
    </w:p>
    <w:p w14:paraId="7D74BAE9">
      <w:pPr>
        <w:pStyle w:val="6"/>
        <w:adjustRightInd w:val="0"/>
        <w:snapToGrid w:val="0"/>
        <w:spacing w:line="360" w:lineRule="auto"/>
        <w:rPr>
          <w:rFonts w:hint="eastAsia" w:ascii="宋体" w:hAnsi="宋体" w:eastAsia="宋体" w:cs="宋体"/>
          <w:color w:val="auto"/>
          <w:sz w:val="24"/>
          <w:szCs w:val="24"/>
          <w:highlight w:val="none"/>
        </w:rPr>
      </w:pPr>
      <w:bookmarkStart w:id="163" w:name="_Toc26201"/>
      <w:bookmarkStart w:id="164" w:name="_Toc423508259"/>
      <w:bookmarkStart w:id="165" w:name="_Toc311415613"/>
      <w:r>
        <w:rPr>
          <w:rFonts w:hint="eastAsia" w:ascii="宋体" w:hAnsi="宋体" w:eastAsia="宋体" w:cs="宋体"/>
          <w:color w:val="auto"/>
          <w:sz w:val="24"/>
          <w:szCs w:val="24"/>
          <w:highlight w:val="none"/>
        </w:rPr>
        <w:t>34．腐败和欺诈行为</w:t>
      </w:r>
      <w:bookmarkEnd w:id="163"/>
      <w:bookmarkEnd w:id="164"/>
      <w:bookmarkEnd w:id="165"/>
    </w:p>
    <w:p w14:paraId="6171AD2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 定义</w:t>
      </w:r>
    </w:p>
    <w:p w14:paraId="2C5AD75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 “腐败行为”是指提供给予接受或索取任何有价值的东西来影响采购代理机构和/或采购人在采购过程或合同实施过程中的行为。</w:t>
      </w:r>
    </w:p>
    <w:p w14:paraId="767F84D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 “欺诈行为”是指为了影响采购过程或合同实施过程而谎报事实，损害采购代理机构和/或采购人的利益，包括供应商之间相互串通（递交响应文件之前和之后），人为地使磋商丧失竞争性，剥夺采购人从自由公开竞争所能获得的权益。</w:t>
      </w:r>
    </w:p>
    <w:p w14:paraId="7503D84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34.2如果采购代理机构和采购人认为供应商在本项目的竞争中有腐败或欺诈行为，其磋商将被拒绝。</w:t>
      </w:r>
    </w:p>
    <w:p w14:paraId="74728DF0">
      <w:pPr>
        <w:pStyle w:val="6"/>
        <w:adjustRightInd w:val="0"/>
        <w:snapToGrid w:val="0"/>
        <w:spacing w:line="360" w:lineRule="auto"/>
        <w:rPr>
          <w:rFonts w:hint="eastAsia" w:ascii="宋体" w:hAnsi="宋体" w:eastAsia="宋体" w:cs="宋体"/>
          <w:color w:val="auto"/>
          <w:sz w:val="24"/>
          <w:szCs w:val="24"/>
          <w:highlight w:val="none"/>
        </w:rPr>
      </w:pPr>
      <w:bookmarkStart w:id="166" w:name="_Toc20807"/>
      <w:bookmarkStart w:id="167" w:name="_Toc423508260"/>
      <w:r>
        <w:rPr>
          <w:rFonts w:hint="eastAsia" w:ascii="宋体" w:hAnsi="宋体" w:eastAsia="宋体" w:cs="宋体"/>
          <w:color w:val="auto"/>
          <w:sz w:val="24"/>
          <w:szCs w:val="24"/>
          <w:highlight w:val="none"/>
        </w:rPr>
        <w:t>35. 招标代理服务费</w:t>
      </w:r>
      <w:bookmarkEnd w:id="58"/>
      <w:bookmarkEnd w:id="59"/>
      <w:bookmarkEnd w:id="60"/>
      <w:bookmarkEnd w:id="166"/>
      <w:bookmarkEnd w:id="167"/>
    </w:p>
    <w:bookmarkEnd w:id="12"/>
    <w:bookmarkEnd w:id="13"/>
    <w:bookmarkEnd w:id="14"/>
    <w:bookmarkEnd w:id="15"/>
    <w:bookmarkEnd w:id="16"/>
    <w:bookmarkEnd w:id="17"/>
    <w:bookmarkEnd w:id="18"/>
    <w:p w14:paraId="62BD2F08">
      <w:pPr>
        <w:spacing w:line="360" w:lineRule="auto"/>
        <w:rPr>
          <w:rFonts w:hint="default" w:ascii="宋体" w:hAnsi="宋体" w:eastAsia="宋体" w:cs="宋体"/>
          <w:color w:val="auto"/>
          <w:sz w:val="24"/>
          <w:highlight w:val="none"/>
          <w:lang w:val="en-US" w:eastAsia="zh-CN"/>
        </w:rPr>
      </w:pPr>
      <w:bookmarkStart w:id="168" w:name="_Toc416732664"/>
      <w:bookmarkStart w:id="169" w:name="_Toc438047763"/>
      <w:bookmarkStart w:id="170" w:name="_Toc23791"/>
      <w:bookmarkStart w:id="171" w:name="_Toc246928960"/>
      <w:bookmarkStart w:id="172" w:name="_Toc385992402"/>
      <w:bookmarkStart w:id="173" w:name="_Toc497712134"/>
      <w:bookmarkStart w:id="174" w:name="_Toc492955460"/>
      <w:bookmarkStart w:id="175" w:name="_Toc497546919"/>
      <w:bookmarkStart w:id="176" w:name="_Toc389620242"/>
      <w:bookmarkStart w:id="177" w:name="_Toc497551821"/>
      <w:bookmarkStart w:id="178" w:name="_Toc497711586"/>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招标代理服务费</w:t>
      </w:r>
      <w:r>
        <w:rPr>
          <w:rFonts w:hint="eastAsia" w:ascii="宋体" w:hAnsi="宋体" w:cs="宋体"/>
          <w:color w:val="auto"/>
          <w:sz w:val="24"/>
          <w:highlight w:val="none"/>
          <w:lang w:val="en-US" w:eastAsia="zh-CN"/>
        </w:rPr>
        <w:t>的收取金额和依据详见磋商须知前附表。</w:t>
      </w:r>
    </w:p>
    <w:p w14:paraId="2A546B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.2成交供应商</w:t>
      </w:r>
      <w:r>
        <w:rPr>
          <w:rFonts w:hint="eastAsia" w:ascii="宋体" w:hAnsi="宋体" w:cs="宋体"/>
          <w:color w:val="auto"/>
          <w:sz w:val="24"/>
          <w:highlight w:val="none"/>
          <w:lang w:val="en-US" w:eastAsia="zh-CN"/>
        </w:rPr>
        <w:t>在领取成交通知书前</w:t>
      </w:r>
      <w:r>
        <w:rPr>
          <w:rFonts w:hint="eastAsia" w:ascii="宋体" w:hAnsi="宋体" w:eastAsia="宋体" w:cs="宋体"/>
          <w:color w:val="auto"/>
          <w:sz w:val="24"/>
          <w:highlight w:val="none"/>
        </w:rPr>
        <w:t>应向招标代理机构交纳招标代理服务费。</w:t>
      </w:r>
    </w:p>
    <w:p w14:paraId="57720880">
      <w:pPr>
        <w:spacing w:line="360" w:lineRule="auto"/>
        <w:rPr>
          <w:rFonts w:hint="eastAsia" w:ascii="宋体" w:hAnsi="宋体" w:eastAsia="宋体" w:cs="宋体"/>
          <w:color w:val="auto"/>
          <w:sz w:val="24"/>
          <w:highlight w:val="none"/>
        </w:rPr>
      </w:pPr>
    </w:p>
    <w:p w14:paraId="33575F1F">
      <w:pPr>
        <w:pStyle w:val="4"/>
        <w:adjustRightInd w:val="0"/>
        <w:snapToGrid w:val="0"/>
        <w:spacing w:line="360" w:lineRule="auto"/>
        <w:jc w:val="center"/>
        <w:rPr>
          <w:rFonts w:hint="eastAsia" w:ascii="宋体" w:hAnsi="宋体" w:eastAsia="宋体" w:cs="宋体"/>
          <w:color w:val="auto"/>
          <w:sz w:val="32"/>
          <w:szCs w:val="32"/>
          <w:highlight w:val="none"/>
        </w:rPr>
        <w:sectPr>
          <w:footerReference r:id="rId11" w:type="first"/>
          <w:footerReference r:id="rId10" w:type="default"/>
          <w:footnotePr>
            <w:pos w:val="beneathText"/>
          </w:footnotePr>
          <w:pgSz w:w="11906" w:h="16838"/>
          <w:pgMar w:top="1440" w:right="1644" w:bottom="1219" w:left="1644" w:header="850" w:footer="992" w:gutter="0"/>
          <w:pgNumType w:fmt="decimal"/>
          <w:cols w:space="720" w:num="1"/>
          <w:titlePg/>
          <w:docGrid w:linePitch="312" w:charSpace="0"/>
        </w:sectPr>
      </w:pPr>
    </w:p>
    <w:p w14:paraId="6E123D5C">
      <w:pPr>
        <w:pStyle w:val="4"/>
        <w:adjustRightInd w:val="0"/>
        <w:snapToGrid w:val="0"/>
        <w:spacing w:line="360" w:lineRule="auto"/>
        <w:jc w:val="center"/>
        <w:rPr>
          <w:rFonts w:hint="eastAsia" w:ascii="宋体" w:hAnsi="宋体" w:eastAsia="宋体" w:cs="宋体"/>
          <w:color w:val="auto"/>
          <w:sz w:val="32"/>
          <w:szCs w:val="32"/>
          <w:highlight w:val="none"/>
        </w:rPr>
      </w:pPr>
      <w:bookmarkStart w:id="179" w:name="_Toc27433"/>
      <w:bookmarkStart w:id="180" w:name="_Toc26722"/>
      <w:bookmarkStart w:id="181" w:name="_Toc28844"/>
      <w:r>
        <w:rPr>
          <w:rFonts w:hint="eastAsia" w:ascii="宋体" w:hAnsi="宋体" w:eastAsia="宋体" w:cs="宋体"/>
          <w:color w:val="auto"/>
          <w:sz w:val="32"/>
          <w:szCs w:val="32"/>
          <w:highlight w:val="none"/>
        </w:rPr>
        <w:t>第四部分</w:t>
      </w:r>
      <w:bookmarkStart w:id="182" w:name="_Toc246928931"/>
      <w:r>
        <w:rPr>
          <w:rFonts w:hint="eastAsia" w:ascii="宋体" w:hAnsi="宋体" w:eastAsia="宋体" w:cs="宋体"/>
          <w:color w:val="auto"/>
          <w:sz w:val="32"/>
          <w:szCs w:val="32"/>
          <w:highlight w:val="none"/>
        </w:rPr>
        <w:t xml:space="preserve">  合同</w:t>
      </w:r>
      <w:bookmarkEnd w:id="182"/>
      <w:r>
        <w:rPr>
          <w:rFonts w:hint="eastAsia" w:ascii="宋体" w:hAnsi="宋体" w:eastAsia="宋体" w:cs="宋体"/>
          <w:color w:val="auto"/>
          <w:sz w:val="32"/>
          <w:szCs w:val="32"/>
          <w:highlight w:val="none"/>
        </w:rPr>
        <w:t>格式</w:t>
      </w:r>
      <w:bookmarkEnd w:id="168"/>
      <w:bookmarkEnd w:id="169"/>
      <w:bookmarkEnd w:id="170"/>
      <w:bookmarkEnd w:id="179"/>
      <w:bookmarkEnd w:id="180"/>
      <w:bookmarkEnd w:id="181"/>
    </w:p>
    <w:p w14:paraId="7A01FEB7">
      <w:pPr>
        <w:spacing w:before="120" w:line="360" w:lineRule="auto"/>
        <w:jc w:val="center"/>
        <w:rPr>
          <w:rFonts w:hint="eastAsia" w:ascii="宋体" w:hAnsi="宋体" w:eastAsia="宋体" w:cs="宋体"/>
          <w:color w:val="auto"/>
          <w:sz w:val="28"/>
          <w:szCs w:val="28"/>
          <w:highlight w:val="none"/>
        </w:rPr>
      </w:pPr>
    </w:p>
    <w:p w14:paraId="5A40BFE6">
      <w:pPr>
        <w:spacing w:before="1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 府 采 购 合 同</w:t>
      </w:r>
    </w:p>
    <w:p w14:paraId="391CE1E1">
      <w:pPr>
        <w:spacing w:before="120" w:line="360" w:lineRule="auto"/>
        <w:jc w:val="center"/>
        <w:rPr>
          <w:rFonts w:hint="eastAsia" w:ascii="宋体" w:hAnsi="宋体" w:eastAsia="宋体" w:cs="宋体"/>
          <w:color w:val="auto"/>
          <w:sz w:val="28"/>
          <w:szCs w:val="28"/>
          <w:highlight w:val="none"/>
        </w:rPr>
      </w:pPr>
    </w:p>
    <w:p w14:paraId="5F8FFA9F">
      <w:pPr>
        <w:spacing w:before="120" w:line="360" w:lineRule="auto"/>
        <w:ind w:firstLine="6860" w:firstLineChars="2450"/>
        <w:rPr>
          <w:rFonts w:hint="eastAsia" w:ascii="宋体" w:hAnsi="宋体" w:eastAsia="宋体" w:cs="宋体"/>
          <w:color w:val="auto"/>
          <w:sz w:val="28"/>
          <w:szCs w:val="28"/>
          <w:highlight w:val="none"/>
        </w:rPr>
      </w:pPr>
      <w:bookmarkStart w:id="183" w:name="_Toc109543216"/>
      <w:bookmarkStart w:id="184" w:name="_Toc109542396"/>
      <w:r>
        <w:rPr>
          <w:rFonts w:hint="eastAsia" w:ascii="宋体" w:hAnsi="宋体" w:eastAsia="宋体" w:cs="宋体"/>
          <w:color w:val="auto"/>
          <w:sz w:val="28"/>
          <w:szCs w:val="28"/>
          <w:highlight w:val="none"/>
        </w:rPr>
        <w:t>合同编号：</w:t>
      </w:r>
      <w:bookmarkEnd w:id="183"/>
      <w:bookmarkEnd w:id="184"/>
    </w:p>
    <w:p w14:paraId="103245D9">
      <w:pPr>
        <w:pStyle w:val="10"/>
        <w:spacing w:before="120" w:line="360" w:lineRule="auto"/>
        <w:ind w:firstLine="0"/>
        <w:rPr>
          <w:rFonts w:hint="eastAsia" w:ascii="宋体" w:hAnsi="宋体" w:eastAsia="宋体" w:cs="宋体"/>
          <w:color w:val="auto"/>
          <w:sz w:val="28"/>
          <w:szCs w:val="28"/>
          <w:highlight w:val="none"/>
        </w:rPr>
      </w:pPr>
    </w:p>
    <w:p w14:paraId="0BE90830">
      <w:pPr>
        <w:spacing w:before="120" w:line="360" w:lineRule="auto"/>
        <w:rPr>
          <w:rFonts w:hint="eastAsia" w:ascii="宋体" w:hAnsi="宋体" w:eastAsia="宋体" w:cs="宋体"/>
          <w:color w:val="auto"/>
          <w:sz w:val="28"/>
          <w:szCs w:val="28"/>
          <w:highlight w:val="none"/>
        </w:rPr>
      </w:pPr>
    </w:p>
    <w:p w14:paraId="1EE9EE15">
      <w:pPr>
        <w:spacing w:before="120" w:line="360" w:lineRule="auto"/>
        <w:rPr>
          <w:rFonts w:hint="eastAsia" w:ascii="宋体" w:hAnsi="宋体" w:eastAsia="宋体" w:cs="宋体"/>
          <w:color w:val="auto"/>
          <w:sz w:val="28"/>
          <w:szCs w:val="28"/>
          <w:highlight w:val="none"/>
        </w:rPr>
      </w:pPr>
    </w:p>
    <w:p w14:paraId="6AB200F8">
      <w:pPr>
        <w:spacing w:before="120" w:line="360" w:lineRule="auto"/>
        <w:ind w:left="9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14:paraId="234111EB">
      <w:pPr>
        <w:spacing w:before="120" w:line="360" w:lineRule="auto"/>
        <w:ind w:left="960"/>
        <w:rPr>
          <w:rFonts w:hint="eastAsia" w:ascii="宋体" w:hAnsi="宋体" w:eastAsia="宋体" w:cs="宋体"/>
          <w:color w:val="auto"/>
          <w:sz w:val="28"/>
          <w:szCs w:val="28"/>
          <w:highlight w:val="none"/>
        </w:rPr>
      </w:pPr>
    </w:p>
    <w:p w14:paraId="2E6EA139">
      <w:pPr>
        <w:spacing w:line="360" w:lineRule="auto"/>
        <w:rPr>
          <w:rFonts w:hint="eastAsia" w:ascii="宋体" w:hAnsi="宋体" w:eastAsia="宋体" w:cs="宋体"/>
          <w:color w:val="auto"/>
          <w:sz w:val="28"/>
          <w:szCs w:val="28"/>
          <w:highlight w:val="none"/>
        </w:rPr>
      </w:pPr>
    </w:p>
    <w:p w14:paraId="2E5DC0DF">
      <w:pPr>
        <w:spacing w:before="120" w:line="360" w:lineRule="auto"/>
        <w:ind w:left="9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p w14:paraId="02DA701A">
      <w:pPr>
        <w:spacing w:before="120" w:line="360" w:lineRule="auto"/>
        <w:ind w:left="960"/>
        <w:rPr>
          <w:rFonts w:hint="eastAsia" w:ascii="宋体" w:hAnsi="宋体" w:eastAsia="宋体" w:cs="宋体"/>
          <w:color w:val="auto"/>
          <w:sz w:val="28"/>
          <w:szCs w:val="28"/>
          <w:highlight w:val="none"/>
        </w:rPr>
      </w:pPr>
    </w:p>
    <w:p w14:paraId="5441C08C">
      <w:pPr>
        <w:spacing w:before="120" w:line="360" w:lineRule="auto"/>
        <w:ind w:left="96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成交供应商：</w:t>
      </w:r>
    </w:p>
    <w:p w14:paraId="60EC294D">
      <w:pPr>
        <w:spacing w:before="120" w:line="360" w:lineRule="auto"/>
        <w:ind w:firstLine="840" w:firstLineChars="350"/>
        <w:rPr>
          <w:rFonts w:hint="eastAsia" w:ascii="宋体" w:hAnsi="宋体" w:eastAsia="宋体" w:cs="宋体"/>
          <w:color w:val="auto"/>
          <w:sz w:val="24"/>
          <w:highlight w:val="none"/>
        </w:rPr>
      </w:pPr>
    </w:p>
    <w:p w14:paraId="7D1FD5E9">
      <w:pPr>
        <w:spacing w:before="120" w:line="360" w:lineRule="auto"/>
        <w:ind w:firstLine="980" w:firstLineChars="350"/>
        <w:rPr>
          <w:rFonts w:hint="eastAsia" w:ascii="宋体" w:hAnsi="宋体" w:eastAsia="宋体" w:cs="宋体"/>
          <w:color w:val="auto"/>
          <w:sz w:val="28"/>
          <w:szCs w:val="28"/>
          <w:highlight w:val="none"/>
        </w:rPr>
      </w:pPr>
    </w:p>
    <w:p w14:paraId="2EB9A3AB">
      <w:pPr>
        <w:spacing w:line="360" w:lineRule="auto"/>
        <w:ind w:firstLine="980" w:firstLineChars="350"/>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签署日期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051A414A">
      <w:pPr>
        <w:spacing w:line="360" w:lineRule="auto"/>
        <w:rPr>
          <w:rFonts w:hint="eastAsia" w:ascii="宋体" w:hAnsi="宋体" w:eastAsia="宋体" w:cs="宋体"/>
          <w:color w:val="auto"/>
          <w:highlight w:val="none"/>
        </w:rPr>
      </w:pPr>
    </w:p>
    <w:p w14:paraId="6A4A07CF">
      <w:pPr>
        <w:spacing w:line="360" w:lineRule="auto"/>
        <w:jc w:val="center"/>
        <w:rPr>
          <w:rFonts w:hint="eastAsia" w:ascii="宋体" w:hAnsi="宋体" w:eastAsia="宋体" w:cs="宋体"/>
          <w:b/>
          <w:color w:val="auto"/>
          <w:sz w:val="28"/>
          <w:szCs w:val="28"/>
          <w:highlight w:val="none"/>
        </w:rPr>
      </w:pPr>
      <w:bookmarkStart w:id="185" w:name="_Toc31322"/>
      <w:r>
        <w:rPr>
          <w:rFonts w:hint="eastAsia" w:ascii="宋体" w:hAnsi="宋体" w:eastAsia="宋体" w:cs="宋体"/>
          <w:b/>
          <w:color w:val="auto"/>
          <w:sz w:val="28"/>
          <w:szCs w:val="28"/>
          <w:highlight w:val="none"/>
        </w:rPr>
        <w:t>（参考格式）</w:t>
      </w:r>
    </w:p>
    <w:p w14:paraId="4CB5BCCD">
      <w:pPr>
        <w:spacing w:before="230" w:beforeLines="50"/>
        <w:jc w:val="center"/>
        <w:rPr>
          <w:rFonts w:hint="eastAsia" w:ascii="宋体" w:hAnsi="宋体" w:eastAsia="宋体" w:cs="宋体"/>
          <w:b/>
          <w:snapToGrid w:val="0"/>
          <w:color w:val="auto"/>
          <w:kern w:val="0"/>
          <w:sz w:val="32"/>
          <w:szCs w:val="32"/>
          <w:highlight w:val="none"/>
          <w:u w:val="none"/>
        </w:rPr>
      </w:pPr>
      <w:r>
        <w:rPr>
          <w:rFonts w:hint="eastAsia" w:ascii="宋体" w:hAnsi="宋体" w:eastAsia="宋体" w:cs="宋体"/>
          <w:b/>
          <w:snapToGrid w:val="0"/>
          <w:color w:val="auto"/>
          <w:kern w:val="0"/>
          <w:sz w:val="32"/>
          <w:szCs w:val="32"/>
          <w:highlight w:val="none"/>
          <w:u w:val="none"/>
        </w:rPr>
        <w:t>合同主要条款及内容</w:t>
      </w:r>
    </w:p>
    <w:p w14:paraId="646F1EC7">
      <w:pPr>
        <w:spacing w:before="230" w:beforeLines="50"/>
        <w:ind w:firstLine="420" w:firstLineChars="200"/>
        <w:jc w:val="both"/>
        <w:rPr>
          <w:rFonts w:hint="default" w:asciiTheme="minorHAnsi" w:hAnsiTheme="minorHAnsi" w:eastAsiaTheme="minorEastAsia" w:cstheme="minorBidi"/>
          <w:b/>
          <w:bCs/>
          <w:kern w:val="2"/>
          <w:sz w:val="24"/>
          <w:szCs w:val="24"/>
          <w:lang w:val="en-US" w:eastAsia="zh-CN" w:bidi="ar-SA"/>
        </w:rPr>
      </w:pPr>
      <w:r>
        <w:rPr>
          <w:b/>
        </w:rPr>
        <w:t>甲方</w:t>
      </w:r>
      <w:r>
        <w:rPr>
          <w:rFonts w:hint="eastAsia"/>
          <w:b/>
          <w:lang w:eastAsia="zh-CN"/>
        </w:rPr>
        <w:t>（</w:t>
      </w:r>
      <w:r>
        <w:rPr>
          <w:rFonts w:hint="eastAsia"/>
          <w:b/>
          <w:lang w:val="en-US" w:eastAsia="zh-CN"/>
        </w:rPr>
        <w:t>采购人或者其指定的主体</w:t>
      </w:r>
      <w:r>
        <w:rPr>
          <w:rFonts w:hint="eastAsia"/>
          <w:b/>
          <w:lang w:eastAsia="zh-CN"/>
        </w:rPr>
        <w:t>）</w:t>
      </w:r>
      <w:r>
        <w:rPr>
          <w:rFonts w:cs="Times New Roman" w:asciiTheme="minorHAnsi" w:hAnsiTheme="minorHAnsi" w:eastAsiaTheme="minorEastAsia"/>
          <w:kern w:val="2"/>
          <w:sz w:val="24"/>
          <w:szCs w:val="24"/>
          <w:lang w:val="en-US" w:eastAsia="zh-CN" w:bidi="ar-SA"/>
        </w:rPr>
        <w:t>：</w:t>
      </w:r>
      <w:r>
        <w:rPr>
          <w:rFonts w:hint="eastAsia"/>
          <w:b w:val="0"/>
          <w:bCs/>
          <w:u w:val="single"/>
          <w:lang w:val="en-US" w:eastAsia="zh-CN"/>
        </w:rPr>
        <w:t>陕西省西咸新区开发建设管理委员会</w:t>
      </w:r>
      <w:r>
        <w:rPr>
          <w:rFonts w:hint="eastAsia"/>
          <w:b/>
          <w:u w:val="single"/>
          <w:lang w:val="en-US" w:eastAsia="zh-CN"/>
        </w:rPr>
        <w:t xml:space="preserve">   </w:t>
      </w:r>
      <w:r>
        <w:rPr>
          <w:rFonts w:hint="eastAsia" w:cs="Times New Roman" w:asciiTheme="minorHAnsi" w:hAnsiTheme="minorHAnsi" w:eastAsiaTheme="minorEastAsia"/>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 xml:space="preserve">  </w:t>
      </w:r>
    </w:p>
    <w:p w14:paraId="3D43D673">
      <w:pPr>
        <w:ind w:firstLine="420" w:firstLineChars="200"/>
        <w:jc w:val="both"/>
        <w:rPr>
          <w:b/>
          <w:u w:val="single"/>
        </w:rPr>
      </w:pPr>
      <w:r>
        <w:rPr>
          <w:b/>
          <w:bCs/>
        </w:rPr>
        <w:t>乙方（成交供应商）：</w:t>
      </w:r>
      <w:r>
        <w:rPr>
          <w:b/>
          <w:bCs/>
          <w:u w:val="single"/>
        </w:rPr>
        <w:t>_____________</w:t>
      </w:r>
      <w:r>
        <w:rPr>
          <w:b/>
          <w:u w:val="single"/>
        </w:rPr>
        <w:t>____</w:t>
      </w:r>
    </w:p>
    <w:p w14:paraId="43F1347B">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cs="Calibri Light" w:asciiTheme="minorHAnsi" w:hAnsiTheme="minorHAnsi" w:eastAsiaTheme="minorEastAsia"/>
          <w:b/>
          <w:sz w:val="24"/>
          <w:szCs w:val="24"/>
        </w:rPr>
      </w:pPr>
      <w:r>
        <w:rPr>
          <w:rFonts w:cs="Calibri Light" w:asciiTheme="minorHAnsi" w:hAnsiTheme="minorHAnsi" w:eastAsiaTheme="minorEastAsia"/>
          <w:b/>
          <w:sz w:val="24"/>
          <w:szCs w:val="24"/>
        </w:rPr>
        <w:t>一、服务条件：</w:t>
      </w:r>
    </w:p>
    <w:p w14:paraId="50CF8B1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0415329A">
      <w:pPr>
        <w:pStyle w:val="40"/>
        <w:spacing w:line="240" w:lineRule="auto"/>
        <w:ind w:firstLine="480" w:firstLineChars="200"/>
        <w:jc w:val="both"/>
        <w:rPr>
          <w:rFonts w:asciiTheme="minorHAnsi" w:hAnsiTheme="minorHAnsi" w:eastAsiaTheme="minorEastAsia"/>
          <w:sz w:val="24"/>
          <w:szCs w:val="24"/>
          <w:highlight w:val="none"/>
        </w:rPr>
      </w:pPr>
      <w:r>
        <w:rPr>
          <w:rFonts w:asciiTheme="minorHAnsi" w:hAnsiTheme="minorHAnsi" w:eastAsiaTheme="minorEastAsia"/>
          <w:sz w:val="24"/>
          <w:szCs w:val="24"/>
        </w:rPr>
        <w:t>（二）服务</w:t>
      </w:r>
      <w:r>
        <w:rPr>
          <w:rFonts w:asciiTheme="minorHAnsi" w:hAnsiTheme="minorHAnsi" w:eastAsiaTheme="minorEastAsia"/>
          <w:sz w:val="24"/>
          <w:szCs w:val="24"/>
          <w:highlight w:val="none"/>
        </w:rPr>
        <w:t>内容：见本项目磋商文件</w:t>
      </w:r>
    </w:p>
    <w:p w14:paraId="1BED8B35">
      <w:pPr>
        <w:pStyle w:val="40"/>
        <w:spacing w:line="240" w:lineRule="auto"/>
        <w:ind w:firstLine="480" w:firstLineChars="200"/>
        <w:jc w:val="both"/>
        <w:rPr>
          <w:rFonts w:asciiTheme="minorHAnsi" w:hAnsiTheme="minorHAnsi" w:eastAsiaTheme="minorEastAsia"/>
          <w:sz w:val="24"/>
          <w:szCs w:val="24"/>
          <w:highlight w:val="none"/>
        </w:rPr>
      </w:pPr>
      <w:r>
        <w:rPr>
          <w:rFonts w:asciiTheme="minorHAnsi" w:hAnsiTheme="minorHAnsi" w:eastAsiaTheme="minorEastAsia"/>
          <w:sz w:val="24"/>
          <w:szCs w:val="24"/>
          <w:highlight w:val="none"/>
        </w:rPr>
        <w:t>（三）服务期：</w:t>
      </w:r>
      <w:r>
        <w:rPr>
          <w:rFonts w:hint="eastAsia" w:asciiTheme="minorHAnsi" w:hAnsiTheme="minorHAnsi" w:eastAsiaTheme="minorEastAsia"/>
          <w:sz w:val="24"/>
          <w:szCs w:val="24"/>
          <w:highlight w:val="none"/>
          <w:lang w:val="en-US" w:eastAsia="zh-CN"/>
        </w:rPr>
        <w:t>自合同签订之日起一年。</w:t>
      </w:r>
    </w:p>
    <w:p w14:paraId="406C2F40">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cs="Calibri Light" w:asciiTheme="minorHAnsi" w:hAnsiTheme="minorHAnsi" w:eastAsiaTheme="minorEastAsia"/>
          <w:b/>
          <w:sz w:val="24"/>
          <w:szCs w:val="24"/>
          <w:highlight w:val="none"/>
        </w:rPr>
      </w:pPr>
      <w:r>
        <w:rPr>
          <w:rFonts w:cs="Calibri Light" w:asciiTheme="minorHAnsi" w:hAnsiTheme="minorHAnsi" w:eastAsiaTheme="minorEastAsia"/>
          <w:b/>
          <w:sz w:val="24"/>
          <w:szCs w:val="24"/>
          <w:highlight w:val="none"/>
        </w:rPr>
        <w:t>二、合同价款</w:t>
      </w:r>
    </w:p>
    <w:p w14:paraId="793E3B41">
      <w:pPr>
        <w:ind w:firstLine="480" w:firstLineChars="200"/>
        <w:jc w:val="both"/>
        <w:rPr>
          <w:rFonts w:asciiTheme="minorHAnsi" w:hAnsiTheme="minorHAnsi" w:eastAsiaTheme="minorEastAsia" w:cstheme="minorBidi"/>
          <w:kern w:val="2"/>
          <w:sz w:val="24"/>
          <w:szCs w:val="24"/>
          <w:highlight w:val="none"/>
          <w:lang w:val="en-US" w:eastAsia="zh-CN" w:bidi="ar-SA"/>
        </w:rPr>
      </w:pPr>
      <w:r>
        <w:rPr>
          <w:rFonts w:asciiTheme="minorHAnsi" w:hAnsiTheme="minorHAnsi" w:eastAsiaTheme="minorEastAsia" w:cstheme="minorBidi"/>
          <w:kern w:val="2"/>
          <w:sz w:val="24"/>
          <w:szCs w:val="24"/>
          <w:highlight w:val="none"/>
          <w:lang w:val="en-US" w:eastAsia="zh-CN" w:bidi="ar-SA"/>
        </w:rPr>
        <w:t>（一）本合同项下总价款为人民币_________元（小写，精确到小数点后两位），即__________（大写）。合同履行期间，合同总价固定不变，不受市场价格变化因素的影响。</w:t>
      </w:r>
    </w:p>
    <w:p w14:paraId="208A65CD">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highlight w:val="none"/>
          <w:lang w:val="en-US" w:eastAsia="zh-CN" w:bidi="ar-SA"/>
        </w:rPr>
        <w:t>（二）总报价包括完成本项目所需的人员工资、社会保险及按规定提取的福利费、行政办公费用、企业固定资产折旧、临时性加班的加班费用、法定税费</w:t>
      </w:r>
      <w:r>
        <w:rPr>
          <w:rFonts w:hint="eastAsia" w:asciiTheme="minorHAnsi" w:hAnsiTheme="minorHAnsi" w:eastAsiaTheme="minorEastAsia" w:cstheme="minorBidi"/>
          <w:kern w:val="2"/>
          <w:sz w:val="24"/>
          <w:szCs w:val="24"/>
          <w:highlight w:val="none"/>
          <w:lang w:val="en-US" w:eastAsia="zh-CN" w:bidi="ar-SA"/>
        </w:rPr>
        <w:t>、</w:t>
      </w:r>
      <w:r>
        <w:rPr>
          <w:rFonts w:asciiTheme="minorHAnsi" w:hAnsiTheme="minorHAnsi" w:eastAsiaTheme="minorEastAsia" w:cstheme="minorBidi"/>
          <w:kern w:val="2"/>
          <w:sz w:val="24"/>
          <w:szCs w:val="24"/>
          <w:highlight w:val="none"/>
          <w:lang w:val="en-US" w:eastAsia="zh-CN" w:bidi="ar-SA"/>
        </w:rPr>
        <w:t>合理利润</w:t>
      </w:r>
      <w:r>
        <w:rPr>
          <w:rFonts w:hint="eastAsia" w:asciiTheme="minorHAnsi" w:hAnsiTheme="minorHAnsi" w:eastAsiaTheme="minorEastAsia" w:cstheme="minorBidi"/>
          <w:kern w:val="2"/>
          <w:sz w:val="24"/>
          <w:szCs w:val="24"/>
          <w:highlight w:val="none"/>
          <w:lang w:val="en-US" w:eastAsia="zh-CN" w:bidi="ar-SA"/>
        </w:rPr>
        <w:t>以及完成本项目服务内容（包括但不限于咨询服务费、培训授课费用及其他法律事务专项费用）</w:t>
      </w:r>
      <w:r>
        <w:rPr>
          <w:rFonts w:asciiTheme="minorHAnsi" w:hAnsiTheme="minorHAnsi" w:eastAsiaTheme="minorEastAsia" w:cstheme="minorBidi"/>
          <w:kern w:val="2"/>
          <w:sz w:val="24"/>
          <w:szCs w:val="24"/>
          <w:highlight w:val="none"/>
          <w:lang w:val="en-US" w:eastAsia="zh-CN" w:bidi="ar-SA"/>
        </w:rPr>
        <w:t>等全部费用。</w:t>
      </w:r>
      <w:r>
        <w:rPr>
          <w:rFonts w:hint="eastAsia" w:cstheme="minorBidi"/>
          <w:kern w:val="2"/>
          <w:sz w:val="24"/>
          <w:szCs w:val="24"/>
          <w:highlight w:val="none"/>
          <w:lang w:val="en-US" w:eastAsia="zh-CN" w:bidi="ar-SA"/>
        </w:rPr>
        <w:t>除</w:t>
      </w:r>
      <w:r>
        <w:rPr>
          <w:rFonts w:hint="eastAsia" w:asciiTheme="minorHAnsi" w:hAnsiTheme="minorHAnsi" w:eastAsiaTheme="minorEastAsia" w:cstheme="minorBidi"/>
          <w:kern w:val="2"/>
          <w:sz w:val="24"/>
          <w:szCs w:val="24"/>
          <w:highlight w:val="none"/>
          <w:lang w:val="en-US" w:eastAsia="zh-CN" w:bidi="ar-SA"/>
        </w:rPr>
        <w:t>案件代理费</w:t>
      </w:r>
      <w:r>
        <w:rPr>
          <w:rFonts w:hint="eastAsia" w:cstheme="minorBidi"/>
          <w:kern w:val="2"/>
          <w:sz w:val="24"/>
          <w:szCs w:val="24"/>
          <w:highlight w:val="none"/>
          <w:lang w:val="en-US" w:eastAsia="zh-CN" w:bidi="ar-SA"/>
        </w:rPr>
        <w:t>外，</w:t>
      </w:r>
      <w:r>
        <w:rPr>
          <w:rFonts w:asciiTheme="minorHAnsi" w:hAnsiTheme="minorHAnsi" w:eastAsiaTheme="minorEastAsia" w:cstheme="minorBidi"/>
          <w:kern w:val="2"/>
          <w:sz w:val="24"/>
          <w:szCs w:val="24"/>
          <w:highlight w:val="none"/>
          <w:lang w:val="en-US" w:eastAsia="zh-CN" w:bidi="ar-SA"/>
        </w:rPr>
        <w:t>采购人不</w:t>
      </w:r>
      <w:r>
        <w:rPr>
          <w:rFonts w:asciiTheme="minorHAnsi" w:hAnsiTheme="minorHAnsi" w:eastAsiaTheme="minorEastAsia" w:cstheme="minorBidi"/>
          <w:kern w:val="2"/>
          <w:sz w:val="24"/>
          <w:szCs w:val="24"/>
          <w:lang w:val="en-US" w:eastAsia="zh-CN" w:bidi="ar-SA"/>
        </w:rPr>
        <w:t>再额外承担其他任何费用。</w:t>
      </w:r>
    </w:p>
    <w:p w14:paraId="1D8BECD1">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cs="Calibri Light" w:asciiTheme="minorHAnsi" w:hAnsiTheme="minorHAnsi" w:eastAsiaTheme="minorEastAsia"/>
          <w:b/>
          <w:sz w:val="24"/>
          <w:szCs w:val="24"/>
          <w:lang w:val="en-US" w:eastAsia="zh-CN"/>
        </w:rPr>
      </w:pPr>
      <w:r>
        <w:rPr>
          <w:rFonts w:cs="Calibri Light" w:asciiTheme="minorHAnsi" w:hAnsiTheme="minorHAnsi" w:eastAsiaTheme="minorEastAsia"/>
          <w:b/>
          <w:sz w:val="24"/>
          <w:szCs w:val="24"/>
          <w:lang w:val="en-US" w:eastAsia="zh-CN"/>
        </w:rPr>
        <w:t>三、款项结算</w:t>
      </w:r>
    </w:p>
    <w:p w14:paraId="0F3AD5C0">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（一）付款进度：</w:t>
      </w:r>
    </w:p>
    <w:p w14:paraId="1D08B3C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合同签订后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0个工作日内支付当年度合同总价款的</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0%;初步成果验收后通过后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0个工作日内支付合同总价款的40%；成果交付验收合格后，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0个工作日内支付合同总价款的</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w:t>
      </w:r>
    </w:p>
    <w:p w14:paraId="4F331B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（二）支付方式：银行转账。</w:t>
      </w:r>
    </w:p>
    <w:p w14:paraId="1942BEB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名  称：_____________________</w:t>
      </w:r>
    </w:p>
    <w:p w14:paraId="51F241A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开户行：_____________________</w:t>
      </w:r>
    </w:p>
    <w:p w14:paraId="2B15C6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账  号：_____________________</w:t>
      </w:r>
    </w:p>
    <w:p w14:paraId="7EA48B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甲方仅认可上述指定账户并向该账户付款。否则甲方有权拒绝向指定账户之外的任何账户付款，并且由此导致的付款延迟责任由乙方承担。</w:t>
      </w:r>
    </w:p>
    <w:p w14:paraId="5D4EBC4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（三）结算方式：合同签订后/交付期满后填写政府采购项目验收单（一式伍份），发票（按合同总价直开甲方），乙方持成交通知书、政府采购合同、发票、政府采购项目验收单，与甲方结算。</w:t>
      </w:r>
    </w:p>
    <w:p w14:paraId="53FF2E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乙方要如实开具发票，不得变更开票内容，乙方开具发票出现税务争议时，乙方需承担税款、滞纳金、罚款等赔偿责任以及其他相关责任。</w:t>
      </w:r>
    </w:p>
    <w:p w14:paraId="4BFABE1C">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cs="Calibri Light" w:asciiTheme="minorHAnsi" w:hAnsiTheme="minorHAnsi" w:eastAsiaTheme="minorEastAsia"/>
          <w:b/>
          <w:sz w:val="24"/>
          <w:szCs w:val="24"/>
          <w:lang w:val="en-US" w:eastAsia="zh-CN"/>
        </w:rPr>
      </w:pPr>
      <w:r>
        <w:rPr>
          <w:rFonts w:cs="Calibri Light" w:asciiTheme="minorHAnsi" w:hAnsiTheme="minorHAnsi" w:eastAsiaTheme="minorEastAsia"/>
          <w:b/>
          <w:sz w:val="24"/>
          <w:szCs w:val="24"/>
          <w:lang w:val="en-US" w:eastAsia="zh-CN"/>
        </w:rPr>
        <w:t>四、双方的权利和义务</w:t>
      </w:r>
    </w:p>
    <w:p w14:paraId="7186EE97">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（一）甲方的权利和义务</w:t>
      </w:r>
    </w:p>
    <w:p w14:paraId="7B928B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1.</w:t>
      </w:r>
      <w:r>
        <w:rPr>
          <w:rFonts w:hint="eastAsia" w:asciiTheme="minorHAnsi" w:hAnsiTheme="minorHAnsi" w:eastAsiaTheme="minorEastAsia" w:cstheme="minorBidi"/>
          <w:kern w:val="2"/>
          <w:sz w:val="24"/>
          <w:szCs w:val="24"/>
          <w:lang w:val="en-US" w:eastAsia="zh-CN" w:bidi="ar-SA"/>
        </w:rPr>
        <w:t>甲方有权享有乙方提供的服务，该服务应满足甲方的要求及</w:t>
      </w:r>
      <w:r>
        <w:rPr>
          <w:rFonts w:hint="eastAsia" w:cstheme="minorBidi"/>
          <w:kern w:val="2"/>
          <w:sz w:val="24"/>
          <w:szCs w:val="24"/>
          <w:lang w:val="en-US" w:eastAsia="zh-CN" w:bidi="ar-SA"/>
        </w:rPr>
        <w:t>采购方案、</w:t>
      </w:r>
      <w:r>
        <w:rPr>
          <w:rFonts w:hint="eastAsia" w:asciiTheme="minorHAnsi" w:hAnsiTheme="minorHAnsi" w:eastAsiaTheme="minorEastAsia" w:cstheme="minorBidi"/>
          <w:kern w:val="2"/>
          <w:sz w:val="24"/>
          <w:szCs w:val="24"/>
          <w:lang w:val="en-US" w:eastAsia="zh-CN" w:bidi="ar-SA"/>
        </w:rPr>
        <w:t>合同约定。</w:t>
      </w:r>
    </w:p>
    <w:p w14:paraId="324CEB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2.</w:t>
      </w:r>
      <w:r>
        <w:rPr>
          <w:rFonts w:hint="eastAsia" w:asciiTheme="minorHAnsi" w:hAnsiTheme="minorHAnsi" w:eastAsiaTheme="minorEastAsia" w:cstheme="minorBidi"/>
          <w:kern w:val="2"/>
          <w:sz w:val="24"/>
          <w:szCs w:val="24"/>
          <w:lang w:val="en-US" w:eastAsia="zh-CN" w:bidi="ar-SA"/>
        </w:rPr>
        <w:t>甲方有权要求乙方及时反馈服务进展情况和服务效果。</w:t>
      </w:r>
    </w:p>
    <w:p w14:paraId="3143AD2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3.</w:t>
      </w:r>
      <w:r>
        <w:rPr>
          <w:rFonts w:hint="eastAsia" w:asciiTheme="minorHAnsi" w:hAnsiTheme="minorHAnsi" w:eastAsiaTheme="minorEastAsia" w:cstheme="minorBidi"/>
          <w:kern w:val="2"/>
          <w:sz w:val="24"/>
          <w:szCs w:val="24"/>
          <w:lang w:val="en-US" w:eastAsia="zh-CN" w:bidi="ar-SA"/>
        </w:rPr>
        <w:t>甲方有权对乙方履约情况进行监督，纠正乙方错误，督促乙方及时履行义务。</w:t>
      </w:r>
    </w:p>
    <w:p w14:paraId="550F03F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4.</w:t>
      </w:r>
      <w:r>
        <w:rPr>
          <w:rFonts w:hint="eastAsia" w:asciiTheme="minorHAnsi" w:hAnsiTheme="minorHAnsi" w:eastAsiaTheme="minorEastAsia" w:cstheme="minorBidi"/>
          <w:kern w:val="2"/>
          <w:sz w:val="24"/>
          <w:szCs w:val="24"/>
          <w:lang w:val="en-US" w:eastAsia="zh-CN" w:bidi="ar-SA"/>
        </w:rPr>
        <w:t>甲方有权监管乙方提供的各项服务，以确保乙方提供服务的过程符合甲方的要求；甲方有权对乙方提供的服务工作进行日常监督、监控、检查，有权对乙方进行指导，提出意见；甲方有权对各项监督、检查中发现的问题或差错要求乙方整改及赔偿；甲方有权要求乙方提出整改措施并执行，包括但不限于要求乙方更换相关专业人员等；乙方有责任配合甲方内部、外部审计机构、等监督管理机构对提供的服务过程、档案、资料等方面进行检查。</w:t>
      </w:r>
    </w:p>
    <w:p w14:paraId="433B09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5.</w:t>
      </w:r>
      <w:r>
        <w:rPr>
          <w:rFonts w:hint="eastAsia" w:asciiTheme="minorHAnsi" w:hAnsiTheme="minorHAnsi" w:eastAsiaTheme="minorEastAsia" w:cstheme="minorBidi"/>
          <w:kern w:val="2"/>
          <w:sz w:val="24"/>
          <w:szCs w:val="24"/>
          <w:lang w:val="en-US" w:eastAsia="zh-CN" w:bidi="ar-SA"/>
        </w:rPr>
        <w:t>甲方应当全面、客观和及时地向乙方提供与法律服务有关的各种情况、文件、资料。为乙方律师办理法律服务提出明确、合理的要求。负责协调甲方各相关部门配合乙方开展工作，提供业务、技术咨询支持。</w:t>
      </w:r>
    </w:p>
    <w:p w14:paraId="5B16821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6.</w:t>
      </w:r>
      <w:r>
        <w:rPr>
          <w:rFonts w:hint="eastAsia" w:asciiTheme="minorHAnsi" w:hAnsiTheme="minorHAnsi" w:eastAsiaTheme="minorEastAsia" w:cstheme="minorBidi"/>
          <w:kern w:val="2"/>
          <w:sz w:val="24"/>
          <w:szCs w:val="24"/>
          <w:lang w:val="en-US" w:eastAsia="zh-CN" w:bidi="ar-SA"/>
        </w:rPr>
        <w:t>如因乙方责任，造成甲方经济损失，甲方可以根据实际情况要求乙方赔偿经济损失及支付违约金，并终止本合同。</w:t>
      </w:r>
    </w:p>
    <w:p w14:paraId="0C8C835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7.</w:t>
      </w:r>
      <w:r>
        <w:rPr>
          <w:rFonts w:hint="eastAsia" w:asciiTheme="minorHAnsi" w:hAnsiTheme="minorHAnsi" w:eastAsiaTheme="minorEastAsia" w:cstheme="minorBidi"/>
          <w:kern w:val="2"/>
          <w:sz w:val="24"/>
          <w:szCs w:val="24"/>
          <w:lang w:val="en-US" w:eastAsia="zh-CN" w:bidi="ar-SA"/>
        </w:rPr>
        <w:t>甲方应按及时向乙方结算服务费用。</w:t>
      </w:r>
    </w:p>
    <w:p w14:paraId="693423C9">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（二）乙方的权利和义务</w:t>
      </w:r>
    </w:p>
    <w:p w14:paraId="045A300C">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1．要求甲方为本合同标的的服务工作开展提供必要的资料和便利。</w:t>
      </w:r>
    </w:p>
    <w:p w14:paraId="4AB4F73F">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2．要求甲方按本合同约定支付合同款项。</w:t>
      </w:r>
    </w:p>
    <w:p w14:paraId="06A4E601">
      <w:pPr>
        <w:ind w:firstLine="480" w:firstLineChars="200"/>
        <w:jc w:val="both"/>
        <w:rPr>
          <w:rFonts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3．乙方不得擅自将本合同委托事项转委托/转包/分包给第三方。</w:t>
      </w:r>
    </w:p>
    <w:p w14:paraId="59262821">
      <w:pPr>
        <w:ind w:firstLine="480" w:firstLineChars="200"/>
        <w:jc w:val="both"/>
        <w:rPr>
          <w:rFonts w:hint="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4．乙方负责合同中的从业人员及财产意外伤害、死亡或损失均由乙方自行承担所有费用和相应责任，</w:t>
      </w:r>
      <w:r>
        <w:rPr>
          <w:rFonts w:hint="eastAsia" w:cstheme="minorBidi"/>
          <w:kern w:val="2"/>
          <w:sz w:val="24"/>
          <w:szCs w:val="24"/>
          <w:lang w:val="en-US" w:eastAsia="zh-CN" w:bidi="ar-SA"/>
        </w:rPr>
        <w:t>不得要求</w:t>
      </w:r>
      <w:r>
        <w:rPr>
          <w:rFonts w:asciiTheme="minorHAnsi" w:hAnsiTheme="minorHAnsi" w:eastAsiaTheme="minorEastAsia" w:cstheme="minorBidi"/>
          <w:kern w:val="2"/>
          <w:sz w:val="24"/>
          <w:szCs w:val="24"/>
          <w:lang w:val="en-US" w:eastAsia="zh-CN" w:bidi="ar-SA"/>
        </w:rPr>
        <w:t>甲方</w:t>
      </w:r>
      <w:r>
        <w:rPr>
          <w:rFonts w:hint="eastAsia" w:cstheme="minorBidi"/>
          <w:kern w:val="2"/>
          <w:sz w:val="24"/>
          <w:szCs w:val="24"/>
          <w:lang w:val="en-US" w:eastAsia="zh-CN" w:bidi="ar-SA"/>
        </w:rPr>
        <w:t>承担</w:t>
      </w:r>
      <w:r>
        <w:rPr>
          <w:rFonts w:asciiTheme="minorHAnsi" w:hAnsiTheme="minorHAnsi" w:eastAsiaTheme="minorEastAsia" w:cstheme="minorBidi"/>
          <w:kern w:val="2"/>
          <w:sz w:val="24"/>
          <w:szCs w:val="24"/>
          <w:lang w:val="en-US" w:eastAsia="zh-CN" w:bidi="ar-SA"/>
        </w:rPr>
        <w:t>任何法律责任</w:t>
      </w:r>
      <w:r>
        <w:rPr>
          <w:rFonts w:hint="eastAsia" w:cstheme="minorBidi"/>
          <w:kern w:val="2"/>
          <w:sz w:val="24"/>
          <w:szCs w:val="24"/>
          <w:lang w:val="en-US" w:eastAsia="zh-CN" w:bidi="ar-SA"/>
        </w:rPr>
        <w:t>。</w:t>
      </w:r>
    </w:p>
    <w:p w14:paraId="00C29FDC">
      <w:pPr>
        <w:ind w:firstLine="480" w:firstLineChars="200"/>
        <w:jc w:val="both"/>
        <w:rPr>
          <w:rFonts w:hint="eastAsia" w:asciiTheme="minorHAnsi" w:hAnsiTheme="minorHAnsi" w:eastAsiaTheme="minorEastAsia" w:cstheme="minorBidi"/>
          <w:kern w:val="2"/>
          <w:sz w:val="24"/>
          <w:szCs w:val="24"/>
          <w:lang w:val="en-US" w:eastAsia="zh-CN" w:bidi="ar-SA"/>
        </w:rPr>
      </w:pPr>
      <w:r>
        <w:rPr>
          <w:rFonts w:asciiTheme="minorHAnsi" w:hAnsiTheme="minorHAnsi" w:eastAsiaTheme="minorEastAsia" w:cstheme="minorBidi"/>
          <w:kern w:val="2"/>
          <w:sz w:val="24"/>
          <w:szCs w:val="24"/>
          <w:lang w:val="en-US" w:eastAsia="zh-CN" w:bidi="ar-SA"/>
        </w:rPr>
        <w:t>5．</w:t>
      </w:r>
      <w:r>
        <w:rPr>
          <w:rFonts w:hint="eastAsia" w:asciiTheme="minorHAnsi" w:hAnsiTheme="minorHAnsi" w:eastAsiaTheme="minorEastAsia" w:cstheme="minorBidi"/>
          <w:kern w:val="2"/>
          <w:sz w:val="24"/>
          <w:szCs w:val="24"/>
          <w:lang w:val="en-US" w:eastAsia="zh-CN" w:bidi="ar-SA"/>
        </w:rPr>
        <w:t>应向甲方提供符合合同约定的服务。应按采购邀请及响应文件、具体法律服务合同约定，积极、负责地为甲方提供法律服务，并保证按甲方要求的时限和行业公认的准则，保质保量地完成甲方委托。</w:t>
      </w:r>
    </w:p>
    <w:p w14:paraId="2FF149CC">
      <w:pPr>
        <w:ind w:firstLine="480" w:firstLineChars="200"/>
        <w:jc w:val="both"/>
        <w:rPr>
          <w:rFonts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6</w:t>
      </w:r>
      <w:r>
        <w:rPr>
          <w:rFonts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乙方服从甲方对服务工作的监督管理。未经甲方同意，不得擅自从事与本项服务工作无关的行为。</w:t>
      </w:r>
    </w:p>
    <w:p w14:paraId="0DF389DC">
      <w:pPr>
        <w:ind w:firstLine="480" w:firstLineChars="20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7</w:t>
      </w:r>
      <w:r>
        <w:rPr>
          <w:rFonts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乙方应保证专业团队的稳定，承担因管理不善而产生的所有风险，并自行承担由此导致的所有法律责任。</w:t>
      </w:r>
    </w:p>
    <w:p w14:paraId="4094FDD3">
      <w:pPr>
        <w:ind w:firstLine="480" w:firstLineChars="200"/>
        <w:jc w:val="both"/>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8.</w:t>
      </w:r>
      <w:r>
        <w:rPr>
          <w:rFonts w:hint="eastAsia" w:asciiTheme="minorHAnsi" w:hAnsiTheme="minorHAnsi" w:eastAsiaTheme="minorEastAsia" w:cstheme="minorBidi"/>
          <w:kern w:val="2"/>
          <w:sz w:val="24"/>
          <w:szCs w:val="24"/>
          <w:lang w:val="en-US" w:eastAsia="zh-CN" w:bidi="ar-SA"/>
        </w:rPr>
        <w:t>乙方应接受甲方对本项目所安排的监督与检查；对甲方发现的问题或提出的建议及要求要在规定时限内完成整改；乙方须遵守甲方与本项目有关的制度或规定，严格执行保密制度，保障客户信息安全。</w:t>
      </w:r>
    </w:p>
    <w:p w14:paraId="155C09F6">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五、质量保证</w:t>
      </w:r>
    </w:p>
    <w:p w14:paraId="7D37CB3F">
      <w:pPr>
        <w:ind w:firstLine="480" w:firstLineChars="200"/>
        <w:jc w:val="both"/>
        <w:rPr>
          <w:rFonts w:hint="eastAsia" w:cstheme="minorBidi"/>
          <w:kern w:val="2"/>
          <w:sz w:val="24"/>
          <w:szCs w:val="24"/>
          <w:lang w:val="en-US" w:eastAsia="zh-CN" w:bidi="ar-SA"/>
        </w:rPr>
      </w:pPr>
      <w:r>
        <w:rPr>
          <w:rFonts w:hint="eastAsia" w:cstheme="minorBidi"/>
          <w:kern w:val="2"/>
          <w:sz w:val="24"/>
          <w:szCs w:val="24"/>
          <w:lang w:val="en-US" w:eastAsia="zh-CN" w:bidi="ar-SA"/>
        </w:rPr>
        <w:t>1．服务方案和方式科学、可行，人员配置合理，全面满足服务要求。</w:t>
      </w:r>
    </w:p>
    <w:p w14:paraId="28A94EE7">
      <w:pPr>
        <w:ind w:firstLine="480" w:firstLineChars="200"/>
        <w:jc w:val="both"/>
        <w:rPr>
          <w:rFonts w:hint="eastAsia" w:cstheme="minorBidi"/>
          <w:kern w:val="2"/>
          <w:sz w:val="24"/>
          <w:szCs w:val="24"/>
          <w:lang w:val="en-US" w:eastAsia="zh-CN" w:bidi="ar-SA"/>
        </w:rPr>
      </w:pPr>
      <w:r>
        <w:rPr>
          <w:rFonts w:hint="eastAsia" w:cstheme="minorBidi"/>
          <w:kern w:val="2"/>
          <w:sz w:val="24"/>
          <w:szCs w:val="24"/>
          <w:lang w:val="en-US" w:eastAsia="zh-CN" w:bidi="ar-SA"/>
        </w:rPr>
        <w:t>2．乙方提供的服务，若发生侵权而产生的一切后果，由其负责。甲方保留索赔权力。</w:t>
      </w:r>
    </w:p>
    <w:p w14:paraId="44D1CF45">
      <w:pPr>
        <w:ind w:firstLine="480" w:firstLineChars="200"/>
        <w:jc w:val="both"/>
        <w:rPr>
          <w:rFonts w:hint="eastAsia" w:cstheme="minorBidi"/>
          <w:kern w:val="2"/>
          <w:sz w:val="24"/>
          <w:szCs w:val="24"/>
          <w:lang w:val="en-US" w:eastAsia="zh-CN" w:bidi="ar-SA"/>
        </w:rPr>
      </w:pPr>
      <w:r>
        <w:rPr>
          <w:rFonts w:hint="eastAsia" w:cstheme="minorBidi"/>
          <w:kern w:val="2"/>
          <w:sz w:val="24"/>
          <w:szCs w:val="24"/>
          <w:lang w:val="en-US" w:eastAsia="zh-CN" w:bidi="ar-SA"/>
        </w:rPr>
        <w:t>3．乙方在响应文件中组建的项目组成员，需与项目合同履约期间所派驻的律师团队成员保持一致。</w:t>
      </w:r>
    </w:p>
    <w:p w14:paraId="52B44F68">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六、知识产权及承诺</w:t>
      </w:r>
    </w:p>
    <w:p w14:paraId="3F1BE61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14:paraId="50ED1C76">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14:paraId="64472FE6">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七、验收</w:t>
      </w:r>
    </w:p>
    <w:p w14:paraId="325336B9">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（一）服务期满后，甲方根据磋商文件和响应文件及相关文件，进行验收，确认服务标准和服务方式是否达到采购要求。</w:t>
      </w:r>
    </w:p>
    <w:p w14:paraId="2C7CC4A6">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（二）甲方组织乙方（必要时请有关专家）进行验收，验收合格后，填写政府采购项目验收单（一式伍份）作为对项目的最终认可。</w:t>
      </w:r>
    </w:p>
    <w:p w14:paraId="2F829CC3">
      <w:pPr>
        <w:pStyle w:val="40"/>
        <w:spacing w:line="240" w:lineRule="auto"/>
        <w:ind w:firstLine="480" w:firstLineChars="200"/>
        <w:jc w:val="both"/>
        <w:rPr>
          <w:rFonts w:hint="default" w:asciiTheme="minorHAnsi" w:hAnsiTheme="minorHAnsi" w:eastAsiaTheme="minorEastAsia"/>
          <w:sz w:val="24"/>
          <w:szCs w:val="24"/>
          <w:lang w:val="en-US" w:eastAsia="zh-CN"/>
        </w:rPr>
      </w:pPr>
      <w:r>
        <w:rPr>
          <w:rFonts w:asciiTheme="minorHAnsi" w:hAnsiTheme="minorHAnsi" w:eastAsiaTheme="minorEastAsia"/>
          <w:sz w:val="24"/>
          <w:szCs w:val="24"/>
        </w:rPr>
        <w:t>（三）乙方</w:t>
      </w:r>
      <w:r>
        <w:rPr>
          <w:rFonts w:hint="eastAsia" w:asciiTheme="minorHAnsi" w:hAnsiTheme="minorHAnsi" w:eastAsiaTheme="minorEastAsia"/>
          <w:sz w:val="24"/>
          <w:szCs w:val="24"/>
          <w:lang w:val="en-US" w:eastAsia="zh-CN"/>
        </w:rPr>
        <w:t>应保留</w:t>
      </w:r>
      <w:r>
        <w:rPr>
          <w:rFonts w:asciiTheme="minorHAnsi" w:hAnsiTheme="minorHAnsi" w:eastAsiaTheme="minorEastAsia"/>
          <w:sz w:val="24"/>
          <w:szCs w:val="24"/>
        </w:rPr>
        <w:t>服务过程中的</w:t>
      </w:r>
      <w:r>
        <w:rPr>
          <w:rFonts w:hint="eastAsia" w:asciiTheme="minorHAnsi" w:hAnsiTheme="minorHAnsi" w:eastAsiaTheme="minorEastAsia"/>
          <w:sz w:val="24"/>
          <w:szCs w:val="24"/>
          <w:lang w:val="en-US" w:eastAsia="zh-CN"/>
        </w:rPr>
        <w:t>全部</w:t>
      </w:r>
      <w:r>
        <w:rPr>
          <w:rFonts w:asciiTheme="minorHAnsi" w:hAnsiTheme="minorHAnsi" w:eastAsiaTheme="minorEastAsia"/>
          <w:sz w:val="24"/>
          <w:szCs w:val="24"/>
        </w:rPr>
        <w:t>资料，</w:t>
      </w:r>
      <w:r>
        <w:rPr>
          <w:rFonts w:hint="eastAsia" w:asciiTheme="minorHAnsi" w:hAnsiTheme="minorHAnsi" w:eastAsiaTheme="minorEastAsia"/>
          <w:sz w:val="24"/>
          <w:szCs w:val="24"/>
          <w:lang w:val="en-US" w:eastAsia="zh-CN"/>
        </w:rPr>
        <w:t>作为服务成果及验收依据。</w:t>
      </w:r>
    </w:p>
    <w:p w14:paraId="4EA3FBA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（四）验收依据：</w:t>
      </w:r>
    </w:p>
    <w:p w14:paraId="6AC1890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14:paraId="72E04E4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2D0893D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5FC34DBC">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八、违约责任</w:t>
      </w:r>
    </w:p>
    <w:p w14:paraId="72310867">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提交的响应文件作为服务合同的主要内容，属于服务合同文本的组成部分。乙方未按照响应文件中的承诺提供服务或服务质量不能满足响应文件承诺的，视为合同违约。甲方应当将乙方违约的情况以及拟采取的措施以书面形式报政府采购监管部门，根据政府采购监管部门的处理意见，由甲方向政府采购监管部门申请重新组织政府采购或推选第二名服务商作为成交服务商。</w:t>
      </w:r>
    </w:p>
    <w:p w14:paraId="2EB2B53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lang w:val="en-US" w:eastAsia="zh-CN"/>
        </w:rPr>
        <w:t>未经甲方书面同意、乙方中途终止执行合同的部分或全部内容，视为违约，由此造成的一切经济损失由乙方承担，甲方有权解除本合同。</w:t>
      </w:r>
    </w:p>
    <w:p w14:paraId="5B1D52B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w:t>
      </w:r>
      <w:r>
        <w:rPr>
          <w:rFonts w:hint="eastAsia" w:asciiTheme="minorHAnsi" w:hAnsiTheme="minorHAnsi" w:eastAsiaTheme="minorEastAsia"/>
          <w:sz w:val="24"/>
          <w:szCs w:val="24"/>
        </w:rPr>
        <w:t>服务</w:t>
      </w:r>
      <w:r>
        <w:rPr>
          <w:rFonts w:asciiTheme="minorHAnsi" w:hAnsiTheme="minorHAnsi" w:eastAsiaTheme="minorEastAsia"/>
          <w:sz w:val="24"/>
          <w:szCs w:val="24"/>
        </w:rPr>
        <w:t>或</w:t>
      </w:r>
      <w:r>
        <w:rPr>
          <w:rFonts w:hint="eastAsia" w:asciiTheme="minorHAnsi" w:hAnsiTheme="minorHAnsi" w:eastAsiaTheme="minorEastAsia"/>
          <w:sz w:val="24"/>
          <w:szCs w:val="24"/>
        </w:rPr>
        <w:t>服务</w:t>
      </w:r>
      <w:r>
        <w:rPr>
          <w:rFonts w:asciiTheme="minorHAnsi" w:hAnsiTheme="minorHAnsi" w:eastAsiaTheme="minorEastAsia"/>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12D4F7A">
      <w:pPr>
        <w:pStyle w:val="40"/>
        <w:spacing w:line="240" w:lineRule="auto"/>
        <w:ind w:firstLine="480" w:firstLineChars="200"/>
        <w:jc w:val="both"/>
        <w:rPr>
          <w:rFonts w:hint="eastAsia" w:asciiTheme="minorHAnsi" w:hAnsiTheme="minorHAnsi" w:eastAsiaTheme="minorEastAsia"/>
          <w:sz w:val="24"/>
          <w:szCs w:val="24"/>
          <w:lang w:eastAsia="zh-CN"/>
        </w:rPr>
      </w:pP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四</w:t>
      </w: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 xml:space="preserve"> 乙方保证甲方在使用乙方提供的服务时，免受第三方提出的侵犯所有权、他物权、知识产权等第三方固有权利等的起诉与索赔。若甲方因此而遭受损失，则乙方应当赔偿甲方的一切损失。</w:t>
      </w:r>
    </w:p>
    <w:p w14:paraId="73EBFA60">
      <w:pPr>
        <w:pStyle w:val="40"/>
        <w:spacing w:line="240" w:lineRule="auto"/>
        <w:ind w:firstLine="480" w:firstLineChars="200"/>
        <w:jc w:val="both"/>
        <w:rPr>
          <w:rFonts w:hint="eastAsia" w:asciiTheme="minorHAnsi" w:hAnsiTheme="minorHAnsi" w:eastAsiaTheme="minorEastAsia"/>
          <w:sz w:val="24"/>
          <w:szCs w:val="24"/>
          <w:lang w:eastAsia="zh-CN"/>
        </w:rPr>
      </w:pP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五</w:t>
      </w:r>
      <w:r>
        <w:rPr>
          <w:rFonts w:hint="eastAsia" w:asciiTheme="minorHAnsi" w:hAnsiTheme="minorHAnsi" w:eastAsiaTheme="minorEastAsia"/>
          <w:sz w:val="24"/>
          <w:szCs w:val="24"/>
          <w:lang w:eastAsia="zh-CN"/>
        </w:rPr>
        <w:t>）甲方逾期付款的，每逾期一天，应按逾期金额的5‱（万分之五）向乙方支付违约金，同时仍应履行付款义务。逾期超过15日的，乙方有权解除本合同。</w:t>
      </w:r>
    </w:p>
    <w:p w14:paraId="60785F7A">
      <w:pPr>
        <w:pStyle w:val="40"/>
        <w:spacing w:line="240" w:lineRule="auto"/>
        <w:ind w:firstLine="480" w:firstLineChars="200"/>
        <w:jc w:val="both"/>
      </w:pP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六</w:t>
      </w:r>
      <w:r>
        <w:rPr>
          <w:rFonts w:hint="eastAsia" w:asciiTheme="minorHAnsi" w:hAnsiTheme="minorHAnsi" w:eastAsiaTheme="minorEastAsia"/>
          <w:sz w:val="24"/>
          <w:szCs w:val="24"/>
          <w:lang w:eastAsia="zh-CN"/>
        </w:rPr>
        <w:t>）乙方无正当理由不提供本合同约定的法律服务工作或者违反己方合同义务的，甲方有权要求乙方退还部分或者全部已付的律师服务费用。</w:t>
      </w:r>
    </w:p>
    <w:p w14:paraId="333005F8">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九、合同的变更和修改、中止和终止</w:t>
      </w:r>
    </w:p>
    <w:p w14:paraId="01CD1B6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426AFD3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（二）甲方因乙方不履约或乙方其他原因而解除合同的，乙方须返还甲方全部费用、赔偿甲方由此产生的损失并承担其他相关责任，相应责任承担方式按照本合同执行。</w:t>
      </w:r>
    </w:p>
    <w:p w14:paraId="2E43926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52797EC3">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十、保密条款</w:t>
      </w:r>
    </w:p>
    <w:p w14:paraId="3E7E2EAE">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一）本合同所称保密信息为乙方在履行合同过程中或为履行合同而从甲方获得的甲方在披露时为“保密”的信息。具体指甲方所拥有或控制的，并且尚未对外公开发表，或尚未以其他方式成为业内众所周知的信息，以及甲方承担保密义务的第三方的信息以及乙方依据本合同编制的各种文件（统称“保密信息”）。乙方对上述保密信息负有保密义务。</w:t>
      </w:r>
    </w:p>
    <w:p w14:paraId="6E401102">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二）未经甲方书面同意，乙方不得以任何形式或任何方式将保密信息和（或）其中的任何部分披露或透露给任何第三方，且不得用于本合同约定事项以外的其他用途。乙方仅可为本合同及具体合同目的向其确有知悉必要的员工披露保密资料，同时须保证其员工遵守本条规定的保密及不披露义务并与其员工承担连带赔偿责任。</w:t>
      </w:r>
    </w:p>
    <w:p w14:paraId="17F84840">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（三）乙方有义务对保密信息采取不低于对其本身商业秘密所采取的保护手段予以保护。乙方应当建立保密机制、制定保密制度、采取保密措施，对保密信息予以严格保密。</w:t>
      </w:r>
    </w:p>
    <w:p w14:paraId="26D768F4">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十一、争议解决</w:t>
      </w:r>
    </w:p>
    <w:p w14:paraId="466CFC8A">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（一）本合同适用法律为中华人民共和国法律。</w:t>
      </w:r>
    </w:p>
    <w:p w14:paraId="1566FE7D">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（二）凡与本合同有关的一切争议，双方应通过友好协商解决。如协商后仍不能达成协议时，按下列第_</w:t>
      </w:r>
      <w:r>
        <w:rPr>
          <w:rFonts w:hint="eastAsia" w:asciiTheme="minorHAnsi" w:hAnsiTheme="minorHAnsi" w:eastAsiaTheme="minorEastAsia"/>
          <w:sz w:val="24"/>
          <w:szCs w:val="24"/>
          <w:u w:val="single"/>
          <w:lang w:val="en-US" w:eastAsia="zh-CN"/>
        </w:rPr>
        <w:t>2</w:t>
      </w:r>
      <w:r>
        <w:rPr>
          <w:rFonts w:hint="eastAsia" w:asciiTheme="minorHAnsi" w:hAnsiTheme="minorHAnsi" w:eastAsiaTheme="minorEastAsia"/>
          <w:sz w:val="24"/>
          <w:szCs w:val="24"/>
          <w:lang w:val="en-US" w:eastAsia="zh-CN"/>
        </w:rPr>
        <w:t>_种方式解决。</w:t>
      </w:r>
    </w:p>
    <w:p w14:paraId="7607181D">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1．提交西安仲裁委员会。</w:t>
      </w:r>
    </w:p>
    <w:p w14:paraId="412DA6B7">
      <w:pPr>
        <w:pStyle w:val="40"/>
        <w:spacing w:line="240" w:lineRule="auto"/>
        <w:ind w:firstLine="480" w:firstLineChars="200"/>
        <w:jc w:val="both"/>
        <w:rPr>
          <w:rFonts w:hint="eastAsia" w:asciiTheme="minorHAnsi" w:hAnsiTheme="minorHAnsi" w:eastAsiaTheme="minorEastAsia"/>
          <w:sz w:val="24"/>
          <w:szCs w:val="24"/>
          <w:lang w:val="en-US" w:eastAsia="zh-CN"/>
        </w:rPr>
      </w:pPr>
      <w:r>
        <w:rPr>
          <w:rFonts w:hint="eastAsia" w:asciiTheme="minorHAnsi" w:hAnsiTheme="minorHAnsi" w:eastAsiaTheme="minorEastAsia"/>
          <w:sz w:val="24"/>
          <w:szCs w:val="24"/>
          <w:lang w:val="en-US" w:eastAsia="zh-CN"/>
        </w:rPr>
        <w:t>2．依法向甲方所在地有管辖权的人民法院提起诉讼。</w:t>
      </w:r>
    </w:p>
    <w:p w14:paraId="6DA42E62">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十二、不可抗力</w:t>
      </w:r>
    </w:p>
    <w:p w14:paraId="59BAF32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D11F0C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161877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6B5C7E4E">
      <w:pPr>
        <w:pStyle w:val="40"/>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cs="Calibri Light" w:asciiTheme="minorHAnsi" w:hAnsiTheme="minorHAnsi" w:eastAsiaTheme="minorEastAsia"/>
          <w:b/>
          <w:sz w:val="24"/>
          <w:szCs w:val="24"/>
          <w:lang w:val="en-US" w:eastAsia="zh-CN"/>
        </w:rPr>
      </w:pPr>
      <w:r>
        <w:rPr>
          <w:rFonts w:hint="eastAsia" w:cs="Calibri Light" w:asciiTheme="minorHAnsi" w:hAnsiTheme="minorHAnsi" w:eastAsiaTheme="minorEastAsia"/>
          <w:b/>
          <w:sz w:val="24"/>
          <w:szCs w:val="24"/>
          <w:lang w:val="en-US" w:eastAsia="zh-CN"/>
        </w:rPr>
        <w:t>十三、合同生效及其他</w:t>
      </w:r>
    </w:p>
    <w:p w14:paraId="4C2D409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3A0F58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每份具有同等法律效力。</w:t>
      </w:r>
    </w:p>
    <w:p w14:paraId="13679E1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413ED701">
      <w:pPr>
        <w:pStyle w:val="40"/>
        <w:spacing w:line="240" w:lineRule="auto"/>
        <w:ind w:firstLine="480" w:firstLineChars="200"/>
        <w:jc w:val="both"/>
        <w:rPr>
          <w:rFonts w:asciiTheme="minorHAnsi" w:hAnsiTheme="minorHAnsi" w:eastAsiaTheme="minorEastAsia"/>
          <w:sz w:val="24"/>
          <w:szCs w:val="24"/>
        </w:rPr>
      </w:pPr>
    </w:p>
    <w:p w14:paraId="3FE7A5A4">
      <w:pPr>
        <w:pStyle w:val="3"/>
        <w:rPr>
          <w:rFonts w:asciiTheme="minorHAnsi" w:hAnsiTheme="minorHAnsi" w:eastAsiaTheme="minorEastAsia"/>
          <w:sz w:val="24"/>
          <w:szCs w:val="24"/>
        </w:rPr>
      </w:pPr>
    </w:p>
    <w:p w14:paraId="570DF07D">
      <w:pPr>
        <w:rPr>
          <w:rFonts w:asciiTheme="minorHAnsi" w:hAnsiTheme="minorHAnsi" w:eastAsiaTheme="minorEastAsia"/>
          <w:sz w:val="24"/>
          <w:szCs w:val="24"/>
        </w:rPr>
        <w:sectPr>
          <w:footerReference r:id="rId12" w:type="default"/>
          <w:footerReference r:id="rId13" w:type="even"/>
          <w:pgSz w:w="11906" w:h="16838"/>
          <w:pgMar w:top="1418" w:right="1418" w:bottom="1418" w:left="1418" w:header="851" w:footer="992" w:gutter="0"/>
          <w:pgNumType w:fmt="decimal"/>
          <w:cols w:space="425" w:num="1"/>
          <w:docGrid w:type="linesAndChars" w:linePitch="460" w:charSpace="0"/>
        </w:sectPr>
      </w:pPr>
    </w:p>
    <w:p w14:paraId="4378FB22">
      <w:pPr>
        <w:pStyle w:val="2"/>
      </w:pPr>
    </w:p>
    <w:p w14:paraId="074544B8">
      <w:pPr>
        <w:pStyle w:val="3"/>
        <w:rPr>
          <w:rFonts w:asciiTheme="minorHAnsi" w:hAnsiTheme="minorHAnsi" w:eastAsiaTheme="minorEastAsia"/>
          <w:sz w:val="24"/>
          <w:szCs w:val="24"/>
        </w:rPr>
      </w:pPr>
    </w:p>
    <w:p w14:paraId="3F054603">
      <w:pPr>
        <w:rPr>
          <w:rFonts w:asciiTheme="minorHAnsi" w:hAnsiTheme="minorHAnsi" w:eastAsiaTheme="minorEastAsia"/>
          <w:sz w:val="24"/>
          <w:szCs w:val="24"/>
        </w:rPr>
      </w:pPr>
    </w:p>
    <w:tbl>
      <w:tblPr>
        <w:tblStyle w:val="21"/>
        <w:tblpPr w:leftFromText="180" w:rightFromText="180" w:vertAnchor="text" w:horzAnchor="page" w:tblpX="1420" w:tblpY="441"/>
        <w:tblOverlap w:val="never"/>
        <w:tblW w:w="0" w:type="auto"/>
        <w:tblInd w:w="0" w:type="dxa"/>
        <w:tblLayout w:type="fixed"/>
        <w:tblCellMar>
          <w:top w:w="0" w:type="dxa"/>
          <w:left w:w="108" w:type="dxa"/>
          <w:bottom w:w="0" w:type="dxa"/>
          <w:right w:w="108" w:type="dxa"/>
        </w:tblCellMar>
      </w:tblPr>
      <w:tblGrid>
        <w:gridCol w:w="4643"/>
        <w:gridCol w:w="4643"/>
      </w:tblGrid>
      <w:tr w14:paraId="5620E8B9">
        <w:tblPrEx>
          <w:tblCellMar>
            <w:top w:w="0" w:type="dxa"/>
            <w:left w:w="108" w:type="dxa"/>
            <w:bottom w:w="0" w:type="dxa"/>
            <w:right w:w="108" w:type="dxa"/>
          </w:tblCellMar>
        </w:tblPrEx>
        <w:tc>
          <w:tcPr>
            <w:tcW w:w="4643" w:type="dxa"/>
            <w:noWrap w:val="0"/>
            <w:vAlign w:val="top"/>
          </w:tcPr>
          <w:p w14:paraId="66EE6F34">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甲方名称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14:paraId="79E6B629">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14:paraId="7BD13738">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14:paraId="1ECAD73B">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14:paraId="4DC0471B">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14:paraId="6185A821">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c>
          <w:tcPr>
            <w:tcW w:w="4643" w:type="dxa"/>
            <w:noWrap w:val="0"/>
            <w:vAlign w:val="top"/>
          </w:tcPr>
          <w:p w14:paraId="55F4CAA3">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乙方名称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14:paraId="0C9BCC31">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14:paraId="504D24F2">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14:paraId="372AE674">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14:paraId="171FE6B7">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14:paraId="22FCD6B9">
            <w:pPr>
              <w:widowControl/>
              <w:autoSpaceDE w:val="0"/>
              <w:autoSpaceDN w:val="0"/>
              <w:snapToGrid w:val="0"/>
              <w:spacing w:line="48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r>
    </w:tbl>
    <w:p w14:paraId="54009F5D">
      <w:pPr>
        <w:sectPr>
          <w:footerReference r:id="rId14" w:type="default"/>
          <w:pgSz w:w="11906" w:h="16838"/>
          <w:pgMar w:top="1418" w:right="1418" w:bottom="1418" w:left="1418" w:header="851" w:footer="992" w:gutter="0"/>
          <w:pgNumType w:fmt="decimal"/>
          <w:cols w:space="425" w:num="1"/>
          <w:docGrid w:type="linesAndChars" w:linePitch="460" w:charSpace="0"/>
        </w:sectPr>
      </w:pPr>
    </w:p>
    <w:p w14:paraId="62A0EE13">
      <w:pPr>
        <w:bidi w:val="0"/>
        <w:rPr>
          <w:rFonts w:hint="eastAsia"/>
        </w:rPr>
      </w:pPr>
      <w:bookmarkStart w:id="186" w:name="_Toc6677"/>
      <w:bookmarkStart w:id="187" w:name="_Toc2730"/>
    </w:p>
    <w:p w14:paraId="37501313">
      <w:pPr>
        <w:pStyle w:val="4"/>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第五部分  附件—响应文件格式</w:t>
      </w:r>
      <w:bookmarkEnd w:id="171"/>
      <w:bookmarkEnd w:id="185"/>
      <w:bookmarkEnd w:id="186"/>
      <w:bookmarkEnd w:id="187"/>
    </w:p>
    <w:bookmarkEnd w:id="172"/>
    <w:bookmarkEnd w:id="173"/>
    <w:bookmarkEnd w:id="174"/>
    <w:bookmarkEnd w:id="175"/>
    <w:bookmarkEnd w:id="176"/>
    <w:bookmarkEnd w:id="177"/>
    <w:bookmarkEnd w:id="178"/>
    <w:p w14:paraId="4B65B00D">
      <w:pPr>
        <w:pStyle w:val="18"/>
        <w:spacing w:beforeAutospacing="0" w:afterAutospacing="0" w:line="360" w:lineRule="auto"/>
        <w:jc w:val="right"/>
        <w:rPr>
          <w:rFonts w:hint="eastAsia" w:ascii="宋体" w:hAnsi="宋体" w:eastAsia="宋体" w:cs="宋体"/>
          <w:color w:val="auto"/>
          <w:sz w:val="54"/>
          <w:szCs w:val="54"/>
          <w:highlight w:val="none"/>
          <w:shd w:val="clear" w:color="auto" w:fill="FFFFFF"/>
        </w:rPr>
      </w:pPr>
      <w:bookmarkStart w:id="188" w:name="_Toc21305"/>
      <w:bookmarkStart w:id="189" w:name="_Toc246928961"/>
      <w:bookmarkStart w:id="190" w:name="_Toc357087380"/>
      <w:bookmarkStart w:id="191" w:name="_Toc128557264"/>
      <w:bookmarkStart w:id="192" w:name="_Toc246928962"/>
      <w:bookmarkStart w:id="193" w:name="_Toc389620244"/>
      <w:bookmarkStart w:id="194" w:name="_Toc497546922"/>
      <w:bookmarkStart w:id="195" w:name="_Toc497712137"/>
      <w:bookmarkStart w:id="196" w:name="_Toc497711589"/>
      <w:bookmarkStart w:id="197" w:name="_Toc385992404"/>
      <w:bookmarkStart w:id="198" w:name="_Toc492955463"/>
      <w:bookmarkStart w:id="199" w:name="_Toc497551824"/>
      <w:r>
        <w:rPr>
          <w:rFonts w:hint="eastAsia" w:ascii="宋体" w:hAnsi="宋体" w:eastAsia="宋体" w:cs="宋体"/>
          <w:b/>
          <w:color w:val="auto"/>
          <w:sz w:val="32"/>
          <w:szCs w:val="32"/>
          <w:highlight w:val="none"/>
          <w:shd w:val="clear" w:color="auto" w:fill="FFFFFF"/>
        </w:rPr>
        <w:t>正本/副本</w:t>
      </w:r>
    </w:p>
    <w:p w14:paraId="132484D3">
      <w:pPr>
        <w:pStyle w:val="18"/>
        <w:spacing w:beforeAutospacing="0" w:afterAutospacing="0" w:line="360" w:lineRule="auto"/>
        <w:rPr>
          <w:rFonts w:hint="eastAsia" w:ascii="宋体" w:hAnsi="宋体" w:eastAsia="宋体" w:cs="宋体"/>
          <w:color w:val="auto"/>
          <w:sz w:val="50"/>
          <w:szCs w:val="50"/>
          <w:highlight w:val="none"/>
          <w:shd w:val="clear" w:color="auto" w:fill="FFFFFF"/>
        </w:rPr>
      </w:pPr>
    </w:p>
    <w:p w14:paraId="6E6DF5E4">
      <w:pPr>
        <w:pStyle w:val="18"/>
        <w:spacing w:beforeAutospacing="0" w:afterAutospacing="0" w:line="360" w:lineRule="auto"/>
        <w:jc w:val="center"/>
        <w:rPr>
          <w:rFonts w:hint="eastAsia" w:ascii="宋体" w:hAnsi="宋体" w:eastAsia="宋体" w:cs="宋体"/>
          <w:color w:val="auto"/>
          <w:sz w:val="52"/>
          <w:szCs w:val="52"/>
          <w:highlight w:val="none"/>
          <w:shd w:val="clear" w:color="auto" w:fill="FFFFFF"/>
        </w:rPr>
      </w:pPr>
      <w:r>
        <w:rPr>
          <w:rFonts w:hint="eastAsia" w:cs="宋体"/>
          <w:color w:val="auto"/>
          <w:sz w:val="44"/>
          <w:szCs w:val="44"/>
          <w:highlight w:val="none"/>
          <w:shd w:val="clear" w:color="auto" w:fill="FFFFFF"/>
          <w:lang w:eastAsia="zh-CN"/>
        </w:rPr>
        <w:t>西咸新区房地产风险化解专项法律服务项目</w:t>
      </w:r>
    </w:p>
    <w:p w14:paraId="30B46FA3">
      <w:pPr>
        <w:pStyle w:val="18"/>
        <w:spacing w:beforeAutospacing="0" w:afterAutospacing="0" w:line="360" w:lineRule="auto"/>
        <w:jc w:val="center"/>
        <w:rPr>
          <w:rFonts w:hint="eastAsia" w:ascii="宋体" w:hAnsi="宋体" w:eastAsia="宋体" w:cs="宋体"/>
          <w:color w:val="auto"/>
          <w:sz w:val="54"/>
          <w:szCs w:val="54"/>
          <w:highlight w:val="none"/>
          <w:shd w:val="clear" w:color="auto" w:fill="FFFFFF"/>
        </w:rPr>
      </w:pPr>
    </w:p>
    <w:p w14:paraId="2E13F087">
      <w:pPr>
        <w:pStyle w:val="18"/>
        <w:spacing w:beforeAutospacing="0" w:afterAutospacing="0" w:line="360" w:lineRule="auto"/>
        <w:jc w:val="center"/>
        <w:rPr>
          <w:rFonts w:hint="eastAsia" w:ascii="宋体" w:hAnsi="宋体" w:eastAsia="宋体" w:cs="宋体"/>
          <w:color w:val="auto"/>
          <w:sz w:val="54"/>
          <w:szCs w:val="54"/>
          <w:highlight w:val="none"/>
          <w:shd w:val="clear" w:color="auto" w:fill="FFFFFF"/>
        </w:rPr>
      </w:pPr>
    </w:p>
    <w:p w14:paraId="6698A2C7">
      <w:pPr>
        <w:pStyle w:val="18"/>
        <w:spacing w:beforeAutospacing="0" w:afterAutospacing="0" w:line="360" w:lineRule="auto"/>
        <w:jc w:val="center"/>
        <w:rPr>
          <w:rFonts w:hint="eastAsia" w:ascii="宋体" w:hAnsi="宋体" w:eastAsia="宋体" w:cs="宋体"/>
          <w:color w:val="auto"/>
          <w:sz w:val="54"/>
          <w:szCs w:val="54"/>
          <w:highlight w:val="none"/>
          <w:shd w:val="clear" w:color="auto" w:fill="FFFFFF"/>
        </w:rPr>
      </w:pPr>
    </w:p>
    <w:p w14:paraId="4710EC52">
      <w:pPr>
        <w:pStyle w:val="18"/>
        <w:spacing w:beforeAutospacing="0" w:afterAutospacing="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shd w:val="clear" w:color="auto" w:fill="FFFFFF"/>
          <w:lang w:val="en-US" w:eastAsia="zh-CN"/>
        </w:rPr>
        <w:t>磋商</w:t>
      </w:r>
      <w:r>
        <w:rPr>
          <w:rFonts w:hint="eastAsia" w:ascii="宋体" w:hAnsi="宋体" w:eastAsia="宋体" w:cs="宋体"/>
          <w:color w:val="auto"/>
          <w:sz w:val="72"/>
          <w:szCs w:val="72"/>
          <w:highlight w:val="none"/>
          <w:shd w:val="clear" w:color="auto" w:fill="FFFFFF"/>
        </w:rPr>
        <w:t>响应文件</w:t>
      </w:r>
    </w:p>
    <w:p w14:paraId="75861BC8">
      <w:pPr>
        <w:pStyle w:val="18"/>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shd w:val="clear" w:color="auto" w:fill="FFFFFF"/>
        </w:rPr>
        <w:t>项目编号：</w:t>
      </w:r>
      <w:r>
        <w:rPr>
          <w:rFonts w:hint="eastAsia" w:cs="宋体"/>
          <w:b/>
          <w:color w:val="auto"/>
          <w:sz w:val="32"/>
          <w:highlight w:val="none"/>
          <w:lang w:eastAsia="zh-CN"/>
        </w:rPr>
        <w:t>JXD2025-ZCXX-0828</w:t>
      </w:r>
    </w:p>
    <w:p w14:paraId="0735A57C">
      <w:pPr>
        <w:pStyle w:val="18"/>
        <w:spacing w:beforeAutospacing="0" w:afterAutospacing="0" w:line="360" w:lineRule="auto"/>
        <w:jc w:val="center"/>
        <w:rPr>
          <w:rFonts w:hint="eastAsia" w:ascii="宋体" w:hAnsi="宋体" w:eastAsia="宋体" w:cs="宋体"/>
          <w:b/>
          <w:color w:val="auto"/>
          <w:sz w:val="32"/>
          <w:szCs w:val="32"/>
          <w:highlight w:val="none"/>
        </w:rPr>
      </w:pPr>
    </w:p>
    <w:p w14:paraId="568FC13C">
      <w:pPr>
        <w:pStyle w:val="18"/>
        <w:spacing w:beforeAutospacing="0" w:afterAutospacing="0" w:line="360" w:lineRule="auto"/>
        <w:rPr>
          <w:rFonts w:hint="eastAsia" w:ascii="宋体" w:hAnsi="宋体" w:eastAsia="宋体" w:cs="宋体"/>
          <w:color w:val="auto"/>
          <w:sz w:val="19"/>
          <w:szCs w:val="19"/>
          <w:highlight w:val="none"/>
          <w:shd w:val="clear" w:color="auto" w:fill="FFFFFF"/>
        </w:rPr>
      </w:pPr>
      <w:r>
        <w:rPr>
          <w:rFonts w:hint="eastAsia" w:ascii="宋体" w:hAnsi="宋体" w:eastAsia="宋体" w:cs="宋体"/>
          <w:color w:val="auto"/>
          <w:sz w:val="19"/>
          <w:szCs w:val="19"/>
          <w:highlight w:val="none"/>
          <w:shd w:val="clear" w:color="auto" w:fill="FFFFFF"/>
        </w:rPr>
        <w:t> </w:t>
      </w:r>
    </w:p>
    <w:p w14:paraId="41D2BF35">
      <w:pPr>
        <w:pStyle w:val="18"/>
        <w:spacing w:beforeAutospacing="0" w:afterAutospacing="0" w:line="360" w:lineRule="auto"/>
        <w:rPr>
          <w:rFonts w:hint="eastAsia" w:ascii="宋体" w:hAnsi="宋体" w:eastAsia="宋体" w:cs="宋体"/>
          <w:color w:val="auto"/>
          <w:sz w:val="19"/>
          <w:szCs w:val="19"/>
          <w:highlight w:val="none"/>
          <w:shd w:val="clear" w:color="auto" w:fill="FFFFFF"/>
        </w:rPr>
      </w:pPr>
    </w:p>
    <w:p w14:paraId="2202A2BF">
      <w:pPr>
        <w:pStyle w:val="18"/>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 </w:t>
      </w:r>
    </w:p>
    <w:p w14:paraId="347ACE69">
      <w:pPr>
        <w:pStyle w:val="38"/>
        <w:spacing w:line="360" w:lineRule="auto"/>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 </w:t>
      </w:r>
    </w:p>
    <w:p w14:paraId="54FE6C8C">
      <w:pPr>
        <w:pStyle w:val="38"/>
        <w:spacing w:line="360" w:lineRule="auto"/>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 </w:t>
      </w:r>
    </w:p>
    <w:p w14:paraId="2E3A041D">
      <w:pPr>
        <w:pStyle w:val="38"/>
        <w:spacing w:line="360" w:lineRule="auto"/>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 </w:t>
      </w:r>
    </w:p>
    <w:p w14:paraId="3DE0A673">
      <w:pPr>
        <w:pStyle w:val="38"/>
        <w:spacing w:line="360" w:lineRule="auto"/>
        <w:rPr>
          <w:rFonts w:hint="eastAsia" w:ascii="宋体" w:hAnsi="宋体" w:eastAsia="宋体" w:cs="宋体"/>
          <w:color w:val="auto"/>
          <w:sz w:val="32"/>
          <w:szCs w:val="32"/>
          <w:highlight w:val="none"/>
          <w:shd w:val="clear" w:color="auto" w:fill="FFFFFF"/>
        </w:rPr>
      </w:pPr>
      <w:r>
        <w:rPr>
          <w:rFonts w:hint="eastAsia" w:ascii="宋体" w:hAnsi="宋体" w:eastAsia="宋体" w:cs="宋体"/>
          <w:color w:val="auto"/>
          <w:sz w:val="19"/>
          <w:szCs w:val="19"/>
          <w:highlight w:val="none"/>
          <w:shd w:val="clear" w:color="auto" w:fill="FFFFFF"/>
        </w:rPr>
        <w:t> </w:t>
      </w:r>
    </w:p>
    <w:p w14:paraId="47B0E98B">
      <w:pPr>
        <w:pStyle w:val="18"/>
        <w:spacing w:beforeAutospacing="0" w:afterAutospacing="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供应商（公章）：</w:t>
      </w:r>
    </w:p>
    <w:p w14:paraId="475CE8A0">
      <w:pPr>
        <w:pStyle w:val="18"/>
        <w:spacing w:beforeAutospacing="0" w:afterAutospacing="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时间：</w:t>
      </w:r>
    </w:p>
    <w:p w14:paraId="74050B67">
      <w:pPr>
        <w:pStyle w:val="5"/>
        <w:spacing w:line="360" w:lineRule="auto"/>
        <w:rPr>
          <w:rFonts w:hint="eastAsia" w:ascii="宋体" w:hAnsi="宋体" w:eastAsia="宋体" w:cs="宋体"/>
          <w:color w:val="auto"/>
          <w:highlight w:val="none"/>
        </w:rPr>
        <w:sectPr>
          <w:footnotePr>
            <w:pos w:val="beneathText"/>
          </w:footnotePr>
          <w:pgSz w:w="11906" w:h="16838"/>
          <w:pgMar w:top="1440" w:right="1644" w:bottom="1219" w:left="1644" w:header="850" w:footer="992" w:gutter="0"/>
          <w:pgNumType w:fmt="decimal"/>
          <w:cols w:space="720" w:num="1"/>
          <w:titlePg/>
          <w:docGrid w:linePitch="312" w:charSpace="0"/>
        </w:sectPr>
      </w:pPr>
    </w:p>
    <w:p w14:paraId="0A87DBCA">
      <w:pPr>
        <w:pStyle w:val="5"/>
        <w:spacing w:line="360" w:lineRule="auto"/>
        <w:jc w:val="center"/>
        <w:rPr>
          <w:rFonts w:hint="eastAsia" w:ascii="宋体" w:hAnsi="宋体" w:eastAsia="宋体" w:cs="宋体"/>
          <w:color w:val="auto"/>
          <w:highlight w:val="none"/>
        </w:rPr>
      </w:pPr>
      <w:bookmarkStart w:id="200" w:name="_Toc27389"/>
      <w:bookmarkStart w:id="201" w:name="_Toc8954"/>
      <w:r>
        <w:rPr>
          <w:rFonts w:hint="eastAsia" w:ascii="宋体" w:hAnsi="宋体" w:eastAsia="宋体" w:cs="宋体"/>
          <w:color w:val="auto"/>
          <w:highlight w:val="none"/>
        </w:rPr>
        <w:t>一、</w:t>
      </w:r>
      <w:bookmarkEnd w:id="188"/>
      <w:bookmarkEnd w:id="189"/>
      <w:bookmarkEnd w:id="190"/>
      <w:r>
        <w:rPr>
          <w:rFonts w:hint="eastAsia" w:ascii="宋体" w:hAnsi="宋体" w:eastAsia="宋体" w:cs="宋体"/>
          <w:color w:val="auto"/>
          <w:highlight w:val="none"/>
        </w:rPr>
        <w:t>响应函</w:t>
      </w:r>
      <w:bookmarkEnd w:id="200"/>
      <w:bookmarkEnd w:id="201"/>
    </w:p>
    <w:p w14:paraId="6C03F5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szCs w:val="24"/>
          <w:highlight w:val="none"/>
          <w:u w:val="single"/>
        </w:rPr>
        <w:t xml:space="preserve">   （采购人名称）   </w:t>
      </w:r>
    </w:p>
    <w:p w14:paraId="3EDDFA89">
      <w:pPr>
        <w:spacing w:line="360" w:lineRule="auto"/>
        <w:rPr>
          <w:rFonts w:hint="eastAsia" w:ascii="宋体" w:hAnsi="宋体" w:eastAsia="宋体" w:cs="宋体"/>
          <w:color w:val="auto"/>
          <w:sz w:val="24"/>
          <w:highlight w:val="none"/>
        </w:rPr>
      </w:pPr>
    </w:p>
    <w:p w14:paraId="2C0B137D">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的竞争性磋商文件，签字代表</w:t>
      </w:r>
      <w:r>
        <w:rPr>
          <w:rFonts w:hint="eastAsia" w:ascii="宋体" w:hAnsi="宋体" w:eastAsia="宋体" w:cs="宋体"/>
          <w:color w:val="auto"/>
          <w:sz w:val="24"/>
          <w:highlight w:val="none"/>
          <w:u w:val="single"/>
        </w:rPr>
        <w:t xml:space="preserve">              (全名、职务)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 xml:space="preserve"> (供应商名称、地址）</w:t>
      </w:r>
      <w:r>
        <w:rPr>
          <w:rFonts w:hint="eastAsia" w:ascii="宋体" w:hAnsi="宋体" w:eastAsia="宋体" w:cs="宋体"/>
          <w:color w:val="auto"/>
          <w:sz w:val="24"/>
          <w:highlight w:val="none"/>
        </w:rPr>
        <w:t>提交包含下述内容的响应文件。</w:t>
      </w:r>
    </w:p>
    <w:p w14:paraId="373EF7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响应函；</w:t>
      </w:r>
    </w:p>
    <w:p w14:paraId="3DA2BD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第一次磋商报价表；</w:t>
      </w:r>
    </w:p>
    <w:p w14:paraId="1BD78E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按磋商须知要求提供的全部文件和磋商文件要求的响应文件；</w:t>
      </w:r>
    </w:p>
    <w:p w14:paraId="64C807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供应商资格证明文件；</w:t>
      </w:r>
    </w:p>
    <w:p w14:paraId="697EC91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 已交纳磋商保证金，金额为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4B50A4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据此函，签字代表宣布同意如下：</w:t>
      </w:r>
    </w:p>
    <w:p w14:paraId="3C1419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1.供应商将按磋商文件的规定履行合同责任和义务;</w:t>
      </w:r>
    </w:p>
    <w:p w14:paraId="46A2343E">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2.供应商已详细审查全部磋商文件，包括修改文件（如有的话）以及全部参考资料和有关附件。我们完全理解并同意放弃对这方面有不明及误解的权利；</w:t>
      </w:r>
    </w:p>
    <w:p w14:paraId="00040442">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3.磋商有效期自响应文件递交截止时间起有效期为</w:t>
      </w:r>
      <w:r>
        <w:rPr>
          <w:rFonts w:hint="eastAsia" w:ascii="宋体" w:hAnsi="宋体" w:cs="宋体"/>
          <w:color w:val="auto"/>
          <w:sz w:val="24"/>
          <w:highlight w:val="none"/>
          <w:u w:val="single"/>
          <w:lang w:val="en-US" w:eastAsia="zh-CN"/>
        </w:rPr>
        <w:t>90</w:t>
      </w:r>
      <w:r>
        <w:rPr>
          <w:rFonts w:hint="eastAsia" w:ascii="宋体" w:hAnsi="宋体" w:eastAsia="宋体" w:cs="宋体"/>
          <w:color w:val="auto"/>
          <w:sz w:val="24"/>
          <w:highlight w:val="none"/>
        </w:rPr>
        <w:t>个日历天；</w:t>
      </w:r>
    </w:p>
    <w:p w14:paraId="48D7AE1A">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4.如果供应商在磋商有效期内撤回磋商报价；或成交后未按磋商文件中磋商须知规定的向采购代理机构交纳足额的招标代理服务费，其磋商保证金将被贵方没收；</w:t>
      </w:r>
    </w:p>
    <w:p w14:paraId="3CDBCB6E">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5.与本磋商有关的一切正式往来通讯请寄：</w:t>
      </w: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417"/>
      </w:tblGrid>
      <w:tr w14:paraId="595F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5AF5CC78">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地址：</w:t>
            </w:r>
          </w:p>
        </w:tc>
        <w:tc>
          <w:tcPr>
            <w:tcW w:w="4417" w:type="dxa"/>
          </w:tcPr>
          <w:p w14:paraId="53E59EA9">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邮编：</w:t>
            </w:r>
          </w:p>
        </w:tc>
      </w:tr>
      <w:tr w14:paraId="713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09D5C1E3">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电话：</w:t>
            </w:r>
          </w:p>
        </w:tc>
        <w:tc>
          <w:tcPr>
            <w:tcW w:w="4417" w:type="dxa"/>
          </w:tcPr>
          <w:p w14:paraId="32425404">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传真：</w:t>
            </w:r>
          </w:p>
        </w:tc>
      </w:tr>
      <w:tr w14:paraId="26D4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432C482F">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供应商代表姓名、职务：</w:t>
            </w:r>
          </w:p>
        </w:tc>
      </w:tr>
      <w:tr w14:paraId="1895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78E5BC82">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供应商代表手机：</w:t>
            </w:r>
          </w:p>
        </w:tc>
      </w:tr>
      <w:tr w14:paraId="22B8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551305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66BC9084">
            <w:pPr>
              <w:spacing w:line="360" w:lineRule="auto"/>
              <w:rPr>
                <w:rFonts w:hint="eastAsia" w:ascii="宋体" w:hAnsi="宋体" w:eastAsia="宋体" w:cs="宋体"/>
                <w:color w:val="auto"/>
                <w:sz w:val="24"/>
                <w:highlight w:val="none"/>
                <w:vertAlign w:val="baseline"/>
              </w:rPr>
            </w:pPr>
          </w:p>
        </w:tc>
      </w:tr>
      <w:tr w14:paraId="0F69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41582C28">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法定代表人或授权代表签字或盖章：</w:t>
            </w:r>
          </w:p>
        </w:tc>
      </w:tr>
      <w:tr w14:paraId="2A9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44A33028">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D732431">
            <w:pPr>
              <w:spacing w:line="360" w:lineRule="auto"/>
              <w:rPr>
                <w:rFonts w:hint="eastAsia" w:ascii="宋体" w:hAnsi="宋体" w:eastAsia="宋体" w:cs="宋体"/>
                <w:color w:val="auto"/>
                <w:sz w:val="24"/>
                <w:highlight w:val="none"/>
                <w:vertAlign w:val="baseline"/>
              </w:rPr>
            </w:pPr>
          </w:p>
        </w:tc>
      </w:tr>
    </w:tbl>
    <w:p w14:paraId="32FBA46B">
      <w:pPr>
        <w:pStyle w:val="5"/>
        <w:adjustRightInd w:val="0"/>
        <w:spacing w:line="360" w:lineRule="auto"/>
        <w:jc w:val="center"/>
        <w:textAlignment w:val="baseline"/>
        <w:rPr>
          <w:rFonts w:hint="eastAsia" w:ascii="宋体" w:hAnsi="宋体" w:eastAsia="宋体" w:cs="宋体"/>
          <w:color w:val="auto"/>
          <w:highlight w:val="none"/>
        </w:rPr>
      </w:pPr>
      <w:bookmarkStart w:id="202" w:name="_Toc3751"/>
      <w:bookmarkStart w:id="203" w:name="_Toc23306"/>
      <w:r>
        <w:rPr>
          <w:rFonts w:hint="eastAsia" w:ascii="宋体" w:hAnsi="宋体" w:eastAsia="宋体" w:cs="宋体"/>
          <w:color w:val="auto"/>
          <w:highlight w:val="none"/>
        </w:rPr>
        <w:t>二、</w:t>
      </w:r>
      <w:bookmarkEnd w:id="191"/>
      <w:bookmarkEnd w:id="192"/>
      <w:r>
        <w:rPr>
          <w:rFonts w:hint="eastAsia" w:ascii="宋体" w:hAnsi="宋体" w:eastAsia="宋体" w:cs="宋体"/>
          <w:color w:val="auto"/>
          <w:highlight w:val="none"/>
        </w:rPr>
        <w:t>第一次磋商报价表</w:t>
      </w:r>
      <w:bookmarkEnd w:id="202"/>
      <w:bookmarkEnd w:id="203"/>
    </w:p>
    <w:bookmarkEnd w:id="193"/>
    <w:bookmarkEnd w:id="194"/>
    <w:bookmarkEnd w:id="195"/>
    <w:bookmarkEnd w:id="196"/>
    <w:bookmarkEnd w:id="197"/>
    <w:bookmarkEnd w:id="198"/>
    <w:bookmarkEnd w:id="199"/>
    <w:p w14:paraId="04481B54">
      <w:pPr>
        <w:spacing w:line="360" w:lineRule="auto"/>
        <w:rPr>
          <w:rFonts w:hint="eastAsia" w:ascii="宋体" w:hAnsi="宋体" w:eastAsia="宋体" w:cs="宋体"/>
          <w:color w:val="auto"/>
          <w:highlight w:val="none"/>
        </w:rPr>
      </w:pPr>
      <w:bookmarkStart w:id="204" w:name="_Toc246928964"/>
      <w:bookmarkStart w:id="205" w:name="_Toc497546923"/>
      <w:bookmarkStart w:id="206" w:name="_Toc492955464"/>
      <w:bookmarkStart w:id="207" w:name="_Toc389620245"/>
      <w:bookmarkStart w:id="208" w:name="_Toc385992405"/>
      <w:bookmarkStart w:id="209" w:name="_Toc497711590"/>
      <w:bookmarkStart w:id="210" w:name="_Toc497712138"/>
      <w:bookmarkStart w:id="211" w:name="_Toc497551825"/>
      <w:bookmarkStart w:id="212" w:name="_Hlt491766443"/>
    </w:p>
    <w:tbl>
      <w:tblPr>
        <w:tblStyle w:val="21"/>
        <w:tblW w:w="895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68"/>
        <w:gridCol w:w="5987"/>
      </w:tblGrid>
      <w:tr w14:paraId="2378F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968" w:type="dxa"/>
            <w:tcBorders>
              <w:bottom w:val="single" w:color="auto" w:sz="4" w:space="0"/>
            </w:tcBorders>
            <w:vAlign w:val="center"/>
          </w:tcPr>
          <w:p w14:paraId="0FA82583">
            <w:pPr>
              <w:spacing w:line="360" w:lineRule="auto"/>
              <w:jc w:val="center"/>
              <w:rPr>
                <w:rFonts w:hint="eastAsia" w:ascii="宋体" w:hAnsi="宋体" w:eastAsia="宋体" w:cs="宋体"/>
                <w:caps/>
                <w:color w:val="auto"/>
                <w:sz w:val="24"/>
                <w:highlight w:val="none"/>
              </w:rPr>
            </w:pPr>
            <w:r>
              <w:rPr>
                <w:rFonts w:hint="eastAsia" w:ascii="宋体" w:hAnsi="宋体" w:eastAsia="宋体" w:cs="宋体"/>
                <w:color w:val="auto"/>
                <w:sz w:val="24"/>
                <w:highlight w:val="none"/>
              </w:rPr>
              <w:t>项目名称</w:t>
            </w:r>
          </w:p>
        </w:tc>
        <w:tc>
          <w:tcPr>
            <w:tcW w:w="5987" w:type="dxa"/>
            <w:vAlign w:val="center"/>
          </w:tcPr>
          <w:p w14:paraId="024A70B4">
            <w:pPr>
              <w:spacing w:line="360" w:lineRule="auto"/>
              <w:jc w:val="center"/>
              <w:rPr>
                <w:rFonts w:hint="eastAsia" w:ascii="宋体" w:hAnsi="宋体" w:eastAsia="宋体" w:cs="宋体"/>
                <w:caps/>
                <w:color w:val="auto"/>
                <w:sz w:val="24"/>
                <w:highlight w:val="none"/>
              </w:rPr>
            </w:pPr>
          </w:p>
        </w:tc>
      </w:tr>
      <w:tr w14:paraId="73E062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968" w:type="dxa"/>
            <w:tcBorders>
              <w:bottom w:val="single" w:color="auto" w:sz="4" w:space="0"/>
            </w:tcBorders>
            <w:vAlign w:val="center"/>
          </w:tcPr>
          <w:p w14:paraId="0AA50837">
            <w:pPr>
              <w:spacing w:line="360" w:lineRule="auto"/>
              <w:jc w:val="center"/>
              <w:rPr>
                <w:rFonts w:hint="eastAsia" w:ascii="宋体" w:hAnsi="宋体" w:eastAsia="宋体" w:cs="宋体"/>
                <w:caps/>
                <w:color w:val="auto"/>
                <w:sz w:val="24"/>
                <w:highlight w:val="none"/>
              </w:rPr>
            </w:pPr>
            <w:r>
              <w:rPr>
                <w:rFonts w:hint="eastAsia" w:ascii="宋体" w:hAnsi="宋体" w:eastAsia="宋体" w:cs="宋体"/>
                <w:color w:val="auto"/>
                <w:sz w:val="24"/>
                <w:highlight w:val="none"/>
              </w:rPr>
              <w:t>项目编号</w:t>
            </w:r>
          </w:p>
        </w:tc>
        <w:tc>
          <w:tcPr>
            <w:tcW w:w="5987" w:type="dxa"/>
            <w:tcBorders>
              <w:bottom w:val="single" w:color="auto" w:sz="4" w:space="0"/>
            </w:tcBorders>
            <w:vAlign w:val="center"/>
          </w:tcPr>
          <w:p w14:paraId="78BFBE86">
            <w:pPr>
              <w:spacing w:line="360" w:lineRule="auto"/>
              <w:jc w:val="center"/>
              <w:rPr>
                <w:rFonts w:hint="eastAsia" w:ascii="宋体" w:hAnsi="宋体" w:eastAsia="宋体" w:cs="宋体"/>
                <w:caps/>
                <w:color w:val="auto"/>
                <w:sz w:val="24"/>
                <w:highlight w:val="none"/>
              </w:rPr>
            </w:pPr>
          </w:p>
        </w:tc>
      </w:tr>
      <w:tr w14:paraId="5D8A3D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968" w:type="dxa"/>
            <w:vAlign w:val="center"/>
          </w:tcPr>
          <w:p w14:paraId="454B41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5987" w:type="dxa"/>
            <w:vAlign w:val="center"/>
          </w:tcPr>
          <w:p w14:paraId="00401FA0">
            <w:pPr>
              <w:spacing w:line="360" w:lineRule="auto"/>
              <w:jc w:val="center"/>
              <w:rPr>
                <w:rFonts w:hint="eastAsia" w:ascii="宋体" w:hAnsi="宋体" w:eastAsia="宋体" w:cs="宋体"/>
                <w:color w:val="auto"/>
                <w:sz w:val="24"/>
                <w:highlight w:val="none"/>
              </w:rPr>
            </w:pPr>
          </w:p>
        </w:tc>
      </w:tr>
      <w:tr w14:paraId="291143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2968" w:type="dxa"/>
            <w:vAlign w:val="center"/>
          </w:tcPr>
          <w:p w14:paraId="79AA842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w:t>
            </w:r>
          </w:p>
          <w:p w14:paraId="186FDB9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c>
          <w:tcPr>
            <w:tcW w:w="5987" w:type="dxa"/>
            <w:vAlign w:val="top"/>
          </w:tcPr>
          <w:p w14:paraId="704E0726">
            <w:pPr>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小写金额：¥</w:t>
            </w:r>
            <w:r>
              <w:rPr>
                <w:rFonts w:hint="eastAsia" w:ascii="宋体" w:hAnsi="宋体" w:eastAsia="宋体" w:cs="宋体"/>
                <w:color w:val="auto"/>
                <w:sz w:val="24"/>
                <w:highlight w:val="none"/>
                <w:u w:val="single"/>
                <w:lang w:val="en-US" w:eastAsia="zh-CN"/>
              </w:rPr>
              <w:t xml:space="preserve">           </w:t>
            </w:r>
          </w:p>
          <w:p w14:paraId="5740FCD2">
            <w:pPr>
              <w:spacing w:line="360" w:lineRule="auto"/>
              <w:rPr>
                <w:rFonts w:hint="eastAsia" w:ascii="宋体" w:hAnsi="宋体" w:eastAsia="宋体" w:cs="宋体"/>
                <w:color w:val="auto"/>
                <w:sz w:val="24"/>
                <w:highlight w:val="none"/>
                <w:u w:val="single"/>
              </w:rPr>
            </w:pPr>
          </w:p>
          <w:p w14:paraId="1DB5A4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元 </w:t>
            </w:r>
          </w:p>
        </w:tc>
      </w:tr>
      <w:tr w14:paraId="147681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2968" w:type="dxa"/>
            <w:vAlign w:val="center"/>
          </w:tcPr>
          <w:p w14:paraId="4FFC56DD">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付款方式是否响应</w:t>
            </w:r>
          </w:p>
        </w:tc>
        <w:tc>
          <w:tcPr>
            <w:tcW w:w="5987" w:type="dxa"/>
            <w:vAlign w:val="center"/>
          </w:tcPr>
          <w:p w14:paraId="27080275">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w:t>
            </w:r>
          </w:p>
        </w:tc>
      </w:tr>
      <w:tr w14:paraId="400843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2968" w:type="dxa"/>
            <w:vAlign w:val="center"/>
          </w:tcPr>
          <w:p w14:paraId="682F2BE0">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服务期限是否响应</w:t>
            </w:r>
          </w:p>
        </w:tc>
        <w:tc>
          <w:tcPr>
            <w:tcW w:w="5987" w:type="dxa"/>
            <w:vAlign w:val="center"/>
          </w:tcPr>
          <w:p w14:paraId="28FE7D84">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w:t>
            </w:r>
          </w:p>
        </w:tc>
      </w:tr>
    </w:tbl>
    <w:p w14:paraId="06B44ABF">
      <w:pPr>
        <w:spacing w:line="360" w:lineRule="auto"/>
        <w:rPr>
          <w:rFonts w:hint="eastAsia" w:ascii="宋体" w:hAnsi="宋体" w:eastAsia="宋体" w:cs="宋体"/>
          <w:color w:val="auto"/>
          <w:sz w:val="24"/>
          <w:highlight w:val="none"/>
        </w:rPr>
      </w:pPr>
    </w:p>
    <w:p w14:paraId="70798B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55C87C1">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此磋商报价包含本项目所需全过程</w:t>
      </w:r>
      <w:r>
        <w:rPr>
          <w:rFonts w:hint="eastAsia" w:ascii="宋体" w:hAnsi="宋体" w:eastAsia="宋体" w:cs="宋体"/>
          <w:color w:val="auto"/>
          <w:kern w:val="28"/>
          <w:sz w:val="24"/>
          <w:highlight w:val="none"/>
        </w:rPr>
        <w:t>的一切费用</w:t>
      </w:r>
      <w:r>
        <w:rPr>
          <w:rFonts w:hint="eastAsia" w:ascii="宋体" w:hAnsi="宋体" w:eastAsia="宋体" w:cs="宋体"/>
          <w:color w:val="auto"/>
          <w:sz w:val="24"/>
          <w:szCs w:val="24"/>
          <w:highlight w:val="none"/>
          <w:lang w:eastAsia="zh-CN"/>
        </w:rPr>
        <w:t>；</w:t>
      </w:r>
    </w:p>
    <w:p w14:paraId="00AFB71B">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供应商报价不能超出采购预算，超出采购预算视为无效报价</w:t>
      </w:r>
      <w:r>
        <w:rPr>
          <w:rFonts w:hint="eastAsia" w:ascii="宋体" w:hAnsi="宋体" w:eastAsia="宋体" w:cs="宋体"/>
          <w:color w:val="auto"/>
          <w:sz w:val="24"/>
          <w:szCs w:val="24"/>
          <w:highlight w:val="none"/>
          <w:lang w:eastAsia="zh-CN"/>
        </w:rPr>
        <w:t>；</w:t>
      </w:r>
    </w:p>
    <w:p w14:paraId="5CAB0AC1">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后附报价明细表。</w:t>
      </w:r>
    </w:p>
    <w:bookmarkEnd w:id="204"/>
    <w:bookmarkEnd w:id="205"/>
    <w:bookmarkEnd w:id="206"/>
    <w:bookmarkEnd w:id="207"/>
    <w:bookmarkEnd w:id="208"/>
    <w:bookmarkEnd w:id="209"/>
    <w:bookmarkEnd w:id="210"/>
    <w:bookmarkEnd w:id="211"/>
    <w:bookmarkEnd w:id="212"/>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14:paraId="1ADC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25D01868">
            <w:pPr>
              <w:spacing w:line="360" w:lineRule="auto"/>
              <w:rPr>
                <w:rFonts w:hint="eastAsia" w:ascii="宋体" w:hAnsi="宋体" w:eastAsia="宋体" w:cs="宋体"/>
                <w:color w:val="auto"/>
                <w:sz w:val="24"/>
                <w:highlight w:val="none"/>
              </w:rPr>
            </w:pPr>
            <w:bookmarkStart w:id="213" w:name="_Toc31586"/>
            <w:bookmarkStart w:id="214" w:name="_Toc18772"/>
            <w:bookmarkStart w:id="215" w:name="_Toc8031"/>
            <w:bookmarkStart w:id="216" w:name="_Toc438047768"/>
            <w:bookmarkStart w:id="217" w:name="_Toc415647288"/>
            <w:bookmarkStart w:id="218" w:name="_Toc27696"/>
            <w:bookmarkStart w:id="219" w:name="_Toc497712147"/>
            <w:bookmarkStart w:id="220" w:name="_Toc246928972"/>
            <w:bookmarkStart w:id="221" w:name="_Toc497546932"/>
            <w:bookmarkStart w:id="222" w:name="_Toc492955473"/>
            <w:bookmarkStart w:id="223" w:name="_Toc497551834"/>
            <w:bookmarkStart w:id="224" w:name="_Toc389620250"/>
            <w:bookmarkStart w:id="225" w:name="_Toc497711599"/>
            <w:bookmarkStart w:id="226" w:name="_Toc385992410"/>
          </w:p>
          <w:p w14:paraId="0E476A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7C8EC6B1">
            <w:pPr>
              <w:spacing w:line="360" w:lineRule="auto"/>
              <w:rPr>
                <w:rFonts w:hint="eastAsia" w:ascii="宋体" w:hAnsi="宋体" w:eastAsia="宋体" w:cs="宋体"/>
                <w:color w:val="auto"/>
                <w:sz w:val="24"/>
                <w:highlight w:val="none"/>
                <w:vertAlign w:val="baseline"/>
              </w:rPr>
            </w:pPr>
          </w:p>
        </w:tc>
      </w:tr>
      <w:tr w14:paraId="2471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2901CC26">
            <w:pPr>
              <w:spacing w:line="360" w:lineRule="auto"/>
              <w:rPr>
                <w:rFonts w:hint="eastAsia" w:ascii="宋体" w:hAnsi="宋体" w:eastAsia="宋体" w:cs="宋体"/>
                <w:color w:val="auto"/>
                <w:sz w:val="24"/>
                <w:highlight w:val="none"/>
              </w:rPr>
            </w:pPr>
          </w:p>
          <w:p w14:paraId="6F4C2C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14:paraId="3DC06AFA">
            <w:pPr>
              <w:pStyle w:val="2"/>
              <w:rPr>
                <w:rFonts w:hint="eastAsia" w:ascii="宋体" w:hAnsi="宋体" w:eastAsia="宋体" w:cs="宋体"/>
                <w:color w:val="auto"/>
                <w:sz w:val="24"/>
                <w:highlight w:val="none"/>
              </w:rPr>
            </w:pPr>
          </w:p>
          <w:p w14:paraId="59DDF547">
            <w:pPr>
              <w:pStyle w:val="3"/>
              <w:rPr>
                <w:rFonts w:hint="eastAsia"/>
              </w:rPr>
            </w:pPr>
          </w:p>
        </w:tc>
      </w:tr>
      <w:tr w14:paraId="162F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556D42C8">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7F03820">
            <w:pPr>
              <w:spacing w:line="360" w:lineRule="auto"/>
              <w:rPr>
                <w:rFonts w:hint="eastAsia" w:ascii="宋体" w:hAnsi="宋体" w:eastAsia="宋体" w:cs="宋体"/>
                <w:color w:val="auto"/>
                <w:sz w:val="24"/>
                <w:highlight w:val="none"/>
                <w:vertAlign w:val="baseline"/>
              </w:rPr>
            </w:pPr>
          </w:p>
        </w:tc>
      </w:tr>
    </w:tbl>
    <w:p w14:paraId="72B86592">
      <w:pPr>
        <w:pStyle w:val="6"/>
        <w:spacing w:line="360" w:lineRule="auto"/>
        <w:rPr>
          <w:rFonts w:hint="eastAsia" w:ascii="宋体" w:hAnsi="宋体" w:eastAsia="宋体" w:cs="宋体"/>
          <w:color w:val="auto"/>
          <w:highlight w:val="none"/>
        </w:rPr>
        <w:sectPr>
          <w:pgSz w:w="11906" w:h="16838"/>
          <w:pgMar w:top="1440" w:right="1644" w:bottom="1219" w:left="1644" w:header="850" w:footer="992" w:gutter="0"/>
          <w:pgNumType w:fmt="decimal"/>
          <w:cols w:space="720" w:num="1"/>
          <w:titlePg/>
          <w:docGrid w:linePitch="312" w:charSpace="0"/>
        </w:sectPr>
      </w:pPr>
    </w:p>
    <w:p w14:paraId="24C5156A">
      <w:pPr>
        <w:pStyle w:val="7"/>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报价明细表</w:t>
      </w:r>
      <w:bookmarkEnd w:id="213"/>
      <w:bookmarkEnd w:id="214"/>
      <w:bookmarkEnd w:id="215"/>
      <w:bookmarkEnd w:id="216"/>
      <w:bookmarkEnd w:id="217"/>
    </w:p>
    <w:p w14:paraId="039CD7C8">
      <w:pPr>
        <w:spacing w:line="360" w:lineRule="auto"/>
        <w:rPr>
          <w:rFonts w:hint="eastAsia" w:ascii="宋体" w:hAnsi="宋体" w:eastAsia="宋体" w:cs="宋体"/>
          <w:color w:val="auto"/>
          <w:sz w:val="24"/>
          <w:highlight w:val="none"/>
        </w:rPr>
      </w:pPr>
    </w:p>
    <w:p w14:paraId="408A9C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供应商自行拟定格式，用于说明第一次磋商报价的组成。</w:t>
      </w:r>
    </w:p>
    <w:p w14:paraId="1A729B2C">
      <w:pPr>
        <w:spacing w:line="360" w:lineRule="auto"/>
        <w:rPr>
          <w:rFonts w:hint="eastAsia" w:ascii="宋体" w:hAnsi="宋体" w:eastAsia="宋体" w:cs="宋体"/>
          <w:color w:val="auto"/>
          <w:sz w:val="24"/>
          <w:highlight w:val="none"/>
        </w:rPr>
      </w:pPr>
    </w:p>
    <w:p w14:paraId="2BFDD001">
      <w:pPr>
        <w:spacing w:line="360" w:lineRule="auto"/>
        <w:rPr>
          <w:rFonts w:hint="eastAsia" w:ascii="宋体" w:hAnsi="宋体" w:eastAsia="宋体" w:cs="宋体"/>
          <w:color w:val="auto"/>
          <w:sz w:val="24"/>
          <w:highlight w:val="none"/>
        </w:rPr>
      </w:pPr>
    </w:p>
    <w:p w14:paraId="15DBB02A">
      <w:pPr>
        <w:spacing w:line="360" w:lineRule="auto"/>
        <w:rPr>
          <w:rFonts w:hint="eastAsia" w:ascii="宋体" w:hAnsi="宋体" w:eastAsia="宋体" w:cs="宋体"/>
          <w:color w:val="auto"/>
          <w:sz w:val="24"/>
          <w:highlight w:val="none"/>
        </w:rPr>
      </w:pPr>
    </w:p>
    <w:p w14:paraId="62C4C017">
      <w:pPr>
        <w:spacing w:line="360" w:lineRule="auto"/>
        <w:rPr>
          <w:rFonts w:hint="eastAsia" w:ascii="宋体" w:hAnsi="宋体" w:eastAsia="宋体" w:cs="宋体"/>
          <w:color w:val="auto"/>
          <w:sz w:val="24"/>
          <w:highlight w:val="none"/>
        </w:rPr>
      </w:pPr>
    </w:p>
    <w:p w14:paraId="4AB0FBC2">
      <w:pPr>
        <w:spacing w:line="360" w:lineRule="auto"/>
        <w:rPr>
          <w:rFonts w:hint="eastAsia" w:ascii="宋体" w:hAnsi="宋体" w:eastAsia="宋体" w:cs="宋体"/>
          <w:color w:val="auto"/>
          <w:sz w:val="24"/>
          <w:highlight w:val="none"/>
        </w:rPr>
      </w:pPr>
    </w:p>
    <w:p w14:paraId="43DEB829">
      <w:pPr>
        <w:spacing w:line="360" w:lineRule="auto"/>
        <w:rPr>
          <w:rFonts w:hint="eastAsia" w:ascii="宋体" w:hAnsi="宋体" w:eastAsia="宋体" w:cs="宋体"/>
          <w:color w:val="auto"/>
          <w:sz w:val="24"/>
          <w:highlight w:val="none"/>
        </w:rPr>
      </w:pPr>
    </w:p>
    <w:p w14:paraId="6B163A16">
      <w:pPr>
        <w:spacing w:line="360" w:lineRule="auto"/>
        <w:rPr>
          <w:rFonts w:hint="eastAsia" w:ascii="宋体" w:hAnsi="宋体" w:eastAsia="宋体" w:cs="宋体"/>
          <w:color w:val="auto"/>
          <w:sz w:val="24"/>
          <w:highlight w:val="none"/>
        </w:rPr>
      </w:pPr>
    </w:p>
    <w:p w14:paraId="3DFD17E5">
      <w:pPr>
        <w:spacing w:line="360" w:lineRule="auto"/>
        <w:rPr>
          <w:rFonts w:hint="eastAsia" w:ascii="宋体" w:hAnsi="宋体" w:eastAsia="宋体" w:cs="宋体"/>
          <w:color w:val="auto"/>
          <w:sz w:val="24"/>
          <w:highlight w:val="none"/>
        </w:rPr>
      </w:pPr>
    </w:p>
    <w:p w14:paraId="64A506DF">
      <w:pPr>
        <w:spacing w:line="360" w:lineRule="auto"/>
        <w:rPr>
          <w:rFonts w:hint="eastAsia" w:ascii="宋体" w:hAnsi="宋体" w:eastAsia="宋体" w:cs="宋体"/>
          <w:color w:val="auto"/>
          <w:sz w:val="24"/>
          <w:highlight w:val="none"/>
        </w:rPr>
      </w:pPr>
    </w:p>
    <w:p w14:paraId="752AA84B">
      <w:pPr>
        <w:spacing w:line="360" w:lineRule="auto"/>
        <w:rPr>
          <w:rFonts w:hint="eastAsia" w:ascii="宋体" w:hAnsi="宋体" w:eastAsia="宋体" w:cs="宋体"/>
          <w:color w:val="auto"/>
          <w:sz w:val="24"/>
          <w:highlight w:val="none"/>
        </w:rPr>
      </w:pPr>
    </w:p>
    <w:p w14:paraId="1450998E">
      <w:pPr>
        <w:spacing w:line="360" w:lineRule="auto"/>
        <w:rPr>
          <w:rFonts w:hint="eastAsia" w:ascii="宋体" w:hAnsi="宋体" w:eastAsia="宋体" w:cs="宋体"/>
          <w:color w:val="auto"/>
          <w:sz w:val="24"/>
          <w:highlight w:val="none"/>
        </w:rPr>
      </w:pPr>
    </w:p>
    <w:p w14:paraId="2FE42967">
      <w:pPr>
        <w:spacing w:line="360" w:lineRule="auto"/>
        <w:rPr>
          <w:rFonts w:hint="eastAsia" w:ascii="宋体" w:hAnsi="宋体" w:eastAsia="宋体" w:cs="宋体"/>
          <w:color w:val="auto"/>
          <w:sz w:val="24"/>
          <w:highlight w:val="none"/>
        </w:rPr>
      </w:pPr>
    </w:p>
    <w:p w14:paraId="38299A7F">
      <w:pPr>
        <w:spacing w:line="360" w:lineRule="auto"/>
        <w:rPr>
          <w:rFonts w:hint="eastAsia" w:ascii="宋体" w:hAnsi="宋体" w:eastAsia="宋体" w:cs="宋体"/>
          <w:color w:val="auto"/>
          <w:sz w:val="24"/>
          <w:highlight w:val="none"/>
        </w:rPr>
      </w:pPr>
    </w:p>
    <w:p w14:paraId="5FE762BC">
      <w:pPr>
        <w:spacing w:line="360" w:lineRule="auto"/>
        <w:rPr>
          <w:rFonts w:hint="eastAsia" w:ascii="宋体" w:hAnsi="宋体" w:eastAsia="宋体" w:cs="宋体"/>
          <w:color w:val="auto"/>
          <w:sz w:val="24"/>
          <w:highlight w:val="none"/>
        </w:rPr>
      </w:pPr>
    </w:p>
    <w:p w14:paraId="13F860D2">
      <w:pPr>
        <w:spacing w:line="360" w:lineRule="auto"/>
        <w:rPr>
          <w:rFonts w:hint="eastAsia" w:ascii="宋体" w:hAnsi="宋体" w:eastAsia="宋体" w:cs="宋体"/>
          <w:color w:val="auto"/>
          <w:sz w:val="24"/>
          <w:highlight w:val="none"/>
        </w:rPr>
      </w:pPr>
    </w:p>
    <w:p w14:paraId="46F7F994">
      <w:pPr>
        <w:spacing w:line="360" w:lineRule="auto"/>
        <w:rPr>
          <w:rFonts w:hint="eastAsia" w:ascii="宋体" w:hAnsi="宋体" w:eastAsia="宋体" w:cs="宋体"/>
          <w:color w:val="auto"/>
          <w:sz w:val="24"/>
          <w:highlight w:val="none"/>
        </w:rPr>
      </w:pPr>
    </w:p>
    <w:p w14:paraId="406E1A18">
      <w:pPr>
        <w:spacing w:line="360" w:lineRule="auto"/>
        <w:rPr>
          <w:rFonts w:hint="eastAsia" w:ascii="宋体" w:hAnsi="宋体" w:eastAsia="宋体" w:cs="宋体"/>
          <w:color w:val="auto"/>
          <w:sz w:val="24"/>
          <w:highlight w:val="none"/>
        </w:rPr>
      </w:pPr>
    </w:p>
    <w:p w14:paraId="5F8164A6">
      <w:pPr>
        <w:spacing w:line="360" w:lineRule="auto"/>
        <w:rPr>
          <w:rFonts w:hint="eastAsia" w:ascii="宋体" w:hAnsi="宋体" w:eastAsia="宋体" w:cs="宋体"/>
          <w:color w:val="auto"/>
          <w:sz w:val="24"/>
          <w:highlight w:val="none"/>
        </w:rPr>
      </w:pPr>
    </w:p>
    <w:p w14:paraId="77D6A07B">
      <w:pPr>
        <w:spacing w:line="360" w:lineRule="auto"/>
        <w:rPr>
          <w:rFonts w:hint="eastAsia" w:ascii="宋体" w:hAnsi="宋体" w:eastAsia="宋体" w:cs="宋体"/>
          <w:color w:val="auto"/>
          <w:sz w:val="24"/>
          <w:highlight w:val="none"/>
        </w:rPr>
      </w:pPr>
    </w:p>
    <w:p w14:paraId="00F8F316">
      <w:pPr>
        <w:spacing w:line="360" w:lineRule="auto"/>
        <w:rPr>
          <w:rFonts w:hint="eastAsia" w:ascii="宋体" w:hAnsi="宋体" w:eastAsia="宋体" w:cs="宋体"/>
          <w:color w:val="auto"/>
          <w:sz w:val="24"/>
          <w:highlight w:val="none"/>
        </w:rPr>
      </w:pPr>
    </w:p>
    <w:p w14:paraId="5C6CBACD">
      <w:pPr>
        <w:spacing w:line="360" w:lineRule="auto"/>
        <w:rPr>
          <w:rFonts w:hint="eastAsia" w:ascii="宋体" w:hAnsi="宋体" w:eastAsia="宋体" w:cs="宋体"/>
          <w:color w:val="auto"/>
          <w:sz w:val="24"/>
          <w:highlight w:val="none"/>
        </w:rPr>
      </w:pPr>
    </w:p>
    <w:p w14:paraId="0E4863FB">
      <w:pPr>
        <w:spacing w:line="360" w:lineRule="auto"/>
        <w:rPr>
          <w:rFonts w:hint="eastAsia" w:ascii="宋体" w:hAnsi="宋体" w:eastAsia="宋体" w:cs="宋体"/>
          <w:color w:val="auto"/>
          <w:sz w:val="24"/>
          <w:highlight w:val="none"/>
        </w:rPr>
      </w:pPr>
    </w:p>
    <w:p w14:paraId="6F42E9D3">
      <w:pPr>
        <w:spacing w:line="360" w:lineRule="auto"/>
        <w:rPr>
          <w:rFonts w:hint="eastAsia" w:ascii="宋体" w:hAnsi="宋体" w:eastAsia="宋体" w:cs="宋体"/>
          <w:color w:val="auto"/>
          <w:sz w:val="24"/>
          <w:highlight w:val="none"/>
        </w:rPr>
      </w:pPr>
    </w:p>
    <w:bookmarkEnd w:id="218"/>
    <w:p w14:paraId="0EC185AF">
      <w:pPr>
        <w:pStyle w:val="5"/>
        <w:adjustRightInd w:val="0"/>
        <w:spacing w:line="360" w:lineRule="auto"/>
        <w:textAlignment w:val="baseline"/>
        <w:rPr>
          <w:rFonts w:hint="eastAsia" w:ascii="宋体" w:hAnsi="宋体" w:eastAsia="宋体" w:cs="宋体"/>
          <w:color w:val="auto"/>
          <w:highlight w:val="none"/>
        </w:rPr>
        <w:sectPr>
          <w:pgSz w:w="11906" w:h="16838"/>
          <w:pgMar w:top="1440" w:right="1644" w:bottom="1219" w:left="1644" w:header="850" w:footer="992" w:gutter="0"/>
          <w:pgNumType w:fmt="decimal"/>
          <w:cols w:space="720" w:num="1"/>
          <w:titlePg/>
          <w:docGrid w:linePitch="312" w:charSpace="0"/>
        </w:sectPr>
      </w:pPr>
      <w:bookmarkStart w:id="227" w:name="_Hlt491572882"/>
      <w:bookmarkEnd w:id="227"/>
      <w:bookmarkStart w:id="228" w:name="_Hlt491766019"/>
      <w:bookmarkEnd w:id="228"/>
      <w:bookmarkStart w:id="229" w:name="_Hlt491573425"/>
      <w:bookmarkEnd w:id="229"/>
      <w:bookmarkStart w:id="230" w:name="_Hlt491765944"/>
      <w:bookmarkEnd w:id="230"/>
      <w:bookmarkStart w:id="231" w:name="_Hlt491765868"/>
      <w:bookmarkEnd w:id="231"/>
      <w:bookmarkStart w:id="232" w:name="_Toc497712145"/>
      <w:bookmarkStart w:id="233" w:name="_Toc24720"/>
      <w:bookmarkStart w:id="234" w:name="_Toc246928970"/>
      <w:bookmarkStart w:id="235" w:name="_Toc497551832"/>
      <w:bookmarkStart w:id="236" w:name="_Toc497546930"/>
      <w:bookmarkStart w:id="237" w:name="_Toc173809567"/>
      <w:bookmarkStart w:id="238" w:name="_Toc497711597"/>
      <w:bookmarkStart w:id="239" w:name="_Toc167595494"/>
      <w:bookmarkStart w:id="240" w:name="_Toc492955471"/>
    </w:p>
    <w:p w14:paraId="68965819">
      <w:pPr>
        <w:pStyle w:val="5"/>
        <w:spacing w:line="360" w:lineRule="auto"/>
        <w:jc w:val="center"/>
        <w:rPr>
          <w:rFonts w:hint="eastAsia" w:ascii="宋体" w:hAnsi="宋体" w:eastAsia="宋体" w:cs="宋体"/>
          <w:bCs/>
          <w:color w:val="auto"/>
          <w:sz w:val="24"/>
          <w:szCs w:val="24"/>
          <w:highlight w:val="none"/>
        </w:rPr>
      </w:pPr>
      <w:bookmarkStart w:id="241" w:name="_Toc12181"/>
      <w:bookmarkStart w:id="242" w:name="_Toc22179"/>
      <w:bookmarkStart w:id="243" w:name="_Toc25459"/>
      <w:bookmarkStart w:id="244" w:name="_Toc18782"/>
      <w:bookmarkStart w:id="245" w:name="_Toc5081"/>
      <w:bookmarkStart w:id="246" w:name="_Toc30439"/>
      <w:bookmarkStart w:id="247" w:name="_Hlk47189947"/>
      <w:r>
        <w:rPr>
          <w:rFonts w:hint="eastAsia" w:ascii="宋体" w:hAnsi="宋体" w:eastAsia="宋体" w:cs="宋体"/>
          <w:bCs/>
          <w:color w:val="auto"/>
          <w:sz w:val="24"/>
          <w:szCs w:val="24"/>
          <w:highlight w:val="none"/>
        </w:rPr>
        <w:t>三、</w:t>
      </w:r>
      <w:r>
        <w:rPr>
          <w:rFonts w:hint="eastAsia" w:ascii="宋体" w:hAnsi="宋体" w:eastAsia="宋体" w:cs="宋体"/>
          <w:bCs/>
          <w:color w:val="auto"/>
          <w:sz w:val="24"/>
          <w:szCs w:val="24"/>
          <w:highlight w:val="none"/>
          <w:lang w:val="en-US" w:eastAsia="zh-CN"/>
        </w:rPr>
        <w:t>资格</w:t>
      </w:r>
      <w:r>
        <w:rPr>
          <w:rFonts w:hint="eastAsia" w:ascii="宋体" w:hAnsi="宋体" w:eastAsia="宋体" w:cs="宋体"/>
          <w:bCs/>
          <w:color w:val="auto"/>
          <w:sz w:val="24"/>
          <w:szCs w:val="24"/>
          <w:highlight w:val="none"/>
        </w:rPr>
        <w:t>证明文件</w:t>
      </w:r>
      <w:bookmarkEnd w:id="241"/>
      <w:bookmarkEnd w:id="242"/>
      <w:bookmarkEnd w:id="243"/>
      <w:bookmarkEnd w:id="244"/>
      <w:bookmarkEnd w:id="245"/>
      <w:bookmarkEnd w:id="246"/>
    </w:p>
    <w:bookmarkEnd w:id="247"/>
    <w:p w14:paraId="75D81503">
      <w:pPr>
        <w:numPr>
          <w:ilvl w:val="0"/>
          <w:numId w:val="0"/>
        </w:numPr>
        <w:autoSpaceDE w:val="0"/>
        <w:autoSpaceDN w:val="0"/>
        <w:adjustRightInd w:val="0"/>
        <w:snapToGrid w:val="0"/>
        <w:spacing w:line="360" w:lineRule="auto"/>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基本资格条件：符合《中华人民共和国政府采购法》第二十二条的规定</w:t>
      </w:r>
      <w:r>
        <w:rPr>
          <w:rFonts w:hint="eastAsia" w:ascii="宋体" w:hAnsi="宋体" w:eastAsia="宋体" w:cs="宋体"/>
          <w:b/>
          <w:bCs/>
          <w:kern w:val="0"/>
          <w:sz w:val="24"/>
          <w:szCs w:val="24"/>
          <w:highlight w:val="none"/>
          <w:shd w:val="clear" w:color="auto" w:fill="FFFFFF"/>
          <w:lang w:val="en-US" w:eastAsia="zh-CN" w:bidi="ar-SA"/>
        </w:rPr>
        <w:t>：</w:t>
      </w:r>
    </w:p>
    <w:p w14:paraId="1C43E2F9">
      <w:pPr>
        <w:autoSpaceDE w:val="0"/>
        <w:autoSpaceDN w:val="0"/>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供应商应为具有独立承担民事责任能力且具备向采购人提供相关服务的企业法人、事业法人、其他组织或自然人。企业法人应提供具有统一社会信用代码的营业执照；事业法人应提供事业单位法人证等证明文件；其他组织应提供合法证明文件；自然人提供身份证明文件；</w:t>
      </w:r>
    </w:p>
    <w:p w14:paraId="224A35B2">
      <w:pPr>
        <w:pStyle w:val="14"/>
        <w:numPr>
          <w:ilvl w:val="0"/>
          <w:numId w:val="0"/>
        </w:numPr>
        <w:rPr>
          <w:rFonts w:hint="eastAsia"/>
          <w:lang w:val="en-US" w:eastAsia="zh-CN"/>
        </w:rPr>
      </w:pPr>
    </w:p>
    <w:p w14:paraId="5CDAE22A">
      <w:pPr>
        <w:autoSpaceDE w:val="0"/>
        <w:autoSpaceDN w:val="0"/>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Times New Roman" w:hAnsi="Times New Roman" w:eastAsia="宋体" w:cs="Times New Roman"/>
          <w:b/>
          <w:bCs/>
          <w:sz w:val="24"/>
          <w:szCs w:val="24"/>
          <w:lang w:val="en-US" w:eastAsia="zh-CN"/>
        </w:rPr>
        <w:t>(2)根据《陕西省西咸新区财政金融局关于全面推行政府采购供应商基本资格条件承诺制的通知 （陕西咸财金发〔2023〕119 号）》供应商在参与政府采购活动时，不再需要提供 :1）符合国家规定的财务的证明材料、 2）依法缴纳税收的证明材料、 3）依法缴纳社会保障金的证明材料、 4）具备履行合同所必需的设备和专业技术能力的证明材料、 5）参加政府采购活动（以开</w:t>
      </w:r>
      <w:r>
        <w:rPr>
          <w:rFonts w:hint="eastAsia" w:ascii="Times New Roman" w:cs="Times New Roman"/>
          <w:b/>
          <w:bCs/>
          <w:sz w:val="24"/>
          <w:szCs w:val="24"/>
          <w:lang w:val="en-US" w:eastAsia="zh-CN"/>
        </w:rPr>
        <w:t>标</w:t>
      </w:r>
      <w:r>
        <w:rPr>
          <w:rFonts w:hint="eastAsia" w:ascii="Times New Roman" w:hAnsi="Times New Roman" w:eastAsia="宋体" w:cs="Times New Roman"/>
          <w:b/>
          <w:bCs/>
          <w:sz w:val="24"/>
          <w:szCs w:val="24"/>
          <w:lang w:val="en-US" w:eastAsia="zh-CN"/>
        </w:rPr>
        <w:t>时间为准）前 3 年内，在经营活动中没有重大违法记录证明材料。供应商只需以书面形式提供规定格式的《基本资格条件承诺函》，</w:t>
      </w:r>
      <w:r>
        <w:rPr>
          <w:rFonts w:hint="eastAsia"/>
          <w:b/>
          <w:bCs/>
          <w:sz w:val="24"/>
          <w:szCs w:val="24"/>
          <w:lang w:val="en-US" w:eastAsia="zh-CN"/>
        </w:rPr>
        <w:t>不提供《基本资格条件承诺函》的供应商需提交相关证明材料。</w:t>
      </w:r>
      <w:r>
        <w:rPr>
          <w:rFonts w:hint="eastAsia" w:ascii="宋体" w:hAnsi="宋体" w:eastAsia="宋体" w:cs="宋体"/>
          <w:b/>
          <w:bCs/>
          <w:sz w:val="24"/>
          <w:szCs w:val="24"/>
          <w:highlight w:val="none"/>
          <w:lang w:val="en-US" w:eastAsia="zh-CN"/>
        </w:rPr>
        <w:t xml:space="preserve">提供《基本资格条件承诺函》，供应商应对承诺内容的真实性、合法性、有效性负责。经调查核实为虚假承诺的，视同为“提供虚假材料谋取中标、成交”的违法行为，依照《中华人民共和国政府采购法》等法律法规追究相应责任。承诺函格式详情见附件(基本资格条件承诺函)。 </w:t>
      </w:r>
    </w:p>
    <w:p w14:paraId="1ABDD43B">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不提供《基本资格条件承诺函》的供应商需提交如下资格证明文件：</w:t>
      </w:r>
    </w:p>
    <w:p w14:paraId="6737F078">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年度经审计的财务报告（成立时间至提交投标文件截止时间不足一年的可提供成立后任意时段的资产负债表）</w:t>
      </w:r>
      <w:r>
        <w:rPr>
          <w:rFonts w:hint="eastAsia" w:ascii="宋体" w:hAnsi="宋体" w:eastAsia="宋体" w:cs="宋体"/>
          <w:sz w:val="24"/>
          <w:szCs w:val="24"/>
          <w:highlight w:val="none"/>
        </w:rPr>
        <w:t>，或其基本存款账户开户银行出具的资信证明及基本存款账户开户许可证（基本账户信息表）；</w:t>
      </w:r>
    </w:p>
    <w:p w14:paraId="41A8D1B3">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截止日前一年内已缴纳的至少一个月的纳税证明或完税证明，依法免税的单位应提供相关证明材料；</w:t>
      </w:r>
    </w:p>
    <w:p w14:paraId="7874CC1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截止日前一年内已缴存的至少一个月的社会保障资金缴存单据或社保机构开具的社会保险参保缴费情况证明，依法不需要缴纳社会保障资金的单位应提供相关证明材料；</w:t>
      </w:r>
    </w:p>
    <w:p w14:paraId="07BB7BBB">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提供具有履行合同所必需的设备和专业技术能力的承诺；（格式自拟）</w:t>
      </w:r>
    </w:p>
    <w:p w14:paraId="243B228C">
      <w:pPr>
        <w:spacing w:line="420" w:lineRule="exact"/>
        <w:ind w:left="42" w:leftChars="2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参加政府采购活动前3年内，在经营活动中没有重大违法记录的书面声明；（格式自拟）</w:t>
      </w:r>
    </w:p>
    <w:p w14:paraId="37CB4191">
      <w:pPr>
        <w:spacing w:line="420" w:lineRule="exact"/>
        <w:ind w:left="42" w:leftChars="20"/>
        <w:rPr>
          <w:rFonts w:hint="eastAsia" w:hAnsi="宋体" w:eastAsia="宋体" w:cs="宋体"/>
          <w:b/>
          <w:bCs/>
          <w:highlight w:val="none"/>
          <w:lang w:val="en-US" w:eastAsia="zh-CN"/>
        </w:rPr>
      </w:pPr>
    </w:p>
    <w:p w14:paraId="11BCB00A">
      <w:pPr>
        <w:spacing w:line="420" w:lineRule="exact"/>
        <w:ind w:left="42" w:leftChars="20"/>
        <w:rPr>
          <w:rFonts w:hint="eastAsia" w:hAnsi="宋体" w:eastAsia="宋体" w:cs="宋体"/>
          <w:b/>
          <w:bCs/>
          <w:highlight w:val="none"/>
          <w:lang w:val="en-US" w:eastAsia="zh-CN"/>
        </w:rPr>
      </w:pPr>
    </w:p>
    <w:p w14:paraId="2E03B965">
      <w:pPr>
        <w:numPr>
          <w:ilvl w:val="0"/>
          <w:numId w:val="0"/>
        </w:numPr>
        <w:tabs>
          <w:tab w:val="left" w:pos="5580"/>
        </w:tabs>
        <w:spacing w:before="120" w:line="360" w:lineRule="auto"/>
        <w:outlineLvl w:val="3"/>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供应商应为具有独立承担民事责任能力</w:t>
      </w:r>
    </w:p>
    <w:p w14:paraId="5E8DA1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应为具有独立承担民事责任能力且具备向采购人提供相关服务的企业法人、事业法人、其他组织或自然人。企业法人应提供具有统一社会信用代码的营业执照；事业法人应提供事业单位法人证等证明文件；其他组织应提供合法证明文件；自然人提供身份证明文件</w:t>
      </w:r>
      <w:r>
        <w:rPr>
          <w:rFonts w:hint="eastAsia" w:ascii="宋体" w:hAnsi="宋体" w:cs="宋体"/>
          <w:color w:val="auto"/>
          <w:sz w:val="24"/>
          <w:highlight w:val="none"/>
          <w:lang w:val="en-US" w:eastAsia="zh-CN"/>
        </w:rPr>
        <w:t>。</w:t>
      </w:r>
    </w:p>
    <w:p w14:paraId="26515721">
      <w:pPr>
        <w:bidi w:val="0"/>
        <w:rPr>
          <w:rFonts w:hint="eastAsia"/>
          <w:lang w:val="en-US" w:eastAsia="zh-CN"/>
        </w:rPr>
      </w:pPr>
    </w:p>
    <w:p w14:paraId="1B476D9B">
      <w:pPr>
        <w:bidi w:val="0"/>
        <w:rPr>
          <w:rFonts w:hint="eastAsia"/>
          <w:lang w:val="en-US" w:eastAsia="zh-CN"/>
        </w:rPr>
      </w:pPr>
    </w:p>
    <w:p w14:paraId="478F8686">
      <w:pPr>
        <w:bidi w:val="0"/>
        <w:rPr>
          <w:rFonts w:hint="eastAsia"/>
          <w:lang w:val="en-US" w:eastAsia="zh-CN"/>
        </w:rPr>
      </w:pPr>
    </w:p>
    <w:p w14:paraId="1DA39091">
      <w:pPr>
        <w:bidi w:val="0"/>
        <w:rPr>
          <w:rFonts w:hint="eastAsia"/>
          <w:lang w:val="en-US" w:eastAsia="zh-CN"/>
        </w:rPr>
      </w:pPr>
    </w:p>
    <w:p w14:paraId="23C46EFB">
      <w:pPr>
        <w:bidi w:val="0"/>
        <w:rPr>
          <w:rFonts w:hint="eastAsia"/>
          <w:lang w:val="en-US" w:eastAsia="zh-CN"/>
        </w:rPr>
      </w:pPr>
    </w:p>
    <w:p w14:paraId="46B818A0">
      <w:pPr>
        <w:bidi w:val="0"/>
        <w:rPr>
          <w:rFonts w:hint="eastAsia"/>
          <w:lang w:val="en-US" w:eastAsia="zh-CN"/>
        </w:rPr>
      </w:pPr>
    </w:p>
    <w:p w14:paraId="07D9D977">
      <w:pPr>
        <w:bidi w:val="0"/>
        <w:rPr>
          <w:rFonts w:hint="eastAsia"/>
          <w:lang w:val="en-US" w:eastAsia="zh-CN"/>
        </w:rPr>
      </w:pPr>
    </w:p>
    <w:p w14:paraId="2EE77A11">
      <w:pPr>
        <w:bidi w:val="0"/>
        <w:rPr>
          <w:rFonts w:hint="eastAsia"/>
          <w:lang w:val="en-US" w:eastAsia="zh-CN"/>
        </w:rPr>
      </w:pPr>
    </w:p>
    <w:p w14:paraId="2297FBBF">
      <w:pPr>
        <w:bidi w:val="0"/>
        <w:rPr>
          <w:rFonts w:hint="eastAsia"/>
          <w:lang w:val="en-US" w:eastAsia="zh-CN"/>
        </w:rPr>
      </w:pPr>
    </w:p>
    <w:p w14:paraId="0C660B79">
      <w:pPr>
        <w:bidi w:val="0"/>
        <w:rPr>
          <w:rFonts w:hint="eastAsia"/>
          <w:lang w:val="en-US" w:eastAsia="zh-CN"/>
        </w:rPr>
      </w:pPr>
    </w:p>
    <w:p w14:paraId="664167BA">
      <w:pPr>
        <w:bidi w:val="0"/>
        <w:rPr>
          <w:rFonts w:hint="eastAsia"/>
          <w:lang w:val="en-US" w:eastAsia="zh-CN"/>
        </w:rPr>
      </w:pPr>
    </w:p>
    <w:p w14:paraId="274F4B2A">
      <w:pPr>
        <w:bidi w:val="0"/>
        <w:rPr>
          <w:rFonts w:hint="eastAsia"/>
          <w:lang w:val="en-US" w:eastAsia="zh-CN"/>
        </w:rPr>
      </w:pPr>
    </w:p>
    <w:p w14:paraId="12AC37CF">
      <w:pPr>
        <w:bidi w:val="0"/>
        <w:rPr>
          <w:rFonts w:hint="eastAsia"/>
          <w:lang w:val="en-US" w:eastAsia="zh-CN"/>
        </w:rPr>
      </w:pPr>
    </w:p>
    <w:p w14:paraId="2C29F698">
      <w:pPr>
        <w:bidi w:val="0"/>
        <w:rPr>
          <w:rFonts w:hint="eastAsia"/>
          <w:lang w:val="en-US" w:eastAsia="zh-CN"/>
        </w:rPr>
      </w:pPr>
    </w:p>
    <w:p w14:paraId="4C1FC251">
      <w:pPr>
        <w:bidi w:val="0"/>
        <w:rPr>
          <w:rFonts w:hint="eastAsia"/>
          <w:lang w:val="en-US" w:eastAsia="zh-CN"/>
        </w:rPr>
      </w:pPr>
    </w:p>
    <w:p w14:paraId="589A626C">
      <w:pPr>
        <w:bidi w:val="0"/>
        <w:rPr>
          <w:rFonts w:hint="eastAsia"/>
          <w:lang w:val="en-US" w:eastAsia="zh-CN"/>
        </w:rPr>
      </w:pPr>
    </w:p>
    <w:p w14:paraId="20AA58B9">
      <w:pPr>
        <w:bidi w:val="0"/>
        <w:rPr>
          <w:rFonts w:hint="eastAsia"/>
          <w:lang w:val="en-US" w:eastAsia="zh-CN"/>
        </w:rPr>
      </w:pPr>
    </w:p>
    <w:p w14:paraId="4F2C9AA5">
      <w:pPr>
        <w:bidi w:val="0"/>
        <w:rPr>
          <w:rFonts w:hint="eastAsia"/>
          <w:lang w:val="en-US" w:eastAsia="zh-CN"/>
        </w:rPr>
      </w:pPr>
    </w:p>
    <w:p w14:paraId="3B30900C">
      <w:pPr>
        <w:bidi w:val="0"/>
        <w:rPr>
          <w:rFonts w:hint="eastAsia"/>
          <w:lang w:val="en-US" w:eastAsia="zh-CN"/>
        </w:rPr>
      </w:pPr>
    </w:p>
    <w:p w14:paraId="5BE04CE5">
      <w:pPr>
        <w:bidi w:val="0"/>
        <w:rPr>
          <w:rFonts w:hint="eastAsia"/>
          <w:lang w:val="en-US" w:eastAsia="zh-CN"/>
        </w:rPr>
      </w:pPr>
    </w:p>
    <w:p w14:paraId="4662215C">
      <w:pPr>
        <w:tabs>
          <w:tab w:val="left" w:pos="5580"/>
        </w:tabs>
        <w:spacing w:before="120" w:line="360" w:lineRule="auto"/>
        <w:outlineLvl w:val="3"/>
        <w:rPr>
          <w:rFonts w:hint="eastAsia" w:ascii="宋体" w:hAnsi="宋体" w:cs="宋体"/>
          <w:b/>
          <w:bCs/>
          <w:color w:val="auto"/>
          <w:kern w:val="2"/>
          <w:sz w:val="24"/>
          <w:szCs w:val="24"/>
          <w:highlight w:val="none"/>
          <w:lang w:val="en-US" w:eastAsia="zh-CN"/>
        </w:rPr>
        <w:sectPr>
          <w:pgSz w:w="11906" w:h="16838"/>
          <w:pgMar w:top="1440" w:right="1644" w:bottom="1219" w:left="1644" w:header="850" w:footer="992" w:gutter="0"/>
          <w:pgNumType w:fmt="decimal"/>
          <w:cols w:space="720" w:num="1"/>
          <w:titlePg/>
          <w:docGrid w:linePitch="312" w:charSpace="0"/>
        </w:sectPr>
      </w:pPr>
    </w:p>
    <w:p w14:paraId="640324C2">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供应商书面</w:t>
      </w:r>
      <w:r>
        <w:rPr>
          <w:rFonts w:hint="eastAsia" w:ascii="宋体" w:hAnsi="宋体" w:cs="宋体"/>
          <w:b/>
          <w:color w:val="auto"/>
          <w:sz w:val="24"/>
          <w:highlight w:val="none"/>
          <w:lang w:val="en-US" w:eastAsia="zh-CN"/>
        </w:rPr>
        <w:t>承诺函</w:t>
      </w:r>
    </w:p>
    <w:p w14:paraId="73C70F7F">
      <w:pPr>
        <w:spacing w:line="480" w:lineRule="auto"/>
        <w:jc w:val="both"/>
        <w:rPr>
          <w:rFonts w:hint="eastAsia" w:ascii="宋体" w:hAnsi="宋体" w:eastAsia="宋体" w:cs="宋体"/>
          <w:b/>
          <w:bCs/>
          <w:sz w:val="32"/>
          <w:szCs w:val="40"/>
          <w:highlight w:val="none"/>
        </w:rPr>
      </w:pPr>
    </w:p>
    <w:p w14:paraId="6921EE49">
      <w:pPr>
        <w:spacing w:line="480" w:lineRule="auto"/>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基本资格条件承诺函</w:t>
      </w:r>
    </w:p>
    <w:p w14:paraId="4E56573C">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(采购代理机构名称 ):</w:t>
      </w:r>
    </w:p>
    <w:p w14:paraId="180B7712">
      <w:pPr>
        <w:spacing w:line="48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(投标人名称)郑重承诺:</w:t>
      </w:r>
    </w:p>
    <w:p w14:paraId="1B409161">
      <w:pPr>
        <w:numPr>
          <w:ilvl w:val="0"/>
          <w:numId w:val="0"/>
        </w:numPr>
        <w:spacing w:line="480" w:lineRule="auto"/>
        <w:ind w:firstLine="720" w:firstLineChars="3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14:paraId="7E38A252">
      <w:pPr>
        <w:spacing w:line="48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2.我方未列入在信用中国网站(www.creditchina.gov.cn)““失信被执行人”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重大税收违法案件当事人名单”中，也未列入中国政府采购网 (www.ccgp.gov.cn)“政府采购严重违法失信行为记录名单”中</w:t>
      </w:r>
      <w:r>
        <w:rPr>
          <w:rFonts w:hint="eastAsia" w:ascii="宋体" w:hAnsi="宋体" w:eastAsia="宋体" w:cs="宋体"/>
          <w:sz w:val="24"/>
          <w:szCs w:val="24"/>
          <w:highlight w:val="none"/>
          <w:lang w:eastAsia="zh-CN"/>
        </w:rPr>
        <w:t>。</w:t>
      </w:r>
    </w:p>
    <w:p w14:paraId="3FE23D9C">
      <w:pPr>
        <w:spacing w:line="48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 (评标) 环节结束后，随时接受采购人、采购代理机构的检查验证，配合提供相关证明材料，证明符合《中华人民共和国政府采购法》规定的投标人基本资格条件。</w:t>
      </w:r>
    </w:p>
    <w:p w14:paraId="64D6E03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4F2D38F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10D4769D">
      <w:pPr>
        <w:spacing w:line="360" w:lineRule="auto"/>
        <w:ind w:firstLine="2880" w:firstLineChars="1200"/>
        <w:rPr>
          <w:rFonts w:hint="eastAsia" w:ascii="宋体" w:hAnsi="宋体" w:cs="宋体"/>
          <w:sz w:val="24"/>
          <w:szCs w:val="24"/>
          <w:highlight w:val="none"/>
        </w:rPr>
      </w:pPr>
    </w:p>
    <w:p w14:paraId="6F3AD4CC">
      <w:pPr>
        <w:spacing w:line="360" w:lineRule="auto"/>
        <w:ind w:firstLine="2880" w:firstLineChars="1200"/>
        <w:rPr>
          <w:rFonts w:hint="eastAsia" w:ascii="宋体" w:hAnsi="宋体" w:cs="宋体"/>
          <w:sz w:val="24"/>
          <w:szCs w:val="24"/>
          <w:highlight w:val="none"/>
        </w:rPr>
      </w:pPr>
    </w:p>
    <w:p w14:paraId="00BB57A4">
      <w:pPr>
        <w:spacing w:line="360" w:lineRule="auto"/>
        <w:ind w:firstLine="2880" w:firstLineChars="1200"/>
        <w:rPr>
          <w:rFonts w:hint="eastAsia" w:ascii="宋体" w:hAnsi="宋体" w:cs="宋体"/>
          <w:sz w:val="24"/>
          <w:szCs w:val="24"/>
          <w:highlight w:val="none"/>
        </w:rPr>
      </w:pPr>
      <w:r>
        <w:rPr>
          <w:rFonts w:hint="eastAsia" w:ascii="宋体" w:hAnsi="宋体" w:cs="宋体"/>
          <w:sz w:val="24"/>
          <w:szCs w:val="24"/>
          <w:highlight w:val="none"/>
        </w:rPr>
        <w:t>投标人名称（盖章）：</w:t>
      </w:r>
      <w:r>
        <w:rPr>
          <w:rFonts w:hint="eastAsia" w:ascii="宋体" w:hAnsi="宋体" w:cs="宋体"/>
          <w:sz w:val="24"/>
          <w:szCs w:val="24"/>
          <w:highlight w:val="none"/>
          <w:u w:val="single"/>
        </w:rPr>
        <w:t xml:space="preserve">                       </w:t>
      </w:r>
    </w:p>
    <w:p w14:paraId="593C5CF3">
      <w:pPr>
        <w:adjustRightInd w:val="0"/>
        <w:snapToGrid w:val="0"/>
        <w:spacing w:line="360" w:lineRule="auto"/>
        <w:ind w:firstLine="2880" w:firstLineChars="1200"/>
        <w:rPr>
          <w:rFonts w:hint="eastAsia" w:ascii="宋体" w:hAnsi="宋体" w:cs="宋体"/>
          <w:sz w:val="24"/>
          <w:szCs w:val="24"/>
          <w:highlight w:val="none"/>
        </w:rPr>
      </w:pPr>
    </w:p>
    <w:p w14:paraId="40D7AC50">
      <w:pPr>
        <w:adjustRightInd w:val="0"/>
        <w:snapToGrid w:val="0"/>
        <w:spacing w:line="360" w:lineRule="auto"/>
        <w:ind w:firstLine="2880" w:firstLineChars="12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895ABB0">
      <w:pPr>
        <w:rPr>
          <w:color w:val="auto"/>
          <w:highlight w:val="none"/>
        </w:rPr>
      </w:pPr>
    </w:p>
    <w:p w14:paraId="00BDC826">
      <w:pPr>
        <w:spacing w:line="420" w:lineRule="exact"/>
        <w:ind w:left="42" w:leftChars="20"/>
        <w:rPr>
          <w:rFonts w:hint="eastAsia" w:hAnsi="宋体" w:eastAsia="宋体" w:cs="宋体"/>
          <w:b/>
          <w:bCs/>
          <w:highlight w:val="none"/>
          <w:lang w:val="en-US" w:eastAsia="zh-CN"/>
        </w:rPr>
      </w:pPr>
    </w:p>
    <w:p w14:paraId="0DD60C31">
      <w:pPr>
        <w:pStyle w:val="2"/>
        <w:rPr>
          <w:rFonts w:hint="eastAsia" w:hAnsi="宋体" w:eastAsia="宋体" w:cs="宋体"/>
          <w:b/>
          <w:bCs/>
          <w:highlight w:val="none"/>
          <w:lang w:val="en-US" w:eastAsia="zh-CN"/>
        </w:rPr>
      </w:pPr>
    </w:p>
    <w:p w14:paraId="23FC4969">
      <w:pPr>
        <w:pStyle w:val="3"/>
        <w:rPr>
          <w:rFonts w:hint="eastAsia" w:hAnsi="宋体" w:eastAsia="宋体" w:cs="宋体"/>
          <w:b/>
          <w:bCs/>
          <w:highlight w:val="none"/>
          <w:lang w:val="en-US" w:eastAsia="zh-CN"/>
        </w:rPr>
      </w:pPr>
    </w:p>
    <w:p w14:paraId="027F8725">
      <w:pPr>
        <w:rPr>
          <w:rFonts w:hint="eastAsia" w:hAnsi="宋体" w:eastAsia="宋体" w:cs="宋体"/>
          <w:b/>
          <w:bCs/>
          <w:highlight w:val="none"/>
          <w:lang w:val="en-US" w:eastAsia="zh-CN"/>
        </w:rPr>
      </w:pPr>
    </w:p>
    <w:p w14:paraId="40C19669">
      <w:pPr>
        <w:pStyle w:val="2"/>
        <w:rPr>
          <w:rFonts w:hint="eastAsia" w:hAnsi="宋体" w:eastAsia="宋体" w:cs="宋体"/>
          <w:b/>
          <w:bCs/>
          <w:highlight w:val="none"/>
          <w:lang w:val="en-US" w:eastAsia="zh-CN"/>
        </w:rPr>
      </w:pPr>
    </w:p>
    <w:p w14:paraId="7E7BA97D">
      <w:pPr>
        <w:spacing w:line="420" w:lineRule="exact"/>
        <w:ind w:left="42" w:leftChars="20"/>
        <w:rPr>
          <w:rFonts w:hint="eastAsia" w:ascii="宋体" w:hAnsi="宋体" w:eastAsia="宋体" w:cs="宋体"/>
          <w:b/>
          <w:bCs/>
          <w:highlight w:val="none"/>
        </w:rPr>
      </w:pPr>
      <w:r>
        <w:rPr>
          <w:rFonts w:hint="eastAsia" w:hAnsi="宋体" w:eastAsia="宋体" w:cs="宋体"/>
          <w:b/>
          <w:bCs/>
          <w:highlight w:val="none"/>
          <w:lang w:val="en-US" w:eastAsia="zh-CN"/>
        </w:rPr>
        <w:t>2、</w:t>
      </w:r>
      <w:r>
        <w:rPr>
          <w:rFonts w:hint="eastAsia" w:ascii="宋体" w:hAnsi="宋体" w:eastAsia="宋体" w:cs="宋体"/>
          <w:b/>
          <w:bCs/>
          <w:highlight w:val="none"/>
        </w:rPr>
        <w:t>特定资格条件：</w:t>
      </w:r>
    </w:p>
    <w:p w14:paraId="65CA1953">
      <w:pPr>
        <w:pStyle w:val="3"/>
        <w:rPr>
          <w:rFonts w:hint="eastAsia"/>
        </w:rPr>
      </w:pPr>
    </w:p>
    <w:p w14:paraId="23EBA73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1）法定代表人授权书（附法定代表人、被授权人身份证复印件）及被授权人身份证（法定代表人直接参加磋商，须提供法定代表人身份证明及身份证</w:t>
      </w:r>
      <w:r>
        <w:rPr>
          <w:rFonts w:hint="eastAsia" w:ascii="宋体" w:hAnsi="宋体" w:eastAsia="宋体" w:cs="宋体"/>
          <w:i w:val="0"/>
          <w:iCs w:val="0"/>
          <w:caps w:val="0"/>
          <w:color w:val="auto"/>
          <w:spacing w:val="0"/>
          <w:sz w:val="24"/>
          <w:szCs w:val="24"/>
          <w:highlight w:val="none"/>
          <w:shd w:val="clear" w:fill="FFFFFF"/>
          <w:lang w:val="en-US" w:eastAsia="zh-CN"/>
        </w:rPr>
        <w:t>复印件</w:t>
      </w:r>
      <w:r>
        <w:rPr>
          <w:rFonts w:hint="eastAsia" w:ascii="宋体" w:hAnsi="宋体" w:eastAsia="宋体" w:cs="宋体"/>
          <w:i w:val="0"/>
          <w:iCs w:val="0"/>
          <w:caps w:val="0"/>
          <w:color w:val="auto"/>
          <w:spacing w:val="0"/>
          <w:sz w:val="24"/>
          <w:szCs w:val="24"/>
          <w:highlight w:val="none"/>
          <w:shd w:val="clear" w:fill="FFFFFF"/>
          <w:lang w:eastAsia="zh-CN"/>
        </w:rPr>
        <w:t>）；</w:t>
      </w:r>
    </w:p>
    <w:p w14:paraId="5B1A0683">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lang w:eastAsia="zh-CN"/>
        </w:rPr>
        <w:t>未被“中国执行信息公开网”（http://zxgk.court.gov.cn/shixin/）列入失信被执行人、未被“信用中国”网站（www.creditchina.gov.cn）列入重大税收违法案件当事人名单及未被“中国政府采购网”（http://www.ccgp.gov.cn/）列入政府采购严重违法失信行为记录名单；（提供查询结果网页截图并加盖投标人公章，查询时间为文件发售期至</w:t>
      </w:r>
      <w:r>
        <w:rPr>
          <w:rFonts w:hint="eastAsia" w:ascii="宋体" w:hAnsi="宋体" w:eastAsia="宋体" w:cs="宋体"/>
          <w:i w:val="0"/>
          <w:iCs w:val="0"/>
          <w:caps w:val="0"/>
          <w:color w:val="auto"/>
          <w:spacing w:val="0"/>
          <w:sz w:val="24"/>
          <w:szCs w:val="24"/>
          <w:highlight w:val="none"/>
          <w:shd w:val="clear" w:fill="FFFFFF"/>
          <w:lang w:val="en-US" w:eastAsia="zh-CN"/>
        </w:rPr>
        <w:t>磋商</w:t>
      </w:r>
      <w:r>
        <w:rPr>
          <w:rFonts w:hint="eastAsia" w:ascii="宋体" w:hAnsi="宋体" w:eastAsia="宋体" w:cs="宋体"/>
          <w:i w:val="0"/>
          <w:iCs w:val="0"/>
          <w:caps w:val="0"/>
          <w:color w:val="auto"/>
          <w:spacing w:val="0"/>
          <w:sz w:val="24"/>
          <w:szCs w:val="24"/>
          <w:highlight w:val="none"/>
          <w:shd w:val="clear" w:fill="FFFFFF"/>
          <w:lang w:eastAsia="zh-CN"/>
        </w:rPr>
        <w:t>时间内）；</w:t>
      </w:r>
    </w:p>
    <w:p w14:paraId="7C24D1BD">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单位负责人为同一人或者存在直接控股、管理关系的不同供应商，不得同时参加本项目采购活动；</w:t>
      </w:r>
    </w:p>
    <w:p w14:paraId="6F593A8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highlight w:val="none"/>
          <w:lang w:val="en-US" w:eastAsia="zh-CN"/>
        </w:rPr>
        <w:t>4）供应商须具有司法部门核发的有效的《律师事务所执业许可证》</w:t>
      </w:r>
      <w:r>
        <w:rPr>
          <w:rFonts w:hint="eastAsia" w:ascii="宋体" w:hAnsi="宋体" w:eastAsia="宋体" w:cs="宋体"/>
          <w:i w:val="0"/>
          <w:iCs w:val="0"/>
          <w:caps w:val="0"/>
          <w:color w:val="auto"/>
          <w:spacing w:val="0"/>
          <w:sz w:val="24"/>
          <w:szCs w:val="24"/>
          <w:highlight w:val="none"/>
          <w:shd w:val="clear" w:fill="FFFFFF"/>
          <w:lang w:eastAsia="zh-CN"/>
        </w:rPr>
        <w:t>；</w:t>
      </w:r>
    </w:p>
    <w:p w14:paraId="3634A7C1">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5）不接受联合体磋商</w:t>
      </w:r>
    </w:p>
    <w:p w14:paraId="7BAEFD76">
      <w:pPr>
        <w:spacing w:line="480" w:lineRule="auto"/>
        <w:jc w:val="center"/>
        <w:rPr>
          <w:rFonts w:hint="eastAsia" w:ascii="宋体" w:hAnsi="宋体" w:eastAsia="宋体" w:cs="宋体"/>
          <w:b/>
          <w:bCs/>
          <w:sz w:val="32"/>
          <w:szCs w:val="40"/>
          <w:highlight w:val="none"/>
        </w:rPr>
      </w:pPr>
    </w:p>
    <w:p w14:paraId="7C28976D">
      <w:pPr>
        <w:spacing w:line="480" w:lineRule="auto"/>
        <w:jc w:val="center"/>
        <w:rPr>
          <w:rFonts w:hint="eastAsia" w:ascii="宋体" w:hAnsi="宋体" w:eastAsia="宋体" w:cs="宋体"/>
          <w:b/>
          <w:bCs/>
          <w:sz w:val="32"/>
          <w:szCs w:val="40"/>
          <w:highlight w:val="none"/>
        </w:rPr>
      </w:pPr>
    </w:p>
    <w:p w14:paraId="3C7A0A28">
      <w:pPr>
        <w:spacing w:line="360" w:lineRule="auto"/>
        <w:ind w:firstLine="420" w:firstLineChars="200"/>
        <w:rPr>
          <w:rFonts w:hint="eastAsia" w:ascii="宋体" w:hAnsi="宋体" w:eastAsia="宋体" w:cs="Times New Roman"/>
          <w:szCs w:val="24"/>
          <w:highlight w:val="none"/>
        </w:rPr>
      </w:pPr>
    </w:p>
    <w:p w14:paraId="4B6FF440">
      <w:pPr>
        <w:spacing w:line="480" w:lineRule="auto"/>
        <w:jc w:val="center"/>
        <w:rPr>
          <w:rFonts w:hint="eastAsia" w:ascii="宋体" w:hAnsi="宋体" w:eastAsia="宋体" w:cs="宋体"/>
          <w:b/>
          <w:bCs/>
          <w:sz w:val="32"/>
          <w:szCs w:val="40"/>
          <w:highlight w:val="none"/>
        </w:rPr>
      </w:pPr>
    </w:p>
    <w:p w14:paraId="375E0BE8">
      <w:pPr>
        <w:spacing w:line="480" w:lineRule="auto"/>
        <w:jc w:val="center"/>
        <w:rPr>
          <w:rFonts w:hint="eastAsia" w:ascii="宋体" w:hAnsi="宋体" w:eastAsia="宋体" w:cs="宋体"/>
          <w:b/>
          <w:bCs/>
          <w:sz w:val="32"/>
          <w:szCs w:val="40"/>
          <w:highlight w:val="none"/>
        </w:rPr>
      </w:pPr>
    </w:p>
    <w:p w14:paraId="7825493D">
      <w:pPr>
        <w:spacing w:line="360" w:lineRule="auto"/>
        <w:rPr>
          <w:rFonts w:hint="eastAsia" w:ascii="宋体" w:hAnsi="宋体" w:eastAsia="宋体" w:cs="宋体"/>
          <w:b/>
          <w:bCs/>
          <w:color w:val="auto"/>
          <w:sz w:val="22"/>
          <w:szCs w:val="21"/>
          <w:highlight w:val="none"/>
        </w:rPr>
      </w:pPr>
    </w:p>
    <w:p w14:paraId="7A107215">
      <w:pPr>
        <w:spacing w:line="360" w:lineRule="auto"/>
        <w:rPr>
          <w:rFonts w:hint="eastAsia" w:ascii="宋体" w:hAnsi="宋体" w:eastAsia="宋体" w:cs="宋体"/>
          <w:b/>
          <w:bCs/>
          <w:color w:val="auto"/>
          <w:sz w:val="22"/>
          <w:szCs w:val="21"/>
          <w:highlight w:val="none"/>
        </w:rPr>
      </w:pPr>
    </w:p>
    <w:p w14:paraId="3E24F98F">
      <w:pPr>
        <w:spacing w:line="360" w:lineRule="auto"/>
        <w:rPr>
          <w:rFonts w:hint="eastAsia" w:ascii="宋体" w:hAnsi="宋体" w:eastAsia="宋体" w:cs="宋体"/>
          <w:b/>
          <w:bCs/>
          <w:color w:val="auto"/>
          <w:sz w:val="22"/>
          <w:szCs w:val="21"/>
          <w:highlight w:val="none"/>
        </w:rPr>
      </w:pPr>
    </w:p>
    <w:p w14:paraId="00A3A672">
      <w:pPr>
        <w:spacing w:line="360" w:lineRule="auto"/>
        <w:rPr>
          <w:rFonts w:hint="eastAsia" w:ascii="宋体" w:hAnsi="宋体" w:eastAsia="宋体" w:cs="宋体"/>
          <w:b/>
          <w:bCs/>
          <w:color w:val="auto"/>
          <w:sz w:val="22"/>
          <w:szCs w:val="21"/>
          <w:highlight w:val="none"/>
        </w:rPr>
      </w:pPr>
    </w:p>
    <w:p w14:paraId="12BB9908">
      <w:pPr>
        <w:spacing w:line="360" w:lineRule="auto"/>
        <w:rPr>
          <w:rFonts w:hint="eastAsia" w:ascii="宋体" w:hAnsi="宋体" w:eastAsia="宋体" w:cs="宋体"/>
          <w:b/>
          <w:bCs/>
          <w:color w:val="auto"/>
          <w:sz w:val="22"/>
          <w:szCs w:val="21"/>
          <w:highlight w:val="none"/>
        </w:rPr>
      </w:pPr>
    </w:p>
    <w:p w14:paraId="7CC7CA05">
      <w:pPr>
        <w:pStyle w:val="2"/>
        <w:rPr>
          <w:rFonts w:hint="eastAsia" w:ascii="宋体" w:hAnsi="宋体" w:eastAsia="宋体" w:cs="宋体"/>
          <w:b/>
          <w:bCs/>
          <w:color w:val="auto"/>
          <w:sz w:val="22"/>
          <w:szCs w:val="21"/>
          <w:highlight w:val="none"/>
        </w:rPr>
      </w:pPr>
    </w:p>
    <w:p w14:paraId="12BAC9CC">
      <w:pPr>
        <w:pStyle w:val="3"/>
        <w:rPr>
          <w:rFonts w:hint="eastAsia" w:ascii="宋体" w:hAnsi="宋体" w:eastAsia="宋体" w:cs="宋体"/>
          <w:b/>
          <w:bCs/>
          <w:color w:val="auto"/>
          <w:sz w:val="22"/>
          <w:szCs w:val="21"/>
          <w:highlight w:val="none"/>
        </w:rPr>
      </w:pPr>
    </w:p>
    <w:p w14:paraId="232A3085">
      <w:pPr>
        <w:rPr>
          <w:rFonts w:hint="eastAsia" w:ascii="宋体" w:hAnsi="宋体" w:eastAsia="宋体" w:cs="宋体"/>
          <w:b/>
          <w:bCs/>
          <w:color w:val="auto"/>
          <w:sz w:val="22"/>
          <w:szCs w:val="21"/>
          <w:highlight w:val="none"/>
        </w:rPr>
      </w:pPr>
    </w:p>
    <w:p w14:paraId="2EF2BD90">
      <w:pPr>
        <w:pStyle w:val="2"/>
        <w:rPr>
          <w:rFonts w:hint="eastAsia" w:ascii="宋体" w:hAnsi="宋体" w:eastAsia="宋体" w:cs="宋体"/>
          <w:b/>
          <w:bCs/>
          <w:color w:val="auto"/>
          <w:sz w:val="22"/>
          <w:szCs w:val="21"/>
          <w:highlight w:val="none"/>
        </w:rPr>
      </w:pPr>
    </w:p>
    <w:p w14:paraId="07F14FB8">
      <w:pPr>
        <w:pStyle w:val="3"/>
        <w:rPr>
          <w:rFonts w:hint="eastAsia"/>
        </w:rPr>
      </w:pPr>
    </w:p>
    <w:p w14:paraId="2A644139">
      <w:pPr>
        <w:spacing w:line="360" w:lineRule="auto"/>
        <w:rPr>
          <w:rFonts w:hint="eastAsia" w:ascii="宋体" w:hAnsi="宋体" w:eastAsia="宋体" w:cs="宋体"/>
          <w:b/>
          <w:bCs/>
          <w:color w:val="auto"/>
          <w:sz w:val="22"/>
          <w:szCs w:val="21"/>
          <w:highlight w:val="none"/>
        </w:rPr>
      </w:pPr>
    </w:p>
    <w:p w14:paraId="5A82DFF9">
      <w:pPr>
        <w:spacing w:line="360" w:lineRule="auto"/>
        <w:rPr>
          <w:rFonts w:hint="eastAsia" w:ascii="宋体" w:hAnsi="宋体" w:eastAsia="宋体" w:cs="宋体"/>
          <w:b/>
          <w:bCs/>
          <w:color w:val="auto"/>
          <w:sz w:val="22"/>
          <w:szCs w:val="21"/>
          <w:highlight w:val="none"/>
        </w:rPr>
      </w:pPr>
    </w:p>
    <w:p w14:paraId="5CA3FE40">
      <w:pPr>
        <w:spacing w:line="360" w:lineRule="auto"/>
        <w:rPr>
          <w:rFonts w:hint="eastAsia" w:ascii="宋体" w:hAnsi="宋体" w:eastAsia="宋体" w:cs="宋体"/>
          <w:b/>
          <w:bCs/>
          <w:color w:val="auto"/>
          <w:sz w:val="22"/>
          <w:szCs w:val="21"/>
          <w:highlight w:val="none"/>
        </w:rPr>
      </w:pPr>
      <w:r>
        <w:rPr>
          <w:rFonts w:hint="eastAsia" w:ascii="宋体" w:hAnsi="宋体" w:cs="宋体"/>
          <w:b/>
          <w:bCs/>
          <w:color w:val="auto"/>
          <w:sz w:val="22"/>
          <w:szCs w:val="21"/>
          <w:highlight w:val="none"/>
          <w:lang w:val="en-US" w:eastAsia="zh-CN"/>
        </w:rPr>
        <w:t>1.</w:t>
      </w:r>
      <w:r>
        <w:rPr>
          <w:rFonts w:hint="eastAsia" w:ascii="宋体" w:hAnsi="宋体" w:eastAsia="宋体" w:cs="宋体"/>
          <w:b/>
          <w:bCs/>
          <w:color w:val="auto"/>
          <w:sz w:val="22"/>
          <w:szCs w:val="21"/>
          <w:highlight w:val="none"/>
        </w:rPr>
        <w:t>法定代表人证明书或授权委托书</w:t>
      </w:r>
    </w:p>
    <w:p w14:paraId="5905961D">
      <w:pPr>
        <w:spacing w:line="360" w:lineRule="auto"/>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（1）法定代表人证明书</w:t>
      </w:r>
    </w:p>
    <w:p w14:paraId="40B975F7">
      <w:pPr>
        <w:tabs>
          <w:tab w:val="left" w:pos="210"/>
        </w:tabs>
        <w:spacing w:line="320" w:lineRule="exact"/>
        <w:jc w:val="center"/>
        <w:rPr>
          <w:rFonts w:hint="eastAsia" w:ascii="宋体" w:hAnsi="宋体" w:eastAsia="宋体" w:cs="宋体"/>
          <w:b/>
          <w:color w:val="auto"/>
          <w:kern w:val="0"/>
          <w:sz w:val="24"/>
          <w:szCs w:val="24"/>
          <w:highlight w:val="none"/>
        </w:rPr>
      </w:pP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14:paraId="4915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14:paraId="45894B29">
            <w:pPr>
              <w:tabs>
                <w:tab w:val="left" w:pos="210"/>
              </w:tabs>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cs="宋体"/>
                <w:i w:val="0"/>
                <w:iCs w:val="0"/>
                <w:caps w:val="0"/>
                <w:color w:val="auto"/>
                <w:spacing w:val="0"/>
                <w:sz w:val="24"/>
                <w:szCs w:val="24"/>
                <w:highlight w:val="none"/>
                <w:shd w:val="clear" w:fill="FFFFFF"/>
                <w:lang w:eastAsia="zh-CN"/>
              </w:rPr>
              <w:t>陕西省西咸新区住房和城乡建设局</w:t>
            </w:r>
          </w:p>
        </w:tc>
      </w:tr>
      <w:tr w14:paraId="73D9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6EE2318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2F9222D1">
            <w:pPr>
              <w:tabs>
                <w:tab w:val="left" w:pos="210"/>
              </w:tabs>
              <w:spacing w:line="320" w:lineRule="exact"/>
              <w:jc w:val="center"/>
              <w:rPr>
                <w:rFonts w:hint="eastAsia" w:ascii="宋体" w:hAnsi="宋体" w:eastAsia="宋体" w:cs="宋体"/>
                <w:color w:val="auto"/>
                <w:kern w:val="0"/>
                <w:sz w:val="24"/>
                <w:szCs w:val="24"/>
                <w:highlight w:val="none"/>
              </w:rPr>
            </w:pPr>
          </w:p>
          <w:p w14:paraId="03301A6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6FFBDCEE">
            <w:pPr>
              <w:tabs>
                <w:tab w:val="left" w:pos="210"/>
              </w:tabs>
              <w:spacing w:line="320" w:lineRule="exact"/>
              <w:jc w:val="center"/>
              <w:rPr>
                <w:rFonts w:hint="eastAsia" w:ascii="宋体" w:hAnsi="宋体" w:eastAsia="宋体" w:cs="宋体"/>
                <w:color w:val="auto"/>
                <w:kern w:val="0"/>
                <w:sz w:val="24"/>
                <w:szCs w:val="24"/>
                <w:highlight w:val="none"/>
              </w:rPr>
            </w:pPr>
          </w:p>
          <w:p w14:paraId="08379A9C">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4A5C8D64">
            <w:pPr>
              <w:tabs>
                <w:tab w:val="left" w:pos="210"/>
              </w:tabs>
              <w:spacing w:line="320" w:lineRule="exact"/>
              <w:jc w:val="center"/>
              <w:rPr>
                <w:rFonts w:hint="eastAsia" w:ascii="宋体" w:hAnsi="宋体" w:eastAsia="宋体" w:cs="宋体"/>
                <w:color w:val="auto"/>
                <w:kern w:val="0"/>
                <w:sz w:val="24"/>
                <w:szCs w:val="24"/>
                <w:highlight w:val="none"/>
              </w:rPr>
            </w:pPr>
          </w:p>
          <w:p w14:paraId="2EBDA34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51" w:type="dxa"/>
            <w:vAlign w:val="center"/>
          </w:tcPr>
          <w:p w14:paraId="232F2A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571" w:type="dxa"/>
            <w:gridSpan w:val="4"/>
            <w:vAlign w:val="center"/>
          </w:tcPr>
          <w:p w14:paraId="461C5575">
            <w:pPr>
              <w:tabs>
                <w:tab w:val="left" w:pos="210"/>
              </w:tabs>
              <w:spacing w:line="320" w:lineRule="exact"/>
              <w:jc w:val="center"/>
              <w:rPr>
                <w:rFonts w:hint="eastAsia" w:ascii="宋体" w:hAnsi="宋体" w:eastAsia="宋体" w:cs="宋体"/>
                <w:color w:val="auto"/>
                <w:kern w:val="0"/>
                <w:sz w:val="24"/>
                <w:szCs w:val="24"/>
                <w:highlight w:val="none"/>
              </w:rPr>
            </w:pPr>
          </w:p>
        </w:tc>
      </w:tr>
      <w:tr w14:paraId="69F7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45EDE1B2">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14:paraId="36F990A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p>
        </w:tc>
        <w:tc>
          <w:tcPr>
            <w:tcW w:w="6571" w:type="dxa"/>
            <w:gridSpan w:val="4"/>
            <w:vAlign w:val="center"/>
          </w:tcPr>
          <w:p w14:paraId="36D802B3">
            <w:pPr>
              <w:tabs>
                <w:tab w:val="left" w:pos="210"/>
              </w:tabs>
              <w:spacing w:line="320" w:lineRule="exact"/>
              <w:jc w:val="center"/>
              <w:rPr>
                <w:rFonts w:hint="eastAsia" w:ascii="宋体" w:hAnsi="宋体" w:eastAsia="宋体" w:cs="宋体"/>
                <w:color w:val="auto"/>
                <w:kern w:val="0"/>
                <w:sz w:val="24"/>
                <w:szCs w:val="24"/>
                <w:highlight w:val="none"/>
              </w:rPr>
            </w:pPr>
          </w:p>
        </w:tc>
      </w:tr>
      <w:tr w14:paraId="7C19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2C8C1F34">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14:paraId="377A804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571" w:type="dxa"/>
            <w:gridSpan w:val="4"/>
            <w:vAlign w:val="center"/>
          </w:tcPr>
          <w:p w14:paraId="7259233A">
            <w:pPr>
              <w:tabs>
                <w:tab w:val="left" w:pos="210"/>
              </w:tabs>
              <w:spacing w:line="320" w:lineRule="exact"/>
              <w:jc w:val="center"/>
              <w:rPr>
                <w:rFonts w:hint="eastAsia" w:ascii="宋体" w:hAnsi="宋体" w:eastAsia="宋体" w:cs="宋体"/>
                <w:color w:val="auto"/>
                <w:kern w:val="0"/>
                <w:sz w:val="24"/>
                <w:szCs w:val="24"/>
                <w:highlight w:val="none"/>
              </w:rPr>
            </w:pPr>
          </w:p>
        </w:tc>
      </w:tr>
      <w:tr w14:paraId="5943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14:paraId="2B275E3E">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14:paraId="1144978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571" w:type="dxa"/>
            <w:gridSpan w:val="4"/>
            <w:vAlign w:val="center"/>
          </w:tcPr>
          <w:p w14:paraId="71F1650D">
            <w:pPr>
              <w:tabs>
                <w:tab w:val="left" w:pos="210"/>
              </w:tabs>
              <w:spacing w:line="320" w:lineRule="exact"/>
              <w:jc w:val="center"/>
              <w:rPr>
                <w:rFonts w:hint="eastAsia" w:ascii="宋体" w:hAnsi="宋体" w:eastAsia="宋体" w:cs="宋体"/>
                <w:color w:val="auto"/>
                <w:kern w:val="0"/>
                <w:sz w:val="24"/>
                <w:szCs w:val="24"/>
                <w:highlight w:val="none"/>
              </w:rPr>
            </w:pPr>
          </w:p>
        </w:tc>
      </w:tr>
      <w:tr w14:paraId="79E6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6A6BE69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51" w:type="dxa"/>
            <w:vAlign w:val="center"/>
          </w:tcPr>
          <w:p w14:paraId="462F59D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329" w:type="dxa"/>
            <w:gridSpan w:val="2"/>
            <w:vAlign w:val="center"/>
          </w:tcPr>
          <w:p w14:paraId="5AAEFDCA">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14:paraId="4B9A759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97" w:type="dxa"/>
            <w:vAlign w:val="center"/>
          </w:tcPr>
          <w:p w14:paraId="0B4AB6A5">
            <w:pPr>
              <w:tabs>
                <w:tab w:val="left" w:pos="210"/>
              </w:tabs>
              <w:spacing w:line="320" w:lineRule="exact"/>
              <w:jc w:val="center"/>
              <w:rPr>
                <w:rFonts w:hint="eastAsia" w:ascii="宋体" w:hAnsi="宋体" w:eastAsia="宋体" w:cs="宋体"/>
                <w:color w:val="auto"/>
                <w:kern w:val="0"/>
                <w:sz w:val="24"/>
                <w:szCs w:val="24"/>
                <w:highlight w:val="none"/>
              </w:rPr>
            </w:pPr>
          </w:p>
        </w:tc>
      </w:tr>
      <w:tr w14:paraId="351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2F45C134">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14:paraId="2DB6888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329" w:type="dxa"/>
            <w:gridSpan w:val="2"/>
            <w:vAlign w:val="center"/>
          </w:tcPr>
          <w:p w14:paraId="3463705E">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14:paraId="25513E2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97" w:type="dxa"/>
            <w:vAlign w:val="center"/>
          </w:tcPr>
          <w:p w14:paraId="52993D07">
            <w:pPr>
              <w:tabs>
                <w:tab w:val="left" w:pos="210"/>
              </w:tabs>
              <w:spacing w:line="320" w:lineRule="exact"/>
              <w:jc w:val="center"/>
              <w:rPr>
                <w:rFonts w:hint="eastAsia" w:ascii="宋体" w:hAnsi="宋体" w:eastAsia="宋体" w:cs="宋体"/>
                <w:color w:val="auto"/>
                <w:kern w:val="0"/>
                <w:sz w:val="24"/>
                <w:szCs w:val="24"/>
                <w:highlight w:val="none"/>
              </w:rPr>
            </w:pPr>
          </w:p>
        </w:tc>
      </w:tr>
      <w:tr w14:paraId="474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1A49812C">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14:paraId="34B75AC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571" w:type="dxa"/>
            <w:gridSpan w:val="4"/>
            <w:vAlign w:val="center"/>
          </w:tcPr>
          <w:p w14:paraId="16F88A43">
            <w:pPr>
              <w:tabs>
                <w:tab w:val="left" w:pos="210"/>
              </w:tabs>
              <w:spacing w:line="320" w:lineRule="exact"/>
              <w:jc w:val="center"/>
              <w:rPr>
                <w:rFonts w:hint="eastAsia" w:ascii="宋体" w:hAnsi="宋体" w:eastAsia="宋体" w:cs="宋体"/>
                <w:color w:val="auto"/>
                <w:kern w:val="0"/>
                <w:sz w:val="24"/>
                <w:szCs w:val="24"/>
                <w:highlight w:val="none"/>
              </w:rPr>
            </w:pPr>
          </w:p>
        </w:tc>
      </w:tr>
      <w:tr w14:paraId="7D03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14:paraId="77955C3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296" w:type="dxa"/>
            <w:gridSpan w:val="2"/>
            <w:vMerge w:val="restart"/>
            <w:vAlign w:val="center"/>
          </w:tcPr>
          <w:p w14:paraId="3D8DA60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426" w:type="dxa"/>
            <w:gridSpan w:val="3"/>
            <w:vAlign w:val="center"/>
          </w:tcPr>
          <w:p w14:paraId="6462694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14:paraId="20E5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14:paraId="5BDAEB19">
            <w:pPr>
              <w:tabs>
                <w:tab w:val="left" w:pos="210"/>
              </w:tabs>
              <w:spacing w:line="320" w:lineRule="exact"/>
              <w:jc w:val="center"/>
              <w:rPr>
                <w:rFonts w:hint="eastAsia" w:ascii="宋体" w:hAnsi="宋体" w:eastAsia="宋体" w:cs="宋体"/>
                <w:color w:val="auto"/>
                <w:kern w:val="0"/>
                <w:sz w:val="24"/>
                <w:szCs w:val="24"/>
                <w:highlight w:val="none"/>
              </w:rPr>
            </w:pPr>
          </w:p>
        </w:tc>
        <w:tc>
          <w:tcPr>
            <w:tcW w:w="4296" w:type="dxa"/>
            <w:gridSpan w:val="2"/>
            <w:vMerge w:val="continue"/>
            <w:vAlign w:val="center"/>
          </w:tcPr>
          <w:p w14:paraId="2B225603">
            <w:pPr>
              <w:tabs>
                <w:tab w:val="left" w:pos="210"/>
              </w:tabs>
              <w:spacing w:line="320" w:lineRule="exact"/>
              <w:jc w:val="center"/>
              <w:rPr>
                <w:rFonts w:hint="eastAsia" w:ascii="宋体" w:hAnsi="宋体" w:eastAsia="宋体" w:cs="宋体"/>
                <w:color w:val="auto"/>
                <w:kern w:val="0"/>
                <w:sz w:val="24"/>
                <w:szCs w:val="24"/>
                <w:highlight w:val="none"/>
              </w:rPr>
            </w:pPr>
          </w:p>
        </w:tc>
        <w:tc>
          <w:tcPr>
            <w:tcW w:w="4426" w:type="dxa"/>
            <w:gridSpan w:val="3"/>
            <w:vAlign w:val="bottom"/>
          </w:tcPr>
          <w:p w14:paraId="2D63556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55B1A56A">
            <w:pPr>
              <w:tabs>
                <w:tab w:val="left" w:pos="210"/>
              </w:tabs>
              <w:spacing w:line="320" w:lineRule="exact"/>
              <w:jc w:val="center"/>
              <w:rPr>
                <w:rFonts w:hint="eastAsia" w:ascii="宋体" w:hAnsi="宋体" w:eastAsia="宋体" w:cs="宋体"/>
                <w:color w:val="auto"/>
                <w:kern w:val="0"/>
                <w:sz w:val="24"/>
                <w:szCs w:val="24"/>
                <w:highlight w:val="none"/>
              </w:rPr>
            </w:pPr>
          </w:p>
          <w:p w14:paraId="03671ECF">
            <w:pPr>
              <w:tabs>
                <w:tab w:val="left" w:pos="210"/>
              </w:tabs>
              <w:spacing w:line="320" w:lineRule="exact"/>
              <w:jc w:val="center"/>
              <w:rPr>
                <w:rFonts w:hint="eastAsia" w:ascii="宋体" w:hAnsi="宋体" w:eastAsia="宋体" w:cs="宋体"/>
                <w:color w:val="auto"/>
                <w:kern w:val="0"/>
                <w:sz w:val="24"/>
                <w:szCs w:val="24"/>
                <w:highlight w:val="none"/>
              </w:rPr>
            </w:pPr>
          </w:p>
          <w:p w14:paraId="39F9C09C">
            <w:pPr>
              <w:tabs>
                <w:tab w:val="left" w:pos="210"/>
              </w:tabs>
              <w:spacing w:line="320" w:lineRule="exact"/>
              <w:jc w:val="center"/>
              <w:rPr>
                <w:rFonts w:hint="eastAsia" w:ascii="宋体" w:hAnsi="宋体" w:eastAsia="宋体" w:cs="宋体"/>
                <w:color w:val="auto"/>
                <w:kern w:val="0"/>
                <w:sz w:val="24"/>
                <w:szCs w:val="24"/>
                <w:highlight w:val="none"/>
              </w:rPr>
            </w:pPr>
          </w:p>
          <w:p w14:paraId="2E555A93">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3DF2B983">
      <w:pPr>
        <w:tabs>
          <w:tab w:val="left" w:pos="2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default" w:ascii="宋体" w:hAnsi="宋体" w:eastAsia="宋体" w:cs="宋体"/>
          <w:b/>
          <w:bCs w:val="0"/>
          <w:color w:val="auto"/>
          <w:kern w:val="2"/>
          <w:sz w:val="22"/>
          <w:szCs w:val="21"/>
          <w:highlight w:val="none"/>
        </w:rPr>
        <w:t>（2）法定代表人授权委托书</w:t>
      </w:r>
    </w:p>
    <w:p w14:paraId="64D89BAB">
      <w:pPr>
        <w:pStyle w:val="13"/>
        <w:spacing w:line="500" w:lineRule="exact"/>
        <w:rPr>
          <w:rFonts w:hint="eastAsia" w:ascii="宋体" w:hAnsi="宋体" w:eastAsia="宋体" w:cs="宋体"/>
          <w:b/>
          <w:bCs/>
          <w:color w:val="auto"/>
          <w:szCs w:val="24"/>
          <w:highlight w:val="none"/>
        </w:rPr>
      </w:pPr>
      <w:r>
        <w:rPr>
          <w:rFonts w:hint="eastAsia" w:ascii="宋体" w:hAnsi="宋体" w:eastAsia="宋体" w:cs="宋体"/>
          <w:color w:val="auto"/>
          <w:spacing w:val="4"/>
          <w:highlight w:val="none"/>
          <w:u w:val="single"/>
        </w:rPr>
        <w:t xml:space="preserve">     （采购人名称）   </w:t>
      </w:r>
      <w:r>
        <w:rPr>
          <w:rFonts w:hint="eastAsia" w:ascii="宋体" w:hAnsi="宋体" w:eastAsia="宋体" w:cs="宋体"/>
          <w:color w:val="auto"/>
          <w:szCs w:val="24"/>
          <w:highlight w:val="none"/>
        </w:rPr>
        <w:t>：</w:t>
      </w:r>
    </w:p>
    <w:p w14:paraId="10005576">
      <w:pPr>
        <w:pStyle w:val="13"/>
        <w:spacing w:line="5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本授权书声明：注册于（</w:t>
      </w:r>
      <w:r>
        <w:rPr>
          <w:rFonts w:hint="eastAsia" w:ascii="宋体" w:hAnsi="宋体" w:eastAsia="宋体" w:cs="宋体"/>
          <w:color w:val="auto"/>
          <w:szCs w:val="24"/>
          <w:highlight w:val="none"/>
          <w:u w:val="single"/>
        </w:rPr>
        <w:t xml:space="preserve">工商行政管理局名称）之（委托单位全称） </w:t>
      </w:r>
      <w:r>
        <w:rPr>
          <w:rFonts w:hint="eastAsia" w:ascii="宋体" w:hAnsi="宋体" w:eastAsia="宋体" w:cs="宋体"/>
          <w:color w:val="auto"/>
          <w:szCs w:val="24"/>
          <w:highlight w:val="none"/>
        </w:rPr>
        <w:t>的法定代表人</w:t>
      </w:r>
      <w:r>
        <w:rPr>
          <w:rFonts w:hint="eastAsia" w:ascii="宋体" w:hAnsi="宋体" w:eastAsia="宋体" w:cs="宋体"/>
          <w:color w:val="auto"/>
          <w:szCs w:val="24"/>
          <w:highlight w:val="none"/>
          <w:u w:val="single"/>
        </w:rPr>
        <w:t>（姓名、性别、职务）</w:t>
      </w:r>
      <w:r>
        <w:rPr>
          <w:rFonts w:hint="eastAsia" w:ascii="宋体" w:hAnsi="宋体" w:eastAsia="宋体" w:cs="宋体"/>
          <w:color w:val="auto"/>
          <w:szCs w:val="24"/>
          <w:highlight w:val="none"/>
        </w:rPr>
        <w:t>授权本公司的</w:t>
      </w:r>
      <w:r>
        <w:rPr>
          <w:rFonts w:hint="eastAsia" w:ascii="宋体" w:hAnsi="宋体" w:eastAsia="宋体" w:cs="宋体"/>
          <w:color w:val="auto"/>
          <w:szCs w:val="24"/>
          <w:highlight w:val="none"/>
          <w:u w:val="single"/>
        </w:rPr>
        <w:t>（被授权人姓名、性别、职务）</w:t>
      </w:r>
      <w:r>
        <w:rPr>
          <w:rFonts w:hint="eastAsia" w:ascii="宋体" w:hAnsi="宋体" w:eastAsia="宋体" w:cs="宋体"/>
          <w:color w:val="auto"/>
          <w:szCs w:val="24"/>
          <w:highlight w:val="none"/>
        </w:rPr>
        <w:t>为合法代理人，就贵方组织的有关</w:t>
      </w:r>
      <w:r>
        <w:rPr>
          <w:rFonts w:hint="eastAsia" w:ascii="宋体" w:hAnsi="宋体" w:eastAsia="宋体" w:cs="宋体"/>
          <w:color w:val="auto"/>
          <w:szCs w:val="24"/>
          <w:highlight w:val="none"/>
          <w:u w:val="single"/>
        </w:rPr>
        <w:t>（项目名称：           项目编号：   ）</w:t>
      </w:r>
      <w:r>
        <w:rPr>
          <w:rFonts w:hint="eastAsia" w:ascii="宋体" w:hAnsi="宋体" w:eastAsia="宋体" w:cs="宋体"/>
          <w:color w:val="auto"/>
          <w:szCs w:val="24"/>
          <w:highlight w:val="none"/>
        </w:rPr>
        <w:t>的磋商采购的具体事务，签署全部有关文件、文书、协议、合同，本公司对被授权人在本项目中的签名承担全部法律责任。本授权书自响应文件递交截止时间起计算有效期为</w:t>
      </w:r>
      <w:r>
        <w:rPr>
          <w:rFonts w:hint="eastAsia" w:hAnsi="宋体" w:cs="宋体"/>
          <w:color w:val="auto"/>
          <w:szCs w:val="24"/>
          <w:highlight w:val="none"/>
          <w:lang w:val="en-US" w:eastAsia="zh-CN"/>
        </w:rPr>
        <w:t>90</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天。</w:t>
      </w:r>
    </w:p>
    <w:p w14:paraId="28618F51">
      <w:pPr>
        <w:pStyle w:val="13"/>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委托单位：    （公章）             法定代表人（签字或盖章）：</w:t>
      </w:r>
    </w:p>
    <w:p w14:paraId="5655619A">
      <w:pPr>
        <w:pStyle w:val="13"/>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4D380AD0">
      <w:pPr>
        <w:pStyle w:val="13"/>
        <w:spacing w:line="500" w:lineRule="exact"/>
        <w:ind w:firstLine="480" w:firstLineChars="200"/>
        <w:rPr>
          <w:rFonts w:hint="eastAsia" w:ascii="宋体" w:hAnsi="宋体" w:eastAsia="宋体" w:cs="宋体"/>
          <w:color w:val="auto"/>
          <w:szCs w:val="24"/>
          <w:highlight w:val="none"/>
        </w:rPr>
      </w:pPr>
    </w:p>
    <w:p w14:paraId="7D3898AA">
      <w:pPr>
        <w:pStyle w:val="13"/>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附：被授权人姓名：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xml:space="preserve">             </w:t>
      </w:r>
    </w:p>
    <w:p w14:paraId="0B09264C">
      <w:pPr>
        <w:pStyle w:val="13"/>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联系地址：  </w:t>
      </w:r>
      <w:r>
        <w:rPr>
          <w:rFonts w:hint="eastAsia" w:ascii="宋体" w:hAnsi="宋体" w:eastAsia="宋体" w:cs="宋体"/>
          <w:color w:val="auto"/>
          <w:szCs w:val="24"/>
          <w:highlight w:val="none"/>
          <w:u w:val="single"/>
        </w:rPr>
        <w:t xml:space="preserve">                                                </w:t>
      </w:r>
    </w:p>
    <w:p w14:paraId="557B533C">
      <w:pPr>
        <w:pStyle w:val="13"/>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p>
    <w:p w14:paraId="3534E2F0">
      <w:pPr>
        <w:pStyle w:val="13"/>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被授权人（签字或盖章）：</w:t>
      </w:r>
      <w:r>
        <w:rPr>
          <w:rFonts w:hint="eastAsia" w:ascii="宋体" w:hAnsi="宋体" w:eastAsia="宋体" w:cs="宋体"/>
          <w:color w:val="auto"/>
          <w:szCs w:val="24"/>
          <w:highlight w:val="none"/>
          <w:u w:val="single"/>
        </w:rPr>
        <w:t xml:space="preserve">            </w:t>
      </w:r>
    </w:p>
    <w:p w14:paraId="47B1F3D9">
      <w:pPr>
        <w:pStyle w:val="13"/>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说明：授权书内容填写要明确，文字要工整清楚，涂改无效。</w:t>
      </w:r>
    </w:p>
    <w:p w14:paraId="63401752">
      <w:pPr>
        <w:pStyle w:val="13"/>
        <w:spacing w:line="500" w:lineRule="exact"/>
        <w:ind w:firstLine="2760" w:firstLineChars="1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法定代表人/被授权人身份证复印件</w:t>
      </w:r>
    </w:p>
    <w:tbl>
      <w:tblPr>
        <w:tblStyle w:val="21"/>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308D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14:paraId="6E8056E2">
            <w:pPr>
              <w:pStyle w:val="13"/>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法定代表人身份证复印件（正、反两面）</w:t>
            </w:r>
          </w:p>
        </w:tc>
        <w:tc>
          <w:tcPr>
            <w:tcW w:w="4193" w:type="dxa"/>
            <w:shd w:val="clear" w:color="auto" w:fill="E0E0E0"/>
            <w:vAlign w:val="center"/>
          </w:tcPr>
          <w:p w14:paraId="07BDA7EE">
            <w:pPr>
              <w:pStyle w:val="13"/>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被授权人身份证复印件（正、反两面）</w:t>
            </w:r>
          </w:p>
        </w:tc>
      </w:tr>
    </w:tbl>
    <w:p w14:paraId="36BBF363">
      <w:pPr>
        <w:pStyle w:val="13"/>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法定代表人直接参与投标的，无需提供此授权书。</w:t>
      </w:r>
    </w:p>
    <w:p w14:paraId="17FBC131">
      <w:pPr>
        <w:pStyle w:val="13"/>
        <w:spacing w:line="360" w:lineRule="auto"/>
        <w:ind w:firstLine="480" w:firstLineChars="200"/>
        <w:rPr>
          <w:rFonts w:hint="eastAsia" w:ascii="宋体" w:hAnsi="宋体" w:eastAsia="宋体" w:cs="宋体"/>
          <w:color w:val="auto"/>
          <w:szCs w:val="24"/>
          <w:highlight w:val="none"/>
        </w:rPr>
      </w:pPr>
    </w:p>
    <w:p w14:paraId="1ECCA6B4">
      <w:pPr>
        <w:pStyle w:val="13"/>
        <w:spacing w:line="360" w:lineRule="auto"/>
        <w:ind w:firstLine="480" w:firstLineChars="200"/>
        <w:rPr>
          <w:rFonts w:hint="eastAsia" w:ascii="宋体" w:hAnsi="宋体" w:eastAsia="宋体" w:cs="宋体"/>
          <w:color w:val="auto"/>
          <w:szCs w:val="24"/>
          <w:highlight w:val="none"/>
        </w:rPr>
      </w:pPr>
    </w:p>
    <w:p w14:paraId="29666AF3">
      <w:pPr>
        <w:pStyle w:val="7"/>
        <w:spacing w:line="360" w:lineRule="auto"/>
        <w:rPr>
          <w:rFonts w:hint="eastAsia" w:ascii="宋体" w:hAnsi="宋体" w:eastAsia="宋体" w:cs="宋体"/>
          <w:color w:val="auto"/>
          <w:sz w:val="24"/>
          <w:szCs w:val="24"/>
          <w:highlight w:val="none"/>
        </w:rPr>
        <w:sectPr>
          <w:pgSz w:w="11906" w:h="16838"/>
          <w:pgMar w:top="1440" w:right="1644" w:bottom="1219" w:left="1644" w:header="850" w:footer="992" w:gutter="0"/>
          <w:pgNumType w:fmt="decimal"/>
          <w:cols w:space="720" w:num="1"/>
          <w:titlePg/>
          <w:docGrid w:linePitch="312" w:charSpace="0"/>
        </w:sectPr>
      </w:pPr>
    </w:p>
    <w:p w14:paraId="263BE46F">
      <w:pPr>
        <w:rPr>
          <w:color w:val="auto"/>
          <w:highlight w:val="none"/>
        </w:rPr>
      </w:pPr>
    </w:p>
    <w:p w14:paraId="0FBFB00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cs="宋体"/>
          <w:b/>
          <w:bCs/>
          <w:i w:val="0"/>
          <w:iCs w:val="0"/>
          <w:caps w:val="0"/>
          <w:color w:val="auto"/>
          <w:spacing w:val="0"/>
          <w:sz w:val="24"/>
          <w:szCs w:val="24"/>
          <w:highlight w:val="none"/>
          <w:shd w:val="clear" w:fill="FFFFFF"/>
          <w:lang w:val="en-US" w:eastAsia="zh-CN"/>
        </w:rPr>
        <w:t>2.</w:t>
      </w:r>
      <w:r>
        <w:rPr>
          <w:rFonts w:hint="eastAsia" w:ascii="宋体" w:hAnsi="宋体" w:eastAsia="宋体" w:cs="宋体"/>
          <w:b/>
          <w:bCs/>
          <w:i w:val="0"/>
          <w:iCs w:val="0"/>
          <w:caps w:val="0"/>
          <w:color w:val="auto"/>
          <w:spacing w:val="0"/>
          <w:sz w:val="24"/>
          <w:szCs w:val="24"/>
          <w:highlight w:val="none"/>
          <w:shd w:val="clear" w:fill="FFFFFF"/>
          <w:lang w:val="en-US" w:eastAsia="zh-CN"/>
        </w:rPr>
        <w:t>供应商</w:t>
      </w:r>
      <w:r>
        <w:rPr>
          <w:rFonts w:hint="eastAsia" w:ascii="宋体" w:hAnsi="宋体" w:eastAsia="宋体" w:cs="宋体"/>
          <w:b/>
          <w:bCs/>
          <w:i w:val="0"/>
          <w:iCs w:val="0"/>
          <w:caps w:val="0"/>
          <w:color w:val="auto"/>
          <w:spacing w:val="0"/>
          <w:sz w:val="24"/>
          <w:szCs w:val="24"/>
          <w:highlight w:val="none"/>
          <w:shd w:val="clear" w:fill="FFFFFF"/>
          <w:lang w:eastAsia="zh-CN"/>
        </w:rPr>
        <w:t>未被“中国执行信息公开网”（http://zxgk.court.gov.cn/shixin/）列入失信被执行人、未被“信用中国”网站（www.creditchina.gov.cn）列入重大税收违法案件当事人名单及未被“中国政府采购网”（http://www.ccgp.gov.cn/）列入政府采购严重违法失信行为记录名单；（提供查询结果网页截图并加盖投标人公章，查询时间为文件发售期至</w:t>
      </w:r>
      <w:r>
        <w:rPr>
          <w:rFonts w:hint="eastAsia" w:ascii="宋体" w:hAnsi="宋体" w:eastAsia="宋体" w:cs="宋体"/>
          <w:b/>
          <w:bCs/>
          <w:i w:val="0"/>
          <w:iCs w:val="0"/>
          <w:caps w:val="0"/>
          <w:color w:val="auto"/>
          <w:spacing w:val="0"/>
          <w:sz w:val="24"/>
          <w:szCs w:val="24"/>
          <w:highlight w:val="none"/>
          <w:shd w:val="clear" w:fill="FFFFFF"/>
          <w:lang w:val="en-US" w:eastAsia="zh-CN"/>
        </w:rPr>
        <w:t>磋商</w:t>
      </w:r>
      <w:r>
        <w:rPr>
          <w:rFonts w:hint="eastAsia" w:ascii="宋体" w:hAnsi="宋体" w:eastAsia="宋体" w:cs="宋体"/>
          <w:b/>
          <w:bCs/>
          <w:i w:val="0"/>
          <w:iCs w:val="0"/>
          <w:caps w:val="0"/>
          <w:color w:val="auto"/>
          <w:spacing w:val="0"/>
          <w:sz w:val="24"/>
          <w:szCs w:val="24"/>
          <w:highlight w:val="none"/>
          <w:shd w:val="clear" w:fill="FFFFFF"/>
          <w:lang w:eastAsia="zh-CN"/>
        </w:rPr>
        <w:t>时间内）；</w:t>
      </w:r>
    </w:p>
    <w:p w14:paraId="1E0B14E0">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highlight w:val="none"/>
          <w:lang w:val="en-US" w:eastAsia="zh-CN"/>
        </w:rPr>
      </w:pPr>
    </w:p>
    <w:p w14:paraId="60AB881A">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highlight w:val="none"/>
          <w:lang w:val="en-US" w:eastAsia="zh-CN"/>
        </w:rPr>
      </w:pPr>
    </w:p>
    <w:p w14:paraId="500E6AD4">
      <w:pPr>
        <w:spacing w:line="480" w:lineRule="auto"/>
        <w:jc w:val="center"/>
        <w:rPr>
          <w:rFonts w:hint="eastAsia" w:ascii="宋体" w:hAnsi="宋体" w:eastAsia="宋体" w:cs="宋体"/>
          <w:b/>
          <w:bCs/>
          <w:sz w:val="32"/>
          <w:szCs w:val="40"/>
          <w:highlight w:val="none"/>
        </w:rPr>
      </w:pPr>
    </w:p>
    <w:p w14:paraId="2745A59B">
      <w:pPr>
        <w:spacing w:line="360" w:lineRule="auto"/>
        <w:jc w:val="center"/>
        <w:rPr>
          <w:rFonts w:hint="eastAsia"/>
          <w:b/>
          <w:bCs/>
          <w:color w:val="auto"/>
          <w:sz w:val="28"/>
          <w:szCs w:val="24"/>
          <w:highlight w:val="none"/>
        </w:rPr>
      </w:pPr>
    </w:p>
    <w:p w14:paraId="27760A6A">
      <w:pPr>
        <w:spacing w:line="360" w:lineRule="auto"/>
        <w:jc w:val="center"/>
        <w:rPr>
          <w:rFonts w:hint="eastAsia"/>
          <w:b/>
          <w:bCs/>
          <w:color w:val="auto"/>
          <w:sz w:val="28"/>
          <w:szCs w:val="24"/>
          <w:highlight w:val="none"/>
        </w:rPr>
      </w:pPr>
    </w:p>
    <w:p w14:paraId="3DDF9777">
      <w:pPr>
        <w:spacing w:line="360" w:lineRule="auto"/>
        <w:jc w:val="center"/>
        <w:rPr>
          <w:rFonts w:hint="eastAsia"/>
          <w:b/>
          <w:bCs/>
          <w:color w:val="auto"/>
          <w:sz w:val="28"/>
          <w:szCs w:val="24"/>
          <w:highlight w:val="none"/>
        </w:rPr>
      </w:pPr>
    </w:p>
    <w:p w14:paraId="243846EA">
      <w:pPr>
        <w:spacing w:line="360" w:lineRule="auto"/>
        <w:jc w:val="center"/>
        <w:rPr>
          <w:rFonts w:hint="eastAsia"/>
          <w:b/>
          <w:bCs/>
          <w:color w:val="auto"/>
          <w:sz w:val="28"/>
          <w:szCs w:val="24"/>
          <w:highlight w:val="none"/>
        </w:rPr>
      </w:pPr>
    </w:p>
    <w:p w14:paraId="3F5BA26A">
      <w:pPr>
        <w:spacing w:line="360" w:lineRule="auto"/>
        <w:jc w:val="center"/>
        <w:rPr>
          <w:rFonts w:hint="eastAsia"/>
          <w:b/>
          <w:bCs/>
          <w:color w:val="auto"/>
          <w:sz w:val="28"/>
          <w:szCs w:val="24"/>
          <w:highlight w:val="none"/>
        </w:rPr>
      </w:pPr>
    </w:p>
    <w:p w14:paraId="1E0E9990">
      <w:pPr>
        <w:spacing w:line="360" w:lineRule="auto"/>
        <w:jc w:val="center"/>
        <w:rPr>
          <w:rFonts w:hint="eastAsia"/>
          <w:b/>
          <w:bCs/>
          <w:color w:val="auto"/>
          <w:sz w:val="28"/>
          <w:szCs w:val="24"/>
          <w:highlight w:val="none"/>
        </w:rPr>
      </w:pPr>
    </w:p>
    <w:p w14:paraId="67DF73A8">
      <w:pPr>
        <w:spacing w:line="360" w:lineRule="auto"/>
        <w:jc w:val="center"/>
        <w:rPr>
          <w:rFonts w:hint="eastAsia"/>
          <w:b/>
          <w:bCs/>
          <w:color w:val="auto"/>
          <w:sz w:val="28"/>
          <w:szCs w:val="24"/>
          <w:highlight w:val="none"/>
        </w:rPr>
      </w:pPr>
    </w:p>
    <w:p w14:paraId="622063CB">
      <w:pPr>
        <w:spacing w:line="360" w:lineRule="auto"/>
        <w:jc w:val="center"/>
        <w:rPr>
          <w:rFonts w:hint="eastAsia"/>
          <w:b/>
          <w:bCs/>
          <w:color w:val="auto"/>
          <w:sz w:val="28"/>
          <w:szCs w:val="24"/>
          <w:highlight w:val="none"/>
        </w:rPr>
      </w:pPr>
    </w:p>
    <w:p w14:paraId="69E9851C">
      <w:pPr>
        <w:spacing w:line="360" w:lineRule="auto"/>
        <w:jc w:val="center"/>
        <w:rPr>
          <w:rFonts w:hint="eastAsia"/>
          <w:b/>
          <w:bCs/>
          <w:color w:val="auto"/>
          <w:sz w:val="28"/>
          <w:szCs w:val="24"/>
          <w:highlight w:val="none"/>
        </w:rPr>
      </w:pPr>
    </w:p>
    <w:p w14:paraId="08DC2D0D">
      <w:pPr>
        <w:spacing w:line="360" w:lineRule="auto"/>
        <w:jc w:val="center"/>
        <w:rPr>
          <w:rFonts w:hint="eastAsia"/>
          <w:b/>
          <w:bCs/>
          <w:color w:val="auto"/>
          <w:sz w:val="28"/>
          <w:szCs w:val="24"/>
          <w:highlight w:val="none"/>
        </w:rPr>
      </w:pPr>
    </w:p>
    <w:p w14:paraId="3B3986B9">
      <w:pPr>
        <w:spacing w:line="360" w:lineRule="auto"/>
        <w:jc w:val="center"/>
        <w:rPr>
          <w:rFonts w:hint="eastAsia"/>
          <w:b/>
          <w:bCs/>
          <w:color w:val="auto"/>
          <w:sz w:val="28"/>
          <w:szCs w:val="24"/>
          <w:highlight w:val="none"/>
        </w:rPr>
      </w:pPr>
    </w:p>
    <w:p w14:paraId="4CA58169">
      <w:pPr>
        <w:spacing w:line="360" w:lineRule="auto"/>
        <w:jc w:val="center"/>
        <w:rPr>
          <w:rFonts w:hint="eastAsia"/>
          <w:b/>
          <w:bCs/>
          <w:color w:val="auto"/>
          <w:sz w:val="28"/>
          <w:szCs w:val="24"/>
          <w:highlight w:val="none"/>
        </w:rPr>
      </w:pPr>
    </w:p>
    <w:p w14:paraId="37F9E0D3">
      <w:pPr>
        <w:spacing w:line="360" w:lineRule="auto"/>
        <w:jc w:val="center"/>
        <w:rPr>
          <w:rFonts w:hint="eastAsia"/>
          <w:b/>
          <w:bCs/>
          <w:color w:val="auto"/>
          <w:sz w:val="28"/>
          <w:szCs w:val="24"/>
          <w:highlight w:val="none"/>
        </w:rPr>
      </w:pPr>
    </w:p>
    <w:p w14:paraId="437155F4">
      <w:pPr>
        <w:spacing w:line="360" w:lineRule="auto"/>
        <w:jc w:val="center"/>
        <w:rPr>
          <w:rFonts w:hint="eastAsia"/>
          <w:b/>
          <w:bCs/>
          <w:color w:val="auto"/>
          <w:sz w:val="28"/>
          <w:szCs w:val="24"/>
          <w:highlight w:val="none"/>
        </w:rPr>
      </w:pPr>
    </w:p>
    <w:p w14:paraId="76CC0B11">
      <w:pPr>
        <w:spacing w:line="360" w:lineRule="auto"/>
        <w:jc w:val="center"/>
        <w:rPr>
          <w:rFonts w:hint="eastAsia"/>
          <w:b/>
          <w:bCs/>
          <w:color w:val="auto"/>
          <w:sz w:val="28"/>
          <w:szCs w:val="24"/>
          <w:highlight w:val="none"/>
        </w:rPr>
      </w:pPr>
    </w:p>
    <w:p w14:paraId="619EE289">
      <w:pPr>
        <w:spacing w:line="360" w:lineRule="auto"/>
        <w:jc w:val="center"/>
        <w:rPr>
          <w:rFonts w:hint="eastAsia"/>
          <w:b/>
          <w:bCs/>
          <w:color w:val="auto"/>
          <w:sz w:val="28"/>
          <w:szCs w:val="24"/>
          <w:highlight w:val="none"/>
        </w:rPr>
      </w:pPr>
    </w:p>
    <w:p w14:paraId="1458AC50">
      <w:pPr>
        <w:spacing w:line="360" w:lineRule="auto"/>
        <w:jc w:val="center"/>
        <w:rPr>
          <w:rFonts w:hint="eastAsia"/>
          <w:b/>
          <w:bCs/>
          <w:color w:val="auto"/>
          <w:sz w:val="28"/>
          <w:szCs w:val="24"/>
          <w:highlight w:val="none"/>
        </w:rPr>
      </w:pPr>
    </w:p>
    <w:p w14:paraId="20BBE7CB">
      <w:pPr>
        <w:spacing w:line="360" w:lineRule="auto"/>
        <w:jc w:val="center"/>
        <w:rPr>
          <w:rFonts w:hint="eastAsia"/>
          <w:b/>
          <w:bCs/>
          <w:color w:val="auto"/>
          <w:sz w:val="28"/>
          <w:szCs w:val="24"/>
          <w:highlight w:val="none"/>
        </w:rPr>
      </w:pPr>
    </w:p>
    <w:p w14:paraId="46594E43">
      <w:pPr>
        <w:spacing w:line="360" w:lineRule="auto"/>
        <w:jc w:val="center"/>
        <w:rPr>
          <w:rFonts w:hint="eastAsia"/>
          <w:b/>
          <w:bCs/>
          <w:color w:val="auto"/>
          <w:sz w:val="28"/>
          <w:szCs w:val="24"/>
          <w:highlight w:val="none"/>
        </w:rPr>
      </w:pPr>
    </w:p>
    <w:p w14:paraId="2A20104E">
      <w:pPr>
        <w:spacing w:line="360" w:lineRule="auto"/>
        <w:jc w:val="center"/>
        <w:rPr>
          <w:rFonts w:hint="eastAsia"/>
          <w:b/>
          <w:bCs/>
          <w:color w:val="auto"/>
          <w:sz w:val="28"/>
          <w:szCs w:val="24"/>
          <w:highlight w:val="none"/>
        </w:rPr>
      </w:pPr>
    </w:p>
    <w:p w14:paraId="36F7CE66">
      <w:pPr>
        <w:spacing w:line="360" w:lineRule="auto"/>
        <w:jc w:val="center"/>
        <w:rPr>
          <w:rFonts w:hint="eastAsia"/>
          <w:b/>
          <w:bCs/>
          <w:color w:val="auto"/>
          <w:sz w:val="28"/>
          <w:szCs w:val="24"/>
          <w:highlight w:val="none"/>
        </w:rPr>
      </w:pPr>
    </w:p>
    <w:p w14:paraId="014CCD14">
      <w:pPr>
        <w:spacing w:line="360" w:lineRule="auto"/>
        <w:jc w:val="center"/>
        <w:rPr>
          <w:rFonts w:hint="eastAsia"/>
          <w:b/>
          <w:bCs/>
          <w:color w:val="auto"/>
          <w:sz w:val="28"/>
          <w:szCs w:val="24"/>
          <w:highlight w:val="none"/>
        </w:rPr>
      </w:pPr>
      <w:r>
        <w:rPr>
          <w:rFonts w:hint="eastAsia"/>
          <w:b/>
          <w:bCs/>
          <w:color w:val="auto"/>
          <w:sz w:val="28"/>
          <w:szCs w:val="24"/>
          <w:highlight w:val="none"/>
          <w:lang w:val="en-US" w:eastAsia="zh-CN"/>
        </w:rPr>
        <w:t>3.</w:t>
      </w:r>
      <w:r>
        <w:rPr>
          <w:rFonts w:hint="eastAsia"/>
          <w:b/>
          <w:bCs/>
          <w:color w:val="auto"/>
          <w:sz w:val="28"/>
          <w:szCs w:val="24"/>
          <w:highlight w:val="none"/>
        </w:rPr>
        <w:t>投标声明</w:t>
      </w:r>
    </w:p>
    <w:p w14:paraId="343899E2">
      <w:pPr>
        <w:spacing w:line="360" w:lineRule="auto"/>
        <w:jc w:val="center"/>
        <w:rPr>
          <w:rFonts w:hint="eastAsia" w:ascii="宋体" w:hAnsi="宋体" w:eastAsia="宋体" w:cs="宋体"/>
          <w:color w:val="auto"/>
          <w:highlight w:val="none"/>
        </w:rPr>
      </w:pPr>
    </w:p>
    <w:p w14:paraId="1F0E8DCF">
      <w:pPr>
        <w:spacing w:line="360" w:lineRule="auto"/>
        <w:rPr>
          <w:rFonts w:hint="eastAsia" w:ascii="宋体" w:hAnsi="宋体" w:eastAsia="宋体" w:cs="宋体"/>
          <w:color w:val="auto"/>
          <w:spacing w:val="4"/>
          <w:sz w:val="24"/>
          <w:highlight w:val="none"/>
        </w:rPr>
      </w:pPr>
    </w:p>
    <w:p w14:paraId="65B21F5E">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14:paraId="61F8283D">
      <w:pPr>
        <w:spacing w:before="240" w:beforeLines="100" w:after="12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我公司参与本项目以单个主体进行参与，没有与其他供应商组成联合体。我公司的</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不与其他投标供应商的单位负责人</w:t>
      </w:r>
      <w:r>
        <w:rPr>
          <w:rFonts w:hint="eastAsia" w:ascii="宋体" w:hAnsi="宋体" w:eastAsia="宋体" w:cs="宋体"/>
          <w:color w:val="auto"/>
          <w:sz w:val="24"/>
          <w:szCs w:val="24"/>
          <w:highlight w:val="none"/>
          <w:lang w:val="zh-CN"/>
        </w:rPr>
        <w:t>为同一人，</w:t>
      </w:r>
      <w:r>
        <w:rPr>
          <w:rFonts w:hint="eastAsia" w:ascii="宋体" w:hAnsi="宋体" w:eastAsia="宋体" w:cs="宋体"/>
          <w:color w:val="auto"/>
          <w:sz w:val="24"/>
          <w:szCs w:val="24"/>
          <w:highlight w:val="none"/>
        </w:rPr>
        <w:t>不存在与其他供应商有</w:t>
      </w:r>
      <w:r>
        <w:rPr>
          <w:rFonts w:hint="eastAsia" w:ascii="宋体" w:hAnsi="宋体" w:eastAsia="宋体" w:cs="宋体"/>
          <w:color w:val="auto"/>
          <w:sz w:val="24"/>
          <w:szCs w:val="24"/>
          <w:highlight w:val="none"/>
          <w:lang w:val="zh-CN"/>
        </w:rPr>
        <w:t>直接控股、管理关系。</w:t>
      </w:r>
    </w:p>
    <w:p w14:paraId="22A00FCA">
      <w:pPr>
        <w:spacing w:before="240" w:beforeLines="100" w:after="120" w:afterLines="50" w:line="360" w:lineRule="auto"/>
        <w:ind w:firstLine="170"/>
        <w:rPr>
          <w:rFonts w:hint="eastAsia" w:ascii="宋体" w:hAnsi="宋体" w:eastAsia="宋体" w:cs="宋体"/>
          <w:color w:val="auto"/>
          <w:spacing w:val="4"/>
          <w:sz w:val="24"/>
          <w:highlight w:val="none"/>
        </w:rPr>
      </w:pPr>
    </w:p>
    <w:p w14:paraId="7E51817B">
      <w:pPr>
        <w:spacing w:before="240" w:beforeLines="100" w:after="120" w:afterLines="50" w:line="360" w:lineRule="auto"/>
        <w:ind w:firstLine="170"/>
        <w:rPr>
          <w:rFonts w:hint="eastAsia" w:ascii="宋体" w:hAnsi="宋体" w:eastAsia="宋体" w:cs="宋体"/>
          <w:color w:val="auto"/>
          <w:spacing w:val="4"/>
          <w:sz w:val="24"/>
          <w:highlight w:val="none"/>
        </w:rPr>
      </w:pP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14:paraId="2B20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4" w:type="dxa"/>
          </w:tcPr>
          <w:p w14:paraId="5751F4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2658C6E">
            <w:pPr>
              <w:spacing w:line="360" w:lineRule="auto"/>
              <w:rPr>
                <w:rFonts w:hint="eastAsia" w:ascii="宋体" w:hAnsi="宋体" w:eastAsia="宋体" w:cs="宋体"/>
                <w:color w:val="auto"/>
                <w:sz w:val="24"/>
                <w:highlight w:val="none"/>
                <w:vertAlign w:val="baseline"/>
              </w:rPr>
            </w:pPr>
          </w:p>
        </w:tc>
      </w:tr>
      <w:tr w14:paraId="256B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42A7CC3C">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法定代表人或授权代表签字或盖章：</w:t>
            </w:r>
          </w:p>
        </w:tc>
      </w:tr>
      <w:tr w14:paraId="00E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3958D18E">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14D295A2">
            <w:pPr>
              <w:spacing w:line="360" w:lineRule="auto"/>
              <w:rPr>
                <w:rFonts w:hint="eastAsia" w:ascii="宋体" w:hAnsi="宋体" w:eastAsia="宋体" w:cs="宋体"/>
                <w:color w:val="auto"/>
                <w:sz w:val="24"/>
                <w:highlight w:val="none"/>
                <w:vertAlign w:val="baseline"/>
              </w:rPr>
            </w:pPr>
          </w:p>
        </w:tc>
      </w:tr>
    </w:tbl>
    <w:p w14:paraId="1FB3F912">
      <w:pPr>
        <w:spacing w:line="360" w:lineRule="auto"/>
        <w:rPr>
          <w:rFonts w:hint="eastAsia" w:ascii="宋体" w:hAnsi="宋体" w:eastAsia="宋体" w:cs="宋体"/>
          <w:color w:val="auto"/>
          <w:highlight w:val="none"/>
        </w:rPr>
      </w:pPr>
    </w:p>
    <w:p w14:paraId="2819931E">
      <w:pPr>
        <w:pStyle w:val="5"/>
        <w:adjustRightInd w:val="0"/>
        <w:spacing w:line="360" w:lineRule="auto"/>
        <w:textAlignment w:val="baseline"/>
        <w:rPr>
          <w:rFonts w:hint="eastAsia" w:ascii="宋体" w:hAnsi="宋体" w:eastAsia="宋体" w:cs="宋体"/>
          <w:color w:val="auto"/>
          <w:highlight w:val="none"/>
        </w:rPr>
        <w:sectPr>
          <w:pgSz w:w="11906" w:h="16838"/>
          <w:pgMar w:top="1440" w:right="1644" w:bottom="1219" w:left="1644" w:header="850" w:footer="992" w:gutter="0"/>
          <w:pgNumType w:fmt="decimal"/>
          <w:cols w:space="720" w:num="1"/>
          <w:titlePg/>
          <w:docGrid w:linePitch="312" w:charSpace="0"/>
        </w:sectPr>
      </w:pPr>
    </w:p>
    <w:p w14:paraId="4B744648">
      <w:pPr>
        <w:pStyle w:val="18"/>
        <w:spacing w:beforeAutospacing="0" w:afterAutospacing="0" w:line="360" w:lineRule="auto"/>
        <w:ind w:firstLine="420"/>
        <w:rPr>
          <w:rFonts w:hint="eastAsia" w:ascii="宋体" w:hAnsi="宋体" w:eastAsia="宋体" w:cs="宋体"/>
          <w:b/>
          <w:bCs/>
          <w:color w:val="auto"/>
          <w:szCs w:val="24"/>
          <w:highlight w:val="none"/>
        </w:rPr>
      </w:pPr>
      <w:r>
        <w:rPr>
          <w:rFonts w:hint="eastAsia"/>
          <w:b/>
          <w:bCs/>
          <w:highlight w:val="none"/>
          <w:lang w:val="en-US" w:eastAsia="zh-CN"/>
        </w:rPr>
        <w:t>4.供应商须具有司法部门核发的有效的《律师事务所执业许可证》</w:t>
      </w:r>
      <w:r>
        <w:rPr>
          <w:rFonts w:hint="eastAsia" w:ascii="宋体" w:hAnsi="宋体" w:eastAsia="宋体" w:cs="宋体"/>
          <w:b/>
          <w:bCs/>
          <w:i w:val="0"/>
          <w:iCs w:val="0"/>
          <w:caps w:val="0"/>
          <w:color w:val="auto"/>
          <w:spacing w:val="0"/>
          <w:sz w:val="24"/>
          <w:szCs w:val="24"/>
          <w:highlight w:val="none"/>
          <w:shd w:val="clear" w:fill="FFFFFF"/>
          <w:lang w:eastAsia="zh-CN"/>
        </w:rPr>
        <w:t>；</w:t>
      </w:r>
    </w:p>
    <w:p w14:paraId="08F879D0">
      <w:pPr>
        <w:rPr>
          <w:color w:val="auto"/>
          <w:highlight w:val="none"/>
        </w:rPr>
      </w:pPr>
    </w:p>
    <w:p w14:paraId="271132C3">
      <w:pPr>
        <w:bidi w:val="0"/>
        <w:rPr>
          <w:rFonts w:hint="eastAsia"/>
        </w:rPr>
      </w:pPr>
      <w:bookmarkStart w:id="248" w:name="_Toc25637"/>
      <w:bookmarkStart w:id="249" w:name="_Toc9390"/>
    </w:p>
    <w:p w14:paraId="33B77029">
      <w:pPr>
        <w:bidi w:val="0"/>
        <w:rPr>
          <w:rFonts w:hint="eastAsia"/>
        </w:rPr>
      </w:pPr>
    </w:p>
    <w:p w14:paraId="16C46378">
      <w:pPr>
        <w:bidi w:val="0"/>
        <w:rPr>
          <w:rFonts w:hint="eastAsia"/>
        </w:rPr>
      </w:pPr>
    </w:p>
    <w:p w14:paraId="51E76953">
      <w:pPr>
        <w:bidi w:val="0"/>
        <w:rPr>
          <w:rFonts w:hint="eastAsia"/>
        </w:rPr>
      </w:pPr>
    </w:p>
    <w:bookmarkEnd w:id="248"/>
    <w:bookmarkEnd w:id="249"/>
    <w:p w14:paraId="1FF5A590">
      <w:pPr>
        <w:spacing w:line="360" w:lineRule="auto"/>
        <w:jc w:val="center"/>
        <w:rPr>
          <w:rFonts w:hint="eastAsia"/>
          <w:b/>
          <w:bCs/>
          <w:color w:val="auto"/>
          <w:sz w:val="28"/>
          <w:szCs w:val="24"/>
          <w:highlight w:val="none"/>
        </w:rPr>
      </w:pPr>
      <w:r>
        <w:rPr>
          <w:rFonts w:hint="eastAsia"/>
          <w:b/>
          <w:bCs/>
          <w:color w:val="auto"/>
          <w:sz w:val="28"/>
          <w:szCs w:val="24"/>
          <w:highlight w:val="none"/>
        </w:rPr>
        <w:br w:type="page"/>
      </w:r>
    </w:p>
    <w:p w14:paraId="5F7AF730">
      <w:pPr>
        <w:pStyle w:val="5"/>
        <w:adjustRightInd w:val="0"/>
        <w:spacing w:line="360" w:lineRule="auto"/>
        <w:jc w:val="center"/>
        <w:textAlignment w:val="baseline"/>
        <w:rPr>
          <w:rFonts w:hint="eastAsia" w:ascii="宋体" w:hAnsi="宋体" w:eastAsia="宋体" w:cs="宋体"/>
          <w:color w:val="auto"/>
          <w:highlight w:val="none"/>
        </w:rPr>
      </w:pPr>
      <w:bookmarkStart w:id="250" w:name="_Toc24682"/>
      <w:bookmarkStart w:id="251" w:name="_Toc16630"/>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、响应方案</w:t>
      </w:r>
    </w:p>
    <w:p w14:paraId="2952595F">
      <w:pPr>
        <w:spacing w:line="360" w:lineRule="auto"/>
        <w:rPr>
          <w:rFonts w:hint="eastAsia" w:ascii="宋体" w:hAnsi="宋体" w:eastAsia="宋体" w:cs="宋体"/>
          <w:color w:val="auto"/>
          <w:highlight w:val="none"/>
        </w:rPr>
      </w:pPr>
    </w:p>
    <w:p w14:paraId="5673AF9F">
      <w:pPr>
        <w:pStyle w:val="5"/>
        <w:numPr>
          <w:ilvl w:val="0"/>
          <w:numId w:val="0"/>
        </w:numPr>
        <w:adjustRightInd w:val="0"/>
        <w:snapToGrid w:val="0"/>
        <w:spacing w:line="360" w:lineRule="auto"/>
        <w:jc w:val="center"/>
        <w:rPr>
          <w:rFonts w:hint="eastAsia" w:ascii="宋体" w:hAnsi="宋体" w:cs="宋体"/>
          <w:color w:val="auto"/>
          <w:sz w:val="24"/>
          <w:highlight w:val="none"/>
        </w:rPr>
      </w:pPr>
      <w:bookmarkStart w:id="252" w:name="_Toc31745"/>
      <w:bookmarkStart w:id="253" w:name="_Toc109543222"/>
      <w:bookmarkStart w:id="254" w:name="_Toc332805161"/>
      <w:bookmarkStart w:id="255" w:name="_Toc28456"/>
      <w:bookmarkStart w:id="256" w:name="_Toc18473"/>
      <w:bookmarkStart w:id="257" w:name="_Toc332805606"/>
      <w:bookmarkStart w:id="258" w:name="_Toc5152"/>
      <w:bookmarkStart w:id="259" w:name="_Toc109542402"/>
      <w:bookmarkStart w:id="260" w:name="_Toc30046"/>
      <w:r>
        <w:rPr>
          <w:rFonts w:hint="eastAsia" w:ascii="宋体" w:hAnsi="宋体" w:cs="宋体"/>
          <w:color w:val="auto"/>
          <w:sz w:val="24"/>
          <w:highlight w:val="none"/>
        </w:rPr>
        <w:t>技术偏离表</w:t>
      </w:r>
      <w:bookmarkEnd w:id="252"/>
      <w:bookmarkEnd w:id="253"/>
      <w:bookmarkEnd w:id="254"/>
      <w:bookmarkEnd w:id="255"/>
      <w:bookmarkEnd w:id="256"/>
      <w:bookmarkEnd w:id="257"/>
      <w:bookmarkEnd w:id="258"/>
      <w:bookmarkEnd w:id="259"/>
      <w:bookmarkEnd w:id="260"/>
    </w:p>
    <w:p w14:paraId="7C570545">
      <w:pPr>
        <w:pStyle w:val="13"/>
        <w:spacing w:before="120" w:line="360" w:lineRule="auto"/>
        <w:rPr>
          <w:rFonts w:hint="eastAsia" w:hAnsi="宋体" w:cs="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69"/>
        <w:gridCol w:w="2234"/>
        <w:gridCol w:w="2722"/>
        <w:gridCol w:w="1135"/>
        <w:gridCol w:w="640"/>
      </w:tblGrid>
      <w:tr w14:paraId="1299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1" w:type="dxa"/>
            <w:noWrap w:val="0"/>
            <w:vAlign w:val="center"/>
          </w:tcPr>
          <w:p w14:paraId="2AC64185">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1369" w:type="dxa"/>
            <w:noWrap w:val="0"/>
            <w:vAlign w:val="center"/>
          </w:tcPr>
          <w:p w14:paraId="7741DD1E">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名称</w:t>
            </w:r>
          </w:p>
        </w:tc>
        <w:tc>
          <w:tcPr>
            <w:tcW w:w="2234" w:type="dxa"/>
            <w:noWrap w:val="0"/>
            <w:vAlign w:val="center"/>
          </w:tcPr>
          <w:p w14:paraId="0496EA1B">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采购要求</w:t>
            </w:r>
          </w:p>
        </w:tc>
        <w:tc>
          <w:tcPr>
            <w:tcW w:w="2722" w:type="dxa"/>
            <w:noWrap w:val="0"/>
            <w:vAlign w:val="center"/>
          </w:tcPr>
          <w:p w14:paraId="7F2F5399">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投标响应</w:t>
            </w:r>
          </w:p>
        </w:tc>
        <w:tc>
          <w:tcPr>
            <w:tcW w:w="1135" w:type="dxa"/>
            <w:noWrap w:val="0"/>
            <w:vAlign w:val="center"/>
          </w:tcPr>
          <w:p w14:paraId="5EBFE1AA">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偏离（正/负）</w:t>
            </w:r>
          </w:p>
        </w:tc>
        <w:tc>
          <w:tcPr>
            <w:tcW w:w="640" w:type="dxa"/>
            <w:noWrap w:val="0"/>
            <w:vAlign w:val="center"/>
          </w:tcPr>
          <w:p w14:paraId="2EE503BB">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说明</w:t>
            </w:r>
          </w:p>
        </w:tc>
      </w:tr>
      <w:tr w14:paraId="085B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1" w:type="dxa"/>
            <w:noWrap w:val="0"/>
            <w:vAlign w:val="top"/>
          </w:tcPr>
          <w:p w14:paraId="055D7A23">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1</w:t>
            </w:r>
          </w:p>
        </w:tc>
        <w:tc>
          <w:tcPr>
            <w:tcW w:w="1369" w:type="dxa"/>
            <w:noWrap w:val="0"/>
            <w:vAlign w:val="top"/>
          </w:tcPr>
          <w:p w14:paraId="27802A49">
            <w:pPr>
              <w:pStyle w:val="13"/>
              <w:spacing w:before="120" w:line="360" w:lineRule="auto"/>
              <w:jc w:val="center"/>
              <w:rPr>
                <w:rFonts w:hint="eastAsia" w:hAnsi="宋体" w:cs="宋体"/>
                <w:color w:val="auto"/>
                <w:sz w:val="24"/>
                <w:szCs w:val="24"/>
                <w:highlight w:val="none"/>
              </w:rPr>
            </w:pPr>
          </w:p>
        </w:tc>
        <w:tc>
          <w:tcPr>
            <w:tcW w:w="2234" w:type="dxa"/>
            <w:noWrap w:val="0"/>
            <w:vAlign w:val="top"/>
          </w:tcPr>
          <w:p w14:paraId="1F52002A">
            <w:pPr>
              <w:pStyle w:val="13"/>
              <w:spacing w:before="120" w:line="360" w:lineRule="auto"/>
              <w:rPr>
                <w:rFonts w:hint="eastAsia" w:hAnsi="宋体" w:cs="宋体"/>
                <w:color w:val="auto"/>
                <w:sz w:val="24"/>
                <w:szCs w:val="24"/>
                <w:highlight w:val="none"/>
              </w:rPr>
            </w:pPr>
          </w:p>
        </w:tc>
        <w:tc>
          <w:tcPr>
            <w:tcW w:w="2722" w:type="dxa"/>
            <w:noWrap w:val="0"/>
            <w:vAlign w:val="top"/>
          </w:tcPr>
          <w:p w14:paraId="6023FD9A">
            <w:pPr>
              <w:pStyle w:val="13"/>
              <w:spacing w:before="120" w:line="360" w:lineRule="auto"/>
              <w:rPr>
                <w:rFonts w:hint="eastAsia" w:hAnsi="宋体" w:cs="宋体"/>
                <w:color w:val="auto"/>
                <w:sz w:val="24"/>
                <w:szCs w:val="24"/>
                <w:highlight w:val="none"/>
              </w:rPr>
            </w:pPr>
          </w:p>
        </w:tc>
        <w:tc>
          <w:tcPr>
            <w:tcW w:w="1135" w:type="dxa"/>
            <w:noWrap w:val="0"/>
            <w:vAlign w:val="top"/>
          </w:tcPr>
          <w:p w14:paraId="1BAAEA8D">
            <w:pPr>
              <w:pStyle w:val="13"/>
              <w:spacing w:before="120" w:line="360" w:lineRule="auto"/>
              <w:rPr>
                <w:rFonts w:hint="eastAsia" w:hAnsi="宋体" w:cs="宋体"/>
                <w:color w:val="auto"/>
                <w:sz w:val="24"/>
                <w:szCs w:val="24"/>
                <w:highlight w:val="none"/>
              </w:rPr>
            </w:pPr>
          </w:p>
        </w:tc>
        <w:tc>
          <w:tcPr>
            <w:tcW w:w="640" w:type="dxa"/>
            <w:noWrap w:val="0"/>
            <w:vAlign w:val="top"/>
          </w:tcPr>
          <w:p w14:paraId="6FA03073">
            <w:pPr>
              <w:pStyle w:val="13"/>
              <w:spacing w:before="120" w:line="360" w:lineRule="auto"/>
              <w:rPr>
                <w:rFonts w:hint="eastAsia" w:hAnsi="宋体" w:cs="宋体"/>
                <w:color w:val="auto"/>
                <w:sz w:val="24"/>
                <w:szCs w:val="24"/>
                <w:highlight w:val="none"/>
              </w:rPr>
            </w:pPr>
          </w:p>
        </w:tc>
      </w:tr>
      <w:tr w14:paraId="0811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1" w:type="dxa"/>
            <w:noWrap w:val="0"/>
            <w:vAlign w:val="top"/>
          </w:tcPr>
          <w:p w14:paraId="3D048670">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2</w:t>
            </w:r>
          </w:p>
        </w:tc>
        <w:tc>
          <w:tcPr>
            <w:tcW w:w="1369" w:type="dxa"/>
            <w:noWrap w:val="0"/>
            <w:vAlign w:val="top"/>
          </w:tcPr>
          <w:p w14:paraId="60BF0964">
            <w:pPr>
              <w:pStyle w:val="13"/>
              <w:spacing w:before="120" w:line="360" w:lineRule="auto"/>
              <w:jc w:val="center"/>
              <w:rPr>
                <w:rFonts w:hint="eastAsia" w:hAnsi="宋体" w:cs="宋体"/>
                <w:color w:val="auto"/>
                <w:sz w:val="24"/>
                <w:szCs w:val="24"/>
                <w:highlight w:val="none"/>
              </w:rPr>
            </w:pPr>
          </w:p>
        </w:tc>
        <w:tc>
          <w:tcPr>
            <w:tcW w:w="2234" w:type="dxa"/>
            <w:noWrap w:val="0"/>
            <w:vAlign w:val="top"/>
          </w:tcPr>
          <w:p w14:paraId="09E81ACC">
            <w:pPr>
              <w:pStyle w:val="13"/>
              <w:spacing w:before="120" w:line="360" w:lineRule="auto"/>
              <w:rPr>
                <w:rFonts w:hint="eastAsia" w:hAnsi="宋体" w:cs="宋体"/>
                <w:color w:val="auto"/>
                <w:sz w:val="24"/>
                <w:szCs w:val="24"/>
                <w:highlight w:val="none"/>
              </w:rPr>
            </w:pPr>
          </w:p>
        </w:tc>
        <w:tc>
          <w:tcPr>
            <w:tcW w:w="2722" w:type="dxa"/>
            <w:noWrap w:val="0"/>
            <w:vAlign w:val="top"/>
          </w:tcPr>
          <w:p w14:paraId="3389B051">
            <w:pPr>
              <w:pStyle w:val="13"/>
              <w:spacing w:before="120" w:line="360" w:lineRule="auto"/>
              <w:rPr>
                <w:rFonts w:hint="eastAsia" w:hAnsi="宋体" w:cs="宋体"/>
                <w:color w:val="auto"/>
                <w:sz w:val="24"/>
                <w:szCs w:val="24"/>
                <w:highlight w:val="none"/>
              </w:rPr>
            </w:pPr>
          </w:p>
        </w:tc>
        <w:tc>
          <w:tcPr>
            <w:tcW w:w="1135" w:type="dxa"/>
            <w:noWrap w:val="0"/>
            <w:vAlign w:val="top"/>
          </w:tcPr>
          <w:p w14:paraId="60CDF501">
            <w:pPr>
              <w:pStyle w:val="13"/>
              <w:spacing w:before="120" w:line="360" w:lineRule="auto"/>
              <w:rPr>
                <w:rFonts w:hint="eastAsia" w:hAnsi="宋体" w:cs="宋体"/>
                <w:color w:val="auto"/>
                <w:sz w:val="24"/>
                <w:szCs w:val="24"/>
                <w:highlight w:val="none"/>
              </w:rPr>
            </w:pPr>
          </w:p>
        </w:tc>
        <w:tc>
          <w:tcPr>
            <w:tcW w:w="640" w:type="dxa"/>
            <w:noWrap w:val="0"/>
            <w:vAlign w:val="top"/>
          </w:tcPr>
          <w:p w14:paraId="2FFC7EB4">
            <w:pPr>
              <w:pStyle w:val="13"/>
              <w:spacing w:before="120" w:line="360" w:lineRule="auto"/>
              <w:rPr>
                <w:rFonts w:hint="eastAsia" w:hAnsi="宋体" w:cs="宋体"/>
                <w:color w:val="auto"/>
                <w:sz w:val="24"/>
                <w:szCs w:val="24"/>
                <w:highlight w:val="none"/>
              </w:rPr>
            </w:pPr>
          </w:p>
        </w:tc>
      </w:tr>
      <w:tr w14:paraId="563C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21" w:type="dxa"/>
            <w:noWrap w:val="0"/>
            <w:vAlign w:val="top"/>
          </w:tcPr>
          <w:p w14:paraId="49897EEC">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3</w:t>
            </w:r>
          </w:p>
        </w:tc>
        <w:tc>
          <w:tcPr>
            <w:tcW w:w="1369" w:type="dxa"/>
            <w:noWrap w:val="0"/>
            <w:vAlign w:val="top"/>
          </w:tcPr>
          <w:p w14:paraId="67D665BA">
            <w:pPr>
              <w:pStyle w:val="13"/>
              <w:spacing w:before="120" w:line="360" w:lineRule="auto"/>
              <w:jc w:val="center"/>
              <w:rPr>
                <w:rFonts w:hint="eastAsia" w:hAnsi="宋体" w:cs="宋体"/>
                <w:color w:val="auto"/>
                <w:sz w:val="24"/>
                <w:szCs w:val="24"/>
                <w:highlight w:val="none"/>
              </w:rPr>
            </w:pPr>
          </w:p>
        </w:tc>
        <w:tc>
          <w:tcPr>
            <w:tcW w:w="2234" w:type="dxa"/>
            <w:noWrap w:val="0"/>
            <w:vAlign w:val="top"/>
          </w:tcPr>
          <w:p w14:paraId="1D6F360C">
            <w:pPr>
              <w:pStyle w:val="13"/>
              <w:spacing w:before="120" w:line="360" w:lineRule="auto"/>
              <w:rPr>
                <w:rFonts w:hint="eastAsia" w:hAnsi="宋体" w:cs="宋体"/>
                <w:color w:val="auto"/>
                <w:sz w:val="24"/>
                <w:szCs w:val="24"/>
                <w:highlight w:val="none"/>
              </w:rPr>
            </w:pPr>
          </w:p>
        </w:tc>
        <w:tc>
          <w:tcPr>
            <w:tcW w:w="2722" w:type="dxa"/>
            <w:noWrap w:val="0"/>
            <w:vAlign w:val="top"/>
          </w:tcPr>
          <w:p w14:paraId="77538CE8">
            <w:pPr>
              <w:pStyle w:val="13"/>
              <w:spacing w:before="120" w:line="360" w:lineRule="auto"/>
              <w:rPr>
                <w:rFonts w:hint="eastAsia" w:hAnsi="宋体" w:cs="宋体"/>
                <w:color w:val="auto"/>
                <w:sz w:val="24"/>
                <w:szCs w:val="24"/>
                <w:highlight w:val="none"/>
              </w:rPr>
            </w:pPr>
          </w:p>
        </w:tc>
        <w:tc>
          <w:tcPr>
            <w:tcW w:w="1135" w:type="dxa"/>
            <w:noWrap w:val="0"/>
            <w:vAlign w:val="top"/>
          </w:tcPr>
          <w:p w14:paraId="00DCC9E0">
            <w:pPr>
              <w:pStyle w:val="13"/>
              <w:spacing w:before="120" w:line="360" w:lineRule="auto"/>
              <w:rPr>
                <w:rFonts w:hint="eastAsia" w:hAnsi="宋体" w:cs="宋体"/>
                <w:color w:val="auto"/>
                <w:sz w:val="24"/>
                <w:szCs w:val="24"/>
                <w:highlight w:val="none"/>
              </w:rPr>
            </w:pPr>
          </w:p>
        </w:tc>
        <w:tc>
          <w:tcPr>
            <w:tcW w:w="640" w:type="dxa"/>
            <w:noWrap w:val="0"/>
            <w:vAlign w:val="top"/>
          </w:tcPr>
          <w:p w14:paraId="0FAB5B3F">
            <w:pPr>
              <w:pStyle w:val="13"/>
              <w:spacing w:before="120" w:line="360" w:lineRule="auto"/>
              <w:rPr>
                <w:rFonts w:hint="eastAsia" w:hAnsi="宋体" w:cs="宋体"/>
                <w:color w:val="auto"/>
                <w:sz w:val="24"/>
                <w:szCs w:val="24"/>
                <w:highlight w:val="none"/>
              </w:rPr>
            </w:pPr>
          </w:p>
        </w:tc>
      </w:tr>
      <w:tr w14:paraId="30E3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621" w:type="dxa"/>
            <w:noWrap w:val="0"/>
            <w:vAlign w:val="top"/>
          </w:tcPr>
          <w:p w14:paraId="343BBF09">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w:t>
            </w:r>
          </w:p>
        </w:tc>
        <w:tc>
          <w:tcPr>
            <w:tcW w:w="1369" w:type="dxa"/>
            <w:noWrap w:val="0"/>
            <w:vAlign w:val="top"/>
          </w:tcPr>
          <w:p w14:paraId="4830353C">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w:t>
            </w:r>
          </w:p>
        </w:tc>
        <w:tc>
          <w:tcPr>
            <w:tcW w:w="2234" w:type="dxa"/>
            <w:noWrap w:val="0"/>
            <w:vAlign w:val="top"/>
          </w:tcPr>
          <w:p w14:paraId="272EFAFA">
            <w:pPr>
              <w:pStyle w:val="13"/>
              <w:spacing w:before="120" w:line="360" w:lineRule="auto"/>
              <w:rPr>
                <w:rFonts w:hint="eastAsia" w:hAnsi="宋体" w:cs="宋体"/>
                <w:color w:val="auto"/>
                <w:sz w:val="24"/>
                <w:szCs w:val="24"/>
                <w:highlight w:val="none"/>
              </w:rPr>
            </w:pPr>
          </w:p>
        </w:tc>
        <w:tc>
          <w:tcPr>
            <w:tcW w:w="2722" w:type="dxa"/>
            <w:noWrap w:val="0"/>
            <w:vAlign w:val="top"/>
          </w:tcPr>
          <w:p w14:paraId="300607D6">
            <w:pPr>
              <w:pStyle w:val="13"/>
              <w:spacing w:before="120" w:line="360" w:lineRule="auto"/>
              <w:rPr>
                <w:rFonts w:hint="eastAsia" w:hAnsi="宋体" w:cs="宋体"/>
                <w:color w:val="auto"/>
                <w:sz w:val="24"/>
                <w:szCs w:val="24"/>
                <w:highlight w:val="none"/>
              </w:rPr>
            </w:pPr>
          </w:p>
        </w:tc>
        <w:tc>
          <w:tcPr>
            <w:tcW w:w="1135" w:type="dxa"/>
            <w:noWrap w:val="0"/>
            <w:vAlign w:val="top"/>
          </w:tcPr>
          <w:p w14:paraId="20A01AA3">
            <w:pPr>
              <w:pStyle w:val="13"/>
              <w:spacing w:before="120" w:line="360" w:lineRule="auto"/>
              <w:rPr>
                <w:rFonts w:hint="eastAsia" w:hAnsi="宋体" w:cs="宋体"/>
                <w:color w:val="auto"/>
                <w:sz w:val="24"/>
                <w:szCs w:val="24"/>
                <w:highlight w:val="none"/>
              </w:rPr>
            </w:pPr>
          </w:p>
        </w:tc>
        <w:tc>
          <w:tcPr>
            <w:tcW w:w="640" w:type="dxa"/>
            <w:noWrap w:val="0"/>
            <w:vAlign w:val="top"/>
          </w:tcPr>
          <w:p w14:paraId="6BF1179E">
            <w:pPr>
              <w:pStyle w:val="13"/>
              <w:spacing w:before="120" w:line="360" w:lineRule="auto"/>
              <w:rPr>
                <w:rFonts w:hint="eastAsia" w:hAnsi="宋体" w:cs="宋体"/>
                <w:color w:val="auto"/>
                <w:sz w:val="24"/>
                <w:szCs w:val="24"/>
                <w:highlight w:val="none"/>
              </w:rPr>
            </w:pPr>
          </w:p>
        </w:tc>
      </w:tr>
    </w:tbl>
    <w:p w14:paraId="61B6EB3A">
      <w:pPr>
        <w:pStyle w:val="13"/>
        <w:spacing w:before="120" w:line="360" w:lineRule="auto"/>
        <w:rPr>
          <w:rFonts w:hAnsi="宋体" w:cs="宋体"/>
          <w:color w:val="auto"/>
          <w:sz w:val="24"/>
          <w:highlight w:val="none"/>
        </w:rPr>
      </w:pPr>
      <w:r>
        <w:rPr>
          <w:rFonts w:hint="eastAsia" w:hAnsi="宋体" w:cs="宋体"/>
          <w:color w:val="auto"/>
          <w:sz w:val="24"/>
          <w:highlight w:val="none"/>
        </w:rPr>
        <w:t xml:space="preserve">    无偏离项的直接填写“无</w:t>
      </w:r>
      <w:r>
        <w:rPr>
          <w:rFonts w:hAnsi="宋体" w:cs="宋体"/>
          <w:color w:val="auto"/>
          <w:sz w:val="24"/>
          <w:highlight w:val="none"/>
        </w:rPr>
        <w:t>”</w:t>
      </w:r>
      <w:r>
        <w:rPr>
          <w:rFonts w:hint="eastAsia" w:hAnsi="宋体" w:cs="宋体"/>
          <w:color w:val="auto"/>
          <w:sz w:val="24"/>
          <w:highlight w:val="none"/>
        </w:rPr>
        <w:t>或者“/”。</w:t>
      </w:r>
    </w:p>
    <w:p w14:paraId="700DA204">
      <w:pPr>
        <w:pStyle w:val="13"/>
        <w:spacing w:before="120" w:line="360" w:lineRule="auto"/>
        <w:ind w:firstLine="480" w:firstLineChars="200"/>
        <w:rPr>
          <w:rFonts w:hint="eastAsia" w:hAnsi="宋体" w:cs="宋体"/>
          <w:color w:val="auto"/>
          <w:sz w:val="24"/>
          <w:szCs w:val="24"/>
          <w:highlight w:val="none"/>
        </w:rPr>
      </w:pPr>
    </w:p>
    <w:p w14:paraId="482354C2">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供应商授权代表签字或盖章：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0E837C18">
      <w:pPr>
        <w:pStyle w:val="13"/>
        <w:tabs>
          <w:tab w:val="left" w:pos="5580"/>
        </w:tabs>
        <w:spacing w:before="120" w:line="360" w:lineRule="auto"/>
        <w:rPr>
          <w:rFonts w:hint="eastAsia" w:hAnsi="宋体" w:cs="宋体"/>
          <w:color w:val="auto"/>
          <w:sz w:val="24"/>
          <w:szCs w:val="24"/>
          <w:highlight w:val="none"/>
          <w:u w:val="single"/>
        </w:rPr>
      </w:pPr>
      <w:r>
        <w:rPr>
          <w:rFonts w:hint="eastAsia" w:hAnsi="宋体" w:cs="宋体"/>
          <w:color w:val="auto"/>
          <w:sz w:val="24"/>
          <w:szCs w:val="24"/>
          <w:highlight w:val="none"/>
        </w:rPr>
        <w:t>供应商(公章):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1AEED72F">
      <w:pPr>
        <w:pStyle w:val="13"/>
        <w:tabs>
          <w:tab w:val="left" w:pos="5580"/>
        </w:tabs>
        <w:spacing w:before="120" w:line="360" w:lineRule="auto"/>
        <w:rPr>
          <w:rFonts w:hint="eastAsia" w:hAnsi="宋体" w:cs="宋体"/>
          <w:color w:val="auto"/>
          <w:highlight w:val="none"/>
        </w:rPr>
        <w:sectPr>
          <w:footerReference r:id="rId15" w:type="default"/>
          <w:pgSz w:w="11906" w:h="16838"/>
          <w:pgMar w:top="1417" w:right="1644" w:bottom="1417" w:left="1757" w:header="850" w:footer="850" w:gutter="0"/>
          <w:cols w:space="720" w:num="1"/>
          <w:docGrid w:linePitch="312" w:charSpace="0"/>
        </w:sectPr>
      </w:pPr>
      <w:bookmarkStart w:id="261" w:name="_Toc332805607"/>
      <w:bookmarkStart w:id="262" w:name="_Toc332805162"/>
      <w:bookmarkStart w:id="263" w:name="_Toc109543223"/>
      <w:bookmarkStart w:id="264" w:name="_Toc109542403"/>
      <w:r>
        <w:rPr>
          <w:rFonts w:hint="eastAsia" w:hAnsi="宋体" w:cs="宋体"/>
          <w:color w:val="auto"/>
          <w:sz w:val="24"/>
          <w:highlight w:val="none"/>
        </w:rPr>
        <w:t>日    期：</w:t>
      </w:r>
      <w:r>
        <w:rPr>
          <w:rFonts w:hint="eastAsia" w:hAnsi="宋体" w:cs="宋体"/>
          <w:color w:val="auto"/>
          <w:sz w:val="24"/>
          <w:highlight w:val="none"/>
          <w:u w:val="single"/>
        </w:rPr>
        <w:t xml:space="preserve">                    </w:t>
      </w:r>
    </w:p>
    <w:p w14:paraId="327823F6">
      <w:pPr>
        <w:pStyle w:val="5"/>
        <w:numPr>
          <w:ilvl w:val="0"/>
          <w:numId w:val="0"/>
        </w:numPr>
        <w:adjustRightInd w:val="0"/>
        <w:snapToGrid w:val="0"/>
        <w:spacing w:line="360" w:lineRule="auto"/>
        <w:jc w:val="center"/>
        <w:rPr>
          <w:rFonts w:hint="eastAsia" w:ascii="宋体" w:hAnsi="宋体" w:cs="宋体"/>
          <w:color w:val="auto"/>
          <w:sz w:val="24"/>
          <w:highlight w:val="none"/>
        </w:rPr>
      </w:pPr>
      <w:bookmarkStart w:id="265" w:name="_Toc6015"/>
      <w:bookmarkStart w:id="266" w:name="_Toc12095"/>
      <w:bookmarkStart w:id="267" w:name="_Toc7965"/>
      <w:bookmarkStart w:id="268" w:name="_Toc14464"/>
      <w:bookmarkStart w:id="269" w:name="_Toc17155"/>
      <w:r>
        <w:rPr>
          <w:rFonts w:hint="eastAsia" w:ascii="宋体" w:hAnsi="宋体" w:cs="宋体"/>
          <w:color w:val="auto"/>
          <w:sz w:val="24"/>
          <w:highlight w:val="none"/>
        </w:rPr>
        <w:t>商务条款偏离表</w:t>
      </w:r>
      <w:bookmarkEnd w:id="261"/>
      <w:bookmarkEnd w:id="262"/>
      <w:bookmarkEnd w:id="263"/>
      <w:bookmarkEnd w:id="264"/>
      <w:bookmarkEnd w:id="265"/>
      <w:bookmarkEnd w:id="266"/>
      <w:bookmarkEnd w:id="267"/>
      <w:bookmarkEnd w:id="268"/>
      <w:bookmarkEnd w:id="269"/>
    </w:p>
    <w:p w14:paraId="30FDAC32">
      <w:pPr>
        <w:pStyle w:val="13"/>
        <w:spacing w:before="120" w:line="360" w:lineRule="auto"/>
        <w:rPr>
          <w:rFonts w:hint="eastAsia" w:hAnsi="宋体" w:cs="宋体"/>
          <w:color w:val="auto"/>
          <w:sz w:val="24"/>
          <w:szCs w:val="24"/>
          <w:highlight w:val="none"/>
        </w:rPr>
      </w:pPr>
    </w:p>
    <w:p w14:paraId="7326E0E4">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供应商名称:</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7E63BE00">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项目编号:</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7AEDD9CA">
      <w:pPr>
        <w:pStyle w:val="13"/>
        <w:spacing w:before="120" w:line="360" w:lineRule="auto"/>
        <w:rPr>
          <w:rFonts w:hint="eastAsia" w:hAnsi="宋体" w:cs="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00"/>
        <w:gridCol w:w="3840"/>
        <w:gridCol w:w="1440"/>
        <w:gridCol w:w="900"/>
      </w:tblGrid>
      <w:tr w14:paraId="0C5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4E59CE5D">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序号</w:t>
            </w:r>
          </w:p>
        </w:tc>
        <w:tc>
          <w:tcPr>
            <w:tcW w:w="1800" w:type="dxa"/>
            <w:noWrap w:val="0"/>
            <w:vAlign w:val="top"/>
          </w:tcPr>
          <w:p w14:paraId="69A1F12B">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招标文件页码及条款号</w:t>
            </w:r>
          </w:p>
        </w:tc>
        <w:tc>
          <w:tcPr>
            <w:tcW w:w="3840" w:type="dxa"/>
            <w:noWrap w:val="0"/>
            <w:vAlign w:val="top"/>
          </w:tcPr>
          <w:p w14:paraId="615F35E0">
            <w:pPr>
              <w:pStyle w:val="13"/>
              <w:spacing w:before="120" w:line="360" w:lineRule="auto"/>
              <w:jc w:val="center"/>
              <w:rPr>
                <w:rFonts w:hint="eastAsia" w:hAnsi="宋体" w:cs="宋体"/>
                <w:color w:val="auto"/>
                <w:sz w:val="24"/>
                <w:szCs w:val="24"/>
                <w:highlight w:val="none"/>
              </w:rPr>
            </w:pPr>
            <w:r>
              <w:rPr>
                <w:rFonts w:hint="eastAsia" w:hAnsi="宋体" w:cs="宋体"/>
                <w:color w:val="auto"/>
                <w:sz w:val="24"/>
                <w:szCs w:val="24"/>
                <w:highlight w:val="none"/>
              </w:rPr>
              <w:t>投标文件的商务条款应答</w:t>
            </w:r>
          </w:p>
        </w:tc>
        <w:tc>
          <w:tcPr>
            <w:tcW w:w="1440" w:type="dxa"/>
            <w:noWrap w:val="0"/>
            <w:vAlign w:val="top"/>
          </w:tcPr>
          <w:p w14:paraId="23F322FA">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偏离（正/负）</w:t>
            </w:r>
          </w:p>
        </w:tc>
        <w:tc>
          <w:tcPr>
            <w:tcW w:w="900" w:type="dxa"/>
            <w:noWrap w:val="0"/>
            <w:vAlign w:val="top"/>
          </w:tcPr>
          <w:p w14:paraId="054A6769">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说明</w:t>
            </w:r>
          </w:p>
        </w:tc>
      </w:tr>
      <w:tr w14:paraId="2B2D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6B75C424">
            <w:pPr>
              <w:pStyle w:val="13"/>
              <w:spacing w:before="120" w:line="360" w:lineRule="auto"/>
              <w:rPr>
                <w:rFonts w:hint="eastAsia" w:hAnsi="宋体" w:cs="宋体"/>
                <w:color w:val="auto"/>
                <w:sz w:val="24"/>
                <w:szCs w:val="24"/>
                <w:highlight w:val="none"/>
              </w:rPr>
            </w:pPr>
          </w:p>
        </w:tc>
        <w:tc>
          <w:tcPr>
            <w:tcW w:w="1800" w:type="dxa"/>
            <w:noWrap w:val="0"/>
            <w:vAlign w:val="top"/>
          </w:tcPr>
          <w:p w14:paraId="5223FD3A">
            <w:pPr>
              <w:pStyle w:val="13"/>
              <w:spacing w:before="120" w:line="360" w:lineRule="auto"/>
              <w:jc w:val="center"/>
              <w:rPr>
                <w:rFonts w:hint="eastAsia" w:hAnsi="宋体" w:cs="宋体"/>
                <w:color w:val="auto"/>
                <w:sz w:val="24"/>
                <w:szCs w:val="24"/>
                <w:highlight w:val="none"/>
              </w:rPr>
            </w:pPr>
          </w:p>
        </w:tc>
        <w:tc>
          <w:tcPr>
            <w:tcW w:w="3840" w:type="dxa"/>
            <w:noWrap w:val="0"/>
            <w:vAlign w:val="top"/>
          </w:tcPr>
          <w:p w14:paraId="119326FD">
            <w:pPr>
              <w:pStyle w:val="13"/>
              <w:spacing w:before="120" w:line="360" w:lineRule="auto"/>
              <w:jc w:val="center"/>
              <w:rPr>
                <w:rFonts w:hint="eastAsia" w:hAnsi="宋体" w:cs="宋体"/>
                <w:color w:val="auto"/>
                <w:sz w:val="24"/>
                <w:szCs w:val="24"/>
                <w:highlight w:val="none"/>
              </w:rPr>
            </w:pPr>
          </w:p>
        </w:tc>
        <w:tc>
          <w:tcPr>
            <w:tcW w:w="1440" w:type="dxa"/>
            <w:noWrap w:val="0"/>
            <w:vAlign w:val="top"/>
          </w:tcPr>
          <w:p w14:paraId="61476221">
            <w:pPr>
              <w:pStyle w:val="13"/>
              <w:spacing w:before="120" w:line="360" w:lineRule="auto"/>
              <w:rPr>
                <w:rFonts w:hint="eastAsia" w:hAnsi="宋体" w:cs="宋体"/>
                <w:color w:val="auto"/>
                <w:sz w:val="24"/>
                <w:szCs w:val="24"/>
                <w:highlight w:val="none"/>
              </w:rPr>
            </w:pPr>
          </w:p>
        </w:tc>
        <w:tc>
          <w:tcPr>
            <w:tcW w:w="900" w:type="dxa"/>
            <w:noWrap w:val="0"/>
            <w:vAlign w:val="top"/>
          </w:tcPr>
          <w:p w14:paraId="4671ECCD">
            <w:pPr>
              <w:pStyle w:val="13"/>
              <w:spacing w:before="120" w:line="360" w:lineRule="auto"/>
              <w:rPr>
                <w:rFonts w:hint="eastAsia" w:hAnsi="宋体" w:cs="宋体"/>
                <w:color w:val="auto"/>
                <w:sz w:val="24"/>
                <w:szCs w:val="24"/>
                <w:highlight w:val="none"/>
              </w:rPr>
            </w:pPr>
          </w:p>
        </w:tc>
      </w:tr>
      <w:tr w14:paraId="0A30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2300EEAC">
            <w:pPr>
              <w:pStyle w:val="13"/>
              <w:spacing w:before="120" w:line="360" w:lineRule="auto"/>
              <w:rPr>
                <w:rFonts w:hint="eastAsia" w:hAnsi="宋体" w:cs="宋体"/>
                <w:color w:val="auto"/>
                <w:sz w:val="24"/>
                <w:szCs w:val="24"/>
                <w:highlight w:val="none"/>
              </w:rPr>
            </w:pPr>
          </w:p>
        </w:tc>
        <w:tc>
          <w:tcPr>
            <w:tcW w:w="1800" w:type="dxa"/>
            <w:noWrap w:val="0"/>
            <w:vAlign w:val="top"/>
          </w:tcPr>
          <w:p w14:paraId="1BDEC849">
            <w:pPr>
              <w:pStyle w:val="13"/>
              <w:spacing w:before="120" w:line="360" w:lineRule="auto"/>
              <w:rPr>
                <w:rFonts w:hint="eastAsia" w:hAnsi="宋体" w:cs="宋体"/>
                <w:color w:val="auto"/>
                <w:sz w:val="24"/>
                <w:szCs w:val="24"/>
                <w:highlight w:val="none"/>
              </w:rPr>
            </w:pPr>
          </w:p>
        </w:tc>
        <w:tc>
          <w:tcPr>
            <w:tcW w:w="3840" w:type="dxa"/>
            <w:noWrap w:val="0"/>
            <w:vAlign w:val="top"/>
          </w:tcPr>
          <w:p w14:paraId="24EF2012">
            <w:pPr>
              <w:pStyle w:val="13"/>
              <w:spacing w:before="120" w:line="360" w:lineRule="auto"/>
              <w:rPr>
                <w:rFonts w:hint="eastAsia" w:hAnsi="宋体" w:cs="宋体"/>
                <w:color w:val="auto"/>
                <w:sz w:val="24"/>
                <w:szCs w:val="24"/>
                <w:highlight w:val="none"/>
              </w:rPr>
            </w:pPr>
          </w:p>
        </w:tc>
        <w:tc>
          <w:tcPr>
            <w:tcW w:w="1440" w:type="dxa"/>
            <w:noWrap w:val="0"/>
            <w:vAlign w:val="top"/>
          </w:tcPr>
          <w:p w14:paraId="6DFCD029">
            <w:pPr>
              <w:pStyle w:val="13"/>
              <w:spacing w:before="120" w:line="360" w:lineRule="auto"/>
              <w:rPr>
                <w:rFonts w:hint="eastAsia" w:hAnsi="宋体" w:cs="宋体"/>
                <w:color w:val="auto"/>
                <w:sz w:val="24"/>
                <w:szCs w:val="24"/>
                <w:highlight w:val="none"/>
              </w:rPr>
            </w:pPr>
          </w:p>
        </w:tc>
        <w:tc>
          <w:tcPr>
            <w:tcW w:w="900" w:type="dxa"/>
            <w:noWrap w:val="0"/>
            <w:vAlign w:val="top"/>
          </w:tcPr>
          <w:p w14:paraId="0AF17BEC">
            <w:pPr>
              <w:pStyle w:val="13"/>
              <w:spacing w:before="120" w:line="360" w:lineRule="auto"/>
              <w:rPr>
                <w:rFonts w:hint="eastAsia" w:hAnsi="宋体" w:cs="宋体"/>
                <w:color w:val="auto"/>
                <w:sz w:val="24"/>
                <w:szCs w:val="24"/>
                <w:highlight w:val="none"/>
              </w:rPr>
            </w:pPr>
          </w:p>
        </w:tc>
      </w:tr>
      <w:tr w14:paraId="5B6C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555CCDA2">
            <w:pPr>
              <w:pStyle w:val="13"/>
              <w:spacing w:before="120" w:line="360" w:lineRule="auto"/>
              <w:rPr>
                <w:rFonts w:hint="eastAsia" w:hAnsi="宋体" w:cs="宋体"/>
                <w:color w:val="auto"/>
                <w:sz w:val="24"/>
                <w:szCs w:val="24"/>
                <w:highlight w:val="none"/>
              </w:rPr>
            </w:pPr>
          </w:p>
        </w:tc>
        <w:tc>
          <w:tcPr>
            <w:tcW w:w="1800" w:type="dxa"/>
            <w:noWrap w:val="0"/>
            <w:vAlign w:val="top"/>
          </w:tcPr>
          <w:p w14:paraId="39C245B9">
            <w:pPr>
              <w:pStyle w:val="13"/>
              <w:spacing w:before="120" w:line="360" w:lineRule="auto"/>
              <w:rPr>
                <w:rFonts w:hint="eastAsia" w:hAnsi="宋体" w:cs="宋体"/>
                <w:color w:val="auto"/>
                <w:sz w:val="24"/>
                <w:szCs w:val="24"/>
                <w:highlight w:val="none"/>
              </w:rPr>
            </w:pPr>
          </w:p>
        </w:tc>
        <w:tc>
          <w:tcPr>
            <w:tcW w:w="3840" w:type="dxa"/>
            <w:noWrap w:val="0"/>
            <w:vAlign w:val="top"/>
          </w:tcPr>
          <w:p w14:paraId="10EE571E">
            <w:pPr>
              <w:pStyle w:val="13"/>
              <w:spacing w:before="120" w:line="360" w:lineRule="auto"/>
              <w:rPr>
                <w:rFonts w:hint="eastAsia" w:hAnsi="宋体" w:cs="宋体"/>
                <w:color w:val="auto"/>
                <w:sz w:val="24"/>
                <w:szCs w:val="24"/>
                <w:highlight w:val="none"/>
              </w:rPr>
            </w:pPr>
          </w:p>
        </w:tc>
        <w:tc>
          <w:tcPr>
            <w:tcW w:w="1440" w:type="dxa"/>
            <w:noWrap w:val="0"/>
            <w:vAlign w:val="top"/>
          </w:tcPr>
          <w:p w14:paraId="4CEEB6C7">
            <w:pPr>
              <w:pStyle w:val="13"/>
              <w:spacing w:before="120" w:line="360" w:lineRule="auto"/>
              <w:rPr>
                <w:rFonts w:hint="eastAsia" w:hAnsi="宋体" w:cs="宋体"/>
                <w:color w:val="auto"/>
                <w:sz w:val="24"/>
                <w:szCs w:val="24"/>
                <w:highlight w:val="none"/>
              </w:rPr>
            </w:pPr>
          </w:p>
        </w:tc>
        <w:tc>
          <w:tcPr>
            <w:tcW w:w="900" w:type="dxa"/>
            <w:noWrap w:val="0"/>
            <w:vAlign w:val="top"/>
          </w:tcPr>
          <w:p w14:paraId="22C02970">
            <w:pPr>
              <w:pStyle w:val="13"/>
              <w:spacing w:before="120" w:line="360" w:lineRule="auto"/>
              <w:rPr>
                <w:rFonts w:hint="eastAsia" w:hAnsi="宋体" w:cs="宋体"/>
                <w:color w:val="auto"/>
                <w:sz w:val="24"/>
                <w:szCs w:val="24"/>
                <w:highlight w:val="none"/>
              </w:rPr>
            </w:pPr>
          </w:p>
        </w:tc>
      </w:tr>
      <w:tr w14:paraId="586E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7D43110B">
            <w:pPr>
              <w:pStyle w:val="13"/>
              <w:spacing w:before="120" w:line="360" w:lineRule="auto"/>
              <w:rPr>
                <w:rFonts w:hint="eastAsia" w:hAnsi="宋体" w:cs="宋体"/>
                <w:color w:val="auto"/>
                <w:sz w:val="24"/>
                <w:szCs w:val="24"/>
                <w:highlight w:val="none"/>
              </w:rPr>
            </w:pPr>
          </w:p>
        </w:tc>
        <w:tc>
          <w:tcPr>
            <w:tcW w:w="1800" w:type="dxa"/>
            <w:noWrap w:val="0"/>
            <w:vAlign w:val="top"/>
          </w:tcPr>
          <w:p w14:paraId="2568C933">
            <w:pPr>
              <w:pStyle w:val="13"/>
              <w:spacing w:before="120" w:line="360" w:lineRule="auto"/>
              <w:rPr>
                <w:rFonts w:hint="eastAsia" w:hAnsi="宋体" w:cs="宋体"/>
                <w:color w:val="auto"/>
                <w:sz w:val="24"/>
                <w:szCs w:val="24"/>
                <w:highlight w:val="none"/>
              </w:rPr>
            </w:pPr>
          </w:p>
        </w:tc>
        <w:tc>
          <w:tcPr>
            <w:tcW w:w="3840" w:type="dxa"/>
            <w:noWrap w:val="0"/>
            <w:vAlign w:val="top"/>
          </w:tcPr>
          <w:p w14:paraId="6BF466DD">
            <w:pPr>
              <w:pStyle w:val="13"/>
              <w:spacing w:before="120" w:line="360" w:lineRule="auto"/>
              <w:rPr>
                <w:rFonts w:hint="eastAsia" w:hAnsi="宋体" w:cs="宋体"/>
                <w:color w:val="auto"/>
                <w:sz w:val="24"/>
                <w:szCs w:val="24"/>
                <w:highlight w:val="none"/>
              </w:rPr>
            </w:pPr>
          </w:p>
        </w:tc>
        <w:tc>
          <w:tcPr>
            <w:tcW w:w="1440" w:type="dxa"/>
            <w:noWrap w:val="0"/>
            <w:vAlign w:val="top"/>
          </w:tcPr>
          <w:p w14:paraId="53B36D69">
            <w:pPr>
              <w:pStyle w:val="13"/>
              <w:spacing w:before="120" w:line="360" w:lineRule="auto"/>
              <w:rPr>
                <w:rFonts w:hint="eastAsia" w:hAnsi="宋体" w:cs="宋体"/>
                <w:color w:val="auto"/>
                <w:sz w:val="24"/>
                <w:szCs w:val="24"/>
                <w:highlight w:val="none"/>
              </w:rPr>
            </w:pPr>
          </w:p>
        </w:tc>
        <w:tc>
          <w:tcPr>
            <w:tcW w:w="900" w:type="dxa"/>
            <w:noWrap w:val="0"/>
            <w:vAlign w:val="top"/>
          </w:tcPr>
          <w:p w14:paraId="52980CFD">
            <w:pPr>
              <w:pStyle w:val="13"/>
              <w:spacing w:before="120" w:line="360" w:lineRule="auto"/>
              <w:rPr>
                <w:rFonts w:hint="eastAsia" w:hAnsi="宋体" w:cs="宋体"/>
                <w:color w:val="auto"/>
                <w:sz w:val="24"/>
                <w:szCs w:val="24"/>
                <w:highlight w:val="none"/>
              </w:rPr>
            </w:pPr>
          </w:p>
        </w:tc>
      </w:tr>
      <w:tr w14:paraId="1D2B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3F76835D">
            <w:pPr>
              <w:pStyle w:val="13"/>
              <w:spacing w:before="120" w:line="360" w:lineRule="auto"/>
              <w:rPr>
                <w:rFonts w:hint="eastAsia" w:hAnsi="宋体" w:cs="宋体"/>
                <w:color w:val="auto"/>
                <w:sz w:val="24"/>
                <w:szCs w:val="24"/>
                <w:highlight w:val="none"/>
              </w:rPr>
            </w:pPr>
          </w:p>
        </w:tc>
        <w:tc>
          <w:tcPr>
            <w:tcW w:w="1800" w:type="dxa"/>
            <w:noWrap w:val="0"/>
            <w:vAlign w:val="top"/>
          </w:tcPr>
          <w:p w14:paraId="408CB14B">
            <w:pPr>
              <w:pStyle w:val="13"/>
              <w:spacing w:before="120" w:line="360" w:lineRule="auto"/>
              <w:rPr>
                <w:rFonts w:hint="eastAsia" w:hAnsi="宋体" w:cs="宋体"/>
                <w:color w:val="auto"/>
                <w:sz w:val="24"/>
                <w:szCs w:val="24"/>
                <w:highlight w:val="none"/>
              </w:rPr>
            </w:pPr>
          </w:p>
        </w:tc>
        <w:tc>
          <w:tcPr>
            <w:tcW w:w="3840" w:type="dxa"/>
            <w:noWrap w:val="0"/>
            <w:vAlign w:val="top"/>
          </w:tcPr>
          <w:p w14:paraId="7EB6F7DA">
            <w:pPr>
              <w:pStyle w:val="13"/>
              <w:spacing w:before="120" w:line="360" w:lineRule="auto"/>
              <w:rPr>
                <w:rFonts w:hint="eastAsia" w:hAnsi="宋体" w:cs="宋体"/>
                <w:color w:val="auto"/>
                <w:sz w:val="24"/>
                <w:szCs w:val="24"/>
                <w:highlight w:val="none"/>
              </w:rPr>
            </w:pPr>
          </w:p>
        </w:tc>
        <w:tc>
          <w:tcPr>
            <w:tcW w:w="1440" w:type="dxa"/>
            <w:noWrap w:val="0"/>
            <w:vAlign w:val="top"/>
          </w:tcPr>
          <w:p w14:paraId="4D9E014C">
            <w:pPr>
              <w:pStyle w:val="13"/>
              <w:spacing w:before="120" w:line="360" w:lineRule="auto"/>
              <w:rPr>
                <w:rFonts w:hint="eastAsia" w:hAnsi="宋体" w:cs="宋体"/>
                <w:color w:val="auto"/>
                <w:sz w:val="24"/>
                <w:szCs w:val="24"/>
                <w:highlight w:val="none"/>
              </w:rPr>
            </w:pPr>
          </w:p>
        </w:tc>
        <w:tc>
          <w:tcPr>
            <w:tcW w:w="900" w:type="dxa"/>
            <w:noWrap w:val="0"/>
            <w:vAlign w:val="top"/>
          </w:tcPr>
          <w:p w14:paraId="3678E040">
            <w:pPr>
              <w:pStyle w:val="13"/>
              <w:spacing w:before="120" w:line="360" w:lineRule="auto"/>
              <w:rPr>
                <w:rFonts w:hint="eastAsia" w:hAnsi="宋体" w:cs="宋体"/>
                <w:color w:val="auto"/>
                <w:sz w:val="24"/>
                <w:szCs w:val="24"/>
                <w:highlight w:val="none"/>
              </w:rPr>
            </w:pPr>
          </w:p>
        </w:tc>
      </w:tr>
      <w:tr w14:paraId="3D39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37645AE6">
            <w:pPr>
              <w:pStyle w:val="13"/>
              <w:spacing w:before="120" w:line="360" w:lineRule="auto"/>
              <w:rPr>
                <w:rFonts w:hint="eastAsia" w:hAnsi="宋体" w:cs="宋体"/>
                <w:color w:val="auto"/>
                <w:sz w:val="24"/>
                <w:szCs w:val="24"/>
                <w:highlight w:val="none"/>
              </w:rPr>
            </w:pPr>
          </w:p>
        </w:tc>
        <w:tc>
          <w:tcPr>
            <w:tcW w:w="1800" w:type="dxa"/>
            <w:noWrap w:val="0"/>
            <w:vAlign w:val="top"/>
          </w:tcPr>
          <w:p w14:paraId="1F78199F">
            <w:pPr>
              <w:pStyle w:val="13"/>
              <w:spacing w:before="120" w:line="360" w:lineRule="auto"/>
              <w:rPr>
                <w:rFonts w:hint="eastAsia" w:hAnsi="宋体" w:cs="宋体"/>
                <w:color w:val="auto"/>
                <w:sz w:val="24"/>
                <w:szCs w:val="24"/>
                <w:highlight w:val="none"/>
              </w:rPr>
            </w:pPr>
          </w:p>
        </w:tc>
        <w:tc>
          <w:tcPr>
            <w:tcW w:w="3840" w:type="dxa"/>
            <w:noWrap w:val="0"/>
            <w:vAlign w:val="top"/>
          </w:tcPr>
          <w:p w14:paraId="498E6907">
            <w:pPr>
              <w:pStyle w:val="13"/>
              <w:spacing w:before="120" w:line="360" w:lineRule="auto"/>
              <w:rPr>
                <w:rFonts w:hint="eastAsia" w:hAnsi="宋体" w:cs="宋体"/>
                <w:color w:val="auto"/>
                <w:sz w:val="24"/>
                <w:szCs w:val="24"/>
                <w:highlight w:val="none"/>
              </w:rPr>
            </w:pPr>
          </w:p>
        </w:tc>
        <w:tc>
          <w:tcPr>
            <w:tcW w:w="1440" w:type="dxa"/>
            <w:noWrap w:val="0"/>
            <w:vAlign w:val="top"/>
          </w:tcPr>
          <w:p w14:paraId="08C56E7D">
            <w:pPr>
              <w:pStyle w:val="13"/>
              <w:spacing w:before="120" w:line="360" w:lineRule="auto"/>
              <w:rPr>
                <w:rFonts w:hint="eastAsia" w:hAnsi="宋体" w:cs="宋体"/>
                <w:color w:val="auto"/>
                <w:sz w:val="24"/>
                <w:szCs w:val="24"/>
                <w:highlight w:val="none"/>
              </w:rPr>
            </w:pPr>
          </w:p>
        </w:tc>
        <w:tc>
          <w:tcPr>
            <w:tcW w:w="900" w:type="dxa"/>
            <w:noWrap w:val="0"/>
            <w:vAlign w:val="top"/>
          </w:tcPr>
          <w:p w14:paraId="5A3F85B7">
            <w:pPr>
              <w:pStyle w:val="13"/>
              <w:spacing w:before="120" w:line="360" w:lineRule="auto"/>
              <w:rPr>
                <w:rFonts w:hint="eastAsia" w:hAnsi="宋体" w:cs="宋体"/>
                <w:color w:val="auto"/>
                <w:sz w:val="24"/>
                <w:szCs w:val="24"/>
                <w:highlight w:val="none"/>
              </w:rPr>
            </w:pPr>
          </w:p>
        </w:tc>
      </w:tr>
      <w:tr w14:paraId="2E4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339B0AE4">
            <w:pPr>
              <w:pStyle w:val="13"/>
              <w:spacing w:before="120" w:line="360" w:lineRule="auto"/>
              <w:rPr>
                <w:rFonts w:hint="eastAsia" w:hAnsi="宋体" w:cs="宋体"/>
                <w:color w:val="auto"/>
                <w:sz w:val="24"/>
                <w:szCs w:val="24"/>
                <w:highlight w:val="none"/>
              </w:rPr>
            </w:pPr>
          </w:p>
        </w:tc>
        <w:tc>
          <w:tcPr>
            <w:tcW w:w="1800" w:type="dxa"/>
            <w:noWrap w:val="0"/>
            <w:vAlign w:val="top"/>
          </w:tcPr>
          <w:p w14:paraId="7E5C1F6D">
            <w:pPr>
              <w:pStyle w:val="13"/>
              <w:spacing w:before="120" w:line="360" w:lineRule="auto"/>
              <w:rPr>
                <w:rFonts w:hint="eastAsia" w:hAnsi="宋体" w:cs="宋体"/>
                <w:color w:val="auto"/>
                <w:sz w:val="24"/>
                <w:szCs w:val="24"/>
                <w:highlight w:val="none"/>
              </w:rPr>
            </w:pPr>
          </w:p>
        </w:tc>
        <w:tc>
          <w:tcPr>
            <w:tcW w:w="3840" w:type="dxa"/>
            <w:noWrap w:val="0"/>
            <w:vAlign w:val="top"/>
          </w:tcPr>
          <w:p w14:paraId="70BA46A2">
            <w:pPr>
              <w:pStyle w:val="13"/>
              <w:spacing w:before="120" w:line="360" w:lineRule="auto"/>
              <w:rPr>
                <w:rFonts w:hint="eastAsia" w:hAnsi="宋体" w:cs="宋体"/>
                <w:color w:val="auto"/>
                <w:sz w:val="24"/>
                <w:szCs w:val="24"/>
                <w:highlight w:val="none"/>
              </w:rPr>
            </w:pPr>
          </w:p>
        </w:tc>
        <w:tc>
          <w:tcPr>
            <w:tcW w:w="1440" w:type="dxa"/>
            <w:noWrap w:val="0"/>
            <w:vAlign w:val="top"/>
          </w:tcPr>
          <w:p w14:paraId="0BF80178">
            <w:pPr>
              <w:pStyle w:val="13"/>
              <w:spacing w:before="120" w:line="360" w:lineRule="auto"/>
              <w:rPr>
                <w:rFonts w:hint="eastAsia" w:hAnsi="宋体" w:cs="宋体"/>
                <w:color w:val="auto"/>
                <w:sz w:val="24"/>
                <w:szCs w:val="24"/>
                <w:highlight w:val="none"/>
              </w:rPr>
            </w:pPr>
          </w:p>
        </w:tc>
        <w:tc>
          <w:tcPr>
            <w:tcW w:w="900" w:type="dxa"/>
            <w:noWrap w:val="0"/>
            <w:vAlign w:val="top"/>
          </w:tcPr>
          <w:p w14:paraId="481B4509">
            <w:pPr>
              <w:pStyle w:val="13"/>
              <w:spacing w:before="120" w:line="360" w:lineRule="auto"/>
              <w:rPr>
                <w:rFonts w:hint="eastAsia" w:hAnsi="宋体" w:cs="宋体"/>
                <w:color w:val="auto"/>
                <w:sz w:val="24"/>
                <w:szCs w:val="24"/>
                <w:highlight w:val="none"/>
              </w:rPr>
            </w:pPr>
          </w:p>
        </w:tc>
      </w:tr>
      <w:tr w14:paraId="5E0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6C8C816C">
            <w:pPr>
              <w:pStyle w:val="13"/>
              <w:spacing w:before="120" w:line="360" w:lineRule="auto"/>
              <w:rPr>
                <w:rFonts w:hint="eastAsia" w:hAnsi="宋体" w:cs="宋体"/>
                <w:color w:val="auto"/>
                <w:sz w:val="24"/>
                <w:szCs w:val="24"/>
                <w:highlight w:val="none"/>
              </w:rPr>
            </w:pPr>
          </w:p>
        </w:tc>
        <w:tc>
          <w:tcPr>
            <w:tcW w:w="1800" w:type="dxa"/>
            <w:noWrap w:val="0"/>
            <w:vAlign w:val="top"/>
          </w:tcPr>
          <w:p w14:paraId="06455E3D">
            <w:pPr>
              <w:pStyle w:val="13"/>
              <w:spacing w:before="120" w:line="360" w:lineRule="auto"/>
              <w:rPr>
                <w:rFonts w:hint="eastAsia" w:hAnsi="宋体" w:cs="宋体"/>
                <w:color w:val="auto"/>
                <w:sz w:val="24"/>
                <w:szCs w:val="24"/>
                <w:highlight w:val="none"/>
              </w:rPr>
            </w:pPr>
          </w:p>
        </w:tc>
        <w:tc>
          <w:tcPr>
            <w:tcW w:w="3840" w:type="dxa"/>
            <w:noWrap w:val="0"/>
            <w:vAlign w:val="top"/>
          </w:tcPr>
          <w:p w14:paraId="3C3BBC49">
            <w:pPr>
              <w:pStyle w:val="13"/>
              <w:spacing w:before="120" w:line="360" w:lineRule="auto"/>
              <w:rPr>
                <w:rFonts w:hint="eastAsia" w:hAnsi="宋体" w:cs="宋体"/>
                <w:color w:val="auto"/>
                <w:sz w:val="24"/>
                <w:szCs w:val="24"/>
                <w:highlight w:val="none"/>
              </w:rPr>
            </w:pPr>
          </w:p>
        </w:tc>
        <w:tc>
          <w:tcPr>
            <w:tcW w:w="1440" w:type="dxa"/>
            <w:noWrap w:val="0"/>
            <w:vAlign w:val="top"/>
          </w:tcPr>
          <w:p w14:paraId="0667DD1A">
            <w:pPr>
              <w:pStyle w:val="13"/>
              <w:spacing w:before="120" w:line="360" w:lineRule="auto"/>
              <w:rPr>
                <w:rFonts w:hint="eastAsia" w:hAnsi="宋体" w:cs="宋体"/>
                <w:color w:val="auto"/>
                <w:sz w:val="24"/>
                <w:szCs w:val="24"/>
                <w:highlight w:val="none"/>
              </w:rPr>
            </w:pPr>
          </w:p>
        </w:tc>
        <w:tc>
          <w:tcPr>
            <w:tcW w:w="900" w:type="dxa"/>
            <w:noWrap w:val="0"/>
            <w:vAlign w:val="top"/>
          </w:tcPr>
          <w:p w14:paraId="6278FBA5">
            <w:pPr>
              <w:pStyle w:val="13"/>
              <w:spacing w:before="120" w:line="360" w:lineRule="auto"/>
              <w:rPr>
                <w:rFonts w:hint="eastAsia" w:hAnsi="宋体" w:cs="宋体"/>
                <w:color w:val="auto"/>
                <w:sz w:val="24"/>
                <w:szCs w:val="24"/>
                <w:highlight w:val="none"/>
              </w:rPr>
            </w:pPr>
          </w:p>
        </w:tc>
      </w:tr>
      <w:tr w14:paraId="1A1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noWrap w:val="0"/>
            <w:vAlign w:val="top"/>
          </w:tcPr>
          <w:p w14:paraId="37EE3764">
            <w:pPr>
              <w:pStyle w:val="13"/>
              <w:spacing w:before="120" w:line="360" w:lineRule="auto"/>
              <w:rPr>
                <w:rFonts w:hint="eastAsia" w:hAnsi="宋体" w:cs="宋体"/>
                <w:color w:val="auto"/>
                <w:sz w:val="24"/>
                <w:szCs w:val="24"/>
                <w:highlight w:val="none"/>
              </w:rPr>
            </w:pPr>
          </w:p>
        </w:tc>
        <w:tc>
          <w:tcPr>
            <w:tcW w:w="1800" w:type="dxa"/>
            <w:noWrap w:val="0"/>
            <w:vAlign w:val="top"/>
          </w:tcPr>
          <w:p w14:paraId="1D470DBA">
            <w:pPr>
              <w:pStyle w:val="13"/>
              <w:spacing w:before="120" w:line="360" w:lineRule="auto"/>
              <w:rPr>
                <w:rFonts w:hint="eastAsia" w:hAnsi="宋体" w:cs="宋体"/>
                <w:color w:val="auto"/>
                <w:sz w:val="24"/>
                <w:szCs w:val="24"/>
                <w:highlight w:val="none"/>
              </w:rPr>
            </w:pPr>
          </w:p>
        </w:tc>
        <w:tc>
          <w:tcPr>
            <w:tcW w:w="3840" w:type="dxa"/>
            <w:noWrap w:val="0"/>
            <w:vAlign w:val="top"/>
          </w:tcPr>
          <w:p w14:paraId="3F9C7263">
            <w:pPr>
              <w:pStyle w:val="13"/>
              <w:spacing w:before="120" w:line="360" w:lineRule="auto"/>
              <w:rPr>
                <w:rFonts w:hint="eastAsia" w:hAnsi="宋体" w:cs="宋体"/>
                <w:color w:val="auto"/>
                <w:sz w:val="24"/>
                <w:szCs w:val="24"/>
                <w:highlight w:val="none"/>
              </w:rPr>
            </w:pPr>
          </w:p>
        </w:tc>
        <w:tc>
          <w:tcPr>
            <w:tcW w:w="1440" w:type="dxa"/>
            <w:noWrap w:val="0"/>
            <w:vAlign w:val="top"/>
          </w:tcPr>
          <w:p w14:paraId="788C4155">
            <w:pPr>
              <w:pStyle w:val="13"/>
              <w:spacing w:before="120" w:line="360" w:lineRule="auto"/>
              <w:rPr>
                <w:rFonts w:hint="eastAsia" w:hAnsi="宋体" w:cs="宋体"/>
                <w:color w:val="auto"/>
                <w:sz w:val="24"/>
                <w:szCs w:val="24"/>
                <w:highlight w:val="none"/>
              </w:rPr>
            </w:pPr>
          </w:p>
        </w:tc>
        <w:tc>
          <w:tcPr>
            <w:tcW w:w="900" w:type="dxa"/>
            <w:noWrap w:val="0"/>
            <w:vAlign w:val="top"/>
          </w:tcPr>
          <w:p w14:paraId="59DE839C">
            <w:pPr>
              <w:pStyle w:val="13"/>
              <w:spacing w:before="120" w:line="360" w:lineRule="auto"/>
              <w:rPr>
                <w:rFonts w:hint="eastAsia" w:hAnsi="宋体" w:cs="宋体"/>
                <w:color w:val="auto"/>
                <w:sz w:val="24"/>
                <w:szCs w:val="24"/>
                <w:highlight w:val="none"/>
              </w:rPr>
            </w:pPr>
          </w:p>
        </w:tc>
      </w:tr>
    </w:tbl>
    <w:p w14:paraId="75A959C9">
      <w:pPr>
        <w:pStyle w:val="13"/>
        <w:spacing w:before="120" w:line="360" w:lineRule="auto"/>
        <w:rPr>
          <w:rFonts w:hint="eastAsia" w:hAnsi="宋体" w:cs="宋体"/>
          <w:color w:val="auto"/>
          <w:sz w:val="24"/>
          <w:szCs w:val="24"/>
          <w:highlight w:val="none"/>
        </w:rPr>
      </w:pPr>
      <w:r>
        <w:rPr>
          <w:rFonts w:hint="eastAsia" w:hAnsi="宋体" w:cs="宋体"/>
          <w:color w:val="auto"/>
          <w:sz w:val="24"/>
          <w:highlight w:val="none"/>
        </w:rPr>
        <w:t xml:space="preserve">  无偏离项的直接填写“无</w:t>
      </w:r>
      <w:r>
        <w:rPr>
          <w:rFonts w:hAnsi="宋体" w:cs="宋体"/>
          <w:color w:val="auto"/>
          <w:sz w:val="24"/>
          <w:highlight w:val="none"/>
        </w:rPr>
        <w:t>”</w:t>
      </w:r>
      <w:r>
        <w:rPr>
          <w:rFonts w:hint="eastAsia" w:hAnsi="宋体" w:cs="宋体"/>
          <w:color w:val="auto"/>
          <w:sz w:val="24"/>
          <w:highlight w:val="none"/>
        </w:rPr>
        <w:t>或者“/”。</w:t>
      </w:r>
    </w:p>
    <w:p w14:paraId="7411D09D">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供应商授权代表签字或盖章：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7C2DD9E6">
      <w:pPr>
        <w:pStyle w:val="13"/>
        <w:spacing w:before="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供应商(公章):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p>
    <w:p w14:paraId="51D9A8E4">
      <w:pPr>
        <w:pStyle w:val="13"/>
        <w:spacing w:before="120" w:line="360" w:lineRule="auto"/>
        <w:rPr>
          <w:rFonts w:hint="eastAsia" w:hAnsi="宋体" w:cs="宋体"/>
          <w:color w:val="auto"/>
          <w:sz w:val="24"/>
          <w:highlight w:val="none"/>
        </w:rPr>
        <w:sectPr>
          <w:pgSz w:w="11906" w:h="16838"/>
          <w:pgMar w:top="1417" w:right="1644" w:bottom="1417" w:left="1757" w:header="850" w:footer="850" w:gutter="0"/>
          <w:cols w:space="720" w:num="1"/>
          <w:titlePg/>
          <w:docGrid w:linePitch="312" w:charSpace="0"/>
        </w:sectPr>
      </w:pPr>
      <w:r>
        <w:rPr>
          <w:rFonts w:hint="eastAsia" w:hAnsi="宋体" w:cs="宋体"/>
          <w:color w:val="auto"/>
          <w:sz w:val="24"/>
          <w:highlight w:val="none"/>
        </w:rPr>
        <w:t>注：本项目中商务条款包括但不限于</w:t>
      </w:r>
      <w:r>
        <w:rPr>
          <w:rFonts w:hint="eastAsia" w:hAnsi="宋体" w:cs="宋体"/>
          <w:color w:val="auto"/>
          <w:sz w:val="24"/>
          <w:highlight w:val="none"/>
          <w:lang w:val="en-US" w:eastAsia="zh-CN"/>
        </w:rPr>
        <w:t>磋商</w:t>
      </w:r>
      <w:r>
        <w:rPr>
          <w:rFonts w:hint="eastAsia" w:hAnsi="宋体" w:cs="宋体"/>
          <w:color w:val="auto"/>
          <w:sz w:val="24"/>
          <w:highlight w:val="none"/>
        </w:rPr>
        <w:t>文件</w:t>
      </w:r>
      <w:r>
        <w:rPr>
          <w:rFonts w:hint="eastAsia" w:ascii="宋体" w:hAnsi="宋体" w:eastAsia="宋体" w:cs="宋体"/>
          <w:color w:val="auto"/>
          <w:sz w:val="24"/>
          <w:highlight w:val="none"/>
        </w:rPr>
        <w:t>中要求</w:t>
      </w:r>
      <w:r>
        <w:rPr>
          <w:rFonts w:hint="eastAsia" w:ascii="宋体" w:hAnsi="宋体" w:eastAsia="宋体" w:cs="宋体"/>
          <w:color w:val="auto"/>
          <w:sz w:val="24"/>
          <w:highlight w:val="none"/>
          <w:lang w:val="en-US" w:eastAsia="zh-CN"/>
        </w:rPr>
        <w:t>服务期限</w:t>
      </w:r>
      <w:r>
        <w:rPr>
          <w:rFonts w:hint="eastAsia" w:ascii="宋体" w:hAnsi="宋体" w:eastAsia="宋体" w:cs="宋体"/>
          <w:color w:val="auto"/>
          <w:sz w:val="24"/>
          <w:highlight w:val="none"/>
        </w:rPr>
        <w:t>、付</w:t>
      </w:r>
      <w:r>
        <w:rPr>
          <w:rFonts w:hint="eastAsia" w:hAnsi="宋体" w:cs="宋体"/>
          <w:color w:val="auto"/>
          <w:sz w:val="24"/>
          <w:highlight w:val="none"/>
        </w:rPr>
        <w:t>款方式等。</w:t>
      </w:r>
      <w:r>
        <w:rPr>
          <w:rFonts w:hint="eastAsia" w:hAnsi="宋体" w:cs="宋体"/>
          <w:color w:val="auto"/>
          <w:sz w:val="24"/>
          <w:highlight w:val="none"/>
        </w:rPr>
        <w:cr/>
      </w:r>
      <w:bookmarkStart w:id="270" w:name="_Ref467988543"/>
      <w:bookmarkStart w:id="271" w:name="_Toc332805609"/>
      <w:bookmarkStart w:id="272" w:name="_Toc109542404"/>
      <w:bookmarkStart w:id="273" w:name="_Toc109542405"/>
      <w:bookmarkStart w:id="274" w:name="_Toc109543225"/>
      <w:bookmarkStart w:id="275" w:name="_Toc480942355"/>
      <w:bookmarkStart w:id="276" w:name="_Toc109543224"/>
      <w:bookmarkStart w:id="277" w:name="_Toc520356224"/>
      <w:bookmarkStart w:id="278" w:name="_Toc332805164"/>
    </w:p>
    <w:bookmarkEnd w:id="270"/>
    <w:bookmarkEnd w:id="271"/>
    <w:bookmarkEnd w:id="272"/>
    <w:bookmarkEnd w:id="273"/>
    <w:bookmarkEnd w:id="274"/>
    <w:bookmarkEnd w:id="275"/>
    <w:bookmarkEnd w:id="276"/>
    <w:bookmarkEnd w:id="277"/>
    <w:bookmarkEnd w:id="278"/>
    <w:p w14:paraId="3D77C466">
      <w:pPr>
        <w:pStyle w:val="5"/>
        <w:numPr>
          <w:ilvl w:val="0"/>
          <w:numId w:val="0"/>
        </w:num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其他需要提供的资料</w:t>
      </w:r>
    </w:p>
    <w:p w14:paraId="427ACA6F">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格式自拟，用以响应磋商文件的各项技术要求。</w:t>
      </w:r>
    </w:p>
    <w:p w14:paraId="1A9267B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涉及的相关表格格式附后。</w:t>
      </w:r>
    </w:p>
    <w:p w14:paraId="4902272B">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响应方案包含但不限于：</w:t>
      </w:r>
    </w:p>
    <w:p w14:paraId="35B99AAA">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w:t>
      </w:r>
    </w:p>
    <w:p w14:paraId="3C96DBDF">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2、保障措施</w:t>
      </w:r>
    </w:p>
    <w:p w14:paraId="0D097920">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3、保密制度</w:t>
      </w:r>
    </w:p>
    <w:p w14:paraId="3D9A94E0">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4、人员配置</w:t>
      </w:r>
    </w:p>
    <w:p w14:paraId="43378369">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5、人员经验</w:t>
      </w:r>
    </w:p>
    <w:p w14:paraId="2FADF30C">
      <w:pPr>
        <w:rPr>
          <w:rFonts w:hint="default" w:ascii="宋体" w:hAnsi="宋体" w:eastAsia="宋体" w:cs="宋体"/>
          <w:color w:val="auto"/>
          <w:highlight w:val="none"/>
          <w:lang w:val="en-US" w:eastAsia="zh-CN"/>
        </w:rPr>
        <w:sectPr>
          <w:pgSz w:w="11906" w:h="16838"/>
          <w:pgMar w:top="1440" w:right="1644" w:bottom="1219" w:left="1644" w:header="850" w:footer="992" w:gutter="0"/>
          <w:pgNumType w:fmt="decimal"/>
          <w:cols w:space="720" w:num="1"/>
          <w:titlePg/>
          <w:docGrid w:linePitch="312" w:charSpace="0"/>
        </w:sectPr>
      </w:pPr>
      <w:r>
        <w:rPr>
          <w:rFonts w:hint="eastAsia" w:ascii="宋体" w:hAnsi="宋体" w:cs="宋体"/>
          <w:color w:val="auto"/>
          <w:highlight w:val="none"/>
          <w:lang w:val="en-US" w:eastAsia="zh-CN"/>
        </w:rPr>
        <w:t xml:space="preserve">   </w:t>
      </w:r>
    </w:p>
    <w:p w14:paraId="75D96F2B">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、项目负责人基本情况表</w:t>
      </w:r>
    </w:p>
    <w:tbl>
      <w:tblPr>
        <w:tblStyle w:val="21"/>
        <w:tblpPr w:leftFromText="180" w:rightFromText="180" w:vertAnchor="text" w:horzAnchor="page" w:tblpX="1528" w:tblpY="571"/>
        <w:tblOverlap w:val="never"/>
        <w:tblW w:w="8990" w:type="dxa"/>
        <w:tblInd w:w="-10" w:type="dxa"/>
        <w:tblLayout w:type="fixed"/>
        <w:tblCellMar>
          <w:top w:w="0" w:type="dxa"/>
          <w:left w:w="0" w:type="dxa"/>
          <w:bottom w:w="0" w:type="dxa"/>
          <w:right w:w="0" w:type="dxa"/>
        </w:tblCellMar>
      </w:tblPr>
      <w:tblGrid>
        <w:gridCol w:w="1454"/>
        <w:gridCol w:w="643"/>
        <w:gridCol w:w="1047"/>
        <w:gridCol w:w="729"/>
        <w:gridCol w:w="941"/>
        <w:gridCol w:w="1469"/>
        <w:gridCol w:w="211"/>
        <w:gridCol w:w="2496"/>
      </w:tblGrid>
      <w:tr w14:paraId="77AF06F1">
        <w:tblPrEx>
          <w:tblCellMar>
            <w:top w:w="0" w:type="dxa"/>
            <w:left w:w="0" w:type="dxa"/>
            <w:bottom w:w="0" w:type="dxa"/>
            <w:right w:w="0" w:type="dxa"/>
          </w:tblCellMar>
        </w:tblPrEx>
        <w:trPr>
          <w:trHeight w:val="925" w:hRule="exact"/>
        </w:trPr>
        <w:tc>
          <w:tcPr>
            <w:tcW w:w="1454" w:type="dxa"/>
            <w:tcBorders>
              <w:top w:val="single" w:color="auto" w:sz="8" w:space="0"/>
              <w:left w:val="single" w:color="auto" w:sz="8" w:space="0"/>
              <w:bottom w:val="single" w:color="auto" w:sz="8" w:space="0"/>
              <w:right w:val="single" w:color="auto" w:sz="8" w:space="0"/>
            </w:tcBorders>
            <w:vAlign w:val="center"/>
          </w:tcPr>
          <w:p w14:paraId="68140719">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40C7BD87">
            <w:pPr>
              <w:jc w:val="center"/>
              <w:rPr>
                <w:rFonts w:hint="eastAsia" w:ascii="宋体" w:hAnsi="宋体" w:eastAsia="宋体" w:cs="宋体"/>
                <w:color w:val="auto"/>
                <w:sz w:val="24"/>
                <w:szCs w:val="24"/>
                <w:highlight w:val="none"/>
              </w:rPr>
            </w:pPr>
          </w:p>
        </w:tc>
        <w:tc>
          <w:tcPr>
            <w:tcW w:w="729" w:type="dxa"/>
            <w:tcBorders>
              <w:top w:val="single" w:color="auto" w:sz="8" w:space="0"/>
              <w:left w:val="single" w:color="auto" w:sz="8" w:space="0"/>
              <w:bottom w:val="single" w:color="auto" w:sz="8" w:space="0"/>
              <w:right w:val="single" w:color="auto" w:sz="8" w:space="0"/>
            </w:tcBorders>
            <w:vAlign w:val="center"/>
          </w:tcPr>
          <w:p w14:paraId="28FD2E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46D26E64">
            <w:pPr>
              <w:jc w:val="center"/>
              <w:rPr>
                <w:rFonts w:hint="eastAsia" w:ascii="宋体" w:hAnsi="宋体" w:eastAsia="宋体" w:cs="宋体"/>
                <w:color w:val="auto"/>
                <w:sz w:val="24"/>
                <w:szCs w:val="24"/>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5D334B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w:t>
            </w:r>
          </w:p>
          <w:p w14:paraId="3F50F3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2496" w:type="dxa"/>
            <w:tcBorders>
              <w:top w:val="single" w:color="auto" w:sz="8" w:space="0"/>
              <w:left w:val="single" w:color="auto" w:sz="8" w:space="0"/>
              <w:bottom w:val="single" w:color="auto" w:sz="8" w:space="0"/>
              <w:right w:val="single" w:color="auto" w:sz="4" w:space="0"/>
            </w:tcBorders>
            <w:vAlign w:val="center"/>
          </w:tcPr>
          <w:p w14:paraId="6F8C0F1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14:paraId="5E22CEBF">
        <w:tblPrEx>
          <w:tblCellMar>
            <w:top w:w="0" w:type="dxa"/>
            <w:left w:w="0" w:type="dxa"/>
            <w:bottom w:w="0" w:type="dxa"/>
            <w:right w:w="0" w:type="dxa"/>
          </w:tblCellMar>
        </w:tblPrEx>
        <w:trPr>
          <w:trHeight w:val="900" w:hRule="exact"/>
        </w:trPr>
        <w:tc>
          <w:tcPr>
            <w:tcW w:w="1454" w:type="dxa"/>
            <w:tcBorders>
              <w:top w:val="single" w:color="auto" w:sz="8" w:space="0"/>
              <w:left w:val="single" w:color="auto" w:sz="8" w:space="0"/>
              <w:bottom w:val="single" w:color="auto" w:sz="8" w:space="0"/>
              <w:right w:val="single" w:color="auto" w:sz="8" w:space="0"/>
            </w:tcBorders>
            <w:vAlign w:val="center"/>
          </w:tcPr>
          <w:p w14:paraId="287BD3A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毕业院校及    专业</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014E4493">
            <w:pPr>
              <w:jc w:val="center"/>
              <w:rPr>
                <w:rFonts w:hint="eastAsia" w:ascii="宋体" w:hAnsi="宋体" w:eastAsia="宋体" w:cs="宋体"/>
                <w:color w:val="auto"/>
                <w:sz w:val="24"/>
                <w:szCs w:val="24"/>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0848EB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w:t>
            </w:r>
          </w:p>
          <w:p w14:paraId="46DF84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2496" w:type="dxa"/>
            <w:tcBorders>
              <w:top w:val="single" w:color="auto" w:sz="8" w:space="0"/>
              <w:left w:val="single" w:color="auto" w:sz="8" w:space="0"/>
              <w:bottom w:val="single" w:color="auto" w:sz="8" w:space="0"/>
              <w:right w:val="single" w:color="auto" w:sz="4" w:space="0"/>
            </w:tcBorders>
            <w:vAlign w:val="center"/>
          </w:tcPr>
          <w:p w14:paraId="20E26B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14:paraId="1C16B9F0">
        <w:tblPrEx>
          <w:tblCellMar>
            <w:top w:w="0" w:type="dxa"/>
            <w:left w:w="0" w:type="dxa"/>
            <w:bottom w:w="0" w:type="dxa"/>
            <w:right w:w="0" w:type="dxa"/>
          </w:tblCellMar>
        </w:tblPrEx>
        <w:trPr>
          <w:trHeight w:val="780" w:hRule="exact"/>
        </w:trPr>
        <w:tc>
          <w:tcPr>
            <w:tcW w:w="1454" w:type="dxa"/>
            <w:tcBorders>
              <w:top w:val="single" w:color="auto" w:sz="8" w:space="0"/>
              <w:left w:val="single" w:color="auto" w:sz="8" w:space="0"/>
              <w:bottom w:val="single" w:color="auto" w:sz="8" w:space="0"/>
              <w:right w:val="single" w:color="auto" w:sz="8" w:space="0"/>
            </w:tcBorders>
            <w:vAlign w:val="center"/>
          </w:tcPr>
          <w:p w14:paraId="6150AE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从事本专业    时间</w:t>
            </w:r>
          </w:p>
          <w:p w14:paraId="36A6D8BB">
            <w:pPr>
              <w:jc w:val="center"/>
              <w:rPr>
                <w:rFonts w:hint="eastAsia" w:ascii="宋体" w:hAnsi="宋体" w:eastAsia="宋体" w:cs="宋体"/>
                <w:color w:val="auto"/>
                <w:sz w:val="24"/>
                <w:szCs w:val="24"/>
                <w:highlight w:val="none"/>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1AAE8F22">
            <w:pPr>
              <w:jc w:val="center"/>
              <w:rPr>
                <w:rFonts w:hint="eastAsia" w:ascii="宋体" w:hAnsi="宋体" w:eastAsia="宋体" w:cs="宋体"/>
                <w:color w:val="auto"/>
                <w:sz w:val="24"/>
                <w:szCs w:val="24"/>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082563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为申请人服务    时间</w:t>
            </w:r>
          </w:p>
          <w:p w14:paraId="365563CB">
            <w:pPr>
              <w:jc w:val="center"/>
              <w:rPr>
                <w:rFonts w:hint="eastAsia" w:ascii="宋体" w:hAnsi="宋体" w:eastAsia="宋体" w:cs="宋体"/>
                <w:color w:val="auto"/>
                <w:sz w:val="24"/>
                <w:szCs w:val="24"/>
                <w:highlight w:val="none"/>
              </w:rPr>
            </w:pPr>
          </w:p>
        </w:tc>
        <w:tc>
          <w:tcPr>
            <w:tcW w:w="2496" w:type="dxa"/>
            <w:tcBorders>
              <w:top w:val="single" w:color="auto" w:sz="8" w:space="0"/>
              <w:left w:val="single" w:color="auto" w:sz="8" w:space="0"/>
              <w:bottom w:val="single" w:color="auto" w:sz="8" w:space="0"/>
              <w:right w:val="single" w:color="auto" w:sz="4" w:space="0"/>
            </w:tcBorders>
            <w:vAlign w:val="center"/>
          </w:tcPr>
          <w:p w14:paraId="0820D615">
            <w:pPr>
              <w:jc w:val="center"/>
              <w:rPr>
                <w:rFonts w:hint="eastAsia" w:ascii="宋体" w:hAnsi="宋体" w:eastAsia="宋体" w:cs="宋体"/>
                <w:color w:val="auto"/>
                <w:sz w:val="24"/>
                <w:szCs w:val="24"/>
                <w:highlight w:val="none"/>
              </w:rPr>
            </w:pPr>
          </w:p>
        </w:tc>
      </w:tr>
      <w:tr w14:paraId="0F0F3C7C">
        <w:tblPrEx>
          <w:tblCellMar>
            <w:top w:w="0" w:type="dxa"/>
            <w:left w:w="0" w:type="dxa"/>
            <w:bottom w:w="0" w:type="dxa"/>
            <w:right w:w="0" w:type="dxa"/>
          </w:tblCellMar>
        </w:tblPrEx>
        <w:trPr>
          <w:trHeight w:val="649" w:hRule="exact"/>
        </w:trPr>
        <w:tc>
          <w:tcPr>
            <w:tcW w:w="1454" w:type="dxa"/>
            <w:tcBorders>
              <w:top w:val="single" w:color="auto" w:sz="8" w:space="0"/>
              <w:left w:val="single" w:color="auto" w:sz="8" w:space="0"/>
              <w:bottom w:val="single" w:color="auto" w:sz="8" w:space="0"/>
              <w:right w:val="single" w:color="auto" w:sz="8" w:space="0"/>
            </w:tcBorders>
            <w:vAlign w:val="center"/>
          </w:tcPr>
          <w:p w14:paraId="5A0F11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7465D8E6">
            <w:pPr>
              <w:jc w:val="center"/>
              <w:rPr>
                <w:rFonts w:hint="eastAsia" w:ascii="宋体" w:hAnsi="宋体" w:eastAsia="宋体" w:cs="宋体"/>
                <w:color w:val="auto"/>
                <w:sz w:val="24"/>
                <w:szCs w:val="24"/>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48559C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496" w:type="dxa"/>
            <w:tcBorders>
              <w:top w:val="single" w:color="auto" w:sz="8" w:space="0"/>
              <w:left w:val="single" w:color="auto" w:sz="8" w:space="0"/>
              <w:bottom w:val="single" w:color="auto" w:sz="8" w:space="0"/>
              <w:right w:val="single" w:color="auto" w:sz="4" w:space="0"/>
            </w:tcBorders>
            <w:vAlign w:val="center"/>
          </w:tcPr>
          <w:p w14:paraId="38760311">
            <w:pPr>
              <w:jc w:val="center"/>
              <w:rPr>
                <w:rFonts w:hint="eastAsia" w:ascii="宋体" w:hAnsi="宋体" w:eastAsia="宋体" w:cs="宋体"/>
                <w:color w:val="auto"/>
                <w:sz w:val="24"/>
                <w:szCs w:val="24"/>
                <w:highlight w:val="none"/>
              </w:rPr>
            </w:pPr>
          </w:p>
        </w:tc>
      </w:tr>
      <w:tr w14:paraId="45535E19">
        <w:tblPrEx>
          <w:tblCellMar>
            <w:top w:w="0" w:type="dxa"/>
            <w:left w:w="0" w:type="dxa"/>
            <w:bottom w:w="0" w:type="dxa"/>
            <w:right w:w="0" w:type="dxa"/>
          </w:tblCellMar>
        </w:tblPrEx>
        <w:trPr>
          <w:trHeight w:val="840" w:hRule="exact"/>
        </w:trPr>
        <w:tc>
          <w:tcPr>
            <w:tcW w:w="1454" w:type="dxa"/>
            <w:tcBorders>
              <w:top w:val="single" w:color="auto" w:sz="8" w:space="0"/>
              <w:left w:val="single" w:color="auto" w:sz="8" w:space="0"/>
              <w:bottom w:val="single" w:color="auto" w:sz="8" w:space="0"/>
              <w:right w:val="single" w:color="auto" w:sz="8" w:space="0"/>
            </w:tcBorders>
            <w:vAlign w:val="center"/>
          </w:tcPr>
          <w:p w14:paraId="6CDF03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在本项目中  担任任务</w:t>
            </w:r>
          </w:p>
          <w:p w14:paraId="7189CA75">
            <w:pPr>
              <w:jc w:val="center"/>
              <w:rPr>
                <w:rFonts w:hint="eastAsia" w:ascii="宋体" w:hAnsi="宋体" w:eastAsia="宋体" w:cs="宋体"/>
                <w:color w:val="auto"/>
                <w:sz w:val="24"/>
                <w:szCs w:val="24"/>
                <w:highlight w:val="none"/>
              </w:rPr>
            </w:pPr>
          </w:p>
        </w:tc>
        <w:tc>
          <w:tcPr>
            <w:tcW w:w="7536" w:type="dxa"/>
            <w:gridSpan w:val="7"/>
            <w:tcBorders>
              <w:top w:val="single" w:color="auto" w:sz="8" w:space="0"/>
              <w:left w:val="single" w:color="auto" w:sz="8" w:space="0"/>
              <w:bottom w:val="single" w:color="auto" w:sz="8" w:space="0"/>
              <w:right w:val="single" w:color="auto" w:sz="4" w:space="0"/>
            </w:tcBorders>
            <w:vAlign w:val="center"/>
          </w:tcPr>
          <w:p w14:paraId="6075598E">
            <w:pPr>
              <w:jc w:val="center"/>
              <w:rPr>
                <w:rFonts w:hint="eastAsia" w:ascii="宋体" w:hAnsi="宋体" w:eastAsia="宋体" w:cs="宋体"/>
                <w:color w:val="auto"/>
                <w:sz w:val="24"/>
                <w:szCs w:val="24"/>
                <w:highlight w:val="none"/>
              </w:rPr>
            </w:pPr>
          </w:p>
        </w:tc>
      </w:tr>
      <w:tr w14:paraId="1893A5EC">
        <w:tblPrEx>
          <w:tblCellMar>
            <w:top w:w="0" w:type="dxa"/>
            <w:left w:w="0" w:type="dxa"/>
            <w:bottom w:w="0" w:type="dxa"/>
            <w:right w:w="0" w:type="dxa"/>
          </w:tblCellMar>
        </w:tblPrEx>
        <w:trPr>
          <w:cantSplit/>
          <w:trHeight w:val="380" w:hRule="exact"/>
        </w:trPr>
        <w:tc>
          <w:tcPr>
            <w:tcW w:w="1454" w:type="dxa"/>
            <w:vMerge w:val="restart"/>
            <w:tcBorders>
              <w:top w:val="single" w:color="auto" w:sz="8" w:space="0"/>
              <w:left w:val="single" w:color="auto" w:sz="8" w:space="0"/>
              <w:bottom w:val="single" w:color="auto" w:sz="8" w:space="0"/>
              <w:right w:val="single" w:color="auto" w:sz="8" w:space="0"/>
            </w:tcBorders>
            <w:vAlign w:val="center"/>
          </w:tcPr>
          <w:p w14:paraId="15197F4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p>
          <w:p w14:paraId="064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7BEC25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w:t>
            </w:r>
          </w:p>
          <w:p w14:paraId="0916AD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w:t>
            </w:r>
          </w:p>
          <w:p w14:paraId="053E49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w:t>
            </w:r>
          </w:p>
          <w:p w14:paraId="686AFF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果</w:t>
            </w:r>
          </w:p>
          <w:p w14:paraId="4A915277">
            <w:pPr>
              <w:jc w:val="center"/>
              <w:rPr>
                <w:rFonts w:hint="eastAsia" w:ascii="宋体" w:hAnsi="宋体" w:eastAsia="宋体" w:cs="宋体"/>
                <w:color w:val="auto"/>
                <w:sz w:val="24"/>
                <w:szCs w:val="24"/>
                <w:highlight w:val="none"/>
              </w:rPr>
            </w:pPr>
          </w:p>
        </w:tc>
        <w:tc>
          <w:tcPr>
            <w:tcW w:w="643" w:type="dxa"/>
            <w:tcBorders>
              <w:top w:val="single" w:color="auto" w:sz="8" w:space="0"/>
              <w:left w:val="single" w:color="auto" w:sz="8" w:space="0"/>
              <w:bottom w:val="single" w:color="auto" w:sz="8" w:space="0"/>
              <w:right w:val="single" w:color="auto" w:sz="8" w:space="0"/>
            </w:tcBorders>
            <w:vAlign w:val="center"/>
          </w:tcPr>
          <w:p w14:paraId="2062F0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0838B21E">
            <w:pPr>
              <w:jc w:val="center"/>
              <w:rPr>
                <w:rFonts w:hint="eastAsia" w:ascii="宋体" w:hAnsi="宋体" w:eastAsia="宋体" w:cs="宋体"/>
                <w:color w:val="auto"/>
                <w:sz w:val="24"/>
                <w:szCs w:val="24"/>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5B1F08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项目名称及规模</w:t>
            </w:r>
          </w:p>
          <w:p w14:paraId="7D02058E">
            <w:pPr>
              <w:jc w:val="center"/>
              <w:rPr>
                <w:rFonts w:hint="eastAsia" w:ascii="宋体" w:hAnsi="宋体" w:eastAsia="宋体" w:cs="宋体"/>
                <w:color w:val="auto"/>
                <w:sz w:val="24"/>
                <w:szCs w:val="24"/>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043833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完成年月</w:t>
            </w:r>
          </w:p>
          <w:p w14:paraId="11E3D8A2">
            <w:pPr>
              <w:jc w:val="center"/>
              <w:rPr>
                <w:rFonts w:hint="eastAsia" w:ascii="宋体" w:hAnsi="宋体" w:eastAsia="宋体" w:cs="宋体"/>
                <w:color w:val="auto"/>
                <w:sz w:val="24"/>
                <w:szCs w:val="24"/>
                <w:highlight w:val="none"/>
              </w:rPr>
            </w:pPr>
          </w:p>
        </w:tc>
        <w:tc>
          <w:tcPr>
            <w:tcW w:w="2707" w:type="dxa"/>
            <w:gridSpan w:val="2"/>
            <w:tcBorders>
              <w:top w:val="single" w:color="auto" w:sz="8" w:space="0"/>
              <w:left w:val="single" w:color="auto" w:sz="8" w:space="0"/>
              <w:bottom w:val="single" w:color="auto" w:sz="8" w:space="0"/>
              <w:right w:val="single" w:color="auto" w:sz="4" w:space="0"/>
            </w:tcBorders>
            <w:vAlign w:val="center"/>
          </w:tcPr>
          <w:p w14:paraId="69DF28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在该项目中任何职</w:t>
            </w:r>
          </w:p>
          <w:p w14:paraId="3BFD112D">
            <w:pPr>
              <w:jc w:val="center"/>
              <w:rPr>
                <w:rFonts w:hint="eastAsia" w:ascii="宋体" w:hAnsi="宋体" w:eastAsia="宋体" w:cs="宋体"/>
                <w:color w:val="auto"/>
                <w:sz w:val="24"/>
                <w:szCs w:val="24"/>
                <w:highlight w:val="none"/>
              </w:rPr>
            </w:pPr>
          </w:p>
        </w:tc>
      </w:tr>
      <w:tr w14:paraId="43123DE0">
        <w:tblPrEx>
          <w:tblCellMar>
            <w:top w:w="0" w:type="dxa"/>
            <w:left w:w="0" w:type="dxa"/>
            <w:bottom w:w="0" w:type="dxa"/>
            <w:right w:w="0" w:type="dxa"/>
          </w:tblCellMar>
        </w:tblPrEx>
        <w:trPr>
          <w:cantSplit/>
          <w:trHeight w:val="340" w:hRule="exact"/>
        </w:trPr>
        <w:tc>
          <w:tcPr>
            <w:tcW w:w="1454" w:type="dxa"/>
            <w:vMerge w:val="continue"/>
            <w:tcBorders>
              <w:top w:val="single" w:color="auto" w:sz="8" w:space="0"/>
              <w:left w:val="single" w:color="auto" w:sz="8" w:space="0"/>
              <w:bottom w:val="single" w:color="auto" w:sz="8" w:space="0"/>
              <w:right w:val="single" w:color="auto" w:sz="8" w:space="0"/>
            </w:tcBorders>
            <w:vAlign w:val="center"/>
          </w:tcPr>
          <w:p w14:paraId="094854FD">
            <w:pPr>
              <w:jc w:val="center"/>
              <w:rPr>
                <w:rFonts w:hint="eastAsia" w:ascii="宋体" w:hAnsi="宋体" w:eastAsia="宋体" w:cs="宋体"/>
                <w:color w:val="auto"/>
                <w:sz w:val="24"/>
                <w:szCs w:val="24"/>
                <w:highlight w:val="none"/>
              </w:rPr>
            </w:pPr>
          </w:p>
        </w:tc>
        <w:tc>
          <w:tcPr>
            <w:tcW w:w="643" w:type="dxa"/>
            <w:tcBorders>
              <w:top w:val="single" w:color="auto" w:sz="8" w:space="0"/>
              <w:left w:val="single" w:color="auto" w:sz="8" w:space="0"/>
              <w:bottom w:val="single" w:color="auto" w:sz="8" w:space="0"/>
              <w:right w:val="single" w:color="auto" w:sz="8" w:space="0"/>
            </w:tcBorders>
            <w:vAlign w:val="center"/>
          </w:tcPr>
          <w:p w14:paraId="17BBE3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58E41FA8">
            <w:pPr>
              <w:jc w:val="center"/>
              <w:rPr>
                <w:rFonts w:hint="eastAsia" w:ascii="宋体" w:hAnsi="宋体" w:eastAsia="宋体" w:cs="宋体"/>
                <w:color w:val="auto"/>
                <w:sz w:val="24"/>
                <w:szCs w:val="24"/>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52E6832C">
            <w:pPr>
              <w:jc w:val="center"/>
              <w:rPr>
                <w:rFonts w:hint="eastAsia" w:ascii="宋体" w:hAnsi="宋体" w:eastAsia="宋体" w:cs="宋体"/>
                <w:color w:val="auto"/>
                <w:sz w:val="24"/>
                <w:szCs w:val="24"/>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2AD59AB0">
            <w:pPr>
              <w:jc w:val="center"/>
              <w:rPr>
                <w:rFonts w:hint="eastAsia" w:ascii="宋体" w:hAnsi="宋体" w:eastAsia="宋体" w:cs="宋体"/>
                <w:color w:val="auto"/>
                <w:sz w:val="24"/>
                <w:szCs w:val="24"/>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B7B250C">
            <w:pPr>
              <w:jc w:val="center"/>
              <w:rPr>
                <w:rFonts w:hint="eastAsia" w:ascii="宋体" w:hAnsi="宋体" w:eastAsia="宋体" w:cs="宋体"/>
                <w:color w:val="auto"/>
                <w:sz w:val="24"/>
                <w:szCs w:val="24"/>
                <w:highlight w:val="none"/>
              </w:rPr>
            </w:pPr>
          </w:p>
        </w:tc>
      </w:tr>
      <w:tr w14:paraId="18AAB9CC">
        <w:tblPrEx>
          <w:tblCellMar>
            <w:top w:w="0" w:type="dxa"/>
            <w:left w:w="0" w:type="dxa"/>
            <w:bottom w:w="0" w:type="dxa"/>
            <w:right w:w="0" w:type="dxa"/>
          </w:tblCellMar>
        </w:tblPrEx>
        <w:trPr>
          <w:cantSplit/>
          <w:trHeight w:val="320" w:hRule="exact"/>
        </w:trPr>
        <w:tc>
          <w:tcPr>
            <w:tcW w:w="1454" w:type="dxa"/>
            <w:vMerge w:val="continue"/>
            <w:tcBorders>
              <w:top w:val="single" w:color="auto" w:sz="8" w:space="0"/>
              <w:left w:val="single" w:color="auto" w:sz="8" w:space="0"/>
              <w:bottom w:val="single" w:color="auto" w:sz="8" w:space="0"/>
              <w:right w:val="single" w:color="auto" w:sz="8" w:space="0"/>
            </w:tcBorders>
            <w:vAlign w:val="center"/>
          </w:tcPr>
          <w:p w14:paraId="3E424305">
            <w:pPr>
              <w:jc w:val="center"/>
              <w:rPr>
                <w:rFonts w:hint="eastAsia" w:ascii="宋体" w:hAnsi="宋体" w:eastAsia="宋体" w:cs="宋体"/>
                <w:color w:val="auto"/>
                <w:sz w:val="24"/>
                <w:szCs w:val="24"/>
                <w:highlight w:val="none"/>
              </w:rPr>
            </w:pPr>
          </w:p>
        </w:tc>
        <w:tc>
          <w:tcPr>
            <w:tcW w:w="643" w:type="dxa"/>
            <w:tcBorders>
              <w:top w:val="single" w:color="auto" w:sz="8" w:space="0"/>
              <w:left w:val="single" w:color="auto" w:sz="8" w:space="0"/>
              <w:bottom w:val="single" w:color="auto" w:sz="8" w:space="0"/>
              <w:right w:val="single" w:color="auto" w:sz="8" w:space="0"/>
            </w:tcBorders>
            <w:vAlign w:val="center"/>
          </w:tcPr>
          <w:p w14:paraId="3D91B8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7B689C3B">
            <w:pPr>
              <w:jc w:val="center"/>
              <w:rPr>
                <w:rFonts w:hint="eastAsia" w:ascii="宋体" w:hAnsi="宋体" w:eastAsia="宋体" w:cs="宋体"/>
                <w:color w:val="auto"/>
                <w:sz w:val="24"/>
                <w:szCs w:val="24"/>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3E9532C8">
            <w:pPr>
              <w:jc w:val="center"/>
              <w:rPr>
                <w:rFonts w:hint="eastAsia" w:ascii="宋体" w:hAnsi="宋体" w:eastAsia="宋体" w:cs="宋体"/>
                <w:color w:val="auto"/>
                <w:sz w:val="24"/>
                <w:szCs w:val="24"/>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1DDB1EED">
            <w:pPr>
              <w:jc w:val="center"/>
              <w:rPr>
                <w:rFonts w:hint="eastAsia" w:ascii="宋体" w:hAnsi="宋体" w:eastAsia="宋体" w:cs="宋体"/>
                <w:color w:val="auto"/>
                <w:sz w:val="24"/>
                <w:szCs w:val="24"/>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5225DB8">
            <w:pPr>
              <w:jc w:val="center"/>
              <w:rPr>
                <w:rFonts w:hint="eastAsia" w:ascii="宋体" w:hAnsi="宋体" w:eastAsia="宋体" w:cs="宋体"/>
                <w:color w:val="auto"/>
                <w:sz w:val="24"/>
                <w:szCs w:val="24"/>
                <w:highlight w:val="none"/>
              </w:rPr>
            </w:pPr>
          </w:p>
        </w:tc>
      </w:tr>
      <w:tr w14:paraId="7758C077">
        <w:tblPrEx>
          <w:tblCellMar>
            <w:top w:w="0" w:type="dxa"/>
            <w:left w:w="0" w:type="dxa"/>
            <w:bottom w:w="0" w:type="dxa"/>
            <w:right w:w="0" w:type="dxa"/>
          </w:tblCellMar>
        </w:tblPrEx>
        <w:trPr>
          <w:cantSplit/>
          <w:trHeight w:val="340" w:hRule="exact"/>
        </w:trPr>
        <w:tc>
          <w:tcPr>
            <w:tcW w:w="1454" w:type="dxa"/>
            <w:vMerge w:val="continue"/>
            <w:tcBorders>
              <w:top w:val="single" w:color="auto" w:sz="8" w:space="0"/>
              <w:left w:val="single" w:color="auto" w:sz="8" w:space="0"/>
              <w:bottom w:val="single" w:color="auto" w:sz="8" w:space="0"/>
              <w:right w:val="single" w:color="auto" w:sz="8" w:space="0"/>
            </w:tcBorders>
            <w:vAlign w:val="center"/>
          </w:tcPr>
          <w:p w14:paraId="29644883">
            <w:pPr>
              <w:jc w:val="center"/>
              <w:rPr>
                <w:rFonts w:hint="eastAsia" w:ascii="宋体" w:hAnsi="宋体" w:eastAsia="宋体" w:cs="宋体"/>
                <w:color w:val="auto"/>
                <w:sz w:val="24"/>
                <w:szCs w:val="24"/>
                <w:highlight w:val="none"/>
              </w:rPr>
            </w:pPr>
          </w:p>
        </w:tc>
        <w:tc>
          <w:tcPr>
            <w:tcW w:w="643" w:type="dxa"/>
            <w:tcBorders>
              <w:top w:val="single" w:color="auto" w:sz="8" w:space="0"/>
              <w:left w:val="single" w:color="auto" w:sz="8" w:space="0"/>
              <w:bottom w:val="single" w:color="auto" w:sz="8" w:space="0"/>
              <w:right w:val="single" w:color="auto" w:sz="8" w:space="0"/>
            </w:tcBorders>
            <w:vAlign w:val="center"/>
          </w:tcPr>
          <w:p w14:paraId="2D89AB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p w14:paraId="5800EDF9">
            <w:pPr>
              <w:jc w:val="center"/>
              <w:rPr>
                <w:rFonts w:hint="eastAsia" w:ascii="宋体" w:hAnsi="宋体" w:eastAsia="宋体" w:cs="宋体"/>
                <w:color w:val="auto"/>
                <w:sz w:val="24"/>
                <w:szCs w:val="24"/>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1EB27E0F">
            <w:pPr>
              <w:jc w:val="center"/>
              <w:rPr>
                <w:rFonts w:hint="eastAsia" w:ascii="宋体" w:hAnsi="宋体" w:eastAsia="宋体" w:cs="宋体"/>
                <w:color w:val="auto"/>
                <w:sz w:val="24"/>
                <w:szCs w:val="24"/>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5962446F">
            <w:pPr>
              <w:jc w:val="center"/>
              <w:rPr>
                <w:rFonts w:hint="eastAsia" w:ascii="宋体" w:hAnsi="宋体" w:eastAsia="宋体" w:cs="宋体"/>
                <w:color w:val="auto"/>
                <w:sz w:val="24"/>
                <w:szCs w:val="24"/>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0F2476E0">
            <w:pPr>
              <w:jc w:val="center"/>
              <w:rPr>
                <w:rFonts w:hint="eastAsia" w:ascii="宋体" w:hAnsi="宋体" w:eastAsia="宋体" w:cs="宋体"/>
                <w:color w:val="auto"/>
                <w:sz w:val="24"/>
                <w:szCs w:val="24"/>
                <w:highlight w:val="none"/>
              </w:rPr>
            </w:pPr>
          </w:p>
        </w:tc>
      </w:tr>
      <w:tr w14:paraId="31EF8A69">
        <w:tblPrEx>
          <w:tblCellMar>
            <w:top w:w="0" w:type="dxa"/>
            <w:left w:w="0" w:type="dxa"/>
            <w:bottom w:w="0" w:type="dxa"/>
            <w:right w:w="0" w:type="dxa"/>
          </w:tblCellMar>
        </w:tblPrEx>
        <w:trPr>
          <w:cantSplit/>
          <w:trHeight w:val="545" w:hRule="exact"/>
        </w:trPr>
        <w:tc>
          <w:tcPr>
            <w:tcW w:w="1454" w:type="dxa"/>
            <w:vMerge w:val="continue"/>
            <w:tcBorders>
              <w:top w:val="single" w:color="auto" w:sz="8" w:space="0"/>
              <w:left w:val="single" w:color="auto" w:sz="8" w:space="0"/>
              <w:bottom w:val="single" w:color="auto" w:sz="8" w:space="0"/>
              <w:right w:val="single" w:color="auto" w:sz="8" w:space="0"/>
            </w:tcBorders>
            <w:vAlign w:val="center"/>
          </w:tcPr>
          <w:p w14:paraId="198527CB">
            <w:pPr>
              <w:jc w:val="center"/>
              <w:rPr>
                <w:rFonts w:hint="eastAsia" w:ascii="宋体" w:hAnsi="宋体" w:eastAsia="宋体" w:cs="宋体"/>
                <w:color w:val="auto"/>
                <w:sz w:val="24"/>
                <w:szCs w:val="24"/>
                <w:highlight w:val="none"/>
              </w:rPr>
            </w:pPr>
          </w:p>
        </w:tc>
        <w:tc>
          <w:tcPr>
            <w:tcW w:w="643" w:type="dxa"/>
            <w:tcBorders>
              <w:top w:val="single" w:color="auto" w:sz="8" w:space="0"/>
              <w:left w:val="single" w:color="auto" w:sz="8" w:space="0"/>
              <w:bottom w:val="single" w:color="auto" w:sz="8" w:space="0"/>
              <w:right w:val="single" w:color="auto" w:sz="8" w:space="0"/>
            </w:tcBorders>
            <w:vAlign w:val="center"/>
          </w:tcPr>
          <w:p w14:paraId="220631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p w14:paraId="3F31EC33">
            <w:pPr>
              <w:jc w:val="center"/>
              <w:rPr>
                <w:rFonts w:hint="eastAsia" w:ascii="宋体" w:hAnsi="宋体" w:eastAsia="宋体" w:cs="宋体"/>
                <w:color w:val="auto"/>
                <w:sz w:val="24"/>
                <w:szCs w:val="24"/>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1D07874F">
            <w:pPr>
              <w:jc w:val="center"/>
              <w:rPr>
                <w:rFonts w:hint="eastAsia" w:ascii="宋体" w:hAnsi="宋体" w:eastAsia="宋体" w:cs="宋体"/>
                <w:color w:val="auto"/>
                <w:sz w:val="24"/>
                <w:szCs w:val="24"/>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30F4E0A7">
            <w:pPr>
              <w:jc w:val="center"/>
              <w:rPr>
                <w:rFonts w:hint="eastAsia" w:ascii="宋体" w:hAnsi="宋体" w:eastAsia="宋体" w:cs="宋体"/>
                <w:color w:val="auto"/>
                <w:sz w:val="24"/>
                <w:szCs w:val="24"/>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3E095461">
            <w:pPr>
              <w:jc w:val="center"/>
              <w:rPr>
                <w:rFonts w:hint="eastAsia" w:ascii="宋体" w:hAnsi="宋体" w:eastAsia="宋体" w:cs="宋体"/>
                <w:color w:val="auto"/>
                <w:sz w:val="24"/>
                <w:szCs w:val="24"/>
                <w:highlight w:val="none"/>
              </w:rPr>
            </w:pPr>
          </w:p>
        </w:tc>
      </w:tr>
      <w:tr w14:paraId="019A4FAE">
        <w:tblPrEx>
          <w:tblCellMar>
            <w:top w:w="0" w:type="dxa"/>
            <w:left w:w="0" w:type="dxa"/>
            <w:bottom w:w="0" w:type="dxa"/>
            <w:right w:w="0" w:type="dxa"/>
          </w:tblCellMar>
        </w:tblPrEx>
        <w:trPr>
          <w:trHeight w:val="2560" w:hRule="exact"/>
        </w:trPr>
        <w:tc>
          <w:tcPr>
            <w:tcW w:w="1454" w:type="dxa"/>
            <w:tcBorders>
              <w:top w:val="single" w:color="auto" w:sz="8" w:space="0"/>
              <w:left w:val="single" w:color="auto" w:sz="8" w:space="0"/>
              <w:bottom w:val="single" w:color="auto" w:sz="8" w:space="0"/>
              <w:right w:val="single" w:color="auto" w:sz="8" w:space="0"/>
            </w:tcBorders>
            <w:vAlign w:val="center"/>
          </w:tcPr>
          <w:p w14:paraId="57693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p>
          <w:p w14:paraId="28C9F1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7FB868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w:t>
            </w:r>
          </w:p>
          <w:p w14:paraId="253C600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奖</w:t>
            </w:r>
          </w:p>
          <w:p w14:paraId="0F566C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w:t>
            </w:r>
          </w:p>
          <w:p w14:paraId="564778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况</w:t>
            </w:r>
          </w:p>
          <w:p w14:paraId="14868E56">
            <w:pPr>
              <w:jc w:val="center"/>
              <w:rPr>
                <w:rFonts w:hint="eastAsia" w:ascii="宋体" w:hAnsi="宋体" w:eastAsia="宋体" w:cs="宋体"/>
                <w:color w:val="auto"/>
                <w:sz w:val="24"/>
                <w:szCs w:val="24"/>
                <w:highlight w:val="none"/>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5B597762">
            <w:pPr>
              <w:jc w:val="center"/>
              <w:rPr>
                <w:rFonts w:hint="eastAsia" w:ascii="宋体" w:hAnsi="宋体" w:eastAsia="宋体" w:cs="宋体"/>
                <w:color w:val="auto"/>
                <w:sz w:val="24"/>
                <w:szCs w:val="24"/>
                <w:highlight w:val="none"/>
              </w:rPr>
            </w:pPr>
          </w:p>
        </w:tc>
      </w:tr>
      <w:tr w14:paraId="411EE79C">
        <w:tblPrEx>
          <w:tblCellMar>
            <w:top w:w="0" w:type="dxa"/>
            <w:left w:w="0" w:type="dxa"/>
            <w:bottom w:w="0" w:type="dxa"/>
            <w:right w:w="0" w:type="dxa"/>
          </w:tblCellMar>
        </w:tblPrEx>
        <w:trPr>
          <w:trHeight w:val="800" w:hRule="exact"/>
        </w:trPr>
        <w:tc>
          <w:tcPr>
            <w:tcW w:w="1454" w:type="dxa"/>
            <w:tcBorders>
              <w:top w:val="single" w:color="auto" w:sz="8" w:space="0"/>
              <w:left w:val="single" w:color="auto" w:sz="8" w:space="0"/>
              <w:bottom w:val="single" w:color="auto" w:sz="8" w:space="0"/>
              <w:right w:val="single" w:color="auto" w:sz="8" w:space="0"/>
            </w:tcBorders>
            <w:vAlign w:val="center"/>
          </w:tcPr>
          <w:p w14:paraId="1C9C7B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其它需</w:t>
            </w:r>
          </w:p>
          <w:p w14:paraId="085958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补充的情况</w:t>
            </w:r>
          </w:p>
          <w:p w14:paraId="743030A8">
            <w:pPr>
              <w:jc w:val="center"/>
              <w:rPr>
                <w:rFonts w:hint="eastAsia" w:ascii="宋体" w:hAnsi="宋体" w:eastAsia="宋体" w:cs="宋体"/>
                <w:color w:val="auto"/>
                <w:sz w:val="24"/>
                <w:szCs w:val="24"/>
                <w:highlight w:val="none"/>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60E2B60C">
            <w:pPr>
              <w:jc w:val="center"/>
              <w:rPr>
                <w:rFonts w:hint="eastAsia" w:ascii="宋体" w:hAnsi="宋体" w:eastAsia="宋体" w:cs="宋体"/>
                <w:color w:val="auto"/>
                <w:sz w:val="24"/>
                <w:szCs w:val="24"/>
                <w:highlight w:val="none"/>
              </w:rPr>
            </w:pPr>
          </w:p>
        </w:tc>
      </w:tr>
    </w:tbl>
    <w:p w14:paraId="63E7C091">
      <w:pPr>
        <w:jc w:val="center"/>
        <w:rPr>
          <w:rFonts w:hint="eastAsia" w:ascii="宋体" w:hAnsi="宋体" w:eastAsia="宋体" w:cs="宋体"/>
          <w:b/>
          <w:color w:val="auto"/>
          <w:sz w:val="32"/>
          <w:szCs w:val="32"/>
          <w:highlight w:val="none"/>
        </w:rPr>
      </w:pPr>
    </w:p>
    <w:p w14:paraId="2218DFE5">
      <w:pPr>
        <w:ind w:firstLine="708" w:firstLineChars="29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kern w:val="0"/>
          <w:sz w:val="24"/>
          <w:highlight w:val="none"/>
        </w:rPr>
        <w:t>提供相关证书复印件以及项目负责人类似业绩证明资料。</w:t>
      </w:r>
    </w:p>
    <w:p w14:paraId="67E339A8">
      <w:pPr>
        <w:autoSpaceDE w:val="0"/>
        <w:autoSpaceDN w:val="0"/>
        <w:adjustRightInd w:val="0"/>
        <w:snapToGrid w:val="0"/>
        <w:spacing w:line="360" w:lineRule="auto"/>
        <w:ind w:firstLine="723" w:firstLineChars="300"/>
        <w:rPr>
          <w:rFonts w:hint="eastAsia" w:ascii="宋体" w:hAnsi="宋体" w:eastAsia="宋体" w:cs="宋体"/>
          <w:b/>
          <w:color w:val="auto"/>
          <w:kern w:val="0"/>
          <w:sz w:val="24"/>
          <w:highlight w:val="none"/>
        </w:rPr>
      </w:pPr>
    </w:p>
    <w:p w14:paraId="47C1C095">
      <w:pPr>
        <w:pStyle w:val="13"/>
        <w:rPr>
          <w:rFonts w:hint="eastAsia" w:ascii="宋体" w:hAnsi="宋体" w:eastAsia="宋体" w:cs="宋体"/>
          <w:color w:val="auto"/>
          <w:sz w:val="24"/>
          <w:szCs w:val="24"/>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7B18102">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拟投入项目人员汇总表</w:t>
      </w:r>
    </w:p>
    <w:p w14:paraId="4B14B2A7">
      <w:pPr>
        <w:ind w:firstLine="600" w:firstLineChars="250"/>
        <w:rPr>
          <w:rFonts w:hint="eastAsia" w:ascii="宋体" w:hAnsi="宋体" w:eastAsia="宋体" w:cs="宋体"/>
          <w:b/>
          <w:bCs/>
          <w:color w:val="auto"/>
          <w:kern w:val="44"/>
          <w:sz w:val="32"/>
          <w:szCs w:val="4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tbl>
      <w:tblPr>
        <w:tblStyle w:val="21"/>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906"/>
        <w:gridCol w:w="724"/>
        <w:gridCol w:w="1268"/>
        <w:gridCol w:w="724"/>
        <w:gridCol w:w="724"/>
        <w:gridCol w:w="1268"/>
        <w:gridCol w:w="2490"/>
      </w:tblGrid>
      <w:tr w14:paraId="7E757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5B6ACE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13" w:type="pct"/>
            <w:tcBorders>
              <w:top w:val="single" w:color="auto" w:sz="4" w:space="0"/>
              <w:left w:val="single" w:color="auto" w:sz="4" w:space="0"/>
              <w:bottom w:val="single" w:color="auto" w:sz="4" w:space="0"/>
              <w:right w:val="single" w:color="auto" w:sz="4" w:space="0"/>
            </w:tcBorders>
            <w:vAlign w:val="center"/>
          </w:tcPr>
          <w:p w14:paraId="7CA7AA6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0" w:type="pct"/>
            <w:tcBorders>
              <w:top w:val="single" w:color="auto" w:sz="4" w:space="0"/>
              <w:left w:val="single" w:color="auto" w:sz="4" w:space="0"/>
              <w:bottom w:val="single" w:color="auto" w:sz="4" w:space="0"/>
              <w:right w:val="single" w:color="auto" w:sz="4" w:space="0"/>
            </w:tcBorders>
            <w:vAlign w:val="center"/>
          </w:tcPr>
          <w:p w14:paraId="755C7B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718" w:type="pct"/>
            <w:tcBorders>
              <w:top w:val="single" w:color="auto" w:sz="4" w:space="0"/>
              <w:left w:val="single" w:color="auto" w:sz="4" w:space="0"/>
              <w:bottom w:val="single" w:color="auto" w:sz="4" w:space="0"/>
              <w:right w:val="single" w:color="auto" w:sz="4" w:space="0"/>
            </w:tcBorders>
            <w:vAlign w:val="center"/>
          </w:tcPr>
          <w:p w14:paraId="56EBBB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出生日期</w:t>
            </w:r>
          </w:p>
        </w:tc>
        <w:tc>
          <w:tcPr>
            <w:tcW w:w="410" w:type="pct"/>
            <w:tcBorders>
              <w:top w:val="single" w:color="auto" w:sz="4" w:space="0"/>
              <w:left w:val="single" w:color="auto" w:sz="4" w:space="0"/>
              <w:bottom w:val="single" w:color="auto" w:sz="4" w:space="0"/>
              <w:right w:val="single" w:color="auto" w:sz="4" w:space="0"/>
            </w:tcBorders>
            <w:vAlign w:val="center"/>
          </w:tcPr>
          <w:p w14:paraId="14D97B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410" w:type="pct"/>
            <w:tcBorders>
              <w:top w:val="single" w:color="auto" w:sz="4" w:space="0"/>
              <w:left w:val="single" w:color="auto" w:sz="4" w:space="0"/>
              <w:bottom w:val="single" w:color="auto" w:sz="4" w:space="0"/>
              <w:right w:val="single" w:color="auto" w:sz="4" w:space="0"/>
            </w:tcBorders>
            <w:vAlign w:val="center"/>
          </w:tcPr>
          <w:p w14:paraId="223B96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718" w:type="pct"/>
            <w:tcBorders>
              <w:top w:val="single" w:color="auto" w:sz="4" w:space="0"/>
              <w:left w:val="single" w:color="auto" w:sz="4" w:space="0"/>
              <w:bottom w:val="single" w:color="auto" w:sz="4" w:space="0"/>
              <w:right w:val="single" w:color="auto" w:sz="4" w:space="0"/>
            </w:tcBorders>
            <w:vAlign w:val="center"/>
          </w:tcPr>
          <w:p w14:paraId="65548BB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410" w:type="pct"/>
            <w:tcBorders>
              <w:top w:val="single" w:color="auto" w:sz="4" w:space="0"/>
              <w:left w:val="single" w:color="auto" w:sz="4" w:space="0"/>
              <w:bottom w:val="single" w:color="auto" w:sz="4" w:space="0"/>
              <w:right w:val="single" w:color="auto" w:sz="4" w:space="0"/>
            </w:tcBorders>
            <w:vAlign w:val="center"/>
          </w:tcPr>
          <w:p w14:paraId="009803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在本项目拟任职务</w:t>
            </w:r>
          </w:p>
        </w:tc>
      </w:tr>
      <w:tr w14:paraId="37970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0BE2B230">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81258B7">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4E302B68">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4A248E1C">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70C4919">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60D3F96">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24B28CF6">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58F08AC0">
            <w:pPr>
              <w:jc w:val="center"/>
              <w:rPr>
                <w:rFonts w:hint="eastAsia" w:ascii="宋体" w:hAnsi="宋体" w:eastAsia="宋体" w:cs="宋体"/>
                <w:color w:val="auto"/>
                <w:sz w:val="24"/>
                <w:highlight w:val="none"/>
              </w:rPr>
            </w:pPr>
          </w:p>
        </w:tc>
      </w:tr>
      <w:tr w14:paraId="2E3BD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199351CA">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1D11F35A">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B65AD1F">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26ADEFBC">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02C5B28">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320ADD1F">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4BA2C528">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74FFF019">
            <w:pPr>
              <w:jc w:val="center"/>
              <w:rPr>
                <w:rFonts w:hint="eastAsia" w:ascii="宋体" w:hAnsi="宋体" w:eastAsia="宋体" w:cs="宋体"/>
                <w:color w:val="auto"/>
                <w:sz w:val="24"/>
                <w:highlight w:val="none"/>
              </w:rPr>
            </w:pPr>
          </w:p>
        </w:tc>
      </w:tr>
      <w:tr w14:paraId="5EDE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13B59E3D">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608BA7B">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2480F85A">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0C0737E">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48EC17AD">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2315D88B">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2FB6B609">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497A8193">
            <w:pPr>
              <w:jc w:val="center"/>
              <w:rPr>
                <w:rFonts w:hint="eastAsia" w:ascii="宋体" w:hAnsi="宋体" w:eastAsia="宋体" w:cs="宋体"/>
                <w:color w:val="auto"/>
                <w:sz w:val="24"/>
                <w:highlight w:val="none"/>
              </w:rPr>
            </w:pPr>
          </w:p>
        </w:tc>
      </w:tr>
      <w:tr w14:paraId="1CAA2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2C862382">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305437E1">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804AF75">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BE0F9CA">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FDDF89B">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0C0714F">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0766C6F8">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459CB538">
            <w:pPr>
              <w:jc w:val="center"/>
              <w:rPr>
                <w:rFonts w:hint="eastAsia" w:ascii="宋体" w:hAnsi="宋体" w:eastAsia="宋体" w:cs="宋体"/>
                <w:color w:val="auto"/>
                <w:sz w:val="24"/>
                <w:highlight w:val="none"/>
              </w:rPr>
            </w:pPr>
          </w:p>
        </w:tc>
      </w:tr>
      <w:tr w14:paraId="73C8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76616280">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5E1BF4E8">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A594B60">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F91E36C">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774AD00">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0FC1C25">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28BEC6A">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3D241DF3">
            <w:pPr>
              <w:jc w:val="center"/>
              <w:rPr>
                <w:rFonts w:hint="eastAsia" w:ascii="宋体" w:hAnsi="宋体" w:eastAsia="宋体" w:cs="宋体"/>
                <w:color w:val="auto"/>
                <w:sz w:val="24"/>
                <w:highlight w:val="none"/>
              </w:rPr>
            </w:pPr>
          </w:p>
        </w:tc>
      </w:tr>
      <w:tr w14:paraId="67838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38825720">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2B9804C9">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29C03AC">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866CC1C">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18BD438">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02FADC57">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D53203C">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64DECA3D">
            <w:pPr>
              <w:jc w:val="center"/>
              <w:rPr>
                <w:rFonts w:hint="eastAsia" w:ascii="宋体" w:hAnsi="宋体" w:eastAsia="宋体" w:cs="宋体"/>
                <w:color w:val="auto"/>
                <w:sz w:val="24"/>
                <w:highlight w:val="none"/>
              </w:rPr>
            </w:pPr>
          </w:p>
        </w:tc>
      </w:tr>
      <w:tr w14:paraId="5818E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1F257696">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334254A3">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94208DF">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F71189D">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02AB426F">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0B717C9A">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0756FEB">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35611A01">
            <w:pPr>
              <w:jc w:val="center"/>
              <w:rPr>
                <w:rFonts w:hint="eastAsia" w:ascii="宋体" w:hAnsi="宋体" w:eastAsia="宋体" w:cs="宋体"/>
                <w:color w:val="auto"/>
                <w:sz w:val="24"/>
                <w:highlight w:val="none"/>
              </w:rPr>
            </w:pPr>
          </w:p>
        </w:tc>
      </w:tr>
      <w:tr w14:paraId="6F75D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6660DD36">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35A01255">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38420F09">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027ECB5E">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6E1B47D2">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2AD7213E">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AEAB5A7">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52F45F24">
            <w:pPr>
              <w:jc w:val="center"/>
              <w:rPr>
                <w:rFonts w:hint="eastAsia" w:ascii="宋体" w:hAnsi="宋体" w:eastAsia="宋体" w:cs="宋体"/>
                <w:color w:val="auto"/>
                <w:sz w:val="24"/>
                <w:highlight w:val="none"/>
              </w:rPr>
            </w:pPr>
          </w:p>
        </w:tc>
      </w:tr>
      <w:tr w14:paraId="7C201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0" w:type="pct"/>
            <w:tcBorders>
              <w:top w:val="single" w:color="auto" w:sz="4" w:space="0"/>
              <w:left w:val="single" w:color="auto" w:sz="4" w:space="0"/>
              <w:bottom w:val="single" w:color="auto" w:sz="4" w:space="0"/>
              <w:right w:val="single" w:color="auto" w:sz="4" w:space="0"/>
            </w:tcBorders>
            <w:vAlign w:val="center"/>
          </w:tcPr>
          <w:p w14:paraId="50D3467A">
            <w:pPr>
              <w:jc w:val="center"/>
              <w:rPr>
                <w:rFonts w:hint="eastAsia" w:ascii="宋体" w:hAnsi="宋体" w:eastAsia="宋体" w:cs="宋体"/>
                <w:color w:val="auto"/>
                <w:sz w:val="24"/>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59B797EA">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00515ACD">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DD3934E">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6BA06AAF">
            <w:pPr>
              <w:jc w:val="center"/>
              <w:rPr>
                <w:rFonts w:hint="eastAsia" w:ascii="宋体" w:hAnsi="宋体" w:eastAsia="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10135504">
            <w:pPr>
              <w:jc w:val="center"/>
              <w:rPr>
                <w:rFonts w:hint="eastAsia" w:ascii="宋体" w:hAnsi="宋体" w:eastAsia="宋体" w:cs="宋体"/>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67237F1B">
            <w:pPr>
              <w:jc w:val="center"/>
              <w:rPr>
                <w:rFonts w:hint="eastAsia" w:ascii="宋体" w:hAnsi="宋体" w:eastAsia="宋体" w:cs="宋体"/>
                <w:color w:val="auto"/>
                <w:sz w:val="24"/>
                <w:highlight w:val="none"/>
              </w:rPr>
            </w:pPr>
          </w:p>
        </w:tc>
        <w:tc>
          <w:tcPr>
            <w:tcW w:w="1410" w:type="pct"/>
            <w:tcBorders>
              <w:top w:val="single" w:color="auto" w:sz="4" w:space="0"/>
              <w:left w:val="single" w:color="auto" w:sz="4" w:space="0"/>
              <w:bottom w:val="single" w:color="auto" w:sz="4" w:space="0"/>
              <w:right w:val="single" w:color="auto" w:sz="4" w:space="0"/>
            </w:tcBorders>
            <w:vAlign w:val="center"/>
          </w:tcPr>
          <w:p w14:paraId="0D963E30">
            <w:pPr>
              <w:jc w:val="center"/>
              <w:rPr>
                <w:rFonts w:hint="eastAsia" w:ascii="宋体" w:hAnsi="宋体" w:eastAsia="宋体" w:cs="宋体"/>
                <w:color w:val="auto"/>
                <w:sz w:val="24"/>
                <w:highlight w:val="none"/>
              </w:rPr>
            </w:pPr>
          </w:p>
        </w:tc>
      </w:tr>
    </w:tbl>
    <w:p w14:paraId="7608E1B9">
      <w:pPr>
        <w:jc w:val="center"/>
        <w:rPr>
          <w:rFonts w:hint="eastAsia" w:ascii="宋体" w:hAnsi="宋体" w:eastAsia="宋体" w:cs="宋体"/>
          <w:b/>
          <w:color w:val="auto"/>
          <w:sz w:val="32"/>
          <w:szCs w:val="32"/>
          <w:highlight w:val="none"/>
        </w:rPr>
      </w:pPr>
    </w:p>
    <w:p w14:paraId="31950ADA">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kern w:val="0"/>
          <w:sz w:val="24"/>
          <w:highlight w:val="none"/>
        </w:rPr>
        <w:t>提供相关</w:t>
      </w:r>
      <w:r>
        <w:rPr>
          <w:rFonts w:hint="eastAsia" w:ascii="宋体" w:hAnsi="宋体" w:eastAsia="宋体" w:cs="宋体"/>
          <w:b/>
          <w:color w:val="auto"/>
          <w:kern w:val="0"/>
          <w:sz w:val="24"/>
          <w:highlight w:val="none"/>
          <w:lang w:val="en-US" w:eastAsia="zh-CN"/>
        </w:rPr>
        <w:t>人员</w:t>
      </w:r>
      <w:r>
        <w:rPr>
          <w:rFonts w:hint="eastAsia" w:ascii="宋体" w:hAnsi="宋体" w:eastAsia="宋体" w:cs="宋体"/>
          <w:b/>
          <w:color w:val="auto"/>
          <w:kern w:val="0"/>
          <w:sz w:val="24"/>
          <w:highlight w:val="none"/>
        </w:rPr>
        <w:t>证书复印件。</w:t>
      </w:r>
    </w:p>
    <w:p w14:paraId="48EEFC80">
      <w:pPr>
        <w:autoSpaceDE w:val="0"/>
        <w:autoSpaceDN w:val="0"/>
        <w:adjustRightInd w:val="0"/>
        <w:snapToGrid w:val="0"/>
        <w:spacing w:line="360" w:lineRule="auto"/>
        <w:ind w:firstLine="723" w:firstLineChars="300"/>
        <w:rPr>
          <w:rFonts w:hint="eastAsia" w:ascii="宋体" w:hAnsi="宋体" w:eastAsia="宋体" w:cs="宋体"/>
          <w:b/>
          <w:color w:val="auto"/>
          <w:kern w:val="0"/>
          <w:sz w:val="24"/>
          <w:highlight w:val="none"/>
        </w:rPr>
      </w:pPr>
    </w:p>
    <w:p w14:paraId="206C9354">
      <w:pPr>
        <w:pStyle w:val="7"/>
        <w:spacing w:line="360" w:lineRule="auto"/>
        <w:rPr>
          <w:rFonts w:hint="eastAsia" w:ascii="宋体" w:hAnsi="宋体" w:eastAsia="宋体" w:cs="宋体"/>
          <w:color w:val="auto"/>
          <w:kern w:val="2"/>
          <w:sz w:val="24"/>
          <w:szCs w:val="24"/>
          <w:highlight w:val="none"/>
          <w:lang w:val="en-US" w:eastAsia="zh-CN"/>
        </w:rPr>
        <w:sectPr>
          <w:pgSz w:w="11906" w:h="16838"/>
          <w:pgMar w:top="1440" w:right="1644" w:bottom="1219" w:left="1644" w:header="850" w:footer="992" w:gutter="0"/>
          <w:pgNumType w:fmt="decimal"/>
          <w:cols w:space="720" w:num="1"/>
          <w:titlePg/>
          <w:docGrid w:linePitch="312" w:charSpace="0"/>
        </w:sectPr>
      </w:pPr>
    </w:p>
    <w:p w14:paraId="6CEA1586">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、类似业绩一览表</w:t>
      </w:r>
    </w:p>
    <w:p w14:paraId="2EEA08F9">
      <w:pPr>
        <w:spacing w:line="360" w:lineRule="auto"/>
        <w:rPr>
          <w:rFonts w:hint="eastAsia" w:ascii="宋体" w:hAnsi="宋体" w:eastAsia="宋体" w:cs="宋体"/>
          <w:color w:val="auto"/>
          <w:highlight w:val="none"/>
          <w:u w:val="single"/>
        </w:rPr>
      </w:pPr>
    </w:p>
    <w:tbl>
      <w:tblPr>
        <w:tblStyle w:val="21"/>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93"/>
        <w:gridCol w:w="1042"/>
        <w:gridCol w:w="1478"/>
        <w:gridCol w:w="1495"/>
        <w:gridCol w:w="1490"/>
        <w:gridCol w:w="2571"/>
      </w:tblGrid>
      <w:tr w14:paraId="67E0A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57" w:hRule="atLeast"/>
        </w:trPr>
        <w:tc>
          <w:tcPr>
            <w:tcW w:w="342" w:type="pct"/>
            <w:vAlign w:val="center"/>
          </w:tcPr>
          <w:p w14:paraId="52957112">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601" w:type="pct"/>
            <w:vAlign w:val="center"/>
          </w:tcPr>
          <w:p w14:paraId="2DF12176">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852" w:type="pct"/>
            <w:vAlign w:val="center"/>
          </w:tcPr>
          <w:p w14:paraId="60706032">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项目内容</w:t>
            </w:r>
          </w:p>
        </w:tc>
        <w:tc>
          <w:tcPr>
            <w:tcW w:w="862" w:type="pct"/>
            <w:tcBorders>
              <w:left w:val="single" w:color="auto" w:sz="4" w:space="0"/>
              <w:right w:val="single" w:color="auto" w:sz="4" w:space="0"/>
            </w:tcBorders>
            <w:vAlign w:val="center"/>
          </w:tcPr>
          <w:p w14:paraId="6BE9B676">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合同金额</w:t>
            </w:r>
          </w:p>
          <w:p w14:paraId="1D354AB4">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859" w:type="pct"/>
            <w:vAlign w:val="center"/>
          </w:tcPr>
          <w:p w14:paraId="30C9871C">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完成日期</w:t>
            </w:r>
          </w:p>
        </w:tc>
        <w:tc>
          <w:tcPr>
            <w:tcW w:w="1482" w:type="pct"/>
            <w:vAlign w:val="center"/>
          </w:tcPr>
          <w:p w14:paraId="5609F1D5">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业主名称、联系人及电话</w:t>
            </w:r>
          </w:p>
        </w:tc>
      </w:tr>
      <w:tr w14:paraId="1E218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10A5E5E8">
            <w:pPr>
              <w:spacing w:line="360" w:lineRule="auto"/>
              <w:ind w:left="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601" w:type="pct"/>
            <w:vAlign w:val="center"/>
          </w:tcPr>
          <w:p w14:paraId="10EEDD3D">
            <w:pPr>
              <w:spacing w:line="360" w:lineRule="auto"/>
              <w:jc w:val="center"/>
              <w:rPr>
                <w:rFonts w:hint="eastAsia" w:ascii="宋体" w:hAnsi="宋体" w:eastAsia="宋体" w:cs="宋体"/>
                <w:bCs/>
                <w:color w:val="auto"/>
                <w:sz w:val="24"/>
                <w:highlight w:val="none"/>
              </w:rPr>
            </w:pPr>
          </w:p>
        </w:tc>
        <w:tc>
          <w:tcPr>
            <w:tcW w:w="852" w:type="pct"/>
            <w:vAlign w:val="center"/>
          </w:tcPr>
          <w:p w14:paraId="22405A5A">
            <w:pPr>
              <w:spacing w:line="360" w:lineRule="auto"/>
              <w:jc w:val="center"/>
              <w:rPr>
                <w:rFonts w:hint="eastAsia" w:ascii="宋体" w:hAnsi="宋体" w:eastAsia="宋体" w:cs="宋体"/>
                <w:bCs/>
                <w:color w:val="auto"/>
                <w:sz w:val="24"/>
                <w:highlight w:val="none"/>
              </w:rPr>
            </w:pPr>
          </w:p>
        </w:tc>
        <w:tc>
          <w:tcPr>
            <w:tcW w:w="862" w:type="pct"/>
            <w:tcBorders>
              <w:left w:val="single" w:color="auto" w:sz="4" w:space="0"/>
              <w:right w:val="single" w:color="auto" w:sz="4" w:space="0"/>
            </w:tcBorders>
            <w:vAlign w:val="center"/>
          </w:tcPr>
          <w:p w14:paraId="385F78A0">
            <w:pPr>
              <w:spacing w:line="360" w:lineRule="auto"/>
              <w:jc w:val="center"/>
              <w:rPr>
                <w:rFonts w:hint="eastAsia" w:ascii="宋体" w:hAnsi="宋体" w:eastAsia="宋体" w:cs="宋体"/>
                <w:bCs/>
                <w:color w:val="auto"/>
                <w:sz w:val="24"/>
                <w:highlight w:val="none"/>
              </w:rPr>
            </w:pPr>
          </w:p>
        </w:tc>
        <w:tc>
          <w:tcPr>
            <w:tcW w:w="859" w:type="pct"/>
            <w:vAlign w:val="center"/>
          </w:tcPr>
          <w:p w14:paraId="6243A398">
            <w:pPr>
              <w:spacing w:line="360" w:lineRule="auto"/>
              <w:jc w:val="center"/>
              <w:rPr>
                <w:rFonts w:hint="eastAsia" w:ascii="宋体" w:hAnsi="宋体" w:eastAsia="宋体" w:cs="宋体"/>
                <w:bCs/>
                <w:color w:val="auto"/>
                <w:sz w:val="24"/>
                <w:highlight w:val="none"/>
              </w:rPr>
            </w:pPr>
          </w:p>
        </w:tc>
        <w:tc>
          <w:tcPr>
            <w:tcW w:w="1482" w:type="pct"/>
            <w:vAlign w:val="top"/>
          </w:tcPr>
          <w:p w14:paraId="15C7DD5F">
            <w:pPr>
              <w:spacing w:line="360" w:lineRule="auto"/>
              <w:jc w:val="center"/>
              <w:rPr>
                <w:rFonts w:hint="eastAsia" w:ascii="宋体" w:hAnsi="宋体" w:eastAsia="宋体" w:cs="宋体"/>
                <w:bCs/>
                <w:color w:val="auto"/>
                <w:sz w:val="24"/>
                <w:highlight w:val="none"/>
              </w:rPr>
            </w:pPr>
          </w:p>
        </w:tc>
      </w:tr>
      <w:tr w14:paraId="3D25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4FF6E1B1">
            <w:pPr>
              <w:spacing w:line="360" w:lineRule="auto"/>
              <w:ind w:left="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601" w:type="pct"/>
            <w:vAlign w:val="center"/>
          </w:tcPr>
          <w:p w14:paraId="2843E9C1">
            <w:pPr>
              <w:spacing w:line="360" w:lineRule="auto"/>
              <w:jc w:val="center"/>
              <w:rPr>
                <w:rFonts w:hint="eastAsia" w:ascii="宋体" w:hAnsi="宋体" w:eastAsia="宋体" w:cs="宋体"/>
                <w:bCs/>
                <w:color w:val="auto"/>
                <w:sz w:val="24"/>
                <w:highlight w:val="none"/>
              </w:rPr>
            </w:pPr>
          </w:p>
        </w:tc>
        <w:tc>
          <w:tcPr>
            <w:tcW w:w="852" w:type="pct"/>
            <w:vAlign w:val="center"/>
          </w:tcPr>
          <w:p w14:paraId="0205898C">
            <w:pPr>
              <w:spacing w:line="360" w:lineRule="auto"/>
              <w:jc w:val="center"/>
              <w:rPr>
                <w:rFonts w:hint="eastAsia" w:ascii="宋体" w:hAnsi="宋体" w:eastAsia="宋体" w:cs="宋体"/>
                <w:bCs/>
                <w:color w:val="auto"/>
                <w:sz w:val="24"/>
                <w:highlight w:val="none"/>
              </w:rPr>
            </w:pPr>
          </w:p>
        </w:tc>
        <w:tc>
          <w:tcPr>
            <w:tcW w:w="862" w:type="pct"/>
            <w:tcBorders>
              <w:left w:val="single" w:color="auto" w:sz="4" w:space="0"/>
              <w:right w:val="single" w:color="auto" w:sz="4" w:space="0"/>
            </w:tcBorders>
            <w:vAlign w:val="center"/>
          </w:tcPr>
          <w:p w14:paraId="50660381">
            <w:pPr>
              <w:spacing w:line="360" w:lineRule="auto"/>
              <w:jc w:val="center"/>
              <w:rPr>
                <w:rFonts w:hint="eastAsia" w:ascii="宋体" w:hAnsi="宋体" w:eastAsia="宋体" w:cs="宋体"/>
                <w:bCs/>
                <w:color w:val="auto"/>
                <w:sz w:val="24"/>
                <w:highlight w:val="none"/>
              </w:rPr>
            </w:pPr>
          </w:p>
        </w:tc>
        <w:tc>
          <w:tcPr>
            <w:tcW w:w="859" w:type="pct"/>
            <w:vAlign w:val="center"/>
          </w:tcPr>
          <w:p w14:paraId="14A710D0">
            <w:pPr>
              <w:spacing w:line="360" w:lineRule="auto"/>
              <w:jc w:val="center"/>
              <w:rPr>
                <w:rFonts w:hint="eastAsia" w:ascii="宋体" w:hAnsi="宋体" w:eastAsia="宋体" w:cs="宋体"/>
                <w:bCs/>
                <w:color w:val="auto"/>
                <w:sz w:val="24"/>
                <w:highlight w:val="none"/>
              </w:rPr>
            </w:pPr>
          </w:p>
        </w:tc>
        <w:tc>
          <w:tcPr>
            <w:tcW w:w="1482" w:type="pct"/>
            <w:vAlign w:val="top"/>
          </w:tcPr>
          <w:p w14:paraId="3A7A0D9F">
            <w:pPr>
              <w:spacing w:line="360" w:lineRule="auto"/>
              <w:jc w:val="center"/>
              <w:rPr>
                <w:rFonts w:hint="eastAsia" w:ascii="宋体" w:hAnsi="宋体" w:eastAsia="宋体" w:cs="宋体"/>
                <w:bCs/>
                <w:color w:val="auto"/>
                <w:sz w:val="24"/>
                <w:highlight w:val="none"/>
              </w:rPr>
            </w:pPr>
          </w:p>
        </w:tc>
      </w:tr>
      <w:tr w14:paraId="2FE55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39290134">
            <w:pPr>
              <w:spacing w:line="360" w:lineRule="auto"/>
              <w:ind w:left="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601" w:type="pct"/>
            <w:vAlign w:val="center"/>
          </w:tcPr>
          <w:p w14:paraId="426003A6">
            <w:pPr>
              <w:spacing w:line="360" w:lineRule="auto"/>
              <w:jc w:val="center"/>
              <w:rPr>
                <w:rFonts w:hint="eastAsia" w:ascii="宋体" w:hAnsi="宋体" w:eastAsia="宋体" w:cs="宋体"/>
                <w:bCs/>
                <w:color w:val="auto"/>
                <w:sz w:val="24"/>
                <w:highlight w:val="none"/>
              </w:rPr>
            </w:pPr>
          </w:p>
        </w:tc>
        <w:tc>
          <w:tcPr>
            <w:tcW w:w="852" w:type="pct"/>
            <w:vAlign w:val="center"/>
          </w:tcPr>
          <w:p w14:paraId="3E12260A">
            <w:pPr>
              <w:spacing w:line="360" w:lineRule="auto"/>
              <w:jc w:val="center"/>
              <w:rPr>
                <w:rFonts w:hint="eastAsia" w:ascii="宋体" w:hAnsi="宋体" w:eastAsia="宋体" w:cs="宋体"/>
                <w:bCs/>
                <w:color w:val="auto"/>
                <w:sz w:val="24"/>
                <w:highlight w:val="none"/>
              </w:rPr>
            </w:pPr>
          </w:p>
        </w:tc>
        <w:tc>
          <w:tcPr>
            <w:tcW w:w="862" w:type="pct"/>
            <w:tcBorders>
              <w:left w:val="single" w:color="auto" w:sz="4" w:space="0"/>
              <w:right w:val="single" w:color="auto" w:sz="4" w:space="0"/>
            </w:tcBorders>
            <w:vAlign w:val="center"/>
          </w:tcPr>
          <w:p w14:paraId="54F67528">
            <w:pPr>
              <w:spacing w:line="360" w:lineRule="auto"/>
              <w:jc w:val="center"/>
              <w:rPr>
                <w:rFonts w:hint="eastAsia" w:ascii="宋体" w:hAnsi="宋体" w:eastAsia="宋体" w:cs="宋体"/>
                <w:bCs/>
                <w:color w:val="auto"/>
                <w:sz w:val="24"/>
                <w:highlight w:val="none"/>
              </w:rPr>
            </w:pPr>
          </w:p>
        </w:tc>
        <w:tc>
          <w:tcPr>
            <w:tcW w:w="859" w:type="pct"/>
            <w:vAlign w:val="center"/>
          </w:tcPr>
          <w:p w14:paraId="3F19A7D5">
            <w:pPr>
              <w:spacing w:line="360" w:lineRule="auto"/>
              <w:jc w:val="center"/>
              <w:rPr>
                <w:rFonts w:hint="eastAsia" w:ascii="宋体" w:hAnsi="宋体" w:eastAsia="宋体" w:cs="宋体"/>
                <w:bCs/>
                <w:color w:val="auto"/>
                <w:sz w:val="24"/>
                <w:highlight w:val="none"/>
              </w:rPr>
            </w:pPr>
          </w:p>
        </w:tc>
        <w:tc>
          <w:tcPr>
            <w:tcW w:w="1482" w:type="pct"/>
            <w:vAlign w:val="top"/>
          </w:tcPr>
          <w:p w14:paraId="0814B609">
            <w:pPr>
              <w:spacing w:line="360" w:lineRule="auto"/>
              <w:jc w:val="center"/>
              <w:rPr>
                <w:rFonts w:hint="eastAsia" w:ascii="宋体" w:hAnsi="宋体" w:eastAsia="宋体" w:cs="宋体"/>
                <w:bCs/>
                <w:color w:val="auto"/>
                <w:sz w:val="24"/>
                <w:highlight w:val="none"/>
              </w:rPr>
            </w:pPr>
          </w:p>
        </w:tc>
      </w:tr>
      <w:tr w14:paraId="23A8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4A48BE99">
            <w:pPr>
              <w:spacing w:line="360" w:lineRule="auto"/>
              <w:ind w:left="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601" w:type="pct"/>
            <w:vAlign w:val="center"/>
          </w:tcPr>
          <w:p w14:paraId="400DC894">
            <w:pPr>
              <w:spacing w:line="360" w:lineRule="auto"/>
              <w:jc w:val="center"/>
              <w:rPr>
                <w:rFonts w:hint="eastAsia" w:ascii="宋体" w:hAnsi="宋体" w:eastAsia="宋体" w:cs="宋体"/>
                <w:bCs/>
                <w:color w:val="auto"/>
                <w:sz w:val="24"/>
                <w:highlight w:val="none"/>
              </w:rPr>
            </w:pPr>
          </w:p>
        </w:tc>
        <w:tc>
          <w:tcPr>
            <w:tcW w:w="852" w:type="pct"/>
            <w:vAlign w:val="center"/>
          </w:tcPr>
          <w:p w14:paraId="55FE8AB4">
            <w:pPr>
              <w:spacing w:line="360" w:lineRule="auto"/>
              <w:jc w:val="center"/>
              <w:rPr>
                <w:rFonts w:hint="eastAsia" w:ascii="宋体" w:hAnsi="宋体" w:eastAsia="宋体" w:cs="宋体"/>
                <w:bCs/>
                <w:color w:val="auto"/>
                <w:sz w:val="24"/>
                <w:highlight w:val="none"/>
              </w:rPr>
            </w:pPr>
          </w:p>
        </w:tc>
        <w:tc>
          <w:tcPr>
            <w:tcW w:w="862" w:type="pct"/>
            <w:tcBorders>
              <w:left w:val="single" w:color="auto" w:sz="4" w:space="0"/>
              <w:right w:val="single" w:color="auto" w:sz="4" w:space="0"/>
            </w:tcBorders>
            <w:vAlign w:val="center"/>
          </w:tcPr>
          <w:p w14:paraId="2C2EF7DC">
            <w:pPr>
              <w:spacing w:line="360" w:lineRule="auto"/>
              <w:jc w:val="center"/>
              <w:rPr>
                <w:rFonts w:hint="eastAsia" w:ascii="宋体" w:hAnsi="宋体" w:eastAsia="宋体" w:cs="宋体"/>
                <w:bCs/>
                <w:color w:val="auto"/>
                <w:sz w:val="24"/>
                <w:highlight w:val="none"/>
              </w:rPr>
            </w:pPr>
          </w:p>
        </w:tc>
        <w:tc>
          <w:tcPr>
            <w:tcW w:w="859" w:type="pct"/>
            <w:vAlign w:val="center"/>
          </w:tcPr>
          <w:p w14:paraId="18204D8E">
            <w:pPr>
              <w:spacing w:line="360" w:lineRule="auto"/>
              <w:jc w:val="center"/>
              <w:rPr>
                <w:rFonts w:hint="eastAsia" w:ascii="宋体" w:hAnsi="宋体" w:eastAsia="宋体" w:cs="宋体"/>
                <w:bCs/>
                <w:color w:val="auto"/>
                <w:sz w:val="24"/>
                <w:highlight w:val="none"/>
              </w:rPr>
            </w:pPr>
          </w:p>
        </w:tc>
        <w:tc>
          <w:tcPr>
            <w:tcW w:w="1482" w:type="pct"/>
            <w:vAlign w:val="top"/>
          </w:tcPr>
          <w:p w14:paraId="1172575A">
            <w:pPr>
              <w:spacing w:line="360" w:lineRule="auto"/>
              <w:jc w:val="center"/>
              <w:rPr>
                <w:rFonts w:hint="eastAsia" w:ascii="宋体" w:hAnsi="宋体" w:eastAsia="宋体" w:cs="宋体"/>
                <w:bCs/>
                <w:color w:val="auto"/>
                <w:sz w:val="24"/>
                <w:highlight w:val="none"/>
              </w:rPr>
            </w:pPr>
          </w:p>
        </w:tc>
      </w:tr>
      <w:tr w14:paraId="7CAC1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6C345417">
            <w:pPr>
              <w:spacing w:line="360" w:lineRule="auto"/>
              <w:ind w:left="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601" w:type="pct"/>
            <w:vAlign w:val="center"/>
          </w:tcPr>
          <w:p w14:paraId="5A51C8DC">
            <w:pPr>
              <w:spacing w:line="360" w:lineRule="auto"/>
              <w:jc w:val="center"/>
              <w:rPr>
                <w:rFonts w:hint="eastAsia" w:ascii="宋体" w:hAnsi="宋体" w:eastAsia="宋体" w:cs="宋体"/>
                <w:bCs/>
                <w:color w:val="auto"/>
                <w:sz w:val="24"/>
                <w:highlight w:val="none"/>
              </w:rPr>
            </w:pPr>
          </w:p>
        </w:tc>
        <w:tc>
          <w:tcPr>
            <w:tcW w:w="852" w:type="pct"/>
            <w:vAlign w:val="center"/>
          </w:tcPr>
          <w:p w14:paraId="0356A7AF">
            <w:pPr>
              <w:spacing w:line="360" w:lineRule="auto"/>
              <w:jc w:val="center"/>
              <w:rPr>
                <w:rFonts w:hint="eastAsia" w:ascii="宋体" w:hAnsi="宋体" w:eastAsia="宋体" w:cs="宋体"/>
                <w:bCs/>
                <w:color w:val="auto"/>
                <w:sz w:val="24"/>
                <w:highlight w:val="none"/>
              </w:rPr>
            </w:pPr>
          </w:p>
        </w:tc>
        <w:tc>
          <w:tcPr>
            <w:tcW w:w="862" w:type="pct"/>
            <w:tcBorders>
              <w:left w:val="single" w:color="auto" w:sz="4" w:space="0"/>
              <w:right w:val="single" w:color="auto" w:sz="4" w:space="0"/>
            </w:tcBorders>
            <w:vAlign w:val="center"/>
          </w:tcPr>
          <w:p w14:paraId="3960D600">
            <w:pPr>
              <w:spacing w:line="360" w:lineRule="auto"/>
              <w:jc w:val="center"/>
              <w:rPr>
                <w:rFonts w:hint="eastAsia" w:ascii="宋体" w:hAnsi="宋体" w:eastAsia="宋体" w:cs="宋体"/>
                <w:bCs/>
                <w:color w:val="auto"/>
                <w:sz w:val="24"/>
                <w:highlight w:val="none"/>
              </w:rPr>
            </w:pPr>
          </w:p>
        </w:tc>
        <w:tc>
          <w:tcPr>
            <w:tcW w:w="859" w:type="pct"/>
            <w:vAlign w:val="center"/>
          </w:tcPr>
          <w:p w14:paraId="4117F317">
            <w:pPr>
              <w:spacing w:line="360" w:lineRule="auto"/>
              <w:jc w:val="center"/>
              <w:rPr>
                <w:rFonts w:hint="eastAsia" w:ascii="宋体" w:hAnsi="宋体" w:eastAsia="宋体" w:cs="宋体"/>
                <w:bCs/>
                <w:color w:val="auto"/>
                <w:sz w:val="24"/>
                <w:highlight w:val="none"/>
              </w:rPr>
            </w:pPr>
          </w:p>
        </w:tc>
        <w:tc>
          <w:tcPr>
            <w:tcW w:w="1482" w:type="pct"/>
            <w:vAlign w:val="top"/>
          </w:tcPr>
          <w:p w14:paraId="1B273955">
            <w:pPr>
              <w:spacing w:line="360" w:lineRule="auto"/>
              <w:jc w:val="center"/>
              <w:rPr>
                <w:rFonts w:hint="eastAsia" w:ascii="宋体" w:hAnsi="宋体" w:eastAsia="宋体" w:cs="宋体"/>
                <w:bCs/>
                <w:color w:val="auto"/>
                <w:sz w:val="24"/>
                <w:highlight w:val="none"/>
              </w:rPr>
            </w:pPr>
          </w:p>
        </w:tc>
      </w:tr>
      <w:tr w14:paraId="4D92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21BE9C3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p>
        </w:tc>
        <w:tc>
          <w:tcPr>
            <w:tcW w:w="601" w:type="pct"/>
            <w:vAlign w:val="center"/>
          </w:tcPr>
          <w:p w14:paraId="5E06F834">
            <w:pPr>
              <w:spacing w:line="360" w:lineRule="auto"/>
              <w:jc w:val="center"/>
              <w:rPr>
                <w:rFonts w:hint="eastAsia" w:ascii="宋体" w:hAnsi="宋体" w:eastAsia="宋体" w:cs="宋体"/>
                <w:color w:val="auto"/>
                <w:sz w:val="24"/>
                <w:highlight w:val="none"/>
              </w:rPr>
            </w:pPr>
          </w:p>
        </w:tc>
        <w:tc>
          <w:tcPr>
            <w:tcW w:w="852" w:type="pct"/>
            <w:vAlign w:val="center"/>
          </w:tcPr>
          <w:p w14:paraId="67356F4F">
            <w:pPr>
              <w:spacing w:line="360" w:lineRule="auto"/>
              <w:jc w:val="center"/>
              <w:rPr>
                <w:rFonts w:hint="eastAsia" w:ascii="宋体" w:hAnsi="宋体" w:eastAsia="宋体" w:cs="宋体"/>
                <w:color w:val="auto"/>
                <w:sz w:val="24"/>
                <w:highlight w:val="none"/>
              </w:rPr>
            </w:pPr>
          </w:p>
        </w:tc>
        <w:tc>
          <w:tcPr>
            <w:tcW w:w="862" w:type="pct"/>
            <w:tcBorders>
              <w:left w:val="single" w:color="auto" w:sz="4" w:space="0"/>
              <w:right w:val="single" w:color="auto" w:sz="4" w:space="0"/>
            </w:tcBorders>
            <w:vAlign w:val="center"/>
          </w:tcPr>
          <w:p w14:paraId="583146D3">
            <w:pPr>
              <w:spacing w:line="360" w:lineRule="auto"/>
              <w:jc w:val="center"/>
              <w:rPr>
                <w:rFonts w:hint="eastAsia" w:ascii="宋体" w:hAnsi="宋体" w:eastAsia="宋体" w:cs="宋体"/>
                <w:color w:val="auto"/>
                <w:sz w:val="24"/>
                <w:highlight w:val="none"/>
              </w:rPr>
            </w:pPr>
          </w:p>
        </w:tc>
        <w:tc>
          <w:tcPr>
            <w:tcW w:w="859" w:type="pct"/>
            <w:vAlign w:val="center"/>
          </w:tcPr>
          <w:p w14:paraId="0F755FB5">
            <w:pPr>
              <w:spacing w:line="360" w:lineRule="auto"/>
              <w:jc w:val="center"/>
              <w:rPr>
                <w:rFonts w:hint="eastAsia" w:ascii="宋体" w:hAnsi="宋体" w:eastAsia="宋体" w:cs="宋体"/>
                <w:color w:val="auto"/>
                <w:sz w:val="24"/>
                <w:highlight w:val="none"/>
              </w:rPr>
            </w:pPr>
          </w:p>
        </w:tc>
        <w:tc>
          <w:tcPr>
            <w:tcW w:w="1482" w:type="pct"/>
            <w:vAlign w:val="top"/>
          </w:tcPr>
          <w:p w14:paraId="6055371F">
            <w:pPr>
              <w:spacing w:line="360" w:lineRule="auto"/>
              <w:jc w:val="center"/>
              <w:rPr>
                <w:rFonts w:hint="eastAsia" w:ascii="宋体" w:hAnsi="宋体" w:eastAsia="宋体" w:cs="宋体"/>
                <w:color w:val="auto"/>
                <w:sz w:val="24"/>
                <w:highlight w:val="none"/>
              </w:rPr>
            </w:pPr>
          </w:p>
        </w:tc>
      </w:tr>
      <w:tr w14:paraId="5CDA1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605AA077">
            <w:pPr>
              <w:spacing w:line="360" w:lineRule="auto"/>
              <w:jc w:val="center"/>
              <w:rPr>
                <w:rFonts w:hint="eastAsia" w:ascii="宋体" w:hAnsi="宋体" w:eastAsia="宋体" w:cs="宋体"/>
                <w:b/>
                <w:color w:val="auto"/>
                <w:sz w:val="24"/>
                <w:highlight w:val="none"/>
              </w:rPr>
            </w:pPr>
          </w:p>
        </w:tc>
        <w:tc>
          <w:tcPr>
            <w:tcW w:w="601" w:type="pct"/>
            <w:vAlign w:val="center"/>
          </w:tcPr>
          <w:p w14:paraId="6E5864D1">
            <w:pPr>
              <w:spacing w:line="360" w:lineRule="auto"/>
              <w:jc w:val="center"/>
              <w:rPr>
                <w:rFonts w:hint="eastAsia" w:ascii="宋体" w:hAnsi="宋体" w:eastAsia="宋体" w:cs="宋体"/>
                <w:color w:val="auto"/>
                <w:sz w:val="24"/>
                <w:highlight w:val="none"/>
              </w:rPr>
            </w:pPr>
          </w:p>
        </w:tc>
        <w:tc>
          <w:tcPr>
            <w:tcW w:w="852" w:type="pct"/>
            <w:vAlign w:val="center"/>
          </w:tcPr>
          <w:p w14:paraId="57888F49">
            <w:pPr>
              <w:spacing w:line="360" w:lineRule="auto"/>
              <w:jc w:val="center"/>
              <w:rPr>
                <w:rFonts w:hint="eastAsia" w:ascii="宋体" w:hAnsi="宋体" w:eastAsia="宋体" w:cs="宋体"/>
                <w:color w:val="auto"/>
                <w:sz w:val="24"/>
                <w:highlight w:val="none"/>
              </w:rPr>
            </w:pPr>
          </w:p>
        </w:tc>
        <w:tc>
          <w:tcPr>
            <w:tcW w:w="862" w:type="pct"/>
            <w:tcBorders>
              <w:left w:val="single" w:color="auto" w:sz="4" w:space="0"/>
              <w:right w:val="single" w:color="auto" w:sz="4" w:space="0"/>
            </w:tcBorders>
            <w:vAlign w:val="center"/>
          </w:tcPr>
          <w:p w14:paraId="10D8E770">
            <w:pPr>
              <w:spacing w:line="360" w:lineRule="auto"/>
              <w:jc w:val="center"/>
              <w:rPr>
                <w:rFonts w:hint="eastAsia" w:ascii="宋体" w:hAnsi="宋体" w:eastAsia="宋体" w:cs="宋体"/>
                <w:color w:val="auto"/>
                <w:sz w:val="24"/>
                <w:highlight w:val="none"/>
              </w:rPr>
            </w:pPr>
          </w:p>
        </w:tc>
        <w:tc>
          <w:tcPr>
            <w:tcW w:w="859" w:type="pct"/>
            <w:vAlign w:val="center"/>
          </w:tcPr>
          <w:p w14:paraId="3828E0C3">
            <w:pPr>
              <w:spacing w:line="360" w:lineRule="auto"/>
              <w:jc w:val="center"/>
              <w:rPr>
                <w:rFonts w:hint="eastAsia" w:ascii="宋体" w:hAnsi="宋体" w:eastAsia="宋体" w:cs="宋体"/>
                <w:color w:val="auto"/>
                <w:sz w:val="24"/>
                <w:highlight w:val="none"/>
              </w:rPr>
            </w:pPr>
          </w:p>
        </w:tc>
        <w:tc>
          <w:tcPr>
            <w:tcW w:w="1482" w:type="pct"/>
            <w:vAlign w:val="top"/>
          </w:tcPr>
          <w:p w14:paraId="27C5E337">
            <w:pPr>
              <w:spacing w:line="360" w:lineRule="auto"/>
              <w:jc w:val="center"/>
              <w:rPr>
                <w:rFonts w:hint="eastAsia" w:ascii="宋体" w:hAnsi="宋体" w:eastAsia="宋体" w:cs="宋体"/>
                <w:color w:val="auto"/>
                <w:sz w:val="24"/>
                <w:highlight w:val="none"/>
              </w:rPr>
            </w:pPr>
          </w:p>
        </w:tc>
      </w:tr>
      <w:tr w14:paraId="6AE42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342" w:type="pct"/>
            <w:vAlign w:val="center"/>
          </w:tcPr>
          <w:p w14:paraId="18744772">
            <w:pPr>
              <w:spacing w:line="360" w:lineRule="auto"/>
              <w:jc w:val="center"/>
              <w:rPr>
                <w:rFonts w:hint="eastAsia" w:ascii="宋体" w:hAnsi="宋体" w:eastAsia="宋体" w:cs="宋体"/>
                <w:b/>
                <w:color w:val="auto"/>
                <w:sz w:val="24"/>
                <w:highlight w:val="none"/>
              </w:rPr>
            </w:pPr>
          </w:p>
        </w:tc>
        <w:tc>
          <w:tcPr>
            <w:tcW w:w="601" w:type="pct"/>
            <w:vAlign w:val="center"/>
          </w:tcPr>
          <w:p w14:paraId="18C4CC6F">
            <w:pPr>
              <w:spacing w:line="360" w:lineRule="auto"/>
              <w:jc w:val="center"/>
              <w:rPr>
                <w:rFonts w:hint="eastAsia" w:ascii="宋体" w:hAnsi="宋体" w:eastAsia="宋体" w:cs="宋体"/>
                <w:color w:val="auto"/>
                <w:sz w:val="24"/>
                <w:highlight w:val="none"/>
              </w:rPr>
            </w:pPr>
          </w:p>
        </w:tc>
        <w:tc>
          <w:tcPr>
            <w:tcW w:w="852" w:type="pct"/>
            <w:vAlign w:val="center"/>
          </w:tcPr>
          <w:p w14:paraId="1CA95985">
            <w:pPr>
              <w:spacing w:line="360" w:lineRule="auto"/>
              <w:jc w:val="center"/>
              <w:rPr>
                <w:rFonts w:hint="eastAsia" w:ascii="宋体" w:hAnsi="宋体" w:eastAsia="宋体" w:cs="宋体"/>
                <w:color w:val="auto"/>
                <w:sz w:val="24"/>
                <w:highlight w:val="none"/>
              </w:rPr>
            </w:pPr>
          </w:p>
        </w:tc>
        <w:tc>
          <w:tcPr>
            <w:tcW w:w="862" w:type="pct"/>
            <w:tcBorders>
              <w:left w:val="single" w:color="auto" w:sz="4" w:space="0"/>
              <w:right w:val="single" w:color="auto" w:sz="4" w:space="0"/>
            </w:tcBorders>
            <w:vAlign w:val="center"/>
          </w:tcPr>
          <w:p w14:paraId="5831DB42">
            <w:pPr>
              <w:spacing w:line="360" w:lineRule="auto"/>
              <w:jc w:val="center"/>
              <w:rPr>
                <w:rFonts w:hint="eastAsia" w:ascii="宋体" w:hAnsi="宋体" w:eastAsia="宋体" w:cs="宋体"/>
                <w:color w:val="auto"/>
                <w:sz w:val="24"/>
                <w:highlight w:val="none"/>
              </w:rPr>
            </w:pPr>
          </w:p>
        </w:tc>
        <w:tc>
          <w:tcPr>
            <w:tcW w:w="859" w:type="pct"/>
            <w:vAlign w:val="center"/>
          </w:tcPr>
          <w:p w14:paraId="066A22E2">
            <w:pPr>
              <w:spacing w:line="360" w:lineRule="auto"/>
              <w:jc w:val="center"/>
              <w:rPr>
                <w:rFonts w:hint="eastAsia" w:ascii="宋体" w:hAnsi="宋体" w:eastAsia="宋体" w:cs="宋体"/>
                <w:color w:val="auto"/>
                <w:sz w:val="24"/>
                <w:highlight w:val="none"/>
              </w:rPr>
            </w:pPr>
          </w:p>
        </w:tc>
        <w:tc>
          <w:tcPr>
            <w:tcW w:w="1482" w:type="pct"/>
            <w:vAlign w:val="top"/>
          </w:tcPr>
          <w:p w14:paraId="702F51B1">
            <w:pPr>
              <w:spacing w:line="360" w:lineRule="auto"/>
              <w:jc w:val="center"/>
              <w:rPr>
                <w:rFonts w:hint="eastAsia" w:ascii="宋体" w:hAnsi="宋体" w:eastAsia="宋体" w:cs="宋体"/>
                <w:color w:val="auto"/>
                <w:sz w:val="24"/>
                <w:highlight w:val="none"/>
              </w:rPr>
            </w:pPr>
          </w:p>
        </w:tc>
      </w:tr>
      <w:tr w14:paraId="19234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342" w:type="pct"/>
            <w:vAlign w:val="center"/>
          </w:tcPr>
          <w:p w14:paraId="730A33B0">
            <w:pPr>
              <w:spacing w:line="360" w:lineRule="auto"/>
              <w:ind w:left="120"/>
              <w:jc w:val="center"/>
              <w:rPr>
                <w:rFonts w:hint="eastAsia" w:ascii="宋体" w:hAnsi="宋体" w:eastAsia="宋体" w:cs="宋体"/>
                <w:b/>
                <w:color w:val="auto"/>
                <w:sz w:val="24"/>
                <w:highlight w:val="none"/>
              </w:rPr>
            </w:pPr>
          </w:p>
        </w:tc>
        <w:tc>
          <w:tcPr>
            <w:tcW w:w="601" w:type="pct"/>
            <w:vAlign w:val="center"/>
          </w:tcPr>
          <w:p w14:paraId="4C497E79">
            <w:pPr>
              <w:spacing w:line="360" w:lineRule="auto"/>
              <w:jc w:val="center"/>
              <w:rPr>
                <w:rFonts w:hint="eastAsia" w:ascii="宋体" w:hAnsi="宋体" w:eastAsia="宋体" w:cs="宋体"/>
                <w:color w:val="auto"/>
                <w:sz w:val="24"/>
                <w:highlight w:val="none"/>
              </w:rPr>
            </w:pPr>
          </w:p>
        </w:tc>
        <w:tc>
          <w:tcPr>
            <w:tcW w:w="852" w:type="pct"/>
            <w:vAlign w:val="center"/>
          </w:tcPr>
          <w:p w14:paraId="4ADB476E">
            <w:pPr>
              <w:spacing w:line="360" w:lineRule="auto"/>
              <w:jc w:val="center"/>
              <w:rPr>
                <w:rFonts w:hint="eastAsia" w:ascii="宋体" w:hAnsi="宋体" w:eastAsia="宋体" w:cs="宋体"/>
                <w:color w:val="auto"/>
                <w:sz w:val="24"/>
                <w:highlight w:val="none"/>
              </w:rPr>
            </w:pPr>
          </w:p>
        </w:tc>
        <w:tc>
          <w:tcPr>
            <w:tcW w:w="862" w:type="pct"/>
            <w:tcBorders>
              <w:left w:val="single" w:color="auto" w:sz="4" w:space="0"/>
              <w:right w:val="single" w:color="auto" w:sz="4" w:space="0"/>
            </w:tcBorders>
            <w:vAlign w:val="center"/>
          </w:tcPr>
          <w:p w14:paraId="2FF96691">
            <w:pPr>
              <w:spacing w:line="360" w:lineRule="auto"/>
              <w:jc w:val="center"/>
              <w:rPr>
                <w:rFonts w:hint="eastAsia" w:ascii="宋体" w:hAnsi="宋体" w:eastAsia="宋体" w:cs="宋体"/>
                <w:color w:val="auto"/>
                <w:sz w:val="24"/>
                <w:highlight w:val="none"/>
              </w:rPr>
            </w:pPr>
          </w:p>
        </w:tc>
        <w:tc>
          <w:tcPr>
            <w:tcW w:w="859" w:type="pct"/>
            <w:vAlign w:val="center"/>
          </w:tcPr>
          <w:p w14:paraId="68BCFEC8">
            <w:pPr>
              <w:spacing w:line="360" w:lineRule="auto"/>
              <w:jc w:val="center"/>
              <w:rPr>
                <w:rFonts w:hint="eastAsia" w:ascii="宋体" w:hAnsi="宋体" w:eastAsia="宋体" w:cs="宋体"/>
                <w:color w:val="auto"/>
                <w:sz w:val="24"/>
                <w:highlight w:val="none"/>
              </w:rPr>
            </w:pPr>
          </w:p>
        </w:tc>
        <w:tc>
          <w:tcPr>
            <w:tcW w:w="1482" w:type="pct"/>
            <w:vAlign w:val="top"/>
          </w:tcPr>
          <w:p w14:paraId="3E384BC2">
            <w:pPr>
              <w:spacing w:line="360" w:lineRule="auto"/>
              <w:jc w:val="center"/>
              <w:rPr>
                <w:rFonts w:hint="eastAsia" w:ascii="宋体" w:hAnsi="宋体" w:eastAsia="宋体" w:cs="宋体"/>
                <w:color w:val="auto"/>
                <w:sz w:val="24"/>
                <w:highlight w:val="none"/>
              </w:rPr>
            </w:pPr>
          </w:p>
        </w:tc>
      </w:tr>
    </w:tbl>
    <w:p w14:paraId="73F961A7">
      <w:pPr>
        <w:snapToGrid w:val="0"/>
        <w:spacing w:before="120" w:line="360" w:lineRule="auto"/>
        <w:ind w:left="453" w:leftChars="50" w:right="357" w:hanging="348" w:hangingChars="166"/>
        <w:rPr>
          <w:rFonts w:hint="eastAsia" w:ascii="宋体" w:hAnsi="宋体" w:eastAsia="宋体" w:cs="宋体"/>
          <w:color w:val="auto"/>
          <w:highlight w:val="none"/>
        </w:rPr>
      </w:pPr>
    </w:p>
    <w:p w14:paraId="57C16E75">
      <w:pPr>
        <w:tabs>
          <w:tab w:val="left" w:pos="8782"/>
        </w:tabs>
        <w:snapToGrid w:val="0"/>
        <w:spacing w:before="120" w:line="360" w:lineRule="auto"/>
        <w:ind w:left="503" w:leftChars="50" w:right="-38" w:hanging="398" w:hangingChars="1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供应商应如实列出以上情况，如有隐瞒，一经查实将按照失信行为处理。</w:t>
      </w:r>
    </w:p>
    <w:p w14:paraId="72ACE4D8">
      <w:pPr>
        <w:snapToGrid w:val="0"/>
        <w:spacing w:before="120" w:line="360" w:lineRule="auto"/>
        <w:ind w:left="418" w:leftChars="199" w:right="19"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2.供应商应提供双方签订的合同（合同等证明材料复印件加盖公章附在本表后）。</w:t>
      </w:r>
    </w:p>
    <w:p w14:paraId="07AEF4CF">
      <w:pPr>
        <w:spacing w:line="360" w:lineRule="auto"/>
        <w:ind w:left="400"/>
        <w:rPr>
          <w:rFonts w:hint="eastAsia" w:ascii="宋体" w:hAnsi="宋体" w:eastAsia="宋体" w:cs="宋体"/>
          <w:color w:val="auto"/>
          <w:highlight w:val="none"/>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44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91F32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627A1086">
            <w:pPr>
              <w:spacing w:line="360" w:lineRule="auto"/>
              <w:rPr>
                <w:rFonts w:hint="eastAsia" w:ascii="宋体" w:hAnsi="宋体" w:eastAsia="宋体" w:cs="宋体"/>
                <w:color w:val="auto"/>
                <w:sz w:val="24"/>
                <w:highlight w:val="none"/>
                <w:vertAlign w:val="baseline"/>
              </w:rPr>
            </w:pPr>
          </w:p>
        </w:tc>
      </w:tr>
      <w:tr w14:paraId="08C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DA4741">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法定代表人或授权代表签字或盖章：</w:t>
            </w:r>
          </w:p>
        </w:tc>
      </w:tr>
      <w:tr w14:paraId="4F2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369183">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2978D48">
            <w:pPr>
              <w:spacing w:line="360" w:lineRule="auto"/>
              <w:rPr>
                <w:rFonts w:hint="eastAsia" w:ascii="宋体" w:hAnsi="宋体" w:eastAsia="宋体" w:cs="宋体"/>
                <w:color w:val="auto"/>
                <w:sz w:val="24"/>
                <w:highlight w:val="none"/>
                <w:vertAlign w:val="baseline"/>
              </w:rPr>
            </w:pPr>
          </w:p>
        </w:tc>
      </w:tr>
    </w:tbl>
    <w:p w14:paraId="59D5000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45F950E">
      <w:pPr>
        <w:pStyle w:val="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、供应商概况</w:t>
      </w:r>
    </w:p>
    <w:p w14:paraId="2396E43A">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供应商基本情况表</w:t>
      </w:r>
    </w:p>
    <w:tbl>
      <w:tblPr>
        <w:tblStyle w:val="21"/>
        <w:tblW w:w="883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94"/>
        <w:gridCol w:w="2424"/>
        <w:gridCol w:w="1491"/>
        <w:gridCol w:w="1823"/>
      </w:tblGrid>
      <w:tr w14:paraId="78055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67BED87A">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供应商全称</w:t>
            </w:r>
          </w:p>
        </w:tc>
        <w:tc>
          <w:tcPr>
            <w:tcW w:w="5738" w:type="dxa"/>
            <w:gridSpan w:val="3"/>
            <w:tcBorders>
              <w:top w:val="single" w:color="auto" w:sz="4" w:space="0"/>
              <w:left w:val="single" w:color="auto" w:sz="4" w:space="0"/>
              <w:bottom w:val="single" w:color="auto" w:sz="4" w:space="0"/>
              <w:right w:val="single" w:color="auto" w:sz="4" w:space="0"/>
            </w:tcBorders>
            <w:vAlign w:val="center"/>
          </w:tcPr>
          <w:p w14:paraId="3A14CEA9">
            <w:pPr>
              <w:spacing w:line="360" w:lineRule="auto"/>
              <w:jc w:val="center"/>
              <w:rPr>
                <w:rFonts w:hint="eastAsia" w:ascii="宋体" w:hAnsi="宋体" w:eastAsia="宋体" w:cs="宋体"/>
                <w:color w:val="auto"/>
                <w:spacing w:val="14"/>
                <w:kern w:val="0"/>
                <w:sz w:val="24"/>
                <w:highlight w:val="none"/>
              </w:rPr>
            </w:pPr>
          </w:p>
        </w:tc>
      </w:tr>
      <w:tr w14:paraId="0CE43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1E2F9DDF">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主要业务范围</w:t>
            </w:r>
          </w:p>
        </w:tc>
        <w:tc>
          <w:tcPr>
            <w:tcW w:w="5738" w:type="dxa"/>
            <w:gridSpan w:val="3"/>
            <w:tcBorders>
              <w:top w:val="single" w:color="auto" w:sz="4" w:space="0"/>
              <w:left w:val="single" w:color="auto" w:sz="4" w:space="0"/>
              <w:bottom w:val="single" w:color="auto" w:sz="4" w:space="0"/>
              <w:right w:val="single" w:color="auto" w:sz="4" w:space="0"/>
            </w:tcBorders>
            <w:vAlign w:val="center"/>
          </w:tcPr>
          <w:p w14:paraId="3D1A8E0C">
            <w:pPr>
              <w:spacing w:line="360" w:lineRule="auto"/>
              <w:jc w:val="center"/>
              <w:rPr>
                <w:rFonts w:hint="eastAsia" w:ascii="宋体" w:hAnsi="宋体" w:eastAsia="宋体" w:cs="宋体"/>
                <w:color w:val="auto"/>
                <w:spacing w:val="14"/>
                <w:kern w:val="0"/>
                <w:sz w:val="24"/>
                <w:highlight w:val="none"/>
              </w:rPr>
            </w:pPr>
          </w:p>
        </w:tc>
      </w:tr>
      <w:tr w14:paraId="21D32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0D9E715D">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法定代表人名称</w:t>
            </w:r>
          </w:p>
        </w:tc>
        <w:tc>
          <w:tcPr>
            <w:tcW w:w="2424" w:type="dxa"/>
            <w:tcBorders>
              <w:top w:val="single" w:color="auto" w:sz="4" w:space="0"/>
              <w:left w:val="single" w:color="auto" w:sz="4" w:space="0"/>
              <w:bottom w:val="single" w:color="auto" w:sz="4" w:space="0"/>
              <w:right w:val="single" w:color="auto" w:sz="4" w:space="0"/>
            </w:tcBorders>
            <w:vAlign w:val="center"/>
          </w:tcPr>
          <w:p w14:paraId="03B9B803">
            <w:pPr>
              <w:spacing w:line="360" w:lineRule="auto"/>
              <w:jc w:val="center"/>
              <w:rPr>
                <w:rFonts w:hint="eastAsia" w:ascii="宋体" w:hAnsi="宋体" w:eastAsia="宋体" w:cs="宋体"/>
                <w:color w:val="auto"/>
                <w:spacing w:val="14"/>
                <w:kern w:val="0"/>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3A625F97">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职   务</w:t>
            </w:r>
          </w:p>
        </w:tc>
        <w:tc>
          <w:tcPr>
            <w:tcW w:w="1823" w:type="dxa"/>
            <w:tcBorders>
              <w:top w:val="single" w:color="auto" w:sz="4" w:space="0"/>
              <w:left w:val="single" w:color="auto" w:sz="4" w:space="0"/>
              <w:bottom w:val="single" w:color="auto" w:sz="4" w:space="0"/>
              <w:right w:val="single" w:color="auto" w:sz="4" w:space="0"/>
            </w:tcBorders>
            <w:vAlign w:val="center"/>
          </w:tcPr>
          <w:p w14:paraId="0ACCB28E">
            <w:pPr>
              <w:spacing w:line="360" w:lineRule="auto"/>
              <w:jc w:val="center"/>
              <w:rPr>
                <w:rFonts w:hint="eastAsia" w:ascii="宋体" w:hAnsi="宋体" w:eastAsia="宋体" w:cs="宋体"/>
                <w:color w:val="auto"/>
                <w:spacing w:val="14"/>
                <w:kern w:val="0"/>
                <w:sz w:val="24"/>
                <w:highlight w:val="none"/>
              </w:rPr>
            </w:pPr>
          </w:p>
        </w:tc>
      </w:tr>
      <w:tr w14:paraId="5C282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008992CE">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地址</w:t>
            </w:r>
          </w:p>
        </w:tc>
        <w:tc>
          <w:tcPr>
            <w:tcW w:w="2424" w:type="dxa"/>
            <w:tcBorders>
              <w:top w:val="single" w:color="auto" w:sz="4" w:space="0"/>
              <w:left w:val="single" w:color="auto" w:sz="4" w:space="0"/>
              <w:bottom w:val="single" w:color="auto" w:sz="4" w:space="0"/>
              <w:right w:val="single" w:color="auto" w:sz="4" w:space="0"/>
            </w:tcBorders>
            <w:vAlign w:val="center"/>
          </w:tcPr>
          <w:p w14:paraId="7970B7AC">
            <w:pPr>
              <w:spacing w:line="360" w:lineRule="auto"/>
              <w:jc w:val="center"/>
              <w:rPr>
                <w:rFonts w:hint="eastAsia" w:ascii="宋体" w:hAnsi="宋体" w:eastAsia="宋体" w:cs="宋体"/>
                <w:color w:val="auto"/>
                <w:spacing w:val="14"/>
                <w:kern w:val="0"/>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EE9A85E">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邮政编码</w:t>
            </w:r>
          </w:p>
        </w:tc>
        <w:tc>
          <w:tcPr>
            <w:tcW w:w="1823" w:type="dxa"/>
            <w:tcBorders>
              <w:top w:val="single" w:color="auto" w:sz="4" w:space="0"/>
              <w:left w:val="single" w:color="auto" w:sz="4" w:space="0"/>
              <w:bottom w:val="single" w:color="auto" w:sz="4" w:space="0"/>
              <w:right w:val="single" w:color="auto" w:sz="4" w:space="0"/>
            </w:tcBorders>
            <w:vAlign w:val="center"/>
          </w:tcPr>
          <w:p w14:paraId="7BF1BE01">
            <w:pPr>
              <w:spacing w:line="360" w:lineRule="auto"/>
              <w:jc w:val="center"/>
              <w:rPr>
                <w:rFonts w:hint="eastAsia" w:ascii="宋体" w:hAnsi="宋体" w:eastAsia="宋体" w:cs="宋体"/>
                <w:color w:val="auto"/>
                <w:spacing w:val="14"/>
                <w:kern w:val="0"/>
                <w:sz w:val="24"/>
                <w:highlight w:val="none"/>
              </w:rPr>
            </w:pPr>
          </w:p>
        </w:tc>
      </w:tr>
      <w:tr w14:paraId="24EDC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2FA9E82A">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电话</w:t>
            </w:r>
          </w:p>
        </w:tc>
        <w:tc>
          <w:tcPr>
            <w:tcW w:w="2424" w:type="dxa"/>
            <w:tcBorders>
              <w:top w:val="single" w:color="auto" w:sz="4" w:space="0"/>
              <w:left w:val="single" w:color="auto" w:sz="4" w:space="0"/>
              <w:bottom w:val="single" w:color="auto" w:sz="4" w:space="0"/>
              <w:right w:val="single" w:color="auto" w:sz="4" w:space="0"/>
            </w:tcBorders>
            <w:vAlign w:val="center"/>
          </w:tcPr>
          <w:p w14:paraId="41912750">
            <w:pPr>
              <w:spacing w:line="360" w:lineRule="auto"/>
              <w:jc w:val="center"/>
              <w:rPr>
                <w:rFonts w:hint="eastAsia" w:ascii="宋体" w:hAnsi="宋体" w:eastAsia="宋体" w:cs="宋体"/>
                <w:color w:val="auto"/>
                <w:spacing w:val="14"/>
                <w:kern w:val="0"/>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323B8CB1">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传   真</w:t>
            </w:r>
          </w:p>
        </w:tc>
        <w:tc>
          <w:tcPr>
            <w:tcW w:w="1823" w:type="dxa"/>
            <w:tcBorders>
              <w:top w:val="single" w:color="auto" w:sz="4" w:space="0"/>
              <w:left w:val="single" w:color="auto" w:sz="4" w:space="0"/>
              <w:bottom w:val="single" w:color="auto" w:sz="4" w:space="0"/>
              <w:right w:val="single" w:color="auto" w:sz="4" w:space="0"/>
            </w:tcBorders>
            <w:vAlign w:val="center"/>
          </w:tcPr>
          <w:p w14:paraId="104F640F">
            <w:pPr>
              <w:spacing w:line="360" w:lineRule="auto"/>
              <w:jc w:val="center"/>
              <w:rPr>
                <w:rFonts w:hint="eastAsia" w:ascii="宋体" w:hAnsi="宋体" w:eastAsia="宋体" w:cs="宋体"/>
                <w:color w:val="auto"/>
                <w:spacing w:val="14"/>
                <w:kern w:val="0"/>
                <w:sz w:val="24"/>
                <w:highlight w:val="none"/>
              </w:rPr>
            </w:pPr>
          </w:p>
        </w:tc>
      </w:tr>
      <w:tr w14:paraId="7EB24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4" w:type="dxa"/>
            <w:tcBorders>
              <w:top w:val="single" w:color="auto" w:sz="4" w:space="0"/>
              <w:left w:val="single" w:color="auto" w:sz="4" w:space="0"/>
              <w:bottom w:val="single" w:color="auto" w:sz="4" w:space="0"/>
              <w:right w:val="single" w:color="auto" w:sz="4" w:space="0"/>
            </w:tcBorders>
            <w:vAlign w:val="center"/>
          </w:tcPr>
          <w:p w14:paraId="2FC46DEE">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成立日期</w:t>
            </w:r>
          </w:p>
        </w:tc>
        <w:tc>
          <w:tcPr>
            <w:tcW w:w="2424" w:type="dxa"/>
            <w:tcBorders>
              <w:top w:val="single" w:color="auto" w:sz="4" w:space="0"/>
              <w:left w:val="single" w:color="auto" w:sz="4" w:space="0"/>
              <w:bottom w:val="single" w:color="auto" w:sz="4" w:space="0"/>
              <w:right w:val="single" w:color="auto" w:sz="4" w:space="0"/>
            </w:tcBorders>
            <w:vAlign w:val="center"/>
          </w:tcPr>
          <w:p w14:paraId="7D445ADC">
            <w:pPr>
              <w:spacing w:line="360" w:lineRule="auto"/>
              <w:jc w:val="center"/>
              <w:rPr>
                <w:rFonts w:hint="eastAsia" w:ascii="宋体" w:hAnsi="宋体" w:eastAsia="宋体" w:cs="宋体"/>
                <w:color w:val="auto"/>
                <w:spacing w:val="14"/>
                <w:kern w:val="0"/>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55405270">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现有职</w:t>
            </w:r>
          </w:p>
          <w:p w14:paraId="5549A7E4">
            <w:pPr>
              <w:spacing w:line="360" w:lineRule="auto"/>
              <w:jc w:val="center"/>
              <w:rPr>
                <w:rFonts w:hint="eastAsia" w:ascii="宋体" w:hAnsi="宋体" w:eastAsia="宋体" w:cs="宋体"/>
                <w:color w:val="auto"/>
                <w:spacing w:val="14"/>
                <w:kern w:val="0"/>
                <w:sz w:val="24"/>
                <w:highlight w:val="none"/>
              </w:rPr>
            </w:pPr>
            <w:r>
              <w:rPr>
                <w:rFonts w:hint="eastAsia" w:ascii="宋体" w:hAnsi="宋体" w:eastAsia="宋体" w:cs="宋体"/>
                <w:color w:val="auto"/>
                <w:spacing w:val="14"/>
                <w:kern w:val="0"/>
                <w:sz w:val="24"/>
                <w:highlight w:val="none"/>
              </w:rPr>
              <w:t>工人数</w:t>
            </w:r>
          </w:p>
        </w:tc>
        <w:tc>
          <w:tcPr>
            <w:tcW w:w="1823" w:type="dxa"/>
            <w:tcBorders>
              <w:top w:val="single" w:color="auto" w:sz="4" w:space="0"/>
              <w:left w:val="single" w:color="auto" w:sz="4" w:space="0"/>
              <w:bottom w:val="single" w:color="auto" w:sz="4" w:space="0"/>
              <w:right w:val="single" w:color="auto" w:sz="4" w:space="0"/>
            </w:tcBorders>
            <w:vAlign w:val="center"/>
          </w:tcPr>
          <w:p w14:paraId="65A83809">
            <w:pPr>
              <w:spacing w:line="360" w:lineRule="auto"/>
              <w:jc w:val="center"/>
              <w:rPr>
                <w:rFonts w:hint="eastAsia" w:ascii="宋体" w:hAnsi="宋体" w:eastAsia="宋体" w:cs="宋体"/>
                <w:color w:val="auto"/>
                <w:spacing w:val="14"/>
                <w:kern w:val="0"/>
                <w:sz w:val="24"/>
                <w:highlight w:val="none"/>
              </w:rPr>
            </w:pPr>
          </w:p>
        </w:tc>
      </w:tr>
      <w:tr w14:paraId="19769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4" w:hRule="atLeast"/>
        </w:trPr>
        <w:tc>
          <w:tcPr>
            <w:tcW w:w="8832" w:type="dxa"/>
            <w:gridSpan w:val="4"/>
            <w:tcBorders>
              <w:top w:val="single" w:color="auto" w:sz="4" w:space="0"/>
              <w:left w:val="single" w:color="auto" w:sz="4" w:space="0"/>
              <w:bottom w:val="single" w:color="auto" w:sz="4" w:space="0"/>
              <w:right w:val="single" w:color="auto" w:sz="4" w:space="0"/>
            </w:tcBorders>
            <w:vAlign w:val="top"/>
          </w:tcPr>
          <w:p w14:paraId="378EBFA5">
            <w:pPr>
              <w:spacing w:before="120" w:beforeLines="5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单位组织机构简介：</w:t>
            </w:r>
          </w:p>
          <w:p w14:paraId="722A25E6">
            <w:pPr>
              <w:spacing w:line="360" w:lineRule="auto"/>
              <w:ind w:firstLine="480" w:firstLineChars="200"/>
              <w:jc w:val="center"/>
              <w:rPr>
                <w:rFonts w:hint="eastAsia" w:ascii="宋体" w:hAnsi="宋体" w:eastAsia="宋体" w:cs="宋体"/>
                <w:color w:val="auto"/>
                <w:kern w:val="0"/>
                <w:sz w:val="24"/>
                <w:highlight w:val="none"/>
              </w:rPr>
            </w:pPr>
          </w:p>
          <w:p w14:paraId="77EC2A0B">
            <w:pPr>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企业组织机构框图附后</w:t>
            </w:r>
          </w:p>
          <w:p w14:paraId="265BD97D">
            <w:pPr>
              <w:spacing w:line="360" w:lineRule="auto"/>
              <w:ind w:firstLine="480" w:firstLineChars="200"/>
              <w:rPr>
                <w:rFonts w:hint="eastAsia" w:ascii="宋体" w:hAnsi="宋体" w:eastAsia="宋体" w:cs="宋体"/>
                <w:color w:val="auto"/>
                <w:kern w:val="0"/>
                <w:sz w:val="24"/>
                <w:highlight w:val="none"/>
              </w:rPr>
            </w:pPr>
          </w:p>
          <w:p w14:paraId="7A2CE46C">
            <w:pPr>
              <w:spacing w:line="360" w:lineRule="auto"/>
              <w:ind w:firstLine="536" w:firstLineChars="200"/>
              <w:rPr>
                <w:rFonts w:hint="eastAsia" w:ascii="宋体" w:hAnsi="宋体" w:eastAsia="宋体" w:cs="宋体"/>
                <w:color w:val="auto"/>
                <w:spacing w:val="14"/>
                <w:kern w:val="0"/>
                <w:sz w:val="24"/>
                <w:highlight w:val="none"/>
              </w:rPr>
            </w:pPr>
          </w:p>
          <w:p w14:paraId="37F76AB3">
            <w:pPr>
              <w:spacing w:line="360" w:lineRule="auto"/>
              <w:ind w:firstLine="536" w:firstLineChars="200"/>
              <w:rPr>
                <w:rFonts w:hint="eastAsia" w:ascii="宋体" w:hAnsi="宋体" w:eastAsia="宋体" w:cs="宋体"/>
                <w:color w:val="auto"/>
                <w:spacing w:val="14"/>
                <w:kern w:val="0"/>
                <w:sz w:val="24"/>
                <w:highlight w:val="none"/>
              </w:rPr>
            </w:pPr>
          </w:p>
          <w:p w14:paraId="08942889">
            <w:pPr>
              <w:spacing w:line="360" w:lineRule="auto"/>
              <w:ind w:firstLine="536" w:firstLineChars="200"/>
              <w:rPr>
                <w:rFonts w:hint="eastAsia" w:ascii="宋体" w:hAnsi="宋体" w:eastAsia="宋体" w:cs="宋体"/>
                <w:color w:val="auto"/>
                <w:spacing w:val="14"/>
                <w:kern w:val="0"/>
                <w:sz w:val="24"/>
                <w:highlight w:val="none"/>
              </w:rPr>
            </w:pPr>
          </w:p>
          <w:p w14:paraId="503F1698">
            <w:pPr>
              <w:spacing w:line="360" w:lineRule="auto"/>
              <w:ind w:firstLine="536" w:firstLineChars="200"/>
              <w:rPr>
                <w:rFonts w:hint="eastAsia" w:ascii="宋体" w:hAnsi="宋体" w:eastAsia="宋体" w:cs="宋体"/>
                <w:color w:val="auto"/>
                <w:spacing w:val="14"/>
                <w:kern w:val="0"/>
                <w:sz w:val="24"/>
                <w:highlight w:val="none"/>
              </w:rPr>
            </w:pPr>
          </w:p>
          <w:p w14:paraId="3899A9AD">
            <w:pPr>
              <w:spacing w:line="360" w:lineRule="auto"/>
              <w:ind w:firstLine="536" w:firstLineChars="200"/>
              <w:rPr>
                <w:rFonts w:hint="eastAsia" w:ascii="宋体" w:hAnsi="宋体" w:eastAsia="宋体" w:cs="宋体"/>
                <w:color w:val="auto"/>
                <w:spacing w:val="14"/>
                <w:kern w:val="0"/>
                <w:sz w:val="24"/>
                <w:highlight w:val="none"/>
              </w:rPr>
            </w:pPr>
          </w:p>
          <w:p w14:paraId="25F03EAC">
            <w:pPr>
              <w:spacing w:line="360" w:lineRule="auto"/>
              <w:ind w:firstLine="536" w:firstLineChars="200"/>
              <w:rPr>
                <w:rFonts w:hint="eastAsia" w:ascii="宋体" w:hAnsi="宋体" w:eastAsia="宋体" w:cs="宋体"/>
                <w:color w:val="auto"/>
                <w:spacing w:val="14"/>
                <w:kern w:val="0"/>
                <w:sz w:val="24"/>
                <w:highlight w:val="none"/>
              </w:rPr>
            </w:pPr>
          </w:p>
          <w:p w14:paraId="3275A2F9">
            <w:pPr>
              <w:spacing w:line="360" w:lineRule="auto"/>
              <w:ind w:firstLine="536" w:firstLineChars="200"/>
              <w:rPr>
                <w:rFonts w:hint="eastAsia" w:ascii="宋体" w:hAnsi="宋体" w:eastAsia="宋体" w:cs="宋体"/>
                <w:color w:val="auto"/>
                <w:spacing w:val="14"/>
                <w:kern w:val="0"/>
                <w:sz w:val="24"/>
                <w:highlight w:val="none"/>
              </w:rPr>
            </w:pPr>
          </w:p>
        </w:tc>
      </w:tr>
    </w:tbl>
    <w:p w14:paraId="124C97DB">
      <w:pPr>
        <w:pStyle w:val="3"/>
        <w:spacing w:line="360" w:lineRule="auto"/>
        <w:rPr>
          <w:rFonts w:hint="eastAsia" w:ascii="宋体" w:hAnsi="宋体" w:eastAsia="宋体" w:cs="宋体"/>
          <w:color w:val="auto"/>
          <w:highlight w:val="none"/>
        </w:rPr>
      </w:pPr>
    </w:p>
    <w:p w14:paraId="12EE9EC4">
      <w:pPr>
        <w:bidi w:val="0"/>
        <w:rPr>
          <w:rFonts w:hint="eastAsia"/>
        </w:rPr>
      </w:pPr>
    </w:p>
    <w:p w14:paraId="1F88D826">
      <w:pPr>
        <w:bidi w:val="0"/>
        <w:rPr>
          <w:rFonts w:hint="eastAsia"/>
        </w:rPr>
      </w:pPr>
    </w:p>
    <w:p w14:paraId="1D9BD7D2">
      <w:pPr>
        <w:bidi w:val="0"/>
        <w:rPr>
          <w:rFonts w:hint="eastAsia"/>
        </w:rPr>
      </w:pPr>
    </w:p>
    <w:p w14:paraId="3A7FACAE">
      <w:pPr>
        <w:bidi w:val="0"/>
        <w:rPr>
          <w:rFonts w:hint="eastAsia"/>
        </w:rPr>
      </w:pPr>
    </w:p>
    <w:p w14:paraId="671D70FC">
      <w:pPr>
        <w:bidi w:val="0"/>
        <w:rPr>
          <w:rFonts w:hint="eastAsia"/>
        </w:rPr>
      </w:pPr>
    </w:p>
    <w:p w14:paraId="678E159C">
      <w:pPr>
        <w:bidi w:val="0"/>
        <w:rPr>
          <w:rFonts w:hint="eastAsia"/>
        </w:rPr>
      </w:pPr>
    </w:p>
    <w:bookmarkEnd w:id="250"/>
    <w:bookmarkEnd w:id="251"/>
    <w:p w14:paraId="61DB1FA1">
      <w:pPr>
        <w:bidi w:val="0"/>
        <w:rPr>
          <w:rFonts w:hint="eastAsia"/>
        </w:rPr>
      </w:pPr>
    </w:p>
    <w:p w14:paraId="2150171E">
      <w:pPr>
        <w:pStyle w:val="2"/>
        <w:rPr>
          <w:rFonts w:hint="eastAsia"/>
        </w:rPr>
      </w:pPr>
    </w:p>
    <w:p w14:paraId="4BB6DF24">
      <w:pPr>
        <w:pStyle w:val="3"/>
        <w:rPr>
          <w:rFonts w:hint="eastAsia"/>
        </w:rPr>
      </w:pPr>
    </w:p>
    <w:p w14:paraId="25F7BE53">
      <w:pPr>
        <w:rPr>
          <w:rFonts w:hint="eastAsia"/>
        </w:rPr>
      </w:pPr>
    </w:p>
    <w:p w14:paraId="6ADFA388">
      <w:pPr>
        <w:pStyle w:val="13"/>
        <w:spacing w:line="360" w:lineRule="auto"/>
        <w:jc w:val="center"/>
        <w:rPr>
          <w:rFonts w:hint="eastAsia" w:ascii="宋体" w:hAnsi="宋体" w:eastAsia="宋体" w:cs="宋体"/>
          <w:b/>
          <w:color w:val="auto"/>
          <w:sz w:val="32"/>
          <w:highlight w:val="none"/>
        </w:rPr>
      </w:pPr>
    </w:p>
    <w:p w14:paraId="48E66CAE">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供应商参加政府采购活动承诺书</w:t>
      </w:r>
    </w:p>
    <w:p w14:paraId="02C36FD3">
      <w:pPr>
        <w:pStyle w:val="13"/>
        <w:spacing w:line="360" w:lineRule="auto"/>
        <w:jc w:val="center"/>
        <w:rPr>
          <w:rFonts w:hint="eastAsia" w:ascii="宋体" w:hAnsi="宋体" w:eastAsia="宋体" w:cs="宋体"/>
          <w:b/>
          <w:color w:val="auto"/>
          <w:sz w:val="32"/>
          <w:highlight w:val="none"/>
        </w:rPr>
      </w:pPr>
    </w:p>
    <w:p w14:paraId="5AE71F56">
      <w:pPr>
        <w:pStyle w:val="13"/>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陕西省政府采购供应商拒绝政府采购领域商业贿赂承诺书</w:t>
      </w:r>
    </w:p>
    <w:p w14:paraId="19E5C84A">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为响应党中央、国务院关于治理政府采购领域商业贿赂行为的号召，我公司在此庄严承诺：</w:t>
      </w:r>
    </w:p>
    <w:p w14:paraId="103450E5">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1、在参与政府采购活动中遵纪守法、诚信经营、公平竞标。</w:t>
      </w:r>
    </w:p>
    <w:p w14:paraId="5D42DBD7">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2、不向政府采购单位、采购代理机构和政府采购评审专家进行任何形式的商业贿赂以谋取交易机会。</w:t>
      </w:r>
    </w:p>
    <w:p w14:paraId="30FC838E">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3、不向政府采购代理机构和采购单位提供虚假资质文件或采用虚假应标方式参与政府采购市场竞争并谋取中标。</w:t>
      </w:r>
    </w:p>
    <w:p w14:paraId="364DD617">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4、不采取“围标、陪标”等商业欺诈手段获得政府采购订单。</w:t>
      </w:r>
    </w:p>
    <w:p w14:paraId="5DD8E3A6">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5、不采取不正当手段诋毁、排挤其他供应商。</w:t>
      </w:r>
    </w:p>
    <w:p w14:paraId="1036C8C1">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6、不在提供商品和服务时“偷梁换柱、以次充好”损害采购单位的合法权益。</w:t>
      </w:r>
    </w:p>
    <w:p w14:paraId="7565C71C">
      <w:pPr>
        <w:spacing w:line="360" w:lineRule="auto"/>
        <w:ind w:left="239"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7、不与采购单位、采购代理机构政府采购评审专家或其它供应商恶意串通，进行质疑和投诉，维护政府采购市场秩序。</w:t>
      </w:r>
    </w:p>
    <w:p w14:paraId="616F4EA1">
      <w:pPr>
        <w:spacing w:line="360" w:lineRule="auto"/>
        <w:ind w:left="239"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8、尊重和接受政府采购监督管理部门的监督和政府采购代理机构的采购要求，承担因违约行为给采购单位造成的损失。</w:t>
      </w:r>
    </w:p>
    <w:p w14:paraId="1D3B180F">
      <w:pPr>
        <w:spacing w:line="360" w:lineRule="auto"/>
        <w:ind w:left="239"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9、不发生其它有悖于政府采购公开、公平、公正和诚信原则的行为。</w:t>
      </w:r>
    </w:p>
    <w:p w14:paraId="5AA67BD1">
      <w:pPr>
        <w:pStyle w:val="3"/>
        <w:spacing w:line="360" w:lineRule="auto"/>
        <w:rPr>
          <w:rFonts w:hint="eastAsia" w:ascii="宋体" w:hAnsi="宋体" w:eastAsia="宋体" w:cs="宋体"/>
          <w:color w:val="auto"/>
          <w:sz w:val="24"/>
          <w:szCs w:val="28"/>
          <w:highlight w:val="none"/>
        </w:rPr>
      </w:pP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14:paraId="55F6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2987EB79">
            <w:pPr>
              <w:spacing w:line="360" w:lineRule="auto"/>
              <w:rPr>
                <w:rFonts w:hint="eastAsia" w:ascii="宋体" w:hAnsi="宋体" w:eastAsia="宋体" w:cs="宋体"/>
                <w:color w:val="auto"/>
                <w:sz w:val="24"/>
                <w:highlight w:val="none"/>
              </w:rPr>
            </w:pPr>
            <w:bookmarkStart w:id="279" w:name="_Toc28137"/>
            <w:bookmarkStart w:id="280" w:name="_Toc10107"/>
            <w:r>
              <w:rPr>
                <w:rFonts w:hint="eastAsia" w:ascii="宋体" w:hAnsi="宋体" w:eastAsia="宋体" w:cs="宋体"/>
                <w:color w:val="auto"/>
                <w:sz w:val="24"/>
                <w:highlight w:val="none"/>
              </w:rPr>
              <w:t>供应商名称（公章）：</w:t>
            </w:r>
          </w:p>
          <w:p w14:paraId="7C436D9D">
            <w:pPr>
              <w:spacing w:line="360" w:lineRule="auto"/>
              <w:rPr>
                <w:rFonts w:hint="eastAsia" w:ascii="宋体" w:hAnsi="宋体" w:eastAsia="宋体" w:cs="宋体"/>
                <w:color w:val="auto"/>
                <w:sz w:val="24"/>
                <w:highlight w:val="none"/>
                <w:vertAlign w:val="baseline"/>
              </w:rPr>
            </w:pPr>
          </w:p>
        </w:tc>
      </w:tr>
      <w:tr w14:paraId="5210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2A03DF09">
            <w:pPr>
              <w:spacing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法定代表人或授权代表签字或盖章：</w:t>
            </w:r>
          </w:p>
        </w:tc>
      </w:tr>
      <w:tr w14:paraId="0D85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13360DB1">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BC9150B">
            <w:pPr>
              <w:spacing w:line="360" w:lineRule="auto"/>
              <w:rPr>
                <w:rFonts w:hint="eastAsia" w:ascii="宋体" w:hAnsi="宋体" w:eastAsia="宋体" w:cs="宋体"/>
                <w:color w:val="auto"/>
                <w:sz w:val="24"/>
                <w:highlight w:val="none"/>
                <w:vertAlign w:val="baseline"/>
              </w:rPr>
            </w:pPr>
          </w:p>
        </w:tc>
      </w:tr>
    </w:tbl>
    <w:p w14:paraId="5C0AED3D">
      <w:pPr>
        <w:pStyle w:val="5"/>
        <w:adjustRightInd w:val="0"/>
        <w:spacing w:line="360" w:lineRule="auto"/>
        <w:textAlignment w:val="baseline"/>
        <w:rPr>
          <w:rFonts w:hint="eastAsia" w:ascii="宋体" w:hAnsi="宋体" w:eastAsia="宋体" w:cs="宋体"/>
          <w:color w:val="auto"/>
          <w:highlight w:val="none"/>
        </w:rPr>
        <w:sectPr>
          <w:pgSz w:w="11906" w:h="16838"/>
          <w:pgMar w:top="1440" w:right="1644" w:bottom="1219" w:left="1644" w:header="850" w:footer="992" w:gutter="0"/>
          <w:pgNumType w:fmt="decimal"/>
          <w:cols w:space="720" w:num="1"/>
          <w:titlePg/>
          <w:docGrid w:linePitch="312" w:charSpace="0"/>
        </w:sectPr>
      </w:pPr>
    </w:p>
    <w:bookmarkEnd w:id="219"/>
    <w:bookmarkEnd w:id="220"/>
    <w:bookmarkEnd w:id="221"/>
    <w:bookmarkEnd w:id="222"/>
    <w:bookmarkEnd w:id="223"/>
    <w:bookmarkEnd w:id="224"/>
    <w:bookmarkEnd w:id="225"/>
    <w:bookmarkEnd w:id="226"/>
    <w:bookmarkEnd w:id="232"/>
    <w:bookmarkEnd w:id="233"/>
    <w:bookmarkEnd w:id="234"/>
    <w:bookmarkEnd w:id="235"/>
    <w:bookmarkEnd w:id="236"/>
    <w:bookmarkEnd w:id="237"/>
    <w:bookmarkEnd w:id="238"/>
    <w:bookmarkEnd w:id="239"/>
    <w:bookmarkEnd w:id="240"/>
    <w:bookmarkEnd w:id="279"/>
    <w:bookmarkEnd w:id="280"/>
    <w:p w14:paraId="339995CA">
      <w:pPr>
        <w:pStyle w:val="7"/>
        <w:spacing w:line="360" w:lineRule="auto"/>
        <w:rPr>
          <w:rFonts w:hint="eastAsia" w:ascii="宋体" w:hAnsi="宋体" w:eastAsia="宋体" w:cs="宋体"/>
          <w:color w:val="auto"/>
          <w:kern w:val="2"/>
          <w:sz w:val="24"/>
          <w:szCs w:val="24"/>
          <w:highlight w:val="none"/>
        </w:rPr>
      </w:pPr>
      <w:bookmarkStart w:id="281" w:name="_Toc3572"/>
      <w:bookmarkStart w:id="282" w:name="_Toc7085738"/>
      <w:bookmarkStart w:id="283" w:name="_Toc2753"/>
      <w:bookmarkStart w:id="284" w:name="_Toc29433"/>
      <w:bookmarkStart w:id="285" w:name="_Toc9706"/>
      <w:bookmarkStart w:id="286" w:name="_Toc8351"/>
      <w:r>
        <w:rPr>
          <w:rFonts w:hint="eastAsia" w:ascii="宋体" w:hAnsi="宋体" w:eastAsia="宋体" w:cs="宋体"/>
          <w:color w:val="auto"/>
          <w:kern w:val="2"/>
          <w:sz w:val="24"/>
          <w:szCs w:val="24"/>
          <w:highlight w:val="none"/>
          <w:lang w:val="en-US" w:eastAsia="zh-CN"/>
        </w:rPr>
        <w:t>3.供应商</w:t>
      </w:r>
      <w:r>
        <w:rPr>
          <w:rFonts w:hint="eastAsia" w:ascii="宋体" w:hAnsi="宋体" w:eastAsia="宋体" w:cs="宋体"/>
          <w:color w:val="auto"/>
          <w:kern w:val="2"/>
          <w:sz w:val="24"/>
          <w:szCs w:val="24"/>
          <w:highlight w:val="none"/>
        </w:rPr>
        <w:t>满足政府采购相关优惠政策的声明或证明材料</w:t>
      </w:r>
      <w:bookmarkEnd w:id="281"/>
      <w:bookmarkEnd w:id="282"/>
      <w:bookmarkEnd w:id="283"/>
    </w:p>
    <w:p w14:paraId="20CA2B71">
      <w:pPr>
        <w:numPr>
          <w:ilvl w:val="0"/>
          <w:numId w:val="0"/>
        </w:numPr>
        <w:rPr>
          <w:rFonts w:hint="eastAsia"/>
        </w:rPr>
      </w:pPr>
    </w:p>
    <w:p w14:paraId="25A4DE49">
      <w:pPr>
        <w:spacing w:line="360" w:lineRule="auto"/>
        <w:ind w:firstLine="429"/>
        <w:rPr>
          <w:rFonts w:hint="eastAsia" w:ascii="宋体" w:hAnsi="宋体" w:eastAsia="宋体" w:cs="宋体"/>
          <w:b/>
          <w:bCs/>
          <w:color w:val="auto"/>
          <w:kern w:val="0"/>
          <w:sz w:val="24"/>
          <w:szCs w:val="24"/>
          <w:highlight w:val="none"/>
          <w:u w:val="single"/>
        </w:rPr>
      </w:pPr>
      <w:r>
        <w:rPr>
          <w:rFonts w:hint="eastAsia" w:ascii="宋体" w:hAnsi="宋体" w:eastAsia="宋体" w:cs="宋体"/>
          <w:color w:val="auto"/>
          <w:sz w:val="24"/>
          <w:szCs w:val="24"/>
          <w:highlight w:val="none"/>
        </w:rPr>
        <w:t>凡满足政府采购相关优惠政策的供应商自行根据相关政策规定提供声明和证明材料，如供应商不符合要求</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无需提供</w:t>
      </w:r>
      <w:r>
        <w:rPr>
          <w:rFonts w:hint="eastAsia" w:ascii="宋体" w:hAnsi="宋体" w:eastAsia="宋体" w:cs="宋体"/>
          <w:color w:val="auto"/>
          <w:sz w:val="24"/>
          <w:szCs w:val="24"/>
          <w:highlight w:val="none"/>
          <w:lang w:val="en-US" w:eastAsia="zh-CN"/>
        </w:rPr>
        <w:t>本声明</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u w:val="single"/>
        </w:rPr>
        <w:t>供应商提供虚假资料或不实资料谋取中标/成交的，按照失信行为处理。</w:t>
      </w:r>
    </w:p>
    <w:p w14:paraId="39A3C6DD">
      <w:pPr>
        <w:tabs>
          <w:tab w:val="left" w:pos="5670"/>
        </w:tabs>
        <w:spacing w:line="360" w:lineRule="auto"/>
        <w:ind w:firstLine="480" w:firstLineChars="200"/>
        <w:rPr>
          <w:rFonts w:hint="eastAsia" w:ascii="宋体" w:hAnsi="宋体" w:eastAsia="宋体" w:cs="宋体"/>
          <w:color w:val="auto"/>
          <w:sz w:val="24"/>
          <w:szCs w:val="24"/>
          <w:highlight w:val="none"/>
        </w:rPr>
      </w:pPr>
    </w:p>
    <w:p w14:paraId="3A6A4550">
      <w:pPr>
        <w:widowControl/>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C73C0F">
      <w:pPr>
        <w:ind w:firstLine="442" w:firstLineChars="200"/>
        <w:jc w:val="both"/>
      </w:pPr>
      <w:r>
        <w:rPr>
          <w:rFonts w:hint="eastAsia" w:ascii="Calibri" w:hAnsi="宋体" w:eastAsia="宋体" w:cstheme="minorHAnsi"/>
          <w:b/>
          <w:color w:val="FF0000"/>
          <w:sz w:val="22"/>
        </w:rPr>
        <w:t>特别提醒</w:t>
      </w:r>
      <w:r>
        <w:rPr>
          <w:rFonts w:ascii="Calibri" w:hAnsi="宋体" w:eastAsia="宋体" w:cstheme="minorHAnsi"/>
          <w:b/>
          <w:color w:val="FF0000"/>
          <w:sz w:val="22"/>
        </w:rPr>
        <w:t>：</w:t>
      </w:r>
      <w:r>
        <w:rPr>
          <w:rFonts w:ascii="Calibri" w:hAnsi="宋体" w:eastAsia="宋体" w:cstheme="minorHAnsi"/>
          <w:color w:val="C00000"/>
          <w:sz w:val="21"/>
        </w:rPr>
        <w:t>本部分为采购文件制式格式，</w:t>
      </w:r>
      <w:r>
        <w:rPr>
          <w:rFonts w:hint="eastAsia" w:ascii="Calibri" w:hAnsi="宋体" w:eastAsia="宋体" w:cstheme="minorHAnsi"/>
          <w:color w:val="C00000"/>
          <w:sz w:val="21"/>
        </w:rPr>
        <w:t>根据</w:t>
      </w:r>
      <w:r>
        <w:rPr>
          <w:rFonts w:ascii="Calibri" w:hAnsi="宋体" w:eastAsia="宋体" w:cstheme="minorHAnsi"/>
          <w:color w:val="C00000"/>
          <w:sz w:val="21"/>
        </w:rPr>
        <w:t>工信部答复，律师事务所是根据《</w:t>
      </w:r>
      <w:r>
        <w:rPr>
          <w:rFonts w:hint="eastAsia" w:ascii="Calibri" w:hAnsi="宋体" w:eastAsia="宋体" w:cstheme="minorHAnsi"/>
          <w:color w:val="C00000"/>
          <w:sz w:val="21"/>
        </w:rPr>
        <w:t>律师事务所</w:t>
      </w:r>
      <w:r>
        <w:rPr>
          <w:rFonts w:ascii="Calibri" w:hAnsi="宋体" w:eastAsia="宋体" w:cstheme="minorHAnsi"/>
          <w:color w:val="C00000"/>
          <w:sz w:val="21"/>
        </w:rPr>
        <w:t>管理</w:t>
      </w:r>
      <w:r>
        <w:rPr>
          <w:rFonts w:hint="eastAsia" w:ascii="Calibri" w:hAnsi="宋体" w:eastAsia="宋体" w:cstheme="minorHAnsi"/>
          <w:color w:val="C00000"/>
          <w:sz w:val="21"/>
        </w:rPr>
        <w:t>办法</w:t>
      </w:r>
      <w:r>
        <w:rPr>
          <w:rFonts w:ascii="Calibri" w:hAnsi="宋体" w:eastAsia="宋体" w:cstheme="minorHAnsi"/>
          <w:color w:val="C00000"/>
          <w:sz w:val="21"/>
        </w:rPr>
        <w:t>》</w:t>
      </w:r>
      <w:r>
        <w:rPr>
          <w:rFonts w:hint="eastAsia" w:ascii="Calibri" w:hAnsi="宋体" w:eastAsia="宋体" w:cstheme="minorHAnsi"/>
          <w:color w:val="C00000"/>
          <w:sz w:val="21"/>
        </w:rPr>
        <w:t>设立的</w:t>
      </w:r>
      <w:r>
        <w:rPr>
          <w:rFonts w:ascii="Calibri" w:hAnsi="宋体" w:eastAsia="宋体" w:cstheme="minorHAnsi"/>
          <w:color w:val="C00000"/>
          <w:sz w:val="21"/>
        </w:rPr>
        <w:t>非企业，不适用《</w:t>
      </w:r>
      <w:r>
        <w:rPr>
          <w:rFonts w:hint="eastAsia" w:ascii="Calibri" w:hAnsi="宋体" w:eastAsia="宋体" w:cstheme="minorHAnsi"/>
          <w:color w:val="C00000"/>
          <w:sz w:val="21"/>
        </w:rPr>
        <w:t>中小企业</w:t>
      </w:r>
      <w:r>
        <w:rPr>
          <w:rFonts w:ascii="Calibri" w:hAnsi="宋体" w:eastAsia="宋体" w:cstheme="minorHAnsi"/>
          <w:color w:val="C00000"/>
          <w:sz w:val="21"/>
        </w:rPr>
        <w:t>化型标准规定》。</w:t>
      </w:r>
    </w:p>
    <w:p w14:paraId="39466A7F">
      <w:pPr>
        <w:widowControl/>
        <w:spacing w:line="500" w:lineRule="exact"/>
        <w:jc w:val="both"/>
        <w:rPr>
          <w:rFonts w:hint="eastAsia" w:ascii="宋体" w:hAnsi="宋体" w:eastAsia="宋体" w:cs="宋体"/>
          <w:color w:val="auto"/>
          <w:sz w:val="24"/>
          <w:szCs w:val="24"/>
          <w:highlight w:val="none"/>
        </w:rPr>
      </w:pPr>
    </w:p>
    <w:p w14:paraId="5C1EC7F0">
      <w:pPr>
        <w:widowControl/>
        <w:spacing w:line="5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中小企业声明函（工程、服务）</w:t>
      </w:r>
    </w:p>
    <w:p w14:paraId="53ACD9E2">
      <w:pPr>
        <w:widowControl/>
        <w:spacing w:line="500" w:lineRule="exact"/>
        <w:jc w:val="center"/>
        <w:rPr>
          <w:rFonts w:hint="eastAsia" w:ascii="宋体" w:hAnsi="宋体" w:eastAsia="宋体" w:cs="宋体"/>
          <w:b/>
          <w:color w:val="auto"/>
          <w:kern w:val="0"/>
          <w:sz w:val="24"/>
          <w:szCs w:val="24"/>
          <w:highlight w:val="none"/>
        </w:rPr>
      </w:pPr>
    </w:p>
    <w:p w14:paraId="4D1B87B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lang w:bidi="ar"/>
        </w:rPr>
        <w:t>（项目名称）</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eastAsia="zh-CN" w:bidi="ar"/>
        </w:rPr>
        <w:t>实施</w:t>
      </w:r>
      <w:r>
        <w:rPr>
          <w:rFonts w:hint="eastAsia" w:ascii="宋体" w:hAnsi="宋体" w:eastAsia="宋体" w:cs="宋体"/>
          <w:color w:val="auto"/>
          <w:kern w:val="0"/>
          <w:sz w:val="24"/>
          <w:szCs w:val="24"/>
          <w:highlight w:val="none"/>
          <w:lang w:bidi="ar"/>
        </w:rPr>
        <w:t>单位全部为符合政策要求的中小企业（或者：服务全部由符合政策要求的中小企业承接）。相关企业（含联合体中的中小企业、签订分包意向协议的中小企业）的具体情况如下：</w:t>
      </w:r>
    </w:p>
    <w:p w14:paraId="62CA457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u w:val="single"/>
          <w:lang w:bidi="ar"/>
        </w:rPr>
        <w:t xml:space="preserve"> （标的名称）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32A0A3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u w:val="single"/>
          <w:lang w:bidi="ar"/>
        </w:rPr>
        <w:t xml:space="preserve"> （标的名称）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3D83D3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14:paraId="7663655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6BF9D02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14:paraId="29ABEEE6">
      <w:pPr>
        <w:widowControl/>
        <w:spacing w:line="360" w:lineRule="auto"/>
        <w:jc w:val="left"/>
        <w:rPr>
          <w:rFonts w:hint="eastAsia" w:ascii="宋体" w:hAnsi="宋体" w:eastAsia="宋体" w:cs="宋体"/>
          <w:color w:val="auto"/>
          <w:kern w:val="0"/>
          <w:sz w:val="24"/>
          <w:szCs w:val="24"/>
          <w:highlight w:val="none"/>
          <w:lang w:bidi="ar"/>
        </w:rPr>
      </w:pPr>
    </w:p>
    <w:p w14:paraId="53ADD80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企业名称（盖章）： </w:t>
      </w:r>
    </w:p>
    <w:p w14:paraId="3B51C11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日   期：</w:t>
      </w:r>
    </w:p>
    <w:p w14:paraId="5306E759">
      <w:pPr>
        <w:ind w:firstLine="420" w:firstLineChars="200"/>
        <w:jc w:val="both"/>
      </w:pPr>
    </w:p>
    <w:p w14:paraId="46E92AC7">
      <w:pPr>
        <w:tabs>
          <w:tab w:val="left" w:pos="5670"/>
        </w:tabs>
        <w:spacing w:line="360" w:lineRule="auto"/>
        <w:ind w:firstLine="482" w:firstLineChars="200"/>
        <w:rPr>
          <w:rFonts w:hint="eastAsia" w:ascii="宋体" w:hAnsi="宋体" w:eastAsia="宋体" w:cs="宋体"/>
          <w:b/>
          <w:bCs/>
          <w:color w:val="auto"/>
          <w:sz w:val="24"/>
          <w:szCs w:val="24"/>
          <w:highlight w:val="none"/>
        </w:rPr>
      </w:pPr>
    </w:p>
    <w:p w14:paraId="236C42F6">
      <w:pPr>
        <w:tabs>
          <w:tab w:val="left" w:pos="567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非</w:t>
      </w:r>
      <w:r>
        <w:rPr>
          <w:rFonts w:hint="eastAsia" w:ascii="宋体" w:hAnsi="宋体" w:eastAsia="宋体" w:cs="宋体"/>
          <w:b/>
          <w:bCs/>
          <w:color w:val="auto"/>
          <w:sz w:val="24"/>
          <w:szCs w:val="24"/>
          <w:highlight w:val="none"/>
          <w:lang w:val="en-US" w:eastAsia="zh-CN"/>
        </w:rPr>
        <w:t>中型/</w:t>
      </w:r>
      <w:r>
        <w:rPr>
          <w:rFonts w:hint="eastAsia" w:ascii="宋体" w:hAnsi="宋体" w:eastAsia="宋体" w:cs="宋体"/>
          <w:b/>
          <w:bCs/>
          <w:color w:val="auto"/>
          <w:sz w:val="24"/>
          <w:szCs w:val="24"/>
          <w:highlight w:val="none"/>
        </w:rPr>
        <w:t>小型/微型企业无需出具此函。</w:t>
      </w:r>
    </w:p>
    <w:p w14:paraId="254193E1">
      <w:pPr>
        <w:pStyle w:val="18"/>
        <w:spacing w:beforeAutospacing="0" w:afterAutospacing="0" w:line="360" w:lineRule="auto"/>
        <w:ind w:firstLine="420"/>
        <w:rPr>
          <w:rFonts w:hint="eastAsia" w:ascii="宋体" w:hAnsi="宋体" w:eastAsia="宋体" w:cs="宋体"/>
          <w:color w:val="auto"/>
          <w:szCs w:val="24"/>
          <w:highlight w:val="none"/>
        </w:rPr>
        <w:sectPr>
          <w:pgSz w:w="11906" w:h="16838"/>
          <w:pgMar w:top="1440" w:right="1644" w:bottom="1219" w:left="1644" w:header="850" w:footer="992" w:gutter="0"/>
          <w:pgNumType w:fmt="decimal"/>
          <w:cols w:space="720" w:num="1"/>
          <w:titlePg/>
          <w:docGrid w:linePitch="312" w:charSpace="0"/>
        </w:sectPr>
      </w:pPr>
    </w:p>
    <w:p w14:paraId="215322B3">
      <w:pPr>
        <w:tabs>
          <w:tab w:val="left" w:pos="5670"/>
        </w:tabs>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残疾人福利性单位声明函格式</w:t>
      </w:r>
    </w:p>
    <w:p w14:paraId="6614626B">
      <w:pPr>
        <w:spacing w:line="360" w:lineRule="auto"/>
        <w:jc w:val="center"/>
        <w:rPr>
          <w:rFonts w:hint="eastAsia" w:ascii="宋体" w:hAnsi="宋体" w:eastAsia="宋体" w:cs="宋体"/>
          <w:b/>
          <w:color w:val="auto"/>
          <w:sz w:val="24"/>
          <w:szCs w:val="24"/>
          <w:highlight w:val="none"/>
        </w:rPr>
      </w:pPr>
    </w:p>
    <w:p w14:paraId="5441D5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14:paraId="6E4B5C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0BBFE24">
      <w:pPr>
        <w:spacing w:line="360" w:lineRule="auto"/>
        <w:ind w:firstLine="480" w:firstLineChars="200"/>
        <w:rPr>
          <w:rFonts w:hint="eastAsia" w:ascii="宋体" w:hAnsi="宋体" w:eastAsia="宋体" w:cs="宋体"/>
          <w:color w:val="auto"/>
          <w:sz w:val="24"/>
          <w:szCs w:val="24"/>
          <w:highlight w:val="none"/>
        </w:rPr>
      </w:pPr>
    </w:p>
    <w:p w14:paraId="323BC7E5">
      <w:pPr>
        <w:tabs>
          <w:tab w:val="left" w:pos="567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417FA6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7B65B951">
      <w:pPr>
        <w:tabs>
          <w:tab w:val="left" w:pos="567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59913E6A">
      <w:pPr>
        <w:tabs>
          <w:tab w:val="left" w:pos="5670"/>
        </w:tabs>
        <w:spacing w:line="360" w:lineRule="auto"/>
        <w:ind w:firstLine="480" w:firstLineChars="200"/>
        <w:rPr>
          <w:rFonts w:hint="eastAsia" w:ascii="宋体" w:hAnsi="宋体" w:eastAsia="宋体" w:cs="宋体"/>
          <w:color w:val="auto"/>
          <w:sz w:val="24"/>
          <w:szCs w:val="24"/>
          <w:highlight w:val="none"/>
        </w:rPr>
      </w:pPr>
    </w:p>
    <w:p w14:paraId="43C6C78F">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14:paraId="25DDFA65">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22007AEE">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6162E0AD">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51EFA4DD">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2ACB6313">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62DA51DA">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06D32F1E">
      <w:pPr>
        <w:tabs>
          <w:tab w:val="left" w:pos="5670"/>
        </w:tabs>
        <w:spacing w:line="360" w:lineRule="auto"/>
        <w:ind w:firstLine="5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FFA4AC">
      <w:pPr>
        <w:tabs>
          <w:tab w:val="left" w:pos="567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14:paraId="06386EFB">
      <w:pPr>
        <w:tabs>
          <w:tab w:val="left" w:pos="567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非残疾人福利性单位无需出具此函。</w:t>
      </w:r>
    </w:p>
    <w:p w14:paraId="1D771EFA">
      <w:pPr>
        <w:tabs>
          <w:tab w:val="left" w:pos="5670"/>
        </w:tabs>
        <w:spacing w:line="360" w:lineRule="auto"/>
        <w:ind w:firstLine="3300" w:firstLineChars="1100"/>
        <w:jc w:val="left"/>
        <w:rPr>
          <w:rFonts w:hint="eastAsia" w:ascii="宋体" w:hAnsi="宋体" w:eastAsia="宋体" w:cs="宋体"/>
          <w:color w:val="auto"/>
          <w:sz w:val="30"/>
          <w:szCs w:val="30"/>
          <w:highlight w:val="none"/>
        </w:rPr>
        <w:sectPr>
          <w:pgSz w:w="11906" w:h="16838"/>
          <w:pgMar w:top="1440" w:right="1644" w:bottom="1219" w:left="1644" w:header="850" w:footer="992" w:gutter="0"/>
          <w:pgNumType w:fmt="decimal"/>
          <w:cols w:space="720" w:num="1"/>
          <w:titlePg/>
          <w:docGrid w:linePitch="312" w:charSpace="0"/>
        </w:sectPr>
      </w:pPr>
    </w:p>
    <w:p w14:paraId="134DC18A">
      <w:pPr>
        <w:tabs>
          <w:tab w:val="left" w:pos="5670"/>
        </w:tabs>
        <w:spacing w:line="360" w:lineRule="auto"/>
        <w:ind w:firstLine="3300" w:firstLineChars="11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监狱企业证明函</w:t>
      </w:r>
    </w:p>
    <w:p w14:paraId="3DAA4A7B">
      <w:pPr>
        <w:spacing w:line="360" w:lineRule="auto"/>
        <w:jc w:val="center"/>
        <w:rPr>
          <w:rFonts w:hint="eastAsia" w:ascii="宋体" w:hAnsi="宋体" w:eastAsia="宋体" w:cs="宋体"/>
          <w:b/>
          <w:color w:val="auto"/>
          <w:sz w:val="30"/>
          <w:szCs w:val="30"/>
          <w:highlight w:val="none"/>
        </w:rPr>
      </w:pPr>
    </w:p>
    <w:p w14:paraId="564D63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2E7DD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44467F7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非监狱企业无需出具此函</w:t>
      </w:r>
    </w:p>
    <w:p w14:paraId="1F470C59">
      <w:pPr>
        <w:pStyle w:val="2"/>
        <w:rPr>
          <w:rFonts w:hint="eastAsia" w:ascii="宋体" w:hAnsi="宋体" w:eastAsia="宋体" w:cs="宋体"/>
          <w:b/>
          <w:bCs/>
          <w:color w:val="auto"/>
          <w:sz w:val="24"/>
          <w:szCs w:val="24"/>
          <w:highlight w:val="none"/>
        </w:rPr>
      </w:pPr>
    </w:p>
    <w:p w14:paraId="1A43A993">
      <w:pPr>
        <w:pStyle w:val="3"/>
        <w:rPr>
          <w:rFonts w:hint="eastAsia" w:ascii="宋体" w:hAnsi="宋体" w:eastAsia="宋体" w:cs="宋体"/>
          <w:b/>
          <w:bCs/>
          <w:color w:val="auto"/>
          <w:sz w:val="24"/>
          <w:szCs w:val="24"/>
          <w:highlight w:val="none"/>
        </w:rPr>
      </w:pPr>
    </w:p>
    <w:p w14:paraId="5DF207F1">
      <w:pPr>
        <w:rPr>
          <w:rFonts w:hint="eastAsia" w:ascii="宋体" w:hAnsi="宋体" w:eastAsia="宋体" w:cs="宋体"/>
          <w:b/>
          <w:bCs/>
          <w:color w:val="auto"/>
          <w:sz w:val="24"/>
          <w:szCs w:val="24"/>
          <w:highlight w:val="none"/>
        </w:rPr>
      </w:pPr>
    </w:p>
    <w:p w14:paraId="5E844052">
      <w:pPr>
        <w:pStyle w:val="2"/>
        <w:rPr>
          <w:rFonts w:hint="eastAsia" w:ascii="宋体" w:hAnsi="宋体" w:eastAsia="宋体" w:cs="宋体"/>
          <w:b/>
          <w:bCs/>
          <w:color w:val="auto"/>
          <w:sz w:val="24"/>
          <w:szCs w:val="24"/>
          <w:highlight w:val="none"/>
        </w:rPr>
      </w:pPr>
    </w:p>
    <w:p w14:paraId="759E93F0">
      <w:pPr>
        <w:pStyle w:val="3"/>
        <w:rPr>
          <w:rFonts w:hint="eastAsia" w:ascii="宋体" w:hAnsi="宋体" w:eastAsia="宋体" w:cs="宋体"/>
          <w:b/>
          <w:bCs/>
          <w:color w:val="auto"/>
          <w:sz w:val="24"/>
          <w:szCs w:val="24"/>
          <w:highlight w:val="none"/>
        </w:rPr>
      </w:pPr>
    </w:p>
    <w:p w14:paraId="61F5070D">
      <w:pPr>
        <w:rPr>
          <w:rFonts w:hint="eastAsia" w:ascii="宋体" w:hAnsi="宋体" w:eastAsia="宋体" w:cs="宋体"/>
          <w:b/>
          <w:bCs/>
          <w:color w:val="auto"/>
          <w:sz w:val="24"/>
          <w:szCs w:val="24"/>
          <w:highlight w:val="none"/>
        </w:rPr>
      </w:pPr>
    </w:p>
    <w:p w14:paraId="0C9A9908">
      <w:pPr>
        <w:pStyle w:val="2"/>
        <w:rPr>
          <w:rFonts w:hint="eastAsia" w:ascii="宋体" w:hAnsi="宋体" w:eastAsia="宋体" w:cs="宋体"/>
          <w:b/>
          <w:bCs/>
          <w:color w:val="auto"/>
          <w:sz w:val="24"/>
          <w:szCs w:val="24"/>
          <w:highlight w:val="none"/>
        </w:rPr>
      </w:pPr>
    </w:p>
    <w:p w14:paraId="49BCD6C0">
      <w:pPr>
        <w:pStyle w:val="3"/>
        <w:rPr>
          <w:rFonts w:hint="eastAsia" w:ascii="宋体" w:hAnsi="宋体" w:eastAsia="宋体" w:cs="宋体"/>
          <w:b/>
          <w:bCs/>
          <w:color w:val="auto"/>
          <w:sz w:val="24"/>
          <w:szCs w:val="24"/>
          <w:highlight w:val="none"/>
        </w:rPr>
      </w:pPr>
    </w:p>
    <w:p w14:paraId="5A9AD479">
      <w:pPr>
        <w:rPr>
          <w:rFonts w:hint="eastAsia" w:ascii="宋体" w:hAnsi="宋体" w:eastAsia="宋体" w:cs="宋体"/>
          <w:b/>
          <w:bCs/>
          <w:color w:val="auto"/>
          <w:sz w:val="24"/>
          <w:szCs w:val="24"/>
          <w:highlight w:val="none"/>
        </w:rPr>
      </w:pPr>
    </w:p>
    <w:p w14:paraId="118C5378">
      <w:pPr>
        <w:pStyle w:val="2"/>
        <w:rPr>
          <w:rFonts w:hint="eastAsia" w:ascii="宋体" w:hAnsi="宋体" w:eastAsia="宋体" w:cs="宋体"/>
          <w:b/>
          <w:bCs/>
          <w:color w:val="auto"/>
          <w:sz w:val="24"/>
          <w:szCs w:val="24"/>
          <w:highlight w:val="none"/>
        </w:rPr>
      </w:pPr>
    </w:p>
    <w:p w14:paraId="24BFD3A3">
      <w:pPr>
        <w:pStyle w:val="3"/>
        <w:rPr>
          <w:rFonts w:hint="eastAsia" w:ascii="宋体" w:hAnsi="宋体" w:eastAsia="宋体" w:cs="宋体"/>
          <w:b/>
          <w:bCs/>
          <w:color w:val="auto"/>
          <w:sz w:val="24"/>
          <w:szCs w:val="24"/>
          <w:highlight w:val="none"/>
        </w:rPr>
      </w:pPr>
    </w:p>
    <w:p w14:paraId="32FD807C">
      <w:pPr>
        <w:rPr>
          <w:rFonts w:hint="eastAsia" w:ascii="宋体" w:hAnsi="宋体" w:eastAsia="宋体" w:cs="宋体"/>
          <w:b/>
          <w:bCs/>
          <w:color w:val="auto"/>
          <w:sz w:val="24"/>
          <w:szCs w:val="24"/>
          <w:highlight w:val="none"/>
        </w:rPr>
      </w:pPr>
    </w:p>
    <w:p w14:paraId="7E2CC884">
      <w:pPr>
        <w:pStyle w:val="2"/>
        <w:rPr>
          <w:rFonts w:hint="eastAsia" w:ascii="宋体" w:hAnsi="宋体" w:eastAsia="宋体" w:cs="宋体"/>
          <w:b/>
          <w:bCs/>
          <w:color w:val="auto"/>
          <w:sz w:val="24"/>
          <w:szCs w:val="24"/>
          <w:highlight w:val="none"/>
        </w:rPr>
      </w:pPr>
    </w:p>
    <w:p w14:paraId="173F41D2">
      <w:pPr>
        <w:pStyle w:val="3"/>
        <w:rPr>
          <w:rFonts w:hint="eastAsia" w:ascii="宋体" w:hAnsi="宋体" w:eastAsia="宋体" w:cs="宋体"/>
          <w:b/>
          <w:bCs/>
          <w:color w:val="auto"/>
          <w:sz w:val="24"/>
          <w:szCs w:val="24"/>
          <w:highlight w:val="none"/>
        </w:rPr>
      </w:pPr>
    </w:p>
    <w:p w14:paraId="7E907948">
      <w:pPr>
        <w:rPr>
          <w:rFonts w:hint="eastAsia" w:ascii="宋体" w:hAnsi="宋体" w:eastAsia="宋体" w:cs="宋体"/>
          <w:b/>
          <w:bCs/>
          <w:color w:val="auto"/>
          <w:sz w:val="24"/>
          <w:szCs w:val="24"/>
          <w:highlight w:val="none"/>
        </w:rPr>
      </w:pPr>
    </w:p>
    <w:p w14:paraId="7BA47514">
      <w:pPr>
        <w:pStyle w:val="2"/>
        <w:rPr>
          <w:rFonts w:hint="eastAsia" w:ascii="宋体" w:hAnsi="宋体" w:eastAsia="宋体" w:cs="宋体"/>
          <w:b/>
          <w:bCs/>
          <w:color w:val="auto"/>
          <w:sz w:val="24"/>
          <w:szCs w:val="24"/>
          <w:highlight w:val="none"/>
        </w:rPr>
      </w:pPr>
    </w:p>
    <w:p w14:paraId="73B37820">
      <w:pPr>
        <w:pStyle w:val="3"/>
        <w:rPr>
          <w:rFonts w:hint="eastAsia" w:ascii="宋体" w:hAnsi="宋体" w:eastAsia="宋体" w:cs="宋体"/>
          <w:b/>
          <w:bCs/>
          <w:color w:val="auto"/>
          <w:sz w:val="24"/>
          <w:szCs w:val="24"/>
          <w:highlight w:val="none"/>
        </w:rPr>
      </w:pPr>
    </w:p>
    <w:p w14:paraId="47DCC88E">
      <w:pPr>
        <w:rPr>
          <w:rFonts w:hint="eastAsia" w:ascii="宋体" w:hAnsi="宋体" w:eastAsia="宋体" w:cs="宋体"/>
          <w:b/>
          <w:bCs/>
          <w:color w:val="auto"/>
          <w:sz w:val="24"/>
          <w:szCs w:val="24"/>
          <w:highlight w:val="none"/>
        </w:rPr>
      </w:pPr>
    </w:p>
    <w:p w14:paraId="13187640">
      <w:pPr>
        <w:pStyle w:val="2"/>
        <w:rPr>
          <w:rFonts w:hint="eastAsia" w:ascii="宋体" w:hAnsi="宋体" w:eastAsia="宋体" w:cs="宋体"/>
          <w:b/>
          <w:bCs/>
          <w:color w:val="auto"/>
          <w:sz w:val="24"/>
          <w:szCs w:val="24"/>
          <w:highlight w:val="none"/>
        </w:rPr>
      </w:pPr>
    </w:p>
    <w:p w14:paraId="47057A28">
      <w:pPr>
        <w:pStyle w:val="3"/>
        <w:rPr>
          <w:rFonts w:hint="eastAsia" w:ascii="宋体" w:hAnsi="宋体" w:eastAsia="宋体" w:cs="宋体"/>
          <w:b/>
          <w:bCs/>
          <w:color w:val="auto"/>
          <w:sz w:val="24"/>
          <w:szCs w:val="24"/>
          <w:highlight w:val="none"/>
        </w:rPr>
      </w:pPr>
    </w:p>
    <w:p w14:paraId="07AA5EEC">
      <w:pPr>
        <w:rPr>
          <w:rFonts w:hint="eastAsia" w:ascii="宋体" w:hAnsi="宋体" w:eastAsia="宋体" w:cs="宋体"/>
          <w:b/>
          <w:bCs/>
          <w:color w:val="auto"/>
          <w:sz w:val="24"/>
          <w:szCs w:val="24"/>
          <w:highlight w:val="none"/>
        </w:rPr>
      </w:pPr>
    </w:p>
    <w:p w14:paraId="223C9C30">
      <w:pPr>
        <w:pStyle w:val="2"/>
        <w:rPr>
          <w:rFonts w:hint="eastAsia" w:ascii="宋体" w:hAnsi="宋体" w:eastAsia="宋体" w:cs="宋体"/>
          <w:b/>
          <w:bCs/>
          <w:color w:val="auto"/>
          <w:sz w:val="24"/>
          <w:szCs w:val="24"/>
          <w:highlight w:val="none"/>
        </w:rPr>
      </w:pPr>
    </w:p>
    <w:p w14:paraId="17DF791A">
      <w:pPr>
        <w:pStyle w:val="3"/>
        <w:rPr>
          <w:rFonts w:hint="eastAsia" w:ascii="宋体" w:hAnsi="宋体" w:eastAsia="宋体" w:cs="宋体"/>
          <w:b/>
          <w:bCs/>
          <w:color w:val="auto"/>
          <w:sz w:val="24"/>
          <w:szCs w:val="24"/>
          <w:highlight w:val="none"/>
        </w:rPr>
      </w:pPr>
    </w:p>
    <w:p w14:paraId="704FB01B">
      <w:pPr>
        <w:rPr>
          <w:rFonts w:hint="eastAsia" w:ascii="宋体" w:hAnsi="宋体" w:eastAsia="宋体" w:cs="宋体"/>
          <w:b/>
          <w:bCs/>
          <w:color w:val="auto"/>
          <w:sz w:val="24"/>
          <w:szCs w:val="24"/>
          <w:highlight w:val="none"/>
        </w:rPr>
      </w:pPr>
    </w:p>
    <w:p w14:paraId="3A41F494">
      <w:pPr>
        <w:pStyle w:val="2"/>
        <w:rPr>
          <w:rFonts w:hint="eastAsia" w:ascii="宋体" w:hAnsi="宋体" w:eastAsia="宋体" w:cs="宋体"/>
          <w:b/>
          <w:bCs/>
          <w:color w:val="auto"/>
          <w:sz w:val="24"/>
          <w:szCs w:val="24"/>
          <w:highlight w:val="none"/>
        </w:rPr>
      </w:pPr>
    </w:p>
    <w:p w14:paraId="1BDA3E68">
      <w:pPr>
        <w:pStyle w:val="3"/>
        <w:rPr>
          <w:rFonts w:hint="eastAsia" w:ascii="宋体" w:hAnsi="宋体" w:eastAsia="宋体" w:cs="宋体"/>
          <w:b/>
          <w:bCs/>
          <w:color w:val="auto"/>
          <w:sz w:val="24"/>
          <w:szCs w:val="24"/>
          <w:highlight w:val="none"/>
        </w:rPr>
      </w:pPr>
    </w:p>
    <w:p w14:paraId="20E27BCC">
      <w:pPr>
        <w:rPr>
          <w:rFonts w:hint="eastAsia" w:ascii="宋体" w:hAnsi="宋体" w:eastAsia="宋体" w:cs="宋体"/>
          <w:b/>
          <w:bCs/>
          <w:color w:val="auto"/>
          <w:sz w:val="24"/>
          <w:szCs w:val="24"/>
          <w:highlight w:val="none"/>
        </w:rPr>
      </w:pPr>
    </w:p>
    <w:p w14:paraId="2694026C">
      <w:pPr>
        <w:pStyle w:val="2"/>
        <w:rPr>
          <w:rFonts w:hint="eastAsia"/>
        </w:rPr>
      </w:pPr>
    </w:p>
    <w:p w14:paraId="7F1207CB"/>
    <w:p w14:paraId="53EB477F">
      <w:pPr>
        <w:pStyle w:val="4"/>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第六部分 采购内容及要求</w:t>
      </w:r>
      <w:bookmarkEnd w:id="284"/>
      <w:bookmarkEnd w:id="285"/>
      <w:bookmarkEnd w:id="286"/>
    </w:p>
    <w:p w14:paraId="14F29A9C">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项目概况</w:t>
      </w:r>
    </w:p>
    <w:p w14:paraId="18E879DE">
      <w:pPr>
        <w:widowControl/>
        <w:autoSpaceDE w:val="0"/>
        <w:autoSpaceDN w:val="0"/>
        <w:spacing w:line="360" w:lineRule="auto"/>
        <w:ind w:right="53" w:firstLine="480" w:firstLineChars="200"/>
        <w:textAlignment w:val="bottom"/>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新区面临保交楼等房地产领域多重风险。为实现项目风险处置市场化、法治化要求，需聘请专业机构为项目风险化解提供专项法律顾问服务。</w:t>
      </w:r>
    </w:p>
    <w:p w14:paraId="0D8711A5">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服务内容</w:t>
      </w:r>
    </w:p>
    <w:p w14:paraId="756D2277">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房地产领域</w:t>
      </w:r>
      <w:r>
        <w:rPr>
          <w:rFonts w:hint="eastAsia" w:ascii="宋体" w:hAnsi="宋体" w:eastAsia="宋体" w:cs="宋体"/>
          <w:b/>
          <w:bCs/>
          <w:color w:val="000000" w:themeColor="text1"/>
          <w:sz w:val="24"/>
          <w:szCs w:val="24"/>
          <w:highlight w:val="none"/>
          <w:lang w:val="en-US" w:eastAsia="zh-Hans"/>
          <w14:textFill>
            <w14:solidFill>
              <w14:schemeClr w14:val="tx1"/>
            </w14:solidFill>
          </w14:textFill>
        </w:rPr>
        <w:t>风险决策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设计及优化</w:t>
      </w:r>
    </w:p>
    <w:p w14:paraId="75EBFD74">
      <w:pPr>
        <w:pStyle w:val="3"/>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000000" w:themeColor="text1"/>
          <w:kern w:val="2"/>
          <w:sz w:val="24"/>
          <w:szCs w:val="24"/>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bidi="ar-SA"/>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陕西省西咸新区住房和城乡建设局</w:t>
      </w:r>
      <w:r>
        <w:rPr>
          <w:rFonts w:hint="eastAsia" w:ascii="宋体" w:hAnsi="宋体" w:eastAsia="宋体" w:cs="宋体"/>
          <w:color w:val="000000" w:themeColor="text1"/>
          <w:kern w:val="2"/>
          <w:sz w:val="24"/>
          <w:szCs w:val="24"/>
          <w:highlight w:val="none"/>
          <w:lang w:val="en-US" w:eastAsia="zh-Hans" w:bidi="ar-SA"/>
          <w14:textFill>
            <w14:solidFill>
              <w14:schemeClr w14:val="tx1"/>
            </w14:solidFill>
          </w14:textFill>
        </w:rPr>
        <w:t>处置</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房地产领域</w:t>
      </w:r>
      <w:r>
        <w:rPr>
          <w:rFonts w:hint="eastAsia" w:ascii="宋体" w:hAnsi="宋体" w:eastAsia="宋体" w:cs="宋体"/>
          <w:color w:val="000000" w:themeColor="text1"/>
          <w:kern w:val="2"/>
          <w:sz w:val="24"/>
          <w:szCs w:val="24"/>
          <w:highlight w:val="none"/>
          <w:lang w:val="en-US" w:eastAsia="zh-Hans" w:bidi="ar-SA"/>
          <w14:textFill>
            <w14:solidFill>
              <w14:schemeClr w14:val="tx1"/>
            </w14:solidFill>
          </w14:textFill>
        </w:rPr>
        <w:t>风险决策提供法律政策依据及总体处置意见及建议。</w:t>
      </w:r>
    </w:p>
    <w:p w14:paraId="7D9834CD">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制定、设计、优化委托事项的总体法律解决方案，在法律方案实施过程中，做好风险处置过程中法律风险管理，确保法律方案目标的实现，同时全面研判变化因素，根据实际情况，在巩固、补充、完善前期工作成果的同时，及时调整法律解决方案。</w:t>
      </w:r>
    </w:p>
    <w:p w14:paraId="44BF4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2.日常法律咨询与风险防控</w:t>
      </w:r>
    </w:p>
    <w:p w14:paraId="4B1868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1)就房地产风险化解工作中的日常法律问题提供即时咨询服务，解答疑问，提供法律建议。应要求就相关委托事项中的专项法律问题出具书面法律意见书</w:t>
      </w:r>
      <w:r>
        <w:rPr>
          <w:rFonts w:hint="eastAsia" w:ascii="宋体" w:hAnsi="宋体" w:eastAsia="宋体" w:cs="宋体"/>
          <w:color w:val="000000" w:themeColor="text1"/>
          <w:sz w:val="24"/>
          <w:szCs w:val="24"/>
          <w:highlight w:val="none"/>
          <w:lang w:val="en-US" w:eastAsia="zh-Hans"/>
          <w14:textFill>
            <w14:solidFill>
              <w14:schemeClr w14:val="tx1"/>
            </w14:solidFill>
          </w14:textFill>
        </w:rPr>
        <w:t>或法律建议书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158F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包括但不限于对委托事项组织专业人士研究讨论，参加会议，项目洽谈，提供法律咨询，出具法律意见，审查、起草、修改与委托事项有关的相关合同或文件等，具体法律服务内容供应商根据自身实际情况予以细化。</w:t>
      </w:r>
    </w:p>
    <w:p w14:paraId="0DAFC8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3)根据要求，对工作中可能出现的法律风险进行排查和评估，出具风险评估报告，提出针对性的风险防范措施和解决方案，建立风险预警机制 。</w:t>
      </w:r>
    </w:p>
    <w:p w14:paraId="775E81AD">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14:paraId="3DCDE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1.律师团队应严格遵守法律法规及执业纪律，保守工作中知悉的国家秘密、商业秘密及工作秘密。</w:t>
      </w:r>
    </w:p>
    <w:p w14:paraId="09AC4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2.建立定期沟通机制，定期提交服务工作报告，内容包括服务事项、处理结果、存在问题及下一步建议。</w:t>
      </w:r>
    </w:p>
    <w:p w14:paraId="16332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3.对新区住建局提出的服务需求应积极响应，确保服务质量和效率，接受新区住建局对各项服务的监管，以确保提供服务的过程符合采购需求。</w:t>
      </w:r>
    </w:p>
    <w:p w14:paraId="0CF16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4.不得擅自将服务事项转包或分包。</w:t>
      </w:r>
    </w:p>
    <w:p w14:paraId="58BE3EA3">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四、商务要求</w:t>
      </w:r>
    </w:p>
    <w:p w14:paraId="1936BB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（一）服务期限</w:t>
      </w:r>
    </w:p>
    <w:p w14:paraId="0B1BD77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自合同签订之日起一年。</w:t>
      </w:r>
    </w:p>
    <w:p w14:paraId="0C7816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 xml:space="preserve">    （二）款项结算</w:t>
      </w:r>
    </w:p>
    <w:p w14:paraId="180A6C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合同签订后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0个工作日内支付当年度合同总价款的</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0%;初步成果验收后通过后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0个工作日内支付合同总价款的40%；成果交付验收合格后，</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0个工作日内支付合同总价款的</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val="en-US" w:eastAsia="zh-CN"/>
        </w:rPr>
        <w:t>0%。</w:t>
      </w:r>
    </w:p>
    <w:p w14:paraId="7E528A94">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b/>
          <w:bCs/>
          <w:sz w:val="24"/>
          <w:szCs w:val="24"/>
          <w:lang w:val="en-US" w:eastAsia="zh-CN"/>
        </w:rPr>
        <w:t>四、验收标准</w:t>
      </w:r>
    </w:p>
    <w:p w14:paraId="42592E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服务成果验收：律师团队提供的各类法律文件（如法律意见书、合同文本、诉讼文书等）应符合法律法规要求和行业规范，内容准确、逻辑清晰、具有可操作性 。</w:t>
      </w:r>
    </w:p>
    <w:p w14:paraId="79109A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工作进度验收：按照服务合同约定的时间节点和工作进度计划，完成各项法律服务任务。每阶段工作完成后，需提交详细的工作成果报告，经新区住建局审核通过 。</w:t>
      </w:r>
    </w:p>
    <w:p w14:paraId="70FCBA3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满意度验收：新区住建局对律师团队的服务态度、专业能力、工作效率等方面进行综合评价，满意度不低于90%（以书面评价为准） 。</w:t>
      </w:r>
    </w:p>
    <w:p w14:paraId="332E25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napToGrid/>
          <w:kern w:val="2"/>
          <w:sz w:val="24"/>
          <w:szCs w:val="24"/>
          <w:lang w:val="en-US" w:eastAsia="zh-CN"/>
        </w:rPr>
        <w:t xml:space="preserve">风险防控验收：在服务期间，未因律师团队服务不当导致新区产生新的重大法律风险或损失，已发生的法律风险得到有效控制和妥善处理 </w:t>
      </w:r>
      <w:r>
        <w:rPr>
          <w:rFonts w:hint="eastAsia" w:ascii="宋体" w:hAnsi="宋体" w:eastAsia="宋体" w:cs="宋体"/>
          <w:sz w:val="24"/>
          <w:szCs w:val="24"/>
        </w:rPr>
        <w:t>。</w:t>
      </w:r>
    </w:p>
    <w:p w14:paraId="5AE8FCE7">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五、其他</w:t>
      </w:r>
    </w:p>
    <w:p w14:paraId="65B07FD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质量验收标准或规范：满足现行的国家标准或国家行政部门颁布的法律法规、规章制度以及现行的行业标准。</w:t>
      </w:r>
    </w:p>
    <w:p w14:paraId="2EA96778">
      <w:pPr>
        <w:bidi w:val="0"/>
        <w:rPr>
          <w:rFonts w:hint="eastAsia"/>
        </w:rPr>
      </w:pPr>
    </w:p>
    <w:p w14:paraId="0D036F12">
      <w:pPr>
        <w:pStyle w:val="2"/>
        <w:rPr>
          <w:rFonts w:hint="eastAsia" w:ascii="宋体" w:hAnsi="宋体" w:eastAsia="宋体" w:cs="宋体"/>
          <w:color w:val="1F4E79"/>
          <w:sz w:val="24"/>
          <w:szCs w:val="24"/>
        </w:rPr>
      </w:pPr>
    </w:p>
    <w:p w14:paraId="3BF0D451">
      <w:pPr>
        <w:pStyle w:val="3"/>
        <w:rPr>
          <w:rFonts w:hint="eastAsia" w:ascii="宋体" w:hAnsi="宋体" w:eastAsia="宋体" w:cs="宋体"/>
          <w:color w:val="1F4E79"/>
          <w:sz w:val="24"/>
          <w:szCs w:val="24"/>
        </w:rPr>
      </w:pPr>
    </w:p>
    <w:p w14:paraId="562361C3">
      <w:pPr>
        <w:rPr>
          <w:rFonts w:hint="eastAsia" w:ascii="宋体" w:hAnsi="宋体" w:eastAsia="宋体" w:cs="宋体"/>
          <w:color w:val="1F4E79"/>
          <w:sz w:val="24"/>
          <w:szCs w:val="24"/>
        </w:rPr>
      </w:pPr>
    </w:p>
    <w:p w14:paraId="1CD26C05">
      <w:pPr>
        <w:pStyle w:val="2"/>
        <w:rPr>
          <w:rFonts w:hint="eastAsia" w:ascii="宋体" w:hAnsi="宋体" w:eastAsia="宋体" w:cs="宋体"/>
          <w:color w:val="1F4E79"/>
          <w:sz w:val="24"/>
          <w:szCs w:val="24"/>
        </w:rPr>
      </w:pPr>
    </w:p>
    <w:p w14:paraId="4556772C">
      <w:pPr>
        <w:pStyle w:val="3"/>
        <w:rPr>
          <w:rFonts w:hint="eastAsia" w:ascii="宋体" w:hAnsi="宋体" w:eastAsia="宋体" w:cs="宋体"/>
          <w:color w:val="1F4E79"/>
          <w:sz w:val="24"/>
          <w:szCs w:val="24"/>
        </w:rPr>
      </w:pPr>
    </w:p>
    <w:p w14:paraId="070F2625">
      <w:pPr>
        <w:rPr>
          <w:rFonts w:hint="eastAsia" w:ascii="宋体" w:hAnsi="宋体" w:eastAsia="宋体" w:cs="宋体"/>
          <w:color w:val="1F4E79"/>
          <w:sz w:val="24"/>
          <w:szCs w:val="24"/>
        </w:rPr>
      </w:pPr>
    </w:p>
    <w:p w14:paraId="0099EA3D">
      <w:pPr>
        <w:pStyle w:val="2"/>
        <w:rPr>
          <w:rFonts w:hint="eastAsia" w:ascii="宋体" w:hAnsi="宋体" w:eastAsia="宋体" w:cs="宋体"/>
          <w:color w:val="1F4E79"/>
          <w:sz w:val="24"/>
          <w:szCs w:val="24"/>
        </w:rPr>
      </w:pPr>
    </w:p>
    <w:p w14:paraId="7F24FE51">
      <w:pPr>
        <w:pStyle w:val="3"/>
        <w:rPr>
          <w:rFonts w:hint="eastAsia" w:ascii="宋体" w:hAnsi="宋体" w:eastAsia="宋体" w:cs="宋体"/>
          <w:color w:val="1F4E79"/>
          <w:sz w:val="24"/>
          <w:szCs w:val="24"/>
        </w:rPr>
      </w:pPr>
    </w:p>
    <w:p w14:paraId="5DF4B281">
      <w:pPr>
        <w:rPr>
          <w:rFonts w:hint="eastAsia" w:ascii="宋体" w:hAnsi="宋体" w:eastAsia="宋体" w:cs="宋体"/>
          <w:color w:val="1F4E79"/>
          <w:sz w:val="24"/>
          <w:szCs w:val="24"/>
        </w:rPr>
      </w:pPr>
    </w:p>
    <w:p w14:paraId="4309E651">
      <w:pPr>
        <w:pStyle w:val="2"/>
        <w:rPr>
          <w:rFonts w:ascii="黑体" w:hAnsi="黑体" w:eastAsia="黑体" w:cstheme="minorHAnsi"/>
          <w:color w:val="1F4E79"/>
          <w:sz w:val="32"/>
          <w:szCs w:val="32"/>
        </w:rPr>
      </w:pPr>
    </w:p>
    <w:p w14:paraId="1A3593E6">
      <w:pPr>
        <w:pStyle w:val="3"/>
        <w:rPr>
          <w:rFonts w:ascii="黑体" w:hAnsi="黑体" w:eastAsia="黑体" w:cstheme="minorHAnsi"/>
          <w:color w:val="1F4E79"/>
          <w:sz w:val="32"/>
          <w:szCs w:val="32"/>
        </w:rPr>
      </w:pPr>
    </w:p>
    <w:p w14:paraId="093C82D3">
      <w:pPr>
        <w:rPr>
          <w:rFonts w:ascii="黑体" w:hAnsi="黑体" w:eastAsia="黑体" w:cstheme="minorHAnsi"/>
          <w:color w:val="1F4E79"/>
          <w:sz w:val="32"/>
          <w:szCs w:val="32"/>
        </w:rPr>
      </w:pPr>
    </w:p>
    <w:p w14:paraId="408CDD8E">
      <w:pPr>
        <w:pStyle w:val="2"/>
        <w:rPr>
          <w:rFonts w:ascii="黑体" w:hAnsi="黑体" w:eastAsia="黑体" w:cstheme="minorHAnsi"/>
          <w:color w:val="1F4E79"/>
          <w:sz w:val="32"/>
          <w:szCs w:val="32"/>
        </w:rPr>
      </w:pPr>
    </w:p>
    <w:p w14:paraId="23B6072A">
      <w:pPr>
        <w:pStyle w:val="3"/>
        <w:rPr>
          <w:rFonts w:ascii="黑体" w:hAnsi="黑体" w:eastAsia="黑体" w:cstheme="minorHAnsi"/>
          <w:color w:val="1F4E79"/>
          <w:sz w:val="32"/>
          <w:szCs w:val="32"/>
        </w:rPr>
      </w:pPr>
    </w:p>
    <w:p w14:paraId="46FE814A"/>
    <w:p w14:paraId="2033E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sectPr>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2EED">
    <w:pPr>
      <w:pStyle w:val="2"/>
      <w:pBdr>
        <w:bottom w:val="single" w:color="auto" w:sz="6" w:space="1"/>
      </w:pBdr>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E1A9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CBE1A9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3229">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D0090">
                          <w:pPr>
                            <w:pStyle w:val="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63D0090">
                    <w:pPr>
                      <w:pStyle w:val="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A758">
    <w:pPr>
      <w:pStyle w:val="2"/>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97F48">
                          <w:pPr>
                            <w:pStyle w:val="2"/>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5797F48">
                    <w:pPr>
                      <w:pStyle w:val="2"/>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A4EF">
    <w:pPr>
      <w:pStyle w:val="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F64B3">
                          <w:pPr>
                            <w:pStyle w:val="2"/>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4F64B3">
                    <w:pPr>
                      <w:pStyle w:val="2"/>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D73E">
    <w:pPr>
      <w:pStyle w:val="2"/>
      <w:framePr w:wrap="around" w:vAnchor="text" w:hAnchor="margin" w:xAlign="center" w:y="1"/>
      <w:rPr>
        <w:rStyle w:val="25"/>
      </w:rPr>
    </w:pPr>
    <w:r>
      <w:fldChar w:fldCharType="begin"/>
    </w:r>
    <w:r>
      <w:rPr>
        <w:rStyle w:val="25"/>
      </w:rPr>
      <w:instrText xml:space="preserve">PAGE  </w:instrText>
    </w:r>
    <w:r>
      <w:fldChar w:fldCharType="end"/>
    </w:r>
  </w:p>
  <w:p w14:paraId="305DAB74">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63E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A939B">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26A939B">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5EF5">
    <w:pPr>
      <w:pStyle w:val="2"/>
      <w:pBdr>
        <w:bottom w:val="single" w:color="auto" w:sz="6" w:space="1"/>
      </w:pBdr>
      <w:rPr>
        <w:rFonts w:ascii="宋体" w:hAns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1984">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FA81984">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8EAC">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04E1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3B04E1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11E9">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B50F7">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A9B50F7">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653C">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C4C8B">
                          <w:pPr>
                            <w:pStyle w:val="2"/>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4CC4C8B">
                    <w:pPr>
                      <w:pStyle w:val="2"/>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BDF7">
    <w:pPr>
      <w:pStyle w:val="2"/>
      <w:pBdr>
        <w:bottom w:val="single" w:color="auto" w:sz="4" w:space="0"/>
      </w:pBdr>
      <w:tabs>
        <w:tab w:val="center" w:pos="4535"/>
        <w:tab w:val="right" w:pos="9070"/>
        <w:tab w:val="clear" w:pos="4153"/>
        <w:tab w:val="clear" w:pos="8306"/>
      </w:tabs>
      <w:rPr>
        <w:rFonts w:ascii="宋体" w:hAnsi="宋体" w:eastAsia="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FCB34">
                          <w:pPr>
                            <w:pStyle w:val="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9AFCB34">
                    <w:pPr>
                      <w:pStyle w:val="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ascii="宋体" w:hAnsi="宋体"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8262">
    <w:pPr>
      <w:pStyle w:val="2"/>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0D47">
    <w:pPr>
      <w:pStyle w:val="15"/>
      <w:ind w:right="300" w:rightChars="143"/>
      <w:rPr>
        <w:rFonts w:ascii="仿宋_GB2312" w:hAnsi="宋体" w:eastAsia="仿宋_GB2312"/>
        <w:bCs/>
        <w:szCs w:val="18"/>
      </w:rPr>
    </w:pPr>
    <w:r>
      <w:rPr>
        <w:rFonts w:hint="eastAsia" w:ascii="宋体" w:hAnsi="宋体" w:cs="宋体"/>
        <w:szCs w:val="18"/>
        <w:lang w:eastAsia="zh-CN"/>
      </w:rPr>
      <w:t>西咸新区房地产风险化解专项法律服务项目</w:t>
    </w:r>
    <w:r>
      <w:rPr>
        <w:rFonts w:hint="eastAsia" w:ascii="宋体" w:hAnsi="宋体" w:cs="宋体"/>
        <w:szCs w:val="18"/>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9120">
    <w:pPr>
      <w:pStyle w:val="15"/>
      <w:ind w:right="300" w:rightChars="143"/>
      <w:rPr>
        <w:rFonts w:ascii="仿宋_GB2312" w:hAnsi="宋体" w:eastAsia="仿宋_GB2312"/>
        <w:bCs/>
        <w:szCs w:val="18"/>
      </w:rPr>
    </w:pPr>
    <w:r>
      <w:rPr>
        <w:rFonts w:hint="eastAsia" w:ascii="宋体" w:hAnsi="宋体" w:cs="宋体"/>
        <w:szCs w:val="18"/>
        <w:lang w:eastAsia="zh-CN"/>
      </w:rPr>
      <w:t>西咸新区房地产风险化解专项法律服务项目</w:t>
    </w:r>
    <w:r>
      <w:rPr>
        <w:rFonts w:hint="eastAsia" w:ascii="宋体" w:hAnsi="宋体" w:cs="宋体"/>
        <w:szCs w:val="18"/>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7A60F"/>
    <w:multiLevelType w:val="singleLevel"/>
    <w:tmpl w:val="9CC7A60F"/>
    <w:lvl w:ilvl="0" w:tentative="0">
      <w:start w:val="1"/>
      <w:numFmt w:val="decimal"/>
      <w:suff w:val="nothing"/>
      <w:lvlText w:val="（%1）"/>
      <w:lvlJc w:val="left"/>
    </w:lvl>
  </w:abstractNum>
  <w:abstractNum w:abstractNumId="1">
    <w:nsid w:val="9E02298C"/>
    <w:multiLevelType w:val="singleLevel"/>
    <w:tmpl w:val="9E02298C"/>
    <w:lvl w:ilvl="0" w:tentative="0">
      <w:start w:val="1"/>
      <w:numFmt w:val="decimal"/>
      <w:suff w:val="nothing"/>
      <w:lvlText w:val="%1）"/>
      <w:lvlJc w:val="left"/>
    </w:lvl>
  </w:abstractNum>
  <w:abstractNum w:abstractNumId="2">
    <w:nsid w:val="9E73950E"/>
    <w:multiLevelType w:val="singleLevel"/>
    <w:tmpl w:val="9E73950E"/>
    <w:lvl w:ilvl="0" w:tentative="0">
      <w:start w:val="1"/>
      <w:numFmt w:val="chineseCounting"/>
      <w:suff w:val="nothing"/>
      <w:lvlText w:val="%1、"/>
      <w:lvlJc w:val="left"/>
      <w:rPr>
        <w:rFonts w:hint="eastAsia"/>
      </w:rPr>
    </w:lvl>
  </w:abstractNum>
  <w:abstractNum w:abstractNumId="3">
    <w:nsid w:val="AFB32ED2"/>
    <w:multiLevelType w:val="singleLevel"/>
    <w:tmpl w:val="AFB32ED2"/>
    <w:lvl w:ilvl="0" w:tentative="0">
      <w:start w:val="1"/>
      <w:numFmt w:val="decimal"/>
      <w:suff w:val="nothing"/>
      <w:lvlText w:val="（%1）"/>
      <w:lvlJc w:val="left"/>
    </w:lvl>
  </w:abstractNum>
  <w:abstractNum w:abstractNumId="4">
    <w:nsid w:val="CE377CDD"/>
    <w:multiLevelType w:val="singleLevel"/>
    <w:tmpl w:val="CE377CDD"/>
    <w:lvl w:ilvl="0" w:tentative="0">
      <w:start w:val="1"/>
      <w:numFmt w:val="decimal"/>
      <w:suff w:val="nothing"/>
      <w:lvlText w:val="%1、"/>
      <w:lvlJc w:val="left"/>
    </w:lvl>
  </w:abstractNum>
  <w:abstractNum w:abstractNumId="5">
    <w:nsid w:val="26211231"/>
    <w:multiLevelType w:val="singleLevel"/>
    <w:tmpl w:val="26211231"/>
    <w:lvl w:ilvl="0" w:tentative="0">
      <w:start w:val="1"/>
      <w:numFmt w:val="decimal"/>
      <w:suff w:val="nothing"/>
      <w:lvlText w:val="%1、"/>
      <w:lvlJc w:val="left"/>
      <w:pPr>
        <w:ind w:left="148"/>
      </w:pPr>
    </w:lvl>
  </w:abstractNum>
  <w:abstractNum w:abstractNumId="6">
    <w:nsid w:val="4BA4E66C"/>
    <w:multiLevelType w:val="singleLevel"/>
    <w:tmpl w:val="4BA4E66C"/>
    <w:lvl w:ilvl="0" w:tentative="0">
      <w:start w:val="1"/>
      <w:numFmt w:val="decimal"/>
      <w:lvlText w:val="%1."/>
      <w:lvlJc w:val="left"/>
      <w:pPr>
        <w:tabs>
          <w:tab w:val="left" w:pos="312"/>
        </w:tabs>
      </w:pPr>
    </w:lvl>
  </w:abstractNum>
  <w:abstractNum w:abstractNumId="7">
    <w:nsid w:val="58FB3795"/>
    <w:multiLevelType w:val="singleLevel"/>
    <w:tmpl w:val="58FB3795"/>
    <w:lvl w:ilvl="0" w:tentative="0">
      <w:start w:val="1"/>
      <w:numFmt w:val="decimal"/>
      <w:suff w:val="nothing"/>
      <w:lvlText w:val="%1、"/>
      <w:lvlJc w:val="left"/>
    </w:lvl>
  </w:abstractNum>
  <w:abstractNum w:abstractNumId="8">
    <w:nsid w:val="6065422E"/>
    <w:multiLevelType w:val="singleLevel"/>
    <w:tmpl w:val="6065422E"/>
    <w:lvl w:ilvl="0" w:tentative="0">
      <w:start w:val="1"/>
      <w:numFmt w:val="chineseCounting"/>
      <w:suff w:val="space"/>
      <w:lvlText w:val="第%1部分"/>
      <w:lvlJc w:val="left"/>
      <w:rPr>
        <w:rFonts w:hint="eastAsia"/>
      </w:rPr>
    </w:lvl>
  </w:abstractNum>
  <w:abstractNum w:abstractNumId="9">
    <w:nsid w:val="6152EA9D"/>
    <w:multiLevelType w:val="singleLevel"/>
    <w:tmpl w:val="6152EA9D"/>
    <w:lvl w:ilvl="0" w:tentative="0">
      <w:start w:val="1"/>
      <w:numFmt w:val="decimal"/>
      <w:suff w:val="nothing"/>
      <w:lvlText w:val="（%1）"/>
      <w:lvlJc w:val="left"/>
    </w:lvl>
  </w:abstractNum>
  <w:abstractNum w:abstractNumId="10">
    <w:nsid w:val="68D15490"/>
    <w:multiLevelType w:val="singleLevel"/>
    <w:tmpl w:val="68D15490"/>
    <w:lvl w:ilvl="0" w:tentative="0">
      <w:start w:val="1"/>
      <w:numFmt w:val="decimal"/>
      <w:lvlText w:val="%1."/>
      <w:lvlJc w:val="left"/>
      <w:pPr>
        <w:tabs>
          <w:tab w:val="left" w:pos="312"/>
        </w:tabs>
      </w:pPr>
    </w:lvl>
  </w:abstractNum>
  <w:abstractNum w:abstractNumId="11">
    <w:nsid w:val="74EA0679"/>
    <w:multiLevelType w:val="multilevel"/>
    <w:tmpl w:val="74EA0679"/>
    <w:lvl w:ilvl="0" w:tentative="0">
      <w:start w:val="1"/>
      <w:numFmt w:val="decimal"/>
      <w:lvlText w:val="%1"/>
      <w:lvlJc w:val="left"/>
      <w:pPr>
        <w:tabs>
          <w:tab w:val="left" w:pos="420"/>
        </w:tabs>
        <w:ind w:left="460" w:hanging="2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8429117"/>
    <w:multiLevelType w:val="singleLevel"/>
    <w:tmpl w:val="78429117"/>
    <w:lvl w:ilvl="0" w:tentative="0">
      <w:start w:val="30"/>
      <w:numFmt w:val="decimal"/>
      <w:lvlText w:val="%1."/>
      <w:lvlJc w:val="left"/>
      <w:pPr>
        <w:tabs>
          <w:tab w:val="left" w:pos="312"/>
        </w:tabs>
      </w:pPr>
    </w:lvl>
  </w:abstractNum>
  <w:num w:numId="1">
    <w:abstractNumId w:val="8"/>
  </w:num>
  <w:num w:numId="2">
    <w:abstractNumId w:val="11"/>
  </w:num>
  <w:num w:numId="3">
    <w:abstractNumId w:val="4"/>
  </w:num>
  <w:num w:numId="4">
    <w:abstractNumId w:val="6"/>
  </w:num>
  <w:num w:numId="5">
    <w:abstractNumId w:val="0"/>
  </w:num>
  <w:num w:numId="6">
    <w:abstractNumId w:val="9"/>
  </w:num>
  <w:num w:numId="7">
    <w:abstractNumId w:val="5"/>
  </w:num>
  <w:num w:numId="8">
    <w:abstractNumId w:val="3"/>
  </w:num>
  <w:num w:numId="9">
    <w:abstractNumId w:val="12"/>
  </w:num>
  <w:num w:numId="10">
    <w:abstractNumId w:val="7"/>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NTMwNmZlZjQxODgxNTg2MmFhODY1ZDFhZjkwMDEifQ=="/>
  </w:docVars>
  <w:rsids>
    <w:rsidRoot w:val="00000000"/>
    <w:rsid w:val="003D21EE"/>
    <w:rsid w:val="004672B9"/>
    <w:rsid w:val="004D401F"/>
    <w:rsid w:val="007E2EF7"/>
    <w:rsid w:val="00A46E53"/>
    <w:rsid w:val="00DA21C8"/>
    <w:rsid w:val="012F6E0C"/>
    <w:rsid w:val="01FF276C"/>
    <w:rsid w:val="02DD1A2B"/>
    <w:rsid w:val="03340CD7"/>
    <w:rsid w:val="037F6FA4"/>
    <w:rsid w:val="03A367D0"/>
    <w:rsid w:val="03B510E0"/>
    <w:rsid w:val="03E07A24"/>
    <w:rsid w:val="043D0392"/>
    <w:rsid w:val="0451447E"/>
    <w:rsid w:val="046637A3"/>
    <w:rsid w:val="04DC01EC"/>
    <w:rsid w:val="06F2019A"/>
    <w:rsid w:val="072D2F81"/>
    <w:rsid w:val="072E66BA"/>
    <w:rsid w:val="07740BAF"/>
    <w:rsid w:val="077B454C"/>
    <w:rsid w:val="07832BA1"/>
    <w:rsid w:val="07A52484"/>
    <w:rsid w:val="07BE317E"/>
    <w:rsid w:val="08525F4F"/>
    <w:rsid w:val="0983332C"/>
    <w:rsid w:val="099B7BD4"/>
    <w:rsid w:val="0A287A2F"/>
    <w:rsid w:val="0A541BE1"/>
    <w:rsid w:val="0B0970B3"/>
    <w:rsid w:val="0BBA69E4"/>
    <w:rsid w:val="0D441024"/>
    <w:rsid w:val="0D7A67F4"/>
    <w:rsid w:val="0DE95727"/>
    <w:rsid w:val="0DF540CC"/>
    <w:rsid w:val="0E1F1149"/>
    <w:rsid w:val="0E7E0566"/>
    <w:rsid w:val="0E9D4E90"/>
    <w:rsid w:val="0EF436F2"/>
    <w:rsid w:val="0F8A759F"/>
    <w:rsid w:val="0FA4224E"/>
    <w:rsid w:val="100920B1"/>
    <w:rsid w:val="1035205D"/>
    <w:rsid w:val="106B68C8"/>
    <w:rsid w:val="10727C56"/>
    <w:rsid w:val="10940E76"/>
    <w:rsid w:val="10CC380A"/>
    <w:rsid w:val="117874EE"/>
    <w:rsid w:val="12070F9B"/>
    <w:rsid w:val="120B630C"/>
    <w:rsid w:val="12234AC3"/>
    <w:rsid w:val="12A473B3"/>
    <w:rsid w:val="12D0302F"/>
    <w:rsid w:val="13016FDD"/>
    <w:rsid w:val="134C29E0"/>
    <w:rsid w:val="13BF31B2"/>
    <w:rsid w:val="141161D6"/>
    <w:rsid w:val="14956609"/>
    <w:rsid w:val="14F612C1"/>
    <w:rsid w:val="150D0607"/>
    <w:rsid w:val="15A44D56"/>
    <w:rsid w:val="15D078F9"/>
    <w:rsid w:val="1609105D"/>
    <w:rsid w:val="163360DA"/>
    <w:rsid w:val="167F6F62"/>
    <w:rsid w:val="16AE750E"/>
    <w:rsid w:val="16D572DB"/>
    <w:rsid w:val="17176B53"/>
    <w:rsid w:val="17190E2C"/>
    <w:rsid w:val="17420893"/>
    <w:rsid w:val="17433BAE"/>
    <w:rsid w:val="174D6D27"/>
    <w:rsid w:val="17667B7A"/>
    <w:rsid w:val="17F6116D"/>
    <w:rsid w:val="180A7137"/>
    <w:rsid w:val="184D3B5D"/>
    <w:rsid w:val="193B777F"/>
    <w:rsid w:val="198E3107"/>
    <w:rsid w:val="19B906A4"/>
    <w:rsid w:val="19C822C1"/>
    <w:rsid w:val="1A0B541C"/>
    <w:rsid w:val="1A1D2C84"/>
    <w:rsid w:val="1A3303A4"/>
    <w:rsid w:val="1A367F46"/>
    <w:rsid w:val="1AB13AA9"/>
    <w:rsid w:val="1B1A33C4"/>
    <w:rsid w:val="1B2D3C73"/>
    <w:rsid w:val="1B3A445F"/>
    <w:rsid w:val="1C4F2609"/>
    <w:rsid w:val="1C90597F"/>
    <w:rsid w:val="1CBB2985"/>
    <w:rsid w:val="1D6D3C7F"/>
    <w:rsid w:val="1DA653E3"/>
    <w:rsid w:val="1E5E4757"/>
    <w:rsid w:val="1E965170"/>
    <w:rsid w:val="1EB31B66"/>
    <w:rsid w:val="1EB61656"/>
    <w:rsid w:val="1EBD0C36"/>
    <w:rsid w:val="1F8D685B"/>
    <w:rsid w:val="1F9D6372"/>
    <w:rsid w:val="21152AF1"/>
    <w:rsid w:val="21562C7C"/>
    <w:rsid w:val="21792FA7"/>
    <w:rsid w:val="217E2FA0"/>
    <w:rsid w:val="22160D89"/>
    <w:rsid w:val="22292190"/>
    <w:rsid w:val="223631D9"/>
    <w:rsid w:val="223E3E3C"/>
    <w:rsid w:val="225A7023"/>
    <w:rsid w:val="23290648"/>
    <w:rsid w:val="23603640"/>
    <w:rsid w:val="23E10F23"/>
    <w:rsid w:val="23EE0080"/>
    <w:rsid w:val="24392B0D"/>
    <w:rsid w:val="2466767A"/>
    <w:rsid w:val="260E7FC9"/>
    <w:rsid w:val="26D34837"/>
    <w:rsid w:val="27181100"/>
    <w:rsid w:val="271B299E"/>
    <w:rsid w:val="27B12B37"/>
    <w:rsid w:val="27B8428D"/>
    <w:rsid w:val="27F507A0"/>
    <w:rsid w:val="28425D08"/>
    <w:rsid w:val="28546167"/>
    <w:rsid w:val="28FF562D"/>
    <w:rsid w:val="291E49C7"/>
    <w:rsid w:val="293B2E83"/>
    <w:rsid w:val="29475CCC"/>
    <w:rsid w:val="29514597"/>
    <w:rsid w:val="2A0911D4"/>
    <w:rsid w:val="2B467890"/>
    <w:rsid w:val="2B732DA8"/>
    <w:rsid w:val="2C29790B"/>
    <w:rsid w:val="2C8D5A6F"/>
    <w:rsid w:val="2C8E776E"/>
    <w:rsid w:val="2CA71E7E"/>
    <w:rsid w:val="2D4E60A1"/>
    <w:rsid w:val="2D6869D3"/>
    <w:rsid w:val="2D895171"/>
    <w:rsid w:val="2DB72CF5"/>
    <w:rsid w:val="2DDB69E3"/>
    <w:rsid w:val="2E075A2A"/>
    <w:rsid w:val="2E196A6F"/>
    <w:rsid w:val="2E8C71AC"/>
    <w:rsid w:val="2F7964B4"/>
    <w:rsid w:val="2F917CA1"/>
    <w:rsid w:val="302F1268"/>
    <w:rsid w:val="3049057C"/>
    <w:rsid w:val="306164E3"/>
    <w:rsid w:val="306727B0"/>
    <w:rsid w:val="30BB3C3D"/>
    <w:rsid w:val="30D46846"/>
    <w:rsid w:val="31033124"/>
    <w:rsid w:val="31061FC9"/>
    <w:rsid w:val="31224929"/>
    <w:rsid w:val="31B73100"/>
    <w:rsid w:val="31DC03DD"/>
    <w:rsid w:val="31F8534F"/>
    <w:rsid w:val="32CB34CA"/>
    <w:rsid w:val="33292A94"/>
    <w:rsid w:val="337F2D3E"/>
    <w:rsid w:val="33A34D69"/>
    <w:rsid w:val="347B421C"/>
    <w:rsid w:val="34873421"/>
    <w:rsid w:val="349F4EE8"/>
    <w:rsid w:val="3529272A"/>
    <w:rsid w:val="3550415A"/>
    <w:rsid w:val="3564509A"/>
    <w:rsid w:val="358024A6"/>
    <w:rsid w:val="36435A6D"/>
    <w:rsid w:val="364A47E7"/>
    <w:rsid w:val="36AC716F"/>
    <w:rsid w:val="36D018B5"/>
    <w:rsid w:val="37357164"/>
    <w:rsid w:val="374970B3"/>
    <w:rsid w:val="377A4DBB"/>
    <w:rsid w:val="377C4D93"/>
    <w:rsid w:val="388F4F9A"/>
    <w:rsid w:val="38D8068F"/>
    <w:rsid w:val="393B3E36"/>
    <w:rsid w:val="395F698F"/>
    <w:rsid w:val="39A037B8"/>
    <w:rsid w:val="3A336C38"/>
    <w:rsid w:val="3A4A73CA"/>
    <w:rsid w:val="3A892F9E"/>
    <w:rsid w:val="3AA0523C"/>
    <w:rsid w:val="3AB807D8"/>
    <w:rsid w:val="3ADE48AE"/>
    <w:rsid w:val="3AE9023F"/>
    <w:rsid w:val="3B0C28D2"/>
    <w:rsid w:val="3B3E6803"/>
    <w:rsid w:val="3B5129DA"/>
    <w:rsid w:val="3BC1546A"/>
    <w:rsid w:val="3BE13D5E"/>
    <w:rsid w:val="3C277297"/>
    <w:rsid w:val="3C793F97"/>
    <w:rsid w:val="3CCD6091"/>
    <w:rsid w:val="3D0575D8"/>
    <w:rsid w:val="3D263EFE"/>
    <w:rsid w:val="3D74650C"/>
    <w:rsid w:val="3D9372DA"/>
    <w:rsid w:val="3DC44A28"/>
    <w:rsid w:val="3F1E4982"/>
    <w:rsid w:val="3F2226C4"/>
    <w:rsid w:val="3F710F55"/>
    <w:rsid w:val="3F9A4950"/>
    <w:rsid w:val="3FAC6165"/>
    <w:rsid w:val="3FE411AD"/>
    <w:rsid w:val="3FF027C2"/>
    <w:rsid w:val="3FFB7A59"/>
    <w:rsid w:val="403B55A5"/>
    <w:rsid w:val="40DB5220"/>
    <w:rsid w:val="40EA5463"/>
    <w:rsid w:val="41A35612"/>
    <w:rsid w:val="42176F05"/>
    <w:rsid w:val="42F8373B"/>
    <w:rsid w:val="43347151"/>
    <w:rsid w:val="43AF4742"/>
    <w:rsid w:val="43E066A9"/>
    <w:rsid w:val="44024872"/>
    <w:rsid w:val="44663A00"/>
    <w:rsid w:val="45814100"/>
    <w:rsid w:val="460C5E7C"/>
    <w:rsid w:val="462C207A"/>
    <w:rsid w:val="463323E5"/>
    <w:rsid w:val="464867FB"/>
    <w:rsid w:val="46AF6BEF"/>
    <w:rsid w:val="47017063"/>
    <w:rsid w:val="470B7EE1"/>
    <w:rsid w:val="47215957"/>
    <w:rsid w:val="472B5BEA"/>
    <w:rsid w:val="47341AF5"/>
    <w:rsid w:val="47431429"/>
    <w:rsid w:val="476475F1"/>
    <w:rsid w:val="478D5304"/>
    <w:rsid w:val="47ED2FE3"/>
    <w:rsid w:val="48262F23"/>
    <w:rsid w:val="48912668"/>
    <w:rsid w:val="493C303F"/>
    <w:rsid w:val="4B5A1437"/>
    <w:rsid w:val="4B5F25AA"/>
    <w:rsid w:val="4B9108CB"/>
    <w:rsid w:val="4BFA3114"/>
    <w:rsid w:val="4C016A24"/>
    <w:rsid w:val="4CB16E35"/>
    <w:rsid w:val="4CDA2300"/>
    <w:rsid w:val="4D241CFD"/>
    <w:rsid w:val="4D3B2104"/>
    <w:rsid w:val="4D3C18AF"/>
    <w:rsid w:val="4D87403A"/>
    <w:rsid w:val="4DF47921"/>
    <w:rsid w:val="4DF94F37"/>
    <w:rsid w:val="4E1B4E0F"/>
    <w:rsid w:val="4E471E24"/>
    <w:rsid w:val="4E8A5B90"/>
    <w:rsid w:val="4EE96D5A"/>
    <w:rsid w:val="4F196F13"/>
    <w:rsid w:val="4F824AB9"/>
    <w:rsid w:val="4FA26F09"/>
    <w:rsid w:val="50926F7D"/>
    <w:rsid w:val="50B909AE"/>
    <w:rsid w:val="50CC5E28"/>
    <w:rsid w:val="51112598"/>
    <w:rsid w:val="515B6DB3"/>
    <w:rsid w:val="53AC0356"/>
    <w:rsid w:val="53D63625"/>
    <w:rsid w:val="54A146DC"/>
    <w:rsid w:val="55344346"/>
    <w:rsid w:val="55FB7373"/>
    <w:rsid w:val="561C5C67"/>
    <w:rsid w:val="56535401"/>
    <w:rsid w:val="56C13AF4"/>
    <w:rsid w:val="58307EDD"/>
    <w:rsid w:val="5A1B7FE4"/>
    <w:rsid w:val="5A276988"/>
    <w:rsid w:val="5A391297"/>
    <w:rsid w:val="5ACC12DE"/>
    <w:rsid w:val="5B2B3360"/>
    <w:rsid w:val="5BF82042"/>
    <w:rsid w:val="5C036109"/>
    <w:rsid w:val="5C46506C"/>
    <w:rsid w:val="5C6519EA"/>
    <w:rsid w:val="5CEC5C67"/>
    <w:rsid w:val="5CFF599B"/>
    <w:rsid w:val="5D6121B1"/>
    <w:rsid w:val="5D6B3030"/>
    <w:rsid w:val="5DDC3F2E"/>
    <w:rsid w:val="5E6737F7"/>
    <w:rsid w:val="5E8446A2"/>
    <w:rsid w:val="5EE96902"/>
    <w:rsid w:val="5EF1079F"/>
    <w:rsid w:val="5F2A0EE6"/>
    <w:rsid w:val="5F5F2B93"/>
    <w:rsid w:val="5F647790"/>
    <w:rsid w:val="5FB60B33"/>
    <w:rsid w:val="5FC44C79"/>
    <w:rsid w:val="5FF732A1"/>
    <w:rsid w:val="60B86359"/>
    <w:rsid w:val="60CF38D6"/>
    <w:rsid w:val="61204131"/>
    <w:rsid w:val="621C616D"/>
    <w:rsid w:val="63000BAD"/>
    <w:rsid w:val="6385628D"/>
    <w:rsid w:val="63EE0517"/>
    <w:rsid w:val="64790728"/>
    <w:rsid w:val="64CB232E"/>
    <w:rsid w:val="64DA2F24"/>
    <w:rsid w:val="64EA33D4"/>
    <w:rsid w:val="64EC2CA8"/>
    <w:rsid w:val="651B17E0"/>
    <w:rsid w:val="652C19F3"/>
    <w:rsid w:val="65A16B35"/>
    <w:rsid w:val="65C71020"/>
    <w:rsid w:val="664663E8"/>
    <w:rsid w:val="66CF739B"/>
    <w:rsid w:val="67112D47"/>
    <w:rsid w:val="678B5C94"/>
    <w:rsid w:val="688E17BF"/>
    <w:rsid w:val="68A11FFC"/>
    <w:rsid w:val="68B57855"/>
    <w:rsid w:val="68EE2F34"/>
    <w:rsid w:val="693D7717"/>
    <w:rsid w:val="69486B2F"/>
    <w:rsid w:val="6A0E546F"/>
    <w:rsid w:val="6A667059"/>
    <w:rsid w:val="6A69132C"/>
    <w:rsid w:val="6A9C2A7B"/>
    <w:rsid w:val="6B1D5272"/>
    <w:rsid w:val="6B420E5D"/>
    <w:rsid w:val="6B7E5C45"/>
    <w:rsid w:val="6BD31C32"/>
    <w:rsid w:val="6CB87914"/>
    <w:rsid w:val="6CC30793"/>
    <w:rsid w:val="6CE150BD"/>
    <w:rsid w:val="6D3976DD"/>
    <w:rsid w:val="6D9D5488"/>
    <w:rsid w:val="6DCA6491"/>
    <w:rsid w:val="6DDC69C7"/>
    <w:rsid w:val="6E0F459D"/>
    <w:rsid w:val="6E1A0886"/>
    <w:rsid w:val="6E4E0530"/>
    <w:rsid w:val="6E8C1058"/>
    <w:rsid w:val="6E95615F"/>
    <w:rsid w:val="6EBB1161"/>
    <w:rsid w:val="6F165AD9"/>
    <w:rsid w:val="6F525742"/>
    <w:rsid w:val="6FEA072C"/>
    <w:rsid w:val="70DC1E23"/>
    <w:rsid w:val="711710AD"/>
    <w:rsid w:val="71CB1E97"/>
    <w:rsid w:val="720B68F6"/>
    <w:rsid w:val="7242215A"/>
    <w:rsid w:val="72C15774"/>
    <w:rsid w:val="72F324B2"/>
    <w:rsid w:val="73320420"/>
    <w:rsid w:val="73467ECB"/>
    <w:rsid w:val="7383564F"/>
    <w:rsid w:val="73C66DBA"/>
    <w:rsid w:val="7429684B"/>
    <w:rsid w:val="742A559B"/>
    <w:rsid w:val="74B9247B"/>
    <w:rsid w:val="74CB0B2C"/>
    <w:rsid w:val="75267B11"/>
    <w:rsid w:val="757B5A44"/>
    <w:rsid w:val="75CB4B5C"/>
    <w:rsid w:val="75EF20B7"/>
    <w:rsid w:val="76191423"/>
    <w:rsid w:val="769E640E"/>
    <w:rsid w:val="76B63116"/>
    <w:rsid w:val="770E3E3F"/>
    <w:rsid w:val="773A5AF5"/>
    <w:rsid w:val="776112D4"/>
    <w:rsid w:val="778A0CF8"/>
    <w:rsid w:val="77A64F39"/>
    <w:rsid w:val="78A04DF9"/>
    <w:rsid w:val="78A43B6E"/>
    <w:rsid w:val="78B456D8"/>
    <w:rsid w:val="78EC2E1F"/>
    <w:rsid w:val="79586707"/>
    <w:rsid w:val="79796BE9"/>
    <w:rsid w:val="7A342CD0"/>
    <w:rsid w:val="7A401675"/>
    <w:rsid w:val="7A9633CD"/>
    <w:rsid w:val="7B2368A0"/>
    <w:rsid w:val="7B4474E6"/>
    <w:rsid w:val="7C4B60AF"/>
    <w:rsid w:val="7C815F74"/>
    <w:rsid w:val="7CB1685A"/>
    <w:rsid w:val="7DDA593C"/>
    <w:rsid w:val="7E1A21DD"/>
    <w:rsid w:val="7E9006F1"/>
    <w:rsid w:val="7F0569E9"/>
    <w:rsid w:val="7F253A6B"/>
    <w:rsid w:val="7F587460"/>
    <w:rsid w:val="7F796459"/>
    <w:rsid w:val="7F87380B"/>
    <w:rsid w:val="977F8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5" w:lineRule="auto"/>
      <w:outlineLvl w:val="1"/>
    </w:pPr>
    <w:rPr>
      <w:rFonts w:ascii="Arial" w:hAnsi="Arial" w:eastAsia="黑体"/>
      <w:b/>
      <w:sz w:val="32"/>
    </w:rPr>
  </w:style>
  <w:style w:type="paragraph" w:styleId="6">
    <w:name w:val="heading 3"/>
    <w:basedOn w:val="1"/>
    <w:next w:val="1"/>
    <w:qFormat/>
    <w:uiPriority w:val="0"/>
    <w:pPr>
      <w:keepNext/>
      <w:keepLines/>
      <w:spacing w:line="415" w:lineRule="auto"/>
      <w:outlineLvl w:val="2"/>
    </w:pPr>
    <w:rPr>
      <w:b/>
      <w:sz w:val="32"/>
    </w:rPr>
  </w:style>
  <w:style w:type="paragraph" w:styleId="7">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8">
    <w:name w:val="heading 5"/>
    <w:basedOn w:val="1"/>
    <w:next w:val="1"/>
    <w:qFormat/>
    <w:uiPriority w:val="0"/>
    <w:pPr>
      <w:keepNext/>
      <w:keepLines/>
      <w:adjustRightInd w:val="0"/>
      <w:spacing w:line="376" w:lineRule="atLeast"/>
      <w:outlineLvl w:val="4"/>
    </w:pPr>
    <w:rPr>
      <w:b/>
      <w:kern w:val="0"/>
      <w:sz w:val="28"/>
    </w:rPr>
  </w:style>
  <w:style w:type="paragraph" w:styleId="9">
    <w:name w:val="heading 6"/>
    <w:basedOn w:val="1"/>
    <w:next w:val="1"/>
    <w:qFormat/>
    <w:uiPriority w:val="0"/>
    <w:pPr>
      <w:keepNext/>
      <w:keepLines/>
      <w:adjustRightInd w:val="0"/>
      <w:spacing w:line="320" w:lineRule="atLeast"/>
      <w:outlineLvl w:val="5"/>
    </w:pPr>
    <w:rPr>
      <w:rFonts w:ascii="Arial" w:hAnsi="Arial" w:eastAsia="黑体"/>
      <w:b/>
      <w:kern w:val="0"/>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styleId="3">
    <w:name w:val="Body Text"/>
    <w:basedOn w:val="1"/>
    <w:next w:val="1"/>
    <w:qFormat/>
    <w:uiPriority w:val="0"/>
    <w:rPr>
      <w:b/>
      <w:sz w:val="28"/>
    </w:rPr>
  </w:style>
  <w:style w:type="paragraph" w:styleId="10">
    <w:name w:val="Normal Indent"/>
    <w:basedOn w:val="1"/>
    <w:qFormat/>
    <w:uiPriority w:val="0"/>
    <w:pPr>
      <w:ind w:firstLine="420"/>
    </w:pPr>
  </w:style>
  <w:style w:type="paragraph" w:styleId="11">
    <w:name w:val="annotation text"/>
    <w:basedOn w:val="1"/>
    <w:qFormat/>
    <w:uiPriority w:val="0"/>
    <w:pPr>
      <w:jc w:val="left"/>
    </w:pPr>
  </w:style>
  <w:style w:type="paragraph" w:styleId="12">
    <w:name w:val="Body Text Indent"/>
    <w:basedOn w:val="1"/>
    <w:qFormat/>
    <w:uiPriority w:val="0"/>
    <w:pPr>
      <w:ind w:left="1083" w:leftChars="30" w:hanging="1020" w:hangingChars="425"/>
    </w:pPr>
    <w:rPr>
      <w:rFonts w:ascii="宋体" w:hAnsi="宋体"/>
      <w:sz w:val="24"/>
    </w:rPr>
  </w:style>
  <w:style w:type="paragraph" w:styleId="13">
    <w:name w:val="Plain Text"/>
    <w:basedOn w:val="1"/>
    <w:next w:val="1"/>
    <w:qFormat/>
    <w:uiPriority w:val="0"/>
    <w:rPr>
      <w:rFonts w:ascii="宋体" w:hAnsi="Courier New"/>
      <w:sz w:val="24"/>
    </w:rPr>
  </w:style>
  <w:style w:type="paragraph" w:styleId="14">
    <w:name w:val="Body Text Indent 2"/>
    <w:basedOn w:val="1"/>
    <w:qFormat/>
    <w:uiPriority w:val="99"/>
    <w:pPr>
      <w:tabs>
        <w:tab w:val="left" w:pos="5625"/>
      </w:tabs>
      <w:ind w:left="1138" w:leftChars="542"/>
    </w:pPr>
    <w:rPr>
      <w:rFonts w:ascii="Times New Roman"/>
      <w:kern w:val="2"/>
    </w:rPr>
  </w:style>
  <w:style w:type="paragraph" w:styleId="15">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6">
    <w:name w:val="toc 1"/>
    <w:basedOn w:val="1"/>
    <w:next w:val="1"/>
    <w:qFormat/>
    <w:uiPriority w:val="39"/>
    <w:pPr>
      <w:jc w:val="left"/>
    </w:pPr>
    <w:rPr>
      <w:b/>
      <w:bCs/>
      <w:caps/>
      <w:sz w:val="20"/>
    </w:rPr>
  </w:style>
  <w:style w:type="paragraph" w:styleId="17">
    <w:name w:val="toc 2"/>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Normal (Web)"/>
    <w:basedOn w:val="1"/>
    <w:qFormat/>
    <w:uiPriority w:val="99"/>
    <w:pPr>
      <w:widowControl/>
      <w:spacing w:beforeAutospacing="1" w:afterAutospacing="1"/>
      <w:jc w:val="left"/>
    </w:pPr>
    <w:rPr>
      <w:rFonts w:ascii="宋体" w:hAnsi="宋体"/>
      <w:kern w:val="0"/>
      <w:sz w:val="24"/>
    </w:rPr>
  </w:style>
  <w:style w:type="paragraph" w:styleId="19">
    <w:name w:val="Body Text First Indent"/>
    <w:basedOn w:val="3"/>
    <w:qFormat/>
    <w:uiPriority w:val="0"/>
    <w:pPr>
      <w:adjustRightInd w:val="0"/>
      <w:ind w:firstLine="420"/>
      <w:jc w:val="left"/>
      <w:textAlignment w:val="baseline"/>
    </w:pPr>
    <w:rPr>
      <w:b w:val="0"/>
      <w:kern w:val="0"/>
      <w:sz w:val="21"/>
    </w:rPr>
  </w:style>
  <w:style w:type="paragraph" w:styleId="20">
    <w:name w:val="Body Text First Indent 2"/>
    <w:basedOn w:val="12"/>
    <w:next w:val="1"/>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qFormat/>
    <w:uiPriority w:val="99"/>
    <w:rPr>
      <w:rFonts w:hint="eastAsia" w:ascii="宋体" w:hAnsi="宋体" w:eastAsia="宋体" w:cs="宋体"/>
      <w:color w:val="000000"/>
      <w:sz w:val="18"/>
      <w:szCs w:val="18"/>
      <w:u w:val="none"/>
    </w:rPr>
  </w:style>
  <w:style w:type="character" w:styleId="33">
    <w:name w:val="HTML Code"/>
    <w:basedOn w:val="23"/>
    <w:qFormat/>
    <w:uiPriority w:val="0"/>
    <w:rPr>
      <w:rFonts w:hint="default"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character" w:customStyle="1" w:styleId="37">
    <w:name w:val="beforeinfotext"/>
    <w:qFormat/>
    <w:uiPriority w:val="0"/>
    <w:rPr>
      <w:color w:val="666666"/>
      <w:szCs w:val="24"/>
    </w:rPr>
  </w:style>
  <w:style w:type="paragraph" w:customStyle="1" w:styleId="38">
    <w:name w:val="hidinshow"/>
    <w:basedOn w:val="1"/>
    <w:qFormat/>
    <w:uiPriority w:val="0"/>
    <w:pPr>
      <w:widowControl/>
      <w:jc w:val="left"/>
    </w:pPr>
    <w:rPr>
      <w:rFonts w:ascii="宋体" w:hAnsi="宋体"/>
      <w:vanish/>
      <w:kern w:val="0"/>
      <w:sz w:val="24"/>
      <w:szCs w:val="24"/>
    </w:rPr>
  </w:style>
  <w:style w:type="paragraph" w:customStyle="1" w:styleId="39">
    <w:name w:val="首行缩进"/>
    <w:basedOn w:val="1"/>
    <w:qFormat/>
    <w:uiPriority w:val="0"/>
    <w:pPr>
      <w:spacing w:line="360" w:lineRule="auto"/>
      <w:ind w:firstLine="480" w:firstLineChars="200"/>
    </w:pPr>
    <w:rPr>
      <w:rFonts w:ascii="宋体" w:hAnsi="宋体" w:cs="宋体"/>
      <w:kern w:val="0"/>
      <w:sz w:val="24"/>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41">
    <w:name w:val="mini-outputtext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12264</Words>
  <Characters>13696</Characters>
  <Lines>0</Lines>
  <Paragraphs>0</Paragraphs>
  <TotalTime>3</TotalTime>
  <ScaleCrop>false</ScaleCrop>
  <LinksUpToDate>false</LinksUpToDate>
  <CharactersWithSpaces>13972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2023-10-11T19:39:00Z</dcterms:created>
  <dc:creator>Lenovo</dc:creator>
  <cp:lastModifiedBy>两情相悦</cp:lastModifiedBy>
  <cp:lastPrinted>2025-06-20T07:19:00Z</cp:lastPrinted>
  <dcterms:modified xsi:type="dcterms:W3CDTF">2025-09-25T09:43:30Z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C47A4297FCB7419D8E62BB16D1E404FF_13</vt:lpwstr>
  </property>
  <property fmtid="{D5CDD505-2E9C-101B-9397-08002B2CF9AE}" pid="4" name="KSOTemplateDocerSaveRecord">
    <vt:lpwstr>eyJoZGlkIjoiNTlkYzBjNGI3MDczYmY0MWRmZjFkOWM0MzQ1ZDM0MWIiLCJ1c2VySWQiOiI0NzI2OTg0NjMifQ==</vt:lpwstr>
  </property>
</Properties>
</file>