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3"/>
        <w:gridCol w:w="1250"/>
        <w:gridCol w:w="5824"/>
      </w:tblGrid>
      <w:tr w14:paraId="5C2B2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2BFA3AF">
            <w:pPr>
              <w:pStyle w:val="4"/>
            </w:pPr>
            <w:r>
              <w:rPr>
                <w:rFonts w:ascii="仿宋_GB2312" w:hAnsi="仿宋_GB2312" w:eastAsia="仿宋_GB2312" w:cs="仿宋_GB2312"/>
              </w:rPr>
              <w:t xml:space="preserve"> 序号</w:t>
            </w:r>
          </w:p>
        </w:tc>
        <w:tc>
          <w:tcPr>
            <w:tcW w:w="1250" w:type="dxa"/>
          </w:tcPr>
          <w:p w14:paraId="2848D3F7">
            <w:pPr>
              <w:pStyle w:val="4"/>
            </w:pPr>
            <w:r>
              <w:rPr>
                <w:rFonts w:ascii="仿宋_GB2312" w:hAnsi="仿宋_GB2312" w:eastAsia="仿宋_GB2312" w:cs="仿宋_GB2312"/>
              </w:rPr>
              <w:t xml:space="preserve"> 参数性质</w:t>
            </w:r>
          </w:p>
        </w:tc>
        <w:tc>
          <w:tcPr>
            <w:tcW w:w="5824" w:type="dxa"/>
          </w:tcPr>
          <w:p w14:paraId="03529B80">
            <w:pPr>
              <w:pStyle w:val="4"/>
            </w:pPr>
            <w:r>
              <w:rPr>
                <w:rFonts w:ascii="仿宋_GB2312" w:hAnsi="仿宋_GB2312" w:eastAsia="仿宋_GB2312" w:cs="仿宋_GB2312"/>
              </w:rPr>
              <w:t xml:space="preserve"> 技术参数与性能指标</w:t>
            </w:r>
          </w:p>
        </w:tc>
      </w:tr>
      <w:tr w14:paraId="27ACF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5763E02">
            <w:pPr>
              <w:pStyle w:val="4"/>
            </w:pPr>
            <w:r>
              <w:rPr>
                <w:rFonts w:ascii="仿宋_GB2312" w:hAnsi="仿宋_GB2312" w:eastAsia="仿宋_GB2312" w:cs="仿宋_GB2312"/>
              </w:rPr>
              <w:t>1</w:t>
            </w:r>
          </w:p>
        </w:tc>
        <w:tc>
          <w:tcPr>
            <w:tcW w:w="1250" w:type="dxa"/>
          </w:tcPr>
          <w:p w14:paraId="0606040C"/>
        </w:tc>
        <w:tc>
          <w:tcPr>
            <w:tcW w:w="5824" w:type="dxa"/>
          </w:tcPr>
          <w:p w14:paraId="55F6742D">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t>一、项目概况</w:t>
            </w:r>
          </w:p>
          <w:p w14:paraId="3841A19D">
            <w:pPr>
              <w:pStyle w:val="4"/>
              <w:rPr>
                <w:rFonts w:ascii="仿宋_GB2312" w:hAnsi="仿宋_GB2312" w:eastAsia="仿宋_GB2312" w:cs="仿宋_GB2312"/>
              </w:rPr>
            </w:pPr>
            <w:r>
              <w:rPr>
                <w:rFonts w:hint="eastAsia" w:ascii="仿宋_GB2312" w:hAnsi="仿宋_GB2312" w:eastAsia="仿宋_GB2312" w:cs="仿宋_GB2312"/>
                <w:lang w:val="en" w:eastAsia="zh-CN"/>
              </w:rPr>
              <w:t>根据西安市发改委等部门《关于做好全市&lt;中国开发区审核公告目录&gt;修订省级初审上报后有关工作的通知》及市商务局《关于做好深化经开区管理制度改革相关工作的通知》要求，</w:t>
            </w:r>
            <w:r>
              <w:rPr>
                <w:rFonts w:hint="eastAsia" w:ascii="仿宋_GB2312" w:hAnsi="仿宋_GB2312" w:eastAsia="仿宋_GB2312" w:cs="仿宋_GB2312"/>
                <w:lang w:val="en-US" w:eastAsia="zh-CN"/>
              </w:rPr>
              <w:t>需</w:t>
            </w:r>
            <w:r>
              <w:rPr>
                <w:rFonts w:hint="eastAsia" w:ascii="仿宋_GB2312" w:hAnsi="仿宋_GB2312" w:eastAsia="仿宋_GB2312" w:cs="仿宋_GB2312"/>
                <w:lang w:val="en" w:eastAsia="zh-CN"/>
              </w:rPr>
              <w:t>完成总体发展规划、产业发展规划</w:t>
            </w:r>
            <w:r>
              <w:rPr>
                <w:rFonts w:hint="eastAsia" w:ascii="仿宋_GB2312" w:hAnsi="仿宋_GB2312" w:eastAsia="仿宋_GB2312" w:cs="仿宋_GB2312"/>
                <w:lang w:val="en-US" w:eastAsia="zh-CN"/>
              </w:rPr>
              <w:t>等内容</w:t>
            </w:r>
            <w:r>
              <w:rPr>
                <w:rFonts w:hint="eastAsia" w:ascii="仿宋_GB2312" w:hAnsi="仿宋_GB2312" w:eastAsia="仿宋_GB2312" w:cs="仿宋_GB2312"/>
                <w:lang w:val="en" w:eastAsia="zh-CN"/>
              </w:rPr>
              <w:t>，报</w:t>
            </w:r>
            <w:r>
              <w:rPr>
                <w:rFonts w:hint="eastAsia" w:ascii="仿宋_GB2312" w:hAnsi="仿宋_GB2312" w:eastAsia="仿宋_GB2312" w:cs="仿宋_GB2312"/>
                <w:lang w:val="en-US" w:eastAsia="zh-CN"/>
              </w:rPr>
              <w:t>省级行政主管部门</w:t>
            </w:r>
            <w:r>
              <w:rPr>
                <w:rFonts w:hint="eastAsia" w:ascii="仿宋_GB2312" w:hAnsi="仿宋_GB2312" w:eastAsia="仿宋_GB2312" w:cs="仿宋_GB2312"/>
                <w:lang w:val="en" w:eastAsia="zh-CN"/>
              </w:rPr>
              <w:t>审核并出具意见。结合我区实际情况，选取一家第三方机构负责编修产业发展规划、总体发展规划。</w:t>
            </w:r>
          </w:p>
        </w:tc>
      </w:tr>
      <w:tr w14:paraId="205B0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3A737974">
            <w:pPr>
              <w:pStyle w:val="4"/>
            </w:pPr>
            <w:r>
              <w:rPr>
                <w:rFonts w:ascii="仿宋_GB2312" w:hAnsi="仿宋_GB2312" w:eastAsia="仿宋_GB2312" w:cs="仿宋_GB2312"/>
              </w:rPr>
              <w:t>2</w:t>
            </w:r>
          </w:p>
        </w:tc>
        <w:tc>
          <w:tcPr>
            <w:tcW w:w="1250" w:type="dxa"/>
          </w:tcPr>
          <w:p w14:paraId="669C79E2"/>
        </w:tc>
        <w:tc>
          <w:tcPr>
            <w:tcW w:w="5824" w:type="dxa"/>
          </w:tcPr>
          <w:p w14:paraId="049C4E59">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t>二、服务内容</w:t>
            </w:r>
          </w:p>
          <w:p w14:paraId="56778227">
            <w:pPr>
              <w:pStyle w:val="4"/>
              <w:rPr>
                <w:rFonts w:hint="eastAsia" w:ascii="仿宋_GB2312" w:hAnsi="仿宋_GB2312" w:eastAsia="仿宋_GB2312" w:cs="仿宋_GB2312"/>
                <w:lang w:eastAsia="zh-CN"/>
              </w:rPr>
            </w:pPr>
            <w:r>
              <w:rPr>
                <w:rFonts w:hint="default" w:ascii="仿宋_GB2312" w:hAnsi="仿宋_GB2312" w:eastAsia="仿宋_GB2312" w:cs="仿宋_GB2312"/>
                <w:lang w:val="en" w:eastAsia="zh-CN"/>
              </w:rPr>
              <w:t>总体发展规划：</w:t>
            </w:r>
            <w:r>
              <w:rPr>
                <w:rFonts w:hint="eastAsia" w:ascii="仿宋_GB2312" w:hAnsi="仿宋_GB2312" w:eastAsia="仿宋_GB2312" w:cs="仿宋_GB2312"/>
                <w:lang w:eastAsia="zh-CN"/>
              </w:rPr>
              <w:t>西安浐灞国际港总体发展规</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划由西安浐灞国际港管理委员会委托开展，</w:t>
            </w:r>
            <w:r>
              <w:rPr>
                <w:rFonts w:hint="eastAsia" w:ascii="仿宋_GB2312" w:hAnsi="仿宋_GB2312" w:eastAsia="仿宋_GB2312" w:cs="仿宋_GB2312"/>
              </w:rPr>
              <w:t>立足“西安城市高质量发展示范区”的战略定位，全面系统分析西安</w:t>
            </w:r>
            <w:r>
              <w:rPr>
                <w:rFonts w:hint="eastAsia" w:ascii="仿宋_GB2312" w:hAnsi="仿宋_GB2312" w:eastAsia="仿宋_GB2312" w:cs="仿宋_GB2312"/>
                <w:lang w:eastAsia="zh-CN"/>
              </w:rPr>
              <w:t>浐</w:t>
            </w:r>
            <w:r>
              <w:rPr>
                <w:rFonts w:hint="eastAsia" w:ascii="仿宋_GB2312" w:hAnsi="仿宋_GB2312" w:eastAsia="仿宋_GB2312" w:cs="仿宋_GB2312"/>
              </w:rPr>
              <w:t>灞国际港开发区在区域中的战略角色与发展方向，明确西安</w:t>
            </w:r>
            <w:r>
              <w:rPr>
                <w:rFonts w:hint="eastAsia" w:ascii="仿宋_GB2312" w:hAnsi="仿宋_GB2312" w:eastAsia="仿宋_GB2312" w:cs="仿宋_GB2312"/>
                <w:lang w:eastAsia="zh-CN"/>
              </w:rPr>
              <w:t>浐</w:t>
            </w:r>
            <w:r>
              <w:rPr>
                <w:rFonts w:hint="eastAsia" w:ascii="仿宋_GB2312" w:hAnsi="仿宋_GB2312" w:eastAsia="仿宋_GB2312" w:cs="仿宋_GB2312"/>
              </w:rPr>
              <w:t>灞国际港未来城市发展方向，遵循以人为本、生态优先、区域协调、产业驱动、创新发展的发展理念，重新架构西安</w:t>
            </w:r>
            <w:r>
              <w:rPr>
                <w:rFonts w:hint="eastAsia" w:ascii="仿宋_GB2312" w:hAnsi="仿宋_GB2312" w:eastAsia="仿宋_GB2312" w:cs="仿宋_GB2312"/>
                <w:lang w:eastAsia="zh-CN"/>
              </w:rPr>
              <w:t>浐</w:t>
            </w:r>
            <w:r>
              <w:rPr>
                <w:rFonts w:hint="eastAsia" w:ascii="仿宋_GB2312" w:hAnsi="仿宋_GB2312" w:eastAsia="仿宋_GB2312" w:cs="仿宋_GB2312"/>
              </w:rPr>
              <w:t>灞国际港在西安城市东部片区的功能关系，形成“港产城一体化”，生态宜居、产城融合的城市发展新格局，引领全区科学发展、有序发展、高质量发展。</w:t>
            </w:r>
            <w:r>
              <w:rPr>
                <w:rFonts w:hint="eastAsia" w:ascii="仿宋_GB2312" w:hAnsi="仿宋_GB2312" w:eastAsia="仿宋_GB2312" w:cs="仿宋_GB2312"/>
                <w:lang w:eastAsia="zh-CN"/>
              </w:rPr>
              <w:t>总体规划成果包括但不限于：背景研究、现状分析、规划愿景和策略、功能结构分区、用地布局规划总平面图、道路交通系统规划图、绿地系统规划、产业发展布局、公共设施布局规划、市政公用设施规划、分期开发及时序策略、其他表达设计意图的图纸和文字。</w:t>
            </w:r>
          </w:p>
          <w:p w14:paraId="18ADAD4C">
            <w:pPr>
              <w:pStyle w:val="4"/>
            </w:pPr>
            <w:r>
              <w:rPr>
                <w:rFonts w:hint="default" w:ascii="仿宋_GB2312" w:hAnsi="仿宋_GB2312" w:eastAsia="仿宋_GB2312" w:cs="仿宋_GB2312"/>
                <w:lang w:val="en" w:eastAsia="zh-CN"/>
              </w:rPr>
              <w:t>产业发展规划：</w:t>
            </w:r>
            <w:r>
              <w:rPr>
                <w:rFonts w:hint="eastAsia" w:ascii="仿宋_GB2312" w:hAnsi="仿宋_GB2312" w:eastAsia="仿宋_GB2312" w:cs="仿宋_GB2312"/>
                <w:lang w:eastAsia="zh-CN"/>
              </w:rPr>
              <w:t>根据《陕西省商务厅关于做好深化全省经开区管理制度改革相关工作的通知》要求，西安浐灞国际港管理委员会委托开展西安浐灞国际港产业发展规划编制工作。全面系统分析西安浐灞国际港产业发展现状、发展条件评价和面临问题等。</w:t>
            </w:r>
            <w:r>
              <w:rPr>
                <w:rFonts w:hint="eastAsia" w:ascii="仿宋_GB2312" w:hAnsi="仿宋_GB2312" w:eastAsia="仿宋_GB2312" w:cs="仿宋_GB2312"/>
                <w:lang w:val="en-US" w:eastAsia="zh-CN"/>
              </w:rPr>
              <w:t>在此基础上，本次规划将通过全面实施产业摸底调研，聚焦“通道经济”向“枢纽经济”转型、临港产业向新业态培育迈进，产业结构向“新质生产力”调整梳理整体思路，挖掘优劣势，制定发展目标、清晰空间布局、梳理重点任务、谋划重点项目。以产业升级、空间优化与制度创新为核心，突出</w:t>
            </w:r>
            <w:r>
              <w:rPr>
                <w:rFonts w:hint="eastAsia" w:ascii="仿宋_GB2312" w:hAnsi="仿宋_GB2312" w:eastAsia="仿宋_GB2312" w:cs="仿宋_GB2312"/>
              </w:rPr>
              <w:t>国家物流枢纽特色</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强调规划的落地性，明确未来浐灞国际港产业发展总体部署，为全产业发展提供科学指引。</w:t>
            </w:r>
            <w:r>
              <w:rPr>
                <w:rFonts w:hint="eastAsia" w:ascii="仿宋_GB2312" w:hAnsi="仿宋_GB2312" w:eastAsia="仿宋_GB2312" w:cs="仿宋_GB2312"/>
                <w:lang w:eastAsia="zh-CN"/>
              </w:rPr>
              <w:t>产业规划成果包括但不限于：规划背景、产业发展要素、产业发展优劣势分析和外部环境分析、产业发展基本原则、主导产业发展思路、各产业板块布局、产业发展路径、产业发展支撑保障、表达设计意图的图纸和文字。</w:t>
            </w:r>
          </w:p>
        </w:tc>
      </w:tr>
      <w:tr w14:paraId="3ACFE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3" w:type="dxa"/>
          </w:tcPr>
          <w:p w14:paraId="49DFA954">
            <w:pPr>
              <w:pStyle w:val="4"/>
            </w:pPr>
            <w:r>
              <w:rPr>
                <w:rFonts w:ascii="仿宋_GB2312" w:hAnsi="仿宋_GB2312" w:eastAsia="仿宋_GB2312" w:cs="仿宋_GB2312"/>
              </w:rPr>
              <w:t>3</w:t>
            </w:r>
          </w:p>
        </w:tc>
        <w:tc>
          <w:tcPr>
            <w:tcW w:w="1250" w:type="dxa"/>
          </w:tcPr>
          <w:p w14:paraId="7E90B5A6"/>
        </w:tc>
        <w:tc>
          <w:tcPr>
            <w:tcW w:w="5824" w:type="dxa"/>
          </w:tcPr>
          <w:p w14:paraId="52414868">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t>三、技术要求</w:t>
            </w:r>
          </w:p>
          <w:p w14:paraId="53CF5F47">
            <w:pPr>
              <w:pStyle w:val="4"/>
            </w:pPr>
            <w:r>
              <w:rPr>
                <w:rFonts w:hint="eastAsia" w:ascii="仿宋_GB2312" w:hAnsi="仿宋_GB2312" w:eastAsia="仿宋_GB2312" w:cs="仿宋_GB2312"/>
              </w:rPr>
              <w:t>设计过程严格按照 ISO 质量管理体系运行，以项目负责人为核心进行项目质量管理，总规划师进行技术把关，确保产品合格率达到 100%。同时，设计标准严格执行国家、地方及行业设计标准、规范、规程等，做到规划设计成果规范化、标准化，全力配合实现优秀规划设计的质量目标。</w:t>
            </w:r>
          </w:p>
        </w:tc>
      </w:tr>
      <w:tr w14:paraId="64C9A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03" w:hRule="atLeast"/>
        </w:trPr>
        <w:tc>
          <w:tcPr>
            <w:tcW w:w="1233" w:type="dxa"/>
          </w:tcPr>
          <w:p w14:paraId="5E9FCB30">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250" w:type="dxa"/>
          </w:tcPr>
          <w:p w14:paraId="44113E48"/>
        </w:tc>
        <w:tc>
          <w:tcPr>
            <w:tcW w:w="5824" w:type="dxa"/>
          </w:tcPr>
          <w:p w14:paraId="6350170D">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t>四、服务要求</w:t>
            </w:r>
          </w:p>
          <w:p w14:paraId="01F5202A">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t>1.评价程序需符合国家有关规定要求，通过行政主管部门或评审评估机构的技术审查，并取得审查意见。</w:t>
            </w:r>
          </w:p>
          <w:p w14:paraId="60B8E7A9">
            <w:pPr>
              <w:pStyle w:val="4"/>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组织针对本项目的专项调研，并及时沟通调研成果，规划过程中的一般问题应由专业规划设计人员负责处理，并及时将处理结果向总规划师汇报，重大事项由总规划师及时向西安浐灞国际港管理委员会汇报，特殊问题应会同西安浐灞国际港管理委员会方进行专题讨论和研究，必要时进行专题研讨，请教业内专家，切实保证规划质量。</w:t>
            </w:r>
          </w:p>
        </w:tc>
      </w:tr>
    </w:tbl>
    <w:p w14:paraId="4B9FA91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9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2025-10-16T10:36:16Z</dcterms:created>
  <dc:creator>Administrator</dc:creator>
  <cp:lastModifiedBy>Jun</cp:lastModifiedBy>
  <dcterms:modified xsi:type="dcterms:W3CDTF">2025-10-16T10:36:38Z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eyJoZGlkIjoiZDU3NDQxYWM0MTczYjBhMzlmYjdkYmMwMzBhMmYwMWMiLCJ1c2VySWQiOiIyNTQ0OTA1OTQifQ==</vt:lpwstr>
  </property>
  <property fmtid="{D5CDD505-2E9C-101B-9397-08002B2CF9AE}" pid="4" name="ICV">
    <vt:lpwstr>D6FE0D96730242778CE94246BFB9F9F5_12</vt:lpwstr>
  </property>
</Properties>
</file>