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89216">
      <w:pPr>
        <w:spacing w:line="240" w:lineRule="auto"/>
        <w:jc w:val="center"/>
        <w:rPr>
          <w:sz w:val="52"/>
          <w:szCs w:val="52"/>
        </w:rPr>
      </w:pPr>
    </w:p>
    <w:p w14:paraId="10532C6A">
      <w:pPr>
        <w:spacing w:line="240" w:lineRule="auto"/>
        <w:rPr>
          <w:sz w:val="52"/>
          <w:szCs w:val="52"/>
        </w:rPr>
      </w:pPr>
    </w:p>
    <w:p w14:paraId="1C11FA74">
      <w:pPr>
        <w:spacing w:line="240" w:lineRule="auto"/>
        <w:jc w:val="center"/>
        <w:rPr>
          <w:rFonts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kern w:val="0"/>
          <w:sz w:val="96"/>
          <w:szCs w:val="96"/>
        </w:rPr>
        <w:t>汉中市政府采购中心</w:t>
      </w:r>
    </w:p>
    <w:p w14:paraId="277E0C03">
      <w:pPr>
        <w:spacing w:line="240" w:lineRule="auto"/>
        <w:jc w:val="center"/>
        <w:rPr>
          <w:rFonts w:ascii="黑体" w:hAnsi="黑体" w:eastAsia="黑体" w:cs="黑体"/>
          <w:bCs/>
          <w:sz w:val="96"/>
          <w:szCs w:val="96"/>
        </w:rPr>
      </w:pPr>
      <w:r>
        <w:rPr>
          <w:rFonts w:hint="eastAsia" w:ascii="方正小标宋简体" w:hAnsi="方正小标宋简体" w:eastAsia="方正小标宋简体" w:cs="方正小标宋简体"/>
          <w:bCs/>
          <w:kern w:val="0"/>
          <w:sz w:val="96"/>
          <w:szCs w:val="96"/>
        </w:rPr>
        <w:t>竞争性磋商文件</w:t>
      </w:r>
    </w:p>
    <w:p w14:paraId="63C5AEA6">
      <w:pPr>
        <w:pStyle w:val="37"/>
        <w:spacing w:line="240" w:lineRule="auto"/>
        <w:ind w:right="424" w:rightChars="150" w:firstLine="0" w:firstLineChars="0"/>
        <w:jc w:val="center"/>
        <w:rPr>
          <w:rFonts w:ascii="仿宋_GB2312" w:hAnsi="仿宋_GB2312" w:eastAsia="仿宋_GB2312" w:cs="仿宋_GB2312"/>
          <w:sz w:val="36"/>
          <w:szCs w:val="36"/>
        </w:rPr>
      </w:pPr>
      <w:r>
        <w:rPr>
          <w:rFonts w:hint="eastAsia" w:ascii="仿宋_GB2312" w:hAnsi="仿宋_GB2312" w:eastAsia="仿宋_GB2312" w:cs="仿宋_GB2312"/>
          <w:sz w:val="44"/>
          <w:szCs w:val="44"/>
        </w:rPr>
        <w:t>（专门面向小微企业采购）</w:t>
      </w:r>
    </w:p>
    <w:p w14:paraId="74A39B95">
      <w:pPr>
        <w:spacing w:line="240" w:lineRule="auto"/>
        <w:ind w:left="2539" w:leftChars="256" w:right="707" w:rightChars="250" w:hanging="1815" w:hangingChars="500"/>
        <w:jc w:val="left"/>
        <w:rPr>
          <w:rFonts w:ascii="仿宋_GB2312" w:hAnsi="仿宋_GB2312" w:eastAsia="仿宋_GB2312" w:cs="仿宋_GB2312"/>
          <w:sz w:val="36"/>
          <w:szCs w:val="36"/>
        </w:rPr>
      </w:pPr>
    </w:p>
    <w:p w14:paraId="6D1C18DF">
      <w:pPr>
        <w:spacing w:line="240" w:lineRule="auto"/>
        <w:ind w:left="2539" w:leftChars="256" w:right="707" w:rightChars="250" w:hanging="1815" w:hangingChars="500"/>
        <w:jc w:val="left"/>
        <w:rPr>
          <w:rFonts w:ascii="仿宋_GB2312" w:hAnsi="仿宋_GB2312" w:eastAsia="仿宋_GB2312" w:cs="仿宋_GB2312"/>
          <w:w w:val="95"/>
          <w:sz w:val="36"/>
          <w:szCs w:val="36"/>
          <w:highlight w:val="yellow"/>
        </w:rPr>
      </w:pPr>
      <w:r>
        <w:rPr>
          <w:rFonts w:hint="eastAsia" w:ascii="仿宋_GB2312" w:hAnsi="仿宋_GB2312" w:eastAsia="仿宋_GB2312" w:cs="仿宋_GB2312"/>
          <w:sz w:val="36"/>
          <w:szCs w:val="36"/>
        </w:rPr>
        <w:t>项目名称：</w:t>
      </w:r>
      <w:r>
        <w:rPr>
          <w:rFonts w:hint="eastAsia" w:ascii="仿宋_GB2312" w:hAnsi="仿宋_GB2312" w:eastAsia="仿宋_GB2312" w:cs="仿宋_GB2312"/>
          <w:sz w:val="36"/>
          <w:szCs w:val="36"/>
          <w:lang w:val="en-US" w:eastAsia="zh-CN"/>
        </w:rPr>
        <w:t>汉中市救助站未成年人保护中心现有场地装修采</w:t>
      </w:r>
      <w:r>
        <w:rPr>
          <w:rFonts w:hint="eastAsia" w:ascii="仿宋_GB2312" w:hAnsi="仿宋_GB2312" w:eastAsia="仿宋_GB2312" w:cs="仿宋_GB2312"/>
          <w:sz w:val="36"/>
          <w:szCs w:val="36"/>
        </w:rPr>
        <w:t>购项目</w:t>
      </w:r>
    </w:p>
    <w:p w14:paraId="5CC031FB">
      <w:pPr>
        <w:spacing w:line="240" w:lineRule="auto"/>
        <w:ind w:left="2539" w:leftChars="256" w:right="707" w:rightChars="250" w:hanging="1815" w:hangingChars="5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项目编号：汉采GC【2025】</w:t>
      </w:r>
      <w:r>
        <w:rPr>
          <w:rFonts w:hint="eastAsia" w:ascii="仿宋_GB2312" w:hAnsi="仿宋_GB2312" w:eastAsia="仿宋_GB2312" w:cs="仿宋_GB2312"/>
          <w:sz w:val="36"/>
          <w:szCs w:val="36"/>
          <w:lang w:val="en-US" w:eastAsia="zh-CN"/>
        </w:rPr>
        <w:t>9</w:t>
      </w:r>
      <w:r>
        <w:rPr>
          <w:rFonts w:hint="eastAsia" w:ascii="仿宋_GB2312" w:hAnsi="仿宋_GB2312" w:eastAsia="仿宋_GB2312" w:cs="仿宋_GB2312"/>
          <w:sz w:val="36"/>
          <w:szCs w:val="36"/>
        </w:rPr>
        <w:t>号</w:t>
      </w:r>
    </w:p>
    <w:p w14:paraId="7E0637AD">
      <w:pPr>
        <w:spacing w:line="240" w:lineRule="auto"/>
        <w:ind w:right="424" w:rightChars="150" w:firstLine="726" w:firstLineChars="200"/>
        <w:rPr>
          <w:rFonts w:ascii="仿宋_GB2312" w:hAnsi="仿宋_GB2312" w:eastAsia="仿宋_GB2312" w:cs="仿宋_GB2312"/>
          <w:sz w:val="36"/>
          <w:szCs w:val="36"/>
        </w:rPr>
      </w:pPr>
    </w:p>
    <w:p w14:paraId="30E83510">
      <w:pPr>
        <w:spacing w:line="240" w:lineRule="auto"/>
        <w:jc w:val="center"/>
        <w:rPr>
          <w:rFonts w:ascii="仿宋_GB2312" w:hAnsi="仿宋_GB2312" w:eastAsia="仿宋_GB2312" w:cs="仿宋_GB2312"/>
          <w:sz w:val="36"/>
          <w:szCs w:val="36"/>
        </w:rPr>
      </w:pPr>
    </w:p>
    <w:p w14:paraId="71763949">
      <w:pPr>
        <w:pStyle w:val="8"/>
        <w:rPr>
          <w:rFonts w:ascii="仿宋_GB2312" w:hAnsi="仿宋_GB2312" w:eastAsia="仿宋_GB2312" w:cs="仿宋_GB2312"/>
          <w:sz w:val="36"/>
          <w:szCs w:val="36"/>
        </w:rPr>
      </w:pPr>
    </w:p>
    <w:p w14:paraId="4F061205">
      <w:pPr>
        <w:rPr>
          <w:rFonts w:ascii="仿宋_GB2312" w:hAnsi="仿宋_GB2312" w:eastAsia="仿宋_GB2312" w:cs="仿宋_GB2312"/>
          <w:sz w:val="36"/>
          <w:szCs w:val="36"/>
        </w:rPr>
      </w:pPr>
    </w:p>
    <w:p w14:paraId="6D673D61">
      <w:pPr>
        <w:rPr>
          <w:rFonts w:ascii="仿宋_GB2312" w:hAnsi="仿宋_GB2312" w:eastAsia="仿宋_GB2312" w:cs="仿宋_GB2312"/>
        </w:rPr>
      </w:pPr>
    </w:p>
    <w:p w14:paraId="30E7548B">
      <w:pPr>
        <w:spacing w:line="240" w:lineRule="auto"/>
        <w:ind w:firstLine="3101" w:firstLineChars="700"/>
        <w:rPr>
          <w:rFonts w:ascii="仿宋_GB2312" w:hAnsi="仿宋_GB2312" w:eastAsia="仿宋_GB2312" w:cs="仿宋_GB2312"/>
          <w:sz w:val="44"/>
          <w:szCs w:val="44"/>
        </w:rPr>
      </w:pPr>
      <w:r>
        <w:rPr>
          <w:rFonts w:hint="eastAsia" w:ascii="仿宋_GB2312" w:hAnsi="仿宋_GB2312" w:eastAsia="仿宋_GB2312" w:cs="仿宋_GB2312"/>
          <w:sz w:val="44"/>
          <w:szCs w:val="44"/>
        </w:rPr>
        <w:t>2025年</w:t>
      </w:r>
      <w:r>
        <w:rPr>
          <w:rFonts w:hint="eastAsia" w:ascii="仿宋_GB2312" w:hAnsi="仿宋_GB2312" w:eastAsia="仿宋_GB2312" w:cs="仿宋_GB2312"/>
          <w:sz w:val="44"/>
          <w:szCs w:val="44"/>
          <w:lang w:val="en-US" w:eastAsia="zh-CN"/>
        </w:rPr>
        <w:t>10</w:t>
      </w:r>
      <w:r>
        <w:rPr>
          <w:rFonts w:hint="eastAsia" w:ascii="仿宋_GB2312" w:hAnsi="仿宋_GB2312" w:eastAsia="仿宋_GB2312" w:cs="仿宋_GB2312"/>
          <w:sz w:val="44"/>
          <w:szCs w:val="44"/>
        </w:rPr>
        <w:t>月</w:t>
      </w:r>
      <w:r>
        <w:rPr>
          <w:rFonts w:hint="eastAsia" w:ascii="仿宋_GB2312" w:hAnsi="仿宋_GB2312" w:eastAsia="仿宋_GB2312" w:cs="仿宋_GB2312"/>
          <w:sz w:val="44"/>
          <w:szCs w:val="44"/>
          <w:lang w:val="en-US" w:eastAsia="zh-CN"/>
        </w:rPr>
        <w:t xml:space="preserve"> </w:t>
      </w:r>
      <w:bookmarkStart w:id="0" w:name="_Toc30102_WPSOffice_Level1"/>
      <w:bookmarkStart w:id="1" w:name="_Toc30340_WPSOffice_Level1"/>
      <w:bookmarkStart w:id="2" w:name="_Toc10222_WPSOffice_Level1"/>
    </w:p>
    <w:p w14:paraId="79817200">
      <w:pPr>
        <w:pStyle w:val="15"/>
        <w:tabs>
          <w:tab w:val="right" w:leader="dot" w:pos="9072"/>
        </w:tabs>
        <w:spacing w:before="190" w:beforeLines="50" w:after="190" w:afterLines="50" w:line="500" w:lineRule="exact"/>
        <w:rPr>
          <w:rFonts w:ascii="仿宋" w:hAnsi="仿宋" w:eastAsia="仿宋" w:cs="仿宋"/>
          <w:sz w:val="44"/>
          <w:szCs w:val="44"/>
        </w:rPr>
        <w:sectPr>
          <w:footerReference r:id="rId5" w:type="default"/>
          <w:pgSz w:w="11906" w:h="16838"/>
          <w:pgMar w:top="1417" w:right="1417" w:bottom="1417" w:left="1417" w:header="850" w:footer="992" w:gutter="0"/>
          <w:pgNumType w:start="1"/>
          <w:cols w:space="720" w:num="1"/>
          <w:docGrid w:type="linesAndChars" w:linePitch="381" w:charSpace="704"/>
        </w:sectPr>
      </w:pPr>
    </w:p>
    <w:p w14:paraId="3F100E08">
      <w:pPr>
        <w:tabs>
          <w:tab w:val="right" w:leader="hyphen" w:pos="8504"/>
        </w:tabs>
        <w:spacing w:after="381" w:afterLines="100" w:line="240" w:lineRule="auto"/>
        <w:ind w:right="566" w:rightChars="200" w:firstLine="3987" w:firstLineChars="900"/>
        <w:rPr>
          <w:rFonts w:ascii="仿宋" w:hAnsi="仿宋" w:eastAsia="仿宋"/>
          <w:bCs/>
          <w:sz w:val="44"/>
        </w:rPr>
      </w:pPr>
      <w:r>
        <w:rPr>
          <w:rFonts w:hint="eastAsia" w:ascii="黑体" w:hAnsi="黑体" w:eastAsia="黑体" w:cs="黑体"/>
          <w:bCs/>
          <w:sz w:val="44"/>
        </w:rPr>
        <w:t>目  录</w:t>
      </w:r>
    </w:p>
    <w:p w14:paraId="256BE88E">
      <w:pPr>
        <w:pStyle w:val="13"/>
        <w:rPr>
          <w:highlight w:val="yellow"/>
        </w:rPr>
      </w:pPr>
    </w:p>
    <w:p w14:paraId="291E6AFD">
      <w:pPr>
        <w:pStyle w:val="15"/>
        <w:tabs>
          <w:tab w:val="right" w:leader="dot" w:pos="9072"/>
        </w:tabs>
        <w:spacing w:line="560" w:lineRule="exact"/>
        <w:rPr>
          <w:rFonts w:ascii="黑体" w:hAnsi="黑体" w:eastAsia="黑体" w:cs="黑体"/>
          <w:sz w:val="32"/>
          <w:szCs w:val="32"/>
        </w:rPr>
      </w:pPr>
      <w:r>
        <w:rPr>
          <w:sz w:val="32"/>
          <w:szCs w:val="32"/>
        </w:rPr>
        <w:fldChar w:fldCharType="begin"/>
      </w:r>
      <w:r>
        <w:rPr>
          <w:sz w:val="32"/>
          <w:szCs w:val="32"/>
        </w:rPr>
        <w:instrText xml:space="preserve">TOC \o "1-2" \u </w:instrText>
      </w:r>
      <w:r>
        <w:rPr>
          <w:sz w:val="32"/>
          <w:szCs w:val="32"/>
        </w:rPr>
        <w:fldChar w:fldCharType="separate"/>
      </w:r>
      <w:r>
        <w:rPr>
          <w:rFonts w:hint="eastAsia" w:ascii="黑体" w:hAnsi="黑体" w:eastAsia="黑体" w:cs="黑体"/>
          <w:sz w:val="32"/>
          <w:szCs w:val="32"/>
        </w:rPr>
        <w:t>第一章 磋商邀请函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_Toc8073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p w14:paraId="1CA8415B">
      <w:pPr>
        <w:pStyle w:val="15"/>
        <w:tabs>
          <w:tab w:val="right" w:leader="dot" w:pos="9072"/>
        </w:tabs>
        <w:spacing w:line="560" w:lineRule="exact"/>
        <w:rPr>
          <w:rFonts w:ascii="仿宋_GB2312" w:hAnsi="仿宋_GB2312" w:eastAsia="仿宋_GB2312" w:cs="仿宋_GB2312"/>
          <w:sz w:val="32"/>
          <w:szCs w:val="32"/>
        </w:rPr>
      </w:pPr>
      <w:r>
        <w:rPr>
          <w:rFonts w:hint="eastAsia" w:ascii="黑体" w:hAnsi="黑体" w:eastAsia="黑体" w:cs="黑体"/>
          <w:bCs/>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_Toc9601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37A8CA4A">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一、定义</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_Toc3062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660A5956">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二、供应商注意事项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_Toc24646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00382080">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三、磋商文件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_Toc3130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14:paraId="2D7FD575">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四、磋商报价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_Toc3559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p>
    <w:p w14:paraId="44EEE884">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五、响应文件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_Toc12154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p w14:paraId="6C534B74">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六、响应文件开启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_Toc17536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p>
    <w:p w14:paraId="0B0BF6AE">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七、组织评审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_Toc31905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p>
    <w:p w14:paraId="55AD7FC6">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八、成交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_Toc3023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p>
    <w:p w14:paraId="0350CBCC">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九、签订</w:t>
      </w:r>
      <w:r>
        <w:rPr>
          <w:rFonts w:hint="eastAsia" w:ascii="仿宋_GB2312" w:hAnsi="仿宋_GB2312" w:eastAsia="仿宋_GB2312" w:cs="仿宋_GB2312"/>
          <w:kern w:val="0"/>
          <w:sz w:val="32"/>
          <w:szCs w:val="32"/>
        </w:rPr>
        <w:t>政府采购合同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_Toc23938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p>
    <w:p w14:paraId="03E5AAEC">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十、采购代理服务费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_Toc14560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p>
    <w:p w14:paraId="76738997">
      <w:pPr>
        <w:pStyle w:val="15"/>
        <w:tabs>
          <w:tab w:val="right" w:leader="dot" w:pos="9072"/>
        </w:tabs>
        <w:spacing w:line="560" w:lineRule="exact"/>
        <w:rPr>
          <w:rFonts w:ascii="黑体" w:hAnsi="黑体" w:eastAsia="黑体" w:cs="黑体"/>
          <w:sz w:val="32"/>
          <w:szCs w:val="32"/>
        </w:rPr>
      </w:pPr>
      <w:r>
        <w:rPr>
          <w:rFonts w:hint="eastAsia" w:ascii="黑体" w:hAnsi="黑体" w:eastAsia="黑体" w:cs="黑体"/>
          <w:bCs/>
          <w:sz w:val="32"/>
          <w:szCs w:val="32"/>
        </w:rPr>
        <w:t>第三章  磋商内容及采购要求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_Toc2772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30</w:t>
      </w:r>
      <w:r>
        <w:rPr>
          <w:rFonts w:hint="eastAsia" w:ascii="仿宋_GB2312" w:hAnsi="仿宋_GB2312" w:eastAsia="仿宋_GB2312" w:cs="仿宋_GB2312"/>
          <w:sz w:val="32"/>
          <w:szCs w:val="32"/>
        </w:rPr>
        <w:fldChar w:fldCharType="end"/>
      </w:r>
    </w:p>
    <w:p w14:paraId="670982AC">
      <w:pPr>
        <w:pStyle w:val="15"/>
        <w:tabs>
          <w:tab w:val="right" w:leader="dot" w:pos="9072"/>
        </w:tabs>
        <w:spacing w:line="560" w:lineRule="exact"/>
        <w:rPr>
          <w:rFonts w:ascii="黑体" w:hAnsi="黑体" w:eastAsia="黑体" w:cs="黑体"/>
          <w:sz w:val="32"/>
          <w:szCs w:val="32"/>
        </w:rPr>
      </w:pPr>
      <w:r>
        <w:rPr>
          <w:rFonts w:hint="eastAsia" w:ascii="黑体" w:hAnsi="黑体" w:eastAsia="黑体" w:cs="黑体"/>
          <w:sz w:val="32"/>
          <w:szCs w:val="32"/>
        </w:rPr>
        <w:t>第四章  合同草案条款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_Toc10371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p>
    <w:p w14:paraId="28452E0C">
      <w:pPr>
        <w:pStyle w:val="15"/>
        <w:tabs>
          <w:tab w:val="right" w:leader="dot" w:pos="9072"/>
        </w:tabs>
        <w:spacing w:line="560" w:lineRule="exact"/>
        <w:rPr>
          <w:rFonts w:ascii="黑体" w:hAnsi="黑体" w:eastAsia="黑体" w:cs="黑体"/>
          <w:sz w:val="32"/>
          <w:szCs w:val="32"/>
        </w:rPr>
      </w:pPr>
      <w:r>
        <w:rPr>
          <w:rFonts w:hint="eastAsia" w:ascii="黑体" w:hAnsi="黑体" w:eastAsia="黑体" w:cs="黑体"/>
          <w:bCs/>
          <w:sz w:val="32"/>
          <w:szCs w:val="32"/>
        </w:rPr>
        <w:t>第五章  响应文件构成及格式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_Toc5571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p>
    <w:p w14:paraId="390D4444">
      <w:pPr>
        <w:pStyle w:val="15"/>
        <w:tabs>
          <w:tab w:val="right" w:leader="dot" w:pos="9072"/>
        </w:tabs>
        <w:spacing w:line="560" w:lineRule="exact"/>
        <w:ind w:firstLine="646" w:firstLineChars="200"/>
        <w:rPr>
          <w:rFonts w:ascii="黑体" w:hAnsi="黑体" w:eastAsia="黑体" w:cs="黑体"/>
          <w:sz w:val="32"/>
          <w:szCs w:val="32"/>
        </w:rPr>
      </w:pPr>
      <w:r>
        <w:rPr>
          <w:rFonts w:hint="eastAsia" w:ascii="黑体" w:hAnsi="黑体" w:eastAsia="黑体" w:cs="黑体"/>
          <w:bCs/>
          <w:sz w:val="32"/>
          <w:szCs w:val="32"/>
        </w:rPr>
        <w:t>第一部分  资格证明文件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_Toc8079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35</w:t>
      </w:r>
      <w:r>
        <w:rPr>
          <w:rFonts w:hint="eastAsia" w:ascii="仿宋_GB2312" w:hAnsi="仿宋_GB2312" w:eastAsia="仿宋_GB2312" w:cs="仿宋_GB2312"/>
          <w:sz w:val="32"/>
          <w:szCs w:val="32"/>
        </w:rPr>
        <w:fldChar w:fldCharType="end"/>
      </w:r>
    </w:p>
    <w:p w14:paraId="26F6118B">
      <w:pPr>
        <w:pStyle w:val="16"/>
        <w:tabs>
          <w:tab w:val="right" w:leader="dot" w:pos="9072"/>
        </w:tabs>
        <w:spacing w:line="560" w:lineRule="exact"/>
        <w:ind w:left="0" w:leftChars="0" w:firstLine="646" w:firstLineChars="200"/>
        <w:rPr>
          <w:rFonts w:ascii="仿宋_GB2312" w:hAnsi="仿宋_GB2312" w:eastAsia="仿宋_GB2312" w:cs="仿宋_GB2312"/>
          <w:sz w:val="32"/>
          <w:szCs w:val="32"/>
        </w:rPr>
      </w:pPr>
      <w:r>
        <w:rPr>
          <w:rFonts w:hint="eastAsia" w:ascii="黑体" w:hAnsi="黑体" w:eastAsia="黑体" w:cs="黑体"/>
          <w:sz w:val="32"/>
          <w:szCs w:val="32"/>
        </w:rPr>
        <w:t>第二部分  符合性证明文件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_Toc9751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41</w:t>
      </w:r>
      <w:r>
        <w:rPr>
          <w:rFonts w:hint="eastAsia" w:ascii="仿宋_GB2312" w:hAnsi="仿宋_GB2312" w:eastAsia="仿宋_GB2312" w:cs="仿宋_GB2312"/>
          <w:sz w:val="32"/>
          <w:szCs w:val="32"/>
        </w:rPr>
        <w:fldChar w:fldCharType="end"/>
      </w:r>
    </w:p>
    <w:p w14:paraId="6B876A6F">
      <w:pPr>
        <w:pStyle w:val="16"/>
        <w:tabs>
          <w:tab w:val="right" w:leader="dot" w:pos="9072"/>
        </w:tabs>
        <w:spacing w:line="560" w:lineRule="exact"/>
        <w:ind w:left="0" w:leftChars="0" w:firstLine="646" w:firstLineChars="200"/>
        <w:rPr>
          <w:rFonts w:ascii="黑体" w:hAnsi="黑体" w:eastAsia="黑体" w:cs="黑体"/>
          <w:sz w:val="32"/>
          <w:szCs w:val="32"/>
        </w:rPr>
      </w:pPr>
      <w:r>
        <w:rPr>
          <w:rFonts w:hint="eastAsia" w:ascii="黑体" w:hAnsi="黑体" w:eastAsia="黑体" w:cs="黑体"/>
          <w:sz w:val="32"/>
          <w:szCs w:val="32"/>
        </w:rPr>
        <w:t>第三部分  响应方案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_Toc17248 \h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48</w:t>
      </w:r>
      <w:r>
        <w:rPr>
          <w:rFonts w:hint="eastAsia" w:ascii="仿宋_GB2312" w:hAnsi="仿宋_GB2312" w:eastAsia="仿宋_GB2312" w:cs="仿宋_GB2312"/>
          <w:sz w:val="32"/>
          <w:szCs w:val="32"/>
        </w:rPr>
        <w:fldChar w:fldCharType="end"/>
      </w:r>
    </w:p>
    <w:p w14:paraId="0696CE65">
      <w:pPr>
        <w:spacing w:line="560" w:lineRule="exact"/>
      </w:pPr>
      <w:r>
        <w:rPr>
          <w:sz w:val="32"/>
          <w:szCs w:val="32"/>
        </w:rPr>
        <w:fldChar w:fldCharType="end"/>
      </w:r>
    </w:p>
    <w:p w14:paraId="76789FBB">
      <w:pPr>
        <w:tabs>
          <w:tab w:val="center" w:pos="60"/>
        </w:tabs>
        <w:spacing w:line="560" w:lineRule="exact"/>
      </w:pPr>
      <w:r>
        <w:rPr>
          <w:rFonts w:hint="eastAsia"/>
        </w:rPr>
        <w:tab/>
      </w:r>
    </w:p>
    <w:p w14:paraId="38CC122E">
      <w:pPr>
        <w:pStyle w:val="2"/>
        <w:tabs>
          <w:tab w:val="left" w:pos="7802"/>
        </w:tabs>
        <w:spacing w:line="560" w:lineRule="exact"/>
        <w:jc w:val="left"/>
        <w:rPr>
          <w:rFonts w:ascii="黑体" w:hAnsi="黑体" w:eastAsia="黑体"/>
          <w:b w:val="0"/>
          <w:color w:val="auto"/>
          <w:sz w:val="32"/>
          <w:szCs w:val="32"/>
        </w:rPr>
        <w:sectPr>
          <w:footerReference r:id="rId6" w:type="default"/>
          <w:pgSz w:w="11906" w:h="16838"/>
          <w:pgMar w:top="1417" w:right="1417" w:bottom="1417" w:left="1417" w:header="850" w:footer="992" w:gutter="0"/>
          <w:pgNumType w:start="1"/>
          <w:cols w:space="720" w:num="1"/>
          <w:docGrid w:type="linesAndChars" w:linePitch="381" w:charSpace="704"/>
        </w:sectPr>
      </w:pPr>
      <w:r>
        <w:rPr>
          <w:rFonts w:hint="eastAsia" w:ascii="黑体" w:hAnsi="黑体" w:eastAsia="黑体"/>
          <w:b w:val="0"/>
          <w:color w:val="auto"/>
          <w:sz w:val="32"/>
          <w:szCs w:val="32"/>
        </w:rPr>
        <w:tab/>
      </w:r>
    </w:p>
    <w:p w14:paraId="438E7C82">
      <w:pPr>
        <w:pStyle w:val="2"/>
        <w:numPr>
          <w:ilvl w:val="0"/>
          <w:numId w:val="1"/>
        </w:numPr>
        <w:spacing w:line="560" w:lineRule="exact"/>
        <w:rPr>
          <w:rFonts w:ascii="黑体" w:hAnsi="黑体" w:eastAsia="黑体"/>
          <w:b w:val="0"/>
          <w:color w:val="auto"/>
          <w:sz w:val="32"/>
          <w:szCs w:val="32"/>
        </w:rPr>
      </w:pPr>
      <w:bookmarkStart w:id="3" w:name="_Toc5655"/>
      <w:bookmarkStart w:id="4" w:name="_Toc21489"/>
      <w:bookmarkStart w:id="5" w:name="_Toc26235"/>
      <w:r>
        <w:rPr>
          <w:rFonts w:ascii="黑体" w:hAnsi="黑体" w:eastAsia="黑体"/>
          <w:b w:val="0"/>
          <w:color w:val="auto"/>
          <w:sz w:val="32"/>
          <w:szCs w:val="32"/>
        </w:rPr>
        <w:t xml:space="preserve"> </w:t>
      </w:r>
      <w:bookmarkStart w:id="6" w:name="_Toc8073"/>
      <w:r>
        <w:rPr>
          <w:rFonts w:hint="eastAsia" w:ascii="黑体" w:hAnsi="黑体" w:eastAsia="黑体"/>
          <w:b w:val="0"/>
          <w:color w:val="auto"/>
          <w:sz w:val="32"/>
          <w:szCs w:val="32"/>
        </w:rPr>
        <w:t>磋商</w:t>
      </w:r>
      <w:r>
        <w:rPr>
          <w:rFonts w:ascii="黑体" w:hAnsi="黑体" w:eastAsia="黑体"/>
          <w:b w:val="0"/>
          <w:color w:val="auto"/>
          <w:sz w:val="32"/>
          <w:szCs w:val="32"/>
        </w:rPr>
        <w:t>邀请函</w:t>
      </w:r>
      <w:bookmarkEnd w:id="0"/>
      <w:bookmarkEnd w:id="1"/>
      <w:bookmarkEnd w:id="2"/>
      <w:bookmarkEnd w:id="3"/>
      <w:bookmarkEnd w:id="4"/>
      <w:bookmarkEnd w:id="5"/>
      <w:bookmarkEnd w:id="6"/>
    </w:p>
    <w:p w14:paraId="3F967CEB">
      <w:pPr>
        <w:widowControl w:val="0"/>
        <w:spacing w:line="500" w:lineRule="exact"/>
        <w:rPr>
          <w:rFonts w:ascii="仿宋_GB2312" w:hAnsi="仿宋_GB2312" w:eastAsia="仿宋_GB2312" w:cs="仿宋_GB2312"/>
        </w:rPr>
      </w:pPr>
    </w:p>
    <w:p w14:paraId="33F31D9E">
      <w:pPr>
        <w:widowControl w:val="0"/>
        <w:pBdr>
          <w:top w:val="single" w:color="auto" w:sz="4" w:space="1"/>
          <w:left w:val="single" w:color="auto" w:sz="4" w:space="4"/>
          <w:bottom w:val="single" w:color="auto" w:sz="4" w:space="1"/>
          <w:right w:val="single" w:color="auto" w:sz="4" w:space="4"/>
        </w:pBdr>
        <w:spacing w:line="500" w:lineRule="exact"/>
        <w:ind w:firstLine="566" w:firstLineChars="200"/>
        <w:rPr>
          <w:rFonts w:ascii="仿宋_GB2312" w:hAnsi="仿宋_GB2312" w:eastAsia="仿宋_GB2312" w:cs="仿宋_GB2312"/>
        </w:rPr>
      </w:pPr>
      <w:bookmarkStart w:id="7" w:name="OLE_LINK1"/>
      <w:bookmarkStart w:id="8" w:name="OLE_LINK3"/>
      <w:r>
        <w:rPr>
          <w:rFonts w:hint="eastAsia" w:ascii="仿宋_GB2312" w:hAnsi="仿宋_GB2312" w:eastAsia="仿宋_GB2312" w:cs="仿宋_GB2312"/>
        </w:rPr>
        <w:t>项目概况</w:t>
      </w:r>
    </w:p>
    <w:p w14:paraId="0B48ED3F">
      <w:pPr>
        <w:widowControl w:val="0"/>
        <w:pBdr>
          <w:top w:val="single" w:color="auto" w:sz="4" w:space="1"/>
          <w:left w:val="single" w:color="auto" w:sz="4" w:space="4"/>
          <w:bottom w:val="single" w:color="auto" w:sz="4" w:space="1"/>
          <w:right w:val="single" w:color="auto" w:sz="4" w:space="4"/>
        </w:pBd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u w:val="single"/>
        </w:rPr>
        <w:t xml:space="preserve"> 汉中市</w:t>
      </w:r>
      <w:r>
        <w:rPr>
          <w:rFonts w:hint="eastAsia" w:ascii="仿宋_GB2312" w:hAnsi="仿宋_GB2312" w:eastAsia="仿宋_GB2312" w:cs="仿宋_GB2312"/>
          <w:u w:val="single"/>
          <w:lang w:val="en-US" w:eastAsia="zh-CN"/>
        </w:rPr>
        <w:t>救助管理站未成年人保护中心现有场地装修项目</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采购项目的潜在供应商应在</w:t>
      </w:r>
      <w:r>
        <w:rPr>
          <w:rFonts w:hint="eastAsia" w:ascii="仿宋_GB2312" w:hAnsi="仿宋_GB2312" w:eastAsia="仿宋_GB2312" w:cs="仿宋_GB2312"/>
          <w:u w:val="single"/>
        </w:rPr>
        <w:t xml:space="preserve"> 全国公共资源交易平台（汉中市）（sxggzyjy.hanzhong.gov.cn） </w:t>
      </w:r>
      <w:r>
        <w:rPr>
          <w:rFonts w:hint="eastAsia" w:ascii="仿宋_GB2312" w:hAnsi="仿宋_GB2312" w:eastAsia="仿宋_GB2312" w:cs="仿宋_GB2312"/>
        </w:rPr>
        <w:t>获取采购文件，并于</w:t>
      </w:r>
      <w:r>
        <w:rPr>
          <w:rFonts w:hint="eastAsia" w:ascii="仿宋_GB2312" w:hAnsi="仿宋_GB2312" w:eastAsia="仿宋_GB2312" w:cs="仿宋_GB2312"/>
          <w:u w:val="single"/>
        </w:rPr>
        <w:t xml:space="preserve"> 2025 </w:t>
      </w:r>
      <w:r>
        <w:rPr>
          <w:rFonts w:hint="eastAsia" w:ascii="仿宋_GB2312" w:hAnsi="仿宋_GB2312" w:eastAsia="仿宋_GB2312" w:cs="仿宋_GB2312"/>
          <w:bCs/>
          <w:u w:val="single"/>
        </w:rPr>
        <w:t>年</w:t>
      </w:r>
      <w:r>
        <w:rPr>
          <w:rFonts w:hint="eastAsia" w:ascii="仿宋_GB2312" w:hAnsi="仿宋_GB2312" w:eastAsia="仿宋_GB2312" w:cs="仿宋_GB2312"/>
          <w:bCs/>
          <w:u w:val="single"/>
          <w:lang w:val="en-US" w:eastAsia="zh-CN"/>
        </w:rPr>
        <w:t>11</w:t>
      </w:r>
      <w:r>
        <w:rPr>
          <w:rFonts w:hint="eastAsia" w:ascii="仿宋_GB2312" w:hAnsi="仿宋_GB2312" w:eastAsia="仿宋_GB2312" w:cs="仿宋_GB2312"/>
          <w:bCs/>
          <w:u w:val="single"/>
        </w:rPr>
        <w:t>月</w:t>
      </w:r>
      <w:r>
        <w:rPr>
          <w:rFonts w:hint="eastAsia" w:ascii="仿宋_GB2312" w:hAnsi="仿宋_GB2312" w:eastAsia="仿宋_GB2312" w:cs="仿宋_GB2312"/>
          <w:bCs/>
          <w:u w:val="single"/>
          <w:lang w:val="en-US" w:eastAsia="zh-CN"/>
        </w:rPr>
        <w:t>12</w:t>
      </w:r>
      <w:r>
        <w:rPr>
          <w:rFonts w:hint="eastAsia" w:ascii="仿宋_GB2312" w:hAnsi="仿宋_GB2312" w:eastAsia="仿宋_GB2312" w:cs="仿宋_GB2312"/>
          <w:bCs/>
          <w:u w:val="single"/>
        </w:rPr>
        <w:t>日 9 点 30分</w:t>
      </w:r>
      <w:r>
        <w:rPr>
          <w:rFonts w:hint="eastAsia" w:ascii="仿宋_GB2312" w:hAnsi="仿宋_GB2312" w:eastAsia="仿宋_GB2312" w:cs="仿宋_GB2312"/>
          <w:bCs/>
        </w:rPr>
        <w:t>（北京时间）前提交响应文件</w:t>
      </w:r>
      <w:r>
        <w:rPr>
          <w:rFonts w:hint="eastAsia" w:ascii="仿宋_GB2312" w:hAnsi="仿宋_GB2312" w:eastAsia="仿宋_GB2312" w:cs="仿宋_GB2312"/>
        </w:rPr>
        <w:t>。</w:t>
      </w:r>
    </w:p>
    <w:p w14:paraId="6CEDD6D7">
      <w:pPr>
        <w:widowControl w:val="0"/>
        <w:spacing w:line="500" w:lineRule="exact"/>
        <w:rPr>
          <w:rFonts w:ascii="仿宋_GB2312" w:hAnsi="仿宋_GB2312" w:eastAsia="仿宋_GB2312" w:cs="仿宋_GB2312"/>
        </w:rPr>
      </w:pPr>
    </w:p>
    <w:p w14:paraId="7570247D">
      <w:pPr>
        <w:keepNext/>
        <w:widowControl w:val="0"/>
        <w:autoSpaceDE w:val="0"/>
        <w:autoSpaceDN w:val="0"/>
        <w:adjustRightInd w:val="0"/>
        <w:spacing w:line="500" w:lineRule="exact"/>
        <w:outlineLvl w:val="1"/>
        <w:rPr>
          <w:rFonts w:ascii="仿宋_GB2312" w:hAnsi="仿宋_GB2312" w:eastAsia="仿宋_GB2312" w:cs="仿宋_GB2312"/>
          <w:b/>
          <w:bCs/>
        </w:rPr>
      </w:pPr>
      <w:bookmarkStart w:id="9" w:name="_Toc35393629"/>
      <w:bookmarkStart w:id="10" w:name="_Toc35393798"/>
      <w:bookmarkStart w:id="11" w:name="_Toc28359012"/>
      <w:bookmarkStart w:id="12" w:name="_Toc28840"/>
      <w:bookmarkStart w:id="13" w:name="_Toc28359089"/>
      <w:r>
        <w:rPr>
          <w:rFonts w:hint="eastAsia" w:ascii="仿宋_GB2312" w:hAnsi="仿宋_GB2312" w:eastAsia="仿宋_GB2312" w:cs="仿宋_GB2312"/>
          <w:b/>
          <w:bCs/>
        </w:rPr>
        <w:t>一、项目基本情况</w:t>
      </w:r>
      <w:bookmarkEnd w:id="9"/>
      <w:bookmarkEnd w:id="10"/>
      <w:bookmarkEnd w:id="11"/>
      <w:bookmarkEnd w:id="12"/>
      <w:bookmarkEnd w:id="13"/>
    </w:p>
    <w:p w14:paraId="4F23AF33">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项目编号：汉采GC【2025】</w:t>
      </w:r>
      <w:r>
        <w:rPr>
          <w:rFonts w:hint="eastAsia" w:ascii="仿宋_GB2312" w:hAnsi="仿宋_GB2312" w:eastAsia="仿宋_GB2312" w:cs="仿宋_GB2312"/>
          <w:lang w:val="en-US" w:eastAsia="zh-CN"/>
        </w:rPr>
        <w:t>9</w:t>
      </w:r>
      <w:r>
        <w:rPr>
          <w:rFonts w:hint="eastAsia" w:ascii="仿宋_GB2312" w:hAnsi="仿宋_GB2312" w:eastAsia="仿宋_GB2312" w:cs="仿宋_GB2312"/>
        </w:rPr>
        <w:t>号</w:t>
      </w:r>
    </w:p>
    <w:p w14:paraId="1EB1DBB6">
      <w:pPr>
        <w:widowControl w:val="0"/>
        <w:spacing w:line="500" w:lineRule="exact"/>
        <w:ind w:firstLine="566" w:firstLineChars="200"/>
        <w:rPr>
          <w:rFonts w:ascii="仿宋_GB2312" w:hAnsi="仿宋_GB2312" w:eastAsia="仿宋_GB2312" w:cs="仿宋_GB2312"/>
          <w:highlight w:val="yellow"/>
          <w:u w:val="single"/>
        </w:rPr>
      </w:pPr>
      <w:r>
        <w:rPr>
          <w:rFonts w:hint="eastAsia" w:ascii="仿宋_GB2312" w:hAnsi="仿宋_GB2312" w:eastAsia="仿宋_GB2312" w:cs="仿宋_GB2312"/>
        </w:rPr>
        <w:t>项目名称：</w:t>
      </w:r>
      <w:r>
        <w:rPr>
          <w:rFonts w:hint="eastAsia" w:ascii="仿宋_GB2312" w:hAnsi="仿宋_GB2312" w:eastAsia="仿宋_GB2312" w:cs="仿宋_GB2312"/>
          <w:u w:val="single"/>
        </w:rPr>
        <w:t>汉中市</w:t>
      </w:r>
      <w:r>
        <w:rPr>
          <w:rFonts w:hint="eastAsia" w:ascii="仿宋_GB2312" w:hAnsi="仿宋_GB2312" w:eastAsia="仿宋_GB2312" w:cs="仿宋_GB2312"/>
          <w:u w:val="single"/>
          <w:lang w:val="en-US" w:eastAsia="zh-CN"/>
        </w:rPr>
        <w:t>救助管理站未成年人保护中心现有场地装修项目</w:t>
      </w:r>
    </w:p>
    <w:p w14:paraId="486E5B25">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采购方式：竞争性磋商</w:t>
      </w:r>
    </w:p>
    <w:p w14:paraId="506DB16A">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预算金额：</w:t>
      </w:r>
      <w:r>
        <w:rPr>
          <w:rFonts w:hint="eastAsia" w:ascii="仿宋_GB2312" w:hAnsi="仿宋_GB2312" w:eastAsia="仿宋_GB2312" w:cs="仿宋_GB2312"/>
          <w:lang w:val="en-US" w:eastAsia="zh-CN"/>
        </w:rPr>
        <w:t>2188920.35</w:t>
      </w:r>
      <w:r>
        <w:rPr>
          <w:rFonts w:hint="eastAsia" w:ascii="仿宋_GB2312" w:hAnsi="仿宋_GB2312" w:eastAsia="仿宋_GB2312" w:cs="仿宋_GB2312"/>
        </w:rPr>
        <w:t>元</w:t>
      </w:r>
    </w:p>
    <w:p w14:paraId="5943F264">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最高限价：无</w:t>
      </w:r>
    </w:p>
    <w:p w14:paraId="3E0F50D3">
      <w:pPr>
        <w:widowControl w:val="0"/>
        <w:spacing w:line="500" w:lineRule="exact"/>
        <w:ind w:firstLine="566" w:firstLineChars="200"/>
        <w:rPr>
          <w:rFonts w:ascii="仿宋_GB2312" w:hAnsi="仿宋_GB2312" w:eastAsia="仿宋_GB2312" w:cs="仿宋_GB2312"/>
          <w:u w:val="single"/>
        </w:rPr>
      </w:pPr>
      <w:r>
        <w:rPr>
          <w:rFonts w:hint="eastAsia" w:ascii="仿宋_GB2312" w:hAnsi="仿宋_GB2312" w:eastAsia="仿宋_GB2312" w:cs="仿宋_GB2312"/>
        </w:rPr>
        <w:t>采购需求：</w:t>
      </w:r>
      <w:r>
        <w:rPr>
          <w:rFonts w:hint="eastAsia" w:ascii="仿宋_GB2312" w:hAnsi="仿宋_GB2312" w:eastAsia="仿宋_GB2312" w:cs="仿宋_GB2312"/>
          <w:lang w:val="en-US" w:eastAsia="zh-CN"/>
        </w:rPr>
        <w:t>未成年人保护中心现有场地装修</w:t>
      </w:r>
      <w:r>
        <w:rPr>
          <w:rFonts w:hint="eastAsia" w:ascii="仿宋_GB2312" w:hAnsi="仿宋_GB2312" w:eastAsia="仿宋_GB2312" w:cs="仿宋_GB2312"/>
        </w:rPr>
        <w:t>。（详见第三章）</w:t>
      </w:r>
    </w:p>
    <w:p w14:paraId="557ABBD3">
      <w:pPr>
        <w:widowControl w:val="0"/>
        <w:spacing w:line="500" w:lineRule="exact"/>
        <w:ind w:firstLine="566" w:firstLineChars="200"/>
        <w:rPr>
          <w:rFonts w:ascii="仿宋_GB2312" w:hAnsi="仿宋_GB2312" w:eastAsia="仿宋_GB2312" w:cs="仿宋_GB2312"/>
          <w:u w:val="single"/>
        </w:rPr>
      </w:pPr>
      <w:r>
        <w:rPr>
          <w:rFonts w:hint="eastAsia" w:ascii="仿宋_GB2312" w:hAnsi="仿宋_GB2312" w:eastAsia="仿宋_GB2312" w:cs="仿宋_GB2312"/>
        </w:rPr>
        <w:t>合同履行期限：签订合同后</w:t>
      </w:r>
      <w:r>
        <w:rPr>
          <w:rFonts w:hint="eastAsia" w:ascii="仿宋_GB2312" w:hAnsi="仿宋_GB2312" w:eastAsia="仿宋_GB2312" w:cs="仿宋_GB2312"/>
          <w:lang w:val="en-US" w:eastAsia="zh-CN"/>
        </w:rPr>
        <w:t>6</w:t>
      </w:r>
      <w:r>
        <w:rPr>
          <w:rFonts w:hint="eastAsia" w:ascii="仿宋_GB2312" w:hAnsi="仿宋_GB2312" w:eastAsia="仿宋_GB2312" w:cs="仿宋_GB2312"/>
        </w:rPr>
        <w:t>0天内。</w:t>
      </w:r>
    </w:p>
    <w:p w14:paraId="434FB877">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本项目不接受联合体。</w:t>
      </w:r>
    </w:p>
    <w:p w14:paraId="180D2765">
      <w:pPr>
        <w:keepNext/>
        <w:widowControl w:val="0"/>
        <w:autoSpaceDE w:val="0"/>
        <w:autoSpaceDN w:val="0"/>
        <w:adjustRightInd w:val="0"/>
        <w:spacing w:line="500" w:lineRule="exact"/>
        <w:outlineLvl w:val="1"/>
        <w:rPr>
          <w:rFonts w:ascii="仿宋_GB2312" w:hAnsi="仿宋_GB2312" w:eastAsia="仿宋_GB2312" w:cs="仿宋_GB2312"/>
          <w:b/>
          <w:bCs/>
        </w:rPr>
      </w:pPr>
      <w:bookmarkStart w:id="14" w:name="_Toc35393630"/>
      <w:bookmarkStart w:id="15" w:name="_Toc3608"/>
      <w:bookmarkStart w:id="16" w:name="_Toc35393799"/>
      <w:bookmarkStart w:id="17" w:name="_Toc28359013"/>
      <w:bookmarkStart w:id="18" w:name="_Toc28359090"/>
      <w:r>
        <w:rPr>
          <w:rFonts w:hint="eastAsia" w:ascii="仿宋_GB2312" w:hAnsi="仿宋_GB2312" w:eastAsia="仿宋_GB2312" w:cs="仿宋_GB2312"/>
          <w:b/>
          <w:bCs/>
        </w:rPr>
        <w:t>二、申请人的资格要求：</w:t>
      </w:r>
      <w:bookmarkEnd w:id="14"/>
      <w:bookmarkEnd w:id="15"/>
      <w:bookmarkEnd w:id="16"/>
      <w:bookmarkEnd w:id="17"/>
      <w:bookmarkEnd w:id="18"/>
    </w:p>
    <w:p w14:paraId="1E127AC9">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1.满足《中华人民共和国政府采购法》第二十二条规定；</w:t>
      </w:r>
    </w:p>
    <w:p w14:paraId="54F0C0A7">
      <w:pPr>
        <w:widowControl w:val="0"/>
        <w:spacing w:line="500" w:lineRule="exact"/>
        <w:ind w:firstLine="566" w:firstLineChars="200"/>
        <w:rPr>
          <w:rFonts w:ascii="仿宋_GB2312" w:hAnsi="仿宋_GB2312" w:eastAsia="仿宋_GB2312" w:cs="仿宋_GB2312"/>
        </w:rPr>
      </w:pPr>
      <w:bookmarkStart w:id="19" w:name="_Toc28359014"/>
      <w:bookmarkStart w:id="20" w:name="_Toc28359091"/>
      <w:r>
        <w:rPr>
          <w:rFonts w:hint="eastAsia" w:ascii="仿宋_GB2312" w:hAnsi="仿宋_GB2312" w:eastAsia="仿宋_GB2312" w:cs="仿宋_GB2312"/>
        </w:rPr>
        <w:t>2.落实政府采购政策需满足的资格要求：本项目专门面向小微企业采购，供应商应为小微企业，磋商时须提供《中小企业声明函》（按第五章格式填写）。本项目采购标的对应的中小企业划分标准所属行业为：建筑业。</w:t>
      </w:r>
    </w:p>
    <w:p w14:paraId="77404FD0">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3.本项目的特定资格要求：</w:t>
      </w:r>
    </w:p>
    <w:p w14:paraId="7721C171">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（1）营业执照等主体资格证明文件：提供有效存续的企业营业执照（副本）/事业单位法人证书/专业服务机构执业许可证/民办非企业单位登记证书。</w:t>
      </w:r>
    </w:p>
    <w:p w14:paraId="536894ED">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 xml:space="preserve">（2）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 </w:t>
      </w:r>
    </w:p>
    <w:p w14:paraId="48FC869F">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法人的分支机构参与磋商时，除提供《法定代表人(负责人)授权委托书》外，还须同时提供法人给分支机构出具的授权书。（法人只能授权一家分支机构参与磋商，且不能与分支机构同时参与磋商。）</w:t>
      </w:r>
    </w:p>
    <w:p w14:paraId="521C3C85">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 xml:space="preserve">（3）资格承诺函：提供《汉中市政府采购供应商资格承诺函》。（按第五章格式填写） </w:t>
      </w:r>
    </w:p>
    <w:p w14:paraId="47CEFD85">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（4）特定资格要求：①提供建筑装修装饰工程专业承包二级及以上资质；②提供安全生产许可证。</w:t>
      </w:r>
    </w:p>
    <w:p w14:paraId="53B73050">
      <w:pPr>
        <w:keepNext/>
        <w:widowControl w:val="0"/>
        <w:autoSpaceDE w:val="0"/>
        <w:autoSpaceDN w:val="0"/>
        <w:adjustRightInd w:val="0"/>
        <w:spacing w:line="500" w:lineRule="exact"/>
        <w:outlineLvl w:val="1"/>
        <w:rPr>
          <w:rFonts w:ascii="仿宋_GB2312" w:hAnsi="仿宋_GB2312" w:eastAsia="仿宋_GB2312" w:cs="仿宋_GB2312"/>
          <w:b/>
          <w:bCs/>
        </w:rPr>
      </w:pPr>
      <w:bookmarkStart w:id="21" w:name="_Toc29259"/>
      <w:bookmarkStart w:id="22" w:name="_Toc35393800"/>
      <w:bookmarkStart w:id="23" w:name="_Toc35393631"/>
      <w:r>
        <w:rPr>
          <w:rFonts w:hint="eastAsia" w:ascii="仿宋_GB2312" w:hAnsi="仿宋_GB2312" w:eastAsia="仿宋_GB2312" w:cs="仿宋_GB2312"/>
          <w:b/>
          <w:bCs/>
        </w:rPr>
        <w:t>三、获取采购文件</w:t>
      </w:r>
      <w:bookmarkEnd w:id="19"/>
      <w:bookmarkEnd w:id="20"/>
      <w:bookmarkEnd w:id="21"/>
      <w:bookmarkEnd w:id="22"/>
      <w:bookmarkEnd w:id="23"/>
    </w:p>
    <w:p w14:paraId="576CDD1F">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时间：</w:t>
      </w:r>
      <w:r>
        <w:rPr>
          <w:rFonts w:hint="eastAsia" w:ascii="仿宋_GB2312" w:hAnsi="仿宋_GB2312" w:eastAsia="仿宋_GB2312" w:cs="仿宋_GB2312"/>
          <w:u w:val="single"/>
        </w:rPr>
        <w:t>　2025 年</w:t>
      </w:r>
      <w:r>
        <w:rPr>
          <w:rFonts w:hint="eastAsia" w:ascii="仿宋_GB2312" w:hAnsi="仿宋_GB2312" w:eastAsia="仿宋_GB2312" w:cs="仿宋_GB2312"/>
          <w:u w:val="single"/>
          <w:lang w:val="en-US" w:eastAsia="zh-CN"/>
        </w:rPr>
        <w:t>10</w:t>
      </w:r>
      <w:r>
        <w:rPr>
          <w:rFonts w:hint="eastAsia" w:ascii="仿宋_GB2312" w:hAnsi="仿宋_GB2312" w:eastAsia="仿宋_GB2312" w:cs="仿宋_GB2312"/>
          <w:u w:val="single"/>
        </w:rPr>
        <w:t>月</w:t>
      </w:r>
      <w:r>
        <w:rPr>
          <w:rFonts w:hint="eastAsia" w:ascii="仿宋_GB2312" w:hAnsi="仿宋_GB2312" w:eastAsia="仿宋_GB2312" w:cs="仿宋_GB2312"/>
          <w:u w:val="single"/>
          <w:lang w:val="en-US" w:eastAsia="zh-CN"/>
        </w:rPr>
        <w:t>20</w:t>
      </w:r>
      <w:r>
        <w:rPr>
          <w:rFonts w:hint="eastAsia" w:ascii="仿宋_GB2312" w:hAnsi="仿宋_GB2312" w:eastAsia="仿宋_GB2312" w:cs="仿宋_GB2312"/>
          <w:u w:val="single"/>
        </w:rPr>
        <w:t>日 0 点 00 分</w:t>
      </w:r>
      <w:r>
        <w:rPr>
          <w:rFonts w:hint="eastAsia" w:ascii="仿宋_GB2312" w:hAnsi="仿宋_GB2312" w:eastAsia="仿宋_GB2312" w:cs="仿宋_GB2312"/>
        </w:rPr>
        <w:t>至</w:t>
      </w:r>
      <w:r>
        <w:rPr>
          <w:rFonts w:hint="eastAsia" w:ascii="仿宋_GB2312" w:hAnsi="仿宋_GB2312" w:eastAsia="仿宋_GB2312" w:cs="仿宋_GB2312"/>
          <w:u w:val="single"/>
        </w:rPr>
        <w:t xml:space="preserve"> 2025 年</w:t>
      </w:r>
      <w:r>
        <w:rPr>
          <w:rFonts w:hint="eastAsia" w:ascii="仿宋_GB2312" w:hAnsi="仿宋_GB2312" w:eastAsia="仿宋_GB2312" w:cs="仿宋_GB2312"/>
          <w:u w:val="single"/>
          <w:lang w:val="en-US" w:eastAsia="zh-CN"/>
        </w:rPr>
        <w:t>10</w:t>
      </w:r>
      <w:r>
        <w:rPr>
          <w:rFonts w:hint="eastAsia" w:ascii="仿宋_GB2312" w:hAnsi="仿宋_GB2312" w:eastAsia="仿宋_GB2312" w:cs="仿宋_GB2312"/>
          <w:u w:val="single"/>
        </w:rPr>
        <w:t>月</w:t>
      </w:r>
      <w:r>
        <w:rPr>
          <w:rFonts w:hint="eastAsia" w:ascii="仿宋_GB2312" w:hAnsi="仿宋_GB2312" w:eastAsia="仿宋_GB2312" w:cs="仿宋_GB2312"/>
          <w:u w:val="single"/>
          <w:lang w:val="en-US" w:eastAsia="zh-CN"/>
        </w:rPr>
        <w:t>24</w:t>
      </w:r>
      <w:r>
        <w:rPr>
          <w:rFonts w:hint="eastAsia" w:ascii="仿宋_GB2312" w:hAnsi="仿宋_GB2312" w:eastAsia="仿宋_GB2312" w:cs="仿宋_GB2312"/>
          <w:u w:val="single"/>
        </w:rPr>
        <w:t>日 24 点 00 分（北京时间）</w:t>
      </w:r>
    </w:p>
    <w:p w14:paraId="0A04DC0E">
      <w:pPr>
        <w:widowControl w:val="0"/>
        <w:spacing w:line="500" w:lineRule="exact"/>
        <w:ind w:firstLine="540"/>
        <w:rPr>
          <w:rFonts w:ascii="仿宋_GB2312" w:hAnsi="仿宋_GB2312" w:eastAsia="仿宋_GB2312" w:cs="仿宋_GB2312"/>
          <w:u w:val="single"/>
        </w:rPr>
      </w:pPr>
      <w:r>
        <w:rPr>
          <w:rFonts w:hint="eastAsia" w:ascii="仿宋_GB2312" w:hAnsi="仿宋_GB2312" w:eastAsia="仿宋_GB2312" w:cs="仿宋_GB2312"/>
        </w:rPr>
        <w:t>地点：响应人登录全国公共资源交易平台（汉中市）（sxggzyjy.hanzhong.gov.cn）〖首页·〉电子交易平台·〉企业端〗后，在〖招标公告/出让公告·〉政府采购〗模块中选择项目点击“我要投标”，参与采购活动，然后即可在〖我的项目〗中点击“项目流程&gt;交易文件下载”下载电子招标文件（*.SXSZF）。操作流程详见全国公共资源交易平台（汉中市）网站〖首页·〉服务指南·〉下载专区〗中的《政府采购供应商操作手册》。</w:t>
      </w:r>
    </w:p>
    <w:p w14:paraId="7FF964D1">
      <w:pPr>
        <w:widowControl w:val="0"/>
        <w:spacing w:line="500" w:lineRule="exact"/>
        <w:ind w:firstLine="540"/>
        <w:rPr>
          <w:rFonts w:ascii="仿宋_GB2312" w:hAnsi="仿宋_GB2312" w:eastAsia="仿宋_GB2312" w:cs="仿宋_GB2312"/>
          <w:u w:val="single"/>
        </w:rPr>
      </w:pPr>
      <w:r>
        <w:rPr>
          <w:rFonts w:hint="eastAsia" w:ascii="仿宋_GB2312" w:hAnsi="仿宋_GB2312" w:eastAsia="仿宋_GB2312" w:cs="仿宋_GB2312"/>
        </w:rPr>
        <w:t>方式：线上获取</w:t>
      </w:r>
    </w:p>
    <w:p w14:paraId="2E235984">
      <w:pPr>
        <w:widowControl w:val="0"/>
        <w:spacing w:line="500" w:lineRule="exact"/>
        <w:ind w:firstLine="540"/>
        <w:rPr>
          <w:rFonts w:ascii="仿宋_GB2312" w:hAnsi="仿宋_GB2312" w:eastAsia="仿宋_GB2312" w:cs="仿宋_GB2312"/>
        </w:rPr>
      </w:pPr>
      <w:r>
        <w:rPr>
          <w:rFonts w:hint="eastAsia" w:ascii="仿宋_GB2312" w:hAnsi="仿宋_GB2312" w:eastAsia="仿宋_GB2312" w:cs="仿宋_GB2312"/>
        </w:rPr>
        <w:t>售价：0.00元</w:t>
      </w:r>
    </w:p>
    <w:p w14:paraId="2E13F32F">
      <w:pPr>
        <w:keepNext/>
        <w:widowControl w:val="0"/>
        <w:autoSpaceDE w:val="0"/>
        <w:autoSpaceDN w:val="0"/>
        <w:adjustRightInd w:val="0"/>
        <w:spacing w:line="500" w:lineRule="exact"/>
        <w:outlineLvl w:val="1"/>
        <w:rPr>
          <w:rFonts w:ascii="仿宋_GB2312" w:hAnsi="仿宋_GB2312" w:eastAsia="仿宋_GB2312" w:cs="仿宋_GB2312"/>
          <w:b/>
          <w:bCs/>
        </w:rPr>
      </w:pPr>
      <w:bookmarkStart w:id="24" w:name="_Toc35393801"/>
      <w:bookmarkStart w:id="25" w:name="_Toc35393632"/>
      <w:bookmarkStart w:id="26" w:name="_Toc28359015"/>
      <w:bookmarkStart w:id="27" w:name="_Toc859"/>
      <w:bookmarkStart w:id="28" w:name="_Toc28359092"/>
      <w:r>
        <w:rPr>
          <w:rFonts w:hint="eastAsia" w:ascii="仿宋_GB2312" w:hAnsi="仿宋_GB2312" w:eastAsia="仿宋_GB2312" w:cs="仿宋_GB2312"/>
          <w:b/>
          <w:bCs/>
        </w:rPr>
        <w:t>四、响应文件提交</w:t>
      </w:r>
      <w:bookmarkEnd w:id="24"/>
      <w:bookmarkEnd w:id="25"/>
      <w:bookmarkEnd w:id="26"/>
      <w:bookmarkEnd w:id="27"/>
      <w:bookmarkEnd w:id="28"/>
    </w:p>
    <w:p w14:paraId="7C58E431">
      <w:pPr>
        <w:widowControl w:val="0"/>
        <w:spacing w:line="500" w:lineRule="exact"/>
        <w:ind w:firstLine="566" w:firstLineChars="200"/>
        <w:rPr>
          <w:rFonts w:ascii="仿宋_GB2312" w:hAnsi="仿宋_GB2312" w:eastAsia="仿宋_GB2312" w:cs="仿宋_GB2312"/>
          <w:bCs/>
        </w:rPr>
      </w:pPr>
      <w:r>
        <w:rPr>
          <w:rFonts w:hint="eastAsia" w:ascii="仿宋_GB2312" w:hAnsi="仿宋_GB2312" w:eastAsia="仿宋_GB2312" w:cs="仿宋_GB2312"/>
        </w:rPr>
        <w:t>截止时间：</w:t>
      </w:r>
      <w:r>
        <w:rPr>
          <w:rFonts w:hint="eastAsia" w:ascii="仿宋_GB2312" w:hAnsi="仿宋_GB2312" w:eastAsia="仿宋_GB2312" w:cs="仿宋_GB2312"/>
          <w:u w:val="single"/>
        </w:rPr>
        <w:t xml:space="preserve"> 2025 </w:t>
      </w:r>
      <w:r>
        <w:rPr>
          <w:rFonts w:hint="eastAsia" w:ascii="仿宋_GB2312" w:hAnsi="仿宋_GB2312" w:eastAsia="仿宋_GB2312" w:cs="仿宋_GB2312"/>
          <w:bCs/>
          <w:u w:val="single"/>
        </w:rPr>
        <w:t>年</w:t>
      </w:r>
      <w:r>
        <w:rPr>
          <w:rFonts w:hint="eastAsia" w:ascii="仿宋_GB2312" w:hAnsi="仿宋_GB2312" w:eastAsia="仿宋_GB2312" w:cs="仿宋_GB2312"/>
          <w:bCs/>
          <w:u w:val="single"/>
          <w:lang w:val="en-US" w:eastAsia="zh-CN"/>
        </w:rPr>
        <w:t>11</w:t>
      </w:r>
      <w:r>
        <w:rPr>
          <w:rFonts w:hint="eastAsia" w:ascii="仿宋_GB2312" w:hAnsi="仿宋_GB2312" w:eastAsia="仿宋_GB2312" w:cs="仿宋_GB2312"/>
          <w:bCs/>
          <w:u w:val="single"/>
        </w:rPr>
        <w:t>月</w:t>
      </w:r>
      <w:r>
        <w:rPr>
          <w:rFonts w:hint="eastAsia" w:ascii="仿宋_GB2312" w:hAnsi="仿宋_GB2312" w:eastAsia="仿宋_GB2312" w:cs="仿宋_GB2312"/>
          <w:bCs/>
          <w:u w:val="single"/>
          <w:lang w:val="en-US" w:eastAsia="zh-CN"/>
        </w:rPr>
        <w:t>12</w:t>
      </w:r>
      <w:r>
        <w:rPr>
          <w:rFonts w:hint="eastAsia" w:ascii="仿宋_GB2312" w:hAnsi="仿宋_GB2312" w:eastAsia="仿宋_GB2312" w:cs="仿宋_GB2312"/>
          <w:bCs/>
          <w:u w:val="single"/>
        </w:rPr>
        <w:t>日 9 点 30 分</w:t>
      </w:r>
      <w:r>
        <w:rPr>
          <w:rFonts w:hint="eastAsia" w:ascii="仿宋_GB2312" w:hAnsi="仿宋_GB2312" w:eastAsia="仿宋_GB2312" w:cs="仿宋_GB2312"/>
          <w:bCs/>
        </w:rPr>
        <w:t>（北京时间）</w:t>
      </w:r>
    </w:p>
    <w:p w14:paraId="50DEE169">
      <w:pPr>
        <w:widowControl w:val="0"/>
        <w:spacing w:line="500" w:lineRule="exact"/>
        <w:ind w:firstLine="566" w:firstLineChars="200"/>
        <w:rPr>
          <w:rFonts w:ascii="仿宋_GB2312" w:hAnsi="仿宋_GB2312" w:eastAsia="仿宋_GB2312" w:cs="仿宋_GB2312"/>
          <w:bCs/>
          <w:u w:val="single"/>
        </w:rPr>
      </w:pPr>
      <w:r>
        <w:rPr>
          <w:rFonts w:hint="eastAsia" w:ascii="仿宋_GB2312" w:hAnsi="仿宋_GB2312" w:eastAsia="仿宋_GB2312" w:cs="仿宋_GB2312"/>
        </w:rPr>
        <w:t>地点：电子响应文件（*.SXSTF）可于提交响应文件截止时间前任意时段登录全国公共资源交易平台（汉中市）网站进行提交，逾期系统将拒绝接收。</w:t>
      </w:r>
    </w:p>
    <w:p w14:paraId="75BB39B4">
      <w:pPr>
        <w:keepNext/>
        <w:widowControl w:val="0"/>
        <w:autoSpaceDE w:val="0"/>
        <w:autoSpaceDN w:val="0"/>
        <w:adjustRightInd w:val="0"/>
        <w:spacing w:line="500" w:lineRule="exact"/>
        <w:outlineLvl w:val="1"/>
        <w:rPr>
          <w:rFonts w:ascii="仿宋_GB2312" w:hAnsi="仿宋_GB2312" w:eastAsia="仿宋_GB2312" w:cs="仿宋_GB2312"/>
          <w:b/>
          <w:bCs/>
        </w:rPr>
      </w:pPr>
      <w:bookmarkStart w:id="29" w:name="_Toc28359016"/>
      <w:bookmarkStart w:id="30" w:name="_Toc28359093"/>
      <w:bookmarkStart w:id="31" w:name="_Toc35393633"/>
      <w:bookmarkStart w:id="32" w:name="_Toc35393802"/>
      <w:bookmarkStart w:id="33" w:name="_Toc32165"/>
      <w:r>
        <w:rPr>
          <w:rFonts w:hint="eastAsia" w:ascii="仿宋_GB2312" w:hAnsi="仿宋_GB2312" w:eastAsia="仿宋_GB2312" w:cs="仿宋_GB2312"/>
          <w:b/>
          <w:bCs/>
        </w:rPr>
        <w:t>五、开启</w:t>
      </w:r>
      <w:bookmarkEnd w:id="29"/>
      <w:bookmarkEnd w:id="30"/>
      <w:bookmarkEnd w:id="31"/>
      <w:bookmarkEnd w:id="32"/>
      <w:bookmarkEnd w:id="33"/>
    </w:p>
    <w:p w14:paraId="4815714C">
      <w:pPr>
        <w:widowControl w:val="0"/>
        <w:spacing w:line="500" w:lineRule="exact"/>
        <w:ind w:firstLine="566" w:firstLineChars="200"/>
        <w:rPr>
          <w:rFonts w:ascii="仿宋_GB2312" w:hAnsi="仿宋_GB2312" w:eastAsia="仿宋_GB2312" w:cs="仿宋_GB2312"/>
          <w:bCs/>
          <w:u w:val="single"/>
        </w:rPr>
      </w:pPr>
      <w:r>
        <w:rPr>
          <w:rFonts w:hint="eastAsia" w:ascii="仿宋_GB2312" w:hAnsi="仿宋_GB2312" w:eastAsia="仿宋_GB2312" w:cs="仿宋_GB2312"/>
        </w:rPr>
        <w:t>时间：</w:t>
      </w:r>
      <w:r>
        <w:rPr>
          <w:rFonts w:hint="eastAsia" w:ascii="仿宋_GB2312" w:hAnsi="仿宋_GB2312" w:eastAsia="仿宋_GB2312" w:cs="仿宋_GB2312"/>
          <w:u w:val="single"/>
        </w:rPr>
        <w:t xml:space="preserve"> 2025 </w:t>
      </w:r>
      <w:r>
        <w:rPr>
          <w:rFonts w:hint="eastAsia" w:ascii="仿宋_GB2312" w:hAnsi="仿宋_GB2312" w:eastAsia="仿宋_GB2312" w:cs="仿宋_GB2312"/>
          <w:bCs/>
          <w:u w:val="single"/>
        </w:rPr>
        <w:t>年</w:t>
      </w:r>
      <w:r>
        <w:rPr>
          <w:rFonts w:hint="eastAsia" w:ascii="仿宋_GB2312" w:hAnsi="仿宋_GB2312" w:eastAsia="仿宋_GB2312" w:cs="仿宋_GB2312"/>
          <w:bCs/>
          <w:u w:val="single"/>
          <w:lang w:val="en-US" w:eastAsia="zh-CN"/>
        </w:rPr>
        <w:t>11</w:t>
      </w:r>
      <w:r>
        <w:rPr>
          <w:rFonts w:hint="eastAsia" w:ascii="仿宋_GB2312" w:hAnsi="仿宋_GB2312" w:eastAsia="仿宋_GB2312" w:cs="仿宋_GB2312"/>
          <w:bCs/>
          <w:u w:val="single"/>
        </w:rPr>
        <w:t>月</w:t>
      </w:r>
      <w:r>
        <w:rPr>
          <w:rFonts w:hint="eastAsia" w:ascii="仿宋_GB2312" w:hAnsi="仿宋_GB2312" w:eastAsia="仿宋_GB2312" w:cs="仿宋_GB2312"/>
          <w:bCs/>
          <w:u w:val="single"/>
          <w:lang w:val="en-US" w:eastAsia="zh-CN"/>
        </w:rPr>
        <w:t>12</w:t>
      </w:r>
      <w:r>
        <w:rPr>
          <w:rFonts w:hint="eastAsia" w:ascii="仿宋_GB2312" w:hAnsi="仿宋_GB2312" w:eastAsia="仿宋_GB2312" w:cs="仿宋_GB2312"/>
          <w:bCs/>
          <w:u w:val="single"/>
        </w:rPr>
        <w:t>日 9 点 30 分</w:t>
      </w:r>
      <w:r>
        <w:rPr>
          <w:rFonts w:hint="eastAsia" w:ascii="仿宋_GB2312" w:hAnsi="仿宋_GB2312" w:eastAsia="仿宋_GB2312" w:cs="仿宋_GB2312"/>
          <w:bCs/>
        </w:rPr>
        <w:t>（北京时间）</w:t>
      </w:r>
    </w:p>
    <w:p w14:paraId="4BC3A9C5">
      <w:pPr>
        <w:widowControl w:val="0"/>
        <w:spacing w:line="500" w:lineRule="exact"/>
        <w:ind w:firstLine="566" w:firstLineChars="200"/>
        <w:rPr>
          <w:rFonts w:ascii="仿宋_GB2312" w:hAnsi="仿宋_GB2312" w:eastAsia="仿宋_GB2312" w:cs="仿宋_GB2312"/>
          <w:bCs/>
          <w:u w:val="single"/>
        </w:rPr>
      </w:pPr>
      <w:r>
        <w:rPr>
          <w:rFonts w:hint="eastAsia" w:ascii="仿宋_GB2312" w:hAnsi="仿宋_GB2312" w:eastAsia="仿宋_GB2312" w:cs="仿宋_GB2312"/>
        </w:rPr>
        <w:t>地点：</w:t>
      </w:r>
      <w:r>
        <w:rPr>
          <w:rFonts w:hint="eastAsia" w:ascii="仿宋_GB2312" w:hAnsi="仿宋_GB2312" w:eastAsia="仿宋_GB2312" w:cs="仿宋_GB2312"/>
          <w:b/>
          <w:bCs/>
        </w:rPr>
        <w:t>采用“不见面开标方式”。</w:t>
      </w:r>
      <w:r>
        <w:rPr>
          <w:rFonts w:hint="eastAsia" w:ascii="仿宋_GB2312" w:hAnsi="仿宋_GB2312" w:eastAsia="仿宋_GB2312" w:cs="仿宋_GB2312"/>
        </w:rPr>
        <w:t>开启前，响应人登录全国公共资源交易平台（陕西省·汉中市）网站〖首页〉不见面开标〗系统，在线参加开启过程。开启时，按照工作人员要求进行远程解密，如因响应人自身原因造成无法解密响应文件，按无效响应对待。</w:t>
      </w:r>
    </w:p>
    <w:p w14:paraId="165441E9">
      <w:pPr>
        <w:keepNext/>
        <w:widowControl w:val="0"/>
        <w:autoSpaceDE w:val="0"/>
        <w:autoSpaceDN w:val="0"/>
        <w:adjustRightInd w:val="0"/>
        <w:spacing w:line="500" w:lineRule="exact"/>
        <w:outlineLvl w:val="1"/>
        <w:rPr>
          <w:rFonts w:ascii="仿宋_GB2312" w:hAnsi="仿宋_GB2312" w:eastAsia="仿宋_GB2312" w:cs="仿宋_GB2312"/>
          <w:b/>
          <w:bCs/>
        </w:rPr>
      </w:pPr>
      <w:bookmarkStart w:id="34" w:name="_Toc35393803"/>
      <w:bookmarkStart w:id="35" w:name="_Toc28359094"/>
      <w:bookmarkStart w:id="36" w:name="_Toc35393634"/>
      <w:bookmarkStart w:id="37" w:name="_Toc28359017"/>
      <w:bookmarkStart w:id="38" w:name="_Toc4869"/>
      <w:r>
        <w:rPr>
          <w:rFonts w:hint="eastAsia" w:ascii="仿宋_GB2312" w:hAnsi="仿宋_GB2312" w:eastAsia="仿宋_GB2312" w:cs="仿宋_GB2312"/>
          <w:b/>
          <w:bCs/>
        </w:rPr>
        <w:t>六、公告期限</w:t>
      </w:r>
      <w:bookmarkEnd w:id="34"/>
      <w:bookmarkEnd w:id="35"/>
      <w:bookmarkEnd w:id="36"/>
      <w:bookmarkEnd w:id="37"/>
      <w:bookmarkEnd w:id="38"/>
    </w:p>
    <w:p w14:paraId="6335D9DB">
      <w:pPr>
        <w:widowControl w:val="0"/>
        <w:spacing w:line="500" w:lineRule="exact"/>
        <w:ind w:firstLine="566" w:firstLineChars="200"/>
        <w:rPr>
          <w:rFonts w:ascii="仿宋_GB2312" w:hAnsi="仿宋_GB2312" w:eastAsia="仿宋_GB2312" w:cs="仿宋_GB2312"/>
          <w:kern w:val="0"/>
        </w:rPr>
      </w:pPr>
      <w:r>
        <w:rPr>
          <w:rFonts w:hint="eastAsia" w:ascii="仿宋_GB2312" w:hAnsi="仿宋_GB2312" w:eastAsia="仿宋_GB2312" w:cs="仿宋_GB2312"/>
          <w:kern w:val="0"/>
        </w:rPr>
        <w:t>自本公告发布之日起3个工作日。</w:t>
      </w:r>
    </w:p>
    <w:p w14:paraId="10D44864">
      <w:pPr>
        <w:keepNext/>
        <w:widowControl w:val="0"/>
        <w:autoSpaceDE w:val="0"/>
        <w:autoSpaceDN w:val="0"/>
        <w:adjustRightInd w:val="0"/>
        <w:spacing w:line="500" w:lineRule="exact"/>
        <w:outlineLvl w:val="1"/>
        <w:rPr>
          <w:rFonts w:ascii="仿宋_GB2312" w:hAnsi="仿宋_GB2312" w:eastAsia="仿宋_GB2312" w:cs="仿宋_GB2312"/>
          <w:b/>
          <w:bCs/>
        </w:rPr>
      </w:pPr>
      <w:bookmarkStart w:id="39" w:name="_Toc35393635"/>
      <w:bookmarkStart w:id="40" w:name="_Toc24605"/>
      <w:bookmarkStart w:id="41" w:name="_Toc35393804"/>
      <w:r>
        <w:rPr>
          <w:rFonts w:hint="eastAsia" w:ascii="仿宋_GB2312" w:hAnsi="仿宋_GB2312" w:eastAsia="仿宋_GB2312" w:cs="仿宋_GB2312"/>
          <w:b/>
          <w:bCs/>
        </w:rPr>
        <w:t>七、其他补充事宜</w:t>
      </w:r>
      <w:bookmarkEnd w:id="39"/>
      <w:bookmarkEnd w:id="40"/>
      <w:bookmarkEnd w:id="41"/>
    </w:p>
    <w:p w14:paraId="0C9270BE">
      <w:pPr>
        <w:widowControl w:val="0"/>
        <w:spacing w:line="500" w:lineRule="exact"/>
        <w:ind w:firstLine="566" w:firstLineChars="200"/>
        <w:rPr>
          <w:rFonts w:ascii="仿宋_GB2312" w:hAnsi="仿宋_GB2312" w:eastAsia="仿宋_GB2312" w:cs="仿宋_GB2312"/>
          <w:kern w:val="0"/>
        </w:rPr>
      </w:pPr>
      <w:bookmarkStart w:id="426" w:name="_GoBack"/>
      <w:r>
        <w:rPr>
          <w:rFonts w:hint="eastAsia" w:ascii="仿宋_GB2312" w:hAnsi="仿宋_GB2312" w:eastAsia="仿宋_GB2312" w:cs="仿宋_GB2312"/>
          <w:kern w:val="0"/>
        </w:rPr>
        <w:t>１、响应人初次使用交易平台，须先完成诚信入库登记、数字认证证书 （CA 锁）认证及企业信息绑定。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w:t>
      </w:r>
    </w:p>
    <w:p w14:paraId="72652362">
      <w:pPr>
        <w:widowControl w:val="0"/>
        <w:spacing w:line="500" w:lineRule="exact"/>
        <w:ind w:firstLine="566" w:firstLineChars="200"/>
        <w:rPr>
          <w:rFonts w:ascii="仿宋_GB2312" w:hAnsi="仿宋_GB2312" w:eastAsia="仿宋_GB2312" w:cs="仿宋_GB2312"/>
          <w:kern w:val="0"/>
        </w:rPr>
      </w:pPr>
      <w:r>
        <w:rPr>
          <w:rFonts w:hint="eastAsia" w:ascii="仿宋_GB2312" w:hAnsi="仿宋_GB2312" w:eastAsia="仿宋_GB2312" w:cs="仿宋_GB2312"/>
          <w:kern w:val="0"/>
        </w:rPr>
        <w:t>2、</w:t>
      </w:r>
      <w:r>
        <w:rPr>
          <w:rFonts w:hint="eastAsia" w:ascii="仿宋_GB2312" w:hAnsi="仿宋_GB2312" w:eastAsia="仿宋_GB2312" w:cs="仿宋_GB2312"/>
          <w:b/>
          <w:bCs/>
          <w:kern w:val="0"/>
        </w:rPr>
        <w:t>本项目采用“电子化采购”及“不见面开标”方式，</w:t>
      </w:r>
      <w:r>
        <w:rPr>
          <w:rFonts w:hint="eastAsia" w:ascii="仿宋_GB2312" w:hAnsi="仿宋_GB2312" w:eastAsia="仿宋_GB2312" w:cs="仿宋_GB2312"/>
          <w:kern w:val="0"/>
        </w:rPr>
        <w:t>响应人须使用数字认证证书（CA锁）对电子响应文件进行签章、加密、递交及开启时解密等相关事宜。（操作手册详见〖首页〉服务指南〉下载专区〗中的《汉中公共资源交易不见面开标大厅投标单位操作手册》）</w:t>
      </w:r>
    </w:p>
    <w:p w14:paraId="56D5FD0C">
      <w:pPr>
        <w:widowControl w:val="0"/>
        <w:spacing w:line="500" w:lineRule="exact"/>
        <w:ind w:firstLine="566" w:firstLineChars="200"/>
        <w:rPr>
          <w:rFonts w:ascii="仿宋_GB2312" w:hAnsi="仿宋_GB2312" w:eastAsia="仿宋_GB2312" w:cs="仿宋_GB2312"/>
          <w:kern w:val="0"/>
        </w:rPr>
      </w:pPr>
      <w:r>
        <w:rPr>
          <w:rFonts w:hint="eastAsia" w:ascii="仿宋_GB2312" w:hAnsi="仿宋_GB2312" w:eastAsia="仿宋_GB2312" w:cs="仿宋_GB2312"/>
          <w:kern w:val="0"/>
        </w:rPr>
        <w:t xml:space="preserve">3、请响应人务必及时下载采购文件并做好备份，否则会影响响应文件编制及后续采购活动。 </w:t>
      </w:r>
    </w:p>
    <w:p w14:paraId="6D68D01B">
      <w:pPr>
        <w:widowControl w:val="0"/>
        <w:spacing w:line="500" w:lineRule="exact"/>
        <w:ind w:firstLine="566" w:firstLineChars="200"/>
        <w:rPr>
          <w:rFonts w:ascii="仿宋_GB2312" w:hAnsi="仿宋_GB2312" w:eastAsia="仿宋_GB2312" w:cs="仿宋_GB2312"/>
          <w:kern w:val="0"/>
        </w:rPr>
      </w:pPr>
      <w:r>
        <w:rPr>
          <w:rFonts w:hint="eastAsia" w:ascii="仿宋_GB2312" w:hAnsi="仿宋_GB2312" w:eastAsia="仿宋_GB2312" w:cs="仿宋_GB2312"/>
          <w:kern w:val="0"/>
        </w:rPr>
        <w:t>4、按照2018年12月26日发布的“陕西省财政厅关于政府采购供应商注册登记有关事项的通知”要求，我省政府采购供应商注册登记工作自本通知印发之日起恢复办理。符合《政府采购法》第二十二条规定的合格供应商通过陕西省政府采购网（http://www.ccgp-shaanxi.gov.cn/）注册登记加入陕西省政府采购供应商库。详细内容请查阅“陕西省政府采购网”。供应商注册登记咨询电话：029-96702-7  87611761。</w:t>
      </w:r>
    </w:p>
    <w:p w14:paraId="694B3258">
      <w:pPr>
        <w:widowControl w:val="0"/>
        <w:spacing w:line="500" w:lineRule="exact"/>
        <w:ind w:firstLine="566" w:firstLineChars="200"/>
        <w:rPr>
          <w:rFonts w:ascii="仿宋_GB2312" w:hAnsi="仿宋_GB2312" w:eastAsia="仿宋_GB2312" w:cs="仿宋_GB2312"/>
          <w:kern w:val="0"/>
        </w:rPr>
      </w:pPr>
      <w:r>
        <w:rPr>
          <w:rFonts w:hint="eastAsia" w:ascii="仿宋_GB2312" w:hAnsi="仿宋_GB2312" w:eastAsia="仿宋_GB2312" w:cs="仿宋_GB2312"/>
          <w:kern w:val="0"/>
        </w:rPr>
        <w:t>5、有融资需求的中标（成交）供应商可根据自身情况，根据《陕西省财政厅关于加快推进我省中小企业政府采购信用融资工作的通知》（陕财办采〔2020〕15号）文件精神，自主选择融资平台或金融机构及其融资产品，凭政府采购中标（成交）通知书或政府采购合同向金融机构提出融资申请。</w:t>
      </w:r>
    </w:p>
    <w:bookmarkEnd w:id="426"/>
    <w:p w14:paraId="7838AD6E">
      <w:pPr>
        <w:keepNext/>
        <w:widowControl w:val="0"/>
        <w:autoSpaceDE w:val="0"/>
        <w:autoSpaceDN w:val="0"/>
        <w:adjustRightInd w:val="0"/>
        <w:spacing w:line="500" w:lineRule="exact"/>
        <w:outlineLvl w:val="1"/>
        <w:rPr>
          <w:rFonts w:ascii="仿宋_GB2312" w:hAnsi="仿宋_GB2312" w:eastAsia="仿宋_GB2312" w:cs="仿宋_GB2312"/>
          <w:b/>
          <w:bCs/>
        </w:rPr>
      </w:pPr>
      <w:bookmarkStart w:id="42" w:name="_Toc17247"/>
      <w:bookmarkStart w:id="43" w:name="_Toc35393805"/>
      <w:bookmarkStart w:id="44" w:name="_Toc28359095"/>
      <w:bookmarkStart w:id="45" w:name="_Toc35393636"/>
      <w:bookmarkStart w:id="46" w:name="_Toc28359018"/>
      <w:r>
        <w:rPr>
          <w:rFonts w:hint="eastAsia" w:ascii="仿宋_GB2312" w:hAnsi="仿宋_GB2312" w:eastAsia="仿宋_GB2312" w:cs="仿宋_GB2312"/>
          <w:b/>
          <w:bCs/>
        </w:rPr>
        <w:t>八、凡对本次采购提出询问，请按以下方式联系。</w:t>
      </w:r>
      <w:bookmarkEnd w:id="42"/>
      <w:bookmarkEnd w:id="43"/>
      <w:bookmarkEnd w:id="44"/>
      <w:bookmarkEnd w:id="45"/>
      <w:bookmarkEnd w:id="46"/>
    </w:p>
    <w:p w14:paraId="38A2F434">
      <w:pPr>
        <w:keepNext/>
        <w:widowControl w:val="0"/>
        <w:autoSpaceDE w:val="0"/>
        <w:autoSpaceDN w:val="0"/>
        <w:adjustRightInd w:val="0"/>
        <w:spacing w:line="500" w:lineRule="exact"/>
        <w:ind w:firstLine="849" w:firstLineChars="300"/>
        <w:outlineLvl w:val="1"/>
        <w:rPr>
          <w:rFonts w:ascii="仿宋_GB2312" w:hAnsi="仿宋_GB2312" w:eastAsia="仿宋_GB2312" w:cs="仿宋_GB2312"/>
        </w:rPr>
      </w:pPr>
      <w:bookmarkStart w:id="47" w:name="_Toc35393806"/>
      <w:bookmarkStart w:id="48" w:name="_Toc28359019"/>
      <w:bookmarkStart w:id="49" w:name="_Toc28359096"/>
      <w:bookmarkStart w:id="50" w:name="_Toc9063"/>
      <w:bookmarkStart w:id="51" w:name="_Toc35393637"/>
      <w:r>
        <w:rPr>
          <w:rFonts w:hint="eastAsia" w:ascii="仿宋_GB2312" w:hAnsi="仿宋_GB2312" w:eastAsia="仿宋_GB2312" w:cs="仿宋_GB2312"/>
        </w:rPr>
        <w:t>1.采购人信息</w:t>
      </w:r>
      <w:bookmarkEnd w:id="47"/>
      <w:bookmarkEnd w:id="48"/>
      <w:bookmarkEnd w:id="49"/>
      <w:bookmarkEnd w:id="50"/>
      <w:bookmarkEnd w:id="51"/>
    </w:p>
    <w:p w14:paraId="17C4EE7D">
      <w:pPr>
        <w:widowControl w:val="0"/>
        <w:spacing w:line="500" w:lineRule="exact"/>
        <w:ind w:firstLine="849" w:firstLineChars="300"/>
        <w:jc w:val="left"/>
        <w:rPr>
          <w:rFonts w:ascii="仿宋_GB2312" w:hAnsi="仿宋_GB2312" w:eastAsia="仿宋_GB2312" w:cs="仿宋_GB2312"/>
        </w:rPr>
      </w:pPr>
      <w:bookmarkStart w:id="52" w:name="_Toc28359020"/>
      <w:bookmarkStart w:id="53" w:name="_Toc28359097"/>
      <w:bookmarkStart w:id="54" w:name="_Toc35393807"/>
      <w:bookmarkStart w:id="55" w:name="_Toc35393638"/>
      <w:r>
        <w:rPr>
          <w:rFonts w:hint="eastAsia" w:ascii="仿宋_GB2312" w:hAnsi="仿宋_GB2312" w:eastAsia="仿宋_GB2312" w:cs="仿宋_GB2312"/>
        </w:rPr>
        <w:t>名    称：</w:t>
      </w:r>
      <w:r>
        <w:rPr>
          <w:rFonts w:hint="eastAsia" w:ascii="仿宋_GB2312" w:hAnsi="仿宋_GB2312" w:eastAsia="仿宋_GB2312" w:cs="仿宋_GB2312"/>
          <w:u w:val="single"/>
        </w:rPr>
        <w:t>　</w:t>
      </w:r>
      <w:r>
        <w:rPr>
          <w:rFonts w:hint="eastAsia" w:ascii="仿宋_GB2312" w:hAnsi="仿宋_GB2312" w:eastAsia="仿宋_GB2312" w:cs="仿宋_GB2312"/>
          <w:u w:val="single"/>
          <w:lang w:val="en-US" w:eastAsia="zh-CN"/>
        </w:rPr>
        <w:t>汉中市救助管理站</w:t>
      </w:r>
      <w:r>
        <w:rPr>
          <w:rFonts w:hint="eastAsia" w:ascii="仿宋_GB2312" w:hAnsi="仿宋_GB2312" w:eastAsia="仿宋_GB2312" w:cs="仿宋_GB2312"/>
          <w:u w:val="single"/>
        </w:rPr>
        <w:t>　</w:t>
      </w:r>
    </w:p>
    <w:p w14:paraId="409E56C6">
      <w:pPr>
        <w:widowControl w:val="0"/>
        <w:spacing w:line="500" w:lineRule="exact"/>
        <w:ind w:firstLine="849" w:firstLineChars="300"/>
        <w:jc w:val="left"/>
        <w:rPr>
          <w:rFonts w:ascii="仿宋_GB2312" w:hAnsi="仿宋_GB2312" w:eastAsia="仿宋_GB2312" w:cs="仿宋_GB2312"/>
        </w:rPr>
      </w:pPr>
      <w:r>
        <w:rPr>
          <w:rFonts w:hint="eastAsia" w:ascii="仿宋_GB2312" w:hAnsi="仿宋_GB2312" w:eastAsia="仿宋_GB2312" w:cs="仿宋_GB2312"/>
        </w:rPr>
        <w:t>地    址：</w:t>
      </w:r>
      <w:r>
        <w:rPr>
          <w:rFonts w:hint="eastAsia" w:ascii="仿宋_GB2312" w:hAnsi="仿宋_GB2312" w:eastAsia="仿宋_GB2312" w:cs="仿宋_GB2312"/>
          <w:u w:val="single"/>
        </w:rPr>
        <w:t>　汉台区</w:t>
      </w:r>
      <w:r>
        <w:rPr>
          <w:rFonts w:hint="eastAsia" w:ascii="仿宋_GB2312" w:hAnsi="仿宋_GB2312" w:eastAsia="仿宋_GB2312" w:cs="仿宋_GB2312"/>
          <w:u w:val="single"/>
          <w:lang w:val="en-US" w:eastAsia="zh-CN"/>
        </w:rPr>
        <w:t>康复路8</w:t>
      </w:r>
      <w:r>
        <w:rPr>
          <w:rFonts w:hint="eastAsia" w:ascii="仿宋_GB2312" w:hAnsi="仿宋_GB2312" w:eastAsia="仿宋_GB2312" w:cs="仿宋_GB2312"/>
          <w:u w:val="single"/>
        </w:rPr>
        <w:t>号　</w:t>
      </w:r>
    </w:p>
    <w:p w14:paraId="7EF0CB51">
      <w:pPr>
        <w:widowControl w:val="0"/>
        <w:spacing w:line="500" w:lineRule="exact"/>
        <w:ind w:firstLine="849" w:firstLineChars="300"/>
        <w:jc w:val="left"/>
        <w:rPr>
          <w:rFonts w:ascii="仿宋_GB2312" w:hAnsi="仿宋_GB2312" w:eastAsia="仿宋_GB2312" w:cs="仿宋_GB2312"/>
        </w:rPr>
      </w:pPr>
      <w:r>
        <w:rPr>
          <w:rFonts w:hint="eastAsia" w:ascii="仿宋_GB2312" w:hAnsi="仿宋_GB2312" w:eastAsia="仿宋_GB2312" w:cs="仿宋_GB2312"/>
        </w:rPr>
        <w:t>联系方式：</w:t>
      </w:r>
      <w:r>
        <w:rPr>
          <w:rFonts w:hint="eastAsia" w:ascii="仿宋_GB2312" w:hAnsi="仿宋_GB2312" w:eastAsia="仿宋_GB2312" w:cs="仿宋_GB2312"/>
          <w:u w:val="single"/>
        </w:rPr>
        <w:t>　</w:t>
      </w:r>
      <w:r>
        <w:rPr>
          <w:rFonts w:hint="eastAsia" w:ascii="仿宋_GB2312" w:hAnsi="仿宋_GB2312" w:eastAsia="仿宋_GB2312" w:cs="仿宋_GB2312"/>
          <w:u w:val="single"/>
          <w:lang w:val="en-US" w:eastAsia="zh-CN"/>
        </w:rPr>
        <w:t>15129582857</w:t>
      </w:r>
      <w:r>
        <w:rPr>
          <w:rFonts w:hint="eastAsia" w:ascii="仿宋_GB2312" w:hAnsi="仿宋_GB2312" w:eastAsia="仿宋_GB2312" w:cs="仿宋_GB2312"/>
          <w:u w:val="single"/>
        </w:rPr>
        <w:t xml:space="preserve"> 　</w:t>
      </w:r>
    </w:p>
    <w:p w14:paraId="6B9B4BBB">
      <w:pPr>
        <w:keepNext/>
        <w:widowControl w:val="0"/>
        <w:autoSpaceDE w:val="0"/>
        <w:autoSpaceDN w:val="0"/>
        <w:adjustRightInd w:val="0"/>
        <w:spacing w:line="500" w:lineRule="exact"/>
        <w:ind w:firstLine="849" w:firstLineChars="300"/>
        <w:outlineLvl w:val="1"/>
        <w:rPr>
          <w:rFonts w:ascii="仿宋_GB2312" w:hAnsi="仿宋_GB2312" w:eastAsia="仿宋_GB2312" w:cs="仿宋_GB2312"/>
        </w:rPr>
      </w:pPr>
      <w:bookmarkStart w:id="56" w:name="_Toc27032"/>
      <w:r>
        <w:rPr>
          <w:rFonts w:hint="eastAsia" w:ascii="仿宋_GB2312" w:hAnsi="仿宋_GB2312" w:eastAsia="仿宋_GB2312" w:cs="仿宋_GB2312"/>
        </w:rPr>
        <w:t>2.采购代理机构信息</w:t>
      </w:r>
      <w:bookmarkEnd w:id="52"/>
      <w:bookmarkEnd w:id="53"/>
      <w:bookmarkEnd w:id="54"/>
      <w:bookmarkEnd w:id="55"/>
      <w:bookmarkEnd w:id="56"/>
    </w:p>
    <w:p w14:paraId="75A50DA9">
      <w:pPr>
        <w:widowControl w:val="0"/>
        <w:spacing w:line="500" w:lineRule="exact"/>
        <w:ind w:firstLine="849" w:firstLineChars="300"/>
        <w:rPr>
          <w:rFonts w:ascii="仿宋_GB2312" w:hAnsi="仿宋_GB2312" w:eastAsia="仿宋_GB2312" w:cs="仿宋_GB2312"/>
        </w:rPr>
      </w:pPr>
      <w:r>
        <w:rPr>
          <w:rFonts w:hint="eastAsia" w:ascii="仿宋_GB2312" w:hAnsi="仿宋_GB2312" w:eastAsia="仿宋_GB2312" w:cs="仿宋_GB2312"/>
        </w:rPr>
        <w:t>名    称：</w:t>
      </w:r>
      <w:r>
        <w:rPr>
          <w:rFonts w:hint="eastAsia" w:ascii="仿宋_GB2312" w:hAnsi="仿宋_GB2312" w:eastAsia="仿宋_GB2312" w:cs="仿宋_GB2312"/>
          <w:u w:val="single"/>
        </w:rPr>
        <w:t>　汉中市政府采购中心 　</w:t>
      </w:r>
    </w:p>
    <w:p w14:paraId="51DEB01A">
      <w:pPr>
        <w:widowControl w:val="0"/>
        <w:spacing w:line="500" w:lineRule="exact"/>
        <w:ind w:firstLine="849" w:firstLineChars="300"/>
        <w:rPr>
          <w:rFonts w:ascii="仿宋_GB2312" w:hAnsi="仿宋_GB2312" w:eastAsia="仿宋_GB2312" w:cs="仿宋_GB2312"/>
        </w:rPr>
      </w:pPr>
      <w:r>
        <w:rPr>
          <w:rFonts w:hint="eastAsia" w:ascii="仿宋_GB2312" w:hAnsi="仿宋_GB2312" w:eastAsia="仿宋_GB2312" w:cs="仿宋_GB2312"/>
        </w:rPr>
        <w:t>地　　址：</w:t>
      </w:r>
      <w:r>
        <w:rPr>
          <w:rFonts w:hint="eastAsia" w:ascii="仿宋_GB2312" w:hAnsi="仿宋_GB2312" w:eastAsia="仿宋_GB2312" w:cs="仿宋_GB2312"/>
          <w:u w:val="single"/>
        </w:rPr>
        <w:t>　汉中市汉台区南团结街与汉宁路十字金格大厦四楼　</w:t>
      </w:r>
    </w:p>
    <w:p w14:paraId="0E6076C5">
      <w:pPr>
        <w:widowControl w:val="0"/>
        <w:spacing w:line="500" w:lineRule="exact"/>
        <w:ind w:firstLine="849" w:firstLineChars="300"/>
        <w:rPr>
          <w:rFonts w:ascii="仿宋_GB2312" w:hAnsi="仿宋_GB2312" w:eastAsia="仿宋_GB2312" w:cs="仿宋_GB2312"/>
          <w:u w:val="single"/>
        </w:rPr>
      </w:pPr>
      <w:r>
        <w:rPr>
          <w:rFonts w:hint="eastAsia" w:ascii="仿宋_GB2312" w:hAnsi="仿宋_GB2312" w:eastAsia="仿宋_GB2312" w:cs="仿宋_GB2312"/>
        </w:rPr>
        <w:t>联系方式：</w:t>
      </w:r>
      <w:r>
        <w:rPr>
          <w:rFonts w:hint="eastAsia" w:ascii="仿宋_GB2312" w:hAnsi="仿宋_GB2312" w:eastAsia="仿宋_GB2312" w:cs="仿宋_GB2312"/>
          <w:u w:val="single"/>
        </w:rPr>
        <w:t>　0916-2109082　　 　　</w:t>
      </w:r>
    </w:p>
    <w:p w14:paraId="29FBB52A">
      <w:pPr>
        <w:keepNext/>
        <w:widowControl w:val="0"/>
        <w:autoSpaceDE w:val="0"/>
        <w:autoSpaceDN w:val="0"/>
        <w:adjustRightInd w:val="0"/>
        <w:spacing w:line="500" w:lineRule="exact"/>
        <w:ind w:firstLine="849" w:firstLineChars="300"/>
        <w:outlineLvl w:val="1"/>
        <w:rPr>
          <w:rFonts w:ascii="仿宋_GB2312" w:hAnsi="仿宋_GB2312" w:eastAsia="仿宋_GB2312" w:cs="仿宋_GB2312"/>
        </w:rPr>
      </w:pPr>
      <w:bookmarkStart w:id="57" w:name="_Toc35393808"/>
      <w:bookmarkStart w:id="58" w:name="_Toc35393639"/>
      <w:bookmarkStart w:id="59" w:name="_Toc6426"/>
      <w:bookmarkStart w:id="60" w:name="_Toc28359098"/>
      <w:bookmarkStart w:id="61" w:name="_Toc28359021"/>
      <w:r>
        <w:rPr>
          <w:rFonts w:hint="eastAsia" w:ascii="仿宋_GB2312" w:hAnsi="仿宋_GB2312" w:eastAsia="仿宋_GB2312" w:cs="仿宋_GB2312"/>
        </w:rPr>
        <w:t>3.项目联系方式</w:t>
      </w:r>
      <w:bookmarkEnd w:id="57"/>
      <w:bookmarkEnd w:id="58"/>
      <w:bookmarkEnd w:id="59"/>
      <w:bookmarkEnd w:id="60"/>
      <w:bookmarkEnd w:id="61"/>
    </w:p>
    <w:p w14:paraId="70A718C5">
      <w:pPr>
        <w:pStyle w:val="10"/>
        <w:spacing w:line="500" w:lineRule="exact"/>
        <w:ind w:firstLine="849"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u w:val="single"/>
        </w:rPr>
        <w:t xml:space="preserve">  王博　　　  　</w:t>
      </w:r>
    </w:p>
    <w:p w14:paraId="406282AE">
      <w:pPr>
        <w:widowControl w:val="0"/>
        <w:spacing w:line="500" w:lineRule="exact"/>
        <w:ind w:firstLine="849" w:firstLineChars="300"/>
        <w:rPr>
          <w:rFonts w:ascii="仿宋_GB2312" w:hAnsi="仿宋_GB2312" w:eastAsia="仿宋_GB2312" w:cs="仿宋_GB2312"/>
          <w:b/>
        </w:rPr>
      </w:pPr>
      <w:r>
        <w:rPr>
          <w:rFonts w:hint="eastAsia" w:ascii="仿宋_GB2312" w:hAnsi="仿宋_GB2312" w:eastAsia="仿宋_GB2312" w:cs="仿宋_GB2312"/>
        </w:rPr>
        <w:t>电　　 话：</w:t>
      </w:r>
      <w:r>
        <w:rPr>
          <w:rFonts w:hint="eastAsia" w:ascii="仿宋_GB2312" w:hAnsi="仿宋_GB2312" w:eastAsia="仿宋_GB2312" w:cs="仿宋_GB2312"/>
          <w:u w:val="single"/>
        </w:rPr>
        <w:t xml:space="preserve">　0916-2109082 </w:t>
      </w:r>
    </w:p>
    <w:p w14:paraId="1ABE37ED">
      <w:pPr>
        <w:pStyle w:val="2"/>
        <w:spacing w:line="500" w:lineRule="exact"/>
        <w:rPr>
          <w:rFonts w:ascii="黑体" w:hAnsi="黑体" w:eastAsia="黑体"/>
          <w:color w:val="auto"/>
          <w:sz w:val="32"/>
          <w:szCs w:val="32"/>
        </w:rPr>
      </w:pPr>
      <w:r>
        <w:rPr>
          <w:color w:val="auto"/>
          <w:sz w:val="28"/>
          <w:szCs w:val="28"/>
        </w:rPr>
        <w:br w:type="page"/>
      </w:r>
      <w:bookmarkEnd w:id="7"/>
      <w:bookmarkEnd w:id="8"/>
      <w:bookmarkStart w:id="62" w:name="_Toc22804_WPSOffice_Level1"/>
      <w:bookmarkStart w:id="63" w:name="_Toc495012770"/>
      <w:bookmarkStart w:id="64" w:name="_Toc19337_WPSOffice_Level1"/>
      <w:bookmarkStart w:id="65" w:name="_Toc495014610"/>
      <w:bookmarkStart w:id="66" w:name="_Toc445306492"/>
      <w:bookmarkStart w:id="67" w:name="_Toc4326"/>
      <w:bookmarkStart w:id="68" w:name="_Toc495014953"/>
      <w:bookmarkStart w:id="69" w:name="_Toc495014584"/>
      <w:bookmarkStart w:id="70" w:name="_Toc495014919"/>
      <w:bookmarkStart w:id="71" w:name="_Toc15046_WPSOffice_Level1"/>
      <w:bookmarkStart w:id="72" w:name="_Toc7814"/>
      <w:bookmarkStart w:id="73" w:name="_Toc495012820"/>
      <w:bookmarkStart w:id="74" w:name="_Toc9601"/>
      <w:bookmarkStart w:id="75" w:name="_Toc495014648"/>
      <w:bookmarkStart w:id="76" w:name="_Toc10140"/>
      <w:r>
        <w:rPr>
          <w:rFonts w:ascii="黑体" w:hAnsi="黑体" w:eastAsia="黑体"/>
          <w:b w:val="0"/>
          <w:bCs/>
          <w:color w:val="auto"/>
          <w:sz w:val="32"/>
          <w:szCs w:val="32"/>
        </w:rPr>
        <w:t xml:space="preserve">第二章  </w:t>
      </w:r>
      <w:r>
        <w:rPr>
          <w:rFonts w:hint="eastAsia" w:ascii="黑体" w:hAnsi="黑体" w:eastAsia="黑体"/>
          <w:b w:val="0"/>
          <w:bCs/>
          <w:color w:val="auto"/>
          <w:sz w:val="32"/>
          <w:szCs w:val="32"/>
        </w:rPr>
        <w:t>供应商</w:t>
      </w:r>
      <w:r>
        <w:rPr>
          <w:rFonts w:ascii="黑体" w:hAnsi="黑体" w:eastAsia="黑体"/>
          <w:b w:val="0"/>
          <w:bCs/>
          <w:color w:val="auto"/>
          <w:sz w:val="32"/>
          <w:szCs w:val="32"/>
        </w:rPr>
        <w:t>须知</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461F6CFE">
      <w:pPr>
        <w:pStyle w:val="3"/>
        <w:spacing w:line="500" w:lineRule="exact"/>
        <w:ind w:firstLine="566" w:firstLineChars="200"/>
        <w:rPr>
          <w:rFonts w:ascii="仿宋_GB2312" w:hAnsi="仿宋_GB2312" w:eastAsia="仿宋_GB2312" w:cs="仿宋_GB2312"/>
          <w:sz w:val="28"/>
          <w:szCs w:val="28"/>
        </w:rPr>
      </w:pPr>
      <w:bookmarkStart w:id="77" w:name="_Toc18466_WPSOffice_Level2"/>
      <w:bookmarkStart w:id="78" w:name="_Toc12337"/>
      <w:bookmarkStart w:id="79" w:name="_Toc3062"/>
      <w:bookmarkStart w:id="80" w:name="_Toc23184"/>
      <w:bookmarkStart w:id="81" w:name="_Toc24451_WPSOffice_Level2"/>
      <w:bookmarkStart w:id="82" w:name="_Toc3858_WPSOffice_Level2"/>
      <w:bookmarkStart w:id="83" w:name="_Toc16238"/>
      <w:r>
        <w:rPr>
          <w:rFonts w:hint="eastAsia" w:ascii="仿宋_GB2312" w:hAnsi="仿宋_GB2312" w:eastAsia="仿宋_GB2312" w:cs="仿宋_GB2312"/>
          <w:sz w:val="28"/>
          <w:szCs w:val="28"/>
        </w:rPr>
        <w:t>一、定义</w:t>
      </w:r>
      <w:bookmarkEnd w:id="77"/>
      <w:bookmarkEnd w:id="78"/>
      <w:bookmarkEnd w:id="79"/>
      <w:bookmarkEnd w:id="80"/>
      <w:bookmarkEnd w:id="81"/>
      <w:bookmarkEnd w:id="82"/>
      <w:bookmarkEnd w:id="83"/>
    </w:p>
    <w:p w14:paraId="248A7DC3">
      <w:pPr>
        <w:spacing w:line="500" w:lineRule="exact"/>
        <w:ind w:firstLine="566" w:firstLineChars="200"/>
        <w:rPr>
          <w:rFonts w:hint="default" w:ascii="仿宋_GB2312" w:hAnsi="仿宋_GB2312" w:eastAsia="仿宋_GB2312" w:cs="仿宋_GB2312"/>
          <w:lang w:val="en-US" w:eastAsia="zh-CN"/>
        </w:rPr>
      </w:pPr>
      <w:bookmarkStart w:id="84" w:name="_Toc11840_WPSOffice_Level3"/>
      <w:r>
        <w:rPr>
          <w:rFonts w:hint="eastAsia" w:ascii="仿宋_GB2312" w:hAnsi="仿宋_GB2312" w:eastAsia="仿宋_GB2312" w:cs="仿宋_GB2312"/>
        </w:rPr>
        <w:t>（一）采 购 人：</w:t>
      </w:r>
      <w:bookmarkEnd w:id="84"/>
      <w:bookmarkStart w:id="85" w:name="_Toc9917_WPSOffice_Level3"/>
      <w:r>
        <w:rPr>
          <w:rFonts w:hint="eastAsia" w:ascii="仿宋_GB2312" w:hAnsi="仿宋_GB2312" w:eastAsia="仿宋_GB2312" w:cs="仿宋_GB2312"/>
          <w:lang w:val="en-US" w:eastAsia="zh-CN"/>
        </w:rPr>
        <w:t>汉中市救助管理站</w:t>
      </w:r>
    </w:p>
    <w:p w14:paraId="24357702">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（二）监督机构：</w:t>
      </w:r>
      <w:bookmarkEnd w:id="85"/>
      <w:r>
        <w:rPr>
          <w:rFonts w:hint="eastAsia" w:ascii="仿宋_GB2312" w:hAnsi="仿宋_GB2312" w:eastAsia="仿宋_GB2312" w:cs="仿宋_GB2312"/>
        </w:rPr>
        <w:t>汉中市财政局</w:t>
      </w:r>
    </w:p>
    <w:p w14:paraId="10E369E8">
      <w:pPr>
        <w:spacing w:line="500" w:lineRule="exact"/>
        <w:ind w:firstLine="566" w:firstLineChars="200"/>
        <w:rPr>
          <w:rFonts w:ascii="仿宋_GB2312" w:hAnsi="仿宋_GB2312" w:eastAsia="仿宋_GB2312" w:cs="仿宋_GB2312"/>
        </w:rPr>
      </w:pPr>
      <w:bookmarkStart w:id="86" w:name="_Toc8219_WPSOffice_Level3"/>
      <w:r>
        <w:rPr>
          <w:rFonts w:hint="eastAsia" w:ascii="仿宋_GB2312" w:hAnsi="仿宋_GB2312" w:eastAsia="仿宋_GB2312" w:cs="仿宋_GB2312"/>
        </w:rPr>
        <w:t>（三）集中采购机构（采购代理机构）：汉中市政府采购中心</w:t>
      </w:r>
      <w:bookmarkEnd w:id="86"/>
    </w:p>
    <w:p w14:paraId="006569A5">
      <w:pPr>
        <w:spacing w:line="500" w:lineRule="exact"/>
        <w:ind w:firstLine="566" w:firstLineChars="200"/>
        <w:rPr>
          <w:rFonts w:ascii="仿宋_GB2312" w:hAnsi="仿宋_GB2312" w:eastAsia="仿宋_GB2312" w:cs="仿宋_GB2312"/>
        </w:rPr>
      </w:pPr>
      <w:bookmarkStart w:id="87" w:name="_Toc20141_WPSOffice_Level3"/>
      <w:r>
        <w:rPr>
          <w:rFonts w:hint="eastAsia" w:ascii="仿宋_GB2312" w:hAnsi="仿宋_GB2312" w:eastAsia="仿宋_GB2312" w:cs="仿宋_GB2312"/>
        </w:rPr>
        <w:t>（四）供应商：拟向采购人提供货物、工程或者服务的法人、其他组织或者自然人</w:t>
      </w:r>
      <w:bookmarkEnd w:id="87"/>
    </w:p>
    <w:p w14:paraId="6A1021AA">
      <w:pPr>
        <w:pStyle w:val="3"/>
        <w:spacing w:line="500" w:lineRule="exact"/>
        <w:ind w:firstLine="566" w:firstLineChars="200"/>
        <w:rPr>
          <w:rFonts w:ascii="仿宋_GB2312" w:hAnsi="仿宋_GB2312" w:eastAsia="仿宋_GB2312" w:cs="仿宋_GB2312"/>
          <w:sz w:val="28"/>
          <w:szCs w:val="28"/>
        </w:rPr>
      </w:pPr>
      <w:bookmarkStart w:id="88" w:name="_Toc11745_WPSOffice_Level2"/>
      <w:bookmarkStart w:id="89" w:name="_Toc20906_WPSOffice_Level2"/>
      <w:bookmarkStart w:id="90" w:name="_Toc9291"/>
      <w:bookmarkStart w:id="91" w:name="_Toc4606"/>
      <w:bookmarkStart w:id="92" w:name="_Toc24646"/>
      <w:bookmarkStart w:id="93" w:name="_Toc13654"/>
      <w:bookmarkStart w:id="94" w:name="_Toc27278_WPSOffice_Level2"/>
      <w:r>
        <w:rPr>
          <w:rFonts w:hint="eastAsia" w:ascii="仿宋_GB2312" w:hAnsi="仿宋_GB2312" w:eastAsia="仿宋_GB2312" w:cs="仿宋_GB2312"/>
          <w:sz w:val="28"/>
          <w:szCs w:val="28"/>
        </w:rPr>
        <w:t>二、供应商注意事项</w:t>
      </w:r>
      <w:bookmarkEnd w:id="88"/>
      <w:bookmarkEnd w:id="89"/>
      <w:bookmarkEnd w:id="90"/>
      <w:bookmarkEnd w:id="91"/>
      <w:bookmarkEnd w:id="92"/>
      <w:bookmarkEnd w:id="93"/>
      <w:bookmarkEnd w:id="94"/>
    </w:p>
    <w:p w14:paraId="4999EA3D">
      <w:pPr>
        <w:spacing w:line="500" w:lineRule="exact"/>
        <w:ind w:firstLine="566" w:firstLineChars="200"/>
        <w:rPr>
          <w:rFonts w:ascii="仿宋_GB2312" w:hAnsi="仿宋_GB2312" w:eastAsia="仿宋_GB2312" w:cs="仿宋_GB2312"/>
          <w:b/>
        </w:rPr>
      </w:pPr>
      <w:bookmarkStart w:id="95" w:name="_Toc21291"/>
      <w:bookmarkStart w:id="96" w:name="_Toc26982_WPSOffice_Level3"/>
      <w:r>
        <w:rPr>
          <w:rFonts w:hint="eastAsia" w:ascii="仿宋_GB2312" w:hAnsi="仿宋_GB2312" w:eastAsia="仿宋_GB2312" w:cs="仿宋_GB2312"/>
          <w:b/>
          <w:bCs/>
        </w:rPr>
        <w:t>（一）</w:t>
      </w:r>
      <w:r>
        <w:rPr>
          <w:rFonts w:hint="eastAsia" w:ascii="仿宋_GB2312" w:hAnsi="仿宋_GB2312" w:eastAsia="仿宋_GB2312" w:cs="仿宋_GB2312"/>
          <w:b/>
        </w:rPr>
        <w:t>现场考察及磋商前答疑会</w:t>
      </w:r>
    </w:p>
    <w:p w14:paraId="135AE488">
      <w:pPr>
        <w:spacing w:line="500" w:lineRule="exact"/>
        <w:ind w:firstLine="566" w:firstLineChars="200"/>
        <w:rPr>
          <w:rFonts w:ascii="仿宋_GB2312" w:hAnsi="仿宋_GB2312" w:eastAsia="仿宋_GB2312" w:cs="仿宋_GB2312"/>
          <w:bCs/>
        </w:rPr>
      </w:pPr>
      <w:r>
        <w:rPr>
          <w:rFonts w:hint="eastAsia" w:ascii="仿宋_GB2312" w:hAnsi="仿宋_GB2312" w:eastAsia="仿宋_GB2312" w:cs="仿宋_GB2312"/>
          <w:bCs/>
        </w:rPr>
        <w:t xml:space="preserve">采购项目安排现场考察和磋商前答疑的，采购人应尽量在现场予以解答 （口头提问可口头答复），现场不能做出解答的，应在三个工作日内书面答复，并交由集中采购机构在财政部门指定的媒体上发布。 答复内容可能影响响应文件编制的，应当顺延磋商时间。凡未参加现场考察及磋商前答疑会的供应商，由此造成的偏差由各供应商自行负责。 </w:t>
      </w:r>
    </w:p>
    <w:bookmarkEnd w:id="95"/>
    <w:bookmarkEnd w:id="96"/>
    <w:p w14:paraId="227308F2">
      <w:pPr>
        <w:spacing w:line="500" w:lineRule="exact"/>
        <w:ind w:firstLine="566" w:firstLineChars="200"/>
        <w:rPr>
          <w:rFonts w:ascii="仿宋_GB2312" w:hAnsi="仿宋_GB2312" w:eastAsia="仿宋_GB2312" w:cs="仿宋_GB2312"/>
          <w:b/>
        </w:rPr>
      </w:pPr>
      <w:bookmarkStart w:id="97" w:name="_Toc669_WPSOffice_Level3"/>
      <w:r>
        <w:rPr>
          <w:rFonts w:hint="eastAsia" w:ascii="仿宋_GB2312" w:hAnsi="仿宋_GB2312" w:eastAsia="仿宋_GB2312" w:cs="仿宋_GB2312"/>
          <w:b/>
        </w:rPr>
        <w:t>本项目由采购人组织集中踏勘。</w:t>
      </w:r>
    </w:p>
    <w:p w14:paraId="2BD73F8E">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踏勘地点：汉台区</w:t>
      </w:r>
      <w:r>
        <w:rPr>
          <w:rFonts w:hint="eastAsia" w:ascii="仿宋_GB2312" w:hAnsi="仿宋_GB2312" w:eastAsia="仿宋_GB2312" w:cs="仿宋_GB2312"/>
          <w:b/>
          <w:lang w:val="en-US" w:eastAsia="zh-CN"/>
        </w:rPr>
        <w:t>康复路8</w:t>
      </w:r>
      <w:r>
        <w:rPr>
          <w:rFonts w:hint="eastAsia" w:ascii="仿宋_GB2312" w:hAnsi="仿宋_GB2312" w:eastAsia="仿宋_GB2312" w:cs="仿宋_GB2312"/>
          <w:b/>
        </w:rPr>
        <w:t>号</w:t>
      </w:r>
    </w:p>
    <w:p w14:paraId="49AA001D">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踏勘时间：2025年</w:t>
      </w:r>
      <w:r>
        <w:rPr>
          <w:rFonts w:hint="eastAsia" w:ascii="仿宋_GB2312" w:hAnsi="仿宋_GB2312" w:eastAsia="仿宋_GB2312" w:cs="仿宋_GB2312"/>
          <w:b/>
          <w:lang w:val="en-US" w:eastAsia="zh-CN"/>
        </w:rPr>
        <w:t>10</w:t>
      </w:r>
      <w:r>
        <w:rPr>
          <w:rFonts w:hint="eastAsia" w:ascii="仿宋_GB2312" w:hAnsi="仿宋_GB2312" w:eastAsia="仿宋_GB2312" w:cs="仿宋_GB2312"/>
          <w:b/>
        </w:rPr>
        <w:t>月</w:t>
      </w:r>
      <w:r>
        <w:rPr>
          <w:rFonts w:hint="eastAsia" w:ascii="仿宋_GB2312" w:hAnsi="仿宋_GB2312" w:eastAsia="仿宋_GB2312" w:cs="仿宋_GB2312"/>
          <w:b/>
          <w:lang w:val="en-US" w:eastAsia="zh-CN"/>
        </w:rPr>
        <w:t>27</w:t>
      </w:r>
      <w:r>
        <w:rPr>
          <w:rFonts w:hint="eastAsia" w:ascii="仿宋_GB2312" w:hAnsi="仿宋_GB2312" w:eastAsia="仿宋_GB2312" w:cs="仿宋_GB2312"/>
          <w:b/>
        </w:rPr>
        <w:t>日早上九点</w:t>
      </w:r>
    </w:p>
    <w:p w14:paraId="65EC6ABB">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联系人：</w:t>
      </w:r>
      <w:r>
        <w:rPr>
          <w:rFonts w:hint="eastAsia" w:ascii="仿宋_GB2312" w:hAnsi="仿宋_GB2312" w:eastAsia="仿宋_GB2312" w:cs="仿宋_GB2312"/>
          <w:b/>
          <w:lang w:val="en-US" w:eastAsia="zh-CN"/>
        </w:rPr>
        <w:t>李</w:t>
      </w:r>
      <w:r>
        <w:rPr>
          <w:rFonts w:hint="eastAsia" w:ascii="仿宋_GB2312" w:hAnsi="仿宋_GB2312" w:eastAsia="仿宋_GB2312" w:cs="仿宋_GB2312"/>
          <w:b/>
        </w:rPr>
        <w:t>先生</w:t>
      </w:r>
      <w:r>
        <w:rPr>
          <w:rFonts w:hint="eastAsia" w:ascii="仿宋_GB2312" w:hAnsi="仿宋_GB2312" w:eastAsia="仿宋_GB2312" w:cs="仿宋_GB2312"/>
          <w:b/>
          <w:lang w:val="en-US" w:eastAsia="zh-CN"/>
        </w:rPr>
        <w:t>15129582957</w:t>
      </w:r>
      <w:r>
        <w:rPr>
          <w:rFonts w:hint="eastAsia" w:ascii="仿宋_GB2312" w:hAnsi="仿宋_GB2312" w:eastAsia="仿宋_GB2312" w:cs="仿宋_GB2312"/>
          <w:b/>
        </w:rPr>
        <w:t xml:space="preserve">  </w:t>
      </w:r>
    </w:p>
    <w:p w14:paraId="20E48273">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rPr>
        <w:t>（二）</w:t>
      </w:r>
      <w:bookmarkEnd w:id="97"/>
      <w:bookmarkStart w:id="98" w:name="_Toc9412_WPSOffice_Level3"/>
      <w:r>
        <w:rPr>
          <w:rFonts w:hint="eastAsia" w:ascii="仿宋_GB2312" w:hAnsi="仿宋_GB2312" w:eastAsia="仿宋_GB2312" w:cs="仿宋_GB2312"/>
          <w:b/>
          <w:bCs/>
        </w:rPr>
        <w:t>询问</w:t>
      </w:r>
    </w:p>
    <w:p w14:paraId="60704650">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 xml:space="preserve">1、供应商针对采购文件，向采购人提出书面询问的，采购人应在三个工作日内书面答复；供应商向集中采购机构提出书面询问的，汉中市政府采购中心在委托授权范围内作出答复，超出范围应告知采购人作出答复。 </w:t>
      </w:r>
    </w:p>
    <w:p w14:paraId="343AAD3C">
      <w:pPr>
        <w:spacing w:line="500" w:lineRule="exact"/>
        <w:ind w:firstLine="566" w:firstLineChars="200"/>
        <w:rPr>
          <w:rFonts w:ascii="仿宋_GB2312" w:hAnsi="仿宋_GB2312" w:eastAsia="仿宋_GB2312" w:cs="仿宋_GB2312"/>
          <w:bCs/>
        </w:rPr>
      </w:pPr>
      <w:r>
        <w:rPr>
          <w:rFonts w:hint="eastAsia" w:ascii="仿宋_GB2312" w:hAnsi="仿宋_GB2312" w:eastAsia="仿宋_GB2312" w:cs="仿宋_GB2312"/>
        </w:rPr>
        <w:t>2、供应商针对采购过程、中标（成交）结果，向集中采购机构提出书面询问的，集中采购机构应在三个工作日内书面答复。</w:t>
      </w:r>
    </w:p>
    <w:p w14:paraId="564140EF">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（三）质疑和投诉</w:t>
      </w:r>
      <w:bookmarkEnd w:id="98"/>
    </w:p>
    <w:p w14:paraId="0E7840C1">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1、供应商如果认为采购过程、中标或者成交结果使自身的合法权益受到损害，可以在知道或者应知其权益受到损害之日起7个工作日内，以书面形式向采购人、集中采购机构提出质疑。</w:t>
      </w:r>
    </w:p>
    <w:p w14:paraId="02A5323E">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2、潜在供应商已依法获取其可质疑的采购文件的，可以对该文件提出质疑。对采购文件提出质疑的，应当在获取采购文件或者采购文件公告期限届满之日起7个工作日内提出。</w:t>
      </w:r>
    </w:p>
    <w:p w14:paraId="33F41F2F">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3、供应商在法定质疑期内针对同一采购程序环节的质疑应一次性提出。</w:t>
      </w:r>
    </w:p>
    <w:p w14:paraId="257ED6F1">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4、供应商提出质疑应当提交质疑函和必要的证明材料，并按财政部《质疑函范本》给定的格式进行填写，范本下载详见【财政部国库司（gks.mof.gov.cn）】网站〖首页•〉政府采购管理〗栏目中的《政府采购供应商质疑函范本》。</w:t>
      </w:r>
    </w:p>
    <w:p w14:paraId="6CF920CF">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《政府采购供应商质疑函范本》链接地址：</w:t>
      </w:r>
    </w:p>
    <w:p w14:paraId="41BC7780">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http://gks.mof.gov.cn/ztztz/zhengfucaigouguanli/201802/t20180201_2804589.htm</w:t>
      </w:r>
    </w:p>
    <w:p w14:paraId="3759B341">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5、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1E9FC5FA">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6、接收质疑函方式：现场递交或邮件（快递）寄送；</w:t>
      </w:r>
    </w:p>
    <w:p w14:paraId="57D4489D">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联系部门：交易监督科；</w:t>
      </w:r>
    </w:p>
    <w:p w14:paraId="6CD473C9">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联系电话：0916-2109086；</w:t>
      </w:r>
    </w:p>
    <w:p w14:paraId="56796A4B">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通讯地址：汉中市汉台区南团结街与汉宁路十字金格大厦四楼416室。</w:t>
      </w:r>
    </w:p>
    <w:p w14:paraId="22CC7072">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7、采购代理机构或采购人将在收到书面质疑后7个工作日内做出答复，并以书面形式通知质疑人和其他有关供应商。</w:t>
      </w:r>
    </w:p>
    <w:p w14:paraId="56974F40">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8、质疑供应商对集中采购机构或采购人的答复不满意，以及集中采购机构或采购人未在规定时间内作出答复的，可以在答复期满后15个工作日内向政府采购监管机构提出投诉。</w:t>
      </w:r>
    </w:p>
    <w:p w14:paraId="0FAC1CAC">
      <w:pPr>
        <w:spacing w:line="500" w:lineRule="exact"/>
        <w:ind w:firstLine="566" w:firstLineChars="200"/>
        <w:rPr>
          <w:rFonts w:ascii="仿宋_GB2312" w:hAnsi="仿宋_GB2312" w:eastAsia="仿宋_GB2312" w:cs="仿宋_GB2312"/>
          <w:b/>
        </w:rPr>
      </w:pPr>
      <w:bookmarkStart w:id="99" w:name="_Toc14110_WPSOffice_Level3"/>
      <w:r>
        <w:rPr>
          <w:rFonts w:hint="eastAsia" w:ascii="仿宋_GB2312" w:hAnsi="仿宋_GB2312" w:eastAsia="仿宋_GB2312" w:cs="仿宋_GB2312"/>
          <w:b/>
        </w:rPr>
        <w:t>（四）对参加政府采购活动的中小企业的扶持政策[依据《政府采购促进中小企业发展管理办法》（财库〔2020〕46号）相关规定]</w:t>
      </w:r>
    </w:p>
    <w:bookmarkEnd w:id="99"/>
    <w:p w14:paraId="3ACC7F77">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本项目专门面向小微企业采购，不再执行价格评审优惠扶持政策；本项目采购标的对应的中小企业划分标准所属行业为：建筑业。</w:t>
      </w:r>
    </w:p>
    <w:p w14:paraId="475E76D2">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1、供应商提供的货物、工程或者服务符合下列情形的，享受相关中小企业扶持政策：</w:t>
      </w:r>
    </w:p>
    <w:p w14:paraId="270CEDE3">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（1）在货物采购项目中，货物由中小企业制造，即货物由中小企业生产且使用该中小企业商号或者注册商标；</w:t>
      </w:r>
    </w:p>
    <w:p w14:paraId="29E86E81">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（2）在工程采购项目中，工程由中小企业承建，即工程施工单位为中小企业；</w:t>
      </w:r>
    </w:p>
    <w:p w14:paraId="7BD06F85">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（3）在服务采购项目中，服务由中小企业承接，即提供服务的人员为中小企业依照《中华人民共和国劳动合同法》订立劳动合同的从业人员。</w:t>
      </w:r>
    </w:p>
    <w:p w14:paraId="0F14FF37">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在货物采购项目中，供应商提供的货物既有中小企业制造货物，也有大型企业制造货物的，不享受相关中小企业扶持政策。</w:t>
      </w:r>
    </w:p>
    <w:p w14:paraId="605FAACE">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3C0ABE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2、对符合上述情形的小微企业报价给予 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4F2A9E">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7536A9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价格扣除比例或者价格分加分比例对小型企业和微型企业同等对待，不作区分。</w:t>
      </w:r>
    </w:p>
    <w:p w14:paraId="70A5AE8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3、中小企业参加政府采购活动，应当出具《中小企业声明函》（见附件），否则不得享受相关中小企业扶持政策。</w:t>
      </w:r>
    </w:p>
    <w:p w14:paraId="170040A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4、中标、成交供应商享受相关中小企业扶持政策的，将随中标、成交结果公开中标、成交供应商的《中小企业声明函》。适用招标投标法的政府采购工程建设项目，将在公示中标候选人时公开中标候选人的《中小企业声明函》。</w:t>
      </w:r>
    </w:p>
    <w:p w14:paraId="50E1EC2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5、授予中小企业政府采购合同预付款比例不得低于合同价款的40%。</w:t>
      </w:r>
    </w:p>
    <w:p w14:paraId="153C6F03">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6、中小企业投标（包括磋商、谈判、询价）保证金（需要交纳保证金时）减半，履约保证金全免。</w:t>
      </w:r>
    </w:p>
    <w:p w14:paraId="3483A422">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7、监狱企业、残疾人福利性单位等视同小型、微型企业情况按照《财政部司法部关于政府采购支持监狱企业发展有关问题的通知》（财库〔2014〕68 号）及《关于促进残疾人就业政府采购政策的通知》（财库〔2017〕141 号）等相关内容执行。</w:t>
      </w:r>
    </w:p>
    <w:p w14:paraId="6C2131A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8、未尽事宜以《政府采购促进中小企业发展管理办法》（财库〔2020〕46号）为准。</w:t>
      </w:r>
      <w:bookmarkStart w:id="100" w:name="_Toc11745_WPSOffice_Level3"/>
    </w:p>
    <w:bookmarkEnd w:id="100"/>
    <w:p w14:paraId="6E134C0F">
      <w:pPr>
        <w:pStyle w:val="3"/>
        <w:spacing w:line="500" w:lineRule="exact"/>
        <w:ind w:firstLine="566" w:firstLineChars="200"/>
        <w:rPr>
          <w:rFonts w:ascii="仿宋_GB2312" w:hAnsi="仿宋_GB2312" w:eastAsia="仿宋_GB2312" w:cs="仿宋_GB2312"/>
          <w:sz w:val="28"/>
          <w:szCs w:val="28"/>
        </w:rPr>
      </w:pPr>
      <w:bookmarkStart w:id="101" w:name="_Toc17868_WPSOffice_Level2"/>
      <w:bookmarkStart w:id="102" w:name="_Toc3130"/>
      <w:bookmarkStart w:id="103" w:name="_Toc10768_WPSOffice_Level2"/>
      <w:bookmarkStart w:id="104" w:name="_Toc8798_WPSOffice_Level2"/>
      <w:bookmarkStart w:id="105" w:name="_Toc2960"/>
      <w:bookmarkStart w:id="106" w:name="_Toc30436"/>
      <w:bookmarkStart w:id="107" w:name="_Toc9976"/>
      <w:r>
        <w:rPr>
          <w:rFonts w:hint="eastAsia" w:ascii="仿宋_GB2312" w:hAnsi="仿宋_GB2312" w:eastAsia="仿宋_GB2312" w:cs="仿宋_GB2312"/>
          <w:sz w:val="28"/>
          <w:szCs w:val="28"/>
        </w:rPr>
        <w:t>三、磋商文件</w:t>
      </w:r>
      <w:bookmarkEnd w:id="101"/>
      <w:bookmarkEnd w:id="102"/>
      <w:bookmarkEnd w:id="103"/>
      <w:bookmarkEnd w:id="104"/>
      <w:bookmarkEnd w:id="105"/>
      <w:bookmarkEnd w:id="106"/>
      <w:bookmarkEnd w:id="107"/>
    </w:p>
    <w:p w14:paraId="2D98E082">
      <w:pPr>
        <w:spacing w:line="500" w:lineRule="exact"/>
        <w:ind w:firstLine="566" w:firstLineChars="200"/>
        <w:rPr>
          <w:rFonts w:ascii="仿宋_GB2312" w:hAnsi="仿宋_GB2312" w:eastAsia="仿宋_GB2312" w:cs="仿宋_GB2312"/>
          <w:b/>
        </w:rPr>
      </w:pPr>
      <w:bookmarkStart w:id="108" w:name="_Toc20873_WPSOffice_Level3"/>
      <w:r>
        <w:rPr>
          <w:rFonts w:hint="eastAsia" w:ascii="仿宋_GB2312" w:hAnsi="仿宋_GB2312" w:eastAsia="仿宋_GB2312" w:cs="仿宋_GB2312"/>
          <w:b/>
        </w:rPr>
        <w:t>（一）磋商文件包括下列内容</w:t>
      </w:r>
      <w:bookmarkEnd w:id="108"/>
    </w:p>
    <w:p w14:paraId="2931B215">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第一章　磋商邀请函</w:t>
      </w:r>
    </w:p>
    <w:p w14:paraId="63B03545">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第二章　供应商须知</w:t>
      </w:r>
    </w:p>
    <w:p w14:paraId="556A8E3A">
      <w:pPr>
        <w:spacing w:line="500" w:lineRule="exact"/>
        <w:ind w:firstLine="566" w:firstLineChars="200"/>
        <w:rPr>
          <w:rFonts w:ascii="仿宋_GB2312" w:hAnsi="仿宋_GB2312" w:eastAsia="仿宋_GB2312" w:cs="仿宋_GB2312"/>
          <w:bCs/>
        </w:rPr>
      </w:pPr>
      <w:bookmarkStart w:id="109" w:name="_Toc20041_WPSOffice_Level3"/>
      <w:r>
        <w:rPr>
          <w:rFonts w:hint="eastAsia" w:ascii="仿宋_GB2312" w:hAnsi="仿宋_GB2312" w:eastAsia="仿宋_GB2312" w:cs="仿宋_GB2312"/>
          <w:bCs/>
        </w:rPr>
        <w:t>第三章　磋商内容及采购要求</w:t>
      </w:r>
    </w:p>
    <w:p w14:paraId="5881EC90">
      <w:pPr>
        <w:spacing w:line="500" w:lineRule="exact"/>
        <w:ind w:firstLine="566" w:firstLineChars="200"/>
        <w:rPr>
          <w:rFonts w:ascii="仿宋_GB2312" w:hAnsi="仿宋_GB2312" w:eastAsia="仿宋_GB2312" w:cs="仿宋_GB2312"/>
          <w:bCs/>
        </w:rPr>
      </w:pPr>
      <w:r>
        <w:rPr>
          <w:rFonts w:hint="eastAsia" w:ascii="仿宋_GB2312" w:hAnsi="仿宋_GB2312" w:eastAsia="仿宋_GB2312" w:cs="仿宋_GB2312"/>
          <w:bCs/>
        </w:rPr>
        <w:t>第四章　合同草案条款</w:t>
      </w:r>
    </w:p>
    <w:p w14:paraId="7D50AA90">
      <w:pPr>
        <w:spacing w:line="500" w:lineRule="exact"/>
        <w:ind w:firstLine="566" w:firstLineChars="200"/>
        <w:rPr>
          <w:rFonts w:ascii="仿宋_GB2312" w:hAnsi="仿宋_GB2312" w:eastAsia="仿宋_GB2312" w:cs="仿宋_GB2312"/>
          <w:bCs/>
        </w:rPr>
      </w:pPr>
      <w:r>
        <w:rPr>
          <w:rFonts w:hint="eastAsia" w:ascii="仿宋_GB2312" w:hAnsi="仿宋_GB2312" w:eastAsia="仿宋_GB2312" w:cs="仿宋_GB2312"/>
          <w:bCs/>
        </w:rPr>
        <w:t>第五章　响应文件构成及格式</w:t>
      </w:r>
    </w:p>
    <w:p w14:paraId="3AE9B3B3">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（二）磋商文件的检查及阅读</w:t>
      </w:r>
      <w:bookmarkEnd w:id="109"/>
    </w:p>
    <w:p w14:paraId="23F38C55">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供应商下载磋商文件后应仔细阅读检查磋商文件中的所有内容，按照磋商文件中所列事项、条款、规范要求及格式，在响应文件中对磋商文件做出全面的响</w:t>
      </w:r>
      <w:r>
        <w:rPr>
          <w:rFonts w:hint="eastAsia" w:ascii="仿宋_GB2312" w:hAnsi="仿宋_GB2312" w:eastAsia="仿宋_GB2312" w:cs="仿宋_GB2312"/>
          <w:w w:val="1"/>
        </w:rPr>
        <w:t xml:space="preserve"> </w:t>
      </w:r>
      <w:r>
        <w:rPr>
          <w:rFonts w:hint="eastAsia" w:ascii="仿宋_GB2312" w:hAnsi="仿宋_GB2312" w:eastAsia="仿宋_GB2312" w:cs="仿宋_GB2312"/>
        </w:rPr>
        <w:t>应，并按磋商文件的要求提交全部资料。</w:t>
      </w:r>
    </w:p>
    <w:p w14:paraId="178F906F">
      <w:pPr>
        <w:spacing w:line="500" w:lineRule="exact"/>
        <w:ind w:firstLine="566" w:firstLineChars="200"/>
        <w:rPr>
          <w:rFonts w:ascii="仿宋_GB2312" w:hAnsi="仿宋_GB2312" w:eastAsia="仿宋_GB2312" w:cs="仿宋_GB2312"/>
          <w:b/>
        </w:rPr>
      </w:pPr>
      <w:bookmarkStart w:id="110" w:name="_Toc12798_WPSOffice_Level3"/>
      <w:r>
        <w:rPr>
          <w:rFonts w:hint="eastAsia" w:ascii="仿宋_GB2312" w:hAnsi="仿宋_GB2312" w:eastAsia="仿宋_GB2312" w:cs="仿宋_GB2312"/>
          <w:b/>
        </w:rPr>
        <w:t>（三）磋商文件的修改、澄清</w:t>
      </w:r>
      <w:bookmarkEnd w:id="110"/>
    </w:p>
    <w:p w14:paraId="75E1F200">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在提交响应文件截止之日前，集中采购机构可对已发出的磋商文件进行必要的澄清或者修改，澄清或者修改的内容作为磋商文件的组成部分。澄清或者修改的内容可能影响响应文件编制的，集中采购机构将在提交响应文件截止之日至少5日前，在财政部门指定的政府采购信息发布媒体上</w:t>
      </w:r>
      <w:r>
        <w:rPr>
          <w:rFonts w:hint="eastAsia" w:ascii="仿宋_GB2312" w:hAnsi="仿宋_GB2312" w:eastAsia="仿宋_GB2312" w:cs="仿宋_GB2312"/>
          <w:b/>
          <w:bCs/>
        </w:rPr>
        <w:t>发布更正公告</w:t>
      </w:r>
      <w:r>
        <w:rPr>
          <w:rFonts w:hint="eastAsia" w:ascii="仿宋_GB2312" w:hAnsi="仿宋_GB2312" w:eastAsia="仿宋_GB2312" w:cs="仿宋_GB2312"/>
        </w:rPr>
        <w:t>；不足5日，集中采购机构将顺延提交响应文件的截止时间。</w:t>
      </w:r>
    </w:p>
    <w:p w14:paraId="569092F1">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2、各供应商在提交响应文件截止时间之前，应随时关注下列地址发布的变更公告，也可登录全国公共资源交易平台（汉中市）政府采购交易系统查看右上角的信息提醒，集中采购机构</w:t>
      </w:r>
      <w:r>
        <w:rPr>
          <w:rFonts w:hint="eastAsia" w:ascii="仿宋_GB2312" w:hAnsi="仿宋_GB2312" w:eastAsia="仿宋_GB2312" w:cs="仿宋_GB2312"/>
          <w:b/>
          <w:bCs/>
        </w:rPr>
        <w:t>不再单独通知，因供应商未及时关注所造成的一切后果由供应商自行承担：</w:t>
      </w:r>
    </w:p>
    <w:p w14:paraId="5EEF356A">
      <w:pPr>
        <w:wordWrap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w:t>
      </w:r>
      <w:r>
        <w:fldChar w:fldCharType="begin"/>
      </w:r>
      <w:r>
        <w:instrText xml:space="preserve"> HYPERLINK "http://www.ccgp-shaanxi.gov.cn/" </w:instrText>
      </w:r>
      <w:r>
        <w:fldChar w:fldCharType="separate"/>
      </w:r>
      <w:r>
        <w:rPr>
          <w:rStyle w:val="31"/>
          <w:rFonts w:hint="eastAsia" w:ascii="仿宋_GB2312" w:hAnsi="仿宋_GB2312" w:eastAsia="仿宋_GB2312" w:cs="仿宋_GB2312"/>
          <w:color w:val="auto"/>
          <w:sz w:val="28"/>
          <w:szCs w:val="28"/>
        </w:rPr>
        <w:t>陕西省政府采购网</w:t>
      </w:r>
      <w:r>
        <w:rPr>
          <w:rStyle w:val="31"/>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rPr>
        <w:t>（www.ccgp-shaanxi.gov.cn/）】中的〖首页·〉市级公告·〉更正公告〗；</w:t>
      </w:r>
    </w:p>
    <w:p w14:paraId="216663AE">
      <w:pPr>
        <w:wordWrap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（2）【全国公共资源交易平台（汉中市）</w:t>
      </w:r>
      <w:r>
        <w:rPr>
          <w:rFonts w:hint="eastAsia" w:ascii="仿宋_GB2312" w:hAnsi="仿宋_GB2312" w:eastAsia="仿宋_GB2312" w:cs="仿宋_GB2312"/>
          <w:kern w:val="0"/>
        </w:rPr>
        <w:t>（sxggzyjy.hanzhong.gov.cn）</w:t>
      </w:r>
      <w:r>
        <w:rPr>
          <w:rFonts w:hint="eastAsia" w:ascii="仿宋_GB2312" w:hAnsi="仿宋_GB2312" w:eastAsia="仿宋_GB2312" w:cs="仿宋_GB2312"/>
        </w:rPr>
        <w:t>】中的〖首页·〉交易大厅·〉政府采购·〉更正公告〗。</w:t>
      </w:r>
    </w:p>
    <w:p w14:paraId="50267A28">
      <w:pPr>
        <w:spacing w:line="500" w:lineRule="exact"/>
        <w:ind w:firstLine="566" w:firstLineChars="200"/>
        <w:rPr>
          <w:rFonts w:ascii="仿宋_GB2312" w:hAnsi="仿宋_GB2312" w:eastAsia="仿宋_GB2312" w:cs="仿宋_GB2312"/>
        </w:rPr>
      </w:pPr>
      <w:bookmarkStart w:id="111" w:name="_Toc18733_WPSOffice_Level3"/>
      <w:r>
        <w:rPr>
          <w:rFonts w:hint="eastAsia" w:ascii="仿宋_GB2312" w:hAnsi="仿宋_GB2312" w:eastAsia="仿宋_GB2312" w:cs="仿宋_GB2312"/>
          <w:b/>
        </w:rPr>
        <w:t>（四）磋商文件的解释权归集中采购机构。</w:t>
      </w:r>
      <w:bookmarkEnd w:id="111"/>
    </w:p>
    <w:p w14:paraId="67E42439">
      <w:pPr>
        <w:pStyle w:val="3"/>
        <w:spacing w:line="500" w:lineRule="exact"/>
        <w:ind w:firstLine="566" w:firstLineChars="200"/>
        <w:rPr>
          <w:rFonts w:ascii="仿宋_GB2312" w:hAnsi="仿宋_GB2312" w:eastAsia="仿宋_GB2312" w:cs="仿宋_GB2312"/>
          <w:sz w:val="28"/>
          <w:szCs w:val="28"/>
        </w:rPr>
      </w:pPr>
      <w:bookmarkStart w:id="112" w:name="_Toc22501_WPSOffice_Level2"/>
      <w:bookmarkStart w:id="113" w:name="_Toc30095"/>
      <w:bookmarkStart w:id="114" w:name="_Toc3559"/>
      <w:bookmarkStart w:id="115" w:name="_Toc30415"/>
      <w:bookmarkStart w:id="116" w:name="_Toc13064"/>
      <w:bookmarkStart w:id="117" w:name="_Toc19768_WPSOffice_Level2"/>
      <w:bookmarkStart w:id="118" w:name="_Toc20873_WPSOffice_Level2"/>
      <w:r>
        <w:rPr>
          <w:rFonts w:hint="eastAsia" w:ascii="仿宋_GB2312" w:hAnsi="仿宋_GB2312" w:eastAsia="仿宋_GB2312" w:cs="仿宋_GB2312"/>
          <w:sz w:val="28"/>
          <w:szCs w:val="28"/>
        </w:rPr>
        <w:t>四、磋商报价</w:t>
      </w:r>
      <w:bookmarkEnd w:id="112"/>
      <w:bookmarkEnd w:id="113"/>
      <w:bookmarkEnd w:id="114"/>
      <w:bookmarkEnd w:id="115"/>
      <w:bookmarkEnd w:id="116"/>
      <w:bookmarkEnd w:id="117"/>
      <w:bookmarkEnd w:id="118"/>
    </w:p>
    <w:p w14:paraId="6A87859A">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磋商报价是供应商响应采购项目要求的全部工作内容的价格体现，包括完成采购内容所需的直接费、间接费、利润、税金及其它相关的一切费用。供应商在报价时应充分考虑所有可能发生的费用，</w:t>
      </w:r>
      <w:r>
        <w:rPr>
          <w:rFonts w:hint="eastAsia" w:ascii="仿宋_GB2312" w:hAnsi="仿宋_GB2312" w:eastAsia="仿宋_GB2312" w:cs="仿宋_GB2312"/>
          <w:lang w:val="zh-CN"/>
        </w:rPr>
        <w:t>磋商</w:t>
      </w:r>
      <w:r>
        <w:rPr>
          <w:rFonts w:hint="eastAsia" w:ascii="仿宋_GB2312" w:hAnsi="仿宋_GB2312" w:eastAsia="仿宋_GB2312" w:cs="仿宋_GB2312"/>
        </w:rPr>
        <w:t>文件未列明，而供应商认为应当计取的费用均应列入报价中。报价时不论是否计取，采购人均按已计取对待。</w:t>
      </w:r>
    </w:p>
    <w:p w14:paraId="4108A096">
      <w:pPr>
        <w:numPr>
          <w:ilvl w:val="0"/>
          <w:numId w:val="2"/>
        </w:num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供应商应按照《响应文件构成及格式》中《第一次磋商报价表》中的相关要求填写需要响应的内容。</w:t>
      </w:r>
    </w:p>
    <w:p w14:paraId="7F0B3CF7">
      <w:pPr>
        <w:numPr>
          <w:ilvl w:val="0"/>
          <w:numId w:val="2"/>
        </w:num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磋商报价采取多轮报价的办法，最后报价作为计算价格分值的依据。供应商应在磋商当天，磋商小组规定的报价时间内，使用制作标书的数字认证证书（CA锁）登录全国公共资源交易平台（汉中市）网站〖首页·〉电子交易平台·〉企业端〗后，在〖我的项目〗下找到本次磋商的项目，填写最后报价表，签章并提交。</w:t>
      </w:r>
    </w:p>
    <w:p w14:paraId="5BAE3E6C">
      <w:pPr>
        <w:numPr>
          <w:ilvl w:val="0"/>
          <w:numId w:val="2"/>
        </w:num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如采购内容无实质性变更，各供应商的报价应逐次降低。本次报价超过采购预算或磋商文件规定的最高限价的，按无效投标处理；本次报价超过上次报价但未超过采购预算或磋商文件规定的最高限价的，或在规定时间内最后报价提交不成功的均为无效报价，磋商小组在综合比较与评价时将使用上一轮有效报价进行报价评审。</w:t>
      </w:r>
    </w:p>
    <w:p w14:paraId="1B1624E3">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（四）</w:t>
      </w:r>
      <w:r>
        <w:rPr>
          <w:rFonts w:hint="eastAsia" w:ascii="仿宋_GB2312" w:hAnsi="仿宋_GB2312" w:eastAsia="仿宋_GB2312" w:cs="仿宋_GB2312"/>
          <w:lang w:val="zh-CN"/>
        </w:rPr>
        <w:t>磋商</w:t>
      </w:r>
      <w:r>
        <w:rPr>
          <w:rFonts w:hint="eastAsia" w:ascii="仿宋_GB2312" w:hAnsi="仿宋_GB2312" w:eastAsia="仿宋_GB2312" w:cs="仿宋_GB2312"/>
        </w:rPr>
        <w:t>报价货币：</w:t>
      </w:r>
      <w:r>
        <w:rPr>
          <w:rFonts w:hint="eastAsia" w:ascii="仿宋_GB2312" w:hAnsi="仿宋_GB2312" w:eastAsia="仿宋_GB2312" w:cs="仿宋_GB2312"/>
          <w:b/>
        </w:rPr>
        <w:t>人民币</w:t>
      </w:r>
      <w:r>
        <w:rPr>
          <w:rFonts w:hint="eastAsia" w:ascii="仿宋_GB2312" w:hAnsi="仿宋_GB2312" w:eastAsia="仿宋_GB2312" w:cs="仿宋_GB2312"/>
        </w:rPr>
        <w:t>；</w:t>
      </w:r>
      <w:r>
        <w:rPr>
          <w:rFonts w:hint="eastAsia" w:ascii="仿宋_GB2312" w:hAnsi="仿宋_GB2312" w:eastAsia="仿宋_GB2312" w:cs="仿宋_GB2312"/>
          <w:b/>
          <w:bCs/>
        </w:rPr>
        <w:t>单位：元</w:t>
      </w:r>
      <w:r>
        <w:rPr>
          <w:rFonts w:hint="eastAsia" w:ascii="仿宋_GB2312" w:hAnsi="仿宋_GB2312" w:eastAsia="仿宋_GB2312" w:cs="仿宋_GB2312"/>
          <w:bCs/>
        </w:rPr>
        <w:t>，</w:t>
      </w:r>
      <w:r>
        <w:rPr>
          <w:rFonts w:hint="eastAsia" w:ascii="仿宋_GB2312" w:hAnsi="仿宋_GB2312" w:eastAsia="仿宋_GB2312" w:cs="仿宋_GB2312"/>
          <w:b/>
        </w:rPr>
        <w:t>保留到元</w:t>
      </w:r>
      <w:r>
        <w:rPr>
          <w:rFonts w:hint="eastAsia" w:ascii="仿宋_GB2312" w:hAnsi="仿宋_GB2312" w:eastAsia="仿宋_GB2312" w:cs="仿宋_GB2312"/>
          <w:bCs/>
        </w:rPr>
        <w:t>。</w:t>
      </w:r>
    </w:p>
    <w:p w14:paraId="1E86E9F8">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（五）磋商报价大小写不一致的以大写为准。</w:t>
      </w:r>
    </w:p>
    <w:p w14:paraId="04290718">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（六）因供应商对磋商文件理解不透、误解、疏漏或对市场行情了解不清造成的后果和风险，均由供应商自己负责。</w:t>
      </w:r>
    </w:p>
    <w:p w14:paraId="386716A6">
      <w:pPr>
        <w:pStyle w:val="3"/>
        <w:spacing w:line="500" w:lineRule="exact"/>
        <w:ind w:firstLine="566" w:firstLineChars="200"/>
        <w:rPr>
          <w:rFonts w:ascii="仿宋_GB2312" w:hAnsi="仿宋_GB2312" w:eastAsia="仿宋_GB2312" w:cs="仿宋_GB2312"/>
          <w:sz w:val="28"/>
          <w:szCs w:val="28"/>
        </w:rPr>
      </w:pPr>
      <w:bookmarkStart w:id="119" w:name="_Toc14959_WPSOffice_Level2"/>
      <w:bookmarkStart w:id="120" w:name="_Toc666"/>
      <w:bookmarkStart w:id="121" w:name="_Toc12154"/>
      <w:bookmarkStart w:id="122" w:name="_Toc14979"/>
      <w:bookmarkStart w:id="123" w:name="_Toc20041_WPSOffice_Level2"/>
      <w:bookmarkStart w:id="124" w:name="_Toc29669_WPSOffice_Level2"/>
      <w:bookmarkStart w:id="125" w:name="_Toc11009"/>
      <w:r>
        <w:rPr>
          <w:rFonts w:hint="eastAsia" w:ascii="仿宋_GB2312" w:hAnsi="仿宋_GB2312" w:eastAsia="仿宋_GB2312" w:cs="仿宋_GB2312"/>
          <w:sz w:val="28"/>
          <w:szCs w:val="28"/>
        </w:rPr>
        <w:t>五、响应文件</w:t>
      </w:r>
      <w:bookmarkEnd w:id="119"/>
      <w:bookmarkEnd w:id="120"/>
      <w:bookmarkEnd w:id="121"/>
      <w:bookmarkEnd w:id="122"/>
      <w:bookmarkEnd w:id="123"/>
      <w:bookmarkEnd w:id="124"/>
      <w:bookmarkEnd w:id="125"/>
    </w:p>
    <w:p w14:paraId="762D8F38">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（一）响应文件形式</w:t>
      </w:r>
    </w:p>
    <w:p w14:paraId="0CF8699D">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本项目采用电子响应文件，供应商在磋商时须提供电子响应文件。</w:t>
      </w:r>
      <w:bookmarkStart w:id="126" w:name="_Toc18733_WPSOffice_Level2"/>
      <w:bookmarkStart w:id="127" w:name="_Toc7898_WPSOffice_Level2"/>
      <w:bookmarkStart w:id="128" w:name="_Toc30535_WPSOffice_Level2"/>
    </w:p>
    <w:p w14:paraId="1296A6A1">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编制电子响应文件时，应使用最新发布的电子磋商文件及专用制作工具进行编制。并使用数字认证证书（CA锁）对电子响应文件进行签署、加密、递交及磋商时解密等相关操作。</w:t>
      </w:r>
    </w:p>
    <w:p w14:paraId="50784A07">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1、电子磋商文件下载。供应商登录全国公共资源交易平台（汉中市）网站〖首页·〉电子交易平台·〉企业端〗后，在〖招标公告/出让公告·〉政府采购〗模块中选择项目</w:t>
      </w:r>
      <w:r>
        <w:rPr>
          <w:rFonts w:hint="eastAsia" w:ascii="仿宋_GB2312" w:hAnsi="仿宋_GB2312" w:eastAsia="仿宋_GB2312" w:cs="仿宋_GB2312"/>
          <w:bCs/>
        </w:rPr>
        <w:t>点击“我要投标”，参与投标活动。然后即可</w:t>
      </w:r>
      <w:r>
        <w:rPr>
          <w:rFonts w:hint="eastAsia" w:ascii="仿宋_GB2312" w:hAnsi="仿宋_GB2312" w:eastAsia="仿宋_GB2312" w:cs="仿宋_GB2312"/>
        </w:rPr>
        <w:t>在〖我的项目〗中点击“项目流程&gt;交易文件下载”下载电子磋商文件（*.SXSZF）。</w:t>
      </w:r>
    </w:p>
    <w:p w14:paraId="7242AE0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注意：该项目如有变更文件，则应点击“项目流程&gt;答疑文件下载”下载更新后的电子磋商文件（*.SXSCF），使用旧版电子磋商文件制作的电子响应文件，系统将拒绝接收。</w:t>
      </w:r>
    </w:p>
    <w:p w14:paraId="2A174B4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电子磋商文件需要使用专用软件打开、浏览。供应商可在全国公共资源交易平台（汉中市）网站〖首页·〉服务指南·〉下载专区〗免费下载“陕西省公共资源交易平台政府采购电子标书制作工具”，并升级至最新版本，使用该客户端可以打开电子磋商文件。软件操作手册详见全国公共资源交易平台（汉中市）网站〖首页·〉服务指南·〉下载专区〗中的《政府采购供应商操作手册》。</w:t>
      </w:r>
    </w:p>
    <w:p w14:paraId="6B2744AE">
      <w:pPr>
        <w:pStyle w:val="3"/>
        <w:spacing w:line="500" w:lineRule="exact"/>
        <w:ind w:firstLine="566" w:firstLineChars="200"/>
        <w:rPr>
          <w:rFonts w:ascii="仿宋_GB2312" w:hAnsi="仿宋_GB2312" w:eastAsia="仿宋_GB2312" w:cs="仿宋_GB2312"/>
          <w:b w:val="0"/>
          <w:bCs w:val="0"/>
          <w:sz w:val="28"/>
          <w:szCs w:val="28"/>
        </w:rPr>
      </w:pPr>
      <w:bookmarkStart w:id="129" w:name="_Toc9096"/>
      <w:r>
        <w:rPr>
          <w:rFonts w:hint="eastAsia" w:ascii="仿宋_GB2312" w:hAnsi="仿宋_GB2312" w:eastAsia="仿宋_GB2312" w:cs="仿宋_GB2312"/>
          <w:b w:val="0"/>
          <w:bCs w:val="0"/>
          <w:sz w:val="28"/>
          <w:szCs w:val="28"/>
        </w:rPr>
        <w:t>3、制作电子响应文件。电子响应文件同样需要使用上述软件进行编制。在编制过程中，如有技术性问题，请先翻阅操作手册，或致电软件开发商。技术支持热线：4009980000</w:t>
      </w:r>
      <w:bookmarkStart w:id="130" w:name="_Toc18427_WPSOffice_Level3"/>
      <w:bookmarkStart w:id="131" w:name="_Toc11164"/>
      <w:r>
        <w:rPr>
          <w:rFonts w:hint="eastAsia" w:ascii="仿宋_GB2312" w:hAnsi="仿宋_GB2312" w:eastAsia="仿宋_GB2312" w:cs="仿宋_GB2312"/>
          <w:b w:val="0"/>
          <w:bCs w:val="0"/>
          <w:sz w:val="28"/>
          <w:szCs w:val="28"/>
        </w:rPr>
        <w:t>。</w:t>
      </w:r>
      <w:bookmarkEnd w:id="129"/>
    </w:p>
    <w:p w14:paraId="4604E84A">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（需要法定代表人签字或盖章的地方，请使用“法人CA”进行签章；需要加盖响应人公章的地方，请使用“企业 CA”进行盖章。加密和解密应当使用同一CA，否则将会导致解密失败。请勿同时插入企业CA和法人CA，以免系统自动识别法人CA导致开启时标书解密失败。）</w:t>
      </w:r>
    </w:p>
    <w:bookmarkEnd w:id="130"/>
    <w:bookmarkEnd w:id="131"/>
    <w:p w14:paraId="245A2545">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b/>
        </w:rPr>
        <w:t>（二）</w:t>
      </w:r>
      <w:r>
        <w:rPr>
          <w:rFonts w:hint="eastAsia" w:ascii="仿宋_GB2312" w:hAnsi="仿宋_GB2312" w:eastAsia="仿宋_GB2312" w:cs="仿宋_GB2312"/>
          <w:b/>
          <w:bCs/>
        </w:rPr>
        <w:t>响应文件有效期</w:t>
      </w:r>
    </w:p>
    <w:p w14:paraId="28645D7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 xml:space="preserve">1、响应活动的所有文件、资料、函电文均使用简体中文，确需提交用 其他语言形成的资料，必须翻译成简体中文，如有差异，以简体中文为准。 </w:t>
      </w:r>
    </w:p>
    <w:p w14:paraId="20908C0B">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2、响应文件有效期为自响应文件开启之日起 90 个日历日。如成交， 延长至合同执行完毕时止。</w:t>
      </w:r>
    </w:p>
    <w:p w14:paraId="34C15B0C">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（三）响应文件的提交</w:t>
      </w:r>
    </w:p>
    <w:p w14:paraId="3FDF25D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电子响应文件可于提交响应文件截止时间前任意时段登录全国公共资源交易平台（汉中市）网站“电子交易平台&gt;企业端”进行提交，逾期系统将拒绝接收。提交时，供应商应登录全国公共资源交易中心平台（汉中市），选择“首页&gt;电子交易平台&gt;企业端&gt;我的项目”，点击“项目流程”，在打开的“项目管理”对话框中选择“上传响应文件”，上传加密的电子响应文件（*.SXSTF）。上传成功后，电子化平台将予以记录。</w:t>
      </w:r>
    </w:p>
    <w:p w14:paraId="695915CB">
      <w:pPr>
        <w:spacing w:line="500" w:lineRule="exact"/>
        <w:ind w:firstLine="566" w:firstLineChars="200"/>
        <w:rPr>
          <w:rFonts w:ascii="仿宋_GB2312" w:hAnsi="仿宋_GB2312" w:eastAsia="仿宋_GB2312" w:cs="仿宋_GB2312"/>
          <w:b/>
        </w:rPr>
      </w:pPr>
      <w:bookmarkStart w:id="132" w:name="_Toc6095"/>
      <w:bookmarkStart w:id="133" w:name="_Toc15608"/>
      <w:bookmarkStart w:id="134" w:name="_Toc24468"/>
      <w:r>
        <w:rPr>
          <w:rFonts w:hint="eastAsia" w:ascii="仿宋_GB2312" w:hAnsi="仿宋_GB2312" w:eastAsia="仿宋_GB2312" w:cs="仿宋_GB2312"/>
          <w:b/>
        </w:rPr>
        <w:t>（四）响应文件的补充、修改和撤回</w:t>
      </w:r>
      <w:bookmarkEnd w:id="132"/>
      <w:bookmarkEnd w:id="133"/>
      <w:bookmarkEnd w:id="134"/>
    </w:p>
    <w:p w14:paraId="5EF6D776">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1、供应商在递交电子响应文件后，且在提交电子响应文件截止时间前，可以对所提交的电子响应文件进行补充、修改或撤回。</w:t>
      </w:r>
    </w:p>
    <w:p w14:paraId="13814E0A">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2、对电子响应文件进行补充、修改的，应先从电子交易平台上撤回旧版，再重新提交新版。</w:t>
      </w:r>
    </w:p>
    <w:p w14:paraId="6C74E01A">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3、电子响应文件提交截止时间后，供应商不得对其电子响应文件做任何修改。</w:t>
      </w:r>
    </w:p>
    <w:p w14:paraId="5DE34A37">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b/>
        </w:rPr>
        <w:t>（五）供应商提交响应文件时，出现下列情况之一的，其响应文件将被拒绝接收：</w:t>
      </w:r>
    </w:p>
    <w:p w14:paraId="47C70117">
      <w:pPr>
        <w:spacing w:line="500" w:lineRule="exact"/>
        <w:ind w:firstLine="566" w:firstLineChars="200"/>
        <w:rPr>
          <w:rFonts w:ascii="仿宋_GB2312" w:hAnsi="仿宋_GB2312" w:eastAsia="仿宋_GB2312" w:cs="仿宋_GB2312"/>
        </w:rPr>
      </w:pPr>
      <w:bookmarkStart w:id="135" w:name="_Toc28054"/>
      <w:bookmarkStart w:id="136" w:name="_Toc6837"/>
      <w:bookmarkStart w:id="137" w:name="_Toc595"/>
      <w:bookmarkStart w:id="138" w:name="_Toc10744"/>
      <w:bookmarkStart w:id="139" w:name="_Toc7022"/>
      <w:bookmarkStart w:id="140" w:name="_Toc8003"/>
      <w:r>
        <w:rPr>
          <w:rFonts w:hint="eastAsia" w:ascii="仿宋_GB2312" w:hAnsi="仿宋_GB2312" w:eastAsia="仿宋_GB2312" w:cs="仿宋_GB2312"/>
        </w:rPr>
        <w:t>1、逾期提交电子响应文件的；</w:t>
      </w:r>
    </w:p>
    <w:p w14:paraId="0EE2297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2、提交的电子响应文件与本项目不相符的。</w:t>
      </w:r>
    </w:p>
    <w:p w14:paraId="2E49E113">
      <w:pPr>
        <w:pStyle w:val="3"/>
        <w:spacing w:line="500" w:lineRule="exact"/>
        <w:ind w:firstLine="566" w:firstLineChars="200"/>
        <w:rPr>
          <w:rFonts w:ascii="仿宋_GB2312" w:hAnsi="仿宋_GB2312" w:eastAsia="仿宋_GB2312" w:cs="仿宋_GB2312"/>
          <w:sz w:val="28"/>
          <w:szCs w:val="28"/>
        </w:rPr>
      </w:pPr>
      <w:bookmarkStart w:id="141" w:name="_Toc17536"/>
      <w:r>
        <w:rPr>
          <w:rFonts w:hint="eastAsia" w:ascii="仿宋_GB2312" w:hAnsi="仿宋_GB2312" w:eastAsia="仿宋_GB2312" w:cs="仿宋_GB2312"/>
          <w:sz w:val="28"/>
          <w:szCs w:val="28"/>
        </w:rPr>
        <w:t>六、</w:t>
      </w:r>
      <w:bookmarkEnd w:id="135"/>
      <w:bookmarkEnd w:id="136"/>
      <w:bookmarkEnd w:id="137"/>
      <w:bookmarkEnd w:id="138"/>
      <w:bookmarkEnd w:id="139"/>
      <w:bookmarkEnd w:id="140"/>
      <w:bookmarkEnd w:id="141"/>
      <w:r>
        <w:rPr>
          <w:rFonts w:hint="eastAsia" w:ascii="仿宋_GB2312" w:hAnsi="仿宋_GB2312" w:eastAsia="仿宋_GB2312" w:cs="仿宋_GB2312"/>
          <w:sz w:val="28"/>
          <w:szCs w:val="28"/>
        </w:rPr>
        <w:t>响应文件开启</w:t>
      </w:r>
    </w:p>
    <w:p w14:paraId="061628B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（一）集中采购机构组织响应文件开启、评审工作，整个过程受政府采购监管机构的监督、管理。</w:t>
      </w:r>
    </w:p>
    <w:p w14:paraId="6E319B67">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二）本项目采用“不见面开标”方式。供应商需在开启前最少一小时登录全国公共资源交易平台（汉中市）首页选择“不见面开标”自行调试。并按照工作人员要求进行响应文件解密，远程观看开启直播。如遇困难，请拨打系统平台技术支持电话：4009980000。</w:t>
      </w:r>
    </w:p>
    <w:p w14:paraId="01451871">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响应人需安装新点播放器，以便观看远程不见面开标直播画面（播放器下载链接为：http://sxggzyjy.hanzhong.gov.cn/fwzn/004003/20230223/17ebe025-dd9a-4eba-b702-8f1696646f01.html）。</w:t>
      </w:r>
    </w:p>
    <w:p w14:paraId="19DFE2F7">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b/>
          <w:bCs/>
        </w:rPr>
        <w:t>供应商不足3家的，不得开启响应文件。</w:t>
      </w:r>
    </w:p>
    <w:p w14:paraId="038A474D">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三）响应文件开启时，集中采购机构现场工作人员将根据项目响应家数约定解密时长，供应商应在规定时间内，须使用电子响应文件加密时所用的数字认证证书（CA锁）自行解密电子响应文件，未在规定时间内解密的，视为无效响应。</w:t>
      </w:r>
    </w:p>
    <w:p w14:paraId="548DF448">
      <w:pPr>
        <w:spacing w:line="500" w:lineRule="exact"/>
        <w:ind w:firstLine="566" w:firstLineChars="200"/>
        <w:rPr>
          <w:rFonts w:ascii="仿宋_GB2312" w:hAnsi="仿宋_GB2312" w:eastAsia="仿宋_GB2312" w:cs="仿宋_GB2312"/>
          <w:highlight w:val="yellow"/>
        </w:rPr>
      </w:pPr>
      <w:r>
        <w:rPr>
          <w:rFonts w:hint="eastAsia" w:ascii="仿宋_GB2312" w:hAnsi="仿宋_GB2312" w:eastAsia="仿宋_GB2312" w:cs="仿宋_GB2312"/>
        </w:rPr>
        <w:t>（四）响应人对响应文件开启过程和记录有疑义，以及认为采购人、集中采购机构相关工作人员有需要回避情形的，应在不见面开标大厅提出询问或回避申请，采购人、集中采购机构应当及时处理。</w:t>
      </w:r>
    </w:p>
    <w:p w14:paraId="12B0158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（五）响应供应商未参加响应文件开启的，视同认可开启结果。</w:t>
      </w:r>
    </w:p>
    <w:p w14:paraId="641755E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（六）在响应文件开启出现下列情况之一的，其响应文件视为无效文件：</w:t>
      </w:r>
    </w:p>
    <w:p w14:paraId="6E827E0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1、供应商拒绝对电子响应文件进行解密的；</w:t>
      </w:r>
    </w:p>
    <w:p w14:paraId="7D730AC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2、因供应商自身原因（如迟到、或所用CA锁与制作电子响应文件使用的CA锁不一致、或沿用旧版磋商文件编制响应文件等情形），导致在规定时间内无法解密响应文件的；</w:t>
      </w:r>
    </w:p>
    <w:p w14:paraId="2B9975F5">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3、上传的电子响应文件无法打开的；</w:t>
      </w:r>
    </w:p>
    <w:p w14:paraId="078AA5E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4、政府采购法律法规规定的其他无效情形。</w:t>
      </w:r>
    </w:p>
    <w:p w14:paraId="75FB68B8">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（七）特殊情形下的应急处置</w:t>
      </w:r>
    </w:p>
    <w:p w14:paraId="11482599">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在响应文件开启、评审过程中，如因停电、断网、电子化系统故障等特殊原因导致电子化开、评审工作无法正常进行时，将视文件解密情况特殊处理。</w:t>
      </w:r>
    </w:p>
    <w:p w14:paraId="09218577">
      <w:pPr>
        <w:pStyle w:val="8"/>
        <w:spacing w:after="0" w:line="500" w:lineRule="exact"/>
        <w:ind w:firstLine="567"/>
        <w:rPr>
          <w:rFonts w:ascii="仿宋_GB2312" w:hAnsi="仿宋_GB2312" w:eastAsia="仿宋_GB2312" w:cs="仿宋_GB2312"/>
        </w:rPr>
      </w:pPr>
      <w:r>
        <w:rPr>
          <w:rFonts w:hint="eastAsia" w:ascii="仿宋_GB2312" w:hAnsi="仿宋_GB2312" w:eastAsia="仿宋_GB2312" w:cs="仿宋_GB2312"/>
        </w:rPr>
        <w:t>1、响应文件开启时文件未解密的，将另行确定时间继续完成开启程序；</w:t>
      </w:r>
    </w:p>
    <w:p w14:paraId="72F05DAA">
      <w:pPr>
        <w:spacing w:line="500" w:lineRule="exact"/>
        <w:ind w:firstLine="566"/>
        <w:rPr>
          <w:rFonts w:ascii="仿宋_GB2312" w:hAnsi="仿宋_GB2312" w:eastAsia="仿宋_GB2312" w:cs="仿宋_GB2312"/>
        </w:rPr>
      </w:pPr>
      <w:r>
        <w:rPr>
          <w:rFonts w:hint="eastAsia" w:ascii="仿宋_GB2312" w:hAnsi="仿宋_GB2312" w:eastAsia="仿宋_GB2312" w:cs="仿宋_GB2312"/>
        </w:rPr>
        <w:t>2、文件已解密但评审结论未形成的，将发布终止公告，重新组织采购活动；</w:t>
      </w:r>
    </w:p>
    <w:p w14:paraId="214997FF">
      <w:pPr>
        <w:pStyle w:val="8"/>
        <w:spacing w:line="500" w:lineRule="exact"/>
        <w:rPr>
          <w:rFonts w:ascii="仿宋_GB2312" w:hAnsi="仿宋_GB2312" w:eastAsia="仿宋_GB2312" w:cs="仿宋_GB2312"/>
        </w:rPr>
      </w:pPr>
      <w:r>
        <w:rPr>
          <w:rFonts w:hint="eastAsia" w:ascii="仿宋_GB2312" w:hAnsi="仿宋_GB2312" w:eastAsia="仿宋_GB2312" w:cs="仿宋_GB2312"/>
        </w:rPr>
        <w:t xml:space="preserve">    3、文件已解密且评审结论已形成的，待特殊情况排除后，继续完成评审活动。</w:t>
      </w:r>
      <w:bookmarkStart w:id="142" w:name="_Toc8460"/>
      <w:bookmarkStart w:id="143" w:name="_Toc8349"/>
      <w:bookmarkStart w:id="144" w:name="_Toc31720"/>
    </w:p>
    <w:p w14:paraId="6BD644B1">
      <w:pPr>
        <w:pStyle w:val="3"/>
        <w:spacing w:line="500" w:lineRule="exact"/>
        <w:ind w:firstLine="566" w:firstLineChars="200"/>
        <w:rPr>
          <w:rFonts w:ascii="仿宋_GB2312" w:hAnsi="仿宋_GB2312" w:eastAsia="仿宋_GB2312" w:cs="仿宋_GB2312"/>
          <w:sz w:val="28"/>
          <w:szCs w:val="28"/>
        </w:rPr>
      </w:pPr>
      <w:bookmarkStart w:id="145" w:name="_Toc31905"/>
      <w:r>
        <w:rPr>
          <w:rFonts w:hint="eastAsia" w:ascii="仿宋_GB2312" w:hAnsi="仿宋_GB2312" w:eastAsia="仿宋_GB2312" w:cs="仿宋_GB2312"/>
          <w:sz w:val="28"/>
          <w:szCs w:val="28"/>
        </w:rPr>
        <w:t>七、组织评审</w:t>
      </w:r>
      <w:bookmarkEnd w:id="126"/>
      <w:bookmarkEnd w:id="127"/>
      <w:bookmarkEnd w:id="128"/>
      <w:bookmarkEnd w:id="142"/>
      <w:bookmarkEnd w:id="143"/>
      <w:bookmarkEnd w:id="144"/>
      <w:bookmarkEnd w:id="145"/>
    </w:p>
    <w:p w14:paraId="62A45253">
      <w:pPr>
        <w:spacing w:line="500" w:lineRule="exact"/>
        <w:ind w:firstLine="566" w:firstLineChars="200"/>
        <w:rPr>
          <w:rFonts w:ascii="仿宋_GB2312" w:hAnsi="仿宋_GB2312" w:eastAsia="仿宋_GB2312" w:cs="仿宋_GB2312"/>
          <w:b/>
          <w:bCs/>
        </w:rPr>
      </w:pPr>
      <w:bookmarkStart w:id="146" w:name="_Toc3816_WPSOffice_Level3"/>
      <w:r>
        <w:rPr>
          <w:rFonts w:hint="eastAsia" w:ascii="仿宋_GB2312" w:hAnsi="仿宋_GB2312" w:eastAsia="仿宋_GB2312" w:cs="仿宋_GB2312"/>
          <w:b/>
          <w:bCs/>
          <w:shd w:val="clear" w:color="auto" w:fill="FFFFFF"/>
        </w:rPr>
        <w:t>（一）</w:t>
      </w:r>
      <w:bookmarkEnd w:id="146"/>
      <w:r>
        <w:rPr>
          <w:rFonts w:hint="eastAsia" w:ascii="仿宋_GB2312" w:hAnsi="仿宋_GB2312" w:eastAsia="仿宋_GB2312" w:cs="仿宋_GB2312"/>
          <w:b/>
          <w:bCs/>
        </w:rPr>
        <w:t>成立磋商小组</w:t>
      </w:r>
    </w:p>
    <w:p w14:paraId="15227FCD">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1、为了确保磋商工作的公平、公正，依据政府采购法和政府采购相关法规、规章，成立磋商小组，磋商小组由采购人代表和评审专家共3人以上单数组成，其中评审专家人数不少于磋商小组成员总数的三分之二。</w:t>
      </w:r>
    </w:p>
    <w:p w14:paraId="52C05400">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评审专家对本单位的采购项目只能作为采购人代表参与评审。采购代理机构工作人员不得参加由本机构代理的政府采购项目的评审。</w:t>
      </w:r>
    </w:p>
    <w:p w14:paraId="53350AD6">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磋商小组成员名单在评审结果公告前应当保密。</w:t>
      </w:r>
    </w:p>
    <w:p w14:paraId="633D57D2">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14:paraId="70C95F5E">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评审中因磋商小组成员缺席、回避或者健康等特殊原因导致磋商小组组成不符合规定的，集中采购机构应当依法补足后继续评审。被更换的磋商小组成员所做出的评审意见无效。无法及时补足磋商小组成员的，集中采购机构应当停止评审活动，封存所有响应文件和开标、评审资料，依法重新组建磋商小组进行评审。原磋商小组所做出的评审意见无效。</w:t>
      </w:r>
    </w:p>
    <w:p w14:paraId="29985D0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集中采购机构应当将变更、重新组建磋商小组的情况予以记录，并随采购文件一并存档。</w:t>
      </w:r>
    </w:p>
    <w:p w14:paraId="1175C593">
      <w:pPr>
        <w:pStyle w:val="17"/>
        <w:spacing w:beforeAutospacing="0" w:afterAutospacing="0" w:line="500" w:lineRule="exact"/>
        <w:ind w:firstLine="420"/>
        <w:rPr>
          <w:rFonts w:ascii="仿宋_GB2312" w:hAnsi="仿宋_GB2312" w:eastAsia="仿宋_GB2312" w:cs="仿宋_GB2312"/>
          <w:b/>
          <w:bCs/>
          <w:sz w:val="28"/>
        </w:rPr>
      </w:pPr>
      <w:bookmarkStart w:id="147" w:name="_Toc3147_WPSOffice_Level3"/>
      <w:r>
        <w:rPr>
          <w:rFonts w:hint="eastAsia" w:ascii="仿宋_GB2312" w:hAnsi="仿宋_GB2312" w:eastAsia="仿宋_GB2312" w:cs="仿宋_GB2312"/>
          <w:b/>
          <w:bCs/>
          <w:sz w:val="28"/>
          <w:shd w:val="clear" w:color="auto" w:fill="FFFFFF"/>
        </w:rPr>
        <w:t>（二）磋商小组负责具体评审事务，并独立履行下列职责：</w:t>
      </w:r>
      <w:bookmarkEnd w:id="147"/>
    </w:p>
    <w:p w14:paraId="0C2C248F">
      <w:pPr>
        <w:pStyle w:val="17"/>
        <w:spacing w:beforeAutospacing="0" w:afterAutospacing="0" w:line="500" w:lineRule="exact"/>
        <w:ind w:firstLine="566" w:firstLineChars="200"/>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1、遵守评审工作纪律，不得泄露评审情况和评审中获悉的商业秘密；</w:t>
      </w:r>
    </w:p>
    <w:p w14:paraId="33D97C2C">
      <w:pPr>
        <w:pStyle w:val="17"/>
        <w:spacing w:beforeAutospacing="0" w:afterAutospacing="0" w:line="500" w:lineRule="exact"/>
        <w:ind w:firstLine="566" w:firstLineChars="200"/>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 xml:space="preserve">2、按照客观、公正、审慎的原则，根据磋商文件规定的评审程序、评审方法和评审标准进行独立评审； </w:t>
      </w:r>
    </w:p>
    <w:p w14:paraId="73B43B1B">
      <w:pPr>
        <w:pStyle w:val="17"/>
        <w:spacing w:beforeAutospacing="0" w:afterAutospacing="0" w:line="500" w:lineRule="exact"/>
        <w:ind w:firstLine="566" w:firstLineChars="200"/>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 xml:space="preserve">3、要求供应商对响应文件有关事项做出澄清或者说明； </w:t>
      </w:r>
    </w:p>
    <w:p w14:paraId="7D1F0D8E">
      <w:pPr>
        <w:pStyle w:val="17"/>
        <w:spacing w:beforeAutospacing="0" w:afterAutospacing="0" w:line="500" w:lineRule="exact"/>
        <w:ind w:firstLine="566" w:firstLineChars="200"/>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 xml:space="preserve">4、与供应商分别进行磋商； </w:t>
      </w:r>
    </w:p>
    <w:p w14:paraId="7607963C">
      <w:pPr>
        <w:pStyle w:val="17"/>
        <w:spacing w:beforeAutospacing="0" w:afterAutospacing="0" w:line="500" w:lineRule="exact"/>
        <w:ind w:firstLine="566" w:firstLineChars="200"/>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 xml:space="preserve">5、对响应文件进行比较和评价； </w:t>
      </w:r>
    </w:p>
    <w:p w14:paraId="044E557A">
      <w:pPr>
        <w:pStyle w:val="17"/>
        <w:spacing w:beforeAutospacing="0" w:afterAutospacing="0" w:line="500" w:lineRule="exact"/>
        <w:ind w:firstLine="566" w:firstLineChars="200"/>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 xml:space="preserve">6、确定成交候选人名单，以及根据采购人委托直接确定成交供应商； </w:t>
      </w:r>
    </w:p>
    <w:p w14:paraId="72860285">
      <w:pPr>
        <w:pStyle w:val="17"/>
        <w:spacing w:beforeAutospacing="0" w:afterAutospacing="0" w:line="500" w:lineRule="exact"/>
        <w:ind w:firstLine="566" w:firstLineChars="200"/>
        <w:rPr>
          <w:rFonts w:ascii="仿宋_GB2312" w:hAnsi="仿宋_GB2312" w:eastAsia="仿宋_GB2312" w:cs="仿宋_GB2312"/>
          <w:sz w:val="28"/>
          <w:shd w:val="clear" w:color="auto" w:fill="FFFFFF"/>
        </w:rPr>
      </w:pPr>
      <w:r>
        <w:rPr>
          <w:rFonts w:hint="eastAsia" w:ascii="仿宋_GB2312" w:hAnsi="仿宋_GB2312" w:eastAsia="仿宋_GB2312" w:cs="仿宋_GB2312"/>
          <w:sz w:val="28"/>
          <w:shd w:val="clear" w:color="auto" w:fill="FFFFFF"/>
        </w:rPr>
        <w:t xml:space="preserve">7、配合答复供应商的询问、质疑和投诉等事项，不得泄露评审文件、评审情况和在评审过程中获悉的商业秘密； </w:t>
      </w:r>
    </w:p>
    <w:p w14:paraId="4C694F16">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 xml:space="preserve">8、向采购人、集中采购机构或者有关部门报告评审中发现的违法行为。 </w:t>
      </w:r>
    </w:p>
    <w:p w14:paraId="587A19FB">
      <w:pPr>
        <w:pStyle w:val="17"/>
        <w:spacing w:beforeAutospacing="0" w:afterAutospacing="0" w:line="500" w:lineRule="exact"/>
        <w:ind w:firstLine="420"/>
        <w:rPr>
          <w:rFonts w:ascii="仿宋_GB2312" w:hAnsi="仿宋_GB2312" w:eastAsia="仿宋_GB2312" w:cs="仿宋_GB2312"/>
          <w:b/>
          <w:bCs/>
          <w:sz w:val="28"/>
        </w:rPr>
      </w:pPr>
      <w:bookmarkStart w:id="148" w:name="_Toc8872_WPSOffice_Level3"/>
      <w:r>
        <w:rPr>
          <w:rFonts w:hint="eastAsia" w:ascii="仿宋_GB2312" w:hAnsi="仿宋_GB2312" w:eastAsia="仿宋_GB2312" w:cs="仿宋_GB2312"/>
          <w:b/>
          <w:bCs/>
          <w:sz w:val="28"/>
        </w:rPr>
        <w:t>（三）</w:t>
      </w:r>
      <w:r>
        <w:rPr>
          <w:rFonts w:hint="eastAsia" w:ascii="仿宋_GB2312" w:hAnsi="仿宋_GB2312" w:eastAsia="仿宋_GB2312" w:cs="仿宋_GB2312"/>
          <w:b/>
          <w:bCs/>
          <w:sz w:val="28"/>
          <w:shd w:val="clear" w:color="auto" w:fill="FFFFFF"/>
        </w:rPr>
        <w:t>集中采购机构负责组织评审工作，并履行下列职责：</w:t>
      </w:r>
    </w:p>
    <w:p w14:paraId="7AA0C023">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1、核对评审专家身份和采购人代表授权函，对评审专家在政府采购活动中的职责履行情况予以记录，并及时将有关违法违规行为向财政部门报告;</w:t>
      </w:r>
    </w:p>
    <w:p w14:paraId="0A370AA1">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2、宣布评审纪律;</w:t>
      </w:r>
    </w:p>
    <w:p w14:paraId="2FFD9A93">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3、公布供应商名单，告知评审专家应当回避的情形;</w:t>
      </w:r>
    </w:p>
    <w:p w14:paraId="2DC6A6E9">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4、组织磋商小组推选评审组长，采购人代表不得担任组长;</w:t>
      </w:r>
    </w:p>
    <w:p w14:paraId="140C4A9E">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5、在评审期间采取必要的通讯管理措施，保证评审活动不受外界干扰;</w:t>
      </w:r>
    </w:p>
    <w:p w14:paraId="078EDCA9">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6、根据磋商小组的要求介绍政府采购相关政策法规、磋商文件;</w:t>
      </w:r>
    </w:p>
    <w:p w14:paraId="60BF4F6E">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7、维护评审秩序，监督磋商小组依照磋商文件规定的评审程序、方法和标准进行独立评审，及时制止和纠正采购人代表、评审专家的倾向性言论或者违法违规行为;</w:t>
      </w:r>
    </w:p>
    <w:p w14:paraId="6F9F90EC">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8、核对评审结果;</w:t>
      </w:r>
    </w:p>
    <w:p w14:paraId="7F76FA83">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9、评审工作完成后，按照规定向评审专家支付劳务报酬和异地评审差旅费，不得向评审专家以外的其他人员支付评审劳务报酬;</w:t>
      </w:r>
    </w:p>
    <w:p w14:paraId="0F48F814">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10、处理与评审有关的其他事项。</w:t>
      </w:r>
    </w:p>
    <w:p w14:paraId="28B47F7E">
      <w:pPr>
        <w:pStyle w:val="17"/>
        <w:spacing w:beforeAutospacing="0" w:afterAutospacing="0" w:line="500" w:lineRule="exact"/>
        <w:ind w:firstLine="566" w:firstLineChars="200"/>
        <w:rPr>
          <w:rFonts w:ascii="仿宋_GB2312" w:hAnsi="仿宋_GB2312" w:eastAsia="仿宋_GB2312" w:cs="仿宋_GB2312"/>
          <w:sz w:val="28"/>
        </w:rPr>
      </w:pPr>
      <w:r>
        <w:rPr>
          <w:rFonts w:hint="eastAsia" w:ascii="仿宋_GB2312" w:hAnsi="仿宋_GB2312" w:eastAsia="仿宋_GB2312" w:cs="仿宋_GB2312"/>
          <w:sz w:val="28"/>
          <w:shd w:val="clear" w:color="auto" w:fill="FFFFFF"/>
        </w:rPr>
        <w:t>采购人可以在评审前说明项目背景和采购需求，说明内容不得含有歧视性、倾向性意见，不得超出磋商文件所述范围。说明应当提交书面材料，并随采购文件一并存档。</w:t>
      </w:r>
      <w:bookmarkEnd w:id="148"/>
    </w:p>
    <w:p w14:paraId="414928F9">
      <w:pPr>
        <w:spacing w:line="500" w:lineRule="exact"/>
        <w:ind w:firstLine="566" w:firstLineChars="200"/>
        <w:rPr>
          <w:rFonts w:ascii="仿宋_GB2312" w:hAnsi="仿宋_GB2312" w:eastAsia="仿宋_GB2312" w:cs="仿宋_GB2312"/>
          <w:b/>
        </w:rPr>
      </w:pPr>
      <w:bookmarkStart w:id="149" w:name="_Toc4079_WPSOffice_Level3"/>
      <w:r>
        <w:rPr>
          <w:rFonts w:hint="eastAsia" w:ascii="仿宋_GB2312" w:hAnsi="仿宋_GB2312" w:eastAsia="仿宋_GB2312" w:cs="仿宋_GB2312"/>
          <w:b/>
        </w:rPr>
        <w:t>（四）评审方法：综合评分法</w:t>
      </w:r>
      <w:bookmarkEnd w:id="149"/>
    </w:p>
    <w:p w14:paraId="380A2996">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综合评分法，是指响应文件满足磋商文件全部实质性要求且按评审因 素的量化指标评审得分最高的供应商为成交候选供应商的评审方法。</w:t>
      </w:r>
    </w:p>
    <w:p w14:paraId="26A3F082">
      <w:pPr>
        <w:spacing w:line="500" w:lineRule="exact"/>
        <w:ind w:left="567"/>
        <w:rPr>
          <w:rFonts w:ascii="仿宋_GB2312" w:hAnsi="仿宋_GB2312" w:eastAsia="仿宋_GB2312" w:cs="仿宋_GB2312"/>
        </w:rPr>
      </w:pPr>
      <w:bookmarkStart w:id="150" w:name="_Toc25396_WPSOffice_Level3"/>
      <w:r>
        <w:rPr>
          <w:rFonts w:hint="eastAsia" w:ascii="仿宋_GB2312" w:hAnsi="仿宋_GB2312" w:eastAsia="仿宋_GB2312" w:cs="仿宋_GB2312"/>
          <w:b/>
        </w:rPr>
        <w:t>（五）评审程序</w:t>
      </w:r>
      <w:bookmarkEnd w:id="150"/>
    </w:p>
    <w:p w14:paraId="43B7C84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分步评审，每一步评审不符合磋商文件要求者，不得进入下一步评审，全部评审合格的供应商，进入最后的打分，最后按得分由高向低排序，推荐成交候选供应商。</w:t>
      </w:r>
    </w:p>
    <w:p w14:paraId="3BE8B191">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b/>
          <w:bCs/>
        </w:rPr>
        <w:t>1、资格性审查</w:t>
      </w:r>
    </w:p>
    <w:p w14:paraId="67D09B3B">
      <w:pPr>
        <w:spacing w:after="190" w:afterLines="50"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rPr>
        <w:t>响应文件开启结束后，磋商小组依据法律法规和磋商文件的规定，对响应文件中的供应商资格证明文件进行审查，以确定供应商是否具备磋商资格。</w:t>
      </w:r>
    </w:p>
    <w:p w14:paraId="2E4D68E6">
      <w:pPr>
        <w:spacing w:line="500" w:lineRule="exact"/>
        <w:jc w:val="center"/>
        <w:rPr>
          <w:rFonts w:ascii="仿宋_GB2312" w:hAnsi="仿宋_GB2312" w:eastAsia="仿宋_GB2312" w:cs="仿宋_GB2312"/>
          <w:b/>
          <w:bCs/>
        </w:rPr>
      </w:pPr>
      <w:r>
        <w:rPr>
          <w:rFonts w:hint="eastAsia" w:ascii="仿宋_GB2312" w:hAnsi="仿宋_GB2312" w:eastAsia="仿宋_GB2312" w:cs="仿宋_GB2312"/>
          <w:b/>
          <w:bCs/>
        </w:rPr>
        <w:t>资格审查表</w:t>
      </w:r>
    </w:p>
    <w:tbl>
      <w:tblPr>
        <w:tblStyle w:val="2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40"/>
        <w:gridCol w:w="5053"/>
        <w:gridCol w:w="791"/>
        <w:gridCol w:w="1105"/>
      </w:tblGrid>
      <w:tr w14:paraId="187D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51" w:type="dxa"/>
            <w:vAlign w:val="center"/>
          </w:tcPr>
          <w:p w14:paraId="60E56E7D">
            <w:pPr>
              <w:jc w:val="center"/>
              <w:rPr>
                <w:rFonts w:ascii="仿宋_GB2312" w:hAnsi="仿宋_GB2312" w:eastAsia="仿宋_GB2312" w:cs="仿宋_GB2312"/>
                <w:b/>
              </w:rPr>
            </w:pPr>
            <w:r>
              <w:rPr>
                <w:rFonts w:hint="eastAsia" w:ascii="仿宋_GB2312" w:hAnsi="仿宋_GB2312" w:eastAsia="仿宋_GB2312" w:cs="仿宋_GB2312"/>
                <w:b/>
              </w:rPr>
              <w:t>序号</w:t>
            </w:r>
          </w:p>
        </w:tc>
        <w:tc>
          <w:tcPr>
            <w:tcW w:w="1640" w:type="dxa"/>
            <w:vAlign w:val="center"/>
          </w:tcPr>
          <w:p w14:paraId="28C2ED1A">
            <w:pPr>
              <w:jc w:val="center"/>
              <w:rPr>
                <w:rFonts w:ascii="仿宋_GB2312" w:hAnsi="仿宋_GB2312" w:eastAsia="仿宋_GB2312" w:cs="仿宋_GB2312"/>
                <w:b/>
                <w:kern w:val="28"/>
              </w:rPr>
            </w:pPr>
            <w:r>
              <w:rPr>
                <w:rFonts w:hint="eastAsia" w:ascii="仿宋_GB2312" w:hAnsi="仿宋_GB2312" w:eastAsia="仿宋_GB2312" w:cs="仿宋_GB2312"/>
                <w:b/>
                <w:kern w:val="28"/>
              </w:rPr>
              <w:t>资格审查项</w:t>
            </w:r>
          </w:p>
        </w:tc>
        <w:tc>
          <w:tcPr>
            <w:tcW w:w="5053" w:type="dxa"/>
            <w:vAlign w:val="center"/>
          </w:tcPr>
          <w:p w14:paraId="1F99A931">
            <w:pPr>
              <w:jc w:val="center"/>
              <w:rPr>
                <w:rFonts w:ascii="仿宋_GB2312" w:hAnsi="仿宋_GB2312" w:eastAsia="仿宋_GB2312" w:cs="仿宋_GB2312"/>
                <w:b/>
                <w:kern w:val="28"/>
              </w:rPr>
            </w:pPr>
            <w:r>
              <w:rPr>
                <w:rFonts w:hint="eastAsia" w:ascii="仿宋_GB2312" w:hAnsi="仿宋_GB2312" w:eastAsia="仿宋_GB2312" w:cs="仿宋_GB2312"/>
                <w:b/>
                <w:kern w:val="28"/>
              </w:rPr>
              <w:t>通过条件</w:t>
            </w:r>
          </w:p>
        </w:tc>
        <w:tc>
          <w:tcPr>
            <w:tcW w:w="791" w:type="dxa"/>
            <w:vAlign w:val="center"/>
          </w:tcPr>
          <w:p w14:paraId="645047F0">
            <w:pPr>
              <w:spacing w:before="40" w:after="40"/>
              <w:jc w:val="center"/>
              <w:rPr>
                <w:rFonts w:ascii="仿宋_GB2312" w:hAnsi="仿宋_GB2312" w:eastAsia="仿宋_GB2312" w:cs="仿宋_GB2312"/>
                <w:b/>
              </w:rPr>
            </w:pPr>
            <w:r>
              <w:rPr>
                <w:rFonts w:hint="eastAsia" w:ascii="仿宋_GB2312" w:hAnsi="仿宋_GB2312" w:eastAsia="仿宋_GB2312" w:cs="仿宋_GB2312"/>
                <w:b/>
              </w:rPr>
              <w:t>结论</w:t>
            </w:r>
          </w:p>
        </w:tc>
        <w:tc>
          <w:tcPr>
            <w:tcW w:w="1105" w:type="dxa"/>
            <w:vAlign w:val="center"/>
          </w:tcPr>
          <w:p w14:paraId="55BE7F17">
            <w:pPr>
              <w:spacing w:before="40" w:after="40"/>
              <w:jc w:val="center"/>
              <w:rPr>
                <w:rFonts w:ascii="仿宋_GB2312" w:hAnsi="仿宋_GB2312" w:eastAsia="仿宋_GB2312" w:cs="仿宋_GB2312"/>
                <w:b/>
              </w:rPr>
            </w:pPr>
            <w:r>
              <w:rPr>
                <w:rFonts w:hint="eastAsia" w:ascii="仿宋_GB2312" w:hAnsi="仿宋_GB2312" w:eastAsia="仿宋_GB2312" w:cs="仿宋_GB2312"/>
                <w:b/>
              </w:rPr>
              <w:t>不通过原因</w:t>
            </w:r>
          </w:p>
        </w:tc>
      </w:tr>
      <w:tr w14:paraId="3346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551" w:type="dxa"/>
            <w:vAlign w:val="center"/>
          </w:tcPr>
          <w:p w14:paraId="6837308F">
            <w:pPr>
              <w:jc w:val="center"/>
              <w:rPr>
                <w:rFonts w:ascii="仿宋_GB2312" w:hAnsi="仿宋_GB2312" w:eastAsia="仿宋_GB2312" w:cs="仿宋_GB2312"/>
                <w:bCs/>
              </w:rPr>
            </w:pPr>
            <w:r>
              <w:rPr>
                <w:rFonts w:hint="eastAsia" w:ascii="仿宋_GB2312" w:hAnsi="仿宋_GB2312" w:eastAsia="仿宋_GB2312" w:cs="仿宋_GB2312"/>
                <w:bCs/>
              </w:rPr>
              <w:t>1</w:t>
            </w:r>
          </w:p>
        </w:tc>
        <w:tc>
          <w:tcPr>
            <w:tcW w:w="1640" w:type="dxa"/>
            <w:vAlign w:val="center"/>
          </w:tcPr>
          <w:p w14:paraId="192A0957">
            <w:pPr>
              <w:rPr>
                <w:rFonts w:ascii="仿宋_GB2312" w:hAnsi="仿宋_GB2312" w:eastAsia="仿宋_GB2312" w:cs="仿宋_GB2312"/>
                <w:kern w:val="28"/>
              </w:rPr>
            </w:pPr>
            <w:r>
              <w:rPr>
                <w:rFonts w:hint="eastAsia" w:ascii="仿宋_GB2312" w:hAnsi="仿宋_GB2312" w:eastAsia="仿宋_GB2312" w:cs="仿宋_GB2312"/>
                <w:kern w:val="28"/>
              </w:rPr>
              <w:t>营业执照等主体资格证明文件</w:t>
            </w:r>
          </w:p>
        </w:tc>
        <w:tc>
          <w:tcPr>
            <w:tcW w:w="5053" w:type="dxa"/>
            <w:vAlign w:val="center"/>
          </w:tcPr>
          <w:p w14:paraId="6DE7B514">
            <w:pPr>
              <w:rPr>
                <w:rFonts w:ascii="仿宋_GB2312" w:hAnsi="仿宋_GB2312" w:eastAsia="仿宋_GB2312" w:cs="仿宋_GB2312"/>
                <w:kern w:val="28"/>
              </w:rPr>
            </w:pPr>
            <w:r>
              <w:rPr>
                <w:rFonts w:hint="eastAsia" w:ascii="仿宋_GB2312" w:hAnsi="仿宋_GB2312" w:eastAsia="仿宋_GB2312" w:cs="仿宋_GB2312"/>
                <w:kern w:val="28"/>
              </w:rPr>
              <w:t>提供有效存续的企业营业执照（副本）/事业单位法人证书/专业服务机构执业许可证/民办非企业单位登记证书。</w:t>
            </w:r>
          </w:p>
        </w:tc>
        <w:tc>
          <w:tcPr>
            <w:tcW w:w="791" w:type="dxa"/>
            <w:vAlign w:val="center"/>
          </w:tcPr>
          <w:p w14:paraId="2F6AA759">
            <w:pPr>
              <w:spacing w:before="40" w:after="40"/>
              <w:rPr>
                <w:rFonts w:ascii="仿宋_GB2312" w:hAnsi="仿宋_GB2312" w:eastAsia="仿宋_GB2312" w:cs="仿宋_GB2312"/>
                <w:b/>
              </w:rPr>
            </w:pPr>
          </w:p>
        </w:tc>
        <w:tc>
          <w:tcPr>
            <w:tcW w:w="1105" w:type="dxa"/>
            <w:vAlign w:val="center"/>
          </w:tcPr>
          <w:p w14:paraId="6E6C8E41">
            <w:pPr>
              <w:spacing w:before="40" w:after="40"/>
              <w:rPr>
                <w:rFonts w:ascii="仿宋_GB2312" w:hAnsi="仿宋_GB2312" w:eastAsia="仿宋_GB2312" w:cs="仿宋_GB2312"/>
                <w:b/>
              </w:rPr>
            </w:pPr>
          </w:p>
        </w:tc>
      </w:tr>
      <w:tr w14:paraId="4B36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4" w:hRule="atLeast"/>
          <w:jc w:val="center"/>
        </w:trPr>
        <w:tc>
          <w:tcPr>
            <w:tcW w:w="551" w:type="dxa"/>
            <w:vAlign w:val="center"/>
          </w:tcPr>
          <w:p w14:paraId="27256BC1">
            <w:pPr>
              <w:jc w:val="center"/>
              <w:rPr>
                <w:rFonts w:ascii="仿宋_GB2312" w:hAnsi="仿宋_GB2312" w:eastAsia="仿宋_GB2312" w:cs="仿宋_GB2312"/>
                <w:bCs/>
              </w:rPr>
            </w:pPr>
            <w:r>
              <w:rPr>
                <w:rFonts w:hint="eastAsia" w:ascii="仿宋_GB2312" w:hAnsi="仿宋_GB2312" w:eastAsia="仿宋_GB2312" w:cs="仿宋_GB2312"/>
                <w:bCs/>
              </w:rPr>
              <w:t>2</w:t>
            </w:r>
          </w:p>
        </w:tc>
        <w:tc>
          <w:tcPr>
            <w:tcW w:w="1640" w:type="dxa"/>
            <w:vAlign w:val="center"/>
          </w:tcPr>
          <w:p w14:paraId="0987E099">
            <w:pPr>
              <w:rPr>
                <w:rFonts w:ascii="仿宋_GB2312" w:hAnsi="仿宋_GB2312" w:eastAsia="仿宋_GB2312" w:cs="仿宋_GB2312"/>
                <w:kern w:val="28"/>
              </w:rPr>
            </w:pPr>
            <w:r>
              <w:rPr>
                <w:rFonts w:hint="eastAsia" w:ascii="仿宋_GB2312" w:hAnsi="仿宋_GB2312" w:eastAsia="仿宋_GB2312" w:cs="仿宋_GB2312"/>
                <w:kern w:val="28"/>
              </w:rPr>
              <w:t>法定代表人授权委托书</w:t>
            </w:r>
          </w:p>
        </w:tc>
        <w:tc>
          <w:tcPr>
            <w:tcW w:w="5053" w:type="dxa"/>
            <w:vAlign w:val="center"/>
          </w:tcPr>
          <w:p w14:paraId="0530DA2D">
            <w:pPr>
              <w:rPr>
                <w:rFonts w:ascii="仿宋_GB2312" w:hAnsi="仿宋_GB2312" w:eastAsia="仿宋_GB2312" w:cs="仿宋_GB2312"/>
                <w:kern w:val="28"/>
              </w:rPr>
            </w:pPr>
            <w:r>
              <w:rPr>
                <w:rFonts w:hint="eastAsia" w:ascii="仿宋_GB2312" w:hAnsi="仿宋_GB2312" w:eastAsia="仿宋_GB2312" w:cs="仿宋_GB2312"/>
                <w:kern w:val="28"/>
              </w:rPr>
              <w:t xml:space="preserve">法定代表人参加磋商的，须提供本人身份证复印件（附在资格证明文件中）；法定代表人授权他人参加磋商的，须提供法定代表人授权委托书。磋商文件中凡是需要法定代表人盖章之处，非法人单位的负责人均参照执行。（按第五章格式填写） </w:t>
            </w:r>
          </w:p>
          <w:p w14:paraId="2D5911DA">
            <w:pPr>
              <w:rPr>
                <w:rFonts w:ascii="仿宋_GB2312" w:hAnsi="仿宋_GB2312" w:eastAsia="仿宋_GB2312" w:cs="仿宋_GB2312"/>
                <w:kern w:val="28"/>
              </w:rPr>
            </w:pPr>
            <w:r>
              <w:rPr>
                <w:rFonts w:hint="eastAsia" w:ascii="仿宋_GB2312" w:hAnsi="仿宋_GB2312" w:eastAsia="仿宋_GB2312" w:cs="仿宋_GB2312"/>
                <w:kern w:val="28"/>
              </w:rPr>
              <w:t>法人的分支机构参与磋商时，除提供《法定代表人(负责人)授权委托书》外，还须同时提供法人给分支机构出具的授权书。（法人只能授权一家分支机构参与磋商，且不能与分支机构同时参与磋商。）</w:t>
            </w:r>
          </w:p>
        </w:tc>
        <w:tc>
          <w:tcPr>
            <w:tcW w:w="791" w:type="dxa"/>
            <w:vAlign w:val="center"/>
          </w:tcPr>
          <w:p w14:paraId="1A1793C7">
            <w:pPr>
              <w:spacing w:before="40" w:after="40"/>
              <w:rPr>
                <w:rFonts w:ascii="仿宋_GB2312" w:hAnsi="仿宋_GB2312" w:eastAsia="仿宋_GB2312" w:cs="仿宋_GB2312"/>
                <w:b/>
              </w:rPr>
            </w:pPr>
          </w:p>
        </w:tc>
        <w:tc>
          <w:tcPr>
            <w:tcW w:w="1105" w:type="dxa"/>
            <w:vAlign w:val="center"/>
          </w:tcPr>
          <w:p w14:paraId="3EC802B5">
            <w:pPr>
              <w:spacing w:before="40" w:after="40"/>
              <w:rPr>
                <w:rFonts w:ascii="仿宋_GB2312" w:hAnsi="仿宋_GB2312" w:eastAsia="仿宋_GB2312" w:cs="仿宋_GB2312"/>
                <w:b/>
              </w:rPr>
            </w:pPr>
          </w:p>
        </w:tc>
      </w:tr>
      <w:tr w14:paraId="3BA0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551" w:type="dxa"/>
            <w:vAlign w:val="center"/>
          </w:tcPr>
          <w:p w14:paraId="07B9684C">
            <w:pPr>
              <w:jc w:val="center"/>
              <w:rPr>
                <w:rFonts w:ascii="仿宋_GB2312" w:hAnsi="仿宋_GB2312" w:eastAsia="仿宋_GB2312" w:cs="仿宋_GB2312"/>
                <w:bCs/>
              </w:rPr>
            </w:pPr>
            <w:r>
              <w:rPr>
                <w:rFonts w:hint="eastAsia" w:ascii="仿宋_GB2312" w:hAnsi="仿宋_GB2312" w:eastAsia="仿宋_GB2312" w:cs="仿宋_GB2312"/>
                <w:bCs/>
              </w:rPr>
              <w:t>3</w:t>
            </w:r>
          </w:p>
        </w:tc>
        <w:tc>
          <w:tcPr>
            <w:tcW w:w="1640" w:type="dxa"/>
            <w:vAlign w:val="center"/>
          </w:tcPr>
          <w:p w14:paraId="1EFAE3CC">
            <w:pPr>
              <w:rPr>
                <w:rFonts w:ascii="仿宋_GB2312" w:hAnsi="仿宋_GB2312" w:eastAsia="仿宋_GB2312" w:cs="仿宋_GB2312"/>
                <w:kern w:val="28"/>
              </w:rPr>
            </w:pPr>
            <w:r>
              <w:rPr>
                <w:rFonts w:hint="eastAsia" w:ascii="仿宋_GB2312" w:hAnsi="仿宋_GB2312" w:eastAsia="仿宋_GB2312" w:cs="仿宋_GB2312"/>
                <w:kern w:val="28"/>
              </w:rPr>
              <w:t>资格承诺函</w:t>
            </w:r>
          </w:p>
        </w:tc>
        <w:tc>
          <w:tcPr>
            <w:tcW w:w="5053" w:type="dxa"/>
            <w:vAlign w:val="center"/>
          </w:tcPr>
          <w:p w14:paraId="5D369861">
            <w:pPr>
              <w:rPr>
                <w:rFonts w:ascii="仿宋_GB2312" w:hAnsi="仿宋_GB2312" w:eastAsia="仿宋_GB2312" w:cs="仿宋_GB2312"/>
                <w:kern w:val="28"/>
              </w:rPr>
            </w:pPr>
            <w:r>
              <w:rPr>
                <w:rFonts w:hint="eastAsia" w:ascii="仿宋_GB2312" w:hAnsi="仿宋_GB2312" w:eastAsia="仿宋_GB2312" w:cs="仿宋_GB2312"/>
                <w:kern w:val="28"/>
              </w:rPr>
              <w:t>提供《汉中市政府采购供应商资格承诺函》。（按第五章格式填写）</w:t>
            </w:r>
          </w:p>
        </w:tc>
        <w:tc>
          <w:tcPr>
            <w:tcW w:w="791" w:type="dxa"/>
            <w:vAlign w:val="center"/>
          </w:tcPr>
          <w:p w14:paraId="209EA0BB">
            <w:pPr>
              <w:spacing w:before="40" w:after="40"/>
              <w:rPr>
                <w:rFonts w:ascii="仿宋_GB2312" w:hAnsi="仿宋_GB2312" w:eastAsia="仿宋_GB2312" w:cs="仿宋_GB2312"/>
                <w:b/>
              </w:rPr>
            </w:pPr>
          </w:p>
        </w:tc>
        <w:tc>
          <w:tcPr>
            <w:tcW w:w="1105" w:type="dxa"/>
            <w:vAlign w:val="center"/>
          </w:tcPr>
          <w:p w14:paraId="16A23AC6">
            <w:pPr>
              <w:spacing w:before="40" w:after="40"/>
              <w:rPr>
                <w:rFonts w:ascii="仿宋_GB2312" w:hAnsi="仿宋_GB2312" w:eastAsia="仿宋_GB2312" w:cs="仿宋_GB2312"/>
                <w:b/>
              </w:rPr>
            </w:pPr>
          </w:p>
        </w:tc>
      </w:tr>
      <w:tr w14:paraId="277B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51" w:type="dxa"/>
            <w:vAlign w:val="center"/>
          </w:tcPr>
          <w:p w14:paraId="1533A5EB">
            <w:pPr>
              <w:jc w:val="center"/>
              <w:rPr>
                <w:rFonts w:ascii="仿宋_GB2312" w:hAnsi="仿宋_GB2312" w:eastAsia="仿宋_GB2312" w:cs="仿宋_GB2312"/>
                <w:bCs/>
              </w:rPr>
            </w:pPr>
            <w:r>
              <w:rPr>
                <w:rFonts w:hint="eastAsia" w:ascii="仿宋_GB2312" w:hAnsi="仿宋_GB2312" w:eastAsia="仿宋_GB2312" w:cs="仿宋_GB2312"/>
                <w:bCs/>
              </w:rPr>
              <w:t>4</w:t>
            </w:r>
          </w:p>
        </w:tc>
        <w:tc>
          <w:tcPr>
            <w:tcW w:w="1640" w:type="dxa"/>
            <w:vAlign w:val="center"/>
          </w:tcPr>
          <w:p w14:paraId="4A8F23B8">
            <w:pPr>
              <w:rPr>
                <w:rFonts w:ascii="仿宋_GB2312" w:hAnsi="仿宋_GB2312" w:eastAsia="仿宋_GB2312" w:cs="仿宋_GB2312"/>
                <w:kern w:val="28"/>
              </w:rPr>
            </w:pPr>
            <w:r>
              <w:rPr>
                <w:rFonts w:hint="eastAsia" w:ascii="仿宋_GB2312" w:hAnsi="仿宋_GB2312" w:eastAsia="仿宋_GB2312" w:cs="仿宋_GB2312"/>
                <w:kern w:val="28"/>
              </w:rPr>
              <w:t>特定资格要求</w:t>
            </w:r>
          </w:p>
        </w:tc>
        <w:tc>
          <w:tcPr>
            <w:tcW w:w="5053" w:type="dxa"/>
            <w:vAlign w:val="center"/>
          </w:tcPr>
          <w:p w14:paraId="7EB9D9E8">
            <w:pPr>
              <w:rPr>
                <w:rFonts w:ascii="仿宋_GB2312" w:hAnsi="仿宋_GB2312" w:eastAsia="仿宋_GB2312" w:cs="仿宋_GB2312"/>
                <w:kern w:val="28"/>
              </w:rPr>
            </w:pPr>
            <w:r>
              <w:rPr>
                <w:rFonts w:hint="eastAsia" w:ascii="仿宋_GB2312" w:hAnsi="仿宋_GB2312" w:eastAsia="仿宋_GB2312" w:cs="仿宋_GB2312"/>
              </w:rPr>
              <w:t>①提供建筑装修装饰工程专业承包二级及以上资质；②提供安全生产许可证。</w:t>
            </w:r>
          </w:p>
        </w:tc>
        <w:tc>
          <w:tcPr>
            <w:tcW w:w="791" w:type="dxa"/>
            <w:vAlign w:val="center"/>
          </w:tcPr>
          <w:p w14:paraId="75FAC0A0">
            <w:pPr>
              <w:spacing w:before="40" w:after="40"/>
              <w:rPr>
                <w:rFonts w:ascii="仿宋_GB2312" w:hAnsi="仿宋_GB2312" w:eastAsia="仿宋_GB2312" w:cs="仿宋_GB2312"/>
                <w:b/>
              </w:rPr>
            </w:pPr>
          </w:p>
        </w:tc>
        <w:tc>
          <w:tcPr>
            <w:tcW w:w="1105" w:type="dxa"/>
            <w:vAlign w:val="center"/>
          </w:tcPr>
          <w:p w14:paraId="5F0A4753">
            <w:pPr>
              <w:spacing w:before="40" w:after="40"/>
              <w:rPr>
                <w:rFonts w:ascii="仿宋_GB2312" w:hAnsi="仿宋_GB2312" w:eastAsia="仿宋_GB2312" w:cs="仿宋_GB2312"/>
                <w:b/>
              </w:rPr>
            </w:pPr>
          </w:p>
        </w:tc>
      </w:tr>
      <w:tr w14:paraId="3140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551" w:type="dxa"/>
            <w:vAlign w:val="center"/>
          </w:tcPr>
          <w:p w14:paraId="0D60D715">
            <w:pPr>
              <w:jc w:val="center"/>
              <w:rPr>
                <w:rFonts w:ascii="仿宋_GB2312" w:hAnsi="仿宋_GB2312" w:eastAsia="仿宋_GB2312" w:cs="仿宋_GB2312"/>
                <w:bCs/>
              </w:rPr>
            </w:pPr>
            <w:r>
              <w:rPr>
                <w:rFonts w:hint="eastAsia" w:ascii="仿宋_GB2312" w:hAnsi="仿宋_GB2312" w:eastAsia="仿宋_GB2312" w:cs="仿宋_GB2312"/>
                <w:bCs/>
              </w:rPr>
              <w:t>5</w:t>
            </w:r>
          </w:p>
        </w:tc>
        <w:tc>
          <w:tcPr>
            <w:tcW w:w="1640" w:type="dxa"/>
            <w:vAlign w:val="center"/>
          </w:tcPr>
          <w:p w14:paraId="422A5D9B">
            <w:pPr>
              <w:rPr>
                <w:rFonts w:ascii="仿宋_GB2312" w:hAnsi="仿宋_GB2312" w:eastAsia="仿宋_GB2312" w:cs="仿宋_GB2312"/>
                <w:kern w:val="28"/>
              </w:rPr>
            </w:pPr>
            <w:r>
              <w:rPr>
                <w:rFonts w:hint="eastAsia" w:ascii="仿宋_GB2312" w:hAnsi="仿宋_GB2312" w:eastAsia="仿宋_GB2312" w:cs="仿宋_GB2312"/>
                <w:kern w:val="28"/>
              </w:rPr>
              <w:t>落实政府采购政策需满足的资格要求</w:t>
            </w:r>
          </w:p>
        </w:tc>
        <w:tc>
          <w:tcPr>
            <w:tcW w:w="5053" w:type="dxa"/>
            <w:vAlign w:val="center"/>
          </w:tcPr>
          <w:p w14:paraId="6B518EF0">
            <w:pPr>
              <w:rPr>
                <w:rFonts w:ascii="仿宋_GB2312" w:hAnsi="仿宋_GB2312" w:eastAsia="仿宋_GB2312" w:cs="仿宋_GB2312"/>
                <w:kern w:val="28"/>
              </w:rPr>
            </w:pPr>
            <w:r>
              <w:rPr>
                <w:rFonts w:hint="eastAsia" w:ascii="仿宋_GB2312" w:hAnsi="仿宋_GB2312" w:eastAsia="仿宋_GB2312" w:cs="仿宋_GB2312"/>
              </w:rPr>
              <w:t>本项目专门面向小微企业采购，供应商应为小微企业，磋商时须提供《中小企业声明函》（按第五章格式填写）。本项目采购标的对应的中小企业划分标准所属行业为：建筑业。</w:t>
            </w:r>
          </w:p>
        </w:tc>
        <w:tc>
          <w:tcPr>
            <w:tcW w:w="791" w:type="dxa"/>
            <w:vAlign w:val="center"/>
          </w:tcPr>
          <w:p w14:paraId="1F2F7941">
            <w:pPr>
              <w:spacing w:before="40" w:after="40"/>
              <w:rPr>
                <w:rFonts w:ascii="仿宋_GB2312" w:hAnsi="仿宋_GB2312" w:eastAsia="仿宋_GB2312" w:cs="仿宋_GB2312"/>
                <w:b/>
              </w:rPr>
            </w:pPr>
          </w:p>
        </w:tc>
        <w:tc>
          <w:tcPr>
            <w:tcW w:w="1105" w:type="dxa"/>
            <w:vAlign w:val="center"/>
          </w:tcPr>
          <w:p w14:paraId="349135DF">
            <w:pPr>
              <w:spacing w:before="40" w:after="40"/>
              <w:rPr>
                <w:rFonts w:ascii="仿宋_GB2312" w:hAnsi="仿宋_GB2312" w:eastAsia="仿宋_GB2312" w:cs="仿宋_GB2312"/>
                <w:b/>
              </w:rPr>
            </w:pPr>
          </w:p>
        </w:tc>
      </w:tr>
      <w:tr w14:paraId="1E08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140" w:type="dxa"/>
            <w:gridSpan w:val="5"/>
            <w:vAlign w:val="center"/>
          </w:tcPr>
          <w:p w14:paraId="1E8769B3">
            <w:pPr>
              <w:rPr>
                <w:rFonts w:ascii="仿宋_GB2312" w:hAnsi="仿宋_GB2312" w:eastAsia="仿宋_GB2312" w:cs="仿宋_GB2312"/>
                <w:b/>
                <w:bCs/>
                <w:kern w:val="0"/>
              </w:rPr>
            </w:pPr>
            <w:r>
              <w:rPr>
                <w:rFonts w:hint="eastAsia" w:ascii="仿宋_GB2312" w:hAnsi="仿宋_GB2312" w:eastAsia="仿宋_GB2312" w:cs="仿宋_GB2312"/>
                <w:bCs/>
              </w:rPr>
              <w:t>以上资格要求均为必备资格，须提供相关证明文件并加盖响应人公章（如相关证明材料由第三方出具，应有第三方公章），缺少其中任何一项，其响应文件视为无效文件。</w:t>
            </w:r>
          </w:p>
        </w:tc>
      </w:tr>
      <w:tr w14:paraId="1B6C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40" w:type="dxa"/>
            <w:gridSpan w:val="5"/>
            <w:vAlign w:val="center"/>
          </w:tcPr>
          <w:p w14:paraId="763D1FC9">
            <w:pPr>
              <w:rPr>
                <w:rFonts w:ascii="仿宋_GB2312" w:hAnsi="仿宋_GB2312" w:eastAsia="仿宋_GB2312" w:cs="仿宋_GB2312"/>
                <w:b/>
              </w:rPr>
            </w:pPr>
            <w:r>
              <w:rPr>
                <w:rFonts w:hint="eastAsia" w:ascii="仿宋_GB2312" w:hAnsi="仿宋_GB2312" w:eastAsia="仿宋_GB2312" w:cs="仿宋_GB2312"/>
                <w:b/>
                <w:bCs/>
                <w:kern w:val="0"/>
              </w:rPr>
              <w:t>磋商小组成员：（签字或盖章）</w:t>
            </w:r>
          </w:p>
        </w:tc>
      </w:tr>
    </w:tbl>
    <w:p w14:paraId="7748BB56">
      <w:pPr>
        <w:spacing w:line="500" w:lineRule="exact"/>
        <w:rPr>
          <w:rFonts w:ascii="Calibri" w:hAnsi="Calibri"/>
          <w:b/>
          <w:bCs/>
        </w:rPr>
      </w:pPr>
    </w:p>
    <w:p w14:paraId="247979AA">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出现下列情形的，响应文件将被视为无效：</w:t>
      </w:r>
    </w:p>
    <w:p w14:paraId="28E7207B">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（1）不具备磋商文件中规定的资格要求的；</w:t>
      </w:r>
    </w:p>
    <w:p w14:paraId="37AB520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（2）未按磋商文件要求提供资格证明文件原件，或未按磋商文件要求加盖公章的；</w:t>
      </w:r>
    </w:p>
    <w:p w14:paraId="08D2CC0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（3）磋商小组认为供应商的资格证明文件存在疑点，要求供应商现场提供原件，供应商不能在规定时限内提供原件或其所提供的原件无法证实响应文件所附证明文件有效性的。</w:t>
      </w:r>
    </w:p>
    <w:p w14:paraId="1769610B">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资格审查结束后，磋商小组成员应当对审查结果进行签字确认，并告知无效投标供应商资格审查未通过的原因。</w:t>
      </w:r>
    </w:p>
    <w:p w14:paraId="11D9ACE0">
      <w:pPr>
        <w:pStyle w:val="8"/>
        <w:spacing w:after="0"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通过资格审查的供应商不足3家的，不得进行符合性审查。</w:t>
      </w:r>
    </w:p>
    <w:p w14:paraId="47260434">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2、响应文件的符合性审查</w:t>
      </w:r>
    </w:p>
    <w:p w14:paraId="3FF492B8">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磋商小组依据磋商文件的规定，对响应文件的有效性、完整性和对磋商文件的响应程度进行审查，以确定是否对磋商文件的全部实质性要求做出响应。</w:t>
      </w:r>
    </w:p>
    <w:p w14:paraId="5E367CD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磋商小组要审查每份响应文件是否实质上响应了磋商文件的要求。实质上没有响应磋商文件要求的响应文件作无效响应处理，磋商小组要告知有关供应商未通过审查的原因。供应商不得通过修正或撤销不符之处而使其成为实质上响应。</w:t>
      </w:r>
    </w:p>
    <w:p w14:paraId="23469A0F">
      <w:pPr>
        <w:spacing w:line="500" w:lineRule="exact"/>
        <w:ind w:firstLine="566" w:firstLineChars="200"/>
        <w:jc w:val="center"/>
        <w:rPr>
          <w:rFonts w:ascii="仿宋_GB2312" w:hAnsi="仿宋_GB2312" w:eastAsia="仿宋_GB2312" w:cs="仿宋_GB2312"/>
          <w:b/>
          <w:bCs/>
        </w:rPr>
      </w:pPr>
      <w:r>
        <w:rPr>
          <w:rFonts w:hint="eastAsia" w:ascii="仿宋_GB2312" w:hAnsi="仿宋_GB2312" w:eastAsia="仿宋_GB2312" w:cs="仿宋_GB2312"/>
          <w:b/>
          <w:bCs/>
        </w:rPr>
        <w:t>响应文件的符合性审查</w:t>
      </w:r>
    </w:p>
    <w:tbl>
      <w:tblPr>
        <w:tblStyle w:val="21"/>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518"/>
        <w:gridCol w:w="4173"/>
        <w:gridCol w:w="807"/>
        <w:gridCol w:w="1440"/>
      </w:tblGrid>
      <w:tr w14:paraId="3536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shd w:val="clear" w:color="auto" w:fill="D9D9D9"/>
            <w:vAlign w:val="center"/>
          </w:tcPr>
          <w:p w14:paraId="5D5EA130">
            <w:pPr>
              <w:jc w:val="center"/>
              <w:rPr>
                <w:rFonts w:ascii="仿宋_GB2312" w:hAnsi="仿宋_GB2312" w:eastAsia="仿宋_GB2312" w:cs="仿宋_GB2312"/>
                <w:b/>
                <w:bCs/>
                <w:kern w:val="0"/>
              </w:rPr>
            </w:pPr>
            <w:r>
              <w:rPr>
                <w:rFonts w:hint="eastAsia" w:ascii="仿宋_GB2312" w:hAnsi="仿宋_GB2312" w:eastAsia="仿宋_GB2312" w:cs="仿宋_GB2312"/>
                <w:b/>
                <w:bCs/>
                <w:kern w:val="0"/>
              </w:rPr>
              <w:t>序号</w:t>
            </w:r>
          </w:p>
        </w:tc>
        <w:tc>
          <w:tcPr>
            <w:tcW w:w="2518" w:type="dxa"/>
            <w:shd w:val="clear" w:color="auto" w:fill="D9D9D9"/>
            <w:vAlign w:val="center"/>
          </w:tcPr>
          <w:p w14:paraId="210DC9CA">
            <w:pPr>
              <w:jc w:val="center"/>
              <w:rPr>
                <w:rFonts w:ascii="仿宋_GB2312" w:hAnsi="仿宋_GB2312" w:eastAsia="仿宋_GB2312" w:cs="仿宋_GB2312"/>
                <w:b/>
                <w:bCs/>
                <w:kern w:val="0"/>
              </w:rPr>
            </w:pPr>
            <w:r>
              <w:rPr>
                <w:rFonts w:hint="eastAsia" w:ascii="仿宋_GB2312" w:hAnsi="仿宋_GB2312" w:eastAsia="仿宋_GB2312" w:cs="仿宋_GB2312"/>
                <w:b/>
                <w:bCs/>
                <w:kern w:val="0"/>
              </w:rPr>
              <w:t>符合性审查项</w:t>
            </w:r>
          </w:p>
        </w:tc>
        <w:tc>
          <w:tcPr>
            <w:tcW w:w="4173" w:type="dxa"/>
            <w:shd w:val="clear" w:color="auto" w:fill="D9D9D9"/>
            <w:vAlign w:val="center"/>
          </w:tcPr>
          <w:p w14:paraId="7F073CD7">
            <w:pPr>
              <w:jc w:val="center"/>
              <w:rPr>
                <w:rFonts w:ascii="仿宋_GB2312" w:hAnsi="仿宋_GB2312" w:eastAsia="仿宋_GB2312" w:cs="仿宋_GB2312"/>
                <w:b/>
                <w:bCs/>
                <w:kern w:val="0"/>
              </w:rPr>
            </w:pPr>
            <w:r>
              <w:rPr>
                <w:rFonts w:hint="eastAsia" w:ascii="仿宋_GB2312" w:hAnsi="仿宋_GB2312" w:eastAsia="仿宋_GB2312" w:cs="仿宋_GB2312"/>
                <w:b/>
                <w:bCs/>
                <w:kern w:val="0"/>
              </w:rPr>
              <w:t>通过条件</w:t>
            </w:r>
          </w:p>
        </w:tc>
        <w:tc>
          <w:tcPr>
            <w:tcW w:w="807" w:type="dxa"/>
            <w:shd w:val="clear" w:color="auto" w:fill="D9D9D9"/>
            <w:vAlign w:val="center"/>
          </w:tcPr>
          <w:p w14:paraId="4E2957C9">
            <w:pPr>
              <w:jc w:val="center"/>
              <w:rPr>
                <w:rFonts w:ascii="仿宋_GB2312" w:hAnsi="仿宋_GB2312" w:eastAsia="仿宋_GB2312" w:cs="仿宋_GB2312"/>
                <w:b/>
                <w:bCs/>
                <w:kern w:val="0"/>
              </w:rPr>
            </w:pPr>
            <w:r>
              <w:rPr>
                <w:rFonts w:hint="eastAsia" w:ascii="仿宋_GB2312" w:hAnsi="仿宋_GB2312" w:eastAsia="仿宋_GB2312" w:cs="仿宋_GB2312"/>
                <w:b/>
                <w:bCs/>
                <w:kern w:val="0"/>
              </w:rPr>
              <w:t>结论</w:t>
            </w:r>
          </w:p>
        </w:tc>
        <w:tc>
          <w:tcPr>
            <w:tcW w:w="1440" w:type="dxa"/>
            <w:shd w:val="clear" w:color="auto" w:fill="D9D9D9"/>
            <w:vAlign w:val="center"/>
          </w:tcPr>
          <w:p w14:paraId="75FC791B">
            <w:pPr>
              <w:jc w:val="center"/>
              <w:rPr>
                <w:rFonts w:ascii="仿宋_GB2312" w:hAnsi="仿宋_GB2312" w:eastAsia="仿宋_GB2312" w:cs="仿宋_GB2312"/>
                <w:b/>
                <w:bCs/>
                <w:kern w:val="0"/>
              </w:rPr>
            </w:pPr>
            <w:r>
              <w:rPr>
                <w:rFonts w:hint="eastAsia" w:ascii="仿宋_GB2312" w:hAnsi="仿宋_GB2312" w:eastAsia="仿宋_GB2312" w:cs="仿宋_GB2312"/>
                <w:b/>
                <w:bCs/>
                <w:kern w:val="0"/>
              </w:rPr>
              <w:t>未通过原因</w:t>
            </w:r>
          </w:p>
        </w:tc>
      </w:tr>
      <w:tr w14:paraId="562E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9" w:type="dxa"/>
            <w:vAlign w:val="center"/>
          </w:tcPr>
          <w:p w14:paraId="3E89875F">
            <w:pPr>
              <w:jc w:val="center"/>
              <w:rPr>
                <w:rFonts w:ascii="仿宋_GB2312" w:hAnsi="仿宋_GB2312" w:eastAsia="仿宋_GB2312" w:cs="仿宋_GB2312"/>
                <w:bCs/>
                <w:kern w:val="0"/>
              </w:rPr>
            </w:pPr>
            <w:r>
              <w:rPr>
                <w:rFonts w:hint="eastAsia" w:ascii="仿宋_GB2312" w:hAnsi="仿宋_GB2312" w:eastAsia="仿宋_GB2312" w:cs="仿宋_GB2312"/>
                <w:bCs/>
                <w:kern w:val="0"/>
              </w:rPr>
              <w:t>1</w:t>
            </w:r>
          </w:p>
        </w:tc>
        <w:tc>
          <w:tcPr>
            <w:tcW w:w="2518" w:type="dxa"/>
            <w:vAlign w:val="center"/>
          </w:tcPr>
          <w:p w14:paraId="71E96041">
            <w:pPr>
              <w:jc w:val="left"/>
              <w:rPr>
                <w:rFonts w:ascii="仿宋_GB2312" w:hAnsi="仿宋_GB2312" w:eastAsia="仿宋_GB2312" w:cs="仿宋_GB2312"/>
                <w:bCs/>
                <w:kern w:val="0"/>
              </w:rPr>
            </w:pPr>
            <w:r>
              <w:rPr>
                <w:rFonts w:hint="eastAsia" w:ascii="仿宋_GB2312" w:hAnsi="仿宋_GB2312" w:eastAsia="仿宋_GB2312" w:cs="仿宋_GB2312"/>
                <w:bCs/>
                <w:kern w:val="0"/>
              </w:rPr>
              <w:t>响应文件语言及有效期</w:t>
            </w:r>
          </w:p>
        </w:tc>
        <w:tc>
          <w:tcPr>
            <w:tcW w:w="4173" w:type="dxa"/>
            <w:vAlign w:val="center"/>
          </w:tcPr>
          <w:p w14:paraId="3A9D90FD">
            <w:pPr>
              <w:jc w:val="left"/>
              <w:rPr>
                <w:rFonts w:ascii="仿宋_GB2312" w:hAnsi="仿宋_GB2312" w:eastAsia="仿宋_GB2312" w:cs="仿宋_GB2312"/>
              </w:rPr>
            </w:pPr>
            <w:r>
              <w:rPr>
                <w:rFonts w:hint="eastAsia" w:ascii="仿宋_GB2312" w:hAnsi="仿宋_GB2312" w:eastAsia="仿宋_GB2312" w:cs="仿宋_GB2312"/>
              </w:rPr>
              <w:t>响应文件语言</w:t>
            </w:r>
            <w:r>
              <w:rPr>
                <w:rFonts w:hint="eastAsia" w:ascii="仿宋_GB2312" w:hAnsi="仿宋_GB2312" w:eastAsia="仿宋_GB2312" w:cs="仿宋_GB2312"/>
                <w:bCs/>
                <w:kern w:val="0"/>
              </w:rPr>
              <w:t>及有效期</w:t>
            </w:r>
            <w:r>
              <w:rPr>
                <w:rFonts w:hint="eastAsia" w:ascii="仿宋_GB2312" w:hAnsi="仿宋_GB2312" w:eastAsia="仿宋_GB2312" w:cs="仿宋_GB2312"/>
              </w:rPr>
              <w:t>符合磋商文件要求。</w:t>
            </w:r>
          </w:p>
        </w:tc>
        <w:tc>
          <w:tcPr>
            <w:tcW w:w="807" w:type="dxa"/>
            <w:vAlign w:val="center"/>
          </w:tcPr>
          <w:p w14:paraId="6EDB357B">
            <w:pPr>
              <w:jc w:val="center"/>
              <w:rPr>
                <w:rFonts w:ascii="仿宋_GB2312" w:hAnsi="仿宋_GB2312" w:eastAsia="仿宋_GB2312" w:cs="仿宋_GB2312"/>
                <w:b/>
                <w:bCs/>
                <w:kern w:val="0"/>
              </w:rPr>
            </w:pPr>
          </w:p>
        </w:tc>
        <w:tc>
          <w:tcPr>
            <w:tcW w:w="1440" w:type="dxa"/>
            <w:vAlign w:val="center"/>
          </w:tcPr>
          <w:p w14:paraId="514A6923">
            <w:pPr>
              <w:jc w:val="center"/>
              <w:rPr>
                <w:rFonts w:ascii="仿宋_GB2312" w:hAnsi="仿宋_GB2312" w:eastAsia="仿宋_GB2312" w:cs="仿宋_GB2312"/>
                <w:b/>
                <w:bCs/>
                <w:kern w:val="0"/>
              </w:rPr>
            </w:pPr>
          </w:p>
        </w:tc>
      </w:tr>
      <w:tr w14:paraId="2AC6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19" w:type="dxa"/>
            <w:vAlign w:val="center"/>
          </w:tcPr>
          <w:p w14:paraId="53DD2C31">
            <w:pPr>
              <w:jc w:val="center"/>
              <w:rPr>
                <w:rFonts w:ascii="仿宋_GB2312" w:hAnsi="仿宋_GB2312" w:eastAsia="仿宋_GB2312" w:cs="仿宋_GB2312"/>
                <w:bCs/>
                <w:kern w:val="0"/>
              </w:rPr>
            </w:pPr>
            <w:r>
              <w:rPr>
                <w:rFonts w:hint="eastAsia" w:ascii="仿宋_GB2312" w:hAnsi="仿宋_GB2312" w:eastAsia="仿宋_GB2312" w:cs="仿宋_GB2312"/>
                <w:bCs/>
                <w:kern w:val="0"/>
              </w:rPr>
              <w:t>2</w:t>
            </w:r>
          </w:p>
        </w:tc>
        <w:tc>
          <w:tcPr>
            <w:tcW w:w="2518" w:type="dxa"/>
            <w:vAlign w:val="center"/>
          </w:tcPr>
          <w:p w14:paraId="202F51FA">
            <w:pPr>
              <w:jc w:val="left"/>
              <w:rPr>
                <w:rFonts w:ascii="仿宋_GB2312" w:hAnsi="仿宋_GB2312" w:eastAsia="仿宋_GB2312" w:cs="仿宋_GB2312"/>
                <w:bCs/>
                <w:kern w:val="0"/>
              </w:rPr>
            </w:pPr>
            <w:r>
              <w:rPr>
                <w:rFonts w:hint="eastAsia" w:ascii="仿宋_GB2312" w:hAnsi="仿宋_GB2312" w:eastAsia="仿宋_GB2312" w:cs="仿宋_GB2312"/>
                <w:bCs/>
                <w:kern w:val="0"/>
              </w:rPr>
              <w:t>响应文件封面、响应 函、法定代表人授权 委托书三处的项目名 称、项目编号、标段 （如有）</w:t>
            </w:r>
          </w:p>
        </w:tc>
        <w:tc>
          <w:tcPr>
            <w:tcW w:w="4173" w:type="dxa"/>
            <w:vAlign w:val="center"/>
          </w:tcPr>
          <w:p w14:paraId="2D6ED83A">
            <w:pPr>
              <w:jc w:val="left"/>
              <w:rPr>
                <w:rFonts w:ascii="仿宋_GB2312" w:hAnsi="仿宋_GB2312" w:eastAsia="仿宋_GB2312" w:cs="仿宋_GB2312"/>
                <w:bCs/>
                <w:kern w:val="0"/>
              </w:rPr>
            </w:pPr>
            <w:r>
              <w:rPr>
                <w:rFonts w:hint="eastAsia" w:ascii="仿宋_GB2312" w:hAnsi="仿宋_GB2312" w:eastAsia="仿宋_GB2312" w:cs="仿宋_GB2312"/>
                <w:bCs/>
                <w:kern w:val="0"/>
              </w:rPr>
              <w:t>三处均无遗漏，且与所投项目名称、 项目编号、标段（如有）一致。</w:t>
            </w:r>
          </w:p>
        </w:tc>
        <w:tc>
          <w:tcPr>
            <w:tcW w:w="807" w:type="dxa"/>
            <w:vAlign w:val="center"/>
          </w:tcPr>
          <w:p w14:paraId="1DAB6E9C">
            <w:pPr>
              <w:jc w:val="center"/>
              <w:rPr>
                <w:rFonts w:ascii="仿宋_GB2312" w:hAnsi="仿宋_GB2312" w:eastAsia="仿宋_GB2312" w:cs="仿宋_GB2312"/>
                <w:b/>
                <w:bCs/>
                <w:kern w:val="0"/>
              </w:rPr>
            </w:pPr>
          </w:p>
        </w:tc>
        <w:tc>
          <w:tcPr>
            <w:tcW w:w="1440" w:type="dxa"/>
            <w:vAlign w:val="center"/>
          </w:tcPr>
          <w:p w14:paraId="47E8529D">
            <w:pPr>
              <w:jc w:val="center"/>
              <w:rPr>
                <w:rFonts w:ascii="仿宋_GB2312" w:hAnsi="仿宋_GB2312" w:eastAsia="仿宋_GB2312" w:cs="仿宋_GB2312"/>
                <w:b/>
                <w:bCs/>
                <w:kern w:val="0"/>
              </w:rPr>
            </w:pPr>
          </w:p>
        </w:tc>
      </w:tr>
      <w:tr w14:paraId="467A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4001FF3B">
            <w:pPr>
              <w:jc w:val="center"/>
              <w:rPr>
                <w:rFonts w:ascii="仿宋_GB2312" w:hAnsi="仿宋_GB2312" w:eastAsia="仿宋_GB2312" w:cs="仿宋_GB2312"/>
                <w:bCs/>
                <w:kern w:val="0"/>
              </w:rPr>
            </w:pPr>
            <w:r>
              <w:rPr>
                <w:rFonts w:hint="eastAsia" w:ascii="仿宋_GB2312" w:hAnsi="仿宋_GB2312" w:eastAsia="仿宋_GB2312" w:cs="仿宋_GB2312"/>
                <w:bCs/>
                <w:kern w:val="0"/>
              </w:rPr>
              <w:t>3</w:t>
            </w:r>
          </w:p>
        </w:tc>
        <w:tc>
          <w:tcPr>
            <w:tcW w:w="2518" w:type="dxa"/>
            <w:vAlign w:val="center"/>
          </w:tcPr>
          <w:p w14:paraId="6C84D6FD">
            <w:pPr>
              <w:jc w:val="left"/>
              <w:rPr>
                <w:rFonts w:ascii="仿宋_GB2312" w:hAnsi="仿宋_GB2312" w:eastAsia="仿宋_GB2312" w:cs="仿宋_GB2312"/>
                <w:bCs/>
                <w:kern w:val="0"/>
              </w:rPr>
            </w:pPr>
            <w:r>
              <w:rPr>
                <w:rFonts w:hint="eastAsia" w:ascii="仿宋_GB2312" w:hAnsi="仿宋_GB2312" w:eastAsia="仿宋_GB2312" w:cs="仿宋_GB2312"/>
                <w:bCs/>
                <w:kern w:val="0"/>
              </w:rPr>
              <w:t>响应文件签署、盖章</w:t>
            </w:r>
          </w:p>
        </w:tc>
        <w:tc>
          <w:tcPr>
            <w:tcW w:w="4173" w:type="dxa"/>
            <w:vAlign w:val="center"/>
          </w:tcPr>
          <w:p w14:paraId="44933DA0">
            <w:pPr>
              <w:jc w:val="left"/>
              <w:rPr>
                <w:rFonts w:ascii="仿宋_GB2312" w:hAnsi="仿宋_GB2312" w:eastAsia="仿宋_GB2312" w:cs="仿宋_GB2312"/>
                <w:bCs/>
                <w:kern w:val="0"/>
              </w:rPr>
            </w:pPr>
            <w:r>
              <w:rPr>
                <w:rFonts w:hint="eastAsia" w:ascii="仿宋_GB2312" w:hAnsi="仿宋_GB2312" w:eastAsia="仿宋_GB2312" w:cs="仿宋_GB2312"/>
              </w:rPr>
              <w:t>均按磋商文件要求签字、盖章（评分标准中要求提供的证明材料除外）。</w:t>
            </w:r>
          </w:p>
        </w:tc>
        <w:tc>
          <w:tcPr>
            <w:tcW w:w="807" w:type="dxa"/>
            <w:vAlign w:val="center"/>
          </w:tcPr>
          <w:p w14:paraId="618D77DF">
            <w:pPr>
              <w:jc w:val="center"/>
              <w:rPr>
                <w:rFonts w:ascii="仿宋_GB2312" w:hAnsi="仿宋_GB2312" w:eastAsia="仿宋_GB2312" w:cs="仿宋_GB2312"/>
                <w:b/>
                <w:bCs/>
                <w:kern w:val="0"/>
              </w:rPr>
            </w:pPr>
          </w:p>
        </w:tc>
        <w:tc>
          <w:tcPr>
            <w:tcW w:w="1440" w:type="dxa"/>
            <w:vAlign w:val="center"/>
          </w:tcPr>
          <w:p w14:paraId="665D2187">
            <w:pPr>
              <w:jc w:val="center"/>
              <w:rPr>
                <w:rFonts w:ascii="仿宋_GB2312" w:hAnsi="仿宋_GB2312" w:eastAsia="仿宋_GB2312" w:cs="仿宋_GB2312"/>
                <w:b/>
                <w:bCs/>
                <w:kern w:val="0"/>
              </w:rPr>
            </w:pPr>
          </w:p>
        </w:tc>
      </w:tr>
      <w:tr w14:paraId="2E13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421AE96C">
            <w:pPr>
              <w:jc w:val="center"/>
              <w:rPr>
                <w:rFonts w:ascii="仿宋_GB2312" w:hAnsi="仿宋_GB2312" w:eastAsia="仿宋_GB2312" w:cs="仿宋_GB2312"/>
                <w:bCs/>
                <w:kern w:val="0"/>
              </w:rPr>
            </w:pPr>
            <w:r>
              <w:rPr>
                <w:rFonts w:hint="eastAsia" w:ascii="仿宋_GB2312" w:hAnsi="仿宋_GB2312" w:eastAsia="仿宋_GB2312" w:cs="仿宋_GB2312"/>
                <w:bCs/>
                <w:kern w:val="0"/>
              </w:rPr>
              <w:t>4</w:t>
            </w:r>
          </w:p>
        </w:tc>
        <w:tc>
          <w:tcPr>
            <w:tcW w:w="2518" w:type="dxa"/>
            <w:vAlign w:val="center"/>
          </w:tcPr>
          <w:p w14:paraId="5AC0F400">
            <w:pPr>
              <w:jc w:val="left"/>
              <w:rPr>
                <w:rFonts w:ascii="仿宋_GB2312" w:hAnsi="仿宋_GB2312" w:eastAsia="仿宋_GB2312" w:cs="仿宋_GB2312"/>
                <w:bCs/>
                <w:kern w:val="0"/>
              </w:rPr>
            </w:pPr>
            <w:r>
              <w:rPr>
                <w:rFonts w:hint="eastAsia" w:ascii="仿宋_GB2312" w:hAnsi="仿宋_GB2312" w:eastAsia="仿宋_GB2312" w:cs="仿宋_GB2312"/>
                <w:bCs/>
                <w:kern w:val="0"/>
              </w:rPr>
              <w:t>第一次磋商报价表</w:t>
            </w:r>
          </w:p>
        </w:tc>
        <w:tc>
          <w:tcPr>
            <w:tcW w:w="4173" w:type="dxa"/>
          </w:tcPr>
          <w:p w14:paraId="7545BE96">
            <w:pPr>
              <w:rPr>
                <w:rFonts w:ascii="仿宋_GB2312" w:hAnsi="仿宋_GB2312" w:eastAsia="仿宋_GB2312" w:cs="仿宋_GB2312"/>
              </w:rPr>
            </w:pPr>
            <w:r>
              <w:rPr>
                <w:rFonts w:hint="eastAsia" w:ascii="仿宋_GB2312" w:hAnsi="仿宋_GB2312" w:eastAsia="仿宋_GB2312" w:cs="仿宋_GB2312"/>
              </w:rPr>
              <w:t>（1）第一次磋商报价表填写符合要求；</w:t>
            </w:r>
          </w:p>
          <w:p w14:paraId="4163E199">
            <w:pPr>
              <w:rPr>
                <w:rFonts w:ascii="仿宋_GB2312" w:hAnsi="仿宋_GB2312" w:eastAsia="仿宋_GB2312" w:cs="仿宋_GB2312"/>
              </w:rPr>
            </w:pPr>
            <w:r>
              <w:rPr>
                <w:rFonts w:hint="eastAsia" w:ascii="仿宋_GB2312" w:hAnsi="仿宋_GB2312" w:eastAsia="仿宋_GB2312" w:cs="仿宋_GB2312"/>
              </w:rPr>
              <w:t>（2）计量单位、报价货币均符合磋商文件要求；</w:t>
            </w:r>
          </w:p>
          <w:p w14:paraId="6FDD92A2">
            <w:pPr>
              <w:rPr>
                <w:rFonts w:ascii="仿宋_GB2312" w:hAnsi="仿宋_GB2312" w:eastAsia="仿宋_GB2312" w:cs="仿宋_GB2312"/>
              </w:rPr>
            </w:pPr>
            <w:r>
              <w:rPr>
                <w:rFonts w:hint="eastAsia" w:ascii="仿宋_GB2312" w:hAnsi="仿宋_GB2312" w:eastAsia="仿宋_GB2312" w:cs="仿宋_GB2312"/>
              </w:rPr>
              <w:t>（3）第一次磋商报价未超出采购预算或磋商文件规定的最高限价。</w:t>
            </w:r>
          </w:p>
        </w:tc>
        <w:tc>
          <w:tcPr>
            <w:tcW w:w="807" w:type="dxa"/>
            <w:vAlign w:val="center"/>
          </w:tcPr>
          <w:p w14:paraId="4AE39236">
            <w:pPr>
              <w:jc w:val="center"/>
              <w:rPr>
                <w:rFonts w:ascii="仿宋_GB2312" w:hAnsi="仿宋_GB2312" w:eastAsia="仿宋_GB2312" w:cs="仿宋_GB2312"/>
                <w:b/>
                <w:bCs/>
                <w:kern w:val="0"/>
              </w:rPr>
            </w:pPr>
          </w:p>
        </w:tc>
        <w:tc>
          <w:tcPr>
            <w:tcW w:w="1440" w:type="dxa"/>
            <w:vAlign w:val="center"/>
          </w:tcPr>
          <w:p w14:paraId="3CB696EB">
            <w:pPr>
              <w:jc w:val="center"/>
              <w:rPr>
                <w:rFonts w:ascii="仿宋_GB2312" w:hAnsi="仿宋_GB2312" w:eastAsia="仿宋_GB2312" w:cs="仿宋_GB2312"/>
                <w:b/>
                <w:bCs/>
                <w:kern w:val="0"/>
              </w:rPr>
            </w:pPr>
          </w:p>
        </w:tc>
      </w:tr>
      <w:tr w14:paraId="4B55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02CEB203">
            <w:pPr>
              <w:jc w:val="center"/>
              <w:rPr>
                <w:rFonts w:ascii="仿宋_GB2312" w:hAnsi="仿宋_GB2312" w:eastAsia="仿宋_GB2312" w:cs="仿宋_GB2312"/>
                <w:bCs/>
                <w:kern w:val="0"/>
              </w:rPr>
            </w:pPr>
            <w:r>
              <w:rPr>
                <w:rFonts w:hint="eastAsia" w:ascii="仿宋_GB2312" w:hAnsi="仿宋_GB2312" w:eastAsia="仿宋_GB2312" w:cs="仿宋_GB2312"/>
                <w:bCs/>
                <w:kern w:val="0"/>
              </w:rPr>
              <w:t>5</w:t>
            </w:r>
          </w:p>
        </w:tc>
        <w:tc>
          <w:tcPr>
            <w:tcW w:w="2518" w:type="dxa"/>
            <w:vAlign w:val="center"/>
          </w:tcPr>
          <w:p w14:paraId="76A88035">
            <w:pPr>
              <w:rPr>
                <w:rFonts w:ascii="仿宋_GB2312" w:hAnsi="仿宋_GB2312" w:eastAsia="仿宋_GB2312" w:cs="仿宋_GB2312"/>
              </w:rPr>
            </w:pPr>
            <w:r>
              <w:rPr>
                <w:rFonts w:hint="eastAsia" w:ascii="仿宋_GB2312" w:hAnsi="仿宋_GB2312" w:eastAsia="仿宋_GB2312" w:cs="仿宋_GB2312"/>
              </w:rPr>
              <w:t>响应文件完整性</w:t>
            </w:r>
          </w:p>
        </w:tc>
        <w:tc>
          <w:tcPr>
            <w:tcW w:w="4173" w:type="dxa"/>
            <w:vAlign w:val="center"/>
          </w:tcPr>
          <w:p w14:paraId="3F382587">
            <w:pPr>
              <w:jc w:val="left"/>
              <w:rPr>
                <w:rFonts w:ascii="仿宋_GB2312" w:hAnsi="仿宋_GB2312" w:eastAsia="仿宋_GB2312" w:cs="仿宋_GB2312"/>
              </w:rPr>
            </w:pPr>
            <w:r>
              <w:rPr>
                <w:rFonts w:hint="eastAsia" w:ascii="仿宋_GB2312" w:hAnsi="仿宋_GB2312" w:eastAsia="仿宋_GB2312" w:cs="仿宋_GB2312"/>
              </w:rPr>
              <w:t>响应文件按照磋商文件要求编制，三部分内容齐全，无重大缺漏项。</w:t>
            </w:r>
          </w:p>
        </w:tc>
        <w:tc>
          <w:tcPr>
            <w:tcW w:w="807" w:type="dxa"/>
            <w:vAlign w:val="center"/>
          </w:tcPr>
          <w:p w14:paraId="5566E007">
            <w:pPr>
              <w:jc w:val="center"/>
              <w:rPr>
                <w:rFonts w:ascii="仿宋_GB2312" w:hAnsi="仿宋_GB2312" w:eastAsia="仿宋_GB2312" w:cs="仿宋_GB2312"/>
                <w:b/>
                <w:bCs/>
                <w:kern w:val="0"/>
              </w:rPr>
            </w:pPr>
          </w:p>
        </w:tc>
        <w:tc>
          <w:tcPr>
            <w:tcW w:w="1440" w:type="dxa"/>
            <w:vAlign w:val="center"/>
          </w:tcPr>
          <w:p w14:paraId="5CBD7533">
            <w:pPr>
              <w:jc w:val="center"/>
              <w:rPr>
                <w:rFonts w:ascii="仿宋_GB2312" w:hAnsi="仿宋_GB2312" w:eastAsia="仿宋_GB2312" w:cs="仿宋_GB2312"/>
                <w:b/>
                <w:bCs/>
                <w:kern w:val="0"/>
              </w:rPr>
            </w:pPr>
          </w:p>
        </w:tc>
      </w:tr>
      <w:tr w14:paraId="2B1C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1494840D">
            <w:pPr>
              <w:jc w:val="center"/>
              <w:rPr>
                <w:rFonts w:ascii="仿宋_GB2312" w:hAnsi="仿宋_GB2312" w:eastAsia="仿宋_GB2312" w:cs="仿宋_GB2312"/>
                <w:bCs/>
                <w:kern w:val="0"/>
              </w:rPr>
            </w:pPr>
            <w:r>
              <w:rPr>
                <w:rFonts w:hint="eastAsia" w:ascii="仿宋_GB2312" w:hAnsi="仿宋_GB2312" w:eastAsia="仿宋_GB2312" w:cs="仿宋_GB2312"/>
                <w:bCs/>
                <w:kern w:val="0"/>
              </w:rPr>
              <w:t>6</w:t>
            </w:r>
          </w:p>
        </w:tc>
        <w:tc>
          <w:tcPr>
            <w:tcW w:w="2518" w:type="dxa"/>
            <w:vAlign w:val="center"/>
          </w:tcPr>
          <w:p w14:paraId="635E3CF9">
            <w:pPr>
              <w:rPr>
                <w:rFonts w:ascii="仿宋_GB2312" w:hAnsi="仿宋_GB2312" w:eastAsia="仿宋_GB2312" w:cs="仿宋_GB2312"/>
                <w:bCs/>
                <w:kern w:val="0"/>
              </w:rPr>
            </w:pPr>
            <w:r>
              <w:rPr>
                <w:rFonts w:hint="eastAsia" w:ascii="仿宋_GB2312" w:hAnsi="仿宋_GB2312" w:eastAsia="仿宋_GB2312" w:cs="仿宋_GB2312"/>
              </w:rPr>
              <w:t>技术服务要求</w:t>
            </w:r>
          </w:p>
        </w:tc>
        <w:tc>
          <w:tcPr>
            <w:tcW w:w="4173" w:type="dxa"/>
            <w:vAlign w:val="center"/>
          </w:tcPr>
          <w:p w14:paraId="1C067EEC">
            <w:pPr>
              <w:jc w:val="left"/>
              <w:rPr>
                <w:rFonts w:ascii="仿宋_GB2312" w:hAnsi="仿宋_GB2312" w:eastAsia="仿宋_GB2312" w:cs="仿宋_GB2312"/>
                <w:bCs/>
                <w:kern w:val="0"/>
              </w:rPr>
            </w:pPr>
            <w:r>
              <w:rPr>
                <w:rFonts w:hint="eastAsia" w:ascii="仿宋_GB2312" w:hAnsi="仿宋_GB2312" w:eastAsia="仿宋_GB2312" w:cs="仿宋_GB2312"/>
              </w:rPr>
              <w:t>完全理解并接受对合格供应商、合格的货物、工程或服务要求，根据响应文件中《技术服务偏差表》第三章“★”标识的实质性要求没有负偏离。</w:t>
            </w:r>
          </w:p>
        </w:tc>
        <w:tc>
          <w:tcPr>
            <w:tcW w:w="807" w:type="dxa"/>
            <w:vAlign w:val="center"/>
          </w:tcPr>
          <w:p w14:paraId="135833F5">
            <w:pPr>
              <w:jc w:val="center"/>
              <w:rPr>
                <w:rFonts w:ascii="仿宋_GB2312" w:hAnsi="仿宋_GB2312" w:eastAsia="仿宋_GB2312" w:cs="仿宋_GB2312"/>
                <w:b/>
                <w:bCs/>
                <w:kern w:val="0"/>
              </w:rPr>
            </w:pPr>
          </w:p>
        </w:tc>
        <w:tc>
          <w:tcPr>
            <w:tcW w:w="1440" w:type="dxa"/>
            <w:vAlign w:val="center"/>
          </w:tcPr>
          <w:p w14:paraId="02C5D484">
            <w:pPr>
              <w:jc w:val="center"/>
              <w:rPr>
                <w:rFonts w:ascii="仿宋_GB2312" w:hAnsi="仿宋_GB2312" w:eastAsia="仿宋_GB2312" w:cs="仿宋_GB2312"/>
                <w:b/>
                <w:bCs/>
                <w:kern w:val="0"/>
              </w:rPr>
            </w:pPr>
          </w:p>
        </w:tc>
      </w:tr>
      <w:tr w14:paraId="3F0B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43ED85A6">
            <w:pPr>
              <w:jc w:val="center"/>
              <w:rPr>
                <w:rFonts w:ascii="仿宋_GB2312" w:hAnsi="仿宋_GB2312" w:eastAsia="仿宋_GB2312" w:cs="仿宋_GB2312"/>
                <w:bCs/>
                <w:kern w:val="0"/>
              </w:rPr>
            </w:pPr>
            <w:r>
              <w:rPr>
                <w:rFonts w:hint="eastAsia" w:ascii="仿宋_GB2312" w:hAnsi="仿宋_GB2312" w:eastAsia="仿宋_GB2312" w:cs="仿宋_GB2312"/>
                <w:bCs/>
                <w:kern w:val="0"/>
              </w:rPr>
              <w:t>7</w:t>
            </w:r>
          </w:p>
        </w:tc>
        <w:tc>
          <w:tcPr>
            <w:tcW w:w="2518" w:type="dxa"/>
            <w:vAlign w:val="center"/>
          </w:tcPr>
          <w:p w14:paraId="768450F7">
            <w:pPr>
              <w:jc w:val="left"/>
              <w:rPr>
                <w:rFonts w:ascii="仿宋_GB2312" w:hAnsi="仿宋_GB2312" w:eastAsia="仿宋_GB2312" w:cs="仿宋_GB2312"/>
              </w:rPr>
            </w:pPr>
            <w:r>
              <w:rPr>
                <w:rFonts w:hint="eastAsia" w:ascii="仿宋_GB2312" w:hAnsi="仿宋_GB2312" w:eastAsia="仿宋_GB2312" w:cs="仿宋_GB2312"/>
              </w:rPr>
              <w:t>合同草案响应</w:t>
            </w:r>
          </w:p>
        </w:tc>
        <w:tc>
          <w:tcPr>
            <w:tcW w:w="4173" w:type="dxa"/>
            <w:vAlign w:val="center"/>
          </w:tcPr>
          <w:p w14:paraId="778A3E84">
            <w:pPr>
              <w:jc w:val="left"/>
              <w:rPr>
                <w:rFonts w:ascii="仿宋_GB2312" w:hAnsi="仿宋_GB2312" w:eastAsia="仿宋_GB2312" w:cs="仿宋_GB2312"/>
              </w:rPr>
            </w:pPr>
            <w:r>
              <w:rPr>
                <w:rFonts w:hint="eastAsia" w:ascii="仿宋_GB2312" w:hAnsi="仿宋_GB2312" w:eastAsia="仿宋_GB2312" w:cs="仿宋_GB2312"/>
              </w:rPr>
              <w:t>有完全理解并接受磋商文件合同草案 条款要求的描述。</w:t>
            </w:r>
          </w:p>
        </w:tc>
        <w:tc>
          <w:tcPr>
            <w:tcW w:w="807" w:type="dxa"/>
            <w:vAlign w:val="center"/>
          </w:tcPr>
          <w:p w14:paraId="51806630">
            <w:pPr>
              <w:jc w:val="center"/>
              <w:rPr>
                <w:rFonts w:ascii="仿宋_GB2312" w:hAnsi="仿宋_GB2312" w:eastAsia="仿宋_GB2312" w:cs="仿宋_GB2312"/>
                <w:b/>
                <w:bCs/>
                <w:kern w:val="0"/>
              </w:rPr>
            </w:pPr>
          </w:p>
        </w:tc>
        <w:tc>
          <w:tcPr>
            <w:tcW w:w="1440" w:type="dxa"/>
            <w:vAlign w:val="center"/>
          </w:tcPr>
          <w:p w14:paraId="32D7C6F8">
            <w:pPr>
              <w:jc w:val="center"/>
              <w:rPr>
                <w:rFonts w:ascii="仿宋_GB2312" w:hAnsi="仿宋_GB2312" w:eastAsia="仿宋_GB2312" w:cs="仿宋_GB2312"/>
                <w:b/>
                <w:bCs/>
                <w:kern w:val="0"/>
              </w:rPr>
            </w:pPr>
          </w:p>
        </w:tc>
      </w:tr>
      <w:tr w14:paraId="10D9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6F3453BC">
            <w:pPr>
              <w:jc w:val="center"/>
              <w:rPr>
                <w:rFonts w:ascii="仿宋_GB2312" w:hAnsi="仿宋_GB2312" w:eastAsia="仿宋_GB2312" w:cs="仿宋_GB2312"/>
                <w:bCs/>
                <w:kern w:val="0"/>
              </w:rPr>
            </w:pPr>
            <w:r>
              <w:rPr>
                <w:rFonts w:hint="eastAsia" w:ascii="仿宋_GB2312" w:hAnsi="仿宋_GB2312" w:eastAsia="仿宋_GB2312" w:cs="仿宋_GB2312"/>
                <w:bCs/>
                <w:kern w:val="0"/>
              </w:rPr>
              <w:t>8</w:t>
            </w:r>
          </w:p>
        </w:tc>
        <w:tc>
          <w:tcPr>
            <w:tcW w:w="2518" w:type="dxa"/>
            <w:vAlign w:val="center"/>
          </w:tcPr>
          <w:p w14:paraId="3118B384">
            <w:pPr>
              <w:jc w:val="left"/>
              <w:rPr>
                <w:rFonts w:ascii="仿宋_GB2312" w:hAnsi="仿宋_GB2312" w:eastAsia="仿宋_GB2312" w:cs="仿宋_GB2312"/>
              </w:rPr>
            </w:pPr>
            <w:r>
              <w:rPr>
                <w:rFonts w:hint="eastAsia" w:ascii="仿宋_GB2312" w:hAnsi="仿宋_GB2312" w:eastAsia="仿宋_GB2312" w:cs="仿宋_GB2312"/>
              </w:rPr>
              <w:t>供应商承诺书</w:t>
            </w:r>
          </w:p>
        </w:tc>
        <w:tc>
          <w:tcPr>
            <w:tcW w:w="4173" w:type="dxa"/>
            <w:vAlign w:val="center"/>
          </w:tcPr>
          <w:p w14:paraId="2F2F488C">
            <w:pPr>
              <w:jc w:val="left"/>
              <w:rPr>
                <w:rFonts w:ascii="仿宋_GB2312" w:hAnsi="仿宋_GB2312" w:eastAsia="仿宋_GB2312" w:cs="仿宋_GB2312"/>
              </w:rPr>
            </w:pPr>
            <w:r>
              <w:rPr>
                <w:rFonts w:hint="eastAsia" w:ascii="仿宋_GB2312" w:hAnsi="仿宋_GB2312" w:eastAsia="仿宋_GB2312" w:cs="仿宋_GB2312"/>
              </w:rPr>
              <w:t>完全理解并填写《拒绝政府采购领域商业贿赂承诺书》。</w:t>
            </w:r>
          </w:p>
        </w:tc>
        <w:tc>
          <w:tcPr>
            <w:tcW w:w="807" w:type="dxa"/>
            <w:vAlign w:val="center"/>
          </w:tcPr>
          <w:p w14:paraId="3CF03643">
            <w:pPr>
              <w:jc w:val="center"/>
              <w:rPr>
                <w:rFonts w:ascii="仿宋_GB2312" w:hAnsi="仿宋_GB2312" w:eastAsia="仿宋_GB2312" w:cs="仿宋_GB2312"/>
                <w:b/>
                <w:bCs/>
                <w:kern w:val="0"/>
              </w:rPr>
            </w:pPr>
          </w:p>
        </w:tc>
        <w:tc>
          <w:tcPr>
            <w:tcW w:w="1440" w:type="dxa"/>
            <w:vAlign w:val="center"/>
          </w:tcPr>
          <w:p w14:paraId="10CDF14A">
            <w:pPr>
              <w:jc w:val="center"/>
              <w:rPr>
                <w:rFonts w:ascii="仿宋_GB2312" w:hAnsi="仿宋_GB2312" w:eastAsia="仿宋_GB2312" w:cs="仿宋_GB2312"/>
                <w:b/>
                <w:bCs/>
                <w:kern w:val="0"/>
              </w:rPr>
            </w:pPr>
          </w:p>
        </w:tc>
      </w:tr>
      <w:tr w14:paraId="6C53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64E81DBE">
            <w:pPr>
              <w:jc w:val="center"/>
              <w:rPr>
                <w:rFonts w:ascii="仿宋_GB2312" w:hAnsi="仿宋_GB2312" w:eastAsia="仿宋_GB2312" w:cs="仿宋_GB2312"/>
                <w:bCs/>
                <w:kern w:val="0"/>
              </w:rPr>
            </w:pPr>
            <w:r>
              <w:rPr>
                <w:rFonts w:hint="eastAsia" w:ascii="仿宋_GB2312" w:hAnsi="仿宋_GB2312" w:eastAsia="仿宋_GB2312" w:cs="仿宋_GB2312"/>
                <w:bCs/>
                <w:kern w:val="0"/>
              </w:rPr>
              <w:t>9</w:t>
            </w:r>
          </w:p>
        </w:tc>
        <w:tc>
          <w:tcPr>
            <w:tcW w:w="2518" w:type="dxa"/>
            <w:vAlign w:val="center"/>
          </w:tcPr>
          <w:p w14:paraId="24036B80">
            <w:pPr>
              <w:jc w:val="left"/>
              <w:rPr>
                <w:rFonts w:ascii="仿宋_GB2312" w:hAnsi="仿宋_GB2312" w:eastAsia="仿宋_GB2312" w:cs="仿宋_GB2312"/>
                <w:bCs/>
                <w:kern w:val="0"/>
              </w:rPr>
            </w:pPr>
            <w:r>
              <w:rPr>
                <w:rFonts w:hint="eastAsia" w:ascii="仿宋_GB2312" w:hAnsi="仿宋_GB2312" w:eastAsia="仿宋_GB2312" w:cs="仿宋_GB2312"/>
              </w:rPr>
              <w:t>无其他磋商文件或法规明确规定响应无效的事项</w:t>
            </w:r>
          </w:p>
        </w:tc>
        <w:tc>
          <w:tcPr>
            <w:tcW w:w="4173" w:type="dxa"/>
            <w:vAlign w:val="center"/>
          </w:tcPr>
          <w:p w14:paraId="7F9045C2">
            <w:pPr>
              <w:jc w:val="left"/>
              <w:rPr>
                <w:rFonts w:ascii="仿宋_GB2312" w:hAnsi="仿宋_GB2312" w:eastAsia="仿宋_GB2312" w:cs="仿宋_GB2312"/>
                <w:bCs/>
                <w:kern w:val="0"/>
              </w:rPr>
            </w:pPr>
            <w:r>
              <w:rPr>
                <w:rFonts w:hint="eastAsia" w:ascii="仿宋_GB2312" w:hAnsi="仿宋_GB2312" w:eastAsia="仿宋_GB2312" w:cs="仿宋_GB2312"/>
              </w:rPr>
              <w:t>没有不符合磋商文件规定的被视为无效响应的其他条款。</w:t>
            </w:r>
          </w:p>
        </w:tc>
        <w:tc>
          <w:tcPr>
            <w:tcW w:w="807" w:type="dxa"/>
            <w:vAlign w:val="center"/>
          </w:tcPr>
          <w:p w14:paraId="4A474B2E">
            <w:pPr>
              <w:jc w:val="center"/>
              <w:rPr>
                <w:rFonts w:ascii="仿宋_GB2312" w:hAnsi="仿宋_GB2312" w:eastAsia="仿宋_GB2312" w:cs="仿宋_GB2312"/>
                <w:b/>
                <w:bCs/>
                <w:kern w:val="0"/>
              </w:rPr>
            </w:pPr>
          </w:p>
        </w:tc>
        <w:tc>
          <w:tcPr>
            <w:tcW w:w="1440" w:type="dxa"/>
            <w:vAlign w:val="center"/>
          </w:tcPr>
          <w:p w14:paraId="7ADA554E">
            <w:pPr>
              <w:jc w:val="center"/>
              <w:rPr>
                <w:rFonts w:ascii="仿宋_GB2312" w:hAnsi="仿宋_GB2312" w:eastAsia="仿宋_GB2312" w:cs="仿宋_GB2312"/>
                <w:b/>
                <w:bCs/>
                <w:kern w:val="0"/>
              </w:rPr>
            </w:pPr>
          </w:p>
        </w:tc>
      </w:tr>
      <w:tr w14:paraId="1DAE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7" w:type="dxa"/>
            <w:gridSpan w:val="5"/>
            <w:vAlign w:val="center"/>
          </w:tcPr>
          <w:p w14:paraId="28D8FDA6">
            <w:pPr>
              <w:rPr>
                <w:rFonts w:ascii="仿宋_GB2312" w:hAnsi="仿宋_GB2312" w:eastAsia="仿宋_GB2312" w:cs="仿宋_GB2312"/>
                <w:b/>
                <w:bCs/>
                <w:kern w:val="0"/>
              </w:rPr>
            </w:pPr>
            <w:r>
              <w:rPr>
                <w:rFonts w:hint="eastAsia" w:ascii="仿宋_GB2312" w:hAnsi="仿宋_GB2312" w:eastAsia="仿宋_GB2312" w:cs="仿宋_GB2312"/>
                <w:b/>
                <w:bCs/>
                <w:kern w:val="0"/>
              </w:rPr>
              <w:t>磋商小组成员：（签字或盖章）</w:t>
            </w:r>
          </w:p>
        </w:tc>
      </w:tr>
    </w:tbl>
    <w:p w14:paraId="3289D70D">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3、响应文件的澄清</w:t>
      </w:r>
    </w:p>
    <w:p w14:paraId="069590A6">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（1）磋商小组在对响应文件的有效性、完整性和响应程度进行审查时，可以要求供应商对响应文件中含义不明确、同类问题表述不一致或者有明显文字和计算错误的内容等做出必要的澄清、说明或者更正。</w:t>
      </w:r>
    </w:p>
    <w:p w14:paraId="5C7FC82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（2）依照《中华人民共和国民法典》中的过失责任原则，澄清、说明 或更正前磋商小组将按最不利于参与本次磋商供应商的原则对响应文件做 出评判。</w:t>
      </w:r>
    </w:p>
    <w:p w14:paraId="5298E94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磋商小组要求供应商澄清、说明或者更正响应文件应通过电子交易平台或电子邮件等书面形式做出。供应商应当在规定的澄清时限内通过公共资源交易平台（以下简称“平台”）或电子邮件（在平台无法支持的情况下）等书面形式提交，通过电子邮件提交的澄清、说明或者更正应当由法定代表人或其授权代表签字或者加盖公章。</w:t>
      </w:r>
    </w:p>
    <w:p w14:paraId="5EE14D08">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（4）供应商的澄清、说明或者更正不得超出响应文件的范围或者改变响应文件的实质性内容。澄清、说明或者更正的内容将作为</w:t>
      </w:r>
      <w:r>
        <w:rPr>
          <w:rFonts w:hint="eastAsia" w:ascii="仿宋_GB2312" w:hAnsi="仿宋_GB2312" w:eastAsia="仿宋_GB2312" w:cs="仿宋_GB2312"/>
          <w:kern w:val="0"/>
        </w:rPr>
        <w:t>合同</w:t>
      </w:r>
      <w:r>
        <w:rPr>
          <w:rFonts w:hint="eastAsia" w:ascii="仿宋_GB2312" w:hAnsi="仿宋_GB2312" w:eastAsia="仿宋_GB2312" w:cs="仿宋_GB2312"/>
        </w:rPr>
        <w:t>履行的重要依据。</w:t>
      </w:r>
    </w:p>
    <w:p w14:paraId="36DF46BE">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除采用竞争性磋商方式采购的政府购买服务项目、市场竞争不充分的 科研项目以及需要扶持的科技成果转化项目外，通过符合性审查的供应商 不足3家的，不得进行后续磋商活动，应予以终止。</w:t>
      </w:r>
    </w:p>
    <w:p w14:paraId="7BCCCD06">
      <w:pPr>
        <w:spacing w:line="500" w:lineRule="exact"/>
        <w:ind w:firstLine="566" w:firstLineChars="200"/>
        <w:contextualSpacing/>
        <w:rPr>
          <w:rFonts w:ascii="仿宋_GB2312" w:hAnsi="仿宋_GB2312" w:eastAsia="仿宋_GB2312" w:cs="仿宋_GB2312"/>
          <w:b/>
        </w:rPr>
      </w:pPr>
      <w:r>
        <w:rPr>
          <w:rFonts w:hint="eastAsia" w:ascii="仿宋_GB2312" w:hAnsi="仿宋_GB2312" w:eastAsia="仿宋_GB2312" w:cs="仿宋_GB2312"/>
          <w:b/>
        </w:rPr>
        <w:t>4、进行磋商</w:t>
      </w:r>
    </w:p>
    <w:p w14:paraId="38C5176D">
      <w:pPr>
        <w:spacing w:line="500" w:lineRule="exact"/>
        <w:ind w:firstLine="566" w:firstLineChars="200"/>
        <w:contextualSpacing/>
        <w:rPr>
          <w:rFonts w:ascii="仿宋_GB2312" w:hAnsi="仿宋_GB2312" w:eastAsia="仿宋_GB2312" w:cs="仿宋_GB2312"/>
          <w:bCs/>
        </w:rPr>
      </w:pPr>
      <w:r>
        <w:rPr>
          <w:rFonts w:hint="eastAsia" w:ascii="仿宋_GB2312" w:hAnsi="仿宋_GB2312" w:eastAsia="仿宋_GB2312" w:cs="仿宋_GB2312"/>
          <w:bCs/>
        </w:rPr>
        <w:t>磋商小组所有成员应当集中与单一供应商分别进行磋商，并给予所有参加磋商的供应商平等的磋商机会。需要供应商书面答复磋商内容的，供应商应当按照磋商小组的要求，在磋商小组规定的时限内通过全国公共资源交易平台（汉中市）（sxggzyjy.hanzhong.gov.cn）（以下简称“平台”）〖首页·〉电子交易平台·〉企业端·〉我的项目·〉项目流程·〉澄清答复〗或电子邮件（在平台无法支持的情况下）等书面形式答复磋商的内容，通过电子邮件答复的内容应当由法定代表人或其授权代表签字或者加盖公章。</w:t>
      </w:r>
    </w:p>
    <w:p w14:paraId="7DBEAF61">
      <w:pPr>
        <w:spacing w:line="500" w:lineRule="exact"/>
        <w:ind w:firstLine="566" w:firstLineChars="200"/>
        <w:contextualSpacing/>
        <w:rPr>
          <w:rFonts w:ascii="仿宋_GB2312" w:hAnsi="仿宋_GB2312" w:eastAsia="仿宋_GB2312" w:cs="仿宋_GB2312"/>
          <w:b/>
        </w:rPr>
      </w:pPr>
      <w:r>
        <w:rPr>
          <w:rFonts w:hint="eastAsia" w:ascii="仿宋_GB2312" w:hAnsi="仿宋_GB2312" w:eastAsia="仿宋_GB2312" w:cs="仿宋_GB2312"/>
          <w:b/>
        </w:rPr>
        <w:t>5、磋商文件的实质性变更</w:t>
      </w:r>
    </w:p>
    <w:p w14:paraId="21512BAD">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（1）在磋商过程中，磋商小组可以根据磋商文件和磋商情况实质性变动采购需求中的技术、服务要求以及合同草案条款，但不得变动磋商文件中的其他内容。实质性变动的内容，须经采购人代表确认。</w:t>
      </w:r>
    </w:p>
    <w:p w14:paraId="234A0D99">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（2）实质性变动不得改变原标的物，且应遵循有利于采购活动顺利实施的原则，当出现下列情形时，可实质性变动：</w:t>
      </w:r>
    </w:p>
    <w:p w14:paraId="73391EA7">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①当磋商小组发现磋商文件有明显错误、自相矛盾时，可通过实质性变动纠正错误，且应尽可能保证该变动不会排除各参与供应商；</w:t>
      </w:r>
    </w:p>
    <w:p w14:paraId="3D0B3656">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②当进入最后报价环节的供应商不足3家时，可通过实质性变动实现不少于3家供应商提交最后报价，但不得通过实质性变动将原本进入最后报价环节的供应商排除在外。</w:t>
      </w:r>
    </w:p>
    <w:p w14:paraId="14265683">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（3）对磋商文件作出的实质性变动是磋商文件的有效组成部分，磋商小组将通过公共资源交易平台（以下简称“平台”）或电子邮件（在平台无法支持的情况下）等书面形式通知所有参加磋商的供应商。</w:t>
      </w:r>
    </w:p>
    <w:p w14:paraId="08A41F3E">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（4）供应商应当按照磋商文件的变动情况和磋商小组的要求，在磋商 小组规定的时限内重新提交响应文件，并用数字认证证书（CA 锁）签章或 由法定代表人或其授权代表签字或者加盖公章。</w:t>
      </w:r>
    </w:p>
    <w:p w14:paraId="27067EC5">
      <w:pPr>
        <w:pStyle w:val="20"/>
        <w:spacing w:line="500" w:lineRule="exact"/>
        <w:ind w:firstLine="566"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（5）供应商未能在规定的时间内按照磋商小组的要求通过公共资源交易平台（以下简称“平台”）或电子邮件（在平台无法支持的情况下）等书面形式提交实质性变更响应文件的，视作未实质性响应。</w:t>
      </w:r>
    </w:p>
    <w:p w14:paraId="09180F85">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b/>
        </w:rPr>
        <w:t>6、最后报价</w:t>
      </w:r>
    </w:p>
    <w:p w14:paraId="348FF0E8">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（1）磋商文件能够详细列明采购标的的技术、服务要求的，磋商结束 后，磋商小组应当要求所有实质性响应的供应商在规定时间内提交最后报 价，提交最后报价的供应商不得少于3家。</w:t>
      </w:r>
    </w:p>
    <w:p w14:paraId="574B4BA7">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（2）磋商文件不能详细列明采购标的的技术、服务要求，需经磋商由 供应商提供最终设计方案或解决方案的，磋商结束后，磋商小组应当按照 少数服从多数的原则投票推荐3家以上供应商的设计方案或者解决方案， 并要求其在规定时间内提交最后报价。</w:t>
      </w:r>
    </w:p>
    <w:p w14:paraId="5106944A">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（3）最后报价是供应商响应文件的有效组成部分。符合《政府采购竞 争性磋商采购方式管理暂行办法》第三条第四项情形的，即市场竞争不充 分的科研项目，以及需要扶持的科技成果转化项目，提交最后报价的供应 商可以为 2 家。根据《财政部关于政府采购竞争性磋商采购方式管理暂行 办法有关问题的补充通知》（财库〔2015〕124号），采购的政府购买服务项目（含政府和社会资本合作项目），在采购过程中符合要求的供应商 （社会资本）只有2家的，竞争性磋商采购活动可以继续进行。</w:t>
      </w:r>
    </w:p>
    <w:p w14:paraId="779572A6">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4）供应商要在全国公共资源交易平台（汉中市）（sxggzyjy.hanzhong.gov.cn）（以下简称“平台”）〖首页·〉电子交易平台·〉企业端·〉我的项目·〉项目流程·〉网上报价〗中提交最后报价，并用数字认证证书（CA锁）签章。平台系统无法使用时，供应商要以书面形式提交最后报价。最后报价表应由其法定代表人或被授权代表签字或者加盖公章。最后报价将作为综合评分法中价格分的计算依据。</w:t>
      </w:r>
    </w:p>
    <w:p w14:paraId="6BE3FBE6">
      <w:pPr>
        <w:spacing w:line="500" w:lineRule="exact"/>
        <w:ind w:firstLine="566" w:firstLineChars="200"/>
        <w:contextualSpacing/>
        <w:rPr>
          <w:rFonts w:ascii="仿宋_GB2312" w:hAnsi="仿宋_GB2312" w:eastAsia="仿宋_GB2312" w:cs="仿宋_GB2312"/>
        </w:rPr>
      </w:pPr>
      <w:r>
        <w:rPr>
          <w:rFonts w:hint="eastAsia" w:ascii="仿宋_GB2312" w:hAnsi="仿宋_GB2312" w:eastAsia="仿宋_GB2312" w:cs="仿宋_GB2312"/>
        </w:rPr>
        <w:t>（5）已提交响应文件的供应商，在提交最后报价之前，可以根据磋商 情况书面申请退出磋商，书面申请应由其法定代表人或被授权代表签字或 者加盖公章。</w:t>
      </w:r>
    </w:p>
    <w:p w14:paraId="2EE0E2D3">
      <w:pPr>
        <w:spacing w:line="500" w:lineRule="exact"/>
        <w:ind w:firstLine="566" w:firstLineChars="200"/>
        <w:contextualSpacing/>
        <w:rPr>
          <w:rFonts w:ascii="仿宋_GB2312" w:hAnsi="仿宋_GB2312" w:eastAsia="仿宋_GB2312" w:cs="仿宋_GB2312"/>
          <w:b/>
          <w:bCs/>
          <w:u w:val="double"/>
        </w:rPr>
      </w:pPr>
      <w:r>
        <w:rPr>
          <w:rFonts w:hint="eastAsia" w:ascii="仿宋_GB2312" w:hAnsi="仿宋_GB2312" w:eastAsia="仿宋_GB2312" w:cs="仿宋_GB2312"/>
        </w:rPr>
        <w:t>（6）磋商小组认为供应商的报价明显低于其他通过符合性和响应性审查供应商的报价，有可能影响工程、货物、服务质量或者不能诚信履约的，要求供应商在规定时间内通过公共资源交易平台（以下简称“平台”）或电子邮件（在平台无法支持的情况下）等书面形式提供说明（必要时提交相关证明材料），供应商不能证明其报价合理性的，按无效响应处理。</w:t>
      </w:r>
    </w:p>
    <w:p w14:paraId="3F2E2F0E">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7、综合比较与评价</w:t>
      </w:r>
    </w:p>
    <w:p w14:paraId="318D017D">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rPr>
        <w:t>经磋商确定最终采购需求和提交最后报价的供应商后，由磋商小组按“评审要素及分值一览表”中规定的评审方法和标准，对提交最后报价的供应商的响应文件和最后报价进行综合评分。</w:t>
      </w:r>
    </w:p>
    <w:p w14:paraId="7F67F4B6">
      <w:pPr>
        <w:spacing w:line="500" w:lineRule="exact"/>
        <w:ind w:firstLine="566" w:firstLineChars="200"/>
        <w:contextualSpacing/>
        <w:rPr>
          <w:rFonts w:ascii="仿宋_GB2312" w:hAnsi="仿宋_GB2312" w:eastAsia="仿宋_GB2312" w:cs="仿宋_GB2312"/>
          <w:b/>
          <w:bCs/>
          <w:u w:val="double"/>
        </w:rPr>
      </w:pPr>
      <w:r>
        <w:rPr>
          <w:rFonts w:hint="eastAsia" w:ascii="仿宋_GB2312" w:hAnsi="仿宋_GB2312" w:eastAsia="仿宋_GB2312" w:cs="仿宋_GB2312"/>
        </w:rPr>
        <w:t>评审时，磋商小组各成员应当独立对每个有效响应的文件进行评价、打分，然后汇总每个供应商每项评审因素的得分。</w:t>
      </w:r>
    </w:p>
    <w:p w14:paraId="5CB3BA31">
      <w:pPr>
        <w:spacing w:after="190" w:afterLines="50" w:line="500" w:lineRule="exact"/>
        <w:jc w:val="center"/>
        <w:rPr>
          <w:rFonts w:ascii="仿宋_GB2312" w:hAnsi="仿宋_GB2312" w:eastAsia="仿宋_GB2312" w:cs="仿宋_GB2312"/>
          <w:b/>
          <w:bCs/>
        </w:rPr>
      </w:pPr>
      <w:bookmarkStart w:id="151" w:name="_Toc27797"/>
      <w:bookmarkStart w:id="152" w:name="_Toc2392"/>
      <w:bookmarkStart w:id="153" w:name="_Toc27187"/>
      <w:bookmarkStart w:id="154" w:name="_Toc9626"/>
      <w:r>
        <w:rPr>
          <w:rFonts w:hint="eastAsia" w:ascii="仿宋_GB2312" w:hAnsi="仿宋_GB2312" w:eastAsia="仿宋_GB2312" w:cs="仿宋_GB2312"/>
          <w:b/>
          <w:bCs/>
        </w:rPr>
        <w:t>评审要素及分值一览表</w:t>
      </w:r>
      <w:bookmarkEnd w:id="151"/>
      <w:bookmarkEnd w:id="152"/>
      <w:bookmarkEnd w:id="153"/>
      <w:bookmarkEnd w:id="154"/>
    </w:p>
    <w:tbl>
      <w:tblPr>
        <w:tblStyle w:val="21"/>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40"/>
        <w:gridCol w:w="826"/>
        <w:gridCol w:w="787"/>
        <w:gridCol w:w="5838"/>
      </w:tblGrid>
      <w:tr w14:paraId="07E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31" w:type="dxa"/>
            <w:gridSpan w:val="2"/>
            <w:vAlign w:val="center"/>
          </w:tcPr>
          <w:p w14:paraId="2CFA2F9C">
            <w:pPr>
              <w:jc w:val="center"/>
              <w:rPr>
                <w:rFonts w:ascii="仿宋_GB2312" w:hAnsi="仿宋_GB2312" w:eastAsia="仿宋_GB2312" w:cs="仿宋_GB2312"/>
                <w:b/>
              </w:rPr>
            </w:pPr>
            <w:r>
              <w:rPr>
                <w:rFonts w:hint="eastAsia" w:ascii="仿宋_GB2312" w:hAnsi="仿宋_GB2312" w:eastAsia="仿宋_GB2312" w:cs="仿宋_GB2312"/>
                <w:b/>
              </w:rPr>
              <w:t>项别</w:t>
            </w:r>
          </w:p>
        </w:tc>
        <w:tc>
          <w:tcPr>
            <w:tcW w:w="1613" w:type="dxa"/>
            <w:gridSpan w:val="2"/>
            <w:vAlign w:val="center"/>
          </w:tcPr>
          <w:p w14:paraId="4B5F8B58">
            <w:pPr>
              <w:jc w:val="center"/>
              <w:rPr>
                <w:rFonts w:ascii="仿宋_GB2312" w:hAnsi="仿宋_GB2312" w:eastAsia="仿宋_GB2312" w:cs="仿宋_GB2312"/>
                <w:b/>
              </w:rPr>
            </w:pPr>
            <w:r>
              <w:rPr>
                <w:rFonts w:hint="eastAsia" w:ascii="仿宋_GB2312" w:hAnsi="仿宋_GB2312" w:eastAsia="仿宋_GB2312" w:cs="仿宋_GB2312"/>
                <w:b/>
              </w:rPr>
              <w:t>分项</w:t>
            </w:r>
          </w:p>
        </w:tc>
        <w:tc>
          <w:tcPr>
            <w:tcW w:w="5838" w:type="dxa"/>
            <w:vMerge w:val="restart"/>
            <w:vAlign w:val="center"/>
          </w:tcPr>
          <w:p w14:paraId="4F36715A">
            <w:pPr>
              <w:jc w:val="center"/>
              <w:rPr>
                <w:rFonts w:ascii="仿宋_GB2312" w:hAnsi="仿宋_GB2312" w:eastAsia="仿宋_GB2312" w:cs="仿宋_GB2312"/>
                <w:b/>
              </w:rPr>
            </w:pPr>
            <w:r>
              <w:rPr>
                <w:rFonts w:hint="eastAsia" w:ascii="仿宋_GB2312" w:hAnsi="仿宋_GB2312" w:eastAsia="仿宋_GB2312" w:cs="仿宋_GB2312"/>
                <w:b/>
              </w:rPr>
              <w:t>评审要素</w:t>
            </w:r>
          </w:p>
        </w:tc>
      </w:tr>
      <w:tr w14:paraId="59A7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91" w:type="dxa"/>
            <w:vAlign w:val="center"/>
          </w:tcPr>
          <w:p w14:paraId="7D952166">
            <w:pPr>
              <w:jc w:val="center"/>
              <w:rPr>
                <w:rFonts w:ascii="仿宋_GB2312" w:hAnsi="仿宋_GB2312" w:eastAsia="仿宋_GB2312" w:cs="仿宋_GB2312"/>
                <w:b/>
              </w:rPr>
            </w:pPr>
            <w:r>
              <w:rPr>
                <w:rFonts w:hint="eastAsia" w:ascii="仿宋_GB2312" w:hAnsi="仿宋_GB2312" w:eastAsia="仿宋_GB2312" w:cs="仿宋_GB2312"/>
                <w:b/>
              </w:rPr>
              <w:t>名称</w:t>
            </w:r>
          </w:p>
        </w:tc>
        <w:tc>
          <w:tcPr>
            <w:tcW w:w="840" w:type="dxa"/>
            <w:vAlign w:val="center"/>
          </w:tcPr>
          <w:p w14:paraId="204231B7">
            <w:pPr>
              <w:autoSpaceDE w:val="0"/>
              <w:autoSpaceDN w:val="0"/>
              <w:adjustRightInd w:val="0"/>
              <w:jc w:val="center"/>
              <w:rPr>
                <w:rFonts w:ascii="仿宋_GB2312" w:hAnsi="仿宋_GB2312" w:eastAsia="仿宋_GB2312" w:cs="仿宋_GB2312"/>
                <w:b/>
              </w:rPr>
            </w:pPr>
            <w:r>
              <w:rPr>
                <w:rFonts w:hint="eastAsia" w:ascii="仿宋_GB2312" w:hAnsi="仿宋_GB2312" w:eastAsia="仿宋_GB2312" w:cs="仿宋_GB2312"/>
                <w:b/>
              </w:rPr>
              <w:t>总分值100</w:t>
            </w:r>
          </w:p>
        </w:tc>
        <w:tc>
          <w:tcPr>
            <w:tcW w:w="826" w:type="dxa"/>
            <w:vAlign w:val="center"/>
          </w:tcPr>
          <w:p w14:paraId="301F8098">
            <w:pPr>
              <w:jc w:val="center"/>
              <w:rPr>
                <w:rFonts w:ascii="仿宋_GB2312" w:hAnsi="仿宋_GB2312" w:eastAsia="仿宋_GB2312" w:cs="仿宋_GB2312"/>
                <w:b/>
              </w:rPr>
            </w:pPr>
            <w:r>
              <w:rPr>
                <w:rFonts w:hint="eastAsia" w:ascii="仿宋_GB2312" w:hAnsi="仿宋_GB2312" w:eastAsia="仿宋_GB2312" w:cs="仿宋_GB2312"/>
                <w:b/>
              </w:rPr>
              <w:t>名称</w:t>
            </w:r>
          </w:p>
        </w:tc>
        <w:tc>
          <w:tcPr>
            <w:tcW w:w="787" w:type="dxa"/>
            <w:vAlign w:val="center"/>
          </w:tcPr>
          <w:p w14:paraId="55C178C0">
            <w:pPr>
              <w:jc w:val="center"/>
              <w:rPr>
                <w:rFonts w:ascii="仿宋_GB2312" w:hAnsi="仿宋_GB2312" w:eastAsia="仿宋_GB2312" w:cs="仿宋_GB2312"/>
                <w:b/>
              </w:rPr>
            </w:pPr>
            <w:r>
              <w:rPr>
                <w:rFonts w:hint="eastAsia" w:ascii="仿宋_GB2312" w:hAnsi="仿宋_GB2312" w:eastAsia="仿宋_GB2312" w:cs="仿宋_GB2312"/>
                <w:b/>
              </w:rPr>
              <w:t>分项最高分值</w:t>
            </w:r>
          </w:p>
        </w:tc>
        <w:tc>
          <w:tcPr>
            <w:tcW w:w="5838" w:type="dxa"/>
            <w:vMerge w:val="continue"/>
            <w:vAlign w:val="center"/>
          </w:tcPr>
          <w:p w14:paraId="1EA6D96E">
            <w:pPr>
              <w:jc w:val="center"/>
              <w:rPr>
                <w:rFonts w:ascii="仿宋_GB2312" w:hAnsi="仿宋_GB2312" w:eastAsia="仿宋_GB2312" w:cs="仿宋_GB2312"/>
                <w:b/>
              </w:rPr>
            </w:pPr>
          </w:p>
        </w:tc>
      </w:tr>
      <w:tr w14:paraId="088C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791" w:type="dxa"/>
            <w:vAlign w:val="center"/>
          </w:tcPr>
          <w:p w14:paraId="70E9DA3E">
            <w:pPr>
              <w:rPr>
                <w:rFonts w:ascii="仿宋_GB2312" w:hAnsi="仿宋_GB2312" w:eastAsia="仿宋_GB2312" w:cs="仿宋_GB2312"/>
              </w:rPr>
            </w:pPr>
            <w:r>
              <w:rPr>
                <w:rFonts w:hint="eastAsia" w:ascii="仿宋_GB2312" w:hAnsi="仿宋_GB2312" w:eastAsia="仿宋_GB2312" w:cs="仿宋_GB2312"/>
              </w:rPr>
              <w:t>价格</w:t>
            </w:r>
          </w:p>
        </w:tc>
        <w:tc>
          <w:tcPr>
            <w:tcW w:w="840" w:type="dxa"/>
            <w:vAlign w:val="center"/>
          </w:tcPr>
          <w:p w14:paraId="218DC99D">
            <w:pPr>
              <w:jc w:val="center"/>
              <w:rPr>
                <w:rFonts w:ascii="仿宋_GB2312" w:hAnsi="仿宋_GB2312" w:eastAsia="仿宋_GB2312" w:cs="仿宋_GB2312"/>
              </w:rPr>
            </w:pPr>
            <w:r>
              <w:rPr>
                <w:rFonts w:hint="eastAsia" w:ascii="仿宋_GB2312" w:hAnsi="仿宋_GB2312" w:eastAsia="仿宋_GB2312" w:cs="仿宋_GB2312"/>
              </w:rPr>
              <w:t>30</w:t>
            </w:r>
          </w:p>
        </w:tc>
        <w:tc>
          <w:tcPr>
            <w:tcW w:w="826" w:type="dxa"/>
            <w:vAlign w:val="center"/>
          </w:tcPr>
          <w:p w14:paraId="34F83992">
            <w:pPr>
              <w:rPr>
                <w:rFonts w:ascii="仿宋_GB2312" w:hAnsi="仿宋_GB2312" w:eastAsia="仿宋_GB2312" w:cs="仿宋_GB2312"/>
              </w:rPr>
            </w:pPr>
            <w:r>
              <w:rPr>
                <w:rFonts w:hint="eastAsia" w:ascii="仿宋_GB2312" w:hAnsi="仿宋_GB2312" w:eastAsia="仿宋_GB2312" w:cs="仿宋_GB2312"/>
              </w:rPr>
              <w:t>价格</w:t>
            </w:r>
          </w:p>
        </w:tc>
        <w:tc>
          <w:tcPr>
            <w:tcW w:w="787" w:type="dxa"/>
            <w:vAlign w:val="center"/>
          </w:tcPr>
          <w:p w14:paraId="52E12D5F">
            <w:pPr>
              <w:jc w:val="center"/>
              <w:rPr>
                <w:rFonts w:ascii="仿宋_GB2312" w:hAnsi="仿宋_GB2312" w:eastAsia="仿宋_GB2312" w:cs="仿宋_GB2312"/>
              </w:rPr>
            </w:pPr>
            <w:r>
              <w:rPr>
                <w:rFonts w:hint="eastAsia" w:ascii="仿宋_GB2312" w:hAnsi="仿宋_GB2312" w:eastAsia="仿宋_GB2312" w:cs="仿宋_GB2312"/>
              </w:rPr>
              <w:t>30</w:t>
            </w:r>
          </w:p>
        </w:tc>
        <w:tc>
          <w:tcPr>
            <w:tcW w:w="5838" w:type="dxa"/>
            <w:vAlign w:val="center"/>
          </w:tcPr>
          <w:p w14:paraId="008D6AA8">
            <w:pPr>
              <w:tabs>
                <w:tab w:val="left" w:pos="547"/>
              </w:tabs>
              <w:autoSpaceDE w:val="0"/>
              <w:autoSpaceDN w:val="0"/>
              <w:adjustRightInd w:val="0"/>
              <w:jc w:val="left"/>
              <w:rPr>
                <w:rFonts w:ascii="仿宋_GB2312" w:hAnsi="仿宋_GB2312" w:eastAsia="仿宋_GB2312" w:cs="仿宋_GB2312"/>
              </w:rPr>
            </w:pPr>
            <w:r>
              <w:rPr>
                <w:rFonts w:hint="eastAsia" w:ascii="仿宋_GB2312" w:hAnsi="仿宋_GB2312" w:eastAsia="仿宋_GB2312" w:cs="仿宋_GB2312"/>
              </w:rPr>
              <w:t>有效供应商最低报价为基准价得30分，其他各供应商的报价得分按下列公式计算：</w:t>
            </w:r>
          </w:p>
          <w:p w14:paraId="0571103E">
            <w:pPr>
              <w:tabs>
                <w:tab w:val="left" w:pos="547"/>
              </w:tabs>
              <w:autoSpaceDE w:val="0"/>
              <w:autoSpaceDN w:val="0"/>
              <w:adjustRightInd w:val="0"/>
              <w:jc w:val="left"/>
              <w:rPr>
                <w:rFonts w:ascii="仿宋_GB2312" w:hAnsi="仿宋_GB2312" w:eastAsia="仿宋_GB2312" w:cs="仿宋_GB2312"/>
                <w:b/>
                <w:bCs/>
              </w:rPr>
            </w:pPr>
            <w:r>
              <w:rPr>
                <w:rFonts w:hint="eastAsia" w:ascii="仿宋_GB2312" w:hAnsi="仿宋_GB2312" w:eastAsia="仿宋_GB2312" w:cs="仿宋_GB2312"/>
                <w:b/>
                <w:bCs/>
              </w:rPr>
              <w:t>（基准价/磋商报价）×30。</w:t>
            </w:r>
          </w:p>
          <w:p w14:paraId="5703BD85">
            <w:pPr>
              <w:pStyle w:val="5"/>
              <w:adjustRightInd w:val="0"/>
              <w:textAlignment w:val="baseline"/>
              <w:rPr>
                <w:rFonts w:ascii="仿宋_GB2312" w:hAnsi="仿宋_GB2312" w:eastAsia="仿宋_GB2312" w:cs="仿宋_GB2312"/>
                <w:sz w:val="28"/>
              </w:rPr>
            </w:pPr>
            <w:r>
              <w:rPr>
                <w:rFonts w:hint="eastAsia" w:ascii="仿宋_GB2312" w:hAnsi="仿宋_GB2312" w:eastAsia="仿宋_GB2312" w:cs="仿宋_GB2312"/>
                <w:b w:val="0"/>
                <w:sz w:val="28"/>
              </w:rPr>
              <w:t>根据“最后报价”计算价格得分。</w:t>
            </w:r>
          </w:p>
        </w:tc>
      </w:tr>
      <w:tr w14:paraId="0B84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0" w:hRule="atLeast"/>
          <w:jc w:val="center"/>
        </w:trPr>
        <w:tc>
          <w:tcPr>
            <w:tcW w:w="791" w:type="dxa"/>
            <w:vMerge w:val="restart"/>
            <w:vAlign w:val="center"/>
          </w:tcPr>
          <w:p w14:paraId="41A16FA8">
            <w:pPr>
              <w:jc w:val="center"/>
              <w:rPr>
                <w:rFonts w:ascii="仿宋_GB2312" w:hAnsi="仿宋_GB2312" w:eastAsia="仿宋_GB2312" w:cs="仿宋_GB2312"/>
              </w:rPr>
            </w:pPr>
            <w:r>
              <w:rPr>
                <w:rFonts w:hint="eastAsia" w:ascii="仿宋_GB2312" w:hAnsi="仿宋_GB2312" w:eastAsia="仿宋_GB2312" w:cs="仿宋_GB2312"/>
              </w:rPr>
              <w:t>服务方案</w:t>
            </w:r>
          </w:p>
        </w:tc>
        <w:tc>
          <w:tcPr>
            <w:tcW w:w="840" w:type="dxa"/>
            <w:vMerge w:val="restart"/>
            <w:vAlign w:val="center"/>
          </w:tcPr>
          <w:p w14:paraId="0DDF59C7">
            <w:pPr>
              <w:jc w:val="center"/>
              <w:rPr>
                <w:rFonts w:ascii="仿宋_GB2312" w:hAnsi="仿宋_GB2312" w:eastAsia="仿宋_GB2312" w:cs="仿宋_GB2312"/>
              </w:rPr>
            </w:pPr>
            <w:r>
              <w:rPr>
                <w:rFonts w:hint="eastAsia" w:ascii="仿宋_GB2312" w:hAnsi="仿宋_GB2312" w:eastAsia="仿宋_GB2312" w:cs="仿宋_GB2312"/>
              </w:rPr>
              <w:t>60</w:t>
            </w:r>
          </w:p>
        </w:tc>
        <w:tc>
          <w:tcPr>
            <w:tcW w:w="826" w:type="dxa"/>
            <w:vAlign w:val="center"/>
          </w:tcPr>
          <w:p w14:paraId="32CBAAEC">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施工方案</w:t>
            </w:r>
          </w:p>
        </w:tc>
        <w:tc>
          <w:tcPr>
            <w:tcW w:w="787" w:type="dxa"/>
            <w:vAlign w:val="center"/>
          </w:tcPr>
          <w:p w14:paraId="6D6F3DA9">
            <w:pPr>
              <w:widowControl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5838" w:type="dxa"/>
            <w:vAlign w:val="center"/>
          </w:tcPr>
          <w:p w14:paraId="509C4ABC">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3C250C83">
            <w:pPr>
              <w:jc w:val="left"/>
              <w:rPr>
                <w:rFonts w:ascii="仿宋_GB2312" w:hAnsi="仿宋_GB2312" w:eastAsia="仿宋_GB2312" w:cs="仿宋_GB2312"/>
              </w:rPr>
            </w:pPr>
            <w:r>
              <w:rPr>
                <w:rFonts w:hint="eastAsia" w:ascii="仿宋_GB2312" w:hAnsi="仿宋_GB2312" w:eastAsia="仿宋_GB2312" w:cs="仿宋_GB2312"/>
              </w:rPr>
              <w:t>响应人提供本项目施工方案，包括①施工方法（工艺）②施工组织和施工程序③现场平面布置④技术组织措施。</w:t>
            </w:r>
          </w:p>
          <w:p w14:paraId="114858C4">
            <w:pPr>
              <w:pStyle w:val="51"/>
              <w:spacing w:line="400" w:lineRule="exact"/>
              <w:ind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二、赋分标准</w:t>
            </w:r>
          </w:p>
          <w:p w14:paraId="55D6C6AE">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1、完整性：方案内容完整全面，对上述各项内容均有描述，得2分；缺1项，得1.5分；缺2项，得1分；缺3项，得0.5分。</w:t>
            </w:r>
          </w:p>
          <w:p w14:paraId="4F38E003">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2、针对性：针对性强，得3分；针对性一般，得1.5分；缺乏针对性，得0分。</w:t>
            </w:r>
          </w:p>
          <w:p w14:paraId="13E67C45">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3、可实施性：可实施性强，得3分；可实施性一般，得1.5分；缺乏可实施性，得0分。</w:t>
            </w:r>
          </w:p>
          <w:p w14:paraId="5B50EEE0">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7A0B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1" w:type="dxa"/>
            <w:vMerge w:val="continue"/>
            <w:vAlign w:val="center"/>
          </w:tcPr>
          <w:p w14:paraId="6E7732D3">
            <w:pPr>
              <w:jc w:val="center"/>
              <w:rPr>
                <w:rFonts w:ascii="仿宋_GB2312" w:hAnsi="仿宋_GB2312" w:eastAsia="仿宋_GB2312" w:cs="仿宋_GB2312"/>
              </w:rPr>
            </w:pPr>
          </w:p>
        </w:tc>
        <w:tc>
          <w:tcPr>
            <w:tcW w:w="840" w:type="dxa"/>
            <w:vMerge w:val="continue"/>
            <w:vAlign w:val="center"/>
          </w:tcPr>
          <w:p w14:paraId="6C8565CD">
            <w:pPr>
              <w:jc w:val="center"/>
              <w:rPr>
                <w:rFonts w:ascii="仿宋_GB2312" w:hAnsi="仿宋_GB2312" w:eastAsia="仿宋_GB2312" w:cs="仿宋_GB2312"/>
              </w:rPr>
            </w:pPr>
          </w:p>
        </w:tc>
        <w:tc>
          <w:tcPr>
            <w:tcW w:w="826" w:type="dxa"/>
            <w:vAlign w:val="center"/>
          </w:tcPr>
          <w:p w14:paraId="67D9DC98">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施工进度计划</w:t>
            </w:r>
          </w:p>
        </w:tc>
        <w:tc>
          <w:tcPr>
            <w:tcW w:w="787" w:type="dxa"/>
            <w:vAlign w:val="center"/>
          </w:tcPr>
          <w:p w14:paraId="75AAF266">
            <w:pPr>
              <w:widowControl w:val="0"/>
              <w:snapToGrid w:val="0"/>
              <w:jc w:val="center"/>
              <w:rPr>
                <w:rFonts w:ascii="仿宋_GB2312" w:hAnsi="仿宋_GB2312" w:eastAsia="仿宋_GB2312" w:cs="仿宋_GB2312"/>
              </w:rPr>
            </w:pPr>
            <w:r>
              <w:rPr>
                <w:rFonts w:hint="eastAsia" w:ascii="仿宋_GB2312" w:hAnsi="仿宋_GB2312" w:eastAsia="仿宋_GB2312" w:cs="仿宋_GB2312"/>
              </w:rPr>
              <w:t>4</w:t>
            </w:r>
          </w:p>
        </w:tc>
        <w:tc>
          <w:tcPr>
            <w:tcW w:w="5838" w:type="dxa"/>
            <w:vAlign w:val="center"/>
          </w:tcPr>
          <w:p w14:paraId="6BF1B32B">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61359096">
            <w:pPr>
              <w:jc w:val="left"/>
              <w:rPr>
                <w:rFonts w:ascii="仿宋_GB2312" w:hAnsi="仿宋_GB2312" w:eastAsia="仿宋_GB2312" w:cs="仿宋_GB2312"/>
              </w:rPr>
            </w:pPr>
            <w:r>
              <w:rPr>
                <w:rFonts w:hint="eastAsia" w:ascii="仿宋_GB2312" w:hAnsi="仿宋_GB2312" w:eastAsia="仿宋_GB2312" w:cs="仿宋_GB2312"/>
              </w:rPr>
              <w:t>响应人提供本项目施工进度计划，包括①施工进度目标和施工总进度计划表/图②分部分项工期一览表③重要工程的验收、检验的次序和时间。</w:t>
            </w:r>
          </w:p>
          <w:p w14:paraId="1C3A8370">
            <w:pPr>
              <w:pStyle w:val="51"/>
              <w:spacing w:line="400" w:lineRule="exact"/>
              <w:ind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二、赋分标准</w:t>
            </w:r>
          </w:p>
          <w:p w14:paraId="14EC713E">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1、完整性：方案内容完整全面，对上述各项内容均有描述，得1分；缺1项，得0.7分；缺2项，得0.4分。</w:t>
            </w:r>
          </w:p>
          <w:p w14:paraId="286EB01B">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2、针对性：针对性强，得1.5分；针对性一般，得0.7分；缺乏针对性，得0分。</w:t>
            </w:r>
          </w:p>
          <w:p w14:paraId="3FEBE08D">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3、可实施性：可实施性强，得1.5分；可实施性一般，得0.7分；缺乏可实施性，得0分。</w:t>
            </w:r>
          </w:p>
          <w:p w14:paraId="47AAC496">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1B67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8" w:hRule="atLeast"/>
          <w:jc w:val="center"/>
        </w:trPr>
        <w:tc>
          <w:tcPr>
            <w:tcW w:w="791" w:type="dxa"/>
            <w:vMerge w:val="continue"/>
            <w:vAlign w:val="center"/>
          </w:tcPr>
          <w:p w14:paraId="4A7E693B">
            <w:pPr>
              <w:jc w:val="center"/>
              <w:rPr>
                <w:rFonts w:ascii="仿宋_GB2312" w:hAnsi="仿宋_GB2312" w:eastAsia="仿宋_GB2312" w:cs="仿宋_GB2312"/>
              </w:rPr>
            </w:pPr>
          </w:p>
        </w:tc>
        <w:tc>
          <w:tcPr>
            <w:tcW w:w="840" w:type="dxa"/>
            <w:vMerge w:val="continue"/>
            <w:vAlign w:val="center"/>
          </w:tcPr>
          <w:p w14:paraId="50602BFC">
            <w:pPr>
              <w:jc w:val="center"/>
              <w:rPr>
                <w:rFonts w:ascii="仿宋_GB2312" w:hAnsi="仿宋_GB2312" w:eastAsia="仿宋_GB2312" w:cs="仿宋_GB2312"/>
              </w:rPr>
            </w:pPr>
          </w:p>
        </w:tc>
        <w:tc>
          <w:tcPr>
            <w:tcW w:w="826" w:type="dxa"/>
            <w:vAlign w:val="center"/>
          </w:tcPr>
          <w:p w14:paraId="4641AE19">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工期保证措施</w:t>
            </w:r>
          </w:p>
        </w:tc>
        <w:tc>
          <w:tcPr>
            <w:tcW w:w="787" w:type="dxa"/>
            <w:vAlign w:val="center"/>
          </w:tcPr>
          <w:p w14:paraId="591FD5BB">
            <w:pPr>
              <w:widowControl w:val="0"/>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5838" w:type="dxa"/>
            <w:vAlign w:val="center"/>
          </w:tcPr>
          <w:p w14:paraId="26899A45">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0DDC1F88">
            <w:pPr>
              <w:jc w:val="left"/>
              <w:rPr>
                <w:rFonts w:ascii="仿宋_GB2312" w:hAnsi="仿宋_GB2312" w:eastAsia="仿宋_GB2312" w:cs="仿宋_GB2312"/>
              </w:rPr>
            </w:pPr>
            <w:r>
              <w:rPr>
                <w:rFonts w:hint="eastAsia" w:ascii="仿宋_GB2312" w:hAnsi="仿宋_GB2312" w:eastAsia="仿宋_GB2312" w:cs="仿宋_GB2312"/>
              </w:rPr>
              <w:t>响应人提供本项目工期保证措施，包括①施工组织与管理保证措施②施工技术措施。</w:t>
            </w:r>
          </w:p>
          <w:p w14:paraId="09141766">
            <w:pPr>
              <w:pStyle w:val="51"/>
              <w:spacing w:line="400" w:lineRule="exact"/>
              <w:ind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二、赋分标准</w:t>
            </w:r>
          </w:p>
          <w:p w14:paraId="2420D27C">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1、完整性：方案内容完整全面，对上述各项内容均有描述，得1分；缺1项，得0.5分。</w:t>
            </w:r>
          </w:p>
          <w:p w14:paraId="1E22EA00">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2、针对性：针对性强，得1分；针对性一般，得0.5分；缺乏针对性，得0分。</w:t>
            </w:r>
          </w:p>
          <w:p w14:paraId="60B9FBEF">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3、可实施性：可实施性强，得1分；可实施性一般，得0.5分；缺乏可实施性，得0分。</w:t>
            </w:r>
          </w:p>
          <w:p w14:paraId="6E901EB7">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6E23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8" w:hRule="atLeast"/>
          <w:jc w:val="center"/>
        </w:trPr>
        <w:tc>
          <w:tcPr>
            <w:tcW w:w="791" w:type="dxa"/>
            <w:vMerge w:val="continue"/>
            <w:vAlign w:val="center"/>
          </w:tcPr>
          <w:p w14:paraId="0ED7E4E4">
            <w:pPr>
              <w:jc w:val="center"/>
              <w:rPr>
                <w:rFonts w:ascii="仿宋_GB2312" w:hAnsi="仿宋_GB2312" w:eastAsia="仿宋_GB2312" w:cs="仿宋_GB2312"/>
              </w:rPr>
            </w:pPr>
          </w:p>
        </w:tc>
        <w:tc>
          <w:tcPr>
            <w:tcW w:w="840" w:type="dxa"/>
            <w:vMerge w:val="continue"/>
            <w:vAlign w:val="center"/>
          </w:tcPr>
          <w:p w14:paraId="01F8240C">
            <w:pPr>
              <w:jc w:val="center"/>
              <w:rPr>
                <w:rFonts w:ascii="仿宋_GB2312" w:hAnsi="仿宋_GB2312" w:eastAsia="仿宋_GB2312" w:cs="仿宋_GB2312"/>
              </w:rPr>
            </w:pPr>
          </w:p>
        </w:tc>
        <w:tc>
          <w:tcPr>
            <w:tcW w:w="826" w:type="dxa"/>
            <w:vAlign w:val="center"/>
          </w:tcPr>
          <w:p w14:paraId="4979AEAF">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质量保证措施</w:t>
            </w:r>
          </w:p>
        </w:tc>
        <w:tc>
          <w:tcPr>
            <w:tcW w:w="787" w:type="dxa"/>
            <w:vAlign w:val="center"/>
          </w:tcPr>
          <w:p w14:paraId="334F789C">
            <w:pPr>
              <w:widowControl w:val="0"/>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5838" w:type="dxa"/>
            <w:vAlign w:val="center"/>
          </w:tcPr>
          <w:p w14:paraId="3BA4A9E1">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19FF7725">
            <w:pPr>
              <w:jc w:val="left"/>
              <w:rPr>
                <w:rFonts w:ascii="仿宋_GB2312" w:hAnsi="仿宋_GB2312" w:eastAsia="仿宋_GB2312" w:cs="仿宋_GB2312"/>
              </w:rPr>
            </w:pPr>
            <w:r>
              <w:rPr>
                <w:rFonts w:hint="eastAsia" w:ascii="仿宋_GB2312" w:hAnsi="仿宋_GB2312" w:eastAsia="仿宋_GB2312" w:cs="仿宋_GB2312"/>
              </w:rPr>
              <w:t>响应人提供本项目质量保证措施，包括①工程质量目标②施工质量保证措施③施工质量管理与控制方案。</w:t>
            </w:r>
          </w:p>
          <w:p w14:paraId="3324F7ED">
            <w:pPr>
              <w:pStyle w:val="51"/>
              <w:spacing w:line="400" w:lineRule="exact"/>
              <w:ind w:firstLine="0" w:firstLineChars="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二、赋分标准</w:t>
            </w:r>
          </w:p>
          <w:p w14:paraId="7250F1A2">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1、完整性：方案内容完整全面，对上述各项内容均有描述，得1分；缺1项，得0.7分；缺2项，得0.4分。</w:t>
            </w:r>
          </w:p>
          <w:p w14:paraId="133ECDDD">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2、针对性：针对性强，得2分；针对性一般，得1分；缺乏针对性，得0分。</w:t>
            </w:r>
          </w:p>
          <w:p w14:paraId="32F764D5">
            <w:pPr>
              <w:pStyle w:val="51"/>
              <w:spacing w:line="40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3、可实施性：可实施性强，得2分；可实施性一般，得1分；缺乏可实施性，得0分。</w:t>
            </w:r>
          </w:p>
          <w:p w14:paraId="2ED89027">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077F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Merge w:val="continue"/>
            <w:vAlign w:val="center"/>
          </w:tcPr>
          <w:p w14:paraId="6653A7E5">
            <w:pPr>
              <w:jc w:val="center"/>
              <w:rPr>
                <w:rFonts w:ascii="仿宋_GB2312" w:hAnsi="仿宋_GB2312" w:eastAsia="仿宋_GB2312" w:cs="仿宋_GB2312"/>
              </w:rPr>
            </w:pPr>
          </w:p>
        </w:tc>
        <w:tc>
          <w:tcPr>
            <w:tcW w:w="840" w:type="dxa"/>
            <w:vMerge w:val="continue"/>
            <w:vAlign w:val="center"/>
          </w:tcPr>
          <w:p w14:paraId="58024923">
            <w:pPr>
              <w:jc w:val="center"/>
              <w:rPr>
                <w:rFonts w:ascii="仿宋_GB2312" w:hAnsi="仿宋_GB2312" w:eastAsia="仿宋_GB2312" w:cs="仿宋_GB2312"/>
              </w:rPr>
            </w:pPr>
          </w:p>
        </w:tc>
        <w:tc>
          <w:tcPr>
            <w:tcW w:w="826" w:type="dxa"/>
            <w:vAlign w:val="center"/>
          </w:tcPr>
          <w:p w14:paraId="03EB92C6">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安全技术措施</w:t>
            </w:r>
          </w:p>
        </w:tc>
        <w:tc>
          <w:tcPr>
            <w:tcW w:w="787" w:type="dxa"/>
            <w:vAlign w:val="center"/>
          </w:tcPr>
          <w:p w14:paraId="6CE0154C">
            <w:pPr>
              <w:widowControl w:val="0"/>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5838" w:type="dxa"/>
            <w:vAlign w:val="center"/>
          </w:tcPr>
          <w:p w14:paraId="63486165">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4C837A4F">
            <w:pPr>
              <w:jc w:val="left"/>
              <w:rPr>
                <w:rFonts w:ascii="仿宋_GB2312" w:hAnsi="仿宋_GB2312" w:eastAsia="仿宋_GB2312" w:cs="仿宋_GB2312"/>
              </w:rPr>
            </w:pPr>
            <w:r>
              <w:rPr>
                <w:rFonts w:hint="eastAsia" w:ascii="仿宋_GB2312" w:hAnsi="仿宋_GB2312" w:eastAsia="仿宋_GB2312" w:cs="仿宋_GB2312"/>
              </w:rPr>
              <w:t>响应人提供本项目安全技术措施，包括①安全管理制度②安全责任归属划分③安全标识：安全警戒标语、施工人员安全警示服和安全帽穿配要求④安全教育培训。</w:t>
            </w:r>
          </w:p>
          <w:p w14:paraId="6B77F28B">
            <w:pPr>
              <w:jc w:val="left"/>
              <w:rPr>
                <w:rFonts w:ascii="仿宋_GB2312" w:hAnsi="仿宋_GB2312" w:eastAsia="仿宋_GB2312" w:cs="仿宋_GB2312"/>
                <w:b/>
                <w:bCs/>
              </w:rPr>
            </w:pPr>
            <w:r>
              <w:rPr>
                <w:rFonts w:hint="eastAsia" w:ascii="仿宋_GB2312" w:hAnsi="仿宋_GB2312" w:eastAsia="仿宋_GB2312" w:cs="仿宋_GB2312"/>
                <w:b/>
                <w:bCs/>
              </w:rPr>
              <w:t>二、赋分标准</w:t>
            </w:r>
          </w:p>
          <w:p w14:paraId="484C5910">
            <w:pPr>
              <w:jc w:val="left"/>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1、完整性：方案内容完整全面，对上述各项内容均有描述，得2分；缺1项，得1.5分；缺2项，得1分；缺3项，得0.5分。</w:t>
            </w:r>
          </w:p>
          <w:p w14:paraId="2D99A56F">
            <w:pPr>
              <w:jc w:val="left"/>
              <w:rPr>
                <w:rFonts w:ascii="仿宋_GB2312" w:hAnsi="仿宋_GB2312" w:eastAsia="仿宋_GB2312" w:cs="仿宋_GB2312"/>
              </w:rPr>
            </w:pPr>
            <w:r>
              <w:rPr>
                <w:rFonts w:hint="eastAsia" w:ascii="仿宋_GB2312" w:hAnsi="仿宋_GB2312" w:eastAsia="仿宋_GB2312" w:cs="仿宋_GB2312"/>
              </w:rPr>
              <w:t>2、针对性：针对性强，得2分；针对性一般，得1分；缺乏针对性，得0分。</w:t>
            </w:r>
          </w:p>
          <w:p w14:paraId="439D9FE6">
            <w:pPr>
              <w:jc w:val="left"/>
              <w:rPr>
                <w:rFonts w:ascii="仿宋_GB2312" w:hAnsi="仿宋_GB2312" w:eastAsia="仿宋_GB2312" w:cs="仿宋_GB2312"/>
              </w:rPr>
            </w:pPr>
            <w:r>
              <w:rPr>
                <w:rFonts w:hint="eastAsia" w:ascii="仿宋_GB2312" w:hAnsi="仿宋_GB2312" w:eastAsia="仿宋_GB2312" w:cs="仿宋_GB2312"/>
              </w:rPr>
              <w:t>3、可实施性：可实施性强，得2分；可实施性一般，得1分；缺乏可实施性，得0分。</w:t>
            </w:r>
          </w:p>
          <w:p w14:paraId="7B256065">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79BD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91" w:type="dxa"/>
            <w:vMerge w:val="continue"/>
            <w:vAlign w:val="center"/>
          </w:tcPr>
          <w:p w14:paraId="40F526AE">
            <w:pPr>
              <w:jc w:val="center"/>
              <w:rPr>
                <w:rFonts w:ascii="仿宋_GB2312" w:hAnsi="仿宋_GB2312" w:eastAsia="仿宋_GB2312" w:cs="仿宋_GB2312"/>
              </w:rPr>
            </w:pPr>
          </w:p>
        </w:tc>
        <w:tc>
          <w:tcPr>
            <w:tcW w:w="840" w:type="dxa"/>
            <w:vMerge w:val="continue"/>
            <w:vAlign w:val="center"/>
          </w:tcPr>
          <w:p w14:paraId="58D5456E">
            <w:pPr>
              <w:jc w:val="center"/>
              <w:rPr>
                <w:rFonts w:ascii="仿宋_GB2312" w:hAnsi="仿宋_GB2312" w:eastAsia="仿宋_GB2312" w:cs="仿宋_GB2312"/>
              </w:rPr>
            </w:pPr>
          </w:p>
        </w:tc>
        <w:tc>
          <w:tcPr>
            <w:tcW w:w="826" w:type="dxa"/>
            <w:vAlign w:val="center"/>
          </w:tcPr>
          <w:p w14:paraId="7C818E72">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文明施工措施</w:t>
            </w:r>
          </w:p>
        </w:tc>
        <w:tc>
          <w:tcPr>
            <w:tcW w:w="787" w:type="dxa"/>
            <w:vAlign w:val="center"/>
          </w:tcPr>
          <w:p w14:paraId="48099F00">
            <w:pPr>
              <w:widowControl w:val="0"/>
              <w:snapToGrid w:val="0"/>
              <w:jc w:val="center"/>
              <w:rPr>
                <w:rFonts w:ascii="仿宋_GB2312" w:hAnsi="仿宋_GB2312" w:eastAsia="仿宋_GB2312" w:cs="仿宋_GB2312"/>
              </w:rPr>
            </w:pPr>
            <w:r>
              <w:rPr>
                <w:rFonts w:hint="eastAsia" w:ascii="仿宋_GB2312" w:hAnsi="仿宋_GB2312" w:eastAsia="仿宋_GB2312" w:cs="仿宋_GB2312"/>
              </w:rPr>
              <w:t>6</w:t>
            </w:r>
          </w:p>
        </w:tc>
        <w:tc>
          <w:tcPr>
            <w:tcW w:w="5838" w:type="dxa"/>
            <w:vAlign w:val="center"/>
          </w:tcPr>
          <w:p w14:paraId="29F865B1">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3F85B9BE">
            <w:pPr>
              <w:jc w:val="left"/>
              <w:rPr>
                <w:rFonts w:ascii="仿宋_GB2312" w:hAnsi="仿宋_GB2312" w:eastAsia="仿宋_GB2312" w:cs="仿宋_GB2312"/>
              </w:rPr>
            </w:pPr>
            <w:r>
              <w:rPr>
                <w:rFonts w:hint="eastAsia" w:ascii="仿宋_GB2312" w:hAnsi="仿宋_GB2312" w:eastAsia="仿宋_GB2312" w:cs="仿宋_GB2312"/>
              </w:rPr>
              <w:t>响应人提供本项目文明施工措施，包括①成品保护措施和制度②施工现场的临时管理措施③文明施工保障措施。</w:t>
            </w:r>
          </w:p>
          <w:p w14:paraId="29F4715C">
            <w:pPr>
              <w:jc w:val="left"/>
              <w:rPr>
                <w:rFonts w:ascii="仿宋_GB2312" w:hAnsi="仿宋_GB2312" w:eastAsia="仿宋_GB2312" w:cs="仿宋_GB2312"/>
                <w:b/>
                <w:bCs/>
              </w:rPr>
            </w:pPr>
            <w:r>
              <w:rPr>
                <w:rFonts w:hint="eastAsia" w:ascii="仿宋_GB2312" w:hAnsi="仿宋_GB2312" w:eastAsia="仿宋_GB2312" w:cs="仿宋_GB2312"/>
                <w:b/>
                <w:bCs/>
              </w:rPr>
              <w:t>二、赋分标准</w:t>
            </w:r>
          </w:p>
          <w:p w14:paraId="5E5B35BA">
            <w:pPr>
              <w:jc w:val="left"/>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1、完整性：方案内容完整全面，对上述各项内容均有描述，得2分；缺1项，得1.</w:t>
            </w:r>
            <w:r>
              <w:rPr>
                <w:rFonts w:ascii="仿宋_GB2312" w:hAnsi="仿宋_GB2312" w:eastAsia="仿宋_GB2312" w:cs="仿宋_GB2312"/>
              </w:rPr>
              <w:t>3</w:t>
            </w:r>
            <w:r>
              <w:rPr>
                <w:rFonts w:hint="eastAsia" w:ascii="仿宋_GB2312" w:hAnsi="仿宋_GB2312" w:eastAsia="仿宋_GB2312" w:cs="仿宋_GB2312"/>
              </w:rPr>
              <w:t>分；缺2项，得</w:t>
            </w:r>
            <w:r>
              <w:rPr>
                <w:rFonts w:ascii="仿宋_GB2312" w:hAnsi="仿宋_GB2312" w:eastAsia="仿宋_GB2312" w:cs="仿宋_GB2312"/>
              </w:rPr>
              <w:t>0.6</w:t>
            </w:r>
            <w:r>
              <w:rPr>
                <w:rFonts w:hint="eastAsia" w:ascii="仿宋_GB2312" w:hAnsi="仿宋_GB2312" w:eastAsia="仿宋_GB2312" w:cs="仿宋_GB2312"/>
              </w:rPr>
              <w:t>分。</w:t>
            </w:r>
          </w:p>
          <w:p w14:paraId="18C0F2E9">
            <w:pPr>
              <w:jc w:val="left"/>
              <w:rPr>
                <w:rFonts w:ascii="仿宋_GB2312" w:hAnsi="仿宋_GB2312" w:eastAsia="仿宋_GB2312" w:cs="仿宋_GB2312"/>
              </w:rPr>
            </w:pPr>
            <w:r>
              <w:rPr>
                <w:rFonts w:hint="eastAsia" w:ascii="仿宋_GB2312" w:hAnsi="仿宋_GB2312" w:eastAsia="仿宋_GB2312" w:cs="仿宋_GB2312"/>
              </w:rPr>
              <w:t>2、针对性：针对性强，得2分；针对性一般，得1分；缺乏针对性，得0分。</w:t>
            </w:r>
          </w:p>
          <w:p w14:paraId="54D3ECC8">
            <w:pPr>
              <w:jc w:val="left"/>
              <w:rPr>
                <w:rFonts w:ascii="仿宋_GB2312" w:hAnsi="仿宋_GB2312" w:eastAsia="仿宋_GB2312" w:cs="仿宋_GB2312"/>
              </w:rPr>
            </w:pPr>
            <w:r>
              <w:rPr>
                <w:rFonts w:hint="eastAsia" w:ascii="仿宋_GB2312" w:hAnsi="仿宋_GB2312" w:eastAsia="仿宋_GB2312" w:cs="仿宋_GB2312"/>
              </w:rPr>
              <w:t>3、可实施性：可实施性强，得2分；可实施性一般，得1分；缺乏可实施性，得0分。</w:t>
            </w:r>
          </w:p>
          <w:p w14:paraId="794907CC">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761E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91" w:type="dxa"/>
            <w:vMerge w:val="continue"/>
            <w:vAlign w:val="center"/>
          </w:tcPr>
          <w:p w14:paraId="6EA8081C">
            <w:pPr>
              <w:jc w:val="center"/>
              <w:rPr>
                <w:rFonts w:ascii="仿宋_GB2312" w:hAnsi="仿宋_GB2312" w:eastAsia="仿宋_GB2312" w:cs="仿宋_GB2312"/>
              </w:rPr>
            </w:pPr>
          </w:p>
        </w:tc>
        <w:tc>
          <w:tcPr>
            <w:tcW w:w="840" w:type="dxa"/>
            <w:vMerge w:val="continue"/>
            <w:vAlign w:val="center"/>
          </w:tcPr>
          <w:p w14:paraId="1A5A1491">
            <w:pPr>
              <w:jc w:val="center"/>
              <w:rPr>
                <w:rFonts w:ascii="仿宋_GB2312" w:hAnsi="仿宋_GB2312" w:eastAsia="仿宋_GB2312" w:cs="仿宋_GB2312"/>
              </w:rPr>
            </w:pPr>
          </w:p>
        </w:tc>
        <w:tc>
          <w:tcPr>
            <w:tcW w:w="826" w:type="dxa"/>
            <w:vAlign w:val="center"/>
          </w:tcPr>
          <w:p w14:paraId="7CF0BCAD">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环境保护措施</w:t>
            </w:r>
          </w:p>
        </w:tc>
        <w:tc>
          <w:tcPr>
            <w:tcW w:w="787" w:type="dxa"/>
            <w:vAlign w:val="center"/>
          </w:tcPr>
          <w:p w14:paraId="10A24CF6">
            <w:pPr>
              <w:widowControl w:val="0"/>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5838" w:type="dxa"/>
            <w:vAlign w:val="center"/>
          </w:tcPr>
          <w:p w14:paraId="46B201D7">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7157B771">
            <w:pPr>
              <w:jc w:val="left"/>
              <w:rPr>
                <w:rFonts w:ascii="仿宋_GB2312" w:hAnsi="仿宋_GB2312" w:eastAsia="仿宋_GB2312" w:cs="仿宋_GB2312"/>
              </w:rPr>
            </w:pPr>
            <w:r>
              <w:rPr>
                <w:rFonts w:hint="eastAsia" w:ascii="仿宋_GB2312" w:hAnsi="仿宋_GB2312" w:eastAsia="仿宋_GB2312" w:cs="仿宋_GB2312"/>
              </w:rPr>
              <w:t>响应人提供本项目环境保护措施，包括①环境保护管理体系②环保控制措施：污染物及废弃物的处理措施、噪音控制措施、防尘及扬尘的控制措施</w:t>
            </w:r>
          </w:p>
          <w:p w14:paraId="3A7D3DBF">
            <w:pPr>
              <w:jc w:val="left"/>
              <w:rPr>
                <w:rFonts w:ascii="仿宋_GB2312" w:hAnsi="仿宋_GB2312" w:eastAsia="仿宋_GB2312" w:cs="仿宋_GB2312"/>
                <w:b/>
                <w:bCs/>
              </w:rPr>
            </w:pPr>
            <w:r>
              <w:rPr>
                <w:rFonts w:hint="eastAsia" w:ascii="仿宋_GB2312" w:hAnsi="仿宋_GB2312" w:eastAsia="仿宋_GB2312" w:cs="仿宋_GB2312"/>
                <w:b/>
                <w:bCs/>
              </w:rPr>
              <w:t>二、赋分标准</w:t>
            </w:r>
          </w:p>
          <w:p w14:paraId="69B6E4CE">
            <w:pPr>
              <w:jc w:val="left"/>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1、完整性：方案内容完整全面，对上述各项内容均有描述，得1分；缺1项，得0.5分。</w:t>
            </w:r>
          </w:p>
          <w:p w14:paraId="000D366F">
            <w:pPr>
              <w:jc w:val="left"/>
              <w:rPr>
                <w:rFonts w:ascii="仿宋_GB2312" w:hAnsi="仿宋_GB2312" w:eastAsia="仿宋_GB2312" w:cs="仿宋_GB2312"/>
              </w:rPr>
            </w:pPr>
            <w:r>
              <w:rPr>
                <w:rFonts w:hint="eastAsia" w:ascii="仿宋_GB2312" w:hAnsi="仿宋_GB2312" w:eastAsia="仿宋_GB2312" w:cs="仿宋_GB2312"/>
              </w:rPr>
              <w:t>2、针对性：针对性强，得1分；针对性一般，得0.5分；缺乏针对性，得0分。</w:t>
            </w:r>
          </w:p>
          <w:p w14:paraId="5E6287D0">
            <w:pPr>
              <w:jc w:val="left"/>
              <w:rPr>
                <w:rFonts w:ascii="仿宋_GB2312" w:hAnsi="仿宋_GB2312" w:eastAsia="仿宋_GB2312" w:cs="仿宋_GB2312"/>
              </w:rPr>
            </w:pPr>
            <w:r>
              <w:rPr>
                <w:rFonts w:hint="eastAsia" w:ascii="仿宋_GB2312" w:hAnsi="仿宋_GB2312" w:eastAsia="仿宋_GB2312" w:cs="仿宋_GB2312"/>
              </w:rPr>
              <w:t>3、可实施性：可实施性强，得1分；可实施性一般，得0.5分；缺乏可实施性，得0分。</w:t>
            </w:r>
          </w:p>
          <w:p w14:paraId="204FE367">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2695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91" w:type="dxa"/>
            <w:vMerge w:val="continue"/>
            <w:vAlign w:val="center"/>
          </w:tcPr>
          <w:p w14:paraId="27DA11FA">
            <w:pPr>
              <w:jc w:val="center"/>
              <w:rPr>
                <w:rFonts w:ascii="仿宋_GB2312" w:hAnsi="仿宋_GB2312" w:eastAsia="仿宋_GB2312" w:cs="仿宋_GB2312"/>
              </w:rPr>
            </w:pPr>
          </w:p>
        </w:tc>
        <w:tc>
          <w:tcPr>
            <w:tcW w:w="840" w:type="dxa"/>
            <w:vMerge w:val="continue"/>
            <w:vAlign w:val="center"/>
          </w:tcPr>
          <w:p w14:paraId="1A146248">
            <w:pPr>
              <w:jc w:val="center"/>
              <w:rPr>
                <w:rFonts w:ascii="仿宋_GB2312" w:hAnsi="仿宋_GB2312" w:eastAsia="仿宋_GB2312" w:cs="仿宋_GB2312"/>
              </w:rPr>
            </w:pPr>
          </w:p>
        </w:tc>
        <w:tc>
          <w:tcPr>
            <w:tcW w:w="826" w:type="dxa"/>
            <w:vAlign w:val="center"/>
          </w:tcPr>
          <w:p w14:paraId="1F4D8263">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组织措施</w:t>
            </w:r>
          </w:p>
        </w:tc>
        <w:tc>
          <w:tcPr>
            <w:tcW w:w="787" w:type="dxa"/>
            <w:vAlign w:val="center"/>
          </w:tcPr>
          <w:p w14:paraId="6DD79611">
            <w:pPr>
              <w:widowControl w:val="0"/>
              <w:snapToGrid w:val="0"/>
              <w:jc w:val="center"/>
              <w:rPr>
                <w:rFonts w:ascii="仿宋_GB2312" w:hAnsi="仿宋_GB2312" w:eastAsia="仿宋_GB2312" w:cs="仿宋_GB2312"/>
              </w:rPr>
            </w:pPr>
            <w:r>
              <w:rPr>
                <w:rFonts w:hint="eastAsia" w:ascii="仿宋_GB2312" w:hAnsi="仿宋_GB2312" w:eastAsia="仿宋_GB2312" w:cs="仿宋_GB2312"/>
              </w:rPr>
              <w:t>1</w:t>
            </w:r>
          </w:p>
        </w:tc>
        <w:tc>
          <w:tcPr>
            <w:tcW w:w="5838" w:type="dxa"/>
            <w:vAlign w:val="center"/>
          </w:tcPr>
          <w:p w14:paraId="35A329D4">
            <w:pPr>
              <w:jc w:val="left"/>
              <w:rPr>
                <w:rFonts w:ascii="仿宋_GB2312" w:hAnsi="仿宋_GB2312" w:eastAsia="仿宋_GB2312" w:cs="仿宋_GB2312"/>
              </w:rPr>
            </w:pPr>
            <w:r>
              <w:rPr>
                <w:rFonts w:hint="eastAsia" w:ascii="仿宋_GB2312" w:hAnsi="仿宋_GB2312" w:eastAsia="仿宋_GB2312" w:cs="仿宋_GB2312"/>
              </w:rPr>
              <w:t>针对本项目提供实施具体人员配置清单，包含：具体成员姓名、年龄、职称（职业资格证书）、本行业工作年限，工作经历、岗位，职责。提供以上清单中所有内容得1分，不提供或缺项不得分。</w:t>
            </w:r>
          </w:p>
        </w:tc>
      </w:tr>
      <w:tr w14:paraId="5940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91" w:type="dxa"/>
            <w:vMerge w:val="continue"/>
            <w:vAlign w:val="center"/>
          </w:tcPr>
          <w:p w14:paraId="3361A4D9">
            <w:pPr>
              <w:jc w:val="center"/>
              <w:rPr>
                <w:rFonts w:ascii="仿宋_GB2312" w:hAnsi="仿宋_GB2312" w:eastAsia="仿宋_GB2312" w:cs="仿宋_GB2312"/>
              </w:rPr>
            </w:pPr>
          </w:p>
        </w:tc>
        <w:tc>
          <w:tcPr>
            <w:tcW w:w="840" w:type="dxa"/>
            <w:vMerge w:val="continue"/>
            <w:vAlign w:val="center"/>
          </w:tcPr>
          <w:p w14:paraId="19166D11">
            <w:pPr>
              <w:jc w:val="center"/>
              <w:rPr>
                <w:rFonts w:ascii="仿宋_GB2312" w:hAnsi="仿宋_GB2312" w:eastAsia="仿宋_GB2312" w:cs="仿宋_GB2312"/>
              </w:rPr>
            </w:pPr>
          </w:p>
        </w:tc>
        <w:tc>
          <w:tcPr>
            <w:tcW w:w="826" w:type="dxa"/>
            <w:vAlign w:val="center"/>
          </w:tcPr>
          <w:p w14:paraId="32C3FF11">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新材料新工艺</w:t>
            </w:r>
          </w:p>
        </w:tc>
        <w:tc>
          <w:tcPr>
            <w:tcW w:w="787" w:type="dxa"/>
            <w:vAlign w:val="center"/>
          </w:tcPr>
          <w:p w14:paraId="237242D3">
            <w:pPr>
              <w:widowControl w:val="0"/>
              <w:snapToGrid w:val="0"/>
              <w:jc w:val="center"/>
              <w:rPr>
                <w:rFonts w:ascii="仿宋_GB2312" w:hAnsi="仿宋_GB2312" w:eastAsia="仿宋_GB2312" w:cs="仿宋_GB2312"/>
              </w:rPr>
            </w:pPr>
            <w:r>
              <w:rPr>
                <w:rFonts w:hint="eastAsia" w:ascii="仿宋_GB2312" w:hAnsi="仿宋_GB2312" w:eastAsia="仿宋_GB2312" w:cs="仿宋_GB2312"/>
              </w:rPr>
              <w:t>3</w:t>
            </w:r>
          </w:p>
        </w:tc>
        <w:tc>
          <w:tcPr>
            <w:tcW w:w="5838" w:type="dxa"/>
            <w:vAlign w:val="center"/>
          </w:tcPr>
          <w:p w14:paraId="26FAEDA7">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41E78A42">
            <w:pPr>
              <w:jc w:val="left"/>
              <w:rPr>
                <w:rFonts w:ascii="仿宋_GB2312" w:hAnsi="仿宋_GB2312" w:eastAsia="仿宋_GB2312" w:cs="仿宋_GB2312"/>
              </w:rPr>
            </w:pPr>
            <w:r>
              <w:rPr>
                <w:rFonts w:hint="eastAsia" w:ascii="仿宋_GB2312" w:hAnsi="仿宋_GB2312" w:eastAsia="仿宋_GB2312" w:cs="仿宋_GB2312"/>
              </w:rPr>
              <w:t>响应人提供本项目新材料新工艺，包括①新技术和新工艺的应用情况②新产品和新材料的应用情况。</w:t>
            </w:r>
          </w:p>
          <w:p w14:paraId="099D68B9">
            <w:pPr>
              <w:jc w:val="left"/>
              <w:rPr>
                <w:rFonts w:ascii="仿宋_GB2312" w:hAnsi="仿宋_GB2312" w:eastAsia="仿宋_GB2312" w:cs="仿宋_GB2312"/>
                <w:b/>
                <w:bCs/>
              </w:rPr>
            </w:pPr>
            <w:r>
              <w:rPr>
                <w:rFonts w:hint="eastAsia" w:ascii="仿宋_GB2312" w:hAnsi="仿宋_GB2312" w:eastAsia="仿宋_GB2312" w:cs="仿宋_GB2312"/>
                <w:b/>
                <w:bCs/>
              </w:rPr>
              <w:t>二、赋分标准</w:t>
            </w:r>
          </w:p>
          <w:p w14:paraId="1FF21D7A">
            <w:pPr>
              <w:jc w:val="left"/>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1、完整性：方案内容完整全面，对上述各项内容均有描述，得1分；缺1项，得0.5分。</w:t>
            </w:r>
          </w:p>
          <w:p w14:paraId="3EA40485">
            <w:pPr>
              <w:jc w:val="left"/>
              <w:rPr>
                <w:rFonts w:ascii="仿宋_GB2312" w:hAnsi="仿宋_GB2312" w:eastAsia="仿宋_GB2312" w:cs="仿宋_GB2312"/>
              </w:rPr>
            </w:pPr>
            <w:r>
              <w:rPr>
                <w:rFonts w:hint="eastAsia" w:ascii="仿宋_GB2312" w:hAnsi="仿宋_GB2312" w:eastAsia="仿宋_GB2312" w:cs="仿宋_GB2312"/>
              </w:rPr>
              <w:t>2、针对性：针对性强，得1分；针对性一般，得0.5分；缺乏针对性，得0分。</w:t>
            </w:r>
          </w:p>
          <w:p w14:paraId="04023967">
            <w:pPr>
              <w:jc w:val="left"/>
              <w:rPr>
                <w:rFonts w:ascii="仿宋_GB2312" w:hAnsi="仿宋_GB2312" w:eastAsia="仿宋_GB2312" w:cs="仿宋_GB2312"/>
              </w:rPr>
            </w:pPr>
            <w:r>
              <w:rPr>
                <w:rFonts w:hint="eastAsia" w:ascii="仿宋_GB2312" w:hAnsi="仿宋_GB2312" w:eastAsia="仿宋_GB2312" w:cs="仿宋_GB2312"/>
              </w:rPr>
              <w:t>3、可实施性：可实施性强，得1分；可实施性一般，得0.5分；缺乏可实施性，得0分。</w:t>
            </w:r>
          </w:p>
          <w:p w14:paraId="528EDE6E">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78B4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791" w:type="dxa"/>
            <w:vMerge w:val="continue"/>
            <w:vAlign w:val="center"/>
          </w:tcPr>
          <w:p w14:paraId="39D3B16E">
            <w:pPr>
              <w:jc w:val="center"/>
              <w:rPr>
                <w:rFonts w:ascii="仿宋_GB2312" w:hAnsi="仿宋_GB2312" w:eastAsia="仿宋_GB2312" w:cs="仿宋_GB2312"/>
              </w:rPr>
            </w:pPr>
          </w:p>
        </w:tc>
        <w:tc>
          <w:tcPr>
            <w:tcW w:w="840" w:type="dxa"/>
            <w:vMerge w:val="continue"/>
            <w:vAlign w:val="center"/>
          </w:tcPr>
          <w:p w14:paraId="6F93D23A">
            <w:pPr>
              <w:jc w:val="center"/>
              <w:rPr>
                <w:rFonts w:ascii="仿宋_GB2312" w:hAnsi="仿宋_GB2312" w:eastAsia="仿宋_GB2312" w:cs="仿宋_GB2312"/>
              </w:rPr>
            </w:pPr>
          </w:p>
        </w:tc>
        <w:tc>
          <w:tcPr>
            <w:tcW w:w="826" w:type="dxa"/>
            <w:vAlign w:val="center"/>
          </w:tcPr>
          <w:p w14:paraId="17C09F9C">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应急措施</w:t>
            </w:r>
          </w:p>
        </w:tc>
        <w:tc>
          <w:tcPr>
            <w:tcW w:w="787" w:type="dxa"/>
            <w:vAlign w:val="center"/>
          </w:tcPr>
          <w:p w14:paraId="5AE9E0DC">
            <w:pPr>
              <w:widowControl w:val="0"/>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5838" w:type="dxa"/>
            <w:vAlign w:val="center"/>
          </w:tcPr>
          <w:p w14:paraId="56F69617">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1CA73BC0">
            <w:pPr>
              <w:jc w:val="left"/>
              <w:rPr>
                <w:rFonts w:ascii="仿宋_GB2312" w:hAnsi="仿宋_GB2312" w:eastAsia="仿宋_GB2312" w:cs="仿宋_GB2312"/>
              </w:rPr>
            </w:pPr>
            <w:r>
              <w:rPr>
                <w:rFonts w:hint="eastAsia" w:ascii="仿宋_GB2312" w:hAnsi="仿宋_GB2312" w:eastAsia="仿宋_GB2312" w:cs="仿宋_GB2312"/>
              </w:rPr>
              <w:t>响应人提供本项目的紧急情况应急措施，包括①自然灾害应急措施：遇到极端天气、火灾、防汛、地震等其他突发事件的应急措施②安全事故应急措施：高空坠落伤害应急措施、触电应急措施、人员伤亡应急措施。</w:t>
            </w:r>
          </w:p>
          <w:p w14:paraId="7CCAF658">
            <w:pPr>
              <w:jc w:val="left"/>
              <w:rPr>
                <w:rFonts w:ascii="仿宋_GB2312" w:hAnsi="仿宋_GB2312" w:eastAsia="仿宋_GB2312" w:cs="仿宋_GB2312"/>
                <w:b/>
                <w:bCs/>
              </w:rPr>
            </w:pPr>
            <w:r>
              <w:rPr>
                <w:rFonts w:hint="eastAsia" w:ascii="仿宋_GB2312" w:hAnsi="仿宋_GB2312" w:eastAsia="仿宋_GB2312" w:cs="仿宋_GB2312"/>
                <w:b/>
                <w:bCs/>
              </w:rPr>
              <w:t>二、赋分标准</w:t>
            </w:r>
          </w:p>
          <w:p w14:paraId="58403DD0">
            <w:pPr>
              <w:jc w:val="left"/>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1、完整性：方案内容完整全面，对上述各项内容均有描述，得1分；缺1项，得0.5分。</w:t>
            </w:r>
          </w:p>
          <w:p w14:paraId="02BF6BF3">
            <w:pPr>
              <w:jc w:val="left"/>
              <w:rPr>
                <w:rFonts w:ascii="仿宋_GB2312" w:hAnsi="仿宋_GB2312" w:eastAsia="仿宋_GB2312" w:cs="仿宋_GB2312"/>
              </w:rPr>
            </w:pPr>
            <w:r>
              <w:rPr>
                <w:rFonts w:hint="eastAsia" w:ascii="仿宋_GB2312" w:hAnsi="仿宋_GB2312" w:eastAsia="仿宋_GB2312" w:cs="仿宋_GB2312"/>
              </w:rPr>
              <w:t>2、针对性：针对性强，得2分；针对性一般，得1分；缺乏针对性，得0分。</w:t>
            </w:r>
          </w:p>
          <w:p w14:paraId="409B4F38">
            <w:pPr>
              <w:jc w:val="left"/>
              <w:rPr>
                <w:rFonts w:ascii="仿宋_GB2312" w:hAnsi="仿宋_GB2312" w:eastAsia="仿宋_GB2312" w:cs="仿宋_GB2312"/>
              </w:rPr>
            </w:pPr>
            <w:r>
              <w:rPr>
                <w:rFonts w:hint="eastAsia" w:ascii="仿宋_GB2312" w:hAnsi="仿宋_GB2312" w:eastAsia="仿宋_GB2312" w:cs="仿宋_GB2312"/>
              </w:rPr>
              <w:t>3、可实施性：可实施性强，得2分；可实施性一般，得1分；缺乏可实施性，得0分。</w:t>
            </w:r>
          </w:p>
          <w:p w14:paraId="37ED9501">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50C4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Merge w:val="continue"/>
            <w:vAlign w:val="center"/>
          </w:tcPr>
          <w:p w14:paraId="678CE433">
            <w:pPr>
              <w:rPr>
                <w:rFonts w:ascii="仿宋_GB2312" w:hAnsi="仿宋_GB2312" w:eastAsia="仿宋_GB2312" w:cs="仿宋_GB2312"/>
              </w:rPr>
            </w:pPr>
          </w:p>
        </w:tc>
        <w:tc>
          <w:tcPr>
            <w:tcW w:w="840" w:type="dxa"/>
            <w:vMerge w:val="continue"/>
            <w:vAlign w:val="center"/>
          </w:tcPr>
          <w:p w14:paraId="79F33C97">
            <w:pPr>
              <w:rPr>
                <w:rFonts w:ascii="仿宋_GB2312" w:hAnsi="仿宋_GB2312" w:eastAsia="仿宋_GB2312" w:cs="仿宋_GB2312"/>
              </w:rPr>
            </w:pPr>
          </w:p>
        </w:tc>
        <w:tc>
          <w:tcPr>
            <w:tcW w:w="826" w:type="dxa"/>
            <w:vAlign w:val="center"/>
          </w:tcPr>
          <w:p w14:paraId="64EEF13F">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资源配置计划</w:t>
            </w:r>
          </w:p>
        </w:tc>
        <w:tc>
          <w:tcPr>
            <w:tcW w:w="787" w:type="dxa"/>
            <w:vAlign w:val="center"/>
          </w:tcPr>
          <w:p w14:paraId="57323E30">
            <w:pPr>
              <w:widowControl w:val="0"/>
              <w:snapToGrid w:val="0"/>
              <w:jc w:val="center"/>
              <w:rPr>
                <w:rFonts w:ascii="仿宋_GB2312" w:hAnsi="仿宋_GB2312" w:eastAsia="仿宋_GB2312" w:cs="仿宋_GB2312"/>
              </w:rPr>
            </w:pPr>
            <w:r>
              <w:rPr>
                <w:rFonts w:hint="eastAsia" w:ascii="仿宋_GB2312" w:hAnsi="仿宋_GB2312" w:eastAsia="仿宋_GB2312" w:cs="仿宋_GB2312"/>
              </w:rPr>
              <w:t>5</w:t>
            </w:r>
          </w:p>
        </w:tc>
        <w:tc>
          <w:tcPr>
            <w:tcW w:w="5838" w:type="dxa"/>
            <w:vAlign w:val="center"/>
          </w:tcPr>
          <w:p w14:paraId="22FBE226">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655C4BB8">
            <w:pPr>
              <w:jc w:val="left"/>
              <w:rPr>
                <w:rFonts w:ascii="仿宋_GB2312" w:hAnsi="仿宋_GB2312" w:eastAsia="仿宋_GB2312" w:cs="仿宋_GB2312"/>
              </w:rPr>
            </w:pPr>
            <w:r>
              <w:rPr>
                <w:rFonts w:hint="eastAsia" w:ascii="仿宋_GB2312" w:hAnsi="仿宋_GB2312" w:eastAsia="仿宋_GB2312" w:cs="仿宋_GB2312"/>
              </w:rPr>
              <w:t>响应人提供本项目的资源配置计划，包括①拟投入的主要施工机械设备计划②主要材料进场计划③劳动力投入计划。</w:t>
            </w:r>
          </w:p>
          <w:p w14:paraId="48D66DB0">
            <w:pPr>
              <w:jc w:val="left"/>
              <w:rPr>
                <w:rFonts w:ascii="仿宋_GB2312" w:hAnsi="仿宋_GB2312" w:eastAsia="仿宋_GB2312" w:cs="仿宋_GB2312"/>
                <w:b/>
                <w:bCs/>
              </w:rPr>
            </w:pPr>
            <w:r>
              <w:rPr>
                <w:rFonts w:hint="eastAsia" w:ascii="仿宋_GB2312" w:hAnsi="仿宋_GB2312" w:eastAsia="仿宋_GB2312" w:cs="仿宋_GB2312"/>
                <w:b/>
                <w:bCs/>
              </w:rPr>
              <w:t>二、赋分标准</w:t>
            </w:r>
          </w:p>
          <w:p w14:paraId="7F88F2BC">
            <w:pPr>
              <w:jc w:val="left"/>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1、完整性：方案内容完整全面，对上述各项内容均有描述，得1分；缺1项，得0.7分；缺2项，得0.4分。</w:t>
            </w:r>
          </w:p>
          <w:p w14:paraId="2EBE62D1">
            <w:pPr>
              <w:jc w:val="left"/>
              <w:rPr>
                <w:rFonts w:ascii="仿宋_GB2312" w:hAnsi="仿宋_GB2312" w:eastAsia="仿宋_GB2312" w:cs="仿宋_GB2312"/>
              </w:rPr>
            </w:pPr>
            <w:r>
              <w:rPr>
                <w:rFonts w:hint="eastAsia" w:ascii="仿宋_GB2312" w:hAnsi="仿宋_GB2312" w:eastAsia="仿宋_GB2312" w:cs="仿宋_GB2312"/>
              </w:rPr>
              <w:t>2、针对性：针对性强，得2分；针对性一般，得1分；缺乏针对性，得0分。</w:t>
            </w:r>
          </w:p>
          <w:p w14:paraId="78669FCA">
            <w:pPr>
              <w:jc w:val="left"/>
              <w:rPr>
                <w:rFonts w:ascii="仿宋_GB2312" w:hAnsi="仿宋_GB2312" w:eastAsia="仿宋_GB2312" w:cs="仿宋_GB2312"/>
              </w:rPr>
            </w:pPr>
            <w:r>
              <w:rPr>
                <w:rFonts w:hint="eastAsia" w:ascii="仿宋_GB2312" w:hAnsi="仿宋_GB2312" w:eastAsia="仿宋_GB2312" w:cs="仿宋_GB2312"/>
              </w:rPr>
              <w:t>3、可实施性：可实施性强，得2分；可实施性一般，得1分；缺乏可实施性，得0分。</w:t>
            </w:r>
          </w:p>
          <w:p w14:paraId="7BCC1710">
            <w:pPr>
              <w:jc w:val="left"/>
              <w:rPr>
                <w:rFonts w:ascii="仿宋_GB2312" w:hAnsi="仿宋_GB2312" w:eastAsia="仿宋_GB2312" w:cs="仿宋_GB2312"/>
              </w:rPr>
            </w:pPr>
            <w:r>
              <w:rPr>
                <w:rFonts w:hint="eastAsia" w:ascii="仿宋_GB2312" w:hAnsi="仿宋_GB2312" w:eastAsia="仿宋_GB2312" w:cs="仿宋_GB2312"/>
              </w:rPr>
              <w:t>此项不提供不得分。</w:t>
            </w:r>
          </w:p>
        </w:tc>
      </w:tr>
      <w:tr w14:paraId="113C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Merge w:val="continue"/>
            <w:vAlign w:val="center"/>
          </w:tcPr>
          <w:p w14:paraId="516E404D">
            <w:pPr>
              <w:rPr>
                <w:rFonts w:ascii="仿宋_GB2312" w:hAnsi="仿宋_GB2312" w:eastAsia="仿宋_GB2312" w:cs="仿宋_GB2312"/>
              </w:rPr>
            </w:pPr>
          </w:p>
        </w:tc>
        <w:tc>
          <w:tcPr>
            <w:tcW w:w="840" w:type="dxa"/>
            <w:vMerge w:val="continue"/>
            <w:vAlign w:val="center"/>
          </w:tcPr>
          <w:p w14:paraId="1136490B">
            <w:pPr>
              <w:snapToGrid w:val="0"/>
              <w:rPr>
                <w:rFonts w:ascii="仿宋_GB2312" w:hAnsi="仿宋_GB2312" w:eastAsia="仿宋_GB2312" w:cs="仿宋_GB2312"/>
              </w:rPr>
            </w:pPr>
          </w:p>
        </w:tc>
        <w:tc>
          <w:tcPr>
            <w:tcW w:w="826" w:type="dxa"/>
            <w:vAlign w:val="center"/>
          </w:tcPr>
          <w:p w14:paraId="5D9C818A">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施工重难点</w:t>
            </w:r>
          </w:p>
        </w:tc>
        <w:tc>
          <w:tcPr>
            <w:tcW w:w="787" w:type="dxa"/>
            <w:vAlign w:val="center"/>
          </w:tcPr>
          <w:p w14:paraId="3A28BBFC">
            <w:pPr>
              <w:jc w:val="center"/>
              <w:rPr>
                <w:rFonts w:ascii="仿宋_GB2312" w:hAnsi="仿宋_GB2312" w:eastAsia="仿宋_GB2312" w:cs="仿宋_GB2312"/>
              </w:rPr>
            </w:pPr>
            <w:r>
              <w:rPr>
                <w:rFonts w:hint="eastAsia" w:ascii="仿宋_GB2312" w:hAnsi="仿宋_GB2312" w:eastAsia="仿宋_GB2312" w:cs="仿宋_GB2312"/>
              </w:rPr>
              <w:t>5</w:t>
            </w:r>
          </w:p>
        </w:tc>
        <w:tc>
          <w:tcPr>
            <w:tcW w:w="5838" w:type="dxa"/>
            <w:vAlign w:val="center"/>
          </w:tcPr>
          <w:p w14:paraId="6B2CBADD">
            <w:pPr>
              <w:jc w:val="left"/>
              <w:rPr>
                <w:rFonts w:ascii="仿宋_GB2312" w:hAnsi="仿宋_GB2312" w:eastAsia="仿宋_GB2312" w:cs="仿宋_GB2312"/>
                <w:b/>
                <w:bCs/>
              </w:rPr>
            </w:pPr>
            <w:r>
              <w:rPr>
                <w:rFonts w:hint="eastAsia" w:ascii="仿宋_GB2312" w:hAnsi="仿宋_GB2312" w:eastAsia="仿宋_GB2312" w:cs="仿宋_GB2312"/>
                <w:b/>
                <w:bCs/>
              </w:rPr>
              <w:t>一、评审内容</w:t>
            </w:r>
          </w:p>
          <w:p w14:paraId="2A29956F">
            <w:pPr>
              <w:jc w:val="left"/>
              <w:rPr>
                <w:rFonts w:ascii="仿宋_GB2312" w:hAnsi="仿宋_GB2312" w:eastAsia="仿宋_GB2312" w:cs="仿宋_GB2312"/>
              </w:rPr>
            </w:pPr>
            <w:r>
              <w:rPr>
                <w:rFonts w:hint="eastAsia" w:ascii="仿宋_GB2312" w:hAnsi="仿宋_GB2312" w:eastAsia="仿宋_GB2312" w:cs="仿宋_GB2312"/>
              </w:rPr>
              <w:t>响应人提供本项目的施工重难点，包括①施工重难点分析②重难点解决方案</w:t>
            </w:r>
          </w:p>
          <w:p w14:paraId="2403EB7E">
            <w:pPr>
              <w:jc w:val="left"/>
              <w:rPr>
                <w:rFonts w:ascii="仿宋_GB2312" w:hAnsi="仿宋_GB2312" w:eastAsia="仿宋_GB2312" w:cs="仿宋_GB2312"/>
                <w:b/>
                <w:bCs/>
              </w:rPr>
            </w:pPr>
            <w:r>
              <w:rPr>
                <w:rFonts w:hint="eastAsia" w:ascii="仿宋_GB2312" w:hAnsi="仿宋_GB2312" w:eastAsia="仿宋_GB2312" w:cs="仿宋_GB2312"/>
                <w:b/>
                <w:bCs/>
              </w:rPr>
              <w:t>二、赋分标准</w:t>
            </w:r>
          </w:p>
          <w:p w14:paraId="4939B512">
            <w:pPr>
              <w:jc w:val="left"/>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1、完整性：方案内容完整全面，对上述各项内容均有描述，得1分；缺1项，得0.5分。</w:t>
            </w:r>
          </w:p>
          <w:p w14:paraId="11262503">
            <w:pPr>
              <w:jc w:val="left"/>
              <w:rPr>
                <w:rFonts w:ascii="仿宋_GB2312" w:hAnsi="仿宋_GB2312" w:eastAsia="仿宋_GB2312" w:cs="仿宋_GB2312"/>
              </w:rPr>
            </w:pPr>
            <w:r>
              <w:rPr>
                <w:rFonts w:hint="eastAsia" w:ascii="仿宋_GB2312" w:hAnsi="仿宋_GB2312" w:eastAsia="仿宋_GB2312" w:cs="仿宋_GB2312"/>
              </w:rPr>
              <w:t>2、针对性：针对性强，得2分；针对性一般，得1分；缺乏针对性，得0分。</w:t>
            </w:r>
          </w:p>
          <w:p w14:paraId="50EC553F">
            <w:pPr>
              <w:jc w:val="left"/>
              <w:rPr>
                <w:rFonts w:ascii="仿宋_GB2312" w:hAnsi="仿宋_GB2312" w:eastAsia="仿宋_GB2312" w:cs="仿宋_GB2312"/>
              </w:rPr>
            </w:pPr>
            <w:r>
              <w:rPr>
                <w:rFonts w:hint="eastAsia" w:ascii="仿宋_GB2312" w:hAnsi="仿宋_GB2312" w:eastAsia="仿宋_GB2312" w:cs="仿宋_GB2312"/>
              </w:rPr>
              <w:t>3、可实施性：可实施性强，得2分；可实施性一般，得1分；缺乏可实施性，得0分。</w:t>
            </w:r>
          </w:p>
          <w:p w14:paraId="072000F4">
            <w:pPr>
              <w:jc w:val="left"/>
              <w:rPr>
                <w:rFonts w:ascii="仿宋_GB2312" w:hAnsi="仿宋_GB2312" w:eastAsia="仿宋_GB2312" w:cs="仿宋_GB2312"/>
                <w:b/>
                <w:bCs/>
              </w:rPr>
            </w:pPr>
            <w:r>
              <w:rPr>
                <w:rFonts w:hint="eastAsia" w:ascii="仿宋_GB2312" w:hAnsi="仿宋_GB2312" w:eastAsia="仿宋_GB2312" w:cs="仿宋_GB2312"/>
              </w:rPr>
              <w:t>此项不提供不得分。</w:t>
            </w:r>
          </w:p>
        </w:tc>
      </w:tr>
      <w:tr w14:paraId="3CEF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vMerge w:val="continue"/>
            <w:vAlign w:val="center"/>
          </w:tcPr>
          <w:p w14:paraId="5B3DEFC8">
            <w:pPr>
              <w:rPr>
                <w:rFonts w:ascii="仿宋_GB2312" w:hAnsi="仿宋_GB2312" w:eastAsia="仿宋_GB2312" w:cs="仿宋_GB2312"/>
              </w:rPr>
            </w:pPr>
          </w:p>
        </w:tc>
        <w:tc>
          <w:tcPr>
            <w:tcW w:w="840" w:type="dxa"/>
            <w:vMerge w:val="continue"/>
            <w:vAlign w:val="center"/>
          </w:tcPr>
          <w:p w14:paraId="0766670B">
            <w:pPr>
              <w:snapToGrid w:val="0"/>
              <w:rPr>
                <w:rFonts w:ascii="仿宋_GB2312" w:hAnsi="仿宋_GB2312" w:eastAsia="仿宋_GB2312" w:cs="仿宋_GB2312"/>
              </w:rPr>
            </w:pPr>
          </w:p>
        </w:tc>
        <w:tc>
          <w:tcPr>
            <w:tcW w:w="826" w:type="dxa"/>
            <w:vAlign w:val="center"/>
          </w:tcPr>
          <w:p w14:paraId="7BDBF9A7">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节能环保产品</w:t>
            </w:r>
          </w:p>
        </w:tc>
        <w:tc>
          <w:tcPr>
            <w:tcW w:w="787" w:type="dxa"/>
            <w:vAlign w:val="center"/>
          </w:tcPr>
          <w:p w14:paraId="7D43BC15">
            <w:pPr>
              <w:jc w:val="center"/>
              <w:rPr>
                <w:rFonts w:ascii="仿宋_GB2312" w:hAnsi="仿宋_GB2312" w:eastAsia="仿宋_GB2312" w:cs="仿宋_GB2312"/>
              </w:rPr>
            </w:pPr>
            <w:r>
              <w:rPr>
                <w:rFonts w:hint="eastAsia" w:ascii="仿宋_GB2312" w:hAnsi="仿宋_GB2312" w:eastAsia="仿宋_GB2312" w:cs="仿宋_GB2312"/>
              </w:rPr>
              <w:t>6</w:t>
            </w:r>
          </w:p>
        </w:tc>
        <w:tc>
          <w:tcPr>
            <w:tcW w:w="5838" w:type="dxa"/>
            <w:vAlign w:val="center"/>
          </w:tcPr>
          <w:p w14:paraId="1EDB85E3">
            <w:pPr>
              <w:jc w:val="left"/>
              <w:rPr>
                <w:rFonts w:ascii="仿宋_GB2312" w:hAnsi="仿宋_GB2312" w:eastAsia="仿宋_GB2312" w:cs="仿宋_GB2312"/>
              </w:rPr>
            </w:pPr>
            <w:r>
              <w:rPr>
                <w:rFonts w:hint="eastAsia" w:ascii="仿宋_GB2312" w:hAnsi="仿宋_GB2312" w:eastAsia="仿宋_GB2312" w:cs="仿宋_GB2312"/>
              </w:rPr>
              <w:t>属于财库〔2019〕18号文件《环境标志产品政府采购品目清单》中的材料（例如水泥、商品混凝土、石膏板、墙面涂料、椅凳类、台、桌类、柜类等）或《节能产品政府采购品目清单》中的材料（例如照明设备等），每提供1份国家确定的认证机构出具的、有效期内的环境标志产品认证证书或节能产品认证证书得1分，最多得6分。</w:t>
            </w:r>
          </w:p>
          <w:p w14:paraId="0EDB893D">
            <w:pPr>
              <w:jc w:val="left"/>
              <w:rPr>
                <w:rFonts w:ascii="仿宋_GB2312" w:hAnsi="仿宋_GB2312" w:eastAsia="仿宋_GB2312" w:cs="仿宋_GB2312"/>
                <w:b/>
                <w:bCs/>
              </w:rPr>
            </w:pPr>
            <w:r>
              <w:rPr>
                <w:rFonts w:hint="eastAsia" w:ascii="仿宋_GB2312" w:hAnsi="仿宋_GB2312" w:eastAsia="仿宋_GB2312" w:cs="仿宋_GB2312"/>
                <w:b/>
                <w:bCs/>
              </w:rPr>
              <w:t>赋分依据：</w:t>
            </w:r>
            <w:r>
              <w:rPr>
                <w:rFonts w:hint="eastAsia" w:ascii="仿宋_GB2312" w:hAnsi="仿宋_GB2312" w:eastAsia="仿宋_GB2312" w:cs="仿宋_GB2312"/>
              </w:rPr>
              <w:t>磋商时需提供证书复印件加盖响应人公章，不提供不得分。</w:t>
            </w:r>
          </w:p>
        </w:tc>
      </w:tr>
      <w:tr w14:paraId="0052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91" w:type="dxa"/>
            <w:vMerge w:val="restart"/>
            <w:vAlign w:val="center"/>
          </w:tcPr>
          <w:p w14:paraId="37476CC1">
            <w:pPr>
              <w:pStyle w:val="17"/>
              <w:snapToGrid w:val="0"/>
              <w:spacing w:beforeAutospacing="0" w:afterAutospacing="0"/>
              <w:jc w:val="center"/>
              <w:rPr>
                <w:rFonts w:ascii="仿宋_GB2312" w:hAnsi="仿宋_GB2312" w:eastAsia="仿宋_GB2312" w:cs="仿宋_GB2312"/>
                <w:kern w:val="2"/>
                <w:sz w:val="28"/>
              </w:rPr>
            </w:pPr>
            <w:r>
              <w:rPr>
                <w:rFonts w:hint="eastAsia" w:ascii="仿宋_GB2312" w:hAnsi="仿宋_GB2312" w:eastAsia="仿宋_GB2312" w:cs="仿宋_GB2312"/>
                <w:kern w:val="2"/>
                <w:sz w:val="28"/>
              </w:rPr>
              <w:t>商务</w:t>
            </w:r>
          </w:p>
        </w:tc>
        <w:tc>
          <w:tcPr>
            <w:tcW w:w="840" w:type="dxa"/>
            <w:vMerge w:val="restart"/>
            <w:vAlign w:val="center"/>
          </w:tcPr>
          <w:p w14:paraId="26948D04">
            <w:pPr>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826" w:type="dxa"/>
            <w:vAlign w:val="center"/>
          </w:tcPr>
          <w:p w14:paraId="2FC50577">
            <w:pPr>
              <w:jc w:val="center"/>
              <w:rPr>
                <w:rFonts w:ascii="仿宋_GB2312" w:hAnsi="仿宋_GB2312" w:eastAsia="仿宋_GB2312" w:cs="仿宋_GB2312"/>
              </w:rPr>
            </w:pPr>
            <w:r>
              <w:rPr>
                <w:rFonts w:hint="eastAsia" w:ascii="仿宋_GB2312" w:hAnsi="仿宋_GB2312" w:eastAsia="仿宋_GB2312" w:cs="仿宋_GB2312"/>
                <w:color w:val="000000"/>
              </w:rPr>
              <w:t>业绩</w:t>
            </w:r>
          </w:p>
        </w:tc>
        <w:tc>
          <w:tcPr>
            <w:tcW w:w="787" w:type="dxa"/>
            <w:vAlign w:val="center"/>
          </w:tcPr>
          <w:p w14:paraId="2DD76D85">
            <w:pPr>
              <w:jc w:val="center"/>
              <w:rPr>
                <w:rFonts w:ascii="仿宋_GB2312" w:hAnsi="仿宋_GB2312" w:eastAsia="仿宋_GB2312" w:cs="仿宋_GB2312"/>
              </w:rPr>
            </w:pPr>
            <w:r>
              <w:rPr>
                <w:rFonts w:hint="eastAsia" w:ascii="仿宋_GB2312" w:hAnsi="仿宋_GB2312" w:eastAsia="仿宋_GB2312" w:cs="仿宋_GB2312"/>
                <w:color w:val="000000"/>
              </w:rPr>
              <w:t>4</w:t>
            </w:r>
          </w:p>
        </w:tc>
        <w:tc>
          <w:tcPr>
            <w:tcW w:w="5838" w:type="dxa"/>
            <w:vAlign w:val="center"/>
          </w:tcPr>
          <w:p w14:paraId="4E9A5562">
            <w:pPr>
              <w:rPr>
                <w:rFonts w:ascii="仿宋_GB2312" w:hAnsi="仿宋_GB2312" w:eastAsia="仿宋_GB2312" w:cs="仿宋_GB2312"/>
              </w:rPr>
            </w:pPr>
            <w:r>
              <w:rPr>
                <w:rFonts w:hint="eastAsia" w:ascii="仿宋_GB2312" w:hAnsi="仿宋_GB2312" w:eastAsia="仿宋_GB2312" w:cs="仿宋_GB2312"/>
              </w:rPr>
              <w:t>提供2022年1月1日以来同类项目合同复印件加盖响应人公章（以合同签订日期为准），每份1分，最多得4分。</w:t>
            </w:r>
          </w:p>
        </w:tc>
      </w:tr>
      <w:tr w14:paraId="7D79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91" w:type="dxa"/>
            <w:vMerge w:val="continue"/>
            <w:vAlign w:val="center"/>
          </w:tcPr>
          <w:p w14:paraId="22D5A712">
            <w:pPr>
              <w:pStyle w:val="17"/>
              <w:snapToGrid w:val="0"/>
              <w:spacing w:beforeAutospacing="0" w:afterAutospacing="0"/>
              <w:jc w:val="center"/>
              <w:rPr>
                <w:rFonts w:ascii="仿宋_GB2312" w:hAnsi="仿宋_GB2312" w:eastAsia="仿宋_GB2312" w:cs="仿宋_GB2312"/>
                <w:kern w:val="2"/>
                <w:sz w:val="28"/>
              </w:rPr>
            </w:pPr>
          </w:p>
        </w:tc>
        <w:tc>
          <w:tcPr>
            <w:tcW w:w="840" w:type="dxa"/>
            <w:vMerge w:val="continue"/>
            <w:vAlign w:val="center"/>
          </w:tcPr>
          <w:p w14:paraId="1717B8B0">
            <w:pPr>
              <w:snapToGrid w:val="0"/>
              <w:jc w:val="center"/>
              <w:rPr>
                <w:rFonts w:ascii="仿宋_GB2312" w:hAnsi="仿宋_GB2312" w:eastAsia="仿宋_GB2312" w:cs="仿宋_GB2312"/>
              </w:rPr>
            </w:pPr>
          </w:p>
        </w:tc>
        <w:tc>
          <w:tcPr>
            <w:tcW w:w="826" w:type="dxa"/>
            <w:vAlign w:val="center"/>
          </w:tcPr>
          <w:p w14:paraId="183BD7B6">
            <w:pPr>
              <w:autoSpaceDE w:val="0"/>
              <w:autoSpaceDN w:val="0"/>
              <w:adjustRightInd w:val="0"/>
              <w:jc w:val="center"/>
              <w:rPr>
                <w:rFonts w:ascii="仿宋_GB2312" w:hAnsi="仿宋_GB2312" w:eastAsia="仿宋_GB2312" w:cs="仿宋_GB2312"/>
              </w:rPr>
            </w:pPr>
            <w:r>
              <w:rPr>
                <w:rFonts w:hint="eastAsia" w:ascii="仿宋_GB2312" w:hAnsi="仿宋_GB2312" w:eastAsia="仿宋_GB2312" w:cs="仿宋_GB2312"/>
              </w:rPr>
              <w:t>保修方案</w:t>
            </w:r>
          </w:p>
        </w:tc>
        <w:tc>
          <w:tcPr>
            <w:tcW w:w="787" w:type="dxa"/>
            <w:vAlign w:val="center"/>
          </w:tcPr>
          <w:p w14:paraId="649801A8">
            <w:pPr>
              <w:autoSpaceDE w:val="0"/>
              <w:autoSpaceDN w:val="0"/>
              <w:adjustRightInd w:val="0"/>
              <w:jc w:val="center"/>
              <w:rPr>
                <w:rFonts w:ascii="仿宋_GB2312" w:hAnsi="仿宋_GB2312" w:eastAsia="仿宋_GB2312" w:cs="仿宋_GB2312"/>
                <w:bCs/>
              </w:rPr>
            </w:pPr>
            <w:r>
              <w:rPr>
                <w:rFonts w:hint="eastAsia" w:ascii="仿宋_GB2312" w:hAnsi="仿宋_GB2312" w:eastAsia="仿宋_GB2312" w:cs="仿宋_GB2312"/>
                <w:bCs/>
              </w:rPr>
              <w:t>6</w:t>
            </w:r>
          </w:p>
        </w:tc>
        <w:tc>
          <w:tcPr>
            <w:tcW w:w="5838" w:type="dxa"/>
            <w:vAlign w:val="center"/>
          </w:tcPr>
          <w:p w14:paraId="4F8226ED">
            <w:pPr>
              <w:rPr>
                <w:rFonts w:ascii="仿宋_GB2312" w:hAnsi="仿宋_GB2312" w:eastAsia="仿宋_GB2312" w:cs="仿宋_GB2312"/>
              </w:rPr>
            </w:pPr>
            <w:r>
              <w:rPr>
                <w:rFonts w:hint="eastAsia" w:ascii="仿宋_GB2312" w:hAnsi="仿宋_GB2312" w:eastAsia="仿宋_GB2312" w:cs="仿宋_GB2312"/>
                <w:b/>
                <w:bCs/>
              </w:rPr>
              <w:t>一、评审内容</w:t>
            </w:r>
          </w:p>
          <w:p w14:paraId="402A50F3">
            <w:pPr>
              <w:rPr>
                <w:rFonts w:ascii="仿宋_GB2312" w:hAnsi="仿宋_GB2312" w:eastAsia="仿宋_GB2312" w:cs="仿宋_GB2312"/>
              </w:rPr>
            </w:pPr>
            <w:r>
              <w:rPr>
                <w:rFonts w:hint="eastAsia" w:ascii="仿宋_GB2312" w:hAnsi="仿宋_GB2312" w:eastAsia="仿宋_GB2312" w:cs="仿宋_GB2312"/>
              </w:rPr>
              <w:t>响应人提供本项目的保修方案，包括①工程保修期②维护次数和维修费用③维修人员配备和服务措施④响应时间。</w:t>
            </w:r>
          </w:p>
          <w:p w14:paraId="7B7D3B47">
            <w:pPr>
              <w:rPr>
                <w:rFonts w:ascii="仿宋_GB2312" w:hAnsi="仿宋_GB2312" w:eastAsia="仿宋_GB2312" w:cs="仿宋_GB2312"/>
                <w:b/>
                <w:bCs/>
              </w:rPr>
            </w:pPr>
            <w:r>
              <w:rPr>
                <w:rFonts w:hint="eastAsia" w:ascii="仿宋_GB2312" w:hAnsi="仿宋_GB2312" w:eastAsia="仿宋_GB2312" w:cs="仿宋_GB2312"/>
                <w:b/>
                <w:bCs/>
              </w:rPr>
              <w:t>二、赋分标准</w:t>
            </w:r>
          </w:p>
          <w:p w14:paraId="7383D59B">
            <w:pPr>
              <w:rPr>
                <w:rFonts w:ascii="仿宋_GB2312" w:hAnsi="仿宋_GB2312" w:eastAsia="仿宋_GB2312" w:cs="仿宋_GB2312"/>
              </w:rPr>
            </w:pPr>
            <w:r>
              <w:rPr>
                <w:rFonts w:hint="eastAsia" w:ascii="仿宋_GB2312" w:hAnsi="仿宋_GB2312" w:eastAsia="仿宋_GB2312" w:cs="仿宋_GB2312"/>
              </w:rPr>
              <w:t>1、完整性：方案内容完整全面，对上述各项内容均有描述，得2分；缺1项，得1.5分；缺2项，得1分；缺3项，得0.5分。</w:t>
            </w:r>
          </w:p>
          <w:p w14:paraId="4933E431">
            <w:pPr>
              <w:rPr>
                <w:rFonts w:ascii="仿宋_GB2312" w:hAnsi="仿宋_GB2312" w:eastAsia="仿宋_GB2312" w:cs="仿宋_GB2312"/>
              </w:rPr>
            </w:pPr>
            <w:r>
              <w:rPr>
                <w:rFonts w:hint="eastAsia" w:ascii="仿宋_GB2312" w:hAnsi="仿宋_GB2312" w:eastAsia="仿宋_GB2312" w:cs="仿宋_GB2312"/>
              </w:rPr>
              <w:t>2、针对性：针对性强，得2分；针对性一般，得1分；缺乏针对性，得0分。</w:t>
            </w:r>
          </w:p>
          <w:p w14:paraId="67BE07A5">
            <w:pPr>
              <w:rPr>
                <w:rFonts w:ascii="仿宋_GB2312" w:hAnsi="仿宋_GB2312" w:eastAsia="仿宋_GB2312" w:cs="仿宋_GB2312"/>
              </w:rPr>
            </w:pPr>
            <w:r>
              <w:rPr>
                <w:rFonts w:hint="eastAsia" w:ascii="仿宋_GB2312" w:hAnsi="仿宋_GB2312" w:eastAsia="仿宋_GB2312" w:cs="仿宋_GB2312"/>
              </w:rPr>
              <w:t>3、可实施性：可实施性强，得2分；可实施性一般，得1分；缺乏可实施性，得0分。</w:t>
            </w:r>
          </w:p>
          <w:p w14:paraId="5F77429B">
            <w:pPr>
              <w:rPr>
                <w:rFonts w:ascii="仿宋_GB2312" w:hAnsi="仿宋_GB2312" w:eastAsia="仿宋_GB2312" w:cs="仿宋_GB2312"/>
              </w:rPr>
            </w:pPr>
            <w:r>
              <w:rPr>
                <w:rFonts w:hint="eastAsia" w:ascii="仿宋_GB2312" w:hAnsi="仿宋_GB2312" w:eastAsia="仿宋_GB2312" w:cs="仿宋_GB2312"/>
              </w:rPr>
              <w:t>此项不提供不得分。</w:t>
            </w:r>
          </w:p>
        </w:tc>
      </w:tr>
      <w:tr w14:paraId="56A7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1" w:type="dxa"/>
            <w:vMerge w:val="restart"/>
            <w:vAlign w:val="center"/>
          </w:tcPr>
          <w:p w14:paraId="1D2788BF">
            <w:pPr>
              <w:jc w:val="center"/>
              <w:rPr>
                <w:rFonts w:ascii="仿宋_GB2312" w:hAnsi="仿宋_GB2312" w:eastAsia="仿宋_GB2312" w:cs="仿宋_GB2312"/>
              </w:rPr>
            </w:pPr>
            <w:r>
              <w:rPr>
                <w:rFonts w:hint="eastAsia" w:ascii="仿宋_GB2312" w:hAnsi="仿宋_GB2312" w:eastAsia="仿宋_GB2312" w:cs="仿宋_GB2312"/>
              </w:rPr>
              <w:t>说明</w:t>
            </w:r>
          </w:p>
        </w:tc>
        <w:tc>
          <w:tcPr>
            <w:tcW w:w="8291" w:type="dxa"/>
            <w:gridSpan w:val="4"/>
            <w:vAlign w:val="center"/>
          </w:tcPr>
          <w:p w14:paraId="18BB5555">
            <w:pPr>
              <w:jc w:val="left"/>
              <w:rPr>
                <w:rFonts w:ascii="仿宋_GB2312" w:hAnsi="仿宋_GB2312" w:eastAsia="仿宋_GB2312" w:cs="仿宋_GB2312"/>
              </w:rPr>
            </w:pPr>
            <w:r>
              <w:rPr>
                <w:rFonts w:hint="eastAsia" w:ascii="仿宋_GB2312" w:hAnsi="仿宋_GB2312" w:eastAsia="仿宋_GB2312" w:cs="仿宋_GB2312"/>
                <w:b/>
                <w:bCs/>
              </w:rPr>
              <w:t>评审标准</w:t>
            </w:r>
            <w:r>
              <w:rPr>
                <w:rFonts w:hint="eastAsia" w:ascii="仿宋_GB2312" w:hAnsi="仿宋_GB2312" w:eastAsia="仿宋_GB2312" w:cs="仿宋_GB2312"/>
              </w:rPr>
              <w:t>：</w:t>
            </w:r>
          </w:p>
          <w:p w14:paraId="10B43DB2">
            <w:pPr>
              <w:jc w:val="left"/>
              <w:rPr>
                <w:rFonts w:ascii="仿宋_GB2312" w:hAnsi="仿宋_GB2312" w:eastAsia="仿宋_GB2312" w:cs="仿宋_GB2312"/>
              </w:rPr>
            </w:pPr>
            <w:r>
              <w:rPr>
                <w:rFonts w:hint="eastAsia" w:ascii="仿宋_GB2312" w:hAnsi="仿宋_GB2312" w:eastAsia="仿宋_GB2312" w:cs="仿宋_GB2312"/>
              </w:rPr>
              <w:t>1、针对性：</w:t>
            </w:r>
          </w:p>
          <w:p w14:paraId="67B84DB5">
            <w:pPr>
              <w:jc w:val="left"/>
              <w:rPr>
                <w:rFonts w:ascii="仿宋_GB2312" w:hAnsi="仿宋_GB2312" w:eastAsia="仿宋_GB2312" w:cs="仿宋_GB2312"/>
              </w:rPr>
            </w:pPr>
            <w:r>
              <w:rPr>
                <w:rFonts w:hint="eastAsia" w:ascii="仿宋_GB2312" w:hAnsi="仿宋_GB2312" w:eastAsia="仿宋_GB2312" w:cs="仿宋_GB2312"/>
              </w:rPr>
              <w:t>（1）针对性强：方案能够完全切合本项目实际情况。</w:t>
            </w:r>
          </w:p>
          <w:p w14:paraId="1023F70D">
            <w:pPr>
              <w:jc w:val="left"/>
              <w:rPr>
                <w:rFonts w:ascii="仿宋_GB2312" w:hAnsi="仿宋_GB2312" w:eastAsia="仿宋_GB2312" w:cs="仿宋_GB2312"/>
              </w:rPr>
            </w:pPr>
            <w:r>
              <w:rPr>
                <w:rFonts w:hint="eastAsia" w:ascii="仿宋_GB2312" w:hAnsi="仿宋_GB2312" w:eastAsia="仿宋_GB2312" w:cs="仿宋_GB2312"/>
              </w:rPr>
              <w:t>（2）针对性一般：方案中多数内容能够切合本项目实际情况，但存在至少一处不适用本项目实际的内容。</w:t>
            </w:r>
          </w:p>
          <w:p w14:paraId="2227BF7F">
            <w:pPr>
              <w:jc w:val="left"/>
              <w:rPr>
                <w:rFonts w:ascii="仿宋_GB2312" w:hAnsi="仿宋_GB2312" w:eastAsia="仿宋_GB2312" w:cs="仿宋_GB2312"/>
              </w:rPr>
            </w:pPr>
            <w:r>
              <w:rPr>
                <w:rFonts w:hint="eastAsia" w:ascii="仿宋_GB2312" w:hAnsi="仿宋_GB2312" w:eastAsia="仿宋_GB2312" w:cs="仿宋_GB2312"/>
              </w:rPr>
              <w:t>（3）缺乏针对性：方案描述不符合本项目实际情况，存在明显套用其他项目方案的内容。</w:t>
            </w:r>
          </w:p>
          <w:p w14:paraId="128DC895">
            <w:pPr>
              <w:jc w:val="left"/>
              <w:rPr>
                <w:rFonts w:ascii="仿宋_GB2312" w:hAnsi="仿宋_GB2312" w:eastAsia="仿宋_GB2312" w:cs="仿宋_GB2312"/>
              </w:rPr>
            </w:pPr>
            <w:r>
              <w:rPr>
                <w:rFonts w:hint="eastAsia" w:ascii="仿宋_GB2312" w:hAnsi="仿宋_GB2312" w:eastAsia="仿宋_GB2312" w:cs="仿宋_GB2312"/>
              </w:rPr>
              <w:t>2、可实施性：</w:t>
            </w:r>
          </w:p>
          <w:p w14:paraId="67FE4F45">
            <w:pPr>
              <w:jc w:val="left"/>
              <w:rPr>
                <w:rFonts w:ascii="仿宋_GB2312" w:hAnsi="仿宋_GB2312" w:eastAsia="仿宋_GB2312" w:cs="仿宋_GB2312"/>
              </w:rPr>
            </w:pPr>
            <w:r>
              <w:rPr>
                <w:rFonts w:hint="eastAsia" w:ascii="仿宋_GB2312" w:hAnsi="仿宋_GB2312" w:eastAsia="仿宋_GB2312" w:cs="仿宋_GB2312"/>
              </w:rPr>
              <w:t>（1）可实施性强：方案工作流程完善，实施步骤清晰，科学合理，可操作性强。</w:t>
            </w:r>
          </w:p>
          <w:p w14:paraId="14F93491">
            <w:pPr>
              <w:jc w:val="left"/>
              <w:rPr>
                <w:rFonts w:ascii="仿宋_GB2312" w:hAnsi="仿宋_GB2312" w:eastAsia="仿宋_GB2312" w:cs="仿宋_GB2312"/>
              </w:rPr>
            </w:pPr>
            <w:r>
              <w:rPr>
                <w:rFonts w:hint="eastAsia" w:ascii="仿宋_GB2312" w:hAnsi="仿宋_GB2312" w:eastAsia="仿宋_GB2312" w:cs="仿宋_GB2312"/>
              </w:rPr>
              <w:t>（2）可实施性一般：方案中存在至少一处表述模糊、难以执行或不够科学合理的内容。</w:t>
            </w:r>
          </w:p>
          <w:p w14:paraId="5E000B54">
            <w:pPr>
              <w:jc w:val="left"/>
              <w:rPr>
                <w:rFonts w:ascii="仿宋_GB2312" w:hAnsi="仿宋_GB2312" w:eastAsia="仿宋_GB2312" w:cs="仿宋_GB2312"/>
              </w:rPr>
            </w:pPr>
            <w:r>
              <w:rPr>
                <w:rFonts w:hint="eastAsia" w:ascii="仿宋_GB2312" w:hAnsi="仿宋_GB2312" w:eastAsia="仿宋_GB2312" w:cs="仿宋_GB2312"/>
              </w:rPr>
              <w:t>（3）缺乏可实施性：方案内容空洞，工作流程不完善，实施标准、实施质量不利于采购需求的实现，存在逻辑漏洞、常识错误或合理性差。</w:t>
            </w:r>
          </w:p>
        </w:tc>
      </w:tr>
      <w:tr w14:paraId="0953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1" w:type="dxa"/>
            <w:vMerge w:val="continue"/>
            <w:vAlign w:val="center"/>
          </w:tcPr>
          <w:p w14:paraId="2802C8D9">
            <w:pPr>
              <w:jc w:val="left"/>
              <w:rPr>
                <w:rFonts w:ascii="仿宋_GB2312" w:hAnsi="仿宋_GB2312" w:eastAsia="仿宋_GB2312" w:cs="仿宋_GB2312"/>
              </w:rPr>
            </w:pPr>
          </w:p>
        </w:tc>
        <w:tc>
          <w:tcPr>
            <w:tcW w:w="8291" w:type="dxa"/>
            <w:gridSpan w:val="4"/>
            <w:vAlign w:val="center"/>
          </w:tcPr>
          <w:p w14:paraId="5EB7A0AE">
            <w:pPr>
              <w:jc w:val="left"/>
              <w:rPr>
                <w:rFonts w:ascii="仿宋_GB2312" w:hAnsi="仿宋_GB2312" w:eastAsia="仿宋_GB2312" w:cs="仿宋_GB2312"/>
              </w:rPr>
            </w:pPr>
            <w:r>
              <w:rPr>
                <w:rFonts w:hint="eastAsia" w:ascii="仿宋_GB2312" w:hAnsi="仿宋_GB2312" w:eastAsia="仿宋_GB2312" w:cs="仿宋_GB2312"/>
              </w:rPr>
              <w:t>磋商小组成员必须按照本评审要素据实打分，各类数字计算均按“四舍五入”保留小数点后两位。</w:t>
            </w:r>
          </w:p>
        </w:tc>
      </w:tr>
    </w:tbl>
    <w:p w14:paraId="243B74C9">
      <w:pPr>
        <w:pStyle w:val="20"/>
        <w:spacing w:line="500" w:lineRule="exact"/>
        <w:ind w:firstLine="0" w:firstLineChars="0"/>
      </w:pPr>
    </w:p>
    <w:p w14:paraId="050CA057">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8、推荐成交候选供应商</w:t>
      </w:r>
    </w:p>
    <w:p w14:paraId="2CB2E310">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14:paraId="4229DD02">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9、编写评审报告</w:t>
      </w:r>
    </w:p>
    <w:p w14:paraId="5E34BDF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14:paraId="2FD89727">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当排序推荐磋商供应商名单出现多数评委成员的评审意见比较一致，某一个别评委的赋分畸高畸低，导致排序结果改变的，该评委应当重新进行评价，并向磋商小组说明其赋分的合理理由，对拒绝说明、拒绝重新评价的，报告同级财政政府采购管理部门处理。</w:t>
      </w:r>
    </w:p>
    <w:p w14:paraId="0BFDB29B">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（3）除下列情形外，任何人不得以任何理由组织重新评审：</w:t>
      </w:r>
    </w:p>
    <w:p w14:paraId="791DA62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①资格性检查认定错误的；</w:t>
      </w:r>
    </w:p>
    <w:p w14:paraId="08D49D5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 xml:space="preserve">②分值汇总计算错误的； </w:t>
      </w:r>
    </w:p>
    <w:p w14:paraId="6FF7FCEA">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③分项评分超出评分标准范围的；</w:t>
      </w:r>
    </w:p>
    <w:p w14:paraId="7C84E53D">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④客观分因素评分不一致的；</w:t>
      </w:r>
    </w:p>
    <w:p w14:paraId="189C9770">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⑤经磋商小组一致认定评分畸高、畸低的情形。</w:t>
      </w:r>
    </w:p>
    <w:p w14:paraId="23B365CA">
      <w:pPr>
        <w:spacing w:line="500" w:lineRule="exact"/>
        <w:ind w:firstLine="566" w:firstLineChars="200"/>
        <w:rPr>
          <w:rFonts w:ascii="仿宋_GB2312" w:hAnsi="仿宋_GB2312" w:eastAsia="仿宋_GB2312" w:cs="仿宋_GB2312"/>
          <w:b/>
        </w:rPr>
      </w:pPr>
      <w:r>
        <w:rPr>
          <w:rFonts w:hint="eastAsia" w:ascii="仿宋_GB2312" w:hAnsi="仿宋_GB2312" w:eastAsia="仿宋_GB2312" w:cs="仿宋_GB2312"/>
          <w:b/>
        </w:rPr>
        <w:t>（六）有下列情况之一的，视为供应商串通投标，其投标无效：</w:t>
      </w:r>
    </w:p>
    <w:p w14:paraId="24BF0B5D">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1、不同供应商的响应文件由同一单位或者个人编制；</w:t>
      </w:r>
    </w:p>
    <w:p w14:paraId="44C91B5B">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2、不同供应商的响应文件由同一台电脑编制；</w:t>
      </w:r>
    </w:p>
    <w:p w14:paraId="3D977C1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3、不同供应商委托同一单位或者个人办理投标事宜；</w:t>
      </w:r>
    </w:p>
    <w:p w14:paraId="7E3FF11B">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4、不同供应商的响应文件载明的项目管理成员或者联系人员为同一人；</w:t>
      </w:r>
    </w:p>
    <w:p w14:paraId="29CF344B">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5、不同供应商的响应文件异常一致或者磋商报价呈规律性差异；</w:t>
      </w:r>
    </w:p>
    <w:p w14:paraId="33A3EDF1">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6、政府采购法律法规及磋商文件规定的其他情形。</w:t>
      </w:r>
    </w:p>
    <w:p w14:paraId="568C5CFF">
      <w:pPr>
        <w:pStyle w:val="3"/>
        <w:spacing w:line="500" w:lineRule="exact"/>
        <w:ind w:firstLine="566" w:firstLineChars="200"/>
        <w:rPr>
          <w:rFonts w:ascii="仿宋_GB2312" w:hAnsi="仿宋_GB2312" w:eastAsia="仿宋_GB2312" w:cs="仿宋_GB2312"/>
          <w:sz w:val="28"/>
          <w:szCs w:val="28"/>
        </w:rPr>
      </w:pPr>
      <w:bookmarkStart w:id="155" w:name="_Toc28384"/>
      <w:bookmarkStart w:id="156" w:name="_Toc25855"/>
      <w:bookmarkStart w:id="157" w:name="_Toc22712"/>
      <w:bookmarkStart w:id="158" w:name="_Toc17612"/>
      <w:bookmarkStart w:id="159" w:name="_Toc4670"/>
      <w:bookmarkStart w:id="160" w:name="_Toc3023"/>
      <w:bookmarkStart w:id="161" w:name="_Toc28287"/>
      <w:bookmarkStart w:id="162" w:name="_Toc495014649"/>
      <w:bookmarkStart w:id="163" w:name="_Toc619_WPSOffice_Level1"/>
      <w:bookmarkStart w:id="164" w:name="_Toc495012771"/>
      <w:bookmarkStart w:id="165" w:name="_Toc495014954"/>
      <w:bookmarkStart w:id="166" w:name="_Toc495012821"/>
      <w:bookmarkStart w:id="167" w:name="_Toc495014611"/>
      <w:bookmarkStart w:id="168" w:name="_Toc495014920"/>
      <w:bookmarkStart w:id="169" w:name="_Toc424636365"/>
      <w:bookmarkStart w:id="170" w:name="_Toc495014585"/>
      <w:bookmarkStart w:id="171" w:name="_Toc445306493"/>
      <w:bookmarkStart w:id="172" w:name="_Toc28286_WPSOffice_Level1"/>
      <w:r>
        <w:rPr>
          <w:rFonts w:hint="eastAsia" w:ascii="仿宋_GB2312" w:hAnsi="仿宋_GB2312" w:eastAsia="仿宋_GB2312" w:cs="仿宋_GB2312"/>
          <w:sz w:val="28"/>
          <w:szCs w:val="28"/>
        </w:rPr>
        <w:t>八、成交</w:t>
      </w:r>
      <w:bookmarkEnd w:id="155"/>
      <w:bookmarkEnd w:id="156"/>
      <w:bookmarkEnd w:id="157"/>
      <w:bookmarkEnd w:id="158"/>
      <w:bookmarkEnd w:id="159"/>
      <w:bookmarkEnd w:id="160"/>
      <w:bookmarkEnd w:id="161"/>
    </w:p>
    <w:p w14:paraId="5E4CEB2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（一）集中采购机构在评审结束后2个工作日内将评审报告送采购人确认。</w:t>
      </w:r>
    </w:p>
    <w:p w14:paraId="31533DC6">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二）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14:paraId="4ACB156B">
      <w:pPr>
        <w:wordWrap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（三）集中采购机构将在成交供应商确定之日起2个工作日内，在以下网址发布结果公告：</w:t>
      </w:r>
    </w:p>
    <w:p w14:paraId="42185CA3">
      <w:pPr>
        <w:wordWrap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1、【陕西省政府采购网（www.ccgp-shaanxi.gov.cn/）】中的〖首页·〉市级公告·〉结果公告/终止公告〗；</w:t>
      </w:r>
    </w:p>
    <w:p w14:paraId="087E8A32">
      <w:pPr>
        <w:wordWrap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2、【全国公共资源交易平台（汉中市）（sxggzyjy.hanzhong.gov.cn/）】中的〖首页·〉交易大厅·〉政府采购·〉中标（成交）结果/终止公告〗。</w:t>
      </w:r>
    </w:p>
    <w:p w14:paraId="078AA473">
      <w:pPr>
        <w:wordWrap w:val="0"/>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rPr>
        <w:t>（四）采购人向成交供应商发出成交通知书。</w:t>
      </w:r>
    </w:p>
    <w:p w14:paraId="4DC4856B">
      <w:pPr>
        <w:pStyle w:val="3"/>
        <w:spacing w:line="500" w:lineRule="exact"/>
        <w:ind w:firstLine="566" w:firstLineChars="200"/>
        <w:rPr>
          <w:rFonts w:ascii="仿宋_GB2312" w:hAnsi="仿宋_GB2312" w:eastAsia="仿宋_GB2312" w:cs="仿宋_GB2312"/>
          <w:sz w:val="28"/>
          <w:szCs w:val="28"/>
        </w:rPr>
      </w:pPr>
      <w:bookmarkStart w:id="173" w:name="_Toc10386"/>
      <w:bookmarkStart w:id="174" w:name="_Toc3100"/>
      <w:bookmarkStart w:id="175" w:name="_Toc18233"/>
      <w:bookmarkStart w:id="176" w:name="_Toc28870"/>
      <w:bookmarkStart w:id="177" w:name="_Toc20049"/>
      <w:bookmarkStart w:id="178" w:name="_Toc23938"/>
      <w:bookmarkStart w:id="179" w:name="_Toc14009"/>
      <w:r>
        <w:rPr>
          <w:rFonts w:hint="eastAsia" w:ascii="仿宋_GB2312" w:hAnsi="仿宋_GB2312" w:eastAsia="仿宋_GB2312" w:cs="仿宋_GB2312"/>
          <w:sz w:val="28"/>
          <w:szCs w:val="28"/>
        </w:rPr>
        <w:t>九、签订</w:t>
      </w:r>
      <w:r>
        <w:rPr>
          <w:rFonts w:hint="eastAsia" w:ascii="仿宋_GB2312" w:hAnsi="仿宋_GB2312" w:eastAsia="仿宋_GB2312" w:cs="仿宋_GB2312"/>
          <w:kern w:val="0"/>
          <w:sz w:val="28"/>
          <w:szCs w:val="28"/>
        </w:rPr>
        <w:t>政府采购合同</w:t>
      </w:r>
      <w:bookmarkEnd w:id="173"/>
      <w:bookmarkEnd w:id="174"/>
      <w:bookmarkEnd w:id="175"/>
      <w:bookmarkEnd w:id="176"/>
      <w:bookmarkEnd w:id="177"/>
      <w:bookmarkEnd w:id="178"/>
      <w:bookmarkEnd w:id="179"/>
    </w:p>
    <w:p w14:paraId="4C16BC6D">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（一）采购人与成交供应商应当在《成交通知书》发出之后，洽谈合同条款内容，拟定合同文本草案。并在《成交通知书》发出之日起30日内签订书面合同。</w:t>
      </w:r>
    </w:p>
    <w:p w14:paraId="6C6D2B1F">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（二）合同在执行过程中，确需修改、变更时，应当按照相应的审核批准程序办理。</w:t>
      </w:r>
    </w:p>
    <w:p w14:paraId="2E2DE2C7">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（三）磋商文件、补充通知、磋商响应文件、补充协议等为合同的组成部分，具有同等法律效力。成交供应商不得将合同分包、转让他人。</w:t>
      </w:r>
    </w:p>
    <w:p w14:paraId="479E2263">
      <w:pPr>
        <w:pStyle w:val="3"/>
        <w:spacing w:line="500" w:lineRule="exact"/>
        <w:ind w:firstLine="566" w:firstLineChars="200"/>
        <w:rPr>
          <w:rFonts w:ascii="黑体" w:hAnsi="黑体" w:eastAsia="黑体"/>
          <w:sz w:val="28"/>
          <w:szCs w:val="28"/>
        </w:rPr>
        <w:sectPr>
          <w:headerReference r:id="rId7" w:type="default"/>
          <w:footerReference r:id="rId8" w:type="default"/>
          <w:pgSz w:w="11906" w:h="16838"/>
          <w:pgMar w:top="1417" w:right="1417" w:bottom="1134" w:left="1417" w:header="850" w:footer="992" w:gutter="0"/>
          <w:pgNumType w:start="1"/>
          <w:cols w:space="720" w:num="1"/>
          <w:docGrid w:type="linesAndChars" w:linePitch="381" w:charSpace="704"/>
        </w:sectPr>
      </w:pPr>
      <w:bookmarkStart w:id="180" w:name="_Toc4764"/>
      <w:bookmarkStart w:id="181" w:name="_Toc23303"/>
      <w:bookmarkStart w:id="182" w:name="_Toc10336"/>
      <w:bookmarkStart w:id="183" w:name="_Toc11584"/>
      <w:bookmarkStart w:id="184" w:name="_Toc17324"/>
      <w:bookmarkStart w:id="185" w:name="_Toc5278"/>
      <w:bookmarkStart w:id="186" w:name="_Toc11780"/>
      <w:bookmarkStart w:id="187" w:name="_Toc8426"/>
      <w:bookmarkStart w:id="188" w:name="_Toc14560"/>
      <w:r>
        <w:rPr>
          <w:rFonts w:hint="eastAsia" w:ascii="仿宋_GB2312" w:hAnsi="仿宋_GB2312" w:eastAsia="仿宋_GB2312" w:cs="仿宋_GB2312"/>
          <w:sz w:val="28"/>
          <w:szCs w:val="28"/>
        </w:rPr>
        <w:t>十、采购代理服务费：免费</w:t>
      </w:r>
      <w:bookmarkEnd w:id="180"/>
      <w:bookmarkEnd w:id="181"/>
      <w:bookmarkEnd w:id="182"/>
      <w:bookmarkEnd w:id="183"/>
      <w:bookmarkEnd w:id="184"/>
      <w:bookmarkEnd w:id="185"/>
      <w:bookmarkEnd w:id="186"/>
      <w:bookmarkEnd w:id="187"/>
      <w:bookmarkEnd w:id="188"/>
    </w:p>
    <w:p w14:paraId="381CEBF8">
      <w:pPr>
        <w:pStyle w:val="2"/>
        <w:rPr>
          <w:rFonts w:ascii="宋体" w:hAnsi="宋体" w:eastAsia="宋体" w:cs="仿宋"/>
          <w:szCs w:val="32"/>
        </w:rPr>
      </w:pPr>
      <w:bookmarkStart w:id="189" w:name="_Toc10476_WPSOffice_Level1"/>
      <w:bookmarkStart w:id="190" w:name="_Toc2772"/>
      <w:bookmarkStart w:id="191" w:name="_Toc22915"/>
      <w:bookmarkStart w:id="192" w:name="_Toc31517"/>
      <w:bookmarkStart w:id="193" w:name="_Toc6345"/>
      <w:r>
        <w:rPr>
          <w:rFonts w:hint="eastAsia" w:ascii="黑体" w:hAnsi="黑体" w:eastAsia="黑体" w:cs="黑体"/>
          <w:b w:val="0"/>
          <w:bCs/>
          <w:color w:val="auto"/>
          <w:sz w:val="32"/>
          <w:szCs w:val="40"/>
        </w:rPr>
        <w:t>第三章  磋商内容及采</w:t>
      </w:r>
      <w:bookmarkEnd w:id="189"/>
      <w:r>
        <w:rPr>
          <w:rFonts w:hint="eastAsia" w:ascii="黑体" w:hAnsi="黑体" w:eastAsia="黑体" w:cs="黑体"/>
          <w:b w:val="0"/>
          <w:bCs/>
          <w:color w:val="auto"/>
          <w:sz w:val="32"/>
          <w:szCs w:val="40"/>
        </w:rPr>
        <w:t>购要求</w:t>
      </w:r>
      <w:bookmarkEnd w:id="162"/>
      <w:bookmarkEnd w:id="163"/>
      <w:bookmarkEnd w:id="164"/>
      <w:bookmarkEnd w:id="165"/>
      <w:bookmarkEnd w:id="166"/>
      <w:bookmarkEnd w:id="167"/>
      <w:bookmarkEnd w:id="168"/>
      <w:bookmarkEnd w:id="169"/>
      <w:bookmarkEnd w:id="170"/>
      <w:bookmarkEnd w:id="171"/>
      <w:bookmarkEnd w:id="172"/>
      <w:bookmarkEnd w:id="190"/>
      <w:bookmarkEnd w:id="191"/>
      <w:bookmarkEnd w:id="192"/>
      <w:bookmarkEnd w:id="193"/>
    </w:p>
    <w:p w14:paraId="36471BDC">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一、项目概况</w:t>
      </w:r>
    </w:p>
    <w:p w14:paraId="7DECF63A">
      <w:pPr>
        <w:pStyle w:val="8"/>
        <w:spacing w:after="0" w:line="500" w:lineRule="exact"/>
        <w:ind w:firstLine="566"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工程地址：</w:t>
      </w:r>
      <w:r>
        <w:rPr>
          <w:rFonts w:hint="eastAsia" w:ascii="仿宋_GB2312" w:hAnsi="仿宋_GB2312" w:eastAsia="仿宋_GB2312" w:cs="仿宋_GB2312"/>
          <w:lang w:val="en-US" w:eastAsia="zh-CN"/>
        </w:rPr>
        <w:t>汉中市救助管理站汉台区康复路8号</w:t>
      </w:r>
    </w:p>
    <w:p w14:paraId="7A88FAA4">
      <w:pPr>
        <w:spacing w:line="500" w:lineRule="exact"/>
        <w:ind w:firstLine="566" w:firstLineChars="200"/>
        <w:rPr>
          <w:rFonts w:hint="default" w:ascii="仿宋_GB2312" w:hAnsi="仿宋_GB2312" w:eastAsia="仿宋_GB2312" w:cs="仿宋_GB2312"/>
          <w:lang w:val="en-US"/>
        </w:rPr>
      </w:pPr>
      <w:r>
        <w:rPr>
          <w:rFonts w:hint="eastAsia" w:ascii="仿宋_GB2312" w:hAnsi="仿宋_GB2312" w:eastAsia="仿宋_GB2312" w:cs="仿宋_GB2312"/>
        </w:rPr>
        <w:t>工程内容：</w:t>
      </w:r>
      <w:r>
        <w:rPr>
          <w:rFonts w:hint="eastAsia" w:ascii="仿宋_GB2312" w:hAnsi="仿宋_GB2312" w:eastAsia="仿宋_GB2312" w:cs="仿宋_GB2312"/>
          <w:lang w:val="en-US" w:eastAsia="zh-CN"/>
        </w:rPr>
        <w:t>未成年人保护中心现有场地装修，对市未保中心进行装修利用，依托市未保中心现有场地建设不少于300平方米的区域性心理健康辅导中心，并配备相应设施设备，确保服务阵地的正常运行和服务质量。需满足的要求：设置心理咨询室、音乐放松室、心理沙盘室、情绪疏导室、家庭辅导室、团体辅导室等功能区，为困境儿童提供多样化的心理健康服务场所。</w:t>
      </w:r>
    </w:p>
    <w:p w14:paraId="66AE1244">
      <w:pPr>
        <w:pStyle w:val="8"/>
        <w:spacing w:after="0"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★技术要求：工程质量、安全要求达到现行国家规范要求。</w:t>
      </w:r>
    </w:p>
    <w:p w14:paraId="7BC1F1D4">
      <w:pPr>
        <w:pStyle w:val="8"/>
        <w:spacing w:after="0"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★二、工期要求</w:t>
      </w:r>
    </w:p>
    <w:p w14:paraId="5DEDC576">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签订合同后</w:t>
      </w:r>
      <w:r>
        <w:rPr>
          <w:rFonts w:hint="eastAsia" w:ascii="仿宋_GB2312" w:hAnsi="仿宋_GB2312" w:eastAsia="仿宋_GB2312" w:cs="仿宋_GB2312"/>
          <w:lang w:val="en-US" w:eastAsia="zh-CN"/>
        </w:rPr>
        <w:t>6</w:t>
      </w:r>
      <w:r>
        <w:rPr>
          <w:rFonts w:hint="eastAsia" w:ascii="仿宋_GB2312" w:hAnsi="仿宋_GB2312" w:eastAsia="仿宋_GB2312" w:cs="仿宋_GB2312"/>
        </w:rPr>
        <w:t>0天内。</w:t>
      </w:r>
    </w:p>
    <w:p w14:paraId="72C75134">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★三、项目负责人</w:t>
      </w:r>
    </w:p>
    <w:p w14:paraId="24862483">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响应人拟派项目负责人应具备建筑工程二级及以上注册建造师执业资格，且未担任其他在建工程的项目负责人。</w:t>
      </w:r>
    </w:p>
    <w:p w14:paraId="0F206147">
      <w:pPr>
        <w:pStyle w:val="8"/>
        <w:spacing w:after="0"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四、图纸和工程量清单</w:t>
      </w:r>
    </w:p>
    <w:p w14:paraId="47B1D1C3">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图纸和工程量清单另附（电子招标文件的其他材料）</w:t>
      </w:r>
    </w:p>
    <w:p w14:paraId="715FF910">
      <w:pPr>
        <w:widowControl w:val="0"/>
        <w:spacing w:line="500" w:lineRule="exact"/>
        <w:rPr>
          <w:rFonts w:ascii="仿宋_GB2312" w:hAnsi="仿宋_GB2312" w:eastAsia="仿宋_GB2312" w:cs="仿宋_GB2312"/>
          <w:b/>
          <w:bCs/>
        </w:rPr>
      </w:pPr>
    </w:p>
    <w:p w14:paraId="5F6A087C">
      <w:pPr>
        <w:widowControl w:val="0"/>
        <w:spacing w:line="500" w:lineRule="exact"/>
        <w:rPr>
          <w:rFonts w:ascii="仿宋_GB2312" w:hAnsi="仿宋_GB2312" w:eastAsia="仿宋_GB2312" w:cs="仿宋_GB2312"/>
          <w:b/>
          <w:bCs/>
        </w:rPr>
      </w:pPr>
    </w:p>
    <w:p w14:paraId="3C3E22C3">
      <w:pPr>
        <w:widowControl w:val="0"/>
        <w:spacing w:line="500" w:lineRule="exact"/>
        <w:rPr>
          <w:rFonts w:ascii="仿宋_GB2312" w:hAnsi="仿宋_GB2312" w:eastAsia="仿宋_GB2312" w:cs="仿宋_GB2312"/>
          <w:b/>
          <w:bCs/>
        </w:rPr>
      </w:pPr>
    </w:p>
    <w:p w14:paraId="5E981F09">
      <w:pPr>
        <w:widowControl w:val="0"/>
        <w:spacing w:line="500" w:lineRule="exact"/>
        <w:rPr>
          <w:rFonts w:ascii="仿宋_GB2312" w:hAnsi="仿宋_GB2312" w:eastAsia="仿宋_GB2312" w:cs="仿宋_GB2312"/>
          <w:b/>
          <w:bCs/>
        </w:rPr>
      </w:pPr>
    </w:p>
    <w:p w14:paraId="4331329E">
      <w:pPr>
        <w:widowControl w:val="0"/>
        <w:spacing w:line="500" w:lineRule="exact"/>
        <w:rPr>
          <w:rFonts w:ascii="仿宋_GB2312" w:hAnsi="仿宋_GB2312" w:eastAsia="仿宋_GB2312" w:cs="仿宋_GB2312"/>
          <w:b/>
          <w:bCs/>
        </w:rPr>
      </w:pPr>
    </w:p>
    <w:p w14:paraId="59472122">
      <w:pPr>
        <w:widowControl w:val="0"/>
        <w:spacing w:line="500" w:lineRule="exact"/>
        <w:rPr>
          <w:rFonts w:ascii="仿宋_GB2312" w:hAnsi="仿宋_GB2312" w:eastAsia="仿宋_GB2312" w:cs="仿宋_GB2312"/>
          <w:b/>
          <w:bCs/>
        </w:rPr>
      </w:pPr>
    </w:p>
    <w:p w14:paraId="1BE659A7">
      <w:pPr>
        <w:widowControl w:val="0"/>
        <w:spacing w:line="500" w:lineRule="exact"/>
        <w:rPr>
          <w:rFonts w:ascii="仿宋_GB2312" w:hAnsi="仿宋_GB2312" w:eastAsia="仿宋_GB2312" w:cs="仿宋_GB2312"/>
          <w:b/>
          <w:bCs/>
        </w:rPr>
      </w:pPr>
    </w:p>
    <w:p w14:paraId="04B0FD83">
      <w:pPr>
        <w:widowControl w:val="0"/>
        <w:spacing w:line="500" w:lineRule="exact"/>
        <w:rPr>
          <w:rFonts w:ascii="仿宋_GB2312" w:hAnsi="仿宋_GB2312" w:eastAsia="仿宋_GB2312" w:cs="仿宋_GB2312"/>
          <w:b/>
          <w:bCs/>
        </w:rPr>
      </w:pPr>
    </w:p>
    <w:p w14:paraId="5BEF11B4">
      <w:pPr>
        <w:widowControl w:val="0"/>
        <w:spacing w:line="500" w:lineRule="exact"/>
        <w:rPr>
          <w:rFonts w:ascii="宋体" w:hAnsi="宋体" w:eastAsia="宋体" w:cs="宋体"/>
          <w:b/>
          <w:bCs/>
        </w:rPr>
      </w:pPr>
      <w:r>
        <w:rPr>
          <w:rFonts w:hint="eastAsia" w:ascii="仿宋_GB2312" w:hAnsi="仿宋_GB2312" w:eastAsia="仿宋_GB2312" w:cs="仿宋_GB2312"/>
          <w:b/>
          <w:bCs/>
        </w:rPr>
        <w:t>备注：以上★内容，为实质性要求，响应人未逐条响应、有缺漏或负偏离将视为无效响应。</w:t>
      </w:r>
    </w:p>
    <w:p w14:paraId="34481711">
      <w:pPr>
        <w:pStyle w:val="2"/>
        <w:rPr>
          <w:rFonts w:ascii="华文仿宋" w:hAnsi="华文仿宋" w:cs="华文仿宋"/>
          <w:color w:val="auto"/>
        </w:rPr>
      </w:pPr>
      <w:r>
        <w:rPr>
          <w:rFonts w:ascii="宋体" w:hAnsi="宋体" w:eastAsia="宋体" w:cs="宋体"/>
          <w:color w:val="auto"/>
          <w:sz w:val="28"/>
          <w:szCs w:val="28"/>
        </w:rPr>
        <w:br w:type="page"/>
      </w:r>
      <w:bookmarkStart w:id="194" w:name="_Toc10371"/>
      <w:bookmarkStart w:id="195" w:name="_Toc35871571"/>
      <w:bookmarkStart w:id="196" w:name="_Toc19317"/>
      <w:bookmarkStart w:id="197" w:name="_Toc18466_WPSOffice_Level1"/>
      <w:bookmarkStart w:id="198" w:name="_Toc14089"/>
      <w:bookmarkStart w:id="199" w:name="_Toc12628"/>
      <w:bookmarkStart w:id="200" w:name="_Toc495012823"/>
      <w:bookmarkStart w:id="201" w:name="_Toc495014613"/>
      <w:bookmarkStart w:id="202" w:name="_Toc495014956"/>
      <w:bookmarkStart w:id="203" w:name="_Toc495012773"/>
      <w:bookmarkStart w:id="204" w:name="_Toc784_WPSOffice_Level1"/>
      <w:bookmarkStart w:id="205" w:name="_Toc495014922"/>
      <w:bookmarkStart w:id="206" w:name="_Toc18484_WPSOffice_Level1"/>
      <w:bookmarkStart w:id="207" w:name="_Toc495014651"/>
      <w:bookmarkStart w:id="208" w:name="_Toc495014587"/>
      <w:bookmarkStart w:id="209" w:name="_Toc445306495"/>
      <w:r>
        <w:rPr>
          <w:rFonts w:ascii="黑体" w:hAnsi="黑体" w:eastAsia="黑体"/>
          <w:b w:val="0"/>
          <w:color w:val="auto"/>
          <w:sz w:val="32"/>
          <w:szCs w:val="32"/>
        </w:rPr>
        <w:t>第</w:t>
      </w:r>
      <w:r>
        <w:rPr>
          <w:rFonts w:hint="eastAsia" w:ascii="黑体" w:hAnsi="黑体" w:eastAsia="黑体"/>
          <w:b w:val="0"/>
          <w:color w:val="auto"/>
          <w:sz w:val="32"/>
          <w:szCs w:val="32"/>
        </w:rPr>
        <w:t>四</w:t>
      </w:r>
      <w:r>
        <w:rPr>
          <w:rFonts w:ascii="黑体" w:hAnsi="黑体" w:eastAsia="黑体"/>
          <w:b w:val="0"/>
          <w:color w:val="auto"/>
          <w:sz w:val="32"/>
          <w:szCs w:val="32"/>
        </w:rPr>
        <w:t xml:space="preserve">章 </w:t>
      </w:r>
      <w:r>
        <w:rPr>
          <w:rFonts w:hint="eastAsia" w:ascii="黑体" w:hAnsi="黑体" w:eastAsia="黑体"/>
          <w:b w:val="0"/>
          <w:color w:val="auto"/>
          <w:sz w:val="32"/>
          <w:szCs w:val="32"/>
        </w:rPr>
        <w:t>合同草案条款</w:t>
      </w:r>
      <w:bookmarkEnd w:id="194"/>
      <w:bookmarkEnd w:id="195"/>
    </w:p>
    <w:p w14:paraId="0E0663D4">
      <w:pPr>
        <w:spacing w:line="500" w:lineRule="exact"/>
        <w:ind w:firstLine="566" w:firstLineChars="200"/>
        <w:jc w:val="left"/>
        <w:rPr>
          <w:rFonts w:ascii="仿宋_GB2312" w:hAnsi="仿宋_GB2312" w:eastAsia="仿宋_GB2312" w:cs="仿宋_GB2312"/>
          <w:b/>
          <w:bCs/>
          <w:color w:val="000000"/>
          <w:kern w:val="0"/>
          <w:lang w:bidi="ar"/>
        </w:rPr>
      </w:pPr>
      <w:r>
        <w:rPr>
          <w:rFonts w:hint="eastAsia" w:ascii="仿宋_GB2312" w:hAnsi="仿宋_GB2312" w:eastAsia="仿宋_GB2312" w:cs="仿宋_GB2312"/>
        </w:rPr>
        <w:t>合同将使用中华人民共和国住房城乡建设部和国家工商行政管理总局制定的《建设工程施工合同》（GF—2017—0201），其中部分草案条款如下：</w:t>
      </w:r>
    </w:p>
    <w:p w14:paraId="130685B7">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b/>
          <w:bCs/>
          <w:color w:val="000000"/>
          <w:kern w:val="0"/>
          <w:lang w:bidi="ar"/>
        </w:rPr>
        <w:t>一、项目概况</w:t>
      </w:r>
    </w:p>
    <w:p w14:paraId="228BB698">
      <w:pPr>
        <w:spacing w:line="500" w:lineRule="exact"/>
        <w:ind w:firstLine="566" w:firstLineChars="200"/>
        <w:jc w:val="left"/>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lang w:bidi="ar"/>
        </w:rPr>
        <w:t>（一）施工地点：</w:t>
      </w:r>
      <w:r>
        <w:rPr>
          <w:rFonts w:hint="eastAsia" w:ascii="仿宋_GB2312" w:hAnsi="仿宋_GB2312" w:eastAsia="仿宋_GB2312" w:cs="仿宋_GB2312"/>
          <w:lang w:val="en-US" w:eastAsia="zh-CN"/>
        </w:rPr>
        <w:t>汉中市救助管理站汉台区康复路8号</w:t>
      </w:r>
    </w:p>
    <w:p w14:paraId="7CB6D49B">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color w:val="000000"/>
          <w:kern w:val="0"/>
          <w:lang w:bidi="ar"/>
        </w:rPr>
        <w:t>（二）工期：签订合同后</w:t>
      </w:r>
      <w:r>
        <w:rPr>
          <w:rFonts w:hint="eastAsia" w:ascii="仿宋_GB2312" w:hAnsi="仿宋_GB2312" w:eastAsia="仿宋_GB2312" w:cs="仿宋_GB2312"/>
          <w:color w:val="000000"/>
          <w:kern w:val="0"/>
          <w:lang w:val="en-US" w:eastAsia="zh-CN" w:bidi="ar"/>
        </w:rPr>
        <w:t>6</w:t>
      </w:r>
      <w:r>
        <w:rPr>
          <w:rFonts w:hint="eastAsia" w:ascii="仿宋_GB2312" w:hAnsi="仿宋_GB2312" w:eastAsia="仿宋_GB2312" w:cs="仿宋_GB2312"/>
          <w:color w:val="000000"/>
          <w:kern w:val="0"/>
          <w:lang w:bidi="ar"/>
        </w:rPr>
        <w:t>0天内。</w:t>
      </w:r>
    </w:p>
    <w:p w14:paraId="2DC93D14">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b/>
          <w:bCs/>
          <w:color w:val="000000"/>
          <w:kern w:val="0"/>
          <w:lang w:bidi="ar"/>
        </w:rPr>
        <w:t xml:space="preserve">二、合同价款 </w:t>
      </w:r>
    </w:p>
    <w:p w14:paraId="0E4622AE">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color w:val="000000"/>
          <w:kern w:val="0"/>
          <w:u w:val="single"/>
          <w:lang w:bidi="ar"/>
        </w:rPr>
        <w:t xml:space="preserve">            </w:t>
      </w:r>
      <w:r>
        <w:rPr>
          <w:rFonts w:hint="eastAsia" w:ascii="仿宋_GB2312" w:hAnsi="仿宋_GB2312" w:eastAsia="仿宋_GB2312" w:cs="仿宋_GB2312"/>
          <w:color w:val="000000"/>
          <w:kern w:val="0"/>
          <w:lang w:bidi="ar"/>
        </w:rPr>
        <w:t xml:space="preserve">元 </w:t>
      </w:r>
    </w:p>
    <w:p w14:paraId="03804C08">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b/>
          <w:bCs/>
          <w:color w:val="000000"/>
          <w:kern w:val="0"/>
          <w:lang w:bidi="ar"/>
        </w:rPr>
        <w:t xml:space="preserve">三、款项结算 </w:t>
      </w:r>
    </w:p>
    <w:p w14:paraId="1A08B676">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color w:val="000000"/>
          <w:kern w:val="0"/>
          <w:lang w:bidi="ar"/>
        </w:rPr>
        <w:t xml:space="preserve">（一）支付方式：银行转账 </w:t>
      </w:r>
    </w:p>
    <w:p w14:paraId="490CAC8C">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color w:val="000000"/>
          <w:kern w:val="0"/>
          <w:lang w:bidi="ar"/>
        </w:rPr>
        <w:t xml:space="preserve">（二）货币单位：人民币 </w:t>
      </w:r>
    </w:p>
    <w:p w14:paraId="304A17A3">
      <w:pPr>
        <w:spacing w:line="500" w:lineRule="exact"/>
        <w:ind w:firstLine="566" w:firstLineChars="200"/>
        <w:jc w:val="left"/>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lang w:bidi="ar"/>
        </w:rPr>
        <w:t>（三）付款方式：本项目合同签订后甲方向乙方支付合同签订金额的40%作为预付款；施工完成后支付合同签订金额的30%；验收合格后支付签订金额的30%，具体以合同签订为准。</w:t>
      </w:r>
    </w:p>
    <w:p w14:paraId="6F98E264">
      <w:pPr>
        <w:spacing w:line="500" w:lineRule="exact"/>
        <w:ind w:firstLine="566" w:firstLineChars="200"/>
        <w:jc w:val="left"/>
        <w:rPr>
          <w:rFonts w:ascii="仿宋_GB2312" w:hAnsi="仿宋_GB2312" w:eastAsia="仿宋_GB2312" w:cs="仿宋_GB2312"/>
          <w:b/>
          <w:bCs/>
          <w:color w:val="000000"/>
          <w:kern w:val="0"/>
          <w:lang w:bidi="ar"/>
        </w:rPr>
      </w:pPr>
      <w:r>
        <w:rPr>
          <w:rFonts w:hint="eastAsia" w:ascii="仿宋_GB2312" w:hAnsi="仿宋_GB2312" w:eastAsia="仿宋_GB2312" w:cs="仿宋_GB2312"/>
          <w:b/>
          <w:bCs/>
          <w:color w:val="000000"/>
          <w:kern w:val="0"/>
          <w:lang w:bidi="ar"/>
        </w:rPr>
        <w:t xml:space="preserve">四、验收 </w:t>
      </w:r>
    </w:p>
    <w:p w14:paraId="0FC73562">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color w:val="000000"/>
          <w:kern w:val="0"/>
          <w:lang w:bidi="ar"/>
        </w:rPr>
        <w:t>本项目由采购人组织验收。</w:t>
      </w:r>
    </w:p>
    <w:p w14:paraId="685A28C1">
      <w:pPr>
        <w:spacing w:line="500" w:lineRule="exact"/>
        <w:ind w:firstLine="566" w:firstLineChars="200"/>
        <w:jc w:val="left"/>
        <w:rPr>
          <w:rFonts w:ascii="仿宋_GB2312" w:hAnsi="仿宋_GB2312" w:eastAsia="仿宋_GB2312" w:cs="仿宋_GB2312"/>
          <w:b/>
          <w:bCs/>
          <w:color w:val="000000"/>
          <w:kern w:val="0"/>
          <w:lang w:bidi="ar"/>
        </w:rPr>
      </w:pPr>
      <w:r>
        <w:rPr>
          <w:rFonts w:hint="eastAsia" w:ascii="仿宋_GB2312" w:hAnsi="仿宋_GB2312" w:eastAsia="仿宋_GB2312" w:cs="仿宋_GB2312"/>
          <w:b/>
          <w:bCs/>
          <w:color w:val="000000"/>
          <w:kern w:val="0"/>
          <w:lang w:bidi="ar"/>
        </w:rPr>
        <w:t xml:space="preserve">五、质量保修 </w:t>
      </w:r>
    </w:p>
    <w:p w14:paraId="0FDA515C">
      <w:pPr>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color w:val="000000"/>
          <w:kern w:val="0"/>
          <w:highlight w:val="none"/>
          <w:lang w:bidi="ar"/>
        </w:rPr>
        <w:t>本项目保修期两年。</w:t>
      </w:r>
      <w:r>
        <w:rPr>
          <w:rFonts w:hint="eastAsia" w:ascii="仿宋_GB2312" w:hAnsi="仿宋_GB2312" w:eastAsia="仿宋_GB2312" w:cs="仿宋_GB2312"/>
          <w:color w:val="000000"/>
          <w:kern w:val="0"/>
          <w:lang w:bidi="ar"/>
        </w:rPr>
        <w:t>（最终以成交供应商响应为准）</w:t>
      </w:r>
    </w:p>
    <w:p w14:paraId="6387CB4C">
      <w:pPr>
        <w:spacing w:line="500" w:lineRule="exact"/>
        <w:ind w:firstLine="566" w:firstLineChars="200"/>
        <w:jc w:val="left"/>
        <w:rPr>
          <w:rFonts w:ascii="仿宋_GB2312" w:hAnsi="仿宋_GB2312" w:eastAsia="仿宋_GB2312" w:cs="仿宋_GB2312"/>
          <w:b/>
          <w:bCs/>
          <w:color w:val="000000"/>
          <w:kern w:val="0"/>
          <w:lang w:bidi="ar"/>
        </w:rPr>
      </w:pPr>
      <w:r>
        <w:rPr>
          <w:rFonts w:hint="eastAsia" w:ascii="仿宋_GB2312" w:hAnsi="仿宋_GB2312" w:eastAsia="仿宋_GB2312" w:cs="仿宋_GB2312"/>
          <w:b/>
          <w:bCs/>
          <w:color w:val="000000"/>
          <w:kern w:val="0"/>
          <w:lang w:bidi="ar"/>
        </w:rPr>
        <w:t>六、合同生效及其他</w:t>
      </w:r>
    </w:p>
    <w:p w14:paraId="05425D02">
      <w:pPr>
        <w:spacing w:line="500" w:lineRule="exact"/>
        <w:ind w:firstLine="566" w:firstLineChars="200"/>
        <w:jc w:val="left"/>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lang w:bidi="ar"/>
        </w:rPr>
        <w:t>1、本合同自签订之日起生效。</w:t>
      </w:r>
    </w:p>
    <w:p w14:paraId="6476DC52">
      <w:pPr>
        <w:spacing w:line="500" w:lineRule="exact"/>
        <w:ind w:firstLine="566" w:firstLineChars="200"/>
        <w:jc w:val="left"/>
        <w:rPr>
          <w:rFonts w:ascii="仿宋_GB2312" w:hAnsi="仿宋_GB2312" w:eastAsia="仿宋_GB2312" w:cs="仿宋_GB2312"/>
          <w:color w:val="000000"/>
          <w:kern w:val="0"/>
          <w:lang w:bidi="ar"/>
        </w:rPr>
      </w:pPr>
      <w:r>
        <w:rPr>
          <w:rFonts w:hint="eastAsia" w:ascii="仿宋_GB2312" w:hAnsi="仿宋_GB2312" w:eastAsia="仿宋_GB2312" w:cs="仿宋_GB2312"/>
          <w:color w:val="000000"/>
          <w:kern w:val="0"/>
          <w:lang w:bidi="ar"/>
        </w:rPr>
        <w:t>2、未尽事宜由双方在签订合同时具体明确。</w:t>
      </w:r>
    </w:p>
    <w:p w14:paraId="17FA947A">
      <w:pPr>
        <w:spacing w:line="500" w:lineRule="exact"/>
        <w:ind w:firstLine="566" w:firstLineChars="200"/>
        <w:jc w:val="left"/>
        <w:rPr>
          <w:rFonts w:ascii="仿宋_GB2312" w:hAnsi="仿宋_GB2312" w:eastAsia="仿宋_GB2312" w:cs="仿宋_GB2312"/>
        </w:rPr>
      </w:pPr>
    </w:p>
    <w:p w14:paraId="250C25AB">
      <w:pPr>
        <w:spacing w:line="500" w:lineRule="exact"/>
        <w:jc w:val="left"/>
        <w:rPr>
          <w:rFonts w:ascii="黑体" w:hAnsi="黑体" w:eastAsia="黑体"/>
          <w:b/>
          <w:bCs/>
          <w:kern w:val="44"/>
        </w:rPr>
      </w:pPr>
      <w:r>
        <w:rPr>
          <w:rFonts w:ascii="黑体" w:hAnsi="黑体" w:eastAsia="黑体"/>
          <w:bCs/>
        </w:rPr>
        <w:br w:type="page"/>
      </w:r>
    </w:p>
    <w:p w14:paraId="7A831D14">
      <w:pPr>
        <w:pStyle w:val="2"/>
        <w:rPr>
          <w:rFonts w:ascii="黑体" w:hAnsi="黑体" w:eastAsia="黑体" w:cs="黑体"/>
          <w:b w:val="0"/>
          <w:bCs/>
          <w:color w:val="auto"/>
          <w:sz w:val="32"/>
          <w:szCs w:val="32"/>
        </w:rPr>
      </w:pPr>
      <w:bookmarkStart w:id="210" w:name="_Toc5571"/>
      <w:r>
        <w:rPr>
          <w:rFonts w:hint="eastAsia" w:ascii="黑体" w:hAnsi="黑体" w:eastAsia="黑体" w:cs="黑体"/>
          <w:b w:val="0"/>
          <w:bCs/>
          <w:color w:val="auto"/>
          <w:sz w:val="32"/>
          <w:szCs w:val="32"/>
        </w:rPr>
        <w:t>第五章  响应文件构成及格式</w:t>
      </w:r>
      <w:bookmarkEnd w:id="196"/>
      <w:bookmarkEnd w:id="197"/>
      <w:bookmarkEnd w:id="198"/>
      <w:bookmarkEnd w:id="199"/>
      <w:bookmarkEnd w:id="210"/>
    </w:p>
    <w:p w14:paraId="21F5AC0B">
      <w:pPr>
        <w:pStyle w:val="41"/>
        <w:rPr>
          <w:color w:val="auto"/>
        </w:rPr>
      </w:pPr>
    </w:p>
    <w:p w14:paraId="6635C1EF">
      <w:pPr>
        <w:pStyle w:val="41"/>
        <w:rPr>
          <w:color w:val="auto"/>
        </w:rPr>
      </w:pPr>
    </w:p>
    <w:p w14:paraId="785A9CDA">
      <w:pPr>
        <w:pStyle w:val="41"/>
        <w:rPr>
          <w:color w:val="auto"/>
        </w:rPr>
      </w:pPr>
    </w:p>
    <w:p w14:paraId="58CF2BAB">
      <w:pPr>
        <w:pStyle w:val="41"/>
        <w:rPr>
          <w:color w:val="auto"/>
        </w:rPr>
      </w:pPr>
      <w:r>
        <w:rPr>
          <w:rFonts w:hint="eastAsia"/>
          <w:color w:val="auto"/>
        </w:rPr>
        <w:t xml:space="preserve">  </w:t>
      </w:r>
    </w:p>
    <w:tbl>
      <w:tblPr>
        <w:tblStyle w:val="2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5120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54DB39FB">
            <w:pPr>
              <w:spacing w:before="12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注释： </w:t>
            </w:r>
          </w:p>
          <w:p w14:paraId="4D43DFC9">
            <w:pPr>
              <w:spacing w:before="120" w:line="420" w:lineRule="exact"/>
              <w:ind w:firstLine="486"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1、本章分为三部分，是为方便投标人制作响应文件设计。第一、二部分应按要求或给定格式选择填报。</w:t>
            </w:r>
          </w:p>
          <w:p w14:paraId="04AD812F">
            <w:pPr>
              <w:spacing w:before="120" w:line="420" w:lineRule="exact"/>
              <w:ind w:firstLine="486"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2、第三部分响应方案格式仅供参考，供应商应根据项目特点，结合本次磋商要求，对有关表格进行补充或修改，但不得对实质性文件的相关条款作出变动。</w:t>
            </w:r>
          </w:p>
        </w:tc>
      </w:tr>
    </w:tbl>
    <w:p w14:paraId="0FB49FDA">
      <w:pPr>
        <w:pStyle w:val="41"/>
        <w:rPr>
          <w:color w:val="auto"/>
          <w:sz w:val="20"/>
        </w:rPr>
      </w:pPr>
    </w:p>
    <w:p w14:paraId="2F304075">
      <w:pPr>
        <w:pStyle w:val="38"/>
        <w:spacing w:line="240" w:lineRule="auto"/>
        <w:ind w:firstLine="253" w:firstLineChars="70"/>
        <w:jc w:val="center"/>
        <w:rPr>
          <w:rFonts w:ascii="宋体" w:hAnsi="宋体" w:eastAsia="宋体"/>
          <w:sz w:val="36"/>
          <w:szCs w:val="36"/>
        </w:rPr>
      </w:pPr>
    </w:p>
    <w:p w14:paraId="1D4FC3E9">
      <w:pPr>
        <w:pStyle w:val="38"/>
        <w:spacing w:line="240" w:lineRule="auto"/>
        <w:ind w:firstLine="253" w:firstLineChars="70"/>
        <w:jc w:val="center"/>
        <w:rPr>
          <w:sz w:val="36"/>
          <w:szCs w:val="36"/>
        </w:rPr>
      </w:pPr>
      <w:r>
        <w:rPr>
          <w:rFonts w:ascii="宋体" w:hAnsi="宋体" w:eastAsia="宋体"/>
          <w:sz w:val="36"/>
          <w:szCs w:val="36"/>
        </w:rPr>
        <w:br w:type="page"/>
      </w:r>
    </w:p>
    <w:p w14:paraId="77182BBC">
      <w:pPr>
        <w:spacing w:line="240" w:lineRule="auto"/>
        <w:jc w:val="left"/>
        <w:outlineLvl w:val="0"/>
        <w:rPr>
          <w:rFonts w:ascii="华文中宋" w:hAnsi="华文中宋" w:eastAsia="华文中宋" w:cs="华文中宋"/>
          <w:sz w:val="60"/>
          <w:szCs w:val="60"/>
        </w:rPr>
      </w:pPr>
      <w:bookmarkStart w:id="211" w:name="_Toc23235"/>
      <w:bookmarkStart w:id="212" w:name="_Toc26293"/>
      <w:bookmarkStart w:id="213" w:name="_Toc6132"/>
      <w:bookmarkStart w:id="214" w:name="_Toc26349"/>
      <w:bookmarkStart w:id="215" w:name="_Toc24786"/>
      <w:bookmarkStart w:id="216" w:name="_Toc257"/>
      <w:bookmarkStart w:id="217" w:name="_Toc10248"/>
    </w:p>
    <w:p w14:paraId="1CA42AB0">
      <w:pPr>
        <w:spacing w:line="240" w:lineRule="auto"/>
        <w:jc w:val="center"/>
        <w:outlineLvl w:val="0"/>
        <w:rPr>
          <w:rFonts w:ascii="方正小标宋简体" w:hAnsi="方正小标宋简体" w:eastAsia="方正小标宋简体" w:cs="方正小标宋简体"/>
          <w:sz w:val="52"/>
          <w:szCs w:val="52"/>
        </w:rPr>
      </w:pPr>
      <w:bookmarkStart w:id="218" w:name="_Toc14411"/>
      <w:r>
        <w:rPr>
          <w:rFonts w:hint="eastAsia" w:ascii="方正小标宋简体" w:hAnsi="方正小标宋简体" w:eastAsia="方正小标宋简体" w:cs="方正小标宋简体"/>
          <w:sz w:val="52"/>
          <w:szCs w:val="52"/>
        </w:rPr>
        <w:t>汉中市政府采购竞争性磋商项目</w:t>
      </w:r>
      <w:bookmarkEnd w:id="211"/>
      <w:bookmarkEnd w:id="212"/>
      <w:bookmarkEnd w:id="213"/>
      <w:bookmarkEnd w:id="214"/>
      <w:bookmarkEnd w:id="215"/>
      <w:bookmarkEnd w:id="216"/>
      <w:bookmarkEnd w:id="217"/>
      <w:bookmarkEnd w:id="218"/>
    </w:p>
    <w:p w14:paraId="7547043A">
      <w:pPr>
        <w:pStyle w:val="38"/>
        <w:spacing w:line="240" w:lineRule="auto"/>
        <w:ind w:firstLine="0" w:firstLineChars="0"/>
        <w:rPr>
          <w:rFonts w:ascii="方正小标宋简体" w:hAnsi="方正小标宋简体" w:eastAsia="方正小标宋简体" w:cs="方正小标宋简体"/>
          <w:sz w:val="36"/>
          <w:szCs w:val="36"/>
        </w:rPr>
      </w:pPr>
    </w:p>
    <w:p w14:paraId="0F0610BB">
      <w:pPr>
        <w:spacing w:line="240" w:lineRule="auto"/>
        <w:jc w:val="center"/>
        <w:outlineLvl w:val="0"/>
        <w:rPr>
          <w:rFonts w:ascii="方正小标宋简体" w:hAnsi="方正小标宋简体" w:eastAsia="方正小标宋简体" w:cs="方正小标宋简体"/>
          <w:sz w:val="100"/>
          <w:szCs w:val="100"/>
        </w:rPr>
      </w:pPr>
      <w:bookmarkStart w:id="219" w:name="_Toc13950"/>
      <w:bookmarkStart w:id="220" w:name="_Toc26378"/>
      <w:bookmarkStart w:id="221" w:name="_Toc76"/>
      <w:bookmarkStart w:id="222" w:name="_Toc20481"/>
      <w:bookmarkStart w:id="223" w:name="_Toc8257"/>
      <w:bookmarkStart w:id="224" w:name="_Toc17700"/>
      <w:bookmarkStart w:id="225" w:name="_Toc19569"/>
      <w:bookmarkStart w:id="226" w:name="_Toc6733"/>
      <w:r>
        <w:rPr>
          <w:rFonts w:hint="eastAsia" w:ascii="方正小标宋简体" w:hAnsi="方正小标宋简体" w:eastAsia="方正小标宋简体" w:cs="方正小标宋简体"/>
          <w:sz w:val="100"/>
          <w:szCs w:val="100"/>
        </w:rPr>
        <w:t>响应文件</w:t>
      </w:r>
      <w:bookmarkEnd w:id="219"/>
      <w:bookmarkEnd w:id="220"/>
      <w:bookmarkEnd w:id="221"/>
      <w:bookmarkEnd w:id="222"/>
      <w:bookmarkEnd w:id="223"/>
      <w:bookmarkEnd w:id="224"/>
      <w:bookmarkEnd w:id="225"/>
      <w:bookmarkEnd w:id="226"/>
    </w:p>
    <w:p w14:paraId="368453B9">
      <w:pPr>
        <w:pStyle w:val="38"/>
        <w:spacing w:line="240" w:lineRule="auto"/>
        <w:ind w:firstLine="0" w:firstLineChars="0"/>
        <w:jc w:val="center"/>
        <w:rPr>
          <w:rFonts w:ascii="华文仿宋" w:hAnsi="华文仿宋" w:cs="华文仿宋"/>
          <w:sz w:val="36"/>
          <w:szCs w:val="36"/>
        </w:rPr>
      </w:pPr>
    </w:p>
    <w:p w14:paraId="0B5A4789">
      <w:pPr>
        <w:pStyle w:val="38"/>
        <w:spacing w:line="240" w:lineRule="auto"/>
        <w:ind w:firstLine="0" w:firstLineChars="0"/>
        <w:rPr>
          <w:rFonts w:ascii="华文仿宋" w:hAnsi="华文仿宋" w:cs="华文仿宋"/>
          <w:sz w:val="36"/>
          <w:szCs w:val="36"/>
        </w:rPr>
      </w:pPr>
    </w:p>
    <w:p w14:paraId="00D43650">
      <w:pPr>
        <w:pStyle w:val="38"/>
        <w:spacing w:line="240" w:lineRule="auto"/>
        <w:ind w:firstLine="0" w:firstLineChars="0"/>
        <w:rPr>
          <w:rFonts w:ascii="华文仿宋" w:hAnsi="华文仿宋" w:cs="华文仿宋"/>
          <w:sz w:val="36"/>
          <w:szCs w:val="36"/>
        </w:rPr>
      </w:pPr>
    </w:p>
    <w:p w14:paraId="663DDDBB">
      <w:pPr>
        <w:pStyle w:val="38"/>
        <w:spacing w:line="240" w:lineRule="auto"/>
        <w:ind w:firstLine="0" w:firstLineChars="0"/>
        <w:jc w:val="center"/>
        <w:rPr>
          <w:rFonts w:ascii="华文仿宋" w:hAnsi="华文仿宋" w:cs="华文仿宋"/>
          <w:sz w:val="36"/>
        </w:rPr>
      </w:pPr>
    </w:p>
    <w:p w14:paraId="16C538B3">
      <w:pPr>
        <w:pStyle w:val="38"/>
        <w:spacing w:line="240" w:lineRule="auto"/>
        <w:ind w:firstLine="0" w:firstLineChars="0"/>
        <w:jc w:val="center"/>
        <w:rPr>
          <w:rFonts w:ascii="华文仿宋" w:hAnsi="华文仿宋" w:cs="华文仿宋"/>
          <w:sz w:val="36"/>
        </w:rPr>
      </w:pPr>
    </w:p>
    <w:p w14:paraId="0CF230DE">
      <w:pPr>
        <w:pStyle w:val="38"/>
        <w:spacing w:line="240" w:lineRule="auto"/>
        <w:ind w:firstLine="0" w:firstLineChars="0"/>
        <w:jc w:val="center"/>
        <w:rPr>
          <w:rFonts w:ascii="仿宋_GB2312" w:hAnsi="仿宋_GB2312" w:eastAsia="仿宋_GB2312" w:cs="仿宋_GB2312"/>
          <w:sz w:val="36"/>
        </w:rPr>
      </w:pPr>
    </w:p>
    <w:p w14:paraId="44E2C138">
      <w:pPr>
        <w:pStyle w:val="38"/>
        <w:spacing w:line="240" w:lineRule="auto"/>
        <w:ind w:firstLine="1452" w:firstLineChars="400"/>
        <w:outlineLvl w:val="0"/>
        <w:rPr>
          <w:rFonts w:ascii="仿宋_GB2312" w:hAnsi="仿宋_GB2312" w:eastAsia="仿宋_GB2312" w:cs="仿宋_GB2312"/>
          <w:b/>
          <w:sz w:val="36"/>
          <w:szCs w:val="36"/>
          <w:u w:val="single"/>
        </w:rPr>
      </w:pPr>
      <w:bookmarkStart w:id="227" w:name="_Toc23171"/>
      <w:bookmarkStart w:id="228" w:name="_Toc22280"/>
      <w:bookmarkStart w:id="229" w:name="_Toc24486"/>
      <w:bookmarkStart w:id="230" w:name="_Toc15913"/>
      <w:bookmarkStart w:id="231" w:name="_Toc15354"/>
      <w:bookmarkStart w:id="232" w:name="_Toc2030"/>
      <w:bookmarkStart w:id="233" w:name="_Toc24457"/>
      <w:bookmarkStart w:id="234" w:name="_Toc12627"/>
      <w:r>
        <w:rPr>
          <w:rFonts w:hint="eastAsia" w:ascii="仿宋_GB2312" w:hAnsi="仿宋_GB2312" w:eastAsia="仿宋_GB2312" w:cs="仿宋_GB2312"/>
          <w:bCs/>
          <w:sz w:val="36"/>
          <w:szCs w:val="36"/>
        </w:rPr>
        <w:t>项目名称：</w:t>
      </w:r>
      <w:bookmarkEnd w:id="227"/>
      <w:bookmarkEnd w:id="228"/>
      <w:bookmarkEnd w:id="229"/>
      <w:bookmarkEnd w:id="230"/>
      <w:bookmarkEnd w:id="231"/>
      <w:bookmarkEnd w:id="232"/>
      <w:bookmarkEnd w:id="233"/>
      <w:bookmarkEnd w:id="234"/>
      <w:r>
        <w:rPr>
          <w:rFonts w:hint="eastAsia" w:ascii="仿宋_GB2312" w:hAnsi="仿宋_GB2312" w:eastAsia="仿宋_GB2312" w:cs="仿宋_GB2312"/>
          <w:sz w:val="36"/>
          <w:szCs w:val="36"/>
          <w:u w:val="single"/>
        </w:rPr>
        <w:t xml:space="preserve">             </w:t>
      </w:r>
    </w:p>
    <w:p w14:paraId="63D5EE7C">
      <w:pPr>
        <w:pStyle w:val="38"/>
        <w:spacing w:line="240" w:lineRule="auto"/>
        <w:ind w:firstLine="1452" w:firstLineChars="400"/>
        <w:outlineLvl w:val="0"/>
        <w:rPr>
          <w:rFonts w:ascii="仿宋_GB2312" w:hAnsi="仿宋_GB2312" w:eastAsia="仿宋_GB2312" w:cs="仿宋_GB2312"/>
          <w:sz w:val="36"/>
          <w:szCs w:val="36"/>
          <w:u w:val="single"/>
        </w:rPr>
      </w:pPr>
      <w:bookmarkStart w:id="235" w:name="_Toc16607"/>
      <w:bookmarkStart w:id="236" w:name="_Toc22519"/>
      <w:bookmarkStart w:id="237" w:name="_Toc1120"/>
      <w:bookmarkStart w:id="238" w:name="_Toc11267"/>
      <w:bookmarkStart w:id="239" w:name="_Toc15987"/>
      <w:bookmarkStart w:id="240" w:name="_Toc21054"/>
      <w:bookmarkStart w:id="241" w:name="_Toc29966"/>
      <w:bookmarkStart w:id="242" w:name="_Toc5428"/>
      <w:r>
        <w:rPr>
          <w:rFonts w:hint="eastAsia" w:ascii="仿宋_GB2312" w:hAnsi="仿宋_GB2312" w:eastAsia="仿宋_GB2312" w:cs="仿宋_GB2312"/>
          <w:bCs/>
          <w:sz w:val="36"/>
          <w:szCs w:val="36"/>
        </w:rPr>
        <w:t>项目编号：</w:t>
      </w:r>
      <w:bookmarkEnd w:id="235"/>
      <w:r>
        <w:rPr>
          <w:rFonts w:hint="eastAsia" w:ascii="仿宋_GB2312" w:hAnsi="仿宋_GB2312" w:eastAsia="仿宋_GB2312" w:cs="仿宋_GB2312"/>
          <w:sz w:val="36"/>
          <w:szCs w:val="36"/>
          <w:u w:val="single"/>
        </w:rPr>
        <w:t xml:space="preserve">             </w:t>
      </w:r>
    </w:p>
    <w:p w14:paraId="07099856">
      <w:pPr>
        <w:pStyle w:val="38"/>
        <w:spacing w:line="240" w:lineRule="auto"/>
        <w:ind w:firstLine="1452" w:firstLineChars="400"/>
        <w:outlineLvl w:val="0"/>
        <w:rPr>
          <w:rFonts w:ascii="仿宋_GB2312" w:hAnsi="仿宋_GB2312" w:eastAsia="仿宋_GB2312" w:cs="仿宋_GB2312"/>
          <w:sz w:val="36"/>
        </w:rPr>
      </w:pPr>
      <w:bookmarkStart w:id="243" w:name="_Toc18959"/>
      <w:r>
        <w:rPr>
          <w:rFonts w:hint="eastAsia" w:ascii="仿宋_GB2312" w:hAnsi="仿宋_GB2312" w:eastAsia="仿宋_GB2312" w:cs="仿宋_GB2312"/>
          <w:sz w:val="36"/>
        </w:rPr>
        <w:t>供 应 商：</w:t>
      </w:r>
      <w:r>
        <w:rPr>
          <w:rFonts w:hint="eastAsia" w:ascii="仿宋_GB2312" w:hAnsi="仿宋_GB2312" w:eastAsia="仿宋_GB2312" w:cs="仿宋_GB2312"/>
          <w:sz w:val="36"/>
          <w:u w:val="single"/>
        </w:rPr>
        <w:t xml:space="preserve"> </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rPr>
        <w:t>（公章）</w:t>
      </w:r>
      <w:bookmarkEnd w:id="236"/>
      <w:bookmarkEnd w:id="237"/>
      <w:bookmarkEnd w:id="238"/>
      <w:bookmarkEnd w:id="239"/>
      <w:bookmarkEnd w:id="240"/>
      <w:bookmarkEnd w:id="241"/>
      <w:bookmarkEnd w:id="242"/>
      <w:bookmarkEnd w:id="243"/>
    </w:p>
    <w:p w14:paraId="1CB0B2A3">
      <w:pPr>
        <w:pStyle w:val="38"/>
        <w:spacing w:line="240" w:lineRule="auto"/>
        <w:ind w:firstLine="1452" w:firstLineChars="400"/>
        <w:jc w:val="left"/>
        <w:outlineLvl w:val="0"/>
        <w:rPr>
          <w:rFonts w:ascii="仿宋" w:hAnsi="仿宋" w:eastAsia="仿宋" w:cs="仿宋"/>
          <w:sz w:val="36"/>
          <w:szCs w:val="36"/>
          <w:u w:val="single"/>
        </w:rPr>
      </w:pPr>
      <w:bookmarkStart w:id="244" w:name="_Toc9715"/>
      <w:bookmarkStart w:id="245" w:name="_Toc21702"/>
      <w:bookmarkStart w:id="246" w:name="_Toc7734"/>
      <w:bookmarkStart w:id="247" w:name="_Toc5243"/>
      <w:bookmarkStart w:id="248" w:name="_Toc26250"/>
      <w:bookmarkStart w:id="249" w:name="_Toc24294"/>
      <w:bookmarkStart w:id="250" w:name="_Toc15429"/>
      <w:bookmarkStart w:id="251" w:name="_Toc880"/>
      <w:r>
        <w:rPr>
          <w:rFonts w:hint="eastAsia" w:ascii="仿宋_GB2312" w:hAnsi="仿宋_GB2312" w:eastAsia="仿宋_GB2312" w:cs="仿宋_GB2312"/>
          <w:sz w:val="36"/>
        </w:rPr>
        <w:t>时　  间：</w:t>
      </w:r>
      <w:bookmarkEnd w:id="244"/>
      <w:bookmarkEnd w:id="245"/>
      <w:bookmarkEnd w:id="246"/>
      <w:r>
        <w:rPr>
          <w:rFonts w:hint="eastAsia" w:ascii="仿宋_GB2312" w:hAnsi="仿宋_GB2312" w:eastAsia="仿宋_GB2312" w:cs="仿宋_GB2312"/>
          <w:sz w:val="36"/>
          <w:u w:val="single"/>
        </w:rPr>
        <w:t xml:space="preserve"> </w:t>
      </w:r>
      <w:r>
        <w:rPr>
          <w:rFonts w:hint="eastAsia" w:ascii="仿宋_GB2312" w:hAnsi="仿宋_GB2312" w:eastAsia="仿宋_GB2312" w:cs="仿宋_GB2312"/>
          <w:sz w:val="36"/>
          <w:szCs w:val="36"/>
          <w:u w:val="single"/>
        </w:rPr>
        <w:t xml:space="preserve">            </w:t>
      </w:r>
      <w:bookmarkEnd w:id="247"/>
      <w:bookmarkEnd w:id="248"/>
      <w:bookmarkEnd w:id="249"/>
      <w:bookmarkEnd w:id="250"/>
      <w:bookmarkEnd w:id="251"/>
    </w:p>
    <w:p w14:paraId="25FE2276">
      <w:pPr>
        <w:pStyle w:val="38"/>
        <w:spacing w:line="240" w:lineRule="auto"/>
        <w:ind w:firstLine="1452" w:firstLineChars="400"/>
        <w:jc w:val="left"/>
        <w:outlineLvl w:val="0"/>
        <w:rPr>
          <w:rFonts w:ascii="仿宋" w:hAnsi="仿宋" w:eastAsia="仿宋" w:cs="仿宋"/>
          <w:sz w:val="36"/>
          <w:szCs w:val="36"/>
          <w:u w:val="single"/>
        </w:rPr>
      </w:pPr>
    </w:p>
    <w:bookmarkEnd w:id="200"/>
    <w:bookmarkEnd w:id="201"/>
    <w:bookmarkEnd w:id="202"/>
    <w:bookmarkEnd w:id="203"/>
    <w:bookmarkEnd w:id="204"/>
    <w:bookmarkEnd w:id="205"/>
    <w:bookmarkEnd w:id="206"/>
    <w:bookmarkEnd w:id="207"/>
    <w:bookmarkEnd w:id="208"/>
    <w:bookmarkEnd w:id="209"/>
    <w:p w14:paraId="59E72846">
      <w:pPr>
        <w:rPr>
          <w:rFonts w:ascii="华文仿宋" w:hAnsi="华文仿宋" w:cs="华文仿宋"/>
          <w:sz w:val="36"/>
        </w:rPr>
      </w:pPr>
      <w:bookmarkStart w:id="252" w:name="_Toc2071_WPSOffice_Level1"/>
      <w:bookmarkStart w:id="253" w:name="_Toc31082_WPSOffice_Level1"/>
      <w:bookmarkStart w:id="254" w:name="_Toc21571_WPSOffice_Level1"/>
      <w:bookmarkStart w:id="255" w:name="_Toc22476_WPSOffice_Level1"/>
      <w:r>
        <w:rPr>
          <w:rFonts w:ascii="华文仿宋" w:hAnsi="华文仿宋" w:cs="华文仿宋"/>
          <w:sz w:val="36"/>
        </w:rPr>
        <w:br w:type="page"/>
      </w:r>
    </w:p>
    <w:p w14:paraId="576B6B96">
      <w:pPr>
        <w:pStyle w:val="42"/>
        <w:rPr>
          <w:rFonts w:ascii="黑体" w:hAnsi="黑体" w:eastAsia="黑体"/>
          <w:b w:val="0"/>
          <w:bCs w:val="0"/>
          <w:sz w:val="36"/>
          <w:szCs w:val="36"/>
        </w:rPr>
      </w:pPr>
      <w:bookmarkStart w:id="256" w:name="_Toc23450"/>
      <w:bookmarkStart w:id="257" w:name="_Toc27037"/>
      <w:bookmarkStart w:id="258" w:name="_Toc10193"/>
      <w:bookmarkStart w:id="259" w:name="_Toc11156"/>
      <w:bookmarkStart w:id="260" w:name="_Toc24906"/>
      <w:r>
        <w:rPr>
          <w:rFonts w:hint="eastAsia" w:ascii="黑体" w:hAnsi="黑体" w:eastAsia="黑体"/>
          <w:b w:val="0"/>
          <w:bCs w:val="0"/>
          <w:sz w:val="44"/>
          <w:szCs w:val="44"/>
        </w:rPr>
        <w:t>目  录</w:t>
      </w:r>
      <w:bookmarkEnd w:id="252"/>
      <w:bookmarkEnd w:id="253"/>
      <w:bookmarkEnd w:id="254"/>
      <w:bookmarkEnd w:id="255"/>
      <w:bookmarkEnd w:id="256"/>
      <w:bookmarkEnd w:id="257"/>
      <w:bookmarkEnd w:id="258"/>
      <w:bookmarkEnd w:id="259"/>
      <w:bookmarkEnd w:id="260"/>
    </w:p>
    <w:p w14:paraId="1AD7109B">
      <w:pPr>
        <w:tabs>
          <w:tab w:val="right" w:leader="hyphen" w:pos="8504"/>
        </w:tabs>
        <w:spacing w:line="560" w:lineRule="exact"/>
        <w:ind w:left="2181" w:leftChars="200" w:right="849" w:rightChars="300" w:hanging="1615" w:hangingChars="500"/>
        <w:rPr>
          <w:rFonts w:ascii="黑体" w:hAnsi="黑体" w:eastAsia="黑体" w:cs="黑体"/>
          <w:sz w:val="32"/>
          <w:szCs w:val="32"/>
        </w:rPr>
      </w:pPr>
      <w:bookmarkStart w:id="261" w:name="_Toc8294_WPSOffice_Level1"/>
      <w:bookmarkStart w:id="262" w:name="_Toc25537_WPSOffice_Level1"/>
      <w:bookmarkStart w:id="263" w:name="_Toc26192_WPSOffice_Level1"/>
      <w:bookmarkStart w:id="264" w:name="_Toc19993_WPSOffice_Level1"/>
      <w:r>
        <w:rPr>
          <w:rFonts w:hint="eastAsia" w:ascii="黑体" w:hAnsi="黑体" w:eastAsia="黑体" w:cs="黑体"/>
          <w:sz w:val="32"/>
          <w:szCs w:val="32"/>
        </w:rPr>
        <w:t>第一部分  资格证明文件</w:t>
      </w:r>
      <w:r>
        <w:rPr>
          <w:rFonts w:hint="eastAsia" w:ascii="黑体" w:hAnsi="黑体" w:eastAsia="黑体" w:cs="黑体"/>
          <w:sz w:val="32"/>
          <w:szCs w:val="32"/>
        </w:rPr>
        <w:tab/>
      </w:r>
      <w:r>
        <w:rPr>
          <w:rFonts w:hint="eastAsia" w:ascii="黑体" w:hAnsi="黑体" w:eastAsia="黑体" w:cs="黑体"/>
          <w:sz w:val="32"/>
          <w:szCs w:val="32"/>
        </w:rPr>
        <w:t>X</w:t>
      </w:r>
      <w:bookmarkEnd w:id="261"/>
      <w:bookmarkEnd w:id="262"/>
      <w:bookmarkEnd w:id="263"/>
      <w:bookmarkEnd w:id="264"/>
    </w:p>
    <w:p w14:paraId="22C8E0EB">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65" w:name="_Toc14464_WPSOffice_Level2"/>
      <w:bookmarkStart w:id="266" w:name="_Toc19993_WPSOffice_Level2"/>
      <w:bookmarkStart w:id="267" w:name="_Toc25969_WPSOffice_Level2"/>
      <w:bookmarkStart w:id="268" w:name="_Toc31082_WPSOffice_Level2"/>
      <w:r>
        <w:rPr>
          <w:rFonts w:hint="eastAsia" w:ascii="仿宋_GB2312" w:hAnsi="仿宋_GB2312" w:eastAsia="仿宋_GB2312" w:cs="仿宋_GB2312"/>
          <w:sz w:val="32"/>
          <w:szCs w:val="32"/>
        </w:rPr>
        <w:t>一、营业执照等主体资格证明文件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65"/>
      <w:bookmarkEnd w:id="266"/>
      <w:bookmarkEnd w:id="267"/>
      <w:bookmarkEnd w:id="268"/>
    </w:p>
    <w:p w14:paraId="5BC5B917">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69" w:name="_Toc5830_WPSOffice_Level2"/>
      <w:bookmarkStart w:id="270" w:name="_Toc10078_WPSOffice_Level2"/>
      <w:bookmarkStart w:id="271" w:name="_Toc25537_WPSOffice_Level2"/>
      <w:bookmarkStart w:id="272" w:name="_Toc27026_WPSOffice_Level2"/>
      <w:r>
        <w:rPr>
          <w:rFonts w:hint="eastAsia" w:ascii="仿宋_GB2312" w:hAnsi="仿宋_GB2312" w:eastAsia="仿宋_GB2312" w:cs="仿宋_GB2312"/>
          <w:sz w:val="32"/>
          <w:szCs w:val="32"/>
        </w:rPr>
        <w:t>二、法定代表人授权委托书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69"/>
      <w:bookmarkEnd w:id="270"/>
      <w:bookmarkEnd w:id="271"/>
      <w:bookmarkEnd w:id="272"/>
    </w:p>
    <w:p w14:paraId="465D9C29">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73" w:name="_Toc30252_WPSOffice_Level2"/>
      <w:bookmarkStart w:id="274" w:name="_Toc6392_WPSOffice_Level2"/>
      <w:bookmarkStart w:id="275" w:name="_Toc22808_WPSOffice_Level2"/>
      <w:bookmarkStart w:id="276" w:name="_Toc17853_WPSOffice_Level2"/>
      <w:r>
        <w:rPr>
          <w:rFonts w:hint="eastAsia" w:ascii="仿宋_GB2312" w:hAnsi="仿宋_GB2312" w:eastAsia="仿宋_GB2312" w:cs="仿宋_GB2312"/>
          <w:sz w:val="32"/>
          <w:szCs w:val="32"/>
        </w:rPr>
        <w:t>三、汉中市政府采购供应商资格承诺函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73"/>
      <w:bookmarkEnd w:id="274"/>
      <w:bookmarkEnd w:id="275"/>
      <w:bookmarkEnd w:id="276"/>
    </w:p>
    <w:p w14:paraId="1A6EA1B5">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77" w:name="_Toc26939_WPSOffice_Level2"/>
      <w:bookmarkStart w:id="278" w:name="_Toc6376_WPSOffice_Level2"/>
      <w:bookmarkStart w:id="279" w:name="_Toc25958_WPSOffice_Level2"/>
      <w:bookmarkStart w:id="280" w:name="_Toc27464_WPSOffice_Level2"/>
      <w:r>
        <w:rPr>
          <w:rFonts w:hint="eastAsia" w:ascii="仿宋_GB2312" w:hAnsi="仿宋_GB2312" w:eastAsia="仿宋_GB2312" w:cs="仿宋_GB2312"/>
          <w:sz w:val="32"/>
          <w:szCs w:val="32"/>
        </w:rPr>
        <w:t>四、特定资格要求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77"/>
      <w:bookmarkEnd w:id="278"/>
      <w:bookmarkEnd w:id="279"/>
      <w:bookmarkEnd w:id="280"/>
    </w:p>
    <w:p w14:paraId="51E50CD2">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81" w:name="_Toc3534_WPSOffice_Level2"/>
      <w:bookmarkStart w:id="282" w:name="_Toc10792_WPSOffice_Level2"/>
      <w:bookmarkStart w:id="283" w:name="_Toc25801_WPSOffice_Level2"/>
      <w:bookmarkStart w:id="284" w:name="_Toc17511_WPSOffice_Level2"/>
      <w:r>
        <w:rPr>
          <w:rFonts w:hint="eastAsia" w:ascii="仿宋_GB2312" w:hAnsi="仿宋_GB2312" w:eastAsia="仿宋_GB2312" w:cs="仿宋_GB2312"/>
          <w:sz w:val="32"/>
          <w:szCs w:val="32"/>
        </w:rPr>
        <w:t>五、落实政府采购政策需满足的资格要求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81"/>
      <w:bookmarkEnd w:id="282"/>
      <w:bookmarkEnd w:id="283"/>
      <w:bookmarkEnd w:id="284"/>
    </w:p>
    <w:p w14:paraId="7052C9A9">
      <w:pPr>
        <w:tabs>
          <w:tab w:val="right" w:leader="hyphen" w:pos="8504"/>
        </w:tabs>
        <w:spacing w:line="560" w:lineRule="exact"/>
        <w:ind w:left="2181" w:leftChars="200" w:right="849" w:rightChars="300" w:hanging="1615" w:hangingChars="500"/>
        <w:rPr>
          <w:rFonts w:ascii="黑体" w:hAnsi="黑体" w:eastAsia="黑体" w:cs="黑体"/>
          <w:sz w:val="32"/>
          <w:szCs w:val="32"/>
        </w:rPr>
      </w:pPr>
      <w:bookmarkStart w:id="285" w:name="_Toc28184_WPSOffice_Level1"/>
      <w:bookmarkStart w:id="286" w:name="_Toc30252_WPSOffice_Level1"/>
      <w:bookmarkStart w:id="287" w:name="_Toc27026_WPSOffice_Level1"/>
      <w:bookmarkStart w:id="288" w:name="_Toc22849_WPSOffice_Level1"/>
      <w:r>
        <w:rPr>
          <w:rFonts w:hint="eastAsia" w:ascii="黑体" w:hAnsi="黑体" w:eastAsia="黑体" w:cs="黑体"/>
          <w:sz w:val="32"/>
          <w:szCs w:val="32"/>
        </w:rPr>
        <w:t>第二部分  符合性证明文件</w:t>
      </w:r>
      <w:r>
        <w:rPr>
          <w:sz w:val="32"/>
          <w:szCs w:val="32"/>
        </w:rPr>
        <w:tab/>
      </w:r>
      <w:r>
        <w:rPr>
          <w:sz w:val="32"/>
          <w:szCs w:val="32"/>
        </w:rPr>
        <w:t>X</w:t>
      </w:r>
      <w:bookmarkEnd w:id="285"/>
      <w:bookmarkEnd w:id="286"/>
      <w:bookmarkEnd w:id="287"/>
      <w:bookmarkEnd w:id="288"/>
    </w:p>
    <w:p w14:paraId="5BB77007">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89" w:name="_Toc5795_WPSOffice_Level2"/>
      <w:bookmarkStart w:id="290" w:name="_Toc183_WPSOffice_Level2"/>
      <w:bookmarkStart w:id="291" w:name="_Toc7348_WPSOffice_Level2"/>
      <w:bookmarkStart w:id="292" w:name="_Toc28631_WPSOffice_Level2"/>
      <w:r>
        <w:rPr>
          <w:rFonts w:hint="eastAsia" w:ascii="仿宋_GB2312" w:hAnsi="仿宋_GB2312" w:eastAsia="仿宋_GB2312" w:cs="仿宋_GB2312"/>
          <w:sz w:val="32"/>
          <w:szCs w:val="32"/>
        </w:rPr>
        <w:t>一、响应函格式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89"/>
      <w:bookmarkEnd w:id="290"/>
      <w:bookmarkEnd w:id="291"/>
      <w:bookmarkEnd w:id="292"/>
    </w:p>
    <w:p w14:paraId="3FFCD2DD">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93" w:name="_Toc27223_WPSOffice_Level2"/>
      <w:bookmarkStart w:id="294" w:name="_Toc8116_WPSOffice_Level2"/>
      <w:bookmarkStart w:id="295" w:name="_Toc1168_WPSOffice_Level2"/>
      <w:bookmarkStart w:id="296" w:name="_Toc9021_WPSOffice_Level2"/>
      <w:r>
        <w:rPr>
          <w:rFonts w:hint="eastAsia" w:ascii="仿宋_GB2312" w:hAnsi="仿宋_GB2312" w:eastAsia="仿宋_GB2312" w:cs="仿宋_GB2312"/>
          <w:sz w:val="32"/>
          <w:szCs w:val="32"/>
        </w:rPr>
        <w:t>二、第一次磋商报价表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93"/>
      <w:bookmarkEnd w:id="294"/>
      <w:bookmarkEnd w:id="295"/>
      <w:bookmarkEnd w:id="296"/>
    </w:p>
    <w:p w14:paraId="01AFF668">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分项报价表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p>
    <w:p w14:paraId="22D02689">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297" w:name="_Toc3525_WPSOffice_Level2"/>
      <w:bookmarkStart w:id="298" w:name="_Toc29414_WPSOffice_Level2"/>
      <w:bookmarkStart w:id="299" w:name="_Toc11630_WPSOffice_Level2"/>
      <w:bookmarkStart w:id="300" w:name="_Toc27170_WPSOffice_Level2"/>
      <w:r>
        <w:rPr>
          <w:rFonts w:hint="eastAsia" w:ascii="仿宋_GB2312" w:hAnsi="仿宋_GB2312" w:eastAsia="仿宋_GB2312" w:cs="仿宋_GB2312"/>
          <w:sz w:val="32"/>
          <w:szCs w:val="32"/>
        </w:rPr>
        <w:t>三、供应商参加政府采购活动承诺书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297"/>
      <w:bookmarkEnd w:id="298"/>
      <w:bookmarkEnd w:id="299"/>
      <w:bookmarkEnd w:id="300"/>
    </w:p>
    <w:p w14:paraId="6260019D">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301" w:name="_Toc20504_WPSOffice_Level2"/>
      <w:bookmarkStart w:id="302" w:name="_Toc31457_WPSOffice_Level2"/>
      <w:bookmarkStart w:id="303" w:name="_Toc18811_WPSOffice_Level2"/>
      <w:bookmarkStart w:id="304" w:name="_Toc1782_WPSOffice_Level2"/>
      <w:r>
        <w:rPr>
          <w:rFonts w:hint="eastAsia" w:ascii="仿宋_GB2312" w:hAnsi="仿宋_GB2312" w:eastAsia="仿宋_GB2312" w:cs="仿宋_GB2312"/>
          <w:sz w:val="32"/>
          <w:szCs w:val="32"/>
        </w:rPr>
        <w:t>四、技术服务偏差表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301"/>
      <w:bookmarkEnd w:id="302"/>
      <w:bookmarkEnd w:id="303"/>
      <w:bookmarkEnd w:id="304"/>
    </w:p>
    <w:p w14:paraId="489829B1">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305" w:name="_Toc19486_WPSOffice_Level2"/>
      <w:bookmarkStart w:id="306" w:name="_Toc17428_WPSOffice_Level2"/>
      <w:bookmarkStart w:id="307" w:name="_Toc28279_WPSOffice_Level2"/>
      <w:bookmarkStart w:id="308" w:name="_Toc13258_WPSOffice_Level2"/>
      <w:r>
        <w:rPr>
          <w:rFonts w:hint="eastAsia" w:ascii="仿宋_GB2312" w:hAnsi="仿宋_GB2312" w:eastAsia="仿宋_GB2312" w:cs="仿宋_GB2312"/>
          <w:sz w:val="32"/>
          <w:szCs w:val="32"/>
        </w:rPr>
        <w:t>五、合同草案条款响应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305"/>
      <w:bookmarkEnd w:id="306"/>
      <w:bookmarkEnd w:id="307"/>
      <w:bookmarkEnd w:id="308"/>
    </w:p>
    <w:p w14:paraId="6C11B0C6">
      <w:pPr>
        <w:tabs>
          <w:tab w:val="right" w:leader="hyphen" w:pos="8504"/>
        </w:tabs>
        <w:spacing w:line="560" w:lineRule="exact"/>
        <w:ind w:right="849" w:rightChars="300" w:firstLine="646" w:firstLineChars="200"/>
        <w:rPr>
          <w:rFonts w:ascii="黑体" w:hAnsi="黑体" w:eastAsia="黑体" w:cs="黑体"/>
          <w:sz w:val="32"/>
          <w:szCs w:val="32"/>
        </w:rPr>
      </w:pPr>
      <w:bookmarkStart w:id="309" w:name="_Toc22808_WPSOffice_Level1"/>
      <w:bookmarkStart w:id="310" w:name="_Toc23092_WPSOffice_Level1"/>
      <w:bookmarkStart w:id="311" w:name="_Toc27464_WPSOffice_Level1"/>
      <w:bookmarkStart w:id="312" w:name="_Toc21905_WPSOffice_Level1"/>
      <w:r>
        <w:rPr>
          <w:rFonts w:hint="eastAsia" w:ascii="黑体" w:hAnsi="黑体" w:eastAsia="黑体" w:cs="黑体"/>
          <w:sz w:val="32"/>
          <w:szCs w:val="32"/>
        </w:rPr>
        <w:t>第三部分  响应方案</w:t>
      </w:r>
      <w:bookmarkEnd w:id="309"/>
      <w:bookmarkEnd w:id="310"/>
      <w:bookmarkEnd w:id="311"/>
      <w:bookmarkEnd w:id="312"/>
    </w:p>
    <w:p w14:paraId="499CD89A">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313" w:name="_Toc7951_WPSOffice_Level2"/>
      <w:bookmarkStart w:id="314" w:name="_Toc8316_WPSOffice_Level2"/>
      <w:bookmarkStart w:id="315" w:name="_Toc980_WPSOffice_Level2"/>
      <w:bookmarkStart w:id="316" w:name="_Toc7544_WPSOffice_Level2"/>
      <w:r>
        <w:rPr>
          <w:rFonts w:hint="eastAsia" w:ascii="仿宋_GB2312" w:hAnsi="仿宋_GB2312" w:eastAsia="仿宋_GB2312" w:cs="仿宋_GB2312"/>
          <w:sz w:val="32"/>
          <w:szCs w:val="32"/>
        </w:rPr>
        <w:t>一、供应商</w:t>
      </w:r>
      <w:bookmarkEnd w:id="313"/>
      <w:r>
        <w:rPr>
          <w:rFonts w:hint="eastAsia" w:ascii="仿宋_GB2312" w:hAnsi="仿宋_GB2312" w:eastAsia="仿宋_GB2312" w:cs="仿宋_GB2312"/>
          <w:sz w:val="32"/>
          <w:szCs w:val="32"/>
        </w:rPr>
        <w:t>基本情况及其性质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314"/>
      <w:bookmarkEnd w:id="315"/>
      <w:bookmarkEnd w:id="316"/>
    </w:p>
    <w:p w14:paraId="70732D29">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317" w:name="_Toc15474_WPSOffice_Level2"/>
      <w:bookmarkStart w:id="318" w:name="_Toc10127_WPSOffice_Level2"/>
      <w:bookmarkStart w:id="319" w:name="_Toc2999_WPSOffice_Level2"/>
      <w:bookmarkStart w:id="320" w:name="_Toc2987_WPSOffice_Level2"/>
      <w:r>
        <w:rPr>
          <w:rFonts w:hint="eastAsia" w:ascii="仿宋_GB2312" w:hAnsi="仿宋_GB2312" w:eastAsia="仿宋_GB2312" w:cs="仿宋_GB2312"/>
          <w:sz w:val="32"/>
          <w:szCs w:val="32"/>
        </w:rPr>
        <w:t>二、技术服务方案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317"/>
      <w:bookmarkEnd w:id="318"/>
      <w:bookmarkEnd w:id="319"/>
      <w:bookmarkEnd w:id="320"/>
    </w:p>
    <w:p w14:paraId="4D2F29C7">
      <w:pPr>
        <w:tabs>
          <w:tab w:val="right" w:leader="hyphen" w:pos="8504"/>
        </w:tabs>
        <w:spacing w:line="560" w:lineRule="exact"/>
        <w:ind w:right="849" w:rightChars="300" w:firstLine="1292" w:firstLineChars="400"/>
        <w:rPr>
          <w:rFonts w:ascii="仿宋_GB2312" w:hAnsi="仿宋_GB2312" w:eastAsia="仿宋_GB2312" w:cs="仿宋_GB2312"/>
          <w:sz w:val="32"/>
          <w:szCs w:val="32"/>
        </w:rPr>
      </w:pPr>
      <w:bookmarkStart w:id="321" w:name="_Toc13401_WPSOffice_Level2"/>
      <w:bookmarkStart w:id="322" w:name="_Toc22913_WPSOffice_Level2"/>
      <w:bookmarkStart w:id="323" w:name="_Toc15492_WPSOffice_Level2"/>
      <w:bookmarkStart w:id="324" w:name="_Toc28542_WPSOffice_Level2"/>
      <w:r>
        <w:rPr>
          <w:rFonts w:hint="eastAsia" w:ascii="仿宋_GB2312" w:hAnsi="仿宋_GB2312" w:eastAsia="仿宋_GB2312" w:cs="仿宋_GB2312"/>
          <w:sz w:val="32"/>
          <w:szCs w:val="32"/>
        </w:rPr>
        <w:t>三、参考样表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X</w:t>
      </w:r>
      <w:bookmarkEnd w:id="321"/>
      <w:bookmarkEnd w:id="322"/>
      <w:bookmarkEnd w:id="323"/>
      <w:bookmarkEnd w:id="324"/>
    </w:p>
    <w:p w14:paraId="19C12F0B">
      <w:pPr>
        <w:spacing w:line="500" w:lineRule="exact"/>
        <w:jc w:val="center"/>
        <w:rPr>
          <w:rFonts w:ascii="黑体" w:hAnsi="黑体" w:eastAsia="黑体"/>
          <w:b/>
        </w:rPr>
      </w:pPr>
    </w:p>
    <w:p w14:paraId="63B030E0">
      <w:pPr>
        <w:spacing w:line="500" w:lineRule="exact"/>
        <w:jc w:val="center"/>
        <w:rPr>
          <w:rFonts w:ascii="黑体" w:hAnsi="黑体" w:eastAsia="黑体"/>
          <w:b/>
        </w:rPr>
      </w:pPr>
    </w:p>
    <w:p w14:paraId="4A3C2EC3">
      <w:pPr>
        <w:spacing w:line="560" w:lineRule="exact"/>
        <w:jc w:val="center"/>
        <w:rPr>
          <w:rFonts w:ascii="黑体" w:hAnsi="黑体" w:eastAsia="黑体"/>
          <w:b/>
        </w:rPr>
      </w:pPr>
      <w:r>
        <w:rPr>
          <w:rFonts w:ascii="黑体" w:hAnsi="黑体" w:eastAsia="黑体"/>
          <w:b/>
        </w:rPr>
        <w:br w:type="page"/>
      </w:r>
      <w:bookmarkStart w:id="325" w:name="_Toc14670_WPSOffice_Level1"/>
      <w:bookmarkStart w:id="326" w:name="_Toc3534_WPSOffice_Level1"/>
      <w:bookmarkStart w:id="327" w:name="_Toc8079"/>
      <w:bookmarkStart w:id="328" w:name="_Toc16498"/>
      <w:bookmarkStart w:id="329" w:name="_Toc23478"/>
      <w:bookmarkStart w:id="330" w:name="_Toc5115_WPSOffice_Level1"/>
      <w:bookmarkStart w:id="331" w:name="_Toc6199"/>
      <w:r>
        <w:rPr>
          <w:rStyle w:val="43"/>
          <w:rFonts w:hint="eastAsia" w:ascii="黑体" w:hAnsi="黑体" w:eastAsia="黑体" w:cs="黑体"/>
          <w:b w:val="0"/>
          <w:bCs/>
          <w:color w:val="auto"/>
          <w:sz w:val="32"/>
          <w:szCs w:val="40"/>
        </w:rPr>
        <w:t>第一部分  资格证明文件</w:t>
      </w:r>
      <w:bookmarkEnd w:id="325"/>
      <w:bookmarkEnd w:id="326"/>
      <w:bookmarkEnd w:id="327"/>
      <w:bookmarkEnd w:id="328"/>
      <w:bookmarkEnd w:id="329"/>
      <w:bookmarkEnd w:id="330"/>
      <w:bookmarkEnd w:id="331"/>
    </w:p>
    <w:p w14:paraId="38C88F0D">
      <w:pPr>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供应商应按照磋商文件第二章《资格审查表》所列审查项逐一提供全部资格证明文件。缺少其中任何一项，其响应文件将被视为无效文件。</w:t>
      </w:r>
    </w:p>
    <w:p w14:paraId="2BFB01F4">
      <w:pPr>
        <w:spacing w:line="500" w:lineRule="exact"/>
        <w:ind w:firstLine="562"/>
        <w:rPr>
          <w:rFonts w:ascii="仿宋_GB2312" w:hAnsi="仿宋_GB2312" w:eastAsia="仿宋_GB2312" w:cs="仿宋_GB2312"/>
          <w:b/>
        </w:rPr>
      </w:pPr>
      <w:r>
        <w:rPr>
          <w:rFonts w:hint="eastAsia" w:ascii="仿宋_GB2312" w:hAnsi="仿宋_GB2312" w:eastAsia="仿宋_GB2312" w:cs="仿宋_GB2312"/>
        </w:rPr>
        <w:t>其中，《汉中市政府采购供应商资格承诺函》、《法定代表人（负责人）授权委托书》、《中小企业声明函》须按下文给定格式填写，否则按无效处理。特别说明，法定代表人亲自参加磋商的，可不提供法定代表人授权委托书，但须提供其本人身份证（正反面）复印件。</w:t>
      </w:r>
      <w:bookmarkStart w:id="332" w:name="_Toc9954_WPSOffice_Level2"/>
      <w:bookmarkStart w:id="333" w:name="_Toc6967_WPSOffice_Level2"/>
      <w:bookmarkStart w:id="334" w:name="_Toc19075_WPSOffice_Level2"/>
      <w:bookmarkStart w:id="335" w:name="_Toc26041_WPSOffice_Level2"/>
    </w:p>
    <w:p w14:paraId="1A862F2E">
      <w:pPr>
        <w:spacing w:line="500" w:lineRule="exact"/>
        <w:ind w:firstLine="562"/>
        <w:rPr>
          <w:rFonts w:ascii="仿宋" w:hAnsi="仿宋" w:eastAsia="仿宋"/>
          <w:b/>
        </w:rPr>
      </w:pPr>
      <w:r>
        <w:rPr>
          <w:rFonts w:hint="eastAsia" w:ascii="仿宋_GB2312" w:hAnsi="仿宋_GB2312" w:eastAsia="仿宋_GB2312" w:cs="仿宋_GB2312"/>
          <w:b/>
        </w:rPr>
        <w:t>一、营业执照等主体资格证明文件</w:t>
      </w:r>
      <w:bookmarkEnd w:id="332"/>
      <w:bookmarkEnd w:id="333"/>
      <w:bookmarkEnd w:id="334"/>
      <w:bookmarkEnd w:id="335"/>
      <w:bookmarkStart w:id="336" w:name="_Toc1079_WPSOffice_Level2"/>
      <w:bookmarkStart w:id="337" w:name="_Toc32533_WPSOffice_Level2"/>
      <w:bookmarkStart w:id="338" w:name="_Toc10483_WPSOffice_Level2"/>
      <w:bookmarkStart w:id="339" w:name="_Toc30636_WPSOffice_Level2"/>
    </w:p>
    <w:p w14:paraId="381D5507">
      <w:pPr>
        <w:spacing w:line="500" w:lineRule="exact"/>
        <w:ind w:firstLine="566" w:firstLineChars="200"/>
        <w:rPr>
          <w:rFonts w:ascii="仿宋" w:hAnsi="仿宋" w:eastAsia="仿宋"/>
          <w:b/>
        </w:rPr>
      </w:pPr>
    </w:p>
    <w:p w14:paraId="41D5A53E">
      <w:pPr>
        <w:spacing w:line="500" w:lineRule="exact"/>
        <w:ind w:firstLine="566" w:firstLineChars="200"/>
        <w:rPr>
          <w:rFonts w:ascii="仿宋" w:hAnsi="仿宋" w:eastAsia="仿宋"/>
          <w:b/>
        </w:rPr>
      </w:pPr>
    </w:p>
    <w:p w14:paraId="1A497ECD">
      <w:pPr>
        <w:spacing w:line="500" w:lineRule="exact"/>
        <w:ind w:firstLine="566" w:firstLineChars="200"/>
        <w:rPr>
          <w:rFonts w:ascii="仿宋" w:hAnsi="仿宋" w:eastAsia="仿宋"/>
          <w:b/>
        </w:rPr>
      </w:pPr>
    </w:p>
    <w:p w14:paraId="515691D7">
      <w:pPr>
        <w:rPr>
          <w:rFonts w:ascii="仿宋" w:hAnsi="仿宋" w:eastAsia="仿宋"/>
          <w:b/>
        </w:rPr>
      </w:pPr>
      <w:r>
        <w:rPr>
          <w:rFonts w:hint="eastAsia" w:ascii="仿宋" w:hAnsi="仿宋" w:eastAsia="仿宋"/>
          <w:b/>
        </w:rPr>
        <w:br w:type="page"/>
      </w:r>
    </w:p>
    <w:bookmarkEnd w:id="336"/>
    <w:bookmarkEnd w:id="337"/>
    <w:bookmarkEnd w:id="338"/>
    <w:bookmarkEnd w:id="339"/>
    <w:p w14:paraId="4EE36245">
      <w:pPr>
        <w:pStyle w:val="44"/>
        <w:spacing w:line="560" w:lineRule="exact"/>
        <w:ind w:firstLine="606"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二、法定代表人（负责人）授权委托书</w:t>
      </w:r>
    </w:p>
    <w:p w14:paraId="66523055">
      <w:pPr>
        <w:pStyle w:val="44"/>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法定代表人（负责人）授权委托书</w:t>
      </w:r>
    </w:p>
    <w:p w14:paraId="49280723">
      <w:pPr>
        <w:snapToGrid w:val="0"/>
        <w:spacing w:line="560" w:lineRule="exact"/>
        <w:rPr>
          <w:rFonts w:ascii="仿宋_GB2312" w:hAnsi="仿宋_GB2312" w:eastAsia="仿宋_GB2312" w:cs="仿宋_GB2312"/>
        </w:rPr>
      </w:pPr>
      <w:r>
        <w:rPr>
          <w:rFonts w:hint="eastAsia" w:ascii="仿宋_GB2312" w:hAnsi="仿宋_GB2312" w:eastAsia="仿宋_GB2312" w:cs="仿宋_GB2312"/>
        </w:rPr>
        <w:t>汉中市政府采购中心：</w:t>
      </w:r>
    </w:p>
    <w:p w14:paraId="5A043F02">
      <w:pPr>
        <w:spacing w:line="560" w:lineRule="exact"/>
        <w:ind w:right="11" w:firstLine="566" w:firstLineChars="200"/>
        <w:rPr>
          <w:rFonts w:ascii="仿宋_GB2312" w:hAnsi="仿宋_GB2312" w:eastAsia="仿宋_GB2312" w:cs="仿宋_GB2312"/>
        </w:rPr>
      </w:pPr>
      <w:r>
        <w:rPr>
          <w:rFonts w:hint="eastAsia" w:ascii="仿宋_GB2312" w:hAnsi="仿宋_GB2312" w:eastAsia="仿宋_GB2312" w:cs="仿宋_GB2312"/>
        </w:rPr>
        <w:t>现委派</w:t>
      </w:r>
      <w:r>
        <w:rPr>
          <w:rFonts w:hint="eastAsia" w:ascii="仿宋_GB2312" w:hAnsi="仿宋_GB2312" w:eastAsia="仿宋_GB2312" w:cs="仿宋_GB2312"/>
          <w:u w:val="single"/>
        </w:rPr>
        <w:t>（授权代表姓名）</w:t>
      </w:r>
      <w:r>
        <w:rPr>
          <w:rFonts w:hint="eastAsia" w:ascii="仿宋_GB2312" w:hAnsi="仿宋_GB2312" w:eastAsia="仿宋_GB2312" w:cs="仿宋_GB2312"/>
        </w:rPr>
        <w:t>（身份证号：</w:t>
      </w:r>
      <w:r>
        <w:rPr>
          <w:rFonts w:hint="eastAsia" w:ascii="仿宋_GB2312" w:hAnsi="仿宋_GB2312" w:eastAsia="仿宋_GB2312" w:cs="仿宋_GB2312"/>
          <w:u w:val="single"/>
        </w:rPr>
        <w:t xml:space="preserve">      </w:t>
      </w:r>
      <w:r>
        <w:rPr>
          <w:rFonts w:hint="eastAsia" w:ascii="仿宋_GB2312" w:hAnsi="仿宋_GB2312" w:eastAsia="仿宋_GB2312" w:cs="仿宋_GB2312"/>
        </w:rPr>
        <w:t>）为本公司的授权代表，参加贵方组织的</w:t>
      </w:r>
      <w:r>
        <w:rPr>
          <w:rFonts w:hint="eastAsia" w:ascii="仿宋_GB2312" w:hAnsi="仿宋_GB2312" w:eastAsia="仿宋_GB2312" w:cs="仿宋_GB2312"/>
          <w:u w:val="single"/>
        </w:rPr>
        <w:t xml:space="preserve"> 项目名称 </w:t>
      </w:r>
      <w:r>
        <w:rPr>
          <w:rFonts w:hint="eastAsia" w:ascii="仿宋_GB2312" w:hAnsi="仿宋_GB2312" w:eastAsia="仿宋_GB2312" w:cs="仿宋_GB2312"/>
        </w:rPr>
        <w:t>（项目编号：</w:t>
      </w:r>
      <w:r>
        <w:rPr>
          <w:rFonts w:hint="eastAsia" w:ascii="仿宋_GB2312" w:hAnsi="仿宋_GB2312" w:eastAsia="仿宋_GB2312" w:cs="仿宋_GB2312"/>
          <w:u w:val="single"/>
        </w:rPr>
        <w:t xml:space="preserve">       </w:t>
      </w:r>
      <w:r>
        <w:rPr>
          <w:rFonts w:hint="eastAsia" w:ascii="仿宋_GB2312" w:hAnsi="仿宋_GB2312" w:eastAsia="仿宋_GB2312" w:cs="仿宋_GB2312"/>
        </w:rPr>
        <w:t>）第___标段政府采购活动，就该项目的磋商及合同的执行和完成，以本公司的名义处理一切与之有关的事宜。本授权自开标之日起生效，有效期与投标文件有效期一致。</w:t>
      </w:r>
    </w:p>
    <w:p w14:paraId="766E86F1">
      <w:pPr>
        <w:tabs>
          <w:tab w:val="left" w:pos="5245"/>
          <w:tab w:val="left" w:pos="6946"/>
        </w:tabs>
        <w:snapToGrid w:val="0"/>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授权代表姓名：_______________</w:t>
      </w:r>
      <w:r>
        <w:rPr>
          <w:rFonts w:hint="eastAsia" w:ascii="仿宋_GB2312" w:hAnsi="仿宋_GB2312" w:eastAsia="仿宋_GB2312" w:cs="仿宋_GB2312"/>
        </w:rPr>
        <w:tab/>
      </w:r>
      <w:r>
        <w:rPr>
          <w:rFonts w:hint="eastAsia" w:ascii="仿宋_GB2312" w:hAnsi="仿宋_GB2312" w:eastAsia="仿宋_GB2312" w:cs="仿宋_GB2312"/>
        </w:rPr>
        <w:t>性别：_____</w:t>
      </w:r>
      <w:r>
        <w:rPr>
          <w:rFonts w:hint="eastAsia" w:ascii="仿宋_GB2312" w:hAnsi="仿宋_GB2312" w:eastAsia="仿宋_GB2312" w:cs="仿宋_GB2312"/>
        </w:rPr>
        <w:tab/>
      </w:r>
    </w:p>
    <w:p w14:paraId="460B8228">
      <w:pPr>
        <w:tabs>
          <w:tab w:val="left" w:pos="5245"/>
        </w:tabs>
        <w:snapToGrid w:val="0"/>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职务：________________           电话：_________</w:t>
      </w:r>
    </w:p>
    <w:p w14:paraId="27F77245">
      <w:pPr>
        <w:tabs>
          <w:tab w:val="left" w:pos="3828"/>
          <w:tab w:val="left" w:pos="6237"/>
        </w:tabs>
        <w:snapToGrid w:val="0"/>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通讯地址：__________________     邮政编码：__________</w:t>
      </w:r>
    </w:p>
    <w:tbl>
      <w:tblPr>
        <w:tblStyle w:val="2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7F34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394A7B9B">
            <w:pPr>
              <w:spacing w:line="560" w:lineRule="exact"/>
              <w:ind w:firstLine="8" w:firstLineChars="3"/>
              <w:jc w:val="center"/>
              <w:rPr>
                <w:rFonts w:ascii="仿宋_GB2312" w:hAnsi="仿宋_GB2312" w:eastAsia="仿宋_GB2312" w:cs="仿宋_GB2312"/>
              </w:rPr>
            </w:pPr>
            <w:r>
              <w:rPr>
                <w:rFonts w:hint="eastAsia" w:ascii="仿宋_GB2312" w:hAnsi="仿宋_GB2312" w:eastAsia="仿宋_GB2312" w:cs="仿宋_GB2312"/>
              </w:rPr>
              <w:t>法定代表人（负责人）身份证复印件</w:t>
            </w:r>
          </w:p>
          <w:p w14:paraId="32AB9EF2">
            <w:pPr>
              <w:spacing w:line="560" w:lineRule="exact"/>
              <w:ind w:firstLine="8" w:firstLineChars="3"/>
              <w:jc w:val="center"/>
              <w:rPr>
                <w:rFonts w:ascii="仿宋_GB2312" w:hAnsi="仿宋_GB2312" w:eastAsia="仿宋_GB2312" w:cs="仿宋_GB2312"/>
              </w:rPr>
            </w:pPr>
            <w:r>
              <w:rPr>
                <w:rFonts w:hint="eastAsia" w:ascii="仿宋_GB2312" w:hAnsi="仿宋_GB2312" w:eastAsia="仿宋_GB2312" w:cs="仿宋_GB2312"/>
              </w:rPr>
              <w:t>（有人像面）</w:t>
            </w:r>
          </w:p>
        </w:tc>
        <w:tc>
          <w:tcPr>
            <w:tcW w:w="4098" w:type="dxa"/>
            <w:tcBorders>
              <w:top w:val="single" w:color="auto" w:sz="4" w:space="0"/>
              <w:left w:val="single" w:color="auto" w:sz="4" w:space="0"/>
              <w:bottom w:val="single" w:color="auto" w:sz="4" w:space="0"/>
              <w:right w:val="single" w:color="auto" w:sz="4" w:space="0"/>
            </w:tcBorders>
            <w:vAlign w:val="center"/>
          </w:tcPr>
          <w:p w14:paraId="4F1530C9">
            <w:pPr>
              <w:spacing w:line="560" w:lineRule="exact"/>
              <w:jc w:val="center"/>
              <w:rPr>
                <w:rFonts w:ascii="仿宋_GB2312" w:hAnsi="仿宋_GB2312" w:eastAsia="仿宋_GB2312" w:cs="仿宋_GB2312"/>
              </w:rPr>
            </w:pPr>
            <w:r>
              <w:rPr>
                <w:rFonts w:hint="eastAsia" w:ascii="仿宋_GB2312" w:hAnsi="仿宋_GB2312" w:eastAsia="仿宋_GB2312" w:cs="仿宋_GB2312"/>
              </w:rPr>
              <w:t>授权代表身份证复印件</w:t>
            </w:r>
          </w:p>
          <w:p w14:paraId="506D2592">
            <w:pPr>
              <w:spacing w:line="560" w:lineRule="exact"/>
              <w:jc w:val="center"/>
              <w:rPr>
                <w:rFonts w:ascii="仿宋_GB2312" w:hAnsi="仿宋_GB2312" w:eastAsia="仿宋_GB2312" w:cs="仿宋_GB2312"/>
              </w:rPr>
            </w:pPr>
            <w:r>
              <w:rPr>
                <w:rFonts w:hint="eastAsia" w:ascii="仿宋_GB2312" w:hAnsi="仿宋_GB2312" w:eastAsia="仿宋_GB2312" w:cs="仿宋_GB2312"/>
              </w:rPr>
              <w:t>（有人像面）</w:t>
            </w:r>
          </w:p>
        </w:tc>
      </w:tr>
      <w:tr w14:paraId="29D2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4072" w:type="dxa"/>
            <w:vAlign w:val="center"/>
          </w:tcPr>
          <w:p w14:paraId="2926F459">
            <w:pPr>
              <w:spacing w:line="560" w:lineRule="exact"/>
              <w:jc w:val="center"/>
              <w:rPr>
                <w:rFonts w:ascii="仿宋_GB2312" w:hAnsi="仿宋_GB2312" w:eastAsia="仿宋_GB2312" w:cs="仿宋_GB2312"/>
              </w:rPr>
            </w:pPr>
            <w:r>
              <w:rPr>
                <w:rFonts w:hint="eastAsia" w:ascii="仿宋_GB2312" w:hAnsi="仿宋_GB2312" w:eastAsia="仿宋_GB2312" w:cs="仿宋_GB2312"/>
              </w:rPr>
              <w:t>法定代表人（负责人）身份证复印件</w:t>
            </w:r>
          </w:p>
          <w:p w14:paraId="6307E0B0">
            <w:pPr>
              <w:spacing w:line="560" w:lineRule="exact"/>
              <w:jc w:val="center"/>
              <w:rPr>
                <w:rFonts w:ascii="仿宋_GB2312" w:hAnsi="仿宋_GB2312" w:eastAsia="仿宋_GB2312" w:cs="仿宋_GB2312"/>
              </w:rPr>
            </w:pPr>
            <w:r>
              <w:rPr>
                <w:rFonts w:hint="eastAsia" w:ascii="仿宋_GB2312" w:hAnsi="仿宋_GB2312" w:eastAsia="仿宋_GB2312" w:cs="仿宋_GB2312"/>
              </w:rPr>
              <w:t>（有国徽面）</w:t>
            </w:r>
          </w:p>
        </w:tc>
        <w:tc>
          <w:tcPr>
            <w:tcW w:w="4098" w:type="dxa"/>
            <w:vAlign w:val="center"/>
          </w:tcPr>
          <w:p w14:paraId="5C4E7326">
            <w:pPr>
              <w:spacing w:line="560" w:lineRule="exact"/>
              <w:jc w:val="center"/>
              <w:rPr>
                <w:rFonts w:ascii="仿宋_GB2312" w:hAnsi="仿宋_GB2312" w:eastAsia="仿宋_GB2312" w:cs="仿宋_GB2312"/>
              </w:rPr>
            </w:pPr>
            <w:r>
              <w:rPr>
                <w:rFonts w:hint="eastAsia" w:ascii="仿宋_GB2312" w:hAnsi="仿宋_GB2312" w:eastAsia="仿宋_GB2312" w:cs="仿宋_GB2312"/>
              </w:rPr>
              <w:t>授权代表身份证复印件</w:t>
            </w:r>
          </w:p>
          <w:p w14:paraId="4E51DDB4">
            <w:pPr>
              <w:spacing w:line="560" w:lineRule="exact"/>
              <w:jc w:val="center"/>
              <w:rPr>
                <w:rFonts w:ascii="仿宋_GB2312" w:hAnsi="仿宋_GB2312" w:eastAsia="仿宋_GB2312" w:cs="仿宋_GB2312"/>
              </w:rPr>
            </w:pPr>
            <w:r>
              <w:rPr>
                <w:rFonts w:hint="eastAsia" w:ascii="仿宋_GB2312" w:hAnsi="仿宋_GB2312" w:eastAsia="仿宋_GB2312" w:cs="仿宋_GB2312"/>
              </w:rPr>
              <w:t>（有国徽面）</w:t>
            </w:r>
          </w:p>
        </w:tc>
      </w:tr>
    </w:tbl>
    <w:p w14:paraId="06D5DA48">
      <w:pPr>
        <w:tabs>
          <w:tab w:val="right" w:pos="8931"/>
        </w:tabs>
        <w:spacing w:line="560" w:lineRule="exact"/>
        <w:rPr>
          <w:rFonts w:ascii="仿宋_GB2312" w:hAnsi="仿宋_GB2312" w:eastAsia="仿宋_GB2312" w:cs="仿宋_GB2312"/>
        </w:rPr>
      </w:pPr>
      <w:r>
        <w:rPr>
          <w:rFonts w:hint="eastAsia" w:ascii="仿宋_GB2312" w:hAnsi="仿宋_GB2312" w:eastAsia="仿宋_GB2312" w:cs="仿宋_GB2312"/>
        </w:rPr>
        <w:t>供应商：名称（加盖公章）    法定代表人（负责人）：（签字或盖章）</w:t>
      </w:r>
    </w:p>
    <w:p w14:paraId="3A8AE76D">
      <w:pPr>
        <w:spacing w:line="560" w:lineRule="exact"/>
        <w:ind w:firstLine="5943" w:firstLineChars="2100"/>
        <w:rPr>
          <w:rFonts w:ascii="仿宋_GB2312" w:hAnsi="仿宋_GB2312" w:eastAsia="仿宋_GB2312" w:cs="仿宋_GB2312"/>
        </w:rPr>
      </w:pPr>
      <w:r>
        <w:rPr>
          <w:rFonts w:hint="eastAsia" w:ascii="仿宋_GB2312" w:hAnsi="仿宋_GB2312" w:eastAsia="仿宋_GB2312" w:cs="仿宋_GB2312"/>
        </w:rPr>
        <w:t>日期：　年　月　日</w:t>
      </w:r>
    </w:p>
    <w:p w14:paraId="269B364A">
      <w:pPr>
        <w:spacing w:line="360" w:lineRule="exact"/>
        <w:ind w:firstLine="426" w:firstLineChars="200"/>
        <w:rPr>
          <w:rFonts w:ascii="宋体" w:hAnsi="宋体" w:eastAsia="宋体" w:cs="宋体"/>
          <w:sz w:val="21"/>
          <w:szCs w:val="21"/>
        </w:rPr>
      </w:pPr>
      <w:r>
        <w:rPr>
          <w:rFonts w:hint="eastAsia" w:ascii="宋体" w:hAnsi="宋体" w:eastAsia="宋体" w:cs="宋体"/>
          <w:sz w:val="21"/>
          <w:szCs w:val="21"/>
        </w:rPr>
        <w:t>备注：1、项目不分标段的，第___标段空白处填写“/”。</w:t>
      </w:r>
    </w:p>
    <w:p w14:paraId="4DE2D9A9">
      <w:pPr>
        <w:spacing w:line="360" w:lineRule="exact"/>
        <w:ind w:firstLine="426" w:firstLineChars="200"/>
        <w:rPr>
          <w:rFonts w:ascii="宋体" w:hAnsi="宋体" w:eastAsia="宋体" w:cs="宋体"/>
          <w:sz w:val="21"/>
          <w:szCs w:val="21"/>
        </w:rPr>
      </w:pPr>
      <w:r>
        <w:rPr>
          <w:rFonts w:hint="eastAsia" w:ascii="宋体" w:hAnsi="宋体" w:eastAsia="宋体" w:cs="宋体"/>
          <w:sz w:val="21"/>
          <w:szCs w:val="21"/>
        </w:rPr>
        <w:t>2、法定代表人亲自参加磋商的，无需提供该委托授权书，但须提供法定代表人本人身份证（正反面）复印件。</w:t>
      </w:r>
    </w:p>
    <w:p w14:paraId="249D7CB3">
      <w:pPr>
        <w:spacing w:line="360" w:lineRule="exact"/>
        <w:ind w:firstLine="426" w:firstLineChars="200"/>
        <w:rPr>
          <w:rFonts w:ascii="宋体" w:hAnsi="宋体" w:eastAsia="宋体"/>
          <w:sz w:val="21"/>
          <w:szCs w:val="21"/>
        </w:rPr>
      </w:pPr>
      <w:r>
        <w:rPr>
          <w:rFonts w:hint="eastAsia" w:ascii="宋体" w:hAnsi="宋体" w:eastAsia="宋体"/>
          <w:sz w:val="21"/>
          <w:szCs w:val="21"/>
        </w:rPr>
        <w:t xml:space="preserve">3、法定代表人签字或盖章可采用纸质签字或盖章后，上传至电子响应文件，也可使用法定代表人CA锁在电子响应文件制作软件中签章。   </w:t>
      </w:r>
    </w:p>
    <w:p w14:paraId="399FEB4E">
      <w:pPr>
        <w:pStyle w:val="20"/>
        <w:spacing w:after="0" w:line="360" w:lineRule="exact"/>
        <w:ind w:firstLine="426" w:firstLineChars="200"/>
        <w:rPr>
          <w:rFonts w:ascii="宋体" w:hAnsi="宋体" w:eastAsia="宋体"/>
          <w:sz w:val="21"/>
          <w:szCs w:val="21"/>
        </w:rPr>
      </w:pPr>
      <w:r>
        <w:rPr>
          <w:rFonts w:hint="eastAsia" w:ascii="宋体" w:hAnsi="宋体" w:eastAsia="宋体"/>
          <w:sz w:val="21"/>
          <w:szCs w:val="21"/>
        </w:rPr>
        <w:t xml:space="preserve">  </w:t>
      </w:r>
    </w:p>
    <w:p w14:paraId="4ED34370">
      <w:pPr>
        <w:rPr>
          <w:rFonts w:ascii="宋体" w:hAnsi="宋体" w:eastAsia="宋体"/>
          <w:sz w:val="21"/>
          <w:szCs w:val="21"/>
        </w:rPr>
      </w:pPr>
      <w:r>
        <w:rPr>
          <w:rFonts w:hint="eastAsia" w:ascii="宋体" w:hAnsi="宋体" w:eastAsia="宋体"/>
          <w:sz w:val="21"/>
          <w:szCs w:val="21"/>
        </w:rPr>
        <w:br w:type="page"/>
      </w:r>
    </w:p>
    <w:p w14:paraId="3FF9E161">
      <w:pPr>
        <w:pStyle w:val="44"/>
        <w:spacing w:line="560" w:lineRule="exact"/>
        <w:ind w:firstLine="606" w:firstLineChars="200"/>
        <w:jc w:val="both"/>
        <w:rPr>
          <w:rFonts w:ascii="仿宋_GB2312" w:hAnsi="仿宋_GB2312" w:eastAsia="仿宋_GB2312" w:cs="仿宋_GB2312"/>
          <w:sz w:val="30"/>
          <w:szCs w:val="30"/>
        </w:rPr>
      </w:pPr>
      <w:bookmarkStart w:id="340" w:name="_Toc2083"/>
      <w:bookmarkStart w:id="341" w:name="_Toc28770"/>
      <w:bookmarkStart w:id="342" w:name="_Toc1034"/>
      <w:bookmarkStart w:id="343" w:name="_Toc18829"/>
      <w:bookmarkStart w:id="344" w:name="_Toc29866"/>
      <w:bookmarkStart w:id="345" w:name="_Toc20137"/>
      <w:bookmarkStart w:id="346" w:name="_Toc17773_WPSOffice_Level2"/>
      <w:bookmarkStart w:id="347" w:name="_Toc29990_WPSOffice_Level2"/>
      <w:bookmarkStart w:id="348" w:name="_Toc9519_WPSOffice_Level2"/>
      <w:bookmarkStart w:id="349" w:name="_Toc29102_WPSOffice_Level2"/>
      <w:r>
        <w:rPr>
          <w:rFonts w:hint="eastAsia" w:ascii="仿宋_GB2312" w:hAnsi="仿宋_GB2312" w:eastAsia="仿宋_GB2312" w:cs="仿宋_GB2312"/>
          <w:sz w:val="30"/>
          <w:szCs w:val="30"/>
        </w:rPr>
        <w:t>三、</w:t>
      </w:r>
      <w:bookmarkStart w:id="350" w:name="OLE_LINK2"/>
      <w:r>
        <w:rPr>
          <w:rFonts w:hint="eastAsia" w:ascii="仿宋_GB2312" w:hAnsi="仿宋_GB2312" w:eastAsia="仿宋_GB2312" w:cs="仿宋_GB2312"/>
          <w:sz w:val="30"/>
          <w:szCs w:val="30"/>
        </w:rPr>
        <w:t>汉中市政府采购供应商资格承诺函</w:t>
      </w:r>
      <w:bookmarkEnd w:id="350"/>
    </w:p>
    <w:p w14:paraId="2FD5E786">
      <w:pPr>
        <w:widowControl w:val="0"/>
        <w:spacing w:line="560" w:lineRule="exact"/>
        <w:jc w:val="center"/>
        <w:rPr>
          <w:rFonts w:ascii="方正小标宋简体" w:hAnsi="方正小标宋简体" w:eastAsia="方正小标宋简体" w:cs="方正小标宋简体"/>
          <w:sz w:val="44"/>
          <w:szCs w:val="44"/>
        </w:rPr>
      </w:pPr>
    </w:p>
    <w:p w14:paraId="2BA9263E">
      <w:pPr>
        <w:widowControl w:val="0"/>
        <w:spacing w:line="56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汉中市政府采购供应商资格承诺函</w:t>
      </w:r>
    </w:p>
    <w:p w14:paraId="7D8B6180">
      <w:pPr>
        <w:widowControl w:val="0"/>
        <w:spacing w:line="560" w:lineRule="exact"/>
        <w:ind w:firstLine="646" w:firstLineChars="200"/>
        <w:rPr>
          <w:rFonts w:ascii="仿宋_GB2312" w:hAnsi="仿宋_GB2312" w:eastAsia="仿宋_GB2312" w:cs="仿宋_GB2312"/>
          <w:sz w:val="32"/>
          <w:szCs w:val="32"/>
        </w:rPr>
      </w:pPr>
    </w:p>
    <w:p w14:paraId="3FE9BB3A">
      <w:pPr>
        <w:widowControl w:val="0"/>
        <w:spacing w:line="560" w:lineRule="exact"/>
        <w:rPr>
          <w:rFonts w:ascii="仿宋_GB2312" w:hAnsi="仿宋_GB2312" w:eastAsia="仿宋_GB2312" w:cs="仿宋_GB2312"/>
        </w:rPr>
      </w:pPr>
      <w:r>
        <w:rPr>
          <w:rFonts w:hint="eastAsia" w:ascii="仿宋_GB2312" w:hAnsi="仿宋_GB2312" w:eastAsia="仿宋_GB2312" w:cs="仿宋_GB2312"/>
        </w:rPr>
        <w:t>致：（采购人、采购代理机构名称）</w:t>
      </w:r>
    </w:p>
    <w:p w14:paraId="46D29263">
      <w:pPr>
        <w:widowControl w:val="0"/>
        <w:spacing w:line="56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（投标人名称）郑重承诺：</w:t>
      </w:r>
    </w:p>
    <w:p w14:paraId="0C9BCBAD">
      <w:pPr>
        <w:widowControl w:val="0"/>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1.我方具有良好的商业信誉和健全的财务会计制度，具有履行合同所必需的设备和专业技术能力，具有依法缴纳税收和社会保障金的良好记录，参加本项目采购活动前三年内无重大违法活动记录。</w:t>
      </w:r>
    </w:p>
    <w:p w14:paraId="360E94D2">
      <w:pPr>
        <w:widowControl w:val="0"/>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2.我方未列入在信用中国网站“失信被执行人”、“重大税收违法案件当事人名单”中（www.creditchina.gov.cn），也未列入中国政府采购网“政府采购严重违法失信行为记录名单”中（www.ccgp.gov.cn）。</w:t>
      </w:r>
    </w:p>
    <w:p w14:paraId="26BBEDC8">
      <w:pPr>
        <w:widowControl w:val="0"/>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3.我方在采购项目评审（评标）环节结束后，随时接受采购人、采购代理机构的检查验证，配合提供相关证明材料，证明符合《中华人民共和国政府采购法》规定的投标人基本资格条件。</w:t>
      </w:r>
    </w:p>
    <w:p w14:paraId="70DB6C0A">
      <w:pPr>
        <w:widowControl w:val="0"/>
        <w:spacing w:line="56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我方对以上承诺负全部法律责任。</w:t>
      </w:r>
    </w:p>
    <w:p w14:paraId="57982982">
      <w:pPr>
        <w:widowControl w:val="0"/>
        <w:spacing w:line="560" w:lineRule="exact"/>
        <w:ind w:firstLine="566" w:firstLineChars="200"/>
        <w:rPr>
          <w:rFonts w:ascii="仿宋_GB2312" w:hAnsi="仿宋_GB2312" w:eastAsia="仿宋_GB2312" w:cs="仿宋_GB2312"/>
        </w:rPr>
      </w:pPr>
    </w:p>
    <w:p w14:paraId="3852A8D6">
      <w:pPr>
        <w:widowControl w:val="0"/>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特此承诺。</w:t>
      </w:r>
    </w:p>
    <w:p w14:paraId="73F42164">
      <w:pPr>
        <w:widowControl w:val="0"/>
        <w:wordWrap w:val="0"/>
        <w:spacing w:line="560" w:lineRule="exact"/>
        <w:ind w:firstLine="566" w:firstLineChars="200"/>
        <w:jc w:val="right"/>
        <w:rPr>
          <w:rFonts w:ascii="仿宋_GB2312" w:hAnsi="仿宋_GB2312" w:eastAsia="仿宋_GB2312" w:cs="仿宋_GB2312"/>
        </w:rPr>
      </w:pPr>
      <w:r>
        <w:rPr>
          <w:rFonts w:hint="eastAsia" w:ascii="仿宋_GB2312" w:hAnsi="仿宋_GB2312" w:eastAsia="仿宋_GB2312" w:cs="仿宋_GB2312"/>
        </w:rPr>
        <w:t xml:space="preserve">（响应人公章）     </w:t>
      </w:r>
    </w:p>
    <w:p w14:paraId="3A5CC8A1">
      <w:pPr>
        <w:widowControl w:val="0"/>
        <w:wordWrap w:val="0"/>
        <w:spacing w:line="560" w:lineRule="exact"/>
        <w:ind w:firstLine="566" w:firstLineChars="200"/>
        <w:jc w:val="right"/>
        <w:rPr>
          <w:rFonts w:ascii="仿宋_GB2312" w:hAnsi="仿宋_GB2312" w:eastAsia="仿宋_GB2312" w:cs="仿宋_GB2312"/>
        </w:rPr>
      </w:pPr>
      <w:r>
        <w:rPr>
          <w:rFonts w:hint="eastAsia" w:ascii="仿宋_GB2312" w:hAnsi="仿宋_GB2312" w:eastAsia="仿宋_GB2312" w:cs="仿宋_GB2312"/>
        </w:rPr>
        <w:t xml:space="preserve">日期：     年   月   日  </w:t>
      </w:r>
    </w:p>
    <w:p w14:paraId="7A8B62FA">
      <w:pPr>
        <w:widowControl w:val="0"/>
        <w:spacing w:line="560" w:lineRule="exact"/>
        <w:ind w:firstLine="566" w:firstLineChars="200"/>
        <w:jc w:val="right"/>
        <w:rPr>
          <w:rFonts w:ascii="仿宋_GB2312" w:hAnsi="仿宋_GB2312" w:eastAsia="仿宋_GB2312" w:cs="仿宋_GB2312"/>
        </w:rPr>
      </w:pPr>
    </w:p>
    <w:p w14:paraId="65B308D9">
      <w:pPr>
        <w:rPr>
          <w:rFonts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38D3B4C6">
      <w:pPr>
        <w:pStyle w:val="44"/>
        <w:spacing w:line="560" w:lineRule="exact"/>
        <w:ind w:firstLine="606"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四、特定资格要求</w:t>
      </w:r>
    </w:p>
    <w:p w14:paraId="1DEC8A25">
      <w:pPr>
        <w:numPr>
          <w:ilvl w:val="0"/>
          <w:numId w:val="3"/>
        </w:numPr>
        <w:spacing w:after="120" w:line="500" w:lineRule="exact"/>
        <w:ind w:firstLine="566" w:firstLineChars="200"/>
      </w:pPr>
      <w:r>
        <w:rPr>
          <w:rFonts w:hint="eastAsia"/>
        </w:rPr>
        <w:t>提供建筑装修装饰工程专业承包二级及以上资质复印件加盖公章；</w:t>
      </w:r>
    </w:p>
    <w:p w14:paraId="0A56779E">
      <w:pPr>
        <w:numPr>
          <w:ilvl w:val="0"/>
          <w:numId w:val="3"/>
        </w:numPr>
        <w:spacing w:after="120" w:line="500" w:lineRule="exact"/>
        <w:ind w:firstLine="566" w:firstLineChars="200"/>
      </w:pPr>
      <w:r>
        <w:rPr>
          <w:rFonts w:hint="eastAsia"/>
        </w:rPr>
        <w:t>提供安全生产许可证复印件加盖公章。</w:t>
      </w:r>
    </w:p>
    <w:p w14:paraId="240F06DF">
      <w:r>
        <w:rPr>
          <w:rFonts w:hint="eastAsia"/>
        </w:rPr>
        <w:br w:type="page"/>
      </w:r>
    </w:p>
    <w:p w14:paraId="40A45662">
      <w:pPr>
        <w:spacing w:line="560" w:lineRule="exact"/>
        <w:ind w:firstLine="646"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五、落实政府采购政策需满足的资格要求</w:t>
      </w:r>
    </w:p>
    <w:p w14:paraId="6AAD5486">
      <w:pPr>
        <w:widowControl w:val="0"/>
        <w:spacing w:line="500" w:lineRule="exact"/>
        <w:jc w:val="center"/>
        <w:rPr>
          <w:rFonts w:ascii="仿宋_GB2312" w:hAnsi="仿宋_GB2312" w:eastAsia="仿宋_GB2312" w:cs="仿宋_GB2312"/>
          <w:b/>
          <w:bCs/>
          <w:sz w:val="32"/>
          <w:szCs w:val="32"/>
        </w:rPr>
      </w:pPr>
    </w:p>
    <w:p w14:paraId="4BAE00B6">
      <w:pPr>
        <w:widowControl w:val="0"/>
        <w:spacing w:line="5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中小企业声明函</w:t>
      </w:r>
    </w:p>
    <w:p w14:paraId="3F0782BB">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本公司（联合体）郑重声明，根据《政府采购促进中小企业发展管理办法》（财库﹝2020﹞46 号）的规定，本公司（联合体）参加</w:t>
      </w:r>
      <w:r>
        <w:rPr>
          <w:rFonts w:hint="eastAsia" w:ascii="仿宋_GB2312" w:hAnsi="仿宋_GB2312" w:eastAsia="仿宋_GB2312" w:cs="仿宋_GB2312"/>
          <w:i/>
          <w:iCs/>
          <w:u w:val="single"/>
        </w:rPr>
        <w:t>（单位名称）</w:t>
      </w:r>
      <w:r>
        <w:rPr>
          <w:rFonts w:hint="eastAsia" w:ascii="仿宋_GB2312" w:hAnsi="仿宋_GB2312" w:eastAsia="仿宋_GB2312" w:cs="仿宋_GB2312"/>
        </w:rPr>
        <w:t>的</w:t>
      </w:r>
      <w:r>
        <w:rPr>
          <w:rFonts w:hint="eastAsia" w:ascii="仿宋_GB2312" w:hAnsi="仿宋_GB2312" w:eastAsia="仿宋_GB2312" w:cs="仿宋_GB2312"/>
          <w:i/>
          <w:iCs/>
          <w:u w:val="single"/>
        </w:rPr>
        <w:t>（项目名称）</w:t>
      </w:r>
      <w:r>
        <w:rPr>
          <w:rFonts w:hint="eastAsia"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81AB6BE">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i/>
          <w:iCs/>
          <w:u w:val="single"/>
        </w:rPr>
        <w:t xml:space="preserve"> （标的名称） </w:t>
      </w:r>
      <w:r>
        <w:rPr>
          <w:rFonts w:hint="eastAsia" w:ascii="仿宋_GB2312" w:hAnsi="仿宋_GB2312" w:eastAsia="仿宋_GB2312" w:cs="仿宋_GB2312"/>
        </w:rPr>
        <w:t>，属于</w:t>
      </w:r>
      <w:r>
        <w:rPr>
          <w:rFonts w:hint="eastAsia" w:ascii="仿宋_GB2312" w:hAnsi="仿宋_GB2312" w:eastAsia="仿宋_GB2312" w:cs="仿宋_GB2312"/>
          <w:i/>
          <w:iCs/>
          <w:u w:val="single"/>
        </w:rPr>
        <w:t>（采购文件中明确的所属行业）</w:t>
      </w:r>
      <w:r>
        <w:rPr>
          <w:rFonts w:hint="eastAsia" w:ascii="仿宋_GB2312" w:hAnsi="仿宋_GB2312" w:eastAsia="仿宋_GB2312" w:cs="仿宋_GB2312"/>
        </w:rPr>
        <w:t>；承建（承接）企业为</w:t>
      </w:r>
      <w:r>
        <w:rPr>
          <w:rFonts w:hint="eastAsia" w:ascii="仿宋_GB2312" w:hAnsi="仿宋_GB2312" w:eastAsia="仿宋_GB2312" w:cs="仿宋_GB2312"/>
          <w:i/>
          <w:iCs/>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rPr>
        <w:t>人，营业收入为</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rPr>
        <w:t>万元，资产总额为</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rPr>
        <w:t>万元，属于</w:t>
      </w:r>
      <w:r>
        <w:rPr>
          <w:rFonts w:hint="eastAsia" w:ascii="仿宋_GB2312" w:hAnsi="仿宋_GB2312" w:eastAsia="仿宋_GB2312" w:cs="仿宋_GB2312"/>
          <w:i/>
          <w:iCs/>
          <w:u w:val="single"/>
        </w:rPr>
        <w:t>（中型企业、小型企业、微型企业）</w:t>
      </w:r>
      <w:r>
        <w:rPr>
          <w:rFonts w:hint="eastAsia" w:ascii="仿宋_GB2312" w:hAnsi="仿宋_GB2312" w:eastAsia="仿宋_GB2312" w:cs="仿宋_GB2312"/>
        </w:rPr>
        <w:t>；</w:t>
      </w:r>
    </w:p>
    <w:p w14:paraId="0AF5D243">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i/>
          <w:iCs/>
          <w:u w:val="single"/>
        </w:rPr>
        <w:t xml:space="preserve"> （标的名称） </w:t>
      </w:r>
      <w:r>
        <w:rPr>
          <w:rFonts w:hint="eastAsia" w:ascii="仿宋_GB2312" w:hAnsi="仿宋_GB2312" w:eastAsia="仿宋_GB2312" w:cs="仿宋_GB2312"/>
        </w:rPr>
        <w:t>，属于</w:t>
      </w:r>
      <w:r>
        <w:rPr>
          <w:rFonts w:hint="eastAsia" w:ascii="仿宋_GB2312" w:hAnsi="仿宋_GB2312" w:eastAsia="仿宋_GB2312" w:cs="仿宋_GB2312"/>
          <w:i/>
          <w:iCs/>
          <w:u w:val="single"/>
        </w:rPr>
        <w:t>（采购文件中明确的所属行业）</w:t>
      </w:r>
      <w:r>
        <w:rPr>
          <w:rFonts w:hint="eastAsia" w:ascii="仿宋_GB2312" w:hAnsi="仿宋_GB2312" w:eastAsia="仿宋_GB2312" w:cs="仿宋_GB2312"/>
        </w:rPr>
        <w:t>；承建（承接）企业为</w:t>
      </w:r>
      <w:r>
        <w:rPr>
          <w:rFonts w:hint="eastAsia" w:ascii="仿宋_GB2312" w:hAnsi="仿宋_GB2312" w:eastAsia="仿宋_GB2312" w:cs="仿宋_GB2312"/>
          <w:i/>
          <w:iCs/>
          <w:u w:val="single"/>
        </w:rPr>
        <w:t>（企业名称）</w:t>
      </w:r>
      <w:r>
        <w:rPr>
          <w:rFonts w:hint="eastAsia" w:ascii="仿宋_GB2312" w:hAnsi="仿宋_GB2312" w:eastAsia="仿宋_GB2312" w:cs="仿宋_GB2312"/>
        </w:rPr>
        <w:t>，从业人员</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rPr>
        <w:t>人，营业收入为</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rPr>
        <w:t>万元，资产总额为</w:t>
      </w:r>
      <w:r>
        <w:rPr>
          <w:rFonts w:hint="eastAsia" w:ascii="仿宋_GB2312" w:hAnsi="仿宋_GB2312" w:eastAsia="仿宋_GB2312" w:cs="仿宋_GB2312"/>
          <w:i/>
          <w:iCs/>
          <w:u w:val="single"/>
        </w:rPr>
        <w:t xml:space="preserve">    </w:t>
      </w:r>
      <w:r>
        <w:rPr>
          <w:rFonts w:hint="eastAsia" w:ascii="仿宋_GB2312" w:hAnsi="仿宋_GB2312" w:eastAsia="仿宋_GB2312" w:cs="仿宋_GB2312"/>
        </w:rPr>
        <w:t>万元，属于</w:t>
      </w:r>
      <w:r>
        <w:rPr>
          <w:rFonts w:hint="eastAsia" w:ascii="仿宋_GB2312" w:hAnsi="仿宋_GB2312" w:eastAsia="仿宋_GB2312" w:cs="仿宋_GB2312"/>
          <w:i/>
          <w:iCs/>
          <w:u w:val="single"/>
        </w:rPr>
        <w:t>（中型企业、小型企业、微型企业）</w:t>
      </w:r>
      <w:r>
        <w:rPr>
          <w:rFonts w:hint="eastAsia" w:ascii="仿宋_GB2312" w:hAnsi="仿宋_GB2312" w:eastAsia="仿宋_GB2312" w:cs="仿宋_GB2312"/>
        </w:rPr>
        <w:t>；</w:t>
      </w:r>
    </w:p>
    <w:p w14:paraId="3CB72773">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w:t>
      </w:r>
    </w:p>
    <w:p w14:paraId="4215D53F">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以上企业，不属于大企业的分支机构，不存在控股股东为大企业的情形，也不存在与大企业的负责人为同一人的情形。</w:t>
      </w:r>
    </w:p>
    <w:p w14:paraId="699C8965">
      <w:pPr>
        <w:widowControl w:val="0"/>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本企业对上述声明内容的真实性负责。如有虚假，将依法承担相应责任。</w:t>
      </w:r>
    </w:p>
    <w:p w14:paraId="64A1F750">
      <w:pPr>
        <w:widowControl w:val="0"/>
        <w:wordWrap w:val="0"/>
        <w:spacing w:line="500" w:lineRule="exact"/>
        <w:jc w:val="right"/>
        <w:rPr>
          <w:rFonts w:ascii="仿宋_GB2312" w:hAnsi="仿宋_GB2312" w:eastAsia="仿宋_GB2312" w:cs="仿宋_GB2312"/>
        </w:rPr>
      </w:pPr>
      <w:r>
        <w:rPr>
          <w:rFonts w:hint="eastAsia" w:ascii="仿宋_GB2312" w:hAnsi="仿宋_GB2312" w:eastAsia="仿宋_GB2312" w:cs="仿宋_GB2312"/>
        </w:rPr>
        <w:t xml:space="preserve">企业名称（盖章）：            </w:t>
      </w:r>
    </w:p>
    <w:p w14:paraId="334208A1">
      <w:pPr>
        <w:widowControl w:val="0"/>
        <w:wordWrap w:val="0"/>
        <w:spacing w:line="500" w:lineRule="exact"/>
        <w:jc w:val="right"/>
        <w:rPr>
          <w:rFonts w:ascii="仿宋_GB2312" w:hAnsi="仿宋_GB2312" w:eastAsia="仿宋_GB2312" w:cs="仿宋_GB2312"/>
        </w:rPr>
      </w:pPr>
      <w:r>
        <w:rPr>
          <w:rFonts w:hint="eastAsia" w:ascii="仿宋_GB2312" w:hAnsi="仿宋_GB2312" w:eastAsia="仿宋_GB2312" w:cs="仿宋_GB2312"/>
        </w:rPr>
        <w:t xml:space="preserve">日 期：            </w:t>
      </w:r>
    </w:p>
    <w:p w14:paraId="1D7C571C">
      <w:pPr>
        <w:ind w:firstLine="426" w:firstLineChars="200"/>
        <w:rPr>
          <w:rFonts w:ascii="宋体" w:hAnsi="宋体" w:eastAsia="宋体" w:cs="宋体"/>
          <w:sz w:val="21"/>
          <w:szCs w:val="21"/>
        </w:rPr>
      </w:pPr>
      <w:r>
        <w:rPr>
          <w:rFonts w:hint="eastAsia" w:ascii="宋体" w:hAnsi="宋体" w:eastAsia="宋体" w:cs="宋体"/>
          <w:sz w:val="21"/>
          <w:szCs w:val="21"/>
        </w:rPr>
        <w:t>备注：1、本项目采购标的对应的中小企业划分标准所属行业为：</w:t>
      </w:r>
      <w:r>
        <w:rPr>
          <w:rFonts w:hint="eastAsia" w:ascii="宋体" w:hAnsi="宋体" w:eastAsia="宋体" w:cs="宋体"/>
          <w:b/>
          <w:bCs/>
          <w:sz w:val="21"/>
          <w:szCs w:val="21"/>
        </w:rPr>
        <w:t>建筑业</w:t>
      </w:r>
      <w:r>
        <w:rPr>
          <w:rFonts w:hint="eastAsia" w:ascii="宋体" w:hAnsi="宋体" w:eastAsia="宋体" w:cs="宋体"/>
          <w:sz w:val="21"/>
          <w:szCs w:val="21"/>
        </w:rPr>
        <w:t>。</w:t>
      </w:r>
    </w:p>
    <w:p w14:paraId="240AE5E3">
      <w:pPr>
        <w:ind w:firstLine="426" w:firstLineChars="200"/>
        <w:rPr>
          <w:rFonts w:ascii="宋体" w:hAnsi="宋体" w:eastAsia="宋体" w:cs="宋体"/>
          <w:sz w:val="21"/>
          <w:szCs w:val="21"/>
        </w:rPr>
      </w:pPr>
      <w:r>
        <w:rPr>
          <w:rFonts w:hint="eastAsia" w:ascii="宋体" w:hAnsi="宋体" w:eastAsia="宋体" w:cs="宋体"/>
          <w:sz w:val="21"/>
          <w:szCs w:val="21"/>
        </w:rPr>
        <w:t xml:space="preserve">2、成交供应商的《中小企业声明函》将随成交结果公告一同公布。 </w:t>
      </w:r>
    </w:p>
    <w:p w14:paraId="0E5A1DEB">
      <w:pPr>
        <w:ind w:firstLine="426" w:firstLineChars="200"/>
        <w:rPr>
          <w:rFonts w:ascii="宋体" w:hAnsi="宋体" w:eastAsia="宋体" w:cs="宋体"/>
          <w:sz w:val="21"/>
          <w:szCs w:val="21"/>
        </w:rPr>
      </w:pPr>
      <w:r>
        <w:rPr>
          <w:rFonts w:hint="eastAsia" w:ascii="宋体" w:hAnsi="宋体" w:eastAsia="宋体" w:cs="宋体"/>
          <w:sz w:val="21"/>
          <w:szCs w:val="21"/>
        </w:rPr>
        <w:t xml:space="preserve">3、各供应商可根据企业从业人员、营业收入、资产总额等指标，按照磋商文件约定的采购标的对应的中小企业划分标准所属行业和《中小企业划型标准规定》（工信部联企业〔2011〕300号）进行自测。可登录工业和信息化部的中小企业规模类型自测小程序（https://baosong.miit.gov.cn/ScaleTest）进行测算。  </w:t>
      </w:r>
    </w:p>
    <w:p w14:paraId="657E723F">
      <w:pPr>
        <w:rPr>
          <w:rFonts w:ascii="宋体" w:hAnsi="宋体" w:eastAsia="宋体" w:cs="宋体"/>
          <w:sz w:val="21"/>
          <w:szCs w:val="21"/>
        </w:rPr>
      </w:pPr>
      <w:r>
        <w:rPr>
          <w:rFonts w:hint="eastAsia" w:ascii="宋体" w:hAnsi="宋体" w:eastAsia="宋体" w:cs="宋体"/>
          <w:sz w:val="21"/>
          <w:szCs w:val="21"/>
        </w:rPr>
        <w:br w:type="page"/>
      </w:r>
    </w:p>
    <w:p w14:paraId="717663F5">
      <w:pPr>
        <w:pStyle w:val="42"/>
        <w:spacing w:line="560" w:lineRule="exact"/>
        <w:rPr>
          <w:rFonts w:ascii="黑体" w:hAnsi="黑体" w:eastAsia="黑体"/>
          <w:b w:val="0"/>
        </w:rPr>
      </w:pPr>
      <w:bookmarkStart w:id="351" w:name="_Toc9751"/>
      <w:r>
        <w:rPr>
          <w:rFonts w:hint="eastAsia" w:ascii="黑体" w:hAnsi="黑体" w:eastAsia="黑体"/>
          <w:b w:val="0"/>
        </w:rPr>
        <w:t>第二部分  符合性证明文件</w:t>
      </w:r>
      <w:bookmarkEnd w:id="340"/>
      <w:bookmarkEnd w:id="341"/>
      <w:bookmarkEnd w:id="342"/>
      <w:bookmarkEnd w:id="343"/>
      <w:bookmarkEnd w:id="344"/>
      <w:bookmarkEnd w:id="351"/>
    </w:p>
    <w:p w14:paraId="7EE04C8B">
      <w:pPr>
        <w:pStyle w:val="42"/>
        <w:spacing w:line="560" w:lineRule="exact"/>
        <w:jc w:val="both"/>
        <w:rPr>
          <w:rFonts w:ascii="仿宋_GB2312" w:hAnsi="仿宋_GB2312" w:eastAsia="仿宋_GB2312" w:cs="仿宋_GB2312"/>
          <w:bCs w:val="0"/>
        </w:rPr>
      </w:pPr>
      <w:bookmarkStart w:id="352" w:name="_Toc26585"/>
      <w:bookmarkStart w:id="353" w:name="_Toc19788"/>
      <w:bookmarkStart w:id="354" w:name="_Toc7047"/>
      <w:bookmarkStart w:id="355" w:name="_Toc26623"/>
      <w:bookmarkStart w:id="356" w:name="_Toc14262"/>
      <w:bookmarkStart w:id="357" w:name="_Toc22486"/>
      <w:bookmarkStart w:id="358" w:name="_Toc3857"/>
      <w:bookmarkStart w:id="359" w:name="_Toc2230"/>
      <w:bookmarkStart w:id="360" w:name="_Toc28961"/>
      <w:r>
        <w:rPr>
          <w:rFonts w:hint="eastAsia" w:ascii="仿宋_GB2312" w:hAnsi="仿宋_GB2312" w:eastAsia="仿宋_GB2312" w:cs="仿宋_GB2312"/>
          <w:bCs w:val="0"/>
        </w:rPr>
        <w:t>一、响应函格式</w:t>
      </w:r>
      <w:bookmarkEnd w:id="352"/>
      <w:bookmarkEnd w:id="353"/>
      <w:bookmarkEnd w:id="354"/>
      <w:bookmarkEnd w:id="355"/>
      <w:bookmarkEnd w:id="356"/>
      <w:bookmarkEnd w:id="357"/>
      <w:bookmarkEnd w:id="358"/>
      <w:bookmarkEnd w:id="359"/>
      <w:bookmarkEnd w:id="360"/>
    </w:p>
    <w:p w14:paraId="2A3B7205">
      <w:pPr>
        <w:pStyle w:val="38"/>
        <w:spacing w:line="560" w:lineRule="exact"/>
        <w:ind w:firstLine="649"/>
        <w:jc w:val="center"/>
        <w:rPr>
          <w:rFonts w:ascii="仿宋_GB2312" w:hAnsi="仿宋_GB2312" w:eastAsia="仿宋_GB2312" w:cs="仿宋_GB2312"/>
          <w:b/>
          <w:bCs/>
          <w:sz w:val="32"/>
          <w:szCs w:val="32"/>
        </w:rPr>
      </w:pPr>
      <w:bookmarkStart w:id="361" w:name="_Toc10617"/>
      <w:bookmarkStart w:id="362" w:name="_Toc22777"/>
      <w:bookmarkStart w:id="363" w:name="_Toc23334"/>
      <w:r>
        <w:rPr>
          <w:rFonts w:hint="eastAsia" w:ascii="仿宋_GB2312" w:hAnsi="仿宋_GB2312" w:eastAsia="仿宋_GB2312" w:cs="仿宋_GB2312"/>
          <w:b/>
          <w:bCs/>
          <w:sz w:val="32"/>
          <w:szCs w:val="32"/>
        </w:rPr>
        <w:t>响应函</w:t>
      </w:r>
      <w:bookmarkEnd w:id="361"/>
      <w:bookmarkEnd w:id="362"/>
      <w:bookmarkEnd w:id="363"/>
    </w:p>
    <w:p w14:paraId="18216F28">
      <w:pPr>
        <w:pStyle w:val="38"/>
        <w:spacing w:line="500" w:lineRule="exact"/>
        <w:ind w:firstLine="0" w:firstLineChars="0"/>
        <w:rPr>
          <w:rFonts w:ascii="仿宋_GB2312" w:hAnsi="仿宋_GB2312" w:eastAsia="仿宋_GB2312" w:cs="仿宋_GB2312"/>
          <w:lang w:val="zh-CN"/>
        </w:rPr>
      </w:pPr>
      <w:r>
        <w:rPr>
          <w:rFonts w:hint="eastAsia" w:ascii="仿宋_GB2312" w:hAnsi="仿宋_GB2312" w:eastAsia="仿宋_GB2312" w:cs="仿宋_GB2312"/>
        </w:rPr>
        <w:t>汉中市政府采购中心</w:t>
      </w:r>
      <w:r>
        <w:rPr>
          <w:rFonts w:hint="eastAsia" w:ascii="仿宋_GB2312" w:hAnsi="仿宋_GB2312" w:eastAsia="仿宋_GB2312" w:cs="仿宋_GB2312"/>
          <w:lang w:val="zh-CN"/>
        </w:rPr>
        <w:t>：</w:t>
      </w:r>
    </w:p>
    <w:p w14:paraId="0725E03D">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我方收到贵中心发布的</w:t>
      </w:r>
      <w:r>
        <w:rPr>
          <w:rFonts w:hint="eastAsia" w:ascii="仿宋_GB2312" w:hAnsi="仿宋_GB2312" w:eastAsia="仿宋_GB2312" w:cs="仿宋_GB2312"/>
          <w:u w:val="single"/>
        </w:rPr>
        <w:t xml:space="preserve"> 项目名称 </w:t>
      </w:r>
      <w:r>
        <w:rPr>
          <w:rFonts w:hint="eastAsia" w:ascii="仿宋_GB2312" w:hAnsi="仿宋_GB2312" w:eastAsia="仿宋_GB2312" w:cs="仿宋_GB2312"/>
        </w:rPr>
        <w:t>（项目编号：</w:t>
      </w:r>
      <w:r>
        <w:rPr>
          <w:rFonts w:hint="eastAsia" w:ascii="仿宋_GB2312" w:hAnsi="仿宋_GB2312" w:eastAsia="仿宋_GB2312" w:cs="仿宋_GB2312"/>
          <w:u w:val="single"/>
        </w:rPr>
        <w:t xml:space="preserve">      </w:t>
      </w:r>
      <w:r>
        <w:rPr>
          <w:rFonts w:hint="eastAsia" w:ascii="仿宋_GB2312" w:hAnsi="仿宋_GB2312" w:eastAsia="仿宋_GB2312" w:cs="仿宋_GB2312"/>
        </w:rPr>
        <w:t>）第</w:t>
      </w:r>
      <w:r>
        <w:rPr>
          <w:rFonts w:hint="eastAsia" w:ascii="仿宋_GB2312" w:hAnsi="仿宋_GB2312" w:eastAsia="仿宋_GB2312" w:cs="仿宋_GB2312"/>
          <w:u w:val="single"/>
        </w:rPr>
        <w:t>___</w:t>
      </w:r>
      <w:r>
        <w:rPr>
          <w:rFonts w:hint="eastAsia" w:ascii="仿宋_GB2312" w:hAnsi="仿宋_GB2312" w:eastAsia="仿宋_GB2312" w:cs="仿宋_GB2312"/>
        </w:rPr>
        <w:t>标段磋商文件，经详细研究，我方决定参加该项目第</w:t>
      </w:r>
      <w:r>
        <w:rPr>
          <w:rFonts w:hint="eastAsia" w:ascii="仿宋_GB2312" w:hAnsi="仿宋_GB2312" w:eastAsia="仿宋_GB2312" w:cs="仿宋_GB2312"/>
          <w:u w:val="single"/>
        </w:rPr>
        <w:t xml:space="preserve">  </w:t>
      </w:r>
      <w:r>
        <w:rPr>
          <w:rFonts w:hint="eastAsia" w:ascii="仿宋_GB2312" w:hAnsi="仿宋_GB2312" w:eastAsia="仿宋_GB2312" w:cs="仿宋_GB2312"/>
        </w:rPr>
        <w:t>标段磋商活动。为此，我方郑重声明以下诸点，并负法律责任。</w:t>
      </w:r>
    </w:p>
    <w:p w14:paraId="0B802C65">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一、我方已详细阅读了磋商文件，完全理解并同意磋商文件的所有事项及内容。</w:t>
      </w:r>
    </w:p>
    <w:p w14:paraId="32D6ED61">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14:paraId="32673AD6">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三、我方同意向贵方提供与本磋商有关的任何证明材料，保证所提交的证明材料真实、合法、有效。</w:t>
      </w:r>
    </w:p>
    <w:p w14:paraId="1A512EF3">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四、我方尊重磋商小组的评审结果。</w:t>
      </w:r>
    </w:p>
    <w:p w14:paraId="388D2B21">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五、如若成交，我方愿意按照磋商文件中的一切要求，完成本项目合同责任和义务。</w:t>
      </w:r>
    </w:p>
    <w:p w14:paraId="297B03DB">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六、我方提交</w:t>
      </w:r>
      <w:r>
        <w:rPr>
          <w:rFonts w:hint="eastAsia" w:ascii="仿宋_GB2312" w:hAnsi="仿宋_GB2312" w:eastAsia="仿宋_GB2312" w:cs="仿宋_GB2312"/>
          <w:b/>
        </w:rPr>
        <w:t>电子响应文件一份</w:t>
      </w:r>
      <w:r>
        <w:rPr>
          <w:rFonts w:hint="eastAsia" w:ascii="仿宋_GB2312" w:hAnsi="仿宋_GB2312" w:eastAsia="仿宋_GB2312" w:cs="仿宋_GB2312"/>
          <w:b/>
          <w:bCs/>
        </w:rPr>
        <w:t>。</w:t>
      </w:r>
    </w:p>
    <w:p w14:paraId="0B54F37D">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七、供应商在提交响应文件截止时间后撤回响应文件的，我们愿接受政府采购的有关处罚决定。</w:t>
      </w:r>
    </w:p>
    <w:p w14:paraId="61E1C7FF">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八、我方的响应文件在开标之日起</w:t>
      </w:r>
      <w:r>
        <w:rPr>
          <w:rFonts w:hint="eastAsia" w:ascii="仿宋_GB2312" w:hAnsi="仿宋_GB2312" w:eastAsia="仿宋_GB2312" w:cs="仿宋_GB2312"/>
          <w:b/>
          <w:bCs/>
          <w:u w:val="single"/>
        </w:rPr>
        <w:t xml:space="preserve"> 90 </w:t>
      </w:r>
      <w:r>
        <w:rPr>
          <w:rFonts w:hint="eastAsia" w:ascii="仿宋_GB2312" w:hAnsi="仿宋_GB2312" w:eastAsia="仿宋_GB2312" w:cs="仿宋_GB2312"/>
        </w:rPr>
        <w:t>个日历日内有效，如成交，延长至合同执行完毕时止。</w:t>
      </w:r>
    </w:p>
    <w:p w14:paraId="357BA928">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九、所有关于此次磋商活动的函电，请按下列地址联系：</w:t>
      </w:r>
    </w:p>
    <w:p w14:paraId="7EAC737B">
      <w:pPr>
        <w:pStyle w:val="38"/>
        <w:spacing w:line="500" w:lineRule="exact"/>
        <w:ind w:firstLine="567"/>
        <w:rPr>
          <w:rFonts w:ascii="仿宋_GB2312" w:hAnsi="仿宋_GB2312" w:eastAsia="仿宋_GB2312" w:cs="仿宋_GB2312"/>
        </w:rPr>
      </w:pPr>
    </w:p>
    <w:p w14:paraId="25DF666E">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供应商：名称（加盖公章）</w:t>
      </w:r>
    </w:p>
    <w:p w14:paraId="7198B551">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地址：</w:t>
      </w:r>
    </w:p>
    <w:p w14:paraId="36C47C07">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电话：</w:t>
      </w:r>
    </w:p>
    <w:p w14:paraId="6A00E3B7">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传真：</w:t>
      </w:r>
    </w:p>
    <w:p w14:paraId="2FCAF961">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邮编：</w:t>
      </w:r>
    </w:p>
    <w:p w14:paraId="30B2420B">
      <w:pPr>
        <w:pStyle w:val="38"/>
        <w:spacing w:line="500" w:lineRule="exact"/>
        <w:ind w:firstLine="567"/>
        <w:rPr>
          <w:rFonts w:ascii="仿宋_GB2312" w:hAnsi="仿宋_GB2312" w:eastAsia="仿宋_GB2312" w:cs="仿宋_GB2312"/>
          <w:b/>
          <w:bCs/>
        </w:rPr>
      </w:pPr>
      <w:r>
        <w:rPr>
          <w:rFonts w:hint="eastAsia" w:ascii="仿宋_GB2312" w:hAnsi="仿宋_GB2312" w:eastAsia="仿宋_GB2312" w:cs="仿宋_GB2312"/>
        </w:rPr>
        <w:t xml:space="preserve">电子邮箱：         </w:t>
      </w:r>
    </w:p>
    <w:p w14:paraId="57DEA480">
      <w:pPr>
        <w:pStyle w:val="38"/>
        <w:spacing w:line="500" w:lineRule="exact"/>
        <w:ind w:firstLine="567"/>
        <w:rPr>
          <w:rFonts w:ascii="仿宋_GB2312" w:hAnsi="仿宋_GB2312" w:eastAsia="仿宋_GB2312" w:cs="仿宋_GB2312"/>
        </w:rPr>
      </w:pPr>
      <w:r>
        <w:rPr>
          <w:rFonts w:hint="eastAsia" w:ascii="仿宋_GB2312" w:hAnsi="仿宋_GB2312" w:eastAsia="仿宋_GB2312" w:cs="仿宋_GB2312"/>
        </w:rPr>
        <w:t>日期：　　年　月　日</w:t>
      </w:r>
    </w:p>
    <w:p w14:paraId="434AEB4C">
      <w:pPr>
        <w:pStyle w:val="38"/>
        <w:spacing w:line="560" w:lineRule="exact"/>
        <w:ind w:firstLine="0" w:firstLineChars="0"/>
        <w:rPr>
          <w:rFonts w:ascii="仿宋_GB2312" w:hAnsi="仿宋_GB2312" w:eastAsia="仿宋_GB2312" w:cs="仿宋_GB2312"/>
          <w:sz w:val="32"/>
          <w:szCs w:val="32"/>
        </w:rPr>
      </w:pPr>
    </w:p>
    <w:p w14:paraId="33BF1225">
      <w:pPr>
        <w:pStyle w:val="38"/>
        <w:spacing w:line="560" w:lineRule="exact"/>
        <w:ind w:firstLine="0" w:firstLineChars="0"/>
        <w:rPr>
          <w:rFonts w:ascii="仿宋_GB2312" w:hAnsi="仿宋_GB2312" w:eastAsia="仿宋_GB2312" w:cs="仿宋_GB2312"/>
          <w:sz w:val="32"/>
          <w:szCs w:val="32"/>
        </w:rPr>
      </w:pPr>
    </w:p>
    <w:p w14:paraId="65CCCDF0">
      <w:pPr>
        <w:pStyle w:val="38"/>
        <w:spacing w:line="560" w:lineRule="exact"/>
        <w:ind w:firstLine="0" w:firstLineChars="0"/>
        <w:rPr>
          <w:sz w:val="32"/>
          <w:szCs w:val="32"/>
        </w:rPr>
      </w:pPr>
    </w:p>
    <w:p w14:paraId="699516C1">
      <w:pPr>
        <w:pStyle w:val="38"/>
        <w:spacing w:line="560" w:lineRule="exact"/>
        <w:ind w:firstLine="0" w:firstLineChars="0"/>
        <w:rPr>
          <w:sz w:val="32"/>
          <w:szCs w:val="32"/>
        </w:rPr>
      </w:pPr>
    </w:p>
    <w:p w14:paraId="78A35F3D">
      <w:pPr>
        <w:pStyle w:val="38"/>
        <w:spacing w:line="560" w:lineRule="exact"/>
        <w:ind w:firstLine="0" w:firstLineChars="0"/>
        <w:rPr>
          <w:sz w:val="32"/>
          <w:szCs w:val="32"/>
        </w:rPr>
      </w:pPr>
    </w:p>
    <w:p w14:paraId="7E8BE420">
      <w:pPr>
        <w:pStyle w:val="38"/>
        <w:ind w:firstLine="427"/>
        <w:rPr>
          <w:rFonts w:ascii="宋体" w:hAnsi="宋体" w:eastAsia="宋体" w:cs="宋体"/>
          <w:sz w:val="21"/>
          <w:szCs w:val="21"/>
        </w:rPr>
      </w:pPr>
      <w:r>
        <w:rPr>
          <w:rFonts w:hint="eastAsia" w:ascii="宋体" w:hAnsi="宋体" w:eastAsia="宋体" w:cs="宋体"/>
          <w:sz w:val="21"/>
          <w:szCs w:val="21"/>
        </w:rPr>
        <w:t>备注：1、项目不分标段的，第___标段空白处填写“/”。</w:t>
      </w:r>
    </w:p>
    <w:p w14:paraId="21A15780">
      <w:pPr>
        <w:pStyle w:val="38"/>
        <w:ind w:firstLine="427"/>
        <w:rPr>
          <w:rFonts w:ascii="宋体" w:hAnsi="宋体" w:eastAsia="宋体" w:cs="宋体"/>
          <w:sz w:val="21"/>
          <w:szCs w:val="21"/>
        </w:rPr>
      </w:pPr>
      <w:r>
        <w:rPr>
          <w:rFonts w:hint="eastAsia" w:ascii="宋体" w:hAnsi="宋体" w:eastAsia="宋体" w:cs="宋体"/>
          <w:sz w:val="21"/>
          <w:szCs w:val="21"/>
        </w:rPr>
        <w:t>2、除可填报项目外，对本响应函的任何实质性内容修改将被视为非实质性响应，在评审时将其视为无效响应。</w:t>
      </w:r>
    </w:p>
    <w:p w14:paraId="28068F86">
      <w:pPr>
        <w:pStyle w:val="38"/>
        <w:ind w:firstLine="639" w:firstLineChars="300"/>
        <w:rPr>
          <w:rFonts w:ascii="宋体" w:hAnsi="宋体" w:eastAsia="宋体" w:cs="宋体"/>
          <w:b/>
          <w:bCs/>
          <w:sz w:val="21"/>
          <w:szCs w:val="21"/>
        </w:rPr>
      </w:pPr>
    </w:p>
    <w:p w14:paraId="2ED3BC9B">
      <w:pPr>
        <w:pStyle w:val="38"/>
        <w:ind w:firstLine="639" w:firstLineChars="300"/>
        <w:rPr>
          <w:rFonts w:ascii="宋体" w:hAnsi="宋体" w:eastAsia="宋体" w:cs="宋体"/>
          <w:b/>
          <w:bCs/>
          <w:sz w:val="21"/>
          <w:szCs w:val="21"/>
        </w:rPr>
      </w:pPr>
    </w:p>
    <w:p w14:paraId="551F5618">
      <w:pPr>
        <w:pStyle w:val="38"/>
        <w:ind w:firstLine="639" w:firstLineChars="300"/>
        <w:rPr>
          <w:rFonts w:ascii="宋体" w:hAnsi="宋体" w:eastAsia="宋体" w:cs="宋体"/>
          <w:b/>
          <w:bCs/>
          <w:sz w:val="21"/>
          <w:szCs w:val="21"/>
        </w:rPr>
      </w:pPr>
    </w:p>
    <w:p w14:paraId="788313E9">
      <w:pPr>
        <w:rPr>
          <w:rFonts w:ascii="宋体" w:hAnsi="宋体" w:eastAsia="宋体" w:cs="宋体"/>
          <w:b/>
          <w:bCs/>
          <w:sz w:val="21"/>
          <w:szCs w:val="21"/>
        </w:rPr>
      </w:pPr>
      <w:r>
        <w:rPr>
          <w:rFonts w:hint="eastAsia" w:ascii="宋体" w:hAnsi="宋体" w:eastAsia="宋体" w:cs="宋体"/>
          <w:b/>
          <w:bCs/>
          <w:sz w:val="21"/>
          <w:szCs w:val="21"/>
        </w:rPr>
        <w:br w:type="page"/>
      </w:r>
    </w:p>
    <w:bookmarkEnd w:id="345"/>
    <w:bookmarkEnd w:id="346"/>
    <w:bookmarkEnd w:id="347"/>
    <w:bookmarkEnd w:id="348"/>
    <w:bookmarkEnd w:id="349"/>
    <w:p w14:paraId="6BE9FAF3">
      <w:pPr>
        <w:pStyle w:val="42"/>
        <w:jc w:val="both"/>
        <w:rPr>
          <w:rFonts w:ascii="仿宋" w:hAnsi="仿宋" w:eastAsia="仿宋"/>
          <w:sz w:val="24"/>
          <w:szCs w:val="24"/>
        </w:rPr>
      </w:pPr>
      <w:bookmarkStart w:id="364" w:name="_Toc23955"/>
      <w:bookmarkStart w:id="365" w:name="_Toc15883"/>
      <w:bookmarkStart w:id="366" w:name="_Toc23660"/>
      <w:bookmarkStart w:id="367" w:name="_Toc8175"/>
      <w:bookmarkStart w:id="368" w:name="_Toc6921"/>
      <w:bookmarkStart w:id="369" w:name="_Toc24876"/>
      <w:bookmarkStart w:id="370" w:name="_Toc30525"/>
      <w:bookmarkStart w:id="371" w:name="_Toc6154"/>
      <w:bookmarkStart w:id="372" w:name="_Toc13216"/>
      <w:bookmarkStart w:id="373" w:name="_Toc17656_WPSOffice_Level2"/>
      <w:r>
        <w:rPr>
          <w:rFonts w:hint="eastAsia" w:ascii="仿宋" w:hAnsi="仿宋" w:eastAsia="仿宋" w:cs="仿宋"/>
          <w:bCs w:val="0"/>
        </w:rPr>
        <w:t>二、第一次磋商报价表</w:t>
      </w:r>
      <w:bookmarkEnd w:id="364"/>
      <w:bookmarkEnd w:id="365"/>
      <w:bookmarkEnd w:id="366"/>
      <w:bookmarkEnd w:id="367"/>
      <w:bookmarkEnd w:id="368"/>
      <w:bookmarkEnd w:id="369"/>
      <w:bookmarkEnd w:id="370"/>
      <w:bookmarkEnd w:id="371"/>
      <w:bookmarkEnd w:id="372"/>
    </w:p>
    <w:p w14:paraId="16C3F518">
      <w:pPr>
        <w:spacing w:line="50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项目名称：</w:t>
      </w:r>
    </w:p>
    <w:p w14:paraId="05878A7D">
      <w:pPr>
        <w:pStyle w:val="17"/>
        <w:wordWrap w:val="0"/>
        <w:spacing w:beforeAutospacing="0" w:afterAutospacing="0" w:line="50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项目编号：</w:t>
      </w:r>
    </w:p>
    <w:p w14:paraId="148E48C8">
      <w:pPr>
        <w:pStyle w:val="13"/>
        <w:rPr>
          <w:rFonts w:ascii="仿宋_GB2312" w:hAnsi="仿宋_GB2312" w:eastAsia="仿宋_GB2312" w:cs="仿宋_GB2312"/>
          <w:sz w:val="32"/>
          <w:szCs w:val="32"/>
          <w:shd w:val="clear" w:color="auto" w:fill="FFFFFF"/>
        </w:rPr>
      </w:pPr>
    </w:p>
    <w:tbl>
      <w:tblPr>
        <w:tblStyle w:val="21"/>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14:paraId="4F79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14:paraId="7B4C4A46">
            <w:pPr>
              <w:pStyle w:val="6"/>
              <w:spacing w:line="360" w:lineRule="auto"/>
              <w:ind w:firstLine="0"/>
              <w:jc w:val="center"/>
              <w:rPr>
                <w:rFonts w:ascii="仿宋_GB2312" w:hAnsi="仿宋_GB2312" w:eastAsia="仿宋_GB2312" w:cs="仿宋_GB2312"/>
              </w:rPr>
            </w:pPr>
          </w:p>
        </w:tc>
        <w:tc>
          <w:tcPr>
            <w:tcW w:w="5752" w:type="dxa"/>
            <w:vAlign w:val="center"/>
          </w:tcPr>
          <w:p w14:paraId="06C99517">
            <w:pPr>
              <w:spacing w:line="440" w:lineRule="exact"/>
              <w:jc w:val="center"/>
              <w:rPr>
                <w:rFonts w:ascii="仿宋_GB2312" w:hAnsi="仿宋_GB2312" w:eastAsia="仿宋_GB2312" w:cs="仿宋_GB2312"/>
              </w:rPr>
            </w:pPr>
            <w:r>
              <w:rPr>
                <w:rFonts w:hint="eastAsia" w:ascii="仿宋_GB2312" w:hAnsi="仿宋_GB2312" w:eastAsia="仿宋_GB2312" w:cs="仿宋_GB2312"/>
              </w:rPr>
              <w:t>内容</w:t>
            </w:r>
          </w:p>
        </w:tc>
      </w:tr>
      <w:tr w14:paraId="1548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Align w:val="center"/>
          </w:tcPr>
          <w:p w14:paraId="02C5C17C">
            <w:pPr>
              <w:pStyle w:val="6"/>
              <w:spacing w:line="360" w:lineRule="auto"/>
              <w:ind w:firstLine="0"/>
              <w:jc w:val="center"/>
              <w:rPr>
                <w:rFonts w:ascii="仿宋_GB2312" w:hAnsi="仿宋_GB2312" w:eastAsia="仿宋_GB2312" w:cs="仿宋_GB2312"/>
              </w:rPr>
            </w:pPr>
            <w:r>
              <w:rPr>
                <w:rFonts w:hint="eastAsia" w:ascii="仿宋_GB2312" w:hAnsi="仿宋_GB2312" w:eastAsia="仿宋_GB2312" w:cs="仿宋_GB2312"/>
              </w:rPr>
              <w:t>磋商报价</w:t>
            </w:r>
          </w:p>
        </w:tc>
        <w:tc>
          <w:tcPr>
            <w:tcW w:w="5752" w:type="dxa"/>
            <w:vAlign w:val="center"/>
          </w:tcPr>
          <w:p w14:paraId="65767214">
            <w:pPr>
              <w:autoSpaceDE w:val="0"/>
              <w:autoSpaceDN w:val="0"/>
              <w:spacing w:line="360" w:lineRule="auto"/>
              <w:rPr>
                <w:rFonts w:ascii="仿宋_GB2312" w:hAnsi="仿宋_GB2312" w:eastAsia="仿宋_GB2312" w:cs="仿宋_GB2312"/>
                <w:kern w:val="0"/>
                <w:lang w:val="zh-CN"/>
              </w:rPr>
            </w:pPr>
            <w:r>
              <w:rPr>
                <w:rFonts w:hint="eastAsia" w:ascii="仿宋_GB2312" w:hAnsi="仿宋_GB2312" w:eastAsia="仿宋_GB2312" w:cs="仿宋_GB2312"/>
                <w:kern w:val="0"/>
                <w:lang w:val="zh-CN"/>
              </w:rPr>
              <w:t>小写：</w:t>
            </w:r>
          </w:p>
          <w:p w14:paraId="5578F64A">
            <w:pPr>
              <w:pStyle w:val="13"/>
              <w:rPr>
                <w:rFonts w:ascii="仿宋_GB2312" w:hAnsi="仿宋_GB2312" w:eastAsia="仿宋_GB2312" w:cs="仿宋_GB2312"/>
                <w:sz w:val="28"/>
                <w:lang w:val="zh-CN"/>
              </w:rPr>
            </w:pPr>
          </w:p>
          <w:p w14:paraId="3628D601">
            <w:pPr>
              <w:autoSpaceDE w:val="0"/>
              <w:autoSpaceDN w:val="0"/>
              <w:spacing w:line="360" w:lineRule="auto"/>
              <w:rPr>
                <w:rFonts w:ascii="仿宋_GB2312" w:hAnsi="仿宋_GB2312" w:eastAsia="仿宋_GB2312" w:cs="仿宋_GB2312"/>
              </w:rPr>
            </w:pPr>
            <w:r>
              <w:rPr>
                <w:rFonts w:hint="eastAsia" w:ascii="仿宋_GB2312" w:hAnsi="仿宋_GB2312" w:eastAsia="仿宋_GB2312" w:cs="仿宋_GB2312"/>
                <w:kern w:val="0"/>
              </w:rPr>
              <w:t>大写</w:t>
            </w:r>
            <w:r>
              <w:rPr>
                <w:rFonts w:hint="eastAsia" w:ascii="仿宋_GB2312" w:hAnsi="仿宋_GB2312" w:eastAsia="仿宋_GB2312" w:cs="仿宋_GB2312"/>
              </w:rPr>
              <w:t>：</w:t>
            </w:r>
          </w:p>
          <w:p w14:paraId="6E2E0209">
            <w:pPr>
              <w:autoSpaceDE w:val="0"/>
              <w:autoSpaceDN w:val="0"/>
              <w:spacing w:line="360" w:lineRule="auto"/>
              <w:rPr>
                <w:rFonts w:ascii="仿宋_GB2312" w:hAnsi="仿宋_GB2312" w:eastAsia="仿宋_GB2312" w:cs="仿宋_GB2312"/>
              </w:rPr>
            </w:pPr>
            <w:r>
              <w:rPr>
                <w:rFonts w:hint="eastAsia" w:ascii="仿宋_GB2312" w:hAnsi="仿宋_GB2312" w:eastAsia="仿宋_GB2312" w:cs="仿宋_GB2312"/>
              </w:rPr>
              <w:t xml:space="preserve">                 单位：元（保留到元）</w:t>
            </w:r>
          </w:p>
        </w:tc>
      </w:tr>
    </w:tbl>
    <w:p w14:paraId="61D0F270">
      <w:pPr>
        <w:autoSpaceDE w:val="0"/>
        <w:autoSpaceDN w:val="0"/>
        <w:spacing w:line="240" w:lineRule="auto"/>
        <w:ind w:firstLine="480"/>
        <w:rPr>
          <w:rFonts w:ascii="宋体" w:hAnsi="宋体" w:eastAsia="宋体" w:cs="宋体"/>
          <w:b/>
          <w:bCs/>
          <w:kern w:val="0"/>
          <w:sz w:val="21"/>
          <w:szCs w:val="21"/>
        </w:rPr>
      </w:pPr>
    </w:p>
    <w:p w14:paraId="2CFF31D3">
      <w:pPr>
        <w:autoSpaceDE w:val="0"/>
        <w:autoSpaceDN w:val="0"/>
        <w:spacing w:line="240" w:lineRule="auto"/>
        <w:ind w:firstLine="480"/>
        <w:rPr>
          <w:rFonts w:ascii="宋体" w:hAnsi="宋体" w:eastAsia="宋体" w:cs="宋体"/>
          <w:kern w:val="0"/>
          <w:sz w:val="21"/>
          <w:szCs w:val="21"/>
          <w:lang w:val="zh-CN"/>
        </w:rPr>
      </w:pPr>
      <w:r>
        <w:rPr>
          <w:rFonts w:hint="eastAsia" w:ascii="宋体" w:hAnsi="宋体" w:eastAsia="宋体" w:cs="宋体"/>
          <w:b/>
          <w:bCs/>
          <w:kern w:val="0"/>
          <w:sz w:val="21"/>
          <w:szCs w:val="21"/>
        </w:rPr>
        <w:t>备注</w:t>
      </w:r>
      <w:r>
        <w:rPr>
          <w:rFonts w:hint="eastAsia" w:ascii="宋体" w:hAnsi="宋体" w:eastAsia="宋体" w:cs="宋体"/>
          <w:b/>
          <w:bCs/>
          <w:kern w:val="0"/>
          <w:sz w:val="21"/>
          <w:szCs w:val="21"/>
          <w:lang w:val="zh-CN"/>
        </w:rPr>
        <w:t>：</w:t>
      </w:r>
      <w:r>
        <w:rPr>
          <w:rFonts w:hint="eastAsia" w:ascii="宋体" w:hAnsi="宋体" w:eastAsia="宋体" w:cs="宋体"/>
          <w:kern w:val="0"/>
          <w:sz w:val="21"/>
          <w:szCs w:val="21"/>
        </w:rPr>
        <w:t>1、</w:t>
      </w:r>
      <w:r>
        <w:rPr>
          <w:rFonts w:hint="eastAsia" w:ascii="宋体" w:hAnsi="宋体" w:eastAsia="宋体" w:cs="宋体"/>
          <w:kern w:val="0"/>
          <w:sz w:val="21"/>
          <w:szCs w:val="21"/>
          <w:lang w:val="zh-CN"/>
        </w:rPr>
        <w:t>“磋商报价”为磋商总价。磋商</w:t>
      </w:r>
      <w:r>
        <w:rPr>
          <w:rFonts w:ascii="宋体" w:hAnsi="宋体" w:eastAsia="宋体" w:cs="宋体"/>
          <w:kern w:val="0"/>
          <w:sz w:val="21"/>
          <w:szCs w:val="21"/>
          <w:lang w:val="zh-CN"/>
        </w:rPr>
        <w:t>报价必须包括</w:t>
      </w:r>
      <w:r>
        <w:rPr>
          <w:rFonts w:hint="eastAsia" w:ascii="宋体" w:hAnsi="宋体" w:eastAsia="宋体" w:cs="宋体"/>
          <w:kern w:val="0"/>
          <w:sz w:val="21"/>
          <w:szCs w:val="21"/>
          <w:lang w:val="zh-CN"/>
        </w:rPr>
        <w:t>本项目所需</w:t>
      </w:r>
      <w:r>
        <w:rPr>
          <w:rFonts w:ascii="宋体" w:hAnsi="宋体" w:eastAsia="宋体" w:cs="宋体"/>
          <w:kern w:val="0"/>
          <w:sz w:val="21"/>
          <w:szCs w:val="21"/>
          <w:lang w:val="zh-CN"/>
        </w:rPr>
        <w:t>全部费用</w:t>
      </w:r>
      <w:r>
        <w:rPr>
          <w:rFonts w:hint="eastAsia" w:ascii="宋体" w:hAnsi="宋体" w:eastAsia="宋体" w:cs="宋体"/>
          <w:kern w:val="0"/>
          <w:sz w:val="21"/>
          <w:szCs w:val="21"/>
          <w:lang w:val="zh-CN"/>
        </w:rPr>
        <w:t>。</w:t>
      </w:r>
    </w:p>
    <w:p w14:paraId="32CF6196">
      <w:pPr>
        <w:autoSpaceDE w:val="0"/>
        <w:autoSpaceDN w:val="0"/>
        <w:spacing w:line="240" w:lineRule="auto"/>
        <w:ind w:firstLine="480"/>
        <w:rPr>
          <w:rFonts w:ascii="宋体" w:hAnsi="宋体" w:eastAsia="宋体" w:cs="宋体"/>
          <w:kern w:val="0"/>
          <w:sz w:val="21"/>
          <w:szCs w:val="21"/>
        </w:rPr>
      </w:pPr>
      <w:r>
        <w:rPr>
          <w:rFonts w:hint="eastAsia" w:ascii="宋体" w:hAnsi="宋体" w:eastAsia="宋体" w:cs="宋体"/>
          <w:kern w:val="0"/>
          <w:sz w:val="21"/>
          <w:szCs w:val="21"/>
        </w:rPr>
        <w:t>2、该报价须与标书信息确认中的报价一致，如不一致，以标书信息确认中的报价为准，请各供应商仔细填写。</w:t>
      </w:r>
    </w:p>
    <w:p w14:paraId="23CB5918">
      <w:pPr>
        <w:autoSpaceDE w:val="0"/>
        <w:autoSpaceDN w:val="0"/>
        <w:spacing w:line="240" w:lineRule="auto"/>
        <w:ind w:firstLine="1065" w:firstLineChars="500"/>
        <w:rPr>
          <w:rFonts w:ascii="宋体" w:hAnsi="宋体" w:eastAsia="宋体" w:cs="宋体"/>
          <w:sz w:val="21"/>
          <w:szCs w:val="21"/>
        </w:rPr>
      </w:pPr>
    </w:p>
    <w:p w14:paraId="330F903A">
      <w:pPr>
        <w:spacing w:line="440" w:lineRule="exact"/>
        <w:ind w:right="560"/>
        <w:jc w:val="right"/>
        <w:rPr>
          <w:rFonts w:ascii="仿宋" w:hAnsi="仿宋" w:eastAsia="仿宋"/>
          <w:sz w:val="24"/>
          <w:szCs w:val="24"/>
        </w:rPr>
      </w:pPr>
    </w:p>
    <w:p w14:paraId="1B5A644F">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（加盖公章）</w:t>
      </w:r>
    </w:p>
    <w:p w14:paraId="09CCCCE3">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年　月　日  </w:t>
      </w:r>
    </w:p>
    <w:p w14:paraId="57ACA537">
      <w:pPr>
        <w:spacing w:line="500" w:lineRule="exact"/>
        <w:ind w:firstLine="566" w:firstLineChars="200"/>
        <w:rPr>
          <w:rFonts w:ascii="华文仿宋" w:hAnsi="华文仿宋" w:cs="华文仿宋"/>
          <w:b/>
        </w:rPr>
      </w:pPr>
    </w:p>
    <w:bookmarkEnd w:id="373"/>
    <w:p w14:paraId="7336980F">
      <w:pPr>
        <w:rPr>
          <w:rFonts w:ascii="宋体" w:hAnsi="宋体"/>
          <w:b/>
          <w:bCs/>
          <w:sz w:val="32"/>
          <w:szCs w:val="32"/>
        </w:rPr>
      </w:pPr>
      <w:r>
        <w:rPr>
          <w:rFonts w:ascii="华文仿宋" w:hAnsi="华文仿宋" w:cs="华文仿宋"/>
        </w:rPr>
        <w:br w:type="page"/>
      </w:r>
    </w:p>
    <w:p w14:paraId="654E8C01">
      <w:pPr>
        <w:spacing w:line="240" w:lineRule="auto"/>
        <w:jc w:val="center"/>
        <w:rPr>
          <w:rFonts w:ascii="华文仿宋" w:hAnsi="华文仿宋" w:cs="华文仿宋"/>
          <w:b/>
        </w:rPr>
      </w:pPr>
      <w:r>
        <w:rPr>
          <w:rFonts w:hint="eastAsia" w:ascii="宋体" w:hAnsi="宋体"/>
          <w:b/>
          <w:bCs/>
          <w:sz w:val="32"/>
          <w:szCs w:val="32"/>
        </w:rPr>
        <w:t>分项报价表（样表）</w:t>
      </w:r>
      <w:r>
        <w:rPr>
          <w:rFonts w:hint="eastAsia" w:ascii="华文仿宋" w:hAnsi="华文仿宋" w:cs="华文仿宋"/>
          <w:b/>
        </w:rPr>
        <w:tab/>
      </w:r>
    </w:p>
    <w:tbl>
      <w:tblPr>
        <w:tblStyle w:val="22"/>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79"/>
        <w:gridCol w:w="1278"/>
        <w:gridCol w:w="1243"/>
        <w:gridCol w:w="1240"/>
        <w:gridCol w:w="1640"/>
        <w:gridCol w:w="1529"/>
      </w:tblGrid>
      <w:tr w14:paraId="7CEF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30" w:type="dxa"/>
            <w:vMerge w:val="restart"/>
            <w:vAlign w:val="center"/>
          </w:tcPr>
          <w:p w14:paraId="2CB35350">
            <w:pPr>
              <w:pStyle w:val="42"/>
              <w:widowControl w:val="0"/>
              <w:rPr>
                <w:rFonts w:ascii="仿宋" w:hAnsi="仿宋" w:eastAsia="仿宋" w:cs="仿宋"/>
                <w:bCs w:val="0"/>
                <w:sz w:val="24"/>
                <w:szCs w:val="24"/>
              </w:rPr>
            </w:pPr>
            <w:bookmarkStart w:id="374" w:name="_Toc28408"/>
            <w:bookmarkStart w:id="375" w:name="_Toc32361"/>
            <w:bookmarkStart w:id="376" w:name="_Toc26257"/>
            <w:bookmarkStart w:id="377" w:name="_Toc1934"/>
            <w:bookmarkStart w:id="378" w:name="_Toc11855"/>
            <w:bookmarkStart w:id="379" w:name="_Toc11534"/>
            <w:bookmarkStart w:id="380" w:name="_Toc18433"/>
            <w:bookmarkStart w:id="381" w:name="_Toc22090"/>
            <w:bookmarkStart w:id="382" w:name="_Toc16723"/>
            <w:r>
              <w:rPr>
                <w:rFonts w:hint="eastAsia" w:ascii="仿宋" w:hAnsi="仿宋" w:eastAsia="仿宋" w:cs="仿宋"/>
                <w:bCs w:val="0"/>
                <w:sz w:val="24"/>
                <w:szCs w:val="24"/>
              </w:rPr>
              <w:t>序号</w:t>
            </w:r>
            <w:bookmarkEnd w:id="374"/>
            <w:bookmarkEnd w:id="375"/>
            <w:bookmarkEnd w:id="376"/>
            <w:bookmarkEnd w:id="377"/>
            <w:bookmarkEnd w:id="378"/>
            <w:bookmarkEnd w:id="379"/>
            <w:bookmarkEnd w:id="380"/>
            <w:bookmarkEnd w:id="381"/>
            <w:bookmarkEnd w:id="382"/>
          </w:p>
        </w:tc>
        <w:tc>
          <w:tcPr>
            <w:tcW w:w="1379" w:type="dxa"/>
            <w:vMerge w:val="restart"/>
            <w:vAlign w:val="center"/>
          </w:tcPr>
          <w:p w14:paraId="3B7FCB32">
            <w:pPr>
              <w:pStyle w:val="42"/>
              <w:widowControl w:val="0"/>
              <w:rPr>
                <w:rFonts w:ascii="仿宋" w:hAnsi="仿宋" w:eastAsia="仿宋" w:cs="仿宋"/>
                <w:bCs w:val="0"/>
                <w:sz w:val="24"/>
                <w:szCs w:val="24"/>
              </w:rPr>
            </w:pPr>
            <w:bookmarkStart w:id="383" w:name="_Toc31166"/>
            <w:r>
              <w:rPr>
                <w:rFonts w:hint="eastAsia" w:ascii="仿宋" w:hAnsi="仿宋" w:eastAsia="仿宋" w:cs="仿宋"/>
                <w:bCs w:val="0"/>
                <w:sz w:val="24"/>
                <w:szCs w:val="24"/>
              </w:rPr>
              <w:t>项目编码</w:t>
            </w:r>
            <w:bookmarkEnd w:id="383"/>
          </w:p>
        </w:tc>
        <w:tc>
          <w:tcPr>
            <w:tcW w:w="1278" w:type="dxa"/>
            <w:vMerge w:val="restart"/>
            <w:vAlign w:val="center"/>
          </w:tcPr>
          <w:p w14:paraId="63ACE618">
            <w:pPr>
              <w:pStyle w:val="42"/>
              <w:widowControl w:val="0"/>
              <w:rPr>
                <w:rFonts w:ascii="仿宋" w:hAnsi="仿宋" w:eastAsia="仿宋" w:cs="仿宋"/>
                <w:bCs w:val="0"/>
                <w:sz w:val="24"/>
                <w:szCs w:val="24"/>
              </w:rPr>
            </w:pPr>
            <w:bookmarkStart w:id="384" w:name="_Toc2745"/>
            <w:r>
              <w:rPr>
                <w:rFonts w:hint="eastAsia" w:ascii="仿宋" w:hAnsi="仿宋" w:eastAsia="仿宋" w:cs="仿宋"/>
                <w:bCs w:val="0"/>
                <w:sz w:val="24"/>
                <w:szCs w:val="24"/>
              </w:rPr>
              <w:t>项目名称</w:t>
            </w:r>
            <w:bookmarkEnd w:id="384"/>
          </w:p>
        </w:tc>
        <w:tc>
          <w:tcPr>
            <w:tcW w:w="1243" w:type="dxa"/>
            <w:vMerge w:val="restart"/>
            <w:vAlign w:val="center"/>
          </w:tcPr>
          <w:p w14:paraId="26AB8666">
            <w:pPr>
              <w:pStyle w:val="42"/>
              <w:widowControl w:val="0"/>
              <w:spacing w:line="300" w:lineRule="exact"/>
              <w:rPr>
                <w:rFonts w:ascii="仿宋" w:hAnsi="仿宋" w:eastAsia="仿宋" w:cs="仿宋"/>
                <w:bCs w:val="0"/>
                <w:sz w:val="24"/>
                <w:szCs w:val="24"/>
              </w:rPr>
            </w:pPr>
            <w:r>
              <w:rPr>
                <w:rFonts w:hint="eastAsia" w:ascii="仿宋" w:hAnsi="仿宋" w:eastAsia="仿宋" w:cs="仿宋"/>
                <w:bCs w:val="0"/>
                <w:sz w:val="24"/>
                <w:szCs w:val="24"/>
              </w:rPr>
              <w:t>计量单位</w:t>
            </w:r>
          </w:p>
        </w:tc>
        <w:tc>
          <w:tcPr>
            <w:tcW w:w="1240" w:type="dxa"/>
            <w:vMerge w:val="restart"/>
            <w:vAlign w:val="center"/>
          </w:tcPr>
          <w:p w14:paraId="2F11A661">
            <w:pPr>
              <w:pStyle w:val="42"/>
              <w:widowControl w:val="0"/>
              <w:rPr>
                <w:rFonts w:ascii="仿宋" w:hAnsi="仿宋" w:eastAsia="仿宋" w:cs="仿宋"/>
                <w:bCs w:val="0"/>
                <w:sz w:val="24"/>
                <w:szCs w:val="24"/>
              </w:rPr>
            </w:pPr>
            <w:r>
              <w:rPr>
                <w:rFonts w:hint="eastAsia" w:ascii="仿宋" w:hAnsi="仿宋" w:eastAsia="仿宋" w:cs="仿宋"/>
                <w:bCs w:val="0"/>
                <w:sz w:val="24"/>
                <w:szCs w:val="24"/>
              </w:rPr>
              <w:t>工程数量</w:t>
            </w:r>
          </w:p>
        </w:tc>
        <w:tc>
          <w:tcPr>
            <w:tcW w:w="3169" w:type="dxa"/>
            <w:gridSpan w:val="2"/>
            <w:vAlign w:val="center"/>
          </w:tcPr>
          <w:p w14:paraId="46202052">
            <w:pPr>
              <w:pStyle w:val="42"/>
              <w:widowControl w:val="0"/>
              <w:rPr>
                <w:rFonts w:ascii="仿宋" w:hAnsi="仿宋" w:eastAsia="仿宋" w:cs="仿宋"/>
                <w:bCs w:val="0"/>
                <w:sz w:val="24"/>
                <w:szCs w:val="24"/>
              </w:rPr>
            </w:pPr>
            <w:r>
              <w:rPr>
                <w:rFonts w:hint="eastAsia" w:ascii="仿宋" w:hAnsi="仿宋" w:eastAsia="仿宋" w:cs="仿宋"/>
                <w:bCs w:val="0"/>
                <w:sz w:val="24"/>
                <w:szCs w:val="24"/>
              </w:rPr>
              <w:t>金额（元）</w:t>
            </w:r>
          </w:p>
        </w:tc>
      </w:tr>
      <w:tr w14:paraId="319E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30" w:type="dxa"/>
            <w:vMerge w:val="continue"/>
            <w:vAlign w:val="center"/>
          </w:tcPr>
          <w:p w14:paraId="18DC113B">
            <w:pPr>
              <w:pStyle w:val="42"/>
              <w:widowControl w:val="0"/>
            </w:pPr>
          </w:p>
        </w:tc>
        <w:tc>
          <w:tcPr>
            <w:tcW w:w="1379" w:type="dxa"/>
            <w:vMerge w:val="continue"/>
            <w:vAlign w:val="center"/>
          </w:tcPr>
          <w:p w14:paraId="6D09BEFE">
            <w:pPr>
              <w:pStyle w:val="42"/>
              <w:widowControl w:val="0"/>
            </w:pPr>
          </w:p>
        </w:tc>
        <w:tc>
          <w:tcPr>
            <w:tcW w:w="1278" w:type="dxa"/>
            <w:vMerge w:val="continue"/>
            <w:vAlign w:val="center"/>
          </w:tcPr>
          <w:p w14:paraId="138A857B">
            <w:pPr>
              <w:pStyle w:val="42"/>
              <w:widowControl w:val="0"/>
            </w:pPr>
          </w:p>
        </w:tc>
        <w:tc>
          <w:tcPr>
            <w:tcW w:w="1243" w:type="dxa"/>
            <w:vMerge w:val="continue"/>
            <w:vAlign w:val="center"/>
          </w:tcPr>
          <w:p w14:paraId="2B63E82B">
            <w:pPr>
              <w:pStyle w:val="42"/>
              <w:widowControl w:val="0"/>
            </w:pPr>
          </w:p>
        </w:tc>
        <w:tc>
          <w:tcPr>
            <w:tcW w:w="1240" w:type="dxa"/>
            <w:vMerge w:val="continue"/>
            <w:vAlign w:val="center"/>
          </w:tcPr>
          <w:p w14:paraId="1C91762A">
            <w:pPr>
              <w:pStyle w:val="42"/>
              <w:widowControl w:val="0"/>
            </w:pPr>
          </w:p>
        </w:tc>
        <w:tc>
          <w:tcPr>
            <w:tcW w:w="1640" w:type="dxa"/>
            <w:vAlign w:val="center"/>
          </w:tcPr>
          <w:p w14:paraId="34C25A8E">
            <w:pPr>
              <w:pStyle w:val="42"/>
              <w:widowControl w:val="0"/>
              <w:rPr>
                <w:rFonts w:ascii="仿宋" w:hAnsi="仿宋" w:eastAsia="仿宋" w:cs="仿宋"/>
                <w:bCs w:val="0"/>
                <w:sz w:val="24"/>
                <w:szCs w:val="24"/>
              </w:rPr>
            </w:pPr>
            <w:r>
              <w:rPr>
                <w:rFonts w:hint="eastAsia" w:ascii="仿宋" w:hAnsi="仿宋" w:eastAsia="仿宋" w:cs="仿宋"/>
                <w:bCs w:val="0"/>
                <w:sz w:val="24"/>
                <w:szCs w:val="24"/>
              </w:rPr>
              <w:t>综合单价</w:t>
            </w:r>
          </w:p>
        </w:tc>
        <w:tc>
          <w:tcPr>
            <w:tcW w:w="1529" w:type="dxa"/>
            <w:vAlign w:val="center"/>
          </w:tcPr>
          <w:p w14:paraId="4C373EAC">
            <w:pPr>
              <w:pStyle w:val="42"/>
              <w:widowControl w:val="0"/>
              <w:rPr>
                <w:rFonts w:ascii="仿宋" w:hAnsi="仿宋" w:eastAsia="仿宋" w:cs="仿宋"/>
                <w:bCs w:val="0"/>
                <w:sz w:val="24"/>
                <w:szCs w:val="24"/>
              </w:rPr>
            </w:pPr>
            <w:r>
              <w:rPr>
                <w:rFonts w:hint="eastAsia" w:ascii="仿宋" w:hAnsi="仿宋" w:eastAsia="仿宋" w:cs="仿宋"/>
                <w:bCs w:val="0"/>
                <w:sz w:val="24"/>
                <w:szCs w:val="24"/>
              </w:rPr>
              <w:t>合价</w:t>
            </w:r>
          </w:p>
        </w:tc>
      </w:tr>
      <w:tr w14:paraId="2681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625E0514">
            <w:pPr>
              <w:pStyle w:val="42"/>
              <w:widowControl w:val="0"/>
              <w:jc w:val="left"/>
              <w:rPr>
                <w:rFonts w:ascii="仿宋" w:hAnsi="仿宋" w:eastAsia="仿宋" w:cs="仿宋"/>
                <w:bCs w:val="0"/>
                <w:sz w:val="28"/>
                <w:szCs w:val="28"/>
              </w:rPr>
            </w:pPr>
          </w:p>
        </w:tc>
        <w:tc>
          <w:tcPr>
            <w:tcW w:w="1379" w:type="dxa"/>
          </w:tcPr>
          <w:p w14:paraId="30A838AD">
            <w:pPr>
              <w:pStyle w:val="42"/>
              <w:widowControl w:val="0"/>
              <w:jc w:val="left"/>
              <w:rPr>
                <w:rFonts w:ascii="仿宋" w:hAnsi="仿宋" w:eastAsia="仿宋" w:cs="仿宋"/>
                <w:bCs w:val="0"/>
                <w:sz w:val="28"/>
                <w:szCs w:val="28"/>
              </w:rPr>
            </w:pPr>
          </w:p>
        </w:tc>
        <w:tc>
          <w:tcPr>
            <w:tcW w:w="1278" w:type="dxa"/>
          </w:tcPr>
          <w:p w14:paraId="1B103CAD">
            <w:pPr>
              <w:pStyle w:val="42"/>
              <w:widowControl w:val="0"/>
              <w:jc w:val="left"/>
              <w:rPr>
                <w:rFonts w:ascii="仿宋" w:hAnsi="仿宋" w:eastAsia="仿宋" w:cs="仿宋"/>
                <w:bCs w:val="0"/>
                <w:sz w:val="28"/>
                <w:szCs w:val="28"/>
              </w:rPr>
            </w:pPr>
          </w:p>
        </w:tc>
        <w:tc>
          <w:tcPr>
            <w:tcW w:w="1243" w:type="dxa"/>
          </w:tcPr>
          <w:p w14:paraId="1FC1574F">
            <w:pPr>
              <w:pStyle w:val="42"/>
              <w:widowControl w:val="0"/>
              <w:jc w:val="left"/>
              <w:rPr>
                <w:rFonts w:ascii="仿宋" w:hAnsi="仿宋" w:eastAsia="仿宋" w:cs="仿宋"/>
                <w:bCs w:val="0"/>
                <w:sz w:val="28"/>
                <w:szCs w:val="28"/>
              </w:rPr>
            </w:pPr>
          </w:p>
        </w:tc>
        <w:tc>
          <w:tcPr>
            <w:tcW w:w="1240" w:type="dxa"/>
          </w:tcPr>
          <w:p w14:paraId="7BF85A2C">
            <w:pPr>
              <w:pStyle w:val="42"/>
              <w:widowControl w:val="0"/>
              <w:jc w:val="left"/>
              <w:rPr>
                <w:rFonts w:ascii="仿宋" w:hAnsi="仿宋" w:eastAsia="仿宋" w:cs="仿宋"/>
                <w:bCs w:val="0"/>
                <w:sz w:val="28"/>
                <w:szCs w:val="28"/>
              </w:rPr>
            </w:pPr>
          </w:p>
        </w:tc>
        <w:tc>
          <w:tcPr>
            <w:tcW w:w="1640" w:type="dxa"/>
          </w:tcPr>
          <w:p w14:paraId="443BEE09">
            <w:pPr>
              <w:pStyle w:val="42"/>
              <w:widowControl w:val="0"/>
              <w:jc w:val="left"/>
              <w:rPr>
                <w:rFonts w:ascii="仿宋" w:hAnsi="仿宋" w:eastAsia="仿宋" w:cs="仿宋"/>
                <w:bCs w:val="0"/>
                <w:sz w:val="28"/>
                <w:szCs w:val="28"/>
              </w:rPr>
            </w:pPr>
          </w:p>
        </w:tc>
        <w:tc>
          <w:tcPr>
            <w:tcW w:w="1529" w:type="dxa"/>
          </w:tcPr>
          <w:p w14:paraId="35B317F3">
            <w:pPr>
              <w:pStyle w:val="42"/>
              <w:widowControl w:val="0"/>
              <w:jc w:val="left"/>
              <w:rPr>
                <w:rFonts w:ascii="仿宋" w:hAnsi="仿宋" w:eastAsia="仿宋" w:cs="仿宋"/>
                <w:bCs w:val="0"/>
                <w:sz w:val="28"/>
                <w:szCs w:val="28"/>
              </w:rPr>
            </w:pPr>
          </w:p>
        </w:tc>
      </w:tr>
      <w:tr w14:paraId="16B2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18F9FEFF">
            <w:pPr>
              <w:pStyle w:val="42"/>
              <w:widowControl w:val="0"/>
              <w:jc w:val="left"/>
              <w:rPr>
                <w:rFonts w:ascii="仿宋" w:hAnsi="仿宋" w:eastAsia="仿宋" w:cs="仿宋"/>
                <w:bCs w:val="0"/>
                <w:sz w:val="28"/>
                <w:szCs w:val="28"/>
              </w:rPr>
            </w:pPr>
            <w:bookmarkStart w:id="385" w:name="_Toc31519"/>
          </w:p>
        </w:tc>
        <w:tc>
          <w:tcPr>
            <w:tcW w:w="1379" w:type="dxa"/>
          </w:tcPr>
          <w:p w14:paraId="2966FB3D">
            <w:pPr>
              <w:pStyle w:val="42"/>
              <w:widowControl w:val="0"/>
              <w:jc w:val="left"/>
              <w:rPr>
                <w:rFonts w:ascii="仿宋" w:hAnsi="仿宋" w:eastAsia="仿宋" w:cs="仿宋"/>
                <w:bCs w:val="0"/>
                <w:sz w:val="28"/>
                <w:szCs w:val="28"/>
              </w:rPr>
            </w:pPr>
          </w:p>
        </w:tc>
        <w:tc>
          <w:tcPr>
            <w:tcW w:w="1278" w:type="dxa"/>
          </w:tcPr>
          <w:p w14:paraId="61FB19E8">
            <w:pPr>
              <w:pStyle w:val="42"/>
              <w:widowControl w:val="0"/>
              <w:jc w:val="left"/>
              <w:rPr>
                <w:rFonts w:ascii="仿宋" w:hAnsi="仿宋" w:eastAsia="仿宋" w:cs="仿宋"/>
                <w:bCs w:val="0"/>
                <w:sz w:val="28"/>
                <w:szCs w:val="28"/>
              </w:rPr>
            </w:pPr>
          </w:p>
        </w:tc>
        <w:tc>
          <w:tcPr>
            <w:tcW w:w="1243" w:type="dxa"/>
          </w:tcPr>
          <w:p w14:paraId="56EADBC0">
            <w:pPr>
              <w:pStyle w:val="42"/>
              <w:widowControl w:val="0"/>
              <w:jc w:val="left"/>
              <w:rPr>
                <w:rFonts w:ascii="仿宋" w:hAnsi="仿宋" w:eastAsia="仿宋" w:cs="仿宋"/>
                <w:bCs w:val="0"/>
                <w:sz w:val="28"/>
                <w:szCs w:val="28"/>
              </w:rPr>
            </w:pPr>
          </w:p>
        </w:tc>
        <w:tc>
          <w:tcPr>
            <w:tcW w:w="1240" w:type="dxa"/>
          </w:tcPr>
          <w:p w14:paraId="00E9BBAA">
            <w:pPr>
              <w:pStyle w:val="42"/>
              <w:widowControl w:val="0"/>
              <w:jc w:val="left"/>
              <w:rPr>
                <w:rFonts w:ascii="仿宋" w:hAnsi="仿宋" w:eastAsia="仿宋" w:cs="仿宋"/>
                <w:bCs w:val="0"/>
                <w:sz w:val="28"/>
                <w:szCs w:val="28"/>
              </w:rPr>
            </w:pPr>
          </w:p>
        </w:tc>
        <w:tc>
          <w:tcPr>
            <w:tcW w:w="1640" w:type="dxa"/>
          </w:tcPr>
          <w:p w14:paraId="1091D229">
            <w:pPr>
              <w:pStyle w:val="42"/>
              <w:widowControl w:val="0"/>
              <w:jc w:val="left"/>
              <w:rPr>
                <w:rFonts w:ascii="仿宋" w:hAnsi="仿宋" w:eastAsia="仿宋" w:cs="仿宋"/>
                <w:bCs w:val="0"/>
                <w:sz w:val="28"/>
                <w:szCs w:val="28"/>
              </w:rPr>
            </w:pPr>
          </w:p>
        </w:tc>
        <w:tc>
          <w:tcPr>
            <w:tcW w:w="1529" w:type="dxa"/>
          </w:tcPr>
          <w:p w14:paraId="081645A8">
            <w:pPr>
              <w:pStyle w:val="42"/>
              <w:widowControl w:val="0"/>
              <w:jc w:val="left"/>
              <w:rPr>
                <w:rFonts w:ascii="仿宋" w:hAnsi="仿宋" w:eastAsia="仿宋" w:cs="仿宋"/>
                <w:bCs w:val="0"/>
                <w:sz w:val="28"/>
                <w:szCs w:val="28"/>
              </w:rPr>
            </w:pPr>
          </w:p>
        </w:tc>
      </w:tr>
      <w:tr w14:paraId="57A1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1672C50E">
            <w:pPr>
              <w:pStyle w:val="42"/>
              <w:widowControl w:val="0"/>
              <w:jc w:val="left"/>
              <w:rPr>
                <w:rFonts w:ascii="仿宋" w:hAnsi="仿宋" w:eastAsia="仿宋" w:cs="仿宋"/>
                <w:bCs w:val="0"/>
                <w:sz w:val="28"/>
                <w:szCs w:val="28"/>
              </w:rPr>
            </w:pPr>
          </w:p>
        </w:tc>
        <w:tc>
          <w:tcPr>
            <w:tcW w:w="1379" w:type="dxa"/>
          </w:tcPr>
          <w:p w14:paraId="6DC0E516">
            <w:pPr>
              <w:pStyle w:val="42"/>
              <w:widowControl w:val="0"/>
              <w:jc w:val="left"/>
              <w:rPr>
                <w:rFonts w:ascii="仿宋" w:hAnsi="仿宋" w:eastAsia="仿宋" w:cs="仿宋"/>
                <w:bCs w:val="0"/>
                <w:sz w:val="28"/>
                <w:szCs w:val="28"/>
              </w:rPr>
            </w:pPr>
          </w:p>
        </w:tc>
        <w:tc>
          <w:tcPr>
            <w:tcW w:w="1278" w:type="dxa"/>
          </w:tcPr>
          <w:p w14:paraId="4516D9A2">
            <w:pPr>
              <w:pStyle w:val="42"/>
              <w:widowControl w:val="0"/>
              <w:jc w:val="left"/>
              <w:rPr>
                <w:rFonts w:ascii="仿宋" w:hAnsi="仿宋" w:eastAsia="仿宋" w:cs="仿宋"/>
                <w:bCs w:val="0"/>
                <w:sz w:val="28"/>
                <w:szCs w:val="28"/>
              </w:rPr>
            </w:pPr>
          </w:p>
        </w:tc>
        <w:tc>
          <w:tcPr>
            <w:tcW w:w="1243" w:type="dxa"/>
          </w:tcPr>
          <w:p w14:paraId="788214E9">
            <w:pPr>
              <w:pStyle w:val="42"/>
              <w:widowControl w:val="0"/>
              <w:jc w:val="left"/>
              <w:rPr>
                <w:rFonts w:ascii="仿宋" w:hAnsi="仿宋" w:eastAsia="仿宋" w:cs="仿宋"/>
                <w:bCs w:val="0"/>
                <w:sz w:val="28"/>
                <w:szCs w:val="28"/>
              </w:rPr>
            </w:pPr>
          </w:p>
        </w:tc>
        <w:tc>
          <w:tcPr>
            <w:tcW w:w="1240" w:type="dxa"/>
          </w:tcPr>
          <w:p w14:paraId="14FA4E54">
            <w:pPr>
              <w:pStyle w:val="42"/>
              <w:widowControl w:val="0"/>
              <w:jc w:val="left"/>
              <w:rPr>
                <w:rFonts w:ascii="仿宋" w:hAnsi="仿宋" w:eastAsia="仿宋" w:cs="仿宋"/>
                <w:bCs w:val="0"/>
                <w:sz w:val="28"/>
                <w:szCs w:val="28"/>
              </w:rPr>
            </w:pPr>
          </w:p>
        </w:tc>
        <w:tc>
          <w:tcPr>
            <w:tcW w:w="1640" w:type="dxa"/>
          </w:tcPr>
          <w:p w14:paraId="76350CB5">
            <w:pPr>
              <w:pStyle w:val="42"/>
              <w:widowControl w:val="0"/>
              <w:jc w:val="left"/>
              <w:rPr>
                <w:rFonts w:ascii="仿宋" w:hAnsi="仿宋" w:eastAsia="仿宋" w:cs="仿宋"/>
                <w:bCs w:val="0"/>
                <w:sz w:val="28"/>
                <w:szCs w:val="28"/>
              </w:rPr>
            </w:pPr>
          </w:p>
        </w:tc>
        <w:tc>
          <w:tcPr>
            <w:tcW w:w="1529" w:type="dxa"/>
          </w:tcPr>
          <w:p w14:paraId="455BD66A">
            <w:pPr>
              <w:pStyle w:val="42"/>
              <w:widowControl w:val="0"/>
              <w:jc w:val="left"/>
              <w:rPr>
                <w:rFonts w:ascii="仿宋" w:hAnsi="仿宋" w:eastAsia="仿宋" w:cs="仿宋"/>
                <w:bCs w:val="0"/>
                <w:sz w:val="28"/>
                <w:szCs w:val="28"/>
              </w:rPr>
            </w:pPr>
          </w:p>
        </w:tc>
      </w:tr>
      <w:tr w14:paraId="7051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414213C1">
            <w:pPr>
              <w:pStyle w:val="42"/>
              <w:widowControl w:val="0"/>
              <w:jc w:val="left"/>
              <w:rPr>
                <w:rFonts w:ascii="仿宋" w:hAnsi="仿宋" w:eastAsia="仿宋" w:cs="仿宋"/>
                <w:bCs w:val="0"/>
                <w:sz w:val="28"/>
                <w:szCs w:val="28"/>
              </w:rPr>
            </w:pPr>
          </w:p>
        </w:tc>
        <w:tc>
          <w:tcPr>
            <w:tcW w:w="1379" w:type="dxa"/>
          </w:tcPr>
          <w:p w14:paraId="1E4E5965">
            <w:pPr>
              <w:pStyle w:val="42"/>
              <w:widowControl w:val="0"/>
              <w:jc w:val="left"/>
              <w:rPr>
                <w:rFonts w:ascii="仿宋" w:hAnsi="仿宋" w:eastAsia="仿宋" w:cs="仿宋"/>
                <w:bCs w:val="0"/>
                <w:sz w:val="28"/>
                <w:szCs w:val="28"/>
              </w:rPr>
            </w:pPr>
          </w:p>
        </w:tc>
        <w:tc>
          <w:tcPr>
            <w:tcW w:w="1278" w:type="dxa"/>
          </w:tcPr>
          <w:p w14:paraId="383EB71B">
            <w:pPr>
              <w:pStyle w:val="42"/>
              <w:widowControl w:val="0"/>
              <w:jc w:val="left"/>
              <w:rPr>
                <w:rFonts w:ascii="仿宋" w:hAnsi="仿宋" w:eastAsia="仿宋" w:cs="仿宋"/>
                <w:bCs w:val="0"/>
                <w:sz w:val="28"/>
                <w:szCs w:val="28"/>
              </w:rPr>
            </w:pPr>
          </w:p>
        </w:tc>
        <w:tc>
          <w:tcPr>
            <w:tcW w:w="1243" w:type="dxa"/>
          </w:tcPr>
          <w:p w14:paraId="73868B0C">
            <w:pPr>
              <w:pStyle w:val="42"/>
              <w:widowControl w:val="0"/>
              <w:jc w:val="left"/>
              <w:rPr>
                <w:rFonts w:ascii="仿宋" w:hAnsi="仿宋" w:eastAsia="仿宋" w:cs="仿宋"/>
                <w:bCs w:val="0"/>
                <w:sz w:val="28"/>
                <w:szCs w:val="28"/>
              </w:rPr>
            </w:pPr>
          </w:p>
        </w:tc>
        <w:tc>
          <w:tcPr>
            <w:tcW w:w="1240" w:type="dxa"/>
          </w:tcPr>
          <w:p w14:paraId="74532B17">
            <w:pPr>
              <w:pStyle w:val="42"/>
              <w:widowControl w:val="0"/>
              <w:jc w:val="left"/>
              <w:rPr>
                <w:rFonts w:ascii="仿宋" w:hAnsi="仿宋" w:eastAsia="仿宋" w:cs="仿宋"/>
                <w:bCs w:val="0"/>
                <w:sz w:val="28"/>
                <w:szCs w:val="28"/>
              </w:rPr>
            </w:pPr>
          </w:p>
        </w:tc>
        <w:tc>
          <w:tcPr>
            <w:tcW w:w="1640" w:type="dxa"/>
          </w:tcPr>
          <w:p w14:paraId="59D7FE53">
            <w:pPr>
              <w:pStyle w:val="42"/>
              <w:widowControl w:val="0"/>
              <w:jc w:val="left"/>
              <w:rPr>
                <w:rFonts w:ascii="仿宋" w:hAnsi="仿宋" w:eastAsia="仿宋" w:cs="仿宋"/>
                <w:bCs w:val="0"/>
                <w:sz w:val="28"/>
                <w:szCs w:val="28"/>
              </w:rPr>
            </w:pPr>
          </w:p>
        </w:tc>
        <w:tc>
          <w:tcPr>
            <w:tcW w:w="1529" w:type="dxa"/>
          </w:tcPr>
          <w:p w14:paraId="0F46F4CC">
            <w:pPr>
              <w:pStyle w:val="42"/>
              <w:widowControl w:val="0"/>
              <w:jc w:val="left"/>
              <w:rPr>
                <w:rFonts w:ascii="仿宋" w:hAnsi="仿宋" w:eastAsia="仿宋" w:cs="仿宋"/>
                <w:bCs w:val="0"/>
                <w:sz w:val="28"/>
                <w:szCs w:val="28"/>
              </w:rPr>
            </w:pPr>
          </w:p>
        </w:tc>
      </w:tr>
      <w:tr w14:paraId="25F1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47F216C2">
            <w:pPr>
              <w:pStyle w:val="42"/>
              <w:widowControl w:val="0"/>
              <w:jc w:val="left"/>
              <w:rPr>
                <w:rFonts w:ascii="仿宋" w:hAnsi="仿宋" w:eastAsia="仿宋" w:cs="仿宋"/>
                <w:bCs w:val="0"/>
                <w:sz w:val="28"/>
                <w:szCs w:val="28"/>
              </w:rPr>
            </w:pPr>
          </w:p>
        </w:tc>
        <w:tc>
          <w:tcPr>
            <w:tcW w:w="1379" w:type="dxa"/>
          </w:tcPr>
          <w:p w14:paraId="1A2E4512">
            <w:pPr>
              <w:pStyle w:val="42"/>
              <w:widowControl w:val="0"/>
              <w:jc w:val="left"/>
              <w:rPr>
                <w:rFonts w:ascii="仿宋" w:hAnsi="仿宋" w:eastAsia="仿宋" w:cs="仿宋"/>
                <w:bCs w:val="0"/>
                <w:sz w:val="28"/>
                <w:szCs w:val="28"/>
              </w:rPr>
            </w:pPr>
          </w:p>
        </w:tc>
        <w:tc>
          <w:tcPr>
            <w:tcW w:w="1278" w:type="dxa"/>
          </w:tcPr>
          <w:p w14:paraId="4503FD13">
            <w:pPr>
              <w:pStyle w:val="42"/>
              <w:widowControl w:val="0"/>
              <w:jc w:val="left"/>
              <w:rPr>
                <w:rFonts w:ascii="仿宋" w:hAnsi="仿宋" w:eastAsia="仿宋" w:cs="仿宋"/>
                <w:bCs w:val="0"/>
                <w:sz w:val="28"/>
                <w:szCs w:val="28"/>
              </w:rPr>
            </w:pPr>
          </w:p>
        </w:tc>
        <w:tc>
          <w:tcPr>
            <w:tcW w:w="1243" w:type="dxa"/>
          </w:tcPr>
          <w:p w14:paraId="3F94E50A">
            <w:pPr>
              <w:pStyle w:val="42"/>
              <w:widowControl w:val="0"/>
              <w:jc w:val="left"/>
              <w:rPr>
                <w:rFonts w:ascii="仿宋" w:hAnsi="仿宋" w:eastAsia="仿宋" w:cs="仿宋"/>
                <w:bCs w:val="0"/>
                <w:sz w:val="28"/>
                <w:szCs w:val="28"/>
              </w:rPr>
            </w:pPr>
          </w:p>
        </w:tc>
        <w:tc>
          <w:tcPr>
            <w:tcW w:w="1240" w:type="dxa"/>
          </w:tcPr>
          <w:p w14:paraId="008CE1A2">
            <w:pPr>
              <w:pStyle w:val="42"/>
              <w:widowControl w:val="0"/>
              <w:jc w:val="left"/>
              <w:rPr>
                <w:rFonts w:ascii="仿宋" w:hAnsi="仿宋" w:eastAsia="仿宋" w:cs="仿宋"/>
                <w:bCs w:val="0"/>
                <w:sz w:val="28"/>
                <w:szCs w:val="28"/>
              </w:rPr>
            </w:pPr>
          </w:p>
        </w:tc>
        <w:tc>
          <w:tcPr>
            <w:tcW w:w="1640" w:type="dxa"/>
          </w:tcPr>
          <w:p w14:paraId="5F4A7365">
            <w:pPr>
              <w:pStyle w:val="42"/>
              <w:widowControl w:val="0"/>
              <w:jc w:val="left"/>
              <w:rPr>
                <w:rFonts w:ascii="仿宋" w:hAnsi="仿宋" w:eastAsia="仿宋" w:cs="仿宋"/>
                <w:bCs w:val="0"/>
                <w:sz w:val="28"/>
                <w:szCs w:val="28"/>
              </w:rPr>
            </w:pPr>
          </w:p>
        </w:tc>
        <w:tc>
          <w:tcPr>
            <w:tcW w:w="1529" w:type="dxa"/>
          </w:tcPr>
          <w:p w14:paraId="2F016D24">
            <w:pPr>
              <w:pStyle w:val="42"/>
              <w:widowControl w:val="0"/>
              <w:jc w:val="left"/>
              <w:rPr>
                <w:rFonts w:ascii="仿宋" w:hAnsi="仿宋" w:eastAsia="仿宋" w:cs="仿宋"/>
                <w:bCs w:val="0"/>
                <w:sz w:val="28"/>
                <w:szCs w:val="28"/>
              </w:rPr>
            </w:pPr>
          </w:p>
        </w:tc>
      </w:tr>
      <w:tr w14:paraId="5A92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9" w:type="dxa"/>
            <w:gridSpan w:val="2"/>
            <w:vAlign w:val="center"/>
          </w:tcPr>
          <w:p w14:paraId="75496A4B">
            <w:pPr>
              <w:pStyle w:val="42"/>
              <w:widowControl w:val="0"/>
              <w:rPr>
                <w:rFonts w:ascii="仿宋" w:hAnsi="仿宋" w:eastAsia="仿宋" w:cs="Calibri Light"/>
                <w:b w:val="0"/>
                <w:bCs w:val="0"/>
                <w:sz w:val="24"/>
                <w:szCs w:val="24"/>
              </w:rPr>
            </w:pPr>
            <w:r>
              <w:rPr>
                <w:rFonts w:hint="eastAsia" w:ascii="仿宋" w:hAnsi="仿宋" w:eastAsia="仿宋" w:cs="Calibri Light"/>
                <w:sz w:val="24"/>
                <w:szCs w:val="24"/>
              </w:rPr>
              <w:t>合计</w:t>
            </w:r>
            <w:bookmarkEnd w:id="385"/>
          </w:p>
        </w:tc>
        <w:tc>
          <w:tcPr>
            <w:tcW w:w="6930" w:type="dxa"/>
            <w:gridSpan w:val="5"/>
          </w:tcPr>
          <w:p w14:paraId="1EDB08C9">
            <w:pPr>
              <w:widowControl w:val="0"/>
              <w:autoSpaceDE w:val="0"/>
              <w:autoSpaceDN w:val="0"/>
              <w:spacing w:line="240" w:lineRule="auto"/>
              <w:rPr>
                <w:rFonts w:ascii="仿宋" w:hAnsi="仿宋" w:eastAsia="仿宋"/>
                <w:sz w:val="24"/>
                <w:szCs w:val="24"/>
                <w:lang w:val="zh-CN"/>
              </w:rPr>
            </w:pPr>
            <w:r>
              <w:rPr>
                <w:rFonts w:hint="eastAsia" w:ascii="仿宋" w:hAnsi="仿宋" w:eastAsia="仿宋"/>
                <w:sz w:val="24"/>
                <w:szCs w:val="24"/>
                <w:lang w:val="zh-CN"/>
              </w:rPr>
              <w:t>小写：</w:t>
            </w:r>
          </w:p>
          <w:p w14:paraId="0299A4C8">
            <w:pPr>
              <w:pStyle w:val="42"/>
              <w:widowControl w:val="0"/>
              <w:jc w:val="left"/>
              <w:rPr>
                <w:rFonts w:ascii="仿宋" w:hAnsi="仿宋" w:eastAsia="仿宋" w:cs="Calibri Light"/>
                <w:b w:val="0"/>
                <w:bCs w:val="0"/>
                <w:sz w:val="24"/>
                <w:szCs w:val="24"/>
              </w:rPr>
            </w:pPr>
            <w:r>
              <w:rPr>
                <w:rFonts w:hint="eastAsia" w:ascii="仿宋" w:hAnsi="仿宋" w:eastAsia="仿宋" w:cs="Calibri Light"/>
                <w:b w:val="0"/>
                <w:bCs w:val="0"/>
                <w:sz w:val="24"/>
                <w:szCs w:val="24"/>
              </w:rPr>
              <w:t xml:space="preserve">                                 </w:t>
            </w:r>
            <w:bookmarkStart w:id="386" w:name="_Toc28010"/>
            <w:bookmarkStart w:id="387" w:name="_Toc7253"/>
            <w:bookmarkStart w:id="388" w:name="_Toc8004"/>
            <w:bookmarkStart w:id="389" w:name="_Toc31429"/>
            <w:bookmarkStart w:id="390" w:name="_Toc17991"/>
            <w:bookmarkStart w:id="391" w:name="_Toc10552"/>
            <w:bookmarkStart w:id="392" w:name="_Toc22162"/>
            <w:r>
              <w:rPr>
                <w:rFonts w:ascii="仿宋" w:hAnsi="仿宋" w:eastAsia="仿宋" w:cs="Calibri Light"/>
                <w:b w:val="0"/>
                <w:bCs w:val="0"/>
                <w:sz w:val="24"/>
                <w:szCs w:val="24"/>
              </w:rPr>
              <w:t>单位：元（</w:t>
            </w:r>
            <w:r>
              <w:rPr>
                <w:rFonts w:hint="eastAsia" w:ascii="仿宋" w:hAnsi="仿宋" w:eastAsia="仿宋" w:cs="Calibri Light"/>
                <w:b w:val="0"/>
                <w:bCs w:val="0"/>
                <w:sz w:val="24"/>
                <w:szCs w:val="24"/>
              </w:rPr>
              <w:t>保留到元</w:t>
            </w:r>
            <w:r>
              <w:rPr>
                <w:rFonts w:ascii="仿宋" w:hAnsi="仿宋" w:eastAsia="仿宋" w:cs="Calibri Light"/>
                <w:b w:val="0"/>
                <w:bCs w:val="0"/>
                <w:sz w:val="24"/>
                <w:szCs w:val="24"/>
              </w:rPr>
              <w:t>）</w:t>
            </w:r>
            <w:bookmarkEnd w:id="386"/>
            <w:bookmarkEnd w:id="387"/>
            <w:bookmarkEnd w:id="388"/>
            <w:bookmarkEnd w:id="389"/>
            <w:bookmarkEnd w:id="390"/>
            <w:bookmarkEnd w:id="391"/>
            <w:bookmarkEnd w:id="392"/>
          </w:p>
        </w:tc>
      </w:tr>
    </w:tbl>
    <w:p w14:paraId="3E292098">
      <w:pPr>
        <w:tabs>
          <w:tab w:val="right" w:pos="9072"/>
        </w:tabs>
        <w:spacing w:line="500" w:lineRule="exact"/>
        <w:ind w:firstLine="566" w:firstLineChars="200"/>
        <w:jc w:val="right"/>
        <w:rPr>
          <w:rFonts w:ascii="仿宋" w:hAnsi="仿宋" w:eastAsia="仿宋"/>
          <w:b/>
        </w:rPr>
      </w:pPr>
    </w:p>
    <w:p w14:paraId="1BFCB851">
      <w:pPr>
        <w:tabs>
          <w:tab w:val="right" w:pos="9072"/>
        </w:tabs>
        <w:spacing w:line="240" w:lineRule="auto"/>
        <w:ind w:firstLine="243" w:firstLineChars="100"/>
        <w:rPr>
          <w:rFonts w:ascii="仿宋_GB2312" w:hAnsi="仿宋_GB2312" w:eastAsia="仿宋_GB2312" w:cs="仿宋_GB2312"/>
          <w:sz w:val="24"/>
          <w:szCs w:val="24"/>
        </w:rPr>
      </w:pPr>
      <w:r>
        <w:rPr>
          <w:rFonts w:hint="eastAsia" w:ascii="仿宋_GB2312" w:hAnsi="仿宋_GB2312" w:eastAsia="仿宋_GB2312" w:cs="仿宋_GB2312"/>
          <w:sz w:val="24"/>
          <w:szCs w:val="24"/>
        </w:rPr>
        <w:t>备注：1、本表“合计”金额应与“第一次磋商报价表”中的“磋商报价”一致；</w:t>
      </w:r>
    </w:p>
    <w:p w14:paraId="7E5ED89F">
      <w:pPr>
        <w:tabs>
          <w:tab w:val="right" w:pos="9072"/>
        </w:tabs>
        <w:spacing w:line="240" w:lineRule="auto"/>
        <w:ind w:firstLine="972" w:firstLineChars="400"/>
        <w:rPr>
          <w:rFonts w:ascii="仿宋_GB2312" w:hAnsi="仿宋_GB2312" w:eastAsia="仿宋_GB2312" w:cs="仿宋_GB2312"/>
          <w:b/>
          <w:bCs/>
          <w:sz w:val="24"/>
          <w:szCs w:val="24"/>
        </w:rPr>
      </w:pPr>
      <w:r>
        <w:rPr>
          <w:rFonts w:hint="eastAsia" w:ascii="仿宋_GB2312" w:hAnsi="仿宋_GB2312" w:eastAsia="仿宋_GB2312" w:cs="仿宋_GB2312"/>
          <w:sz w:val="24"/>
          <w:szCs w:val="24"/>
        </w:rPr>
        <w:t>2、本表为样表，仅供参考，供应商根据项目实际需求进行填写</w:t>
      </w:r>
      <w:r>
        <w:rPr>
          <w:rFonts w:hint="eastAsia" w:ascii="仿宋_GB2312" w:hAnsi="仿宋_GB2312" w:eastAsia="仿宋_GB2312" w:cs="仿宋_GB2312"/>
          <w:b/>
          <w:bCs/>
          <w:sz w:val="24"/>
          <w:szCs w:val="24"/>
        </w:rPr>
        <w:t>。</w:t>
      </w:r>
    </w:p>
    <w:p w14:paraId="3688EF3E">
      <w:pPr>
        <w:tabs>
          <w:tab w:val="right" w:pos="9072"/>
        </w:tabs>
        <w:spacing w:line="500" w:lineRule="exact"/>
        <w:ind w:firstLine="486" w:firstLineChars="200"/>
        <w:rPr>
          <w:rFonts w:ascii="华文仿宋" w:hAnsi="华文仿宋" w:cs="华文仿宋"/>
          <w:sz w:val="24"/>
          <w:szCs w:val="24"/>
        </w:rPr>
      </w:pPr>
    </w:p>
    <w:p w14:paraId="45FD8F81">
      <w:pPr>
        <w:tabs>
          <w:tab w:val="right" w:pos="9072"/>
        </w:tabs>
        <w:spacing w:line="500" w:lineRule="exact"/>
        <w:ind w:firstLine="486" w:firstLineChars="200"/>
        <w:rPr>
          <w:rFonts w:ascii="华文仿宋" w:hAnsi="华文仿宋" w:cs="华文仿宋"/>
          <w:sz w:val="24"/>
          <w:szCs w:val="24"/>
        </w:rPr>
      </w:pPr>
    </w:p>
    <w:p w14:paraId="4EAE3A00">
      <w:pPr>
        <w:tabs>
          <w:tab w:val="right" w:pos="9072"/>
        </w:tabs>
        <w:spacing w:line="500" w:lineRule="exact"/>
        <w:ind w:firstLine="646" w:firstLineChars="200"/>
        <w:rPr>
          <w:rFonts w:ascii="华文仿宋" w:hAnsi="华文仿宋" w:cs="华文仿宋"/>
          <w:b/>
          <w:sz w:val="32"/>
          <w:szCs w:val="32"/>
        </w:rPr>
      </w:pPr>
    </w:p>
    <w:p w14:paraId="0A6A65FE">
      <w:pPr>
        <w:spacing w:line="500" w:lineRule="exact"/>
        <w:ind w:firstLine="5491"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（加盖公章）</w:t>
      </w:r>
    </w:p>
    <w:p w14:paraId="66947872">
      <w:pPr>
        <w:tabs>
          <w:tab w:val="right" w:pos="9070"/>
        </w:tabs>
        <w:spacing w:line="500" w:lineRule="exact"/>
        <w:ind w:firstLine="5491" w:firstLineChars="1700"/>
        <w:rPr>
          <w:rFonts w:ascii="仿宋_GB2312" w:hAnsi="仿宋_GB2312" w:eastAsia="仿宋_GB2312" w:cs="仿宋_GB2312"/>
          <w:bCs/>
          <w:sz w:val="32"/>
          <w:szCs w:val="32"/>
        </w:rPr>
      </w:pPr>
      <w:r>
        <w:rPr>
          <w:rFonts w:hint="eastAsia" w:ascii="仿宋_GB2312" w:hAnsi="仿宋_GB2312" w:eastAsia="仿宋_GB2312" w:cs="仿宋_GB2312"/>
          <w:sz w:val="32"/>
          <w:szCs w:val="32"/>
        </w:rPr>
        <w:t>日期：　　年　月　日</w:t>
      </w:r>
      <w:r>
        <w:rPr>
          <w:rFonts w:hint="eastAsia" w:ascii="仿宋_GB2312" w:hAnsi="仿宋_GB2312" w:eastAsia="仿宋_GB2312" w:cs="仿宋_GB2312"/>
          <w:bCs/>
          <w:sz w:val="32"/>
          <w:szCs w:val="32"/>
        </w:rPr>
        <w:tab/>
      </w:r>
      <w:r>
        <w:rPr>
          <w:rFonts w:hint="eastAsia" w:ascii="仿宋_GB2312" w:hAnsi="仿宋_GB2312" w:eastAsia="仿宋_GB2312" w:cs="仿宋_GB2312"/>
          <w:bCs/>
          <w:sz w:val="32"/>
          <w:szCs w:val="32"/>
        </w:rPr>
        <w:t xml:space="preserve">  </w:t>
      </w:r>
    </w:p>
    <w:p w14:paraId="5787D3FF">
      <w:pPr>
        <w:tabs>
          <w:tab w:val="right" w:pos="9070"/>
        </w:tabs>
        <w:spacing w:line="500" w:lineRule="exact"/>
        <w:rPr>
          <w:rFonts w:ascii="华文仿宋" w:hAnsi="华文仿宋" w:cs="华文仿宋"/>
          <w:bCs/>
        </w:rPr>
      </w:pPr>
    </w:p>
    <w:p w14:paraId="7E4D2253">
      <w:pPr>
        <w:rPr>
          <w:rFonts w:ascii="仿宋" w:hAnsi="仿宋" w:eastAsia="仿宋" w:cs="仿宋"/>
          <w:sz w:val="32"/>
          <w:szCs w:val="32"/>
        </w:rPr>
      </w:pPr>
    </w:p>
    <w:p w14:paraId="1260DB13">
      <w:pPr>
        <w:rPr>
          <w:rFonts w:ascii="仿宋" w:hAnsi="仿宋" w:eastAsia="仿宋" w:cs="仿宋"/>
          <w:sz w:val="32"/>
          <w:szCs w:val="32"/>
        </w:rPr>
      </w:pPr>
    </w:p>
    <w:p w14:paraId="49BB47C3">
      <w:pPr>
        <w:rPr>
          <w:rFonts w:ascii="仿宋" w:hAnsi="仿宋" w:eastAsia="仿宋" w:cs="仿宋"/>
          <w:sz w:val="32"/>
          <w:szCs w:val="32"/>
        </w:rPr>
      </w:pPr>
    </w:p>
    <w:p w14:paraId="04BB9B5D">
      <w:pPr>
        <w:rPr>
          <w:rFonts w:ascii="仿宋" w:hAnsi="仿宋" w:eastAsia="仿宋" w:cs="仿宋"/>
          <w:sz w:val="32"/>
          <w:szCs w:val="32"/>
        </w:rPr>
      </w:pPr>
      <w:r>
        <w:rPr>
          <w:rFonts w:ascii="仿宋" w:hAnsi="仿宋" w:eastAsia="仿宋" w:cs="仿宋"/>
          <w:sz w:val="32"/>
          <w:szCs w:val="32"/>
        </w:rPr>
        <w:br w:type="page"/>
      </w:r>
    </w:p>
    <w:p w14:paraId="7A99410B">
      <w:pPr>
        <w:pStyle w:val="42"/>
        <w:spacing w:line="560" w:lineRule="exact"/>
        <w:jc w:val="both"/>
        <w:rPr>
          <w:rFonts w:ascii="仿宋_GB2312" w:hAnsi="仿宋_GB2312" w:eastAsia="仿宋_GB2312" w:cs="仿宋_GB2312"/>
          <w:bCs w:val="0"/>
        </w:rPr>
      </w:pPr>
      <w:bookmarkStart w:id="393" w:name="_Toc13309_WPSOffice_Level2"/>
      <w:bookmarkStart w:id="394" w:name="_Toc2393"/>
      <w:bookmarkStart w:id="395" w:name="_Toc20416"/>
      <w:bookmarkStart w:id="396" w:name="_Toc26668"/>
      <w:bookmarkStart w:id="397" w:name="_Toc9727_WPSOffice_Level2"/>
      <w:bookmarkStart w:id="398" w:name="_Toc1823_WPSOffice_Level2"/>
      <w:bookmarkStart w:id="399" w:name="_Toc18036_WPSOffice_Level2"/>
      <w:bookmarkStart w:id="400" w:name="_Toc13794"/>
      <w:bookmarkStart w:id="401" w:name="_Toc26536_WPSOffice_Level2"/>
      <w:r>
        <w:rPr>
          <w:rFonts w:hint="eastAsia" w:ascii="仿宋_GB2312" w:hAnsi="仿宋_GB2312" w:eastAsia="仿宋_GB2312" w:cs="仿宋_GB2312"/>
          <w:bCs w:val="0"/>
        </w:rPr>
        <w:t>三、</w:t>
      </w:r>
      <w:bookmarkEnd w:id="393"/>
      <w:bookmarkEnd w:id="394"/>
      <w:bookmarkStart w:id="402" w:name="_Toc4322"/>
      <w:bookmarkStart w:id="403" w:name="_Toc31081"/>
      <w:r>
        <w:rPr>
          <w:rFonts w:hint="eastAsia" w:ascii="仿宋_GB2312" w:hAnsi="仿宋_GB2312" w:eastAsia="仿宋_GB2312" w:cs="仿宋_GB2312"/>
          <w:bCs w:val="0"/>
        </w:rPr>
        <w:t>供应商参加政府采购活动承诺书</w:t>
      </w:r>
      <w:bookmarkEnd w:id="395"/>
      <w:bookmarkEnd w:id="402"/>
      <w:bookmarkEnd w:id="403"/>
    </w:p>
    <w:bookmarkEnd w:id="396"/>
    <w:bookmarkEnd w:id="397"/>
    <w:bookmarkEnd w:id="398"/>
    <w:bookmarkEnd w:id="399"/>
    <w:bookmarkEnd w:id="400"/>
    <w:bookmarkEnd w:id="401"/>
    <w:p w14:paraId="495F3A8D">
      <w:pPr>
        <w:spacing w:before="190" w:beforeLines="50" w:line="560" w:lineRule="exact"/>
        <w:ind w:firstLine="566" w:firstLineChars="200"/>
        <w:jc w:val="center"/>
        <w:rPr>
          <w:rFonts w:ascii="仿宋_GB2312" w:hAnsi="仿宋_GB2312" w:eastAsia="仿宋_GB2312" w:cs="仿宋_GB2312"/>
          <w:bCs/>
        </w:rPr>
      </w:pPr>
      <w:r>
        <w:rPr>
          <w:rFonts w:hint="eastAsia" w:ascii="仿宋_GB2312" w:hAnsi="仿宋_GB2312" w:eastAsia="仿宋_GB2312" w:cs="仿宋_GB2312"/>
          <w:b/>
          <w:bCs/>
        </w:rPr>
        <w:t>拒绝政府采购领域商业贿赂承诺书</w:t>
      </w:r>
    </w:p>
    <w:p w14:paraId="757774CA">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为响应党中央、国务院关于治理政府采购领域商业贿赂行为的号召，我公司在此庄严承诺：</w:t>
      </w:r>
    </w:p>
    <w:p w14:paraId="59E8B31D">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1、在参与政府采购活动中遵纪守法、诚信经营、公平竞标。</w:t>
      </w:r>
    </w:p>
    <w:p w14:paraId="25B2B1EE">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2、不向政府采购人、采购代理机构和政府采购评审专家进行任何形式的商业贿赂以谋取交易机会。</w:t>
      </w:r>
    </w:p>
    <w:p w14:paraId="68071C48">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3、不向政府采购代理机构和采购人提供虚假资质文件或采用虚假应标方式参与政府采购市场竞争并谋取中标、成交。</w:t>
      </w:r>
    </w:p>
    <w:p w14:paraId="1D3E1F88">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4、不采取“围标、陪标”等商业欺诈手段获得政府采购定单。</w:t>
      </w:r>
    </w:p>
    <w:p w14:paraId="754A9093">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5、不采取不正当手段诋毁、排挤其他供应商。</w:t>
      </w:r>
    </w:p>
    <w:p w14:paraId="136EEF6A">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6、不在提供商品和服务时“偷梁换柱、以次充好”损害采购人的合法权益。</w:t>
      </w:r>
    </w:p>
    <w:p w14:paraId="2E6B96B6">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7、不与采购人、采购代理机构政府采购评审专家或其它供应商恶意串通，进行质疑和投诉，维护政府采购市场秩序。</w:t>
      </w:r>
    </w:p>
    <w:p w14:paraId="50DCB8E9">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8、尊重和接受政府采购监督管理部门的监督和政府采购代理机构招标采购要求，承担因违约行为给采购人造成的损失。</w:t>
      </w:r>
    </w:p>
    <w:p w14:paraId="1EAB30B8">
      <w:pPr>
        <w:spacing w:line="560" w:lineRule="exact"/>
        <w:ind w:firstLine="566" w:firstLineChars="200"/>
        <w:rPr>
          <w:rFonts w:ascii="仿宋_GB2312" w:hAnsi="仿宋_GB2312" w:eastAsia="仿宋_GB2312" w:cs="仿宋_GB2312"/>
        </w:rPr>
      </w:pPr>
      <w:r>
        <w:rPr>
          <w:rFonts w:hint="eastAsia" w:ascii="仿宋_GB2312" w:hAnsi="仿宋_GB2312" w:eastAsia="仿宋_GB2312" w:cs="仿宋_GB2312"/>
        </w:rPr>
        <w:t>9、不发生其他有悖于政府采购公开、公平、公正和诚信原则的行为。</w:t>
      </w:r>
    </w:p>
    <w:p w14:paraId="0C5A3C72">
      <w:pPr>
        <w:pStyle w:val="20"/>
        <w:spacing w:line="560" w:lineRule="exact"/>
        <w:ind w:firstLine="283"/>
        <w:rPr>
          <w:rFonts w:ascii="仿宋_GB2312" w:hAnsi="仿宋_GB2312" w:eastAsia="仿宋_GB2312" w:cs="仿宋_GB2312"/>
          <w:sz w:val="28"/>
          <w:szCs w:val="28"/>
        </w:rPr>
      </w:pPr>
    </w:p>
    <w:p w14:paraId="14467C56">
      <w:pPr>
        <w:spacing w:line="560" w:lineRule="exact"/>
        <w:ind w:firstLine="5377" w:firstLineChars="1900"/>
        <w:rPr>
          <w:rFonts w:ascii="仿宋_GB2312" w:hAnsi="仿宋_GB2312" w:eastAsia="仿宋_GB2312" w:cs="仿宋_GB2312"/>
        </w:rPr>
      </w:pPr>
    </w:p>
    <w:p w14:paraId="67B0CCB8">
      <w:pPr>
        <w:spacing w:line="560" w:lineRule="exact"/>
        <w:jc w:val="right"/>
        <w:rPr>
          <w:rFonts w:ascii="仿宋_GB2312" w:hAnsi="仿宋_GB2312" w:eastAsia="仿宋_GB2312" w:cs="仿宋_GB2312"/>
        </w:rPr>
      </w:pPr>
      <w:r>
        <w:rPr>
          <w:rFonts w:hint="eastAsia" w:ascii="仿宋_GB2312" w:hAnsi="仿宋_GB2312" w:eastAsia="仿宋_GB2312" w:cs="仿宋_GB2312"/>
        </w:rPr>
        <w:t>供应商：</w:t>
      </w:r>
      <w:r>
        <w:rPr>
          <w:rFonts w:hint="eastAsia" w:ascii="仿宋_GB2312" w:hAnsi="仿宋_GB2312" w:eastAsia="仿宋_GB2312" w:cs="仿宋_GB2312"/>
          <w:u w:val="single"/>
        </w:rPr>
        <w:t>名称</w:t>
      </w:r>
      <w:r>
        <w:rPr>
          <w:rFonts w:hint="eastAsia" w:ascii="仿宋_GB2312" w:hAnsi="仿宋_GB2312" w:eastAsia="仿宋_GB2312" w:cs="仿宋_GB2312"/>
        </w:rPr>
        <w:t>（加盖公章）</w:t>
      </w:r>
    </w:p>
    <w:p w14:paraId="6DE46DA3">
      <w:pPr>
        <w:wordWrap w:val="0"/>
        <w:spacing w:line="560" w:lineRule="exact"/>
        <w:jc w:val="right"/>
        <w:rPr>
          <w:rFonts w:ascii="仿宋_GB2312" w:hAnsi="仿宋_GB2312" w:eastAsia="仿宋_GB2312" w:cs="仿宋_GB2312"/>
        </w:rPr>
      </w:pPr>
      <w:r>
        <w:rPr>
          <w:rFonts w:hint="eastAsia" w:ascii="仿宋_GB2312" w:hAnsi="仿宋_GB2312" w:eastAsia="仿宋_GB2312" w:cs="仿宋_GB2312"/>
        </w:rPr>
        <w:t xml:space="preserve">日期：　 年　月　日   </w:t>
      </w:r>
    </w:p>
    <w:p w14:paraId="2E8F46A6">
      <w:pPr>
        <w:spacing w:line="500" w:lineRule="exact"/>
        <w:rPr>
          <w:rFonts w:ascii="仿宋" w:hAnsi="仿宋" w:eastAsia="仿宋"/>
          <w:b/>
          <w:sz w:val="32"/>
          <w:szCs w:val="32"/>
        </w:rPr>
      </w:pPr>
      <w:r>
        <w:rPr>
          <w:rFonts w:hint="eastAsia"/>
        </w:rPr>
        <w:br w:type="page"/>
      </w:r>
      <w:bookmarkStart w:id="404" w:name="_Toc16564_WPSOffice_Level2"/>
      <w:bookmarkStart w:id="405" w:name="_Toc16442_WPSOffice_Level2"/>
      <w:bookmarkStart w:id="406" w:name="_Toc27976_WPSOffice_Level2"/>
      <w:bookmarkStart w:id="407" w:name="_Toc10928_WPSOffice_Level2"/>
      <w:r>
        <w:rPr>
          <w:rFonts w:hint="eastAsia" w:ascii="仿宋" w:hAnsi="仿宋" w:eastAsia="仿宋" w:cs="仿宋"/>
          <w:b/>
          <w:sz w:val="32"/>
          <w:szCs w:val="32"/>
        </w:rPr>
        <w:t>四、</w:t>
      </w:r>
      <w:r>
        <w:rPr>
          <w:rFonts w:ascii="仿宋" w:hAnsi="仿宋" w:eastAsia="仿宋"/>
          <w:b/>
          <w:sz w:val="32"/>
          <w:szCs w:val="32"/>
        </w:rPr>
        <w:t>技术</w:t>
      </w:r>
      <w:r>
        <w:rPr>
          <w:rFonts w:hint="eastAsia" w:ascii="仿宋" w:hAnsi="仿宋" w:eastAsia="仿宋"/>
          <w:b/>
          <w:sz w:val="32"/>
          <w:szCs w:val="32"/>
        </w:rPr>
        <w:t>服务偏差表</w:t>
      </w:r>
      <w:bookmarkEnd w:id="404"/>
      <w:bookmarkEnd w:id="405"/>
      <w:bookmarkEnd w:id="406"/>
      <w:bookmarkEnd w:id="407"/>
    </w:p>
    <w:tbl>
      <w:tblPr>
        <w:tblStyle w:val="21"/>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423"/>
        <w:gridCol w:w="2599"/>
        <w:gridCol w:w="1375"/>
        <w:gridCol w:w="2350"/>
      </w:tblGrid>
      <w:tr w14:paraId="465E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90" w:type="dxa"/>
            <w:shd w:val="clear" w:color="auto" w:fill="D8D8D8"/>
            <w:vAlign w:val="center"/>
          </w:tcPr>
          <w:p w14:paraId="67A97F28">
            <w:pPr>
              <w:spacing w:line="320" w:lineRule="exact"/>
              <w:jc w:val="center"/>
              <w:rPr>
                <w:rFonts w:ascii="仿宋_GB2312" w:hAnsi="仿宋_GB2312" w:eastAsia="仿宋_GB2312" w:cs="仿宋_GB2312"/>
                <w:b/>
              </w:rPr>
            </w:pPr>
            <w:r>
              <w:rPr>
                <w:rFonts w:hint="eastAsia" w:ascii="仿宋_GB2312" w:hAnsi="仿宋_GB2312" w:eastAsia="仿宋_GB2312" w:cs="仿宋_GB2312"/>
                <w:b/>
              </w:rPr>
              <w:t>序号</w:t>
            </w:r>
          </w:p>
        </w:tc>
        <w:tc>
          <w:tcPr>
            <w:tcW w:w="1423" w:type="dxa"/>
            <w:shd w:val="clear" w:color="auto" w:fill="D8D8D8"/>
            <w:vAlign w:val="center"/>
          </w:tcPr>
          <w:p w14:paraId="2A0119D2">
            <w:pPr>
              <w:spacing w:line="320" w:lineRule="exact"/>
              <w:jc w:val="center"/>
              <w:rPr>
                <w:rFonts w:ascii="仿宋_GB2312" w:hAnsi="仿宋_GB2312" w:eastAsia="仿宋_GB2312" w:cs="仿宋_GB2312"/>
                <w:b/>
              </w:rPr>
            </w:pPr>
            <w:r>
              <w:rPr>
                <w:rFonts w:hint="eastAsia" w:ascii="仿宋_GB2312" w:hAnsi="仿宋_GB2312" w:eastAsia="仿宋_GB2312" w:cs="仿宋_GB2312"/>
                <w:b/>
              </w:rPr>
              <w:t>磋商文件要求</w:t>
            </w:r>
          </w:p>
        </w:tc>
        <w:tc>
          <w:tcPr>
            <w:tcW w:w="2599" w:type="dxa"/>
            <w:shd w:val="clear" w:color="auto" w:fill="D8D8D8"/>
            <w:vAlign w:val="center"/>
          </w:tcPr>
          <w:p w14:paraId="4600AD0A">
            <w:pPr>
              <w:spacing w:line="320" w:lineRule="exact"/>
              <w:jc w:val="center"/>
              <w:rPr>
                <w:rFonts w:ascii="仿宋_GB2312" w:hAnsi="仿宋_GB2312" w:eastAsia="仿宋_GB2312" w:cs="仿宋_GB2312"/>
                <w:b/>
              </w:rPr>
            </w:pPr>
            <w:r>
              <w:rPr>
                <w:rFonts w:hint="eastAsia" w:ascii="仿宋_GB2312" w:hAnsi="仿宋_GB2312" w:eastAsia="仿宋_GB2312" w:cs="仿宋_GB2312"/>
                <w:b/>
              </w:rPr>
              <w:t>响应文件响应条款</w:t>
            </w:r>
          </w:p>
        </w:tc>
        <w:tc>
          <w:tcPr>
            <w:tcW w:w="1375" w:type="dxa"/>
            <w:shd w:val="clear" w:color="auto" w:fill="D8D8D8"/>
            <w:vAlign w:val="center"/>
          </w:tcPr>
          <w:p w14:paraId="5C2B5E03">
            <w:pPr>
              <w:spacing w:line="320" w:lineRule="exact"/>
              <w:jc w:val="center"/>
              <w:rPr>
                <w:rFonts w:ascii="仿宋_GB2312" w:hAnsi="仿宋_GB2312" w:eastAsia="仿宋_GB2312" w:cs="仿宋_GB2312"/>
                <w:b/>
              </w:rPr>
            </w:pPr>
            <w:r>
              <w:rPr>
                <w:rFonts w:hint="eastAsia" w:ascii="仿宋_GB2312" w:hAnsi="仿宋_GB2312" w:eastAsia="仿宋_GB2312" w:cs="仿宋_GB2312"/>
                <w:b/>
                <w:bCs/>
              </w:rPr>
              <w:t>偏离程度</w:t>
            </w:r>
          </w:p>
        </w:tc>
        <w:tc>
          <w:tcPr>
            <w:tcW w:w="2350" w:type="dxa"/>
            <w:shd w:val="clear" w:color="auto" w:fill="D8D8D8"/>
            <w:vAlign w:val="center"/>
          </w:tcPr>
          <w:p w14:paraId="7749457B">
            <w:pPr>
              <w:spacing w:line="320" w:lineRule="exact"/>
              <w:jc w:val="center"/>
              <w:rPr>
                <w:rFonts w:ascii="仿宋_GB2312" w:hAnsi="仿宋_GB2312" w:eastAsia="仿宋_GB2312" w:cs="仿宋_GB2312"/>
                <w:b/>
              </w:rPr>
            </w:pPr>
            <w:r>
              <w:rPr>
                <w:rFonts w:hint="eastAsia" w:ascii="仿宋_GB2312" w:hAnsi="仿宋_GB2312" w:eastAsia="仿宋_GB2312" w:cs="仿宋_GB2312"/>
                <w:b/>
              </w:rPr>
              <w:t>偏离简述</w:t>
            </w:r>
          </w:p>
          <w:p w14:paraId="3B76A652">
            <w:pPr>
              <w:spacing w:line="320" w:lineRule="exact"/>
              <w:jc w:val="center"/>
              <w:rPr>
                <w:rFonts w:ascii="仿宋_GB2312" w:hAnsi="仿宋_GB2312" w:eastAsia="仿宋_GB2312" w:cs="仿宋_GB2312"/>
                <w:b/>
              </w:rPr>
            </w:pPr>
            <w:r>
              <w:rPr>
                <w:rFonts w:hint="eastAsia" w:ascii="仿宋_GB2312" w:hAnsi="仿宋_GB2312" w:eastAsia="仿宋_GB2312" w:cs="仿宋_GB2312"/>
                <w:b/>
              </w:rPr>
              <w:t>或相关证明材料</w:t>
            </w:r>
          </w:p>
        </w:tc>
      </w:tr>
      <w:tr w14:paraId="09E5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14:paraId="55A55445">
            <w:pPr>
              <w:spacing w:line="440" w:lineRule="exact"/>
              <w:rPr>
                <w:rFonts w:ascii="仿宋_GB2312" w:hAnsi="仿宋_GB2312" w:eastAsia="仿宋_GB2312" w:cs="仿宋_GB2312"/>
              </w:rPr>
            </w:pPr>
            <w:r>
              <w:rPr>
                <w:rFonts w:hint="eastAsia" w:ascii="仿宋_GB2312" w:hAnsi="仿宋_GB2312" w:eastAsia="仿宋_GB2312" w:cs="仿宋_GB2312"/>
              </w:rPr>
              <w:t>1</w:t>
            </w:r>
          </w:p>
        </w:tc>
        <w:tc>
          <w:tcPr>
            <w:tcW w:w="1423" w:type="dxa"/>
            <w:vAlign w:val="center"/>
          </w:tcPr>
          <w:p w14:paraId="0FC17260">
            <w:pPr>
              <w:spacing w:line="440" w:lineRule="exact"/>
              <w:rPr>
                <w:rFonts w:ascii="仿宋_GB2312" w:hAnsi="仿宋_GB2312" w:eastAsia="仿宋_GB2312" w:cs="仿宋_GB2312"/>
              </w:rPr>
            </w:pPr>
          </w:p>
        </w:tc>
        <w:tc>
          <w:tcPr>
            <w:tcW w:w="2599" w:type="dxa"/>
            <w:vAlign w:val="center"/>
          </w:tcPr>
          <w:p w14:paraId="3A4A1DA6">
            <w:pPr>
              <w:spacing w:line="440" w:lineRule="exact"/>
              <w:rPr>
                <w:rFonts w:ascii="仿宋_GB2312" w:hAnsi="仿宋_GB2312" w:eastAsia="仿宋_GB2312" w:cs="仿宋_GB2312"/>
              </w:rPr>
            </w:pPr>
          </w:p>
        </w:tc>
        <w:tc>
          <w:tcPr>
            <w:tcW w:w="1375" w:type="dxa"/>
            <w:vAlign w:val="center"/>
          </w:tcPr>
          <w:p w14:paraId="0952EC8F">
            <w:pPr>
              <w:spacing w:line="440" w:lineRule="exact"/>
              <w:rPr>
                <w:rFonts w:ascii="仿宋_GB2312" w:hAnsi="仿宋_GB2312" w:eastAsia="仿宋_GB2312" w:cs="仿宋_GB2312"/>
              </w:rPr>
            </w:pPr>
          </w:p>
        </w:tc>
        <w:tc>
          <w:tcPr>
            <w:tcW w:w="2350" w:type="dxa"/>
            <w:vAlign w:val="center"/>
          </w:tcPr>
          <w:p w14:paraId="1FEF51C2">
            <w:pPr>
              <w:spacing w:line="440" w:lineRule="exact"/>
              <w:rPr>
                <w:rFonts w:ascii="仿宋_GB2312" w:hAnsi="仿宋_GB2312" w:eastAsia="仿宋_GB2312" w:cs="仿宋_GB2312"/>
              </w:rPr>
            </w:pPr>
          </w:p>
        </w:tc>
      </w:tr>
      <w:tr w14:paraId="2D44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14:paraId="6AFA70A9">
            <w:pPr>
              <w:spacing w:line="440" w:lineRule="exact"/>
              <w:rPr>
                <w:rFonts w:ascii="仿宋_GB2312" w:hAnsi="仿宋_GB2312" w:eastAsia="仿宋_GB2312" w:cs="仿宋_GB2312"/>
              </w:rPr>
            </w:pPr>
            <w:r>
              <w:rPr>
                <w:rFonts w:hint="eastAsia" w:ascii="仿宋_GB2312" w:hAnsi="仿宋_GB2312" w:eastAsia="仿宋_GB2312" w:cs="仿宋_GB2312"/>
              </w:rPr>
              <w:t>2</w:t>
            </w:r>
          </w:p>
        </w:tc>
        <w:tc>
          <w:tcPr>
            <w:tcW w:w="1423" w:type="dxa"/>
            <w:vAlign w:val="center"/>
          </w:tcPr>
          <w:p w14:paraId="35EB1BDB">
            <w:pPr>
              <w:spacing w:line="440" w:lineRule="exact"/>
              <w:rPr>
                <w:rFonts w:ascii="仿宋_GB2312" w:hAnsi="仿宋_GB2312" w:eastAsia="仿宋_GB2312" w:cs="仿宋_GB2312"/>
              </w:rPr>
            </w:pPr>
          </w:p>
        </w:tc>
        <w:tc>
          <w:tcPr>
            <w:tcW w:w="2599" w:type="dxa"/>
            <w:vAlign w:val="center"/>
          </w:tcPr>
          <w:p w14:paraId="340B4829">
            <w:pPr>
              <w:spacing w:line="440" w:lineRule="exact"/>
              <w:rPr>
                <w:rFonts w:ascii="仿宋_GB2312" w:hAnsi="仿宋_GB2312" w:eastAsia="仿宋_GB2312" w:cs="仿宋_GB2312"/>
              </w:rPr>
            </w:pPr>
          </w:p>
        </w:tc>
        <w:tc>
          <w:tcPr>
            <w:tcW w:w="1375" w:type="dxa"/>
            <w:vAlign w:val="center"/>
          </w:tcPr>
          <w:p w14:paraId="6346CA00">
            <w:pPr>
              <w:spacing w:line="440" w:lineRule="exact"/>
              <w:rPr>
                <w:rFonts w:ascii="仿宋_GB2312" w:hAnsi="仿宋_GB2312" w:eastAsia="仿宋_GB2312" w:cs="仿宋_GB2312"/>
              </w:rPr>
            </w:pPr>
          </w:p>
        </w:tc>
        <w:tc>
          <w:tcPr>
            <w:tcW w:w="2350" w:type="dxa"/>
            <w:vAlign w:val="center"/>
          </w:tcPr>
          <w:p w14:paraId="2560E93C">
            <w:pPr>
              <w:spacing w:line="440" w:lineRule="exact"/>
              <w:rPr>
                <w:rFonts w:ascii="仿宋_GB2312" w:hAnsi="仿宋_GB2312" w:eastAsia="仿宋_GB2312" w:cs="仿宋_GB2312"/>
              </w:rPr>
            </w:pPr>
          </w:p>
        </w:tc>
      </w:tr>
      <w:tr w14:paraId="4C5C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14:paraId="383A2AC1">
            <w:pPr>
              <w:spacing w:line="440" w:lineRule="exact"/>
              <w:rPr>
                <w:rFonts w:ascii="仿宋_GB2312" w:hAnsi="仿宋_GB2312" w:eastAsia="仿宋_GB2312" w:cs="仿宋_GB2312"/>
              </w:rPr>
            </w:pPr>
            <w:r>
              <w:rPr>
                <w:rFonts w:hint="eastAsia" w:ascii="仿宋_GB2312" w:hAnsi="仿宋_GB2312" w:eastAsia="仿宋_GB2312" w:cs="仿宋_GB2312"/>
              </w:rPr>
              <w:t>3</w:t>
            </w:r>
          </w:p>
        </w:tc>
        <w:tc>
          <w:tcPr>
            <w:tcW w:w="1423" w:type="dxa"/>
            <w:vAlign w:val="center"/>
          </w:tcPr>
          <w:p w14:paraId="7FD666F5">
            <w:pPr>
              <w:spacing w:line="440" w:lineRule="exact"/>
              <w:rPr>
                <w:rFonts w:ascii="仿宋_GB2312" w:hAnsi="仿宋_GB2312" w:eastAsia="仿宋_GB2312" w:cs="仿宋_GB2312"/>
              </w:rPr>
            </w:pPr>
          </w:p>
        </w:tc>
        <w:tc>
          <w:tcPr>
            <w:tcW w:w="2599" w:type="dxa"/>
            <w:vAlign w:val="center"/>
          </w:tcPr>
          <w:p w14:paraId="121CE4F1">
            <w:pPr>
              <w:spacing w:line="440" w:lineRule="exact"/>
              <w:rPr>
                <w:rFonts w:ascii="仿宋_GB2312" w:hAnsi="仿宋_GB2312" w:eastAsia="仿宋_GB2312" w:cs="仿宋_GB2312"/>
              </w:rPr>
            </w:pPr>
          </w:p>
        </w:tc>
        <w:tc>
          <w:tcPr>
            <w:tcW w:w="1375" w:type="dxa"/>
            <w:vAlign w:val="center"/>
          </w:tcPr>
          <w:p w14:paraId="02C40DA2">
            <w:pPr>
              <w:spacing w:line="440" w:lineRule="exact"/>
              <w:rPr>
                <w:rFonts w:ascii="仿宋_GB2312" w:hAnsi="仿宋_GB2312" w:eastAsia="仿宋_GB2312" w:cs="仿宋_GB2312"/>
              </w:rPr>
            </w:pPr>
          </w:p>
        </w:tc>
        <w:tc>
          <w:tcPr>
            <w:tcW w:w="2350" w:type="dxa"/>
            <w:vAlign w:val="center"/>
          </w:tcPr>
          <w:p w14:paraId="0F418D7E">
            <w:pPr>
              <w:spacing w:line="440" w:lineRule="exact"/>
              <w:rPr>
                <w:rFonts w:ascii="仿宋_GB2312" w:hAnsi="仿宋_GB2312" w:eastAsia="仿宋_GB2312" w:cs="仿宋_GB2312"/>
              </w:rPr>
            </w:pPr>
          </w:p>
        </w:tc>
      </w:tr>
      <w:tr w14:paraId="560E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14:paraId="0AE732A4">
            <w:pPr>
              <w:spacing w:line="440" w:lineRule="exact"/>
              <w:rPr>
                <w:rFonts w:ascii="仿宋_GB2312" w:hAnsi="仿宋_GB2312" w:eastAsia="仿宋_GB2312" w:cs="仿宋_GB2312"/>
              </w:rPr>
            </w:pPr>
          </w:p>
        </w:tc>
        <w:tc>
          <w:tcPr>
            <w:tcW w:w="1423" w:type="dxa"/>
            <w:vAlign w:val="center"/>
          </w:tcPr>
          <w:p w14:paraId="66009269">
            <w:pPr>
              <w:spacing w:line="440" w:lineRule="exact"/>
              <w:rPr>
                <w:rFonts w:ascii="仿宋_GB2312" w:hAnsi="仿宋_GB2312" w:eastAsia="仿宋_GB2312" w:cs="仿宋_GB2312"/>
              </w:rPr>
            </w:pPr>
          </w:p>
        </w:tc>
        <w:tc>
          <w:tcPr>
            <w:tcW w:w="2599" w:type="dxa"/>
            <w:vAlign w:val="center"/>
          </w:tcPr>
          <w:p w14:paraId="7F2FDD9E">
            <w:pPr>
              <w:spacing w:line="440" w:lineRule="exact"/>
              <w:rPr>
                <w:rFonts w:ascii="仿宋_GB2312" w:hAnsi="仿宋_GB2312" w:eastAsia="仿宋_GB2312" w:cs="仿宋_GB2312"/>
              </w:rPr>
            </w:pPr>
          </w:p>
        </w:tc>
        <w:tc>
          <w:tcPr>
            <w:tcW w:w="1375" w:type="dxa"/>
            <w:vAlign w:val="center"/>
          </w:tcPr>
          <w:p w14:paraId="2ABF999E">
            <w:pPr>
              <w:spacing w:line="440" w:lineRule="exact"/>
              <w:rPr>
                <w:rFonts w:ascii="仿宋_GB2312" w:hAnsi="仿宋_GB2312" w:eastAsia="仿宋_GB2312" w:cs="仿宋_GB2312"/>
              </w:rPr>
            </w:pPr>
          </w:p>
        </w:tc>
        <w:tc>
          <w:tcPr>
            <w:tcW w:w="2350" w:type="dxa"/>
            <w:vAlign w:val="center"/>
          </w:tcPr>
          <w:p w14:paraId="7DF00230">
            <w:pPr>
              <w:spacing w:line="440" w:lineRule="exact"/>
              <w:rPr>
                <w:rFonts w:ascii="仿宋_GB2312" w:hAnsi="仿宋_GB2312" w:eastAsia="仿宋_GB2312" w:cs="仿宋_GB2312"/>
              </w:rPr>
            </w:pPr>
          </w:p>
        </w:tc>
      </w:tr>
      <w:tr w14:paraId="6984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14:paraId="34AE4E32">
            <w:pPr>
              <w:spacing w:line="440" w:lineRule="exact"/>
              <w:rPr>
                <w:rFonts w:ascii="仿宋_GB2312" w:hAnsi="仿宋_GB2312" w:eastAsia="仿宋_GB2312" w:cs="仿宋_GB2312"/>
              </w:rPr>
            </w:pPr>
          </w:p>
        </w:tc>
        <w:tc>
          <w:tcPr>
            <w:tcW w:w="1423" w:type="dxa"/>
            <w:vAlign w:val="center"/>
          </w:tcPr>
          <w:p w14:paraId="5F903284">
            <w:pPr>
              <w:spacing w:line="440" w:lineRule="exact"/>
              <w:rPr>
                <w:rFonts w:ascii="仿宋_GB2312" w:hAnsi="仿宋_GB2312" w:eastAsia="仿宋_GB2312" w:cs="仿宋_GB2312"/>
              </w:rPr>
            </w:pPr>
          </w:p>
        </w:tc>
        <w:tc>
          <w:tcPr>
            <w:tcW w:w="2599" w:type="dxa"/>
            <w:vAlign w:val="center"/>
          </w:tcPr>
          <w:p w14:paraId="666ABB3B">
            <w:pPr>
              <w:spacing w:line="440" w:lineRule="exact"/>
              <w:rPr>
                <w:rFonts w:ascii="仿宋_GB2312" w:hAnsi="仿宋_GB2312" w:eastAsia="仿宋_GB2312" w:cs="仿宋_GB2312"/>
              </w:rPr>
            </w:pPr>
          </w:p>
        </w:tc>
        <w:tc>
          <w:tcPr>
            <w:tcW w:w="1375" w:type="dxa"/>
            <w:vAlign w:val="center"/>
          </w:tcPr>
          <w:p w14:paraId="0F85C565">
            <w:pPr>
              <w:spacing w:line="440" w:lineRule="exact"/>
              <w:rPr>
                <w:rFonts w:ascii="仿宋_GB2312" w:hAnsi="仿宋_GB2312" w:eastAsia="仿宋_GB2312" w:cs="仿宋_GB2312"/>
              </w:rPr>
            </w:pPr>
          </w:p>
        </w:tc>
        <w:tc>
          <w:tcPr>
            <w:tcW w:w="2350" w:type="dxa"/>
            <w:vAlign w:val="center"/>
          </w:tcPr>
          <w:p w14:paraId="6FE0F7E2">
            <w:pPr>
              <w:spacing w:line="440" w:lineRule="exact"/>
              <w:rPr>
                <w:rFonts w:ascii="仿宋_GB2312" w:hAnsi="仿宋_GB2312" w:eastAsia="仿宋_GB2312" w:cs="仿宋_GB2312"/>
              </w:rPr>
            </w:pPr>
          </w:p>
        </w:tc>
      </w:tr>
      <w:tr w14:paraId="5891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0" w:type="dxa"/>
            <w:vAlign w:val="center"/>
          </w:tcPr>
          <w:p w14:paraId="59A27F7A">
            <w:pPr>
              <w:spacing w:line="440" w:lineRule="exact"/>
              <w:rPr>
                <w:rFonts w:ascii="仿宋_GB2312" w:hAnsi="仿宋_GB2312" w:eastAsia="仿宋_GB2312" w:cs="仿宋_GB2312"/>
              </w:rPr>
            </w:pPr>
          </w:p>
        </w:tc>
        <w:tc>
          <w:tcPr>
            <w:tcW w:w="1423" w:type="dxa"/>
            <w:vAlign w:val="center"/>
          </w:tcPr>
          <w:p w14:paraId="210E9F4D">
            <w:pPr>
              <w:spacing w:line="440" w:lineRule="exact"/>
              <w:rPr>
                <w:rFonts w:ascii="仿宋_GB2312" w:hAnsi="仿宋_GB2312" w:eastAsia="仿宋_GB2312" w:cs="仿宋_GB2312"/>
              </w:rPr>
            </w:pPr>
          </w:p>
        </w:tc>
        <w:tc>
          <w:tcPr>
            <w:tcW w:w="2599" w:type="dxa"/>
            <w:vAlign w:val="center"/>
          </w:tcPr>
          <w:p w14:paraId="4F20D340">
            <w:pPr>
              <w:spacing w:line="440" w:lineRule="exact"/>
              <w:rPr>
                <w:rFonts w:ascii="仿宋_GB2312" w:hAnsi="仿宋_GB2312" w:eastAsia="仿宋_GB2312" w:cs="仿宋_GB2312"/>
              </w:rPr>
            </w:pPr>
          </w:p>
        </w:tc>
        <w:tc>
          <w:tcPr>
            <w:tcW w:w="1375" w:type="dxa"/>
            <w:vAlign w:val="center"/>
          </w:tcPr>
          <w:p w14:paraId="3B5B743C">
            <w:pPr>
              <w:spacing w:line="440" w:lineRule="exact"/>
              <w:rPr>
                <w:rFonts w:ascii="仿宋_GB2312" w:hAnsi="仿宋_GB2312" w:eastAsia="仿宋_GB2312" w:cs="仿宋_GB2312"/>
              </w:rPr>
            </w:pPr>
          </w:p>
        </w:tc>
        <w:tc>
          <w:tcPr>
            <w:tcW w:w="2350" w:type="dxa"/>
            <w:vAlign w:val="center"/>
          </w:tcPr>
          <w:p w14:paraId="60DBFB74">
            <w:pPr>
              <w:spacing w:line="440" w:lineRule="exact"/>
              <w:rPr>
                <w:rFonts w:ascii="仿宋_GB2312" w:hAnsi="仿宋_GB2312" w:eastAsia="仿宋_GB2312" w:cs="仿宋_GB2312"/>
              </w:rPr>
            </w:pPr>
          </w:p>
        </w:tc>
      </w:tr>
      <w:tr w14:paraId="2130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0" w:type="dxa"/>
            <w:vAlign w:val="center"/>
          </w:tcPr>
          <w:p w14:paraId="7FF733FD">
            <w:pPr>
              <w:spacing w:line="440" w:lineRule="exact"/>
              <w:rPr>
                <w:rFonts w:ascii="仿宋_GB2312" w:hAnsi="仿宋_GB2312" w:eastAsia="仿宋_GB2312" w:cs="仿宋_GB2312"/>
              </w:rPr>
            </w:pPr>
            <w:r>
              <w:rPr>
                <w:rFonts w:hint="eastAsia" w:ascii="仿宋_GB2312" w:hAnsi="仿宋_GB2312" w:eastAsia="仿宋_GB2312" w:cs="仿宋_GB2312"/>
              </w:rPr>
              <w:t>……</w:t>
            </w:r>
          </w:p>
        </w:tc>
        <w:tc>
          <w:tcPr>
            <w:tcW w:w="1423" w:type="dxa"/>
            <w:vAlign w:val="center"/>
          </w:tcPr>
          <w:p w14:paraId="7F5ECA76">
            <w:pPr>
              <w:spacing w:line="440" w:lineRule="exact"/>
              <w:rPr>
                <w:rFonts w:ascii="仿宋_GB2312" w:hAnsi="仿宋_GB2312" w:eastAsia="仿宋_GB2312" w:cs="仿宋_GB2312"/>
              </w:rPr>
            </w:pPr>
          </w:p>
        </w:tc>
        <w:tc>
          <w:tcPr>
            <w:tcW w:w="2599" w:type="dxa"/>
            <w:vAlign w:val="center"/>
          </w:tcPr>
          <w:p w14:paraId="4743DA79">
            <w:pPr>
              <w:spacing w:line="440" w:lineRule="exact"/>
              <w:rPr>
                <w:rFonts w:ascii="仿宋_GB2312" w:hAnsi="仿宋_GB2312" w:eastAsia="仿宋_GB2312" w:cs="仿宋_GB2312"/>
              </w:rPr>
            </w:pPr>
          </w:p>
        </w:tc>
        <w:tc>
          <w:tcPr>
            <w:tcW w:w="1375" w:type="dxa"/>
            <w:vAlign w:val="center"/>
          </w:tcPr>
          <w:p w14:paraId="2ACB2560">
            <w:pPr>
              <w:spacing w:line="440" w:lineRule="exact"/>
              <w:rPr>
                <w:rFonts w:ascii="仿宋_GB2312" w:hAnsi="仿宋_GB2312" w:eastAsia="仿宋_GB2312" w:cs="仿宋_GB2312"/>
              </w:rPr>
            </w:pPr>
          </w:p>
        </w:tc>
        <w:tc>
          <w:tcPr>
            <w:tcW w:w="2350" w:type="dxa"/>
            <w:vAlign w:val="center"/>
          </w:tcPr>
          <w:p w14:paraId="61204B78">
            <w:pPr>
              <w:spacing w:line="440" w:lineRule="exact"/>
              <w:rPr>
                <w:rFonts w:ascii="仿宋_GB2312" w:hAnsi="仿宋_GB2312" w:eastAsia="仿宋_GB2312" w:cs="仿宋_GB2312"/>
              </w:rPr>
            </w:pPr>
          </w:p>
        </w:tc>
      </w:tr>
    </w:tbl>
    <w:p w14:paraId="33C4A6F1">
      <w:pPr>
        <w:tabs>
          <w:tab w:val="right" w:pos="9070"/>
        </w:tabs>
        <w:spacing w:line="240" w:lineRule="auto"/>
        <w:ind w:firstLine="486" w:firstLineChars="200"/>
        <w:rPr>
          <w:rFonts w:ascii="仿宋_GB2312" w:hAnsi="仿宋_GB2312" w:eastAsia="仿宋_GB2312" w:cs="仿宋_GB2312"/>
          <w:sz w:val="24"/>
          <w:szCs w:val="24"/>
        </w:rPr>
      </w:pPr>
      <w:bookmarkStart w:id="408" w:name="_Toc9021_WPSOffice_Level1"/>
      <w:bookmarkStart w:id="409" w:name="_Toc31624_WPSOffice_Level1"/>
      <w:bookmarkStart w:id="410" w:name="_Toc5795_WPSOffice_Level1"/>
      <w:r>
        <w:rPr>
          <w:rFonts w:hint="eastAsia" w:ascii="仿宋_GB2312" w:hAnsi="仿宋_GB2312" w:eastAsia="仿宋_GB2312" w:cs="仿宋_GB2312"/>
          <w:sz w:val="24"/>
          <w:szCs w:val="24"/>
        </w:rPr>
        <w:t>备注：填写此表时以第三章“磋商内容及采购要求”各条款为基本响应要求，满足磋商文件要求的，“偏离程度”注明“0”，无需填写“偏离简述”项。超出、不满足磋商文件要求的，列出“＋”、“－”偏差，并在“偏离简述”项做出详细说明；如果加“★”内容的“响应条款”或“偏离程度”项未填写，将视为该项指标未响应，投标无效。</w:t>
      </w:r>
    </w:p>
    <w:p w14:paraId="2B5BA477">
      <w:pPr>
        <w:spacing w:line="240" w:lineRule="auto"/>
        <w:ind w:firstLine="426" w:firstLineChars="200"/>
        <w:rPr>
          <w:rFonts w:ascii="宋体" w:hAnsi="宋体" w:eastAsia="宋体" w:cs="宋体"/>
          <w:sz w:val="21"/>
          <w:szCs w:val="21"/>
        </w:rPr>
      </w:pPr>
    </w:p>
    <w:p w14:paraId="521E1968">
      <w:pPr>
        <w:spacing w:line="500" w:lineRule="exact"/>
        <w:ind w:firstLine="566" w:firstLineChars="200"/>
      </w:pPr>
    </w:p>
    <w:p w14:paraId="1374656D">
      <w:pPr>
        <w:spacing w:line="500" w:lineRule="exact"/>
        <w:ind w:firstLine="5094" w:firstLineChars="1800"/>
        <w:rPr>
          <w:rFonts w:ascii="仿宋_GB2312" w:hAnsi="仿宋_GB2312" w:eastAsia="仿宋_GB2312" w:cs="仿宋_GB2312"/>
        </w:rPr>
      </w:pPr>
      <w:r>
        <w:rPr>
          <w:rFonts w:hint="eastAsia" w:ascii="仿宋_GB2312" w:hAnsi="仿宋_GB2312" w:eastAsia="仿宋_GB2312" w:cs="仿宋_GB2312"/>
        </w:rPr>
        <w:t>供应商：</w:t>
      </w:r>
      <w:r>
        <w:rPr>
          <w:rFonts w:hint="eastAsia" w:ascii="仿宋_GB2312" w:hAnsi="仿宋_GB2312" w:eastAsia="仿宋_GB2312" w:cs="仿宋_GB2312"/>
          <w:u w:val="single"/>
        </w:rPr>
        <w:t>名称</w:t>
      </w:r>
      <w:r>
        <w:rPr>
          <w:rFonts w:hint="eastAsia" w:ascii="仿宋_GB2312" w:hAnsi="仿宋_GB2312" w:eastAsia="仿宋_GB2312" w:cs="仿宋_GB2312"/>
        </w:rPr>
        <w:t>（加盖公章）</w:t>
      </w:r>
    </w:p>
    <w:p w14:paraId="02B881BF">
      <w:pPr>
        <w:tabs>
          <w:tab w:val="right" w:pos="9070"/>
        </w:tabs>
        <w:spacing w:line="500" w:lineRule="exact"/>
        <w:ind w:firstLine="5094" w:firstLineChars="1800"/>
        <w:rPr>
          <w:rFonts w:ascii="仿宋_GB2312" w:hAnsi="仿宋_GB2312" w:eastAsia="仿宋_GB2312" w:cs="仿宋_GB2312"/>
          <w:bCs/>
        </w:rPr>
      </w:pPr>
      <w:r>
        <w:rPr>
          <w:rFonts w:hint="eastAsia" w:ascii="仿宋_GB2312" w:hAnsi="仿宋_GB2312" w:eastAsia="仿宋_GB2312" w:cs="仿宋_GB2312"/>
        </w:rPr>
        <w:t>日期：　　年　月　日</w:t>
      </w:r>
      <w:r>
        <w:rPr>
          <w:rFonts w:hint="eastAsia" w:ascii="仿宋_GB2312" w:hAnsi="仿宋_GB2312" w:eastAsia="仿宋_GB2312" w:cs="仿宋_GB2312"/>
          <w:bCs/>
        </w:rPr>
        <w:tab/>
      </w:r>
    </w:p>
    <w:p w14:paraId="0B517B30">
      <w:pPr>
        <w:tabs>
          <w:tab w:val="right" w:pos="9070"/>
        </w:tabs>
        <w:spacing w:line="500" w:lineRule="exact"/>
        <w:ind w:firstLine="566" w:firstLineChars="200"/>
        <w:rPr>
          <w:rFonts w:ascii="仿宋" w:hAnsi="仿宋" w:eastAsia="仿宋"/>
          <w:bCs/>
        </w:rPr>
      </w:pPr>
    </w:p>
    <w:p w14:paraId="44BCE289">
      <w:pPr>
        <w:spacing w:line="240" w:lineRule="auto"/>
        <w:jc w:val="left"/>
        <w:rPr>
          <w:rFonts w:ascii="仿宋" w:hAnsi="仿宋" w:eastAsia="仿宋" w:cs="仿宋"/>
          <w:b/>
          <w:sz w:val="32"/>
          <w:szCs w:val="32"/>
        </w:rPr>
      </w:pPr>
    </w:p>
    <w:p w14:paraId="369AAD92">
      <w:pPr>
        <w:spacing w:line="240" w:lineRule="auto"/>
        <w:jc w:val="left"/>
        <w:rPr>
          <w:rFonts w:ascii="仿宋" w:hAnsi="仿宋" w:eastAsia="仿宋" w:cs="仿宋"/>
          <w:b/>
          <w:sz w:val="32"/>
          <w:szCs w:val="32"/>
        </w:rPr>
      </w:pPr>
    </w:p>
    <w:p w14:paraId="32259ADB">
      <w:pPr>
        <w:spacing w:line="240" w:lineRule="auto"/>
        <w:jc w:val="left"/>
        <w:rPr>
          <w:rFonts w:ascii="仿宋" w:hAnsi="仿宋" w:eastAsia="仿宋" w:cs="仿宋"/>
          <w:b/>
          <w:sz w:val="32"/>
          <w:szCs w:val="32"/>
        </w:rPr>
      </w:pPr>
    </w:p>
    <w:p w14:paraId="60DBAF5D">
      <w:pPr>
        <w:spacing w:line="240" w:lineRule="auto"/>
        <w:jc w:val="left"/>
        <w:rPr>
          <w:rFonts w:ascii="仿宋" w:hAnsi="仿宋" w:eastAsia="仿宋" w:cs="仿宋"/>
          <w:b/>
          <w:sz w:val="32"/>
          <w:szCs w:val="32"/>
        </w:rPr>
      </w:pPr>
    </w:p>
    <w:p w14:paraId="2E681329">
      <w:r>
        <w:rPr>
          <w:rFonts w:ascii="仿宋" w:hAnsi="仿宋" w:eastAsia="仿宋" w:cs="仿宋"/>
          <w:b/>
          <w:sz w:val="32"/>
          <w:szCs w:val="32"/>
        </w:rPr>
        <w:br w:type="page"/>
      </w:r>
    </w:p>
    <w:p w14:paraId="36957C07">
      <w:pPr>
        <w:spacing w:line="240" w:lineRule="auto"/>
        <w:jc w:val="left"/>
        <w:rPr>
          <w:rFonts w:ascii="仿宋_GB2312" w:hAnsi="仿宋_GB2312" w:eastAsia="仿宋_GB2312" w:cs="仿宋_GB2312"/>
          <w:bCs/>
          <w:sz w:val="32"/>
          <w:szCs w:val="32"/>
        </w:rPr>
      </w:pPr>
      <w:r>
        <w:rPr>
          <w:rFonts w:hint="eastAsia" w:ascii="仿宋_GB2312" w:hAnsi="仿宋_GB2312" w:eastAsia="仿宋_GB2312" w:cs="仿宋_GB2312"/>
          <w:b/>
          <w:sz w:val="32"/>
          <w:szCs w:val="32"/>
        </w:rPr>
        <w:t>五、合同草案条款响应</w:t>
      </w:r>
    </w:p>
    <w:p w14:paraId="68F51B5B">
      <w:pPr>
        <w:spacing w:line="500" w:lineRule="exact"/>
        <w:ind w:firstLine="566" w:firstLineChars="200"/>
        <w:rPr>
          <w:rFonts w:ascii="仿宋_GB2312" w:hAnsi="仿宋_GB2312" w:eastAsia="仿宋_GB2312" w:cs="仿宋_GB2312"/>
          <w:bCs/>
        </w:rPr>
      </w:pPr>
      <w:r>
        <w:rPr>
          <w:rFonts w:hint="eastAsia" w:ascii="仿宋_GB2312" w:hAnsi="仿宋_GB2312" w:eastAsia="仿宋_GB2312" w:cs="仿宋_GB2312"/>
          <w:bCs/>
        </w:rPr>
        <w:t>完全理解并接受磋商文件中“合同草案条款”要求。</w:t>
      </w:r>
    </w:p>
    <w:p w14:paraId="12D1B8A4">
      <w:pPr>
        <w:pStyle w:val="20"/>
        <w:ind w:firstLine="283"/>
        <w:rPr>
          <w:rFonts w:ascii="仿宋_GB2312" w:hAnsi="仿宋_GB2312" w:eastAsia="仿宋_GB2312" w:cs="仿宋_GB2312"/>
          <w:sz w:val="28"/>
          <w:szCs w:val="28"/>
        </w:rPr>
      </w:pPr>
    </w:p>
    <w:p w14:paraId="5A088A83">
      <w:pPr>
        <w:pStyle w:val="20"/>
        <w:ind w:firstLine="283"/>
        <w:rPr>
          <w:rFonts w:ascii="仿宋_GB2312" w:hAnsi="仿宋_GB2312" w:eastAsia="仿宋_GB2312" w:cs="仿宋_GB2312"/>
          <w:sz w:val="28"/>
          <w:szCs w:val="28"/>
        </w:rPr>
      </w:pPr>
    </w:p>
    <w:p w14:paraId="3DB54F65">
      <w:pPr>
        <w:pStyle w:val="20"/>
        <w:ind w:firstLine="283"/>
        <w:jc w:val="right"/>
        <w:rPr>
          <w:rFonts w:ascii="仿宋_GB2312" w:hAnsi="仿宋_GB2312" w:eastAsia="仿宋_GB2312" w:cs="仿宋_GB2312"/>
          <w:sz w:val="28"/>
          <w:szCs w:val="28"/>
        </w:rPr>
      </w:pPr>
    </w:p>
    <w:p w14:paraId="48C7B5D2">
      <w:pPr>
        <w:spacing w:line="500" w:lineRule="exact"/>
        <w:jc w:val="right"/>
        <w:rPr>
          <w:rFonts w:ascii="仿宋_GB2312" w:hAnsi="仿宋_GB2312" w:eastAsia="仿宋_GB2312" w:cs="仿宋_GB2312"/>
        </w:rPr>
      </w:pPr>
      <w:r>
        <w:rPr>
          <w:rFonts w:hint="eastAsia" w:ascii="仿宋_GB2312" w:hAnsi="仿宋_GB2312" w:eastAsia="仿宋_GB2312" w:cs="仿宋_GB2312"/>
        </w:rPr>
        <w:t>供应商：</w:t>
      </w:r>
      <w:r>
        <w:rPr>
          <w:rFonts w:hint="eastAsia" w:ascii="仿宋_GB2312" w:hAnsi="仿宋_GB2312" w:eastAsia="仿宋_GB2312" w:cs="仿宋_GB2312"/>
          <w:u w:val="single"/>
        </w:rPr>
        <w:t>名称</w:t>
      </w:r>
      <w:r>
        <w:rPr>
          <w:rFonts w:hint="eastAsia" w:ascii="仿宋_GB2312" w:hAnsi="仿宋_GB2312" w:eastAsia="仿宋_GB2312" w:cs="仿宋_GB2312"/>
        </w:rPr>
        <w:t>（加盖公章）</w:t>
      </w:r>
    </w:p>
    <w:p w14:paraId="1A934CBC">
      <w:pPr>
        <w:tabs>
          <w:tab w:val="right" w:pos="9070"/>
        </w:tabs>
        <w:wordWrap w:val="0"/>
        <w:spacing w:line="500" w:lineRule="exact"/>
        <w:jc w:val="right"/>
        <w:rPr>
          <w:rFonts w:ascii="仿宋_GB2312" w:hAnsi="仿宋_GB2312" w:eastAsia="仿宋_GB2312" w:cs="仿宋_GB2312"/>
          <w:bCs/>
        </w:rPr>
      </w:pPr>
      <w:r>
        <w:rPr>
          <w:rFonts w:hint="eastAsia" w:ascii="仿宋_GB2312" w:hAnsi="仿宋_GB2312" w:eastAsia="仿宋_GB2312" w:cs="仿宋_GB2312"/>
        </w:rPr>
        <w:t xml:space="preserve">日期：　　年　月　日  </w:t>
      </w:r>
    </w:p>
    <w:p w14:paraId="1C2BBDE5">
      <w:pPr>
        <w:pStyle w:val="20"/>
        <w:ind w:firstLine="183"/>
      </w:pPr>
    </w:p>
    <w:p w14:paraId="17DB0C6B">
      <w:pPr>
        <w:pStyle w:val="20"/>
        <w:ind w:firstLine="183"/>
      </w:pPr>
    </w:p>
    <w:p w14:paraId="0280ED04">
      <w:pPr>
        <w:pStyle w:val="20"/>
        <w:ind w:firstLine="183"/>
      </w:pPr>
    </w:p>
    <w:p w14:paraId="66E5FF48">
      <w:pPr>
        <w:pStyle w:val="20"/>
        <w:ind w:firstLine="183"/>
      </w:pPr>
    </w:p>
    <w:p w14:paraId="32F85BD8">
      <w:pPr>
        <w:pStyle w:val="20"/>
        <w:ind w:firstLine="183"/>
      </w:pPr>
    </w:p>
    <w:p w14:paraId="38394B39">
      <w:pPr>
        <w:pStyle w:val="20"/>
        <w:ind w:firstLine="183"/>
      </w:pPr>
    </w:p>
    <w:p w14:paraId="10F28323">
      <w:pPr>
        <w:pStyle w:val="20"/>
        <w:ind w:firstLine="183"/>
      </w:pPr>
    </w:p>
    <w:p w14:paraId="1727DFDA">
      <w:pPr>
        <w:pStyle w:val="20"/>
        <w:ind w:firstLine="183"/>
      </w:pPr>
    </w:p>
    <w:p w14:paraId="43EADEC4">
      <w:pPr>
        <w:pStyle w:val="20"/>
        <w:ind w:firstLine="183"/>
      </w:pPr>
    </w:p>
    <w:p w14:paraId="71225974">
      <w:pPr>
        <w:pStyle w:val="20"/>
        <w:ind w:firstLine="183"/>
      </w:pPr>
    </w:p>
    <w:p w14:paraId="10476721">
      <w:pPr>
        <w:pStyle w:val="20"/>
        <w:ind w:firstLine="183"/>
      </w:pPr>
    </w:p>
    <w:p w14:paraId="6B78BCE2">
      <w:pPr>
        <w:pStyle w:val="20"/>
        <w:ind w:firstLine="183"/>
      </w:pPr>
    </w:p>
    <w:p w14:paraId="0E7797B7">
      <w:pPr>
        <w:pStyle w:val="20"/>
        <w:ind w:firstLine="183"/>
      </w:pPr>
    </w:p>
    <w:p w14:paraId="7CD85E38">
      <w:pPr>
        <w:pStyle w:val="20"/>
        <w:ind w:firstLine="183"/>
      </w:pPr>
    </w:p>
    <w:p w14:paraId="7A7CC7E7">
      <w:pPr>
        <w:pStyle w:val="20"/>
        <w:ind w:firstLine="183"/>
      </w:pPr>
    </w:p>
    <w:p w14:paraId="28FDB4DB">
      <w:pPr>
        <w:pStyle w:val="20"/>
        <w:ind w:firstLine="183"/>
      </w:pPr>
    </w:p>
    <w:p w14:paraId="1DE6970B">
      <w:pPr>
        <w:pStyle w:val="20"/>
        <w:ind w:firstLine="183"/>
      </w:pPr>
    </w:p>
    <w:p w14:paraId="4F492E3F">
      <w:pPr>
        <w:pStyle w:val="20"/>
        <w:ind w:firstLine="183"/>
      </w:pPr>
    </w:p>
    <w:p w14:paraId="16861E9D">
      <w:r>
        <w:br w:type="page"/>
      </w:r>
    </w:p>
    <w:p w14:paraId="1617CB5B">
      <w:pPr>
        <w:pStyle w:val="42"/>
        <w:spacing w:line="500" w:lineRule="exact"/>
        <w:rPr>
          <w:rFonts w:ascii="黑体" w:hAnsi="黑体" w:eastAsia="黑体"/>
          <w:b w:val="0"/>
        </w:rPr>
      </w:pPr>
      <w:bookmarkStart w:id="411" w:name="_Toc19912"/>
      <w:bookmarkStart w:id="412" w:name="_Toc17248"/>
      <w:bookmarkStart w:id="413" w:name="_Toc28832"/>
      <w:bookmarkStart w:id="414" w:name="_Toc30940"/>
      <w:r>
        <w:rPr>
          <w:rStyle w:val="43"/>
          <w:rFonts w:hint="eastAsia" w:ascii="黑体" w:hAnsi="黑体" w:eastAsia="黑体"/>
          <w:b w:val="0"/>
          <w:bCs w:val="0"/>
          <w:color w:val="auto"/>
          <w:sz w:val="32"/>
          <w:szCs w:val="40"/>
        </w:rPr>
        <w:t>第三部分  响应方案</w:t>
      </w:r>
      <w:bookmarkEnd w:id="408"/>
      <w:bookmarkEnd w:id="409"/>
      <w:bookmarkEnd w:id="410"/>
      <w:bookmarkEnd w:id="411"/>
      <w:bookmarkEnd w:id="412"/>
      <w:bookmarkEnd w:id="413"/>
      <w:bookmarkEnd w:id="414"/>
    </w:p>
    <w:p w14:paraId="023B4FC8">
      <w:pPr>
        <w:pStyle w:val="42"/>
        <w:spacing w:before="190" w:beforeLines="50" w:after="190" w:afterLines="50" w:line="500" w:lineRule="exact"/>
        <w:jc w:val="both"/>
        <w:rPr>
          <w:rFonts w:ascii="仿宋_GB2312" w:hAnsi="仿宋_GB2312" w:eastAsia="仿宋_GB2312" w:cs="仿宋_GB2312"/>
          <w:bCs w:val="0"/>
        </w:rPr>
      </w:pPr>
      <w:bookmarkStart w:id="415" w:name="_Toc29975_WPSOffice_Level2"/>
      <w:bookmarkStart w:id="416" w:name="_Toc27817"/>
      <w:bookmarkStart w:id="417" w:name="_Toc15660_WPSOffice_Level2"/>
      <w:bookmarkStart w:id="418" w:name="_Toc17062_WPSOffice_Level2"/>
      <w:bookmarkStart w:id="419" w:name="_Toc11555"/>
      <w:bookmarkStart w:id="420" w:name="_Toc9337_WPSOffice_Level2"/>
      <w:bookmarkStart w:id="421" w:name="_Toc9079"/>
      <w:bookmarkStart w:id="422" w:name="_Toc1481"/>
      <w:bookmarkStart w:id="423" w:name="_Toc11401"/>
      <w:r>
        <w:rPr>
          <w:rFonts w:hint="eastAsia" w:ascii="仿宋_GB2312" w:hAnsi="仿宋_GB2312" w:eastAsia="仿宋_GB2312" w:cs="仿宋_GB2312"/>
          <w:bCs w:val="0"/>
        </w:rPr>
        <w:t>一、供应商</w:t>
      </w:r>
      <w:bookmarkEnd w:id="415"/>
      <w:bookmarkEnd w:id="416"/>
      <w:bookmarkEnd w:id="417"/>
      <w:bookmarkEnd w:id="418"/>
      <w:bookmarkEnd w:id="419"/>
      <w:bookmarkEnd w:id="420"/>
      <w:bookmarkEnd w:id="421"/>
      <w:bookmarkEnd w:id="422"/>
      <w:bookmarkEnd w:id="423"/>
      <w:r>
        <w:rPr>
          <w:rFonts w:hint="eastAsia" w:ascii="仿宋_GB2312" w:hAnsi="仿宋_GB2312" w:eastAsia="仿宋_GB2312" w:cs="仿宋_GB2312"/>
          <w:bCs w:val="0"/>
        </w:rPr>
        <w:t>基本情况及其性质</w:t>
      </w:r>
    </w:p>
    <w:p w14:paraId="46286B68">
      <w:pPr>
        <w:spacing w:line="500" w:lineRule="exact"/>
        <w:ind w:firstLine="566" w:firstLineChars="200"/>
        <w:rPr>
          <w:rFonts w:ascii="仿宋" w:hAnsi="仿宋" w:eastAsia="仿宋" w:cs="仿宋"/>
          <w:b/>
        </w:rPr>
      </w:pPr>
      <w:bookmarkStart w:id="424" w:name="_Toc27223_WPSOffice_Level3"/>
      <w:r>
        <w:rPr>
          <w:rFonts w:hint="eastAsia"/>
          <w:b/>
        </w:rPr>
        <w:t>（</w:t>
      </w:r>
      <w:r>
        <w:rPr>
          <w:b/>
        </w:rPr>
        <w:t>一</w:t>
      </w:r>
      <w:r>
        <w:rPr>
          <w:rFonts w:hint="eastAsia"/>
          <w:b/>
        </w:rPr>
        <w:t>）供应</w:t>
      </w:r>
      <w:r>
        <w:rPr>
          <w:b/>
        </w:rPr>
        <w:t>商基本信息</w:t>
      </w:r>
      <w:bookmarkEnd w:id="424"/>
    </w:p>
    <w:tbl>
      <w:tblPr>
        <w:tblStyle w:val="2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239"/>
        <w:gridCol w:w="1770"/>
        <w:gridCol w:w="1395"/>
        <w:gridCol w:w="1692"/>
        <w:gridCol w:w="1398"/>
      </w:tblGrid>
      <w:tr w14:paraId="124C37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0617C469">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单位基本情况</w:t>
            </w:r>
          </w:p>
        </w:tc>
      </w:tr>
      <w:tr w14:paraId="57B51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038D0F6C">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供应商全称</w:t>
            </w:r>
          </w:p>
        </w:tc>
        <w:tc>
          <w:tcPr>
            <w:tcW w:w="7494" w:type="dxa"/>
            <w:gridSpan w:val="5"/>
            <w:tcBorders>
              <w:top w:val="single" w:color="auto" w:sz="6" w:space="0"/>
              <w:bottom w:val="single" w:color="auto" w:sz="6" w:space="0"/>
              <w:right w:val="single" w:color="auto" w:sz="12" w:space="0"/>
            </w:tcBorders>
            <w:vAlign w:val="center"/>
          </w:tcPr>
          <w:p w14:paraId="1E8FB223">
            <w:pPr>
              <w:autoSpaceDE w:val="0"/>
              <w:autoSpaceDN w:val="0"/>
              <w:adjustRightInd w:val="0"/>
              <w:spacing w:line="320" w:lineRule="exact"/>
              <w:jc w:val="center"/>
              <w:rPr>
                <w:rFonts w:ascii="仿宋_GB2312" w:hAnsi="仿宋_GB2312" w:eastAsia="仿宋_GB2312" w:cs="仿宋_GB2312"/>
                <w:kern w:val="0"/>
                <w:sz w:val="24"/>
                <w:szCs w:val="24"/>
              </w:rPr>
            </w:pPr>
          </w:p>
        </w:tc>
      </w:tr>
      <w:tr w14:paraId="79A282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51A14BE2">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注册地址</w:t>
            </w:r>
          </w:p>
        </w:tc>
        <w:tc>
          <w:tcPr>
            <w:tcW w:w="3009" w:type="dxa"/>
            <w:gridSpan w:val="2"/>
            <w:tcBorders>
              <w:top w:val="single" w:color="auto" w:sz="6" w:space="0"/>
            </w:tcBorders>
            <w:vAlign w:val="center"/>
          </w:tcPr>
          <w:p w14:paraId="73349641">
            <w:pPr>
              <w:autoSpaceDE w:val="0"/>
              <w:autoSpaceDN w:val="0"/>
              <w:adjustRightInd w:val="0"/>
              <w:spacing w:line="320" w:lineRule="exact"/>
              <w:jc w:val="center"/>
              <w:rPr>
                <w:rFonts w:ascii="仿宋_GB2312" w:hAnsi="仿宋_GB2312" w:eastAsia="仿宋_GB2312" w:cs="仿宋_GB2312"/>
                <w:kern w:val="0"/>
                <w:sz w:val="24"/>
                <w:szCs w:val="24"/>
              </w:rPr>
            </w:pPr>
          </w:p>
        </w:tc>
        <w:tc>
          <w:tcPr>
            <w:tcW w:w="1395" w:type="dxa"/>
            <w:tcBorders>
              <w:top w:val="single" w:color="auto" w:sz="6" w:space="0"/>
            </w:tcBorders>
            <w:vAlign w:val="center"/>
          </w:tcPr>
          <w:p w14:paraId="6F4ADA09">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成立时间</w:t>
            </w:r>
          </w:p>
        </w:tc>
        <w:tc>
          <w:tcPr>
            <w:tcW w:w="3090" w:type="dxa"/>
            <w:gridSpan w:val="2"/>
            <w:tcBorders>
              <w:top w:val="single" w:color="auto" w:sz="6" w:space="0"/>
              <w:right w:val="single" w:color="auto" w:sz="12" w:space="0"/>
            </w:tcBorders>
            <w:vAlign w:val="center"/>
          </w:tcPr>
          <w:p w14:paraId="41C7EDAF">
            <w:pPr>
              <w:autoSpaceDE w:val="0"/>
              <w:autoSpaceDN w:val="0"/>
              <w:adjustRightInd w:val="0"/>
              <w:spacing w:line="320" w:lineRule="exact"/>
              <w:jc w:val="center"/>
              <w:rPr>
                <w:rFonts w:ascii="仿宋_GB2312" w:hAnsi="仿宋_GB2312" w:eastAsia="仿宋_GB2312" w:cs="仿宋_GB2312"/>
                <w:kern w:val="0"/>
                <w:sz w:val="24"/>
                <w:szCs w:val="24"/>
              </w:rPr>
            </w:pPr>
          </w:p>
        </w:tc>
      </w:tr>
      <w:tr w14:paraId="5918DD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30798AF4">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登记证号</w:t>
            </w:r>
          </w:p>
        </w:tc>
        <w:tc>
          <w:tcPr>
            <w:tcW w:w="3009" w:type="dxa"/>
            <w:gridSpan w:val="2"/>
            <w:vAlign w:val="center"/>
          </w:tcPr>
          <w:p w14:paraId="3568DC85">
            <w:pPr>
              <w:autoSpaceDE w:val="0"/>
              <w:autoSpaceDN w:val="0"/>
              <w:adjustRightInd w:val="0"/>
              <w:spacing w:line="320" w:lineRule="exact"/>
              <w:jc w:val="center"/>
              <w:rPr>
                <w:rFonts w:ascii="仿宋_GB2312" w:hAnsi="仿宋_GB2312" w:eastAsia="仿宋_GB2312" w:cs="仿宋_GB2312"/>
                <w:kern w:val="0"/>
                <w:sz w:val="24"/>
                <w:szCs w:val="24"/>
              </w:rPr>
            </w:pPr>
          </w:p>
        </w:tc>
        <w:tc>
          <w:tcPr>
            <w:tcW w:w="1395" w:type="dxa"/>
            <w:vAlign w:val="center"/>
          </w:tcPr>
          <w:p w14:paraId="069B054A">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单位性质</w:t>
            </w:r>
          </w:p>
        </w:tc>
        <w:tc>
          <w:tcPr>
            <w:tcW w:w="3090" w:type="dxa"/>
            <w:gridSpan w:val="2"/>
            <w:tcBorders>
              <w:right w:val="single" w:color="auto" w:sz="12" w:space="0"/>
            </w:tcBorders>
            <w:vAlign w:val="center"/>
          </w:tcPr>
          <w:p w14:paraId="16AD86ED">
            <w:pPr>
              <w:autoSpaceDE w:val="0"/>
              <w:autoSpaceDN w:val="0"/>
              <w:adjustRightInd w:val="0"/>
              <w:spacing w:line="320" w:lineRule="exact"/>
              <w:jc w:val="center"/>
              <w:rPr>
                <w:rFonts w:ascii="仿宋_GB2312" w:hAnsi="仿宋_GB2312" w:eastAsia="仿宋_GB2312" w:cs="仿宋_GB2312"/>
                <w:kern w:val="0"/>
                <w:sz w:val="24"/>
                <w:szCs w:val="24"/>
              </w:rPr>
            </w:pPr>
          </w:p>
        </w:tc>
      </w:tr>
      <w:tr w14:paraId="63F5F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1056D854">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w:t>
            </w:r>
          </w:p>
          <w:p w14:paraId="5EEA18FF">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(主要负责人)</w:t>
            </w:r>
          </w:p>
        </w:tc>
        <w:tc>
          <w:tcPr>
            <w:tcW w:w="3009" w:type="dxa"/>
            <w:gridSpan w:val="2"/>
            <w:vAlign w:val="center"/>
          </w:tcPr>
          <w:p w14:paraId="592EA13A">
            <w:pPr>
              <w:autoSpaceDE w:val="0"/>
              <w:autoSpaceDN w:val="0"/>
              <w:adjustRightInd w:val="0"/>
              <w:spacing w:line="320" w:lineRule="exact"/>
              <w:jc w:val="center"/>
              <w:rPr>
                <w:rFonts w:ascii="仿宋_GB2312" w:hAnsi="仿宋_GB2312" w:eastAsia="仿宋_GB2312" w:cs="仿宋_GB2312"/>
                <w:kern w:val="0"/>
                <w:sz w:val="24"/>
                <w:szCs w:val="24"/>
              </w:rPr>
            </w:pPr>
          </w:p>
        </w:tc>
        <w:tc>
          <w:tcPr>
            <w:tcW w:w="1395" w:type="dxa"/>
            <w:vAlign w:val="center"/>
          </w:tcPr>
          <w:p w14:paraId="505804EE">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所属行业</w:t>
            </w:r>
          </w:p>
        </w:tc>
        <w:tc>
          <w:tcPr>
            <w:tcW w:w="3090" w:type="dxa"/>
            <w:gridSpan w:val="2"/>
            <w:tcBorders>
              <w:right w:val="single" w:color="auto" w:sz="12" w:space="0"/>
            </w:tcBorders>
            <w:vAlign w:val="center"/>
          </w:tcPr>
          <w:p w14:paraId="7FD5DCE5">
            <w:pPr>
              <w:autoSpaceDE w:val="0"/>
              <w:autoSpaceDN w:val="0"/>
              <w:adjustRightInd w:val="0"/>
              <w:spacing w:line="320" w:lineRule="exact"/>
              <w:jc w:val="center"/>
              <w:rPr>
                <w:rFonts w:ascii="仿宋_GB2312" w:hAnsi="仿宋_GB2312" w:eastAsia="仿宋_GB2312" w:cs="仿宋_GB2312"/>
                <w:kern w:val="0"/>
                <w:sz w:val="24"/>
                <w:szCs w:val="24"/>
              </w:rPr>
            </w:pPr>
          </w:p>
        </w:tc>
      </w:tr>
      <w:tr w14:paraId="7DB180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736189A6">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上年度</w:t>
            </w:r>
          </w:p>
          <w:p w14:paraId="7D306EDC">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营业收入</w:t>
            </w:r>
          </w:p>
        </w:tc>
        <w:tc>
          <w:tcPr>
            <w:tcW w:w="3009" w:type="dxa"/>
            <w:gridSpan w:val="2"/>
            <w:vAlign w:val="center"/>
          </w:tcPr>
          <w:p w14:paraId="1B3B5DE1">
            <w:pPr>
              <w:autoSpaceDE w:val="0"/>
              <w:autoSpaceDN w:val="0"/>
              <w:adjustRightInd w:val="0"/>
              <w:spacing w:line="320" w:lineRule="exact"/>
              <w:jc w:val="center"/>
              <w:rPr>
                <w:rFonts w:ascii="仿宋_GB2312" w:hAnsi="仿宋_GB2312" w:eastAsia="仿宋_GB2312" w:cs="仿宋_GB2312"/>
                <w:kern w:val="0"/>
                <w:sz w:val="24"/>
                <w:szCs w:val="24"/>
              </w:rPr>
            </w:pPr>
          </w:p>
        </w:tc>
        <w:tc>
          <w:tcPr>
            <w:tcW w:w="1395" w:type="dxa"/>
            <w:vAlign w:val="center"/>
          </w:tcPr>
          <w:p w14:paraId="10319E67">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资产总额</w:t>
            </w:r>
          </w:p>
        </w:tc>
        <w:tc>
          <w:tcPr>
            <w:tcW w:w="3090" w:type="dxa"/>
            <w:gridSpan w:val="2"/>
            <w:tcBorders>
              <w:right w:val="single" w:color="auto" w:sz="12" w:space="0"/>
            </w:tcBorders>
            <w:vAlign w:val="center"/>
          </w:tcPr>
          <w:p w14:paraId="6DBE0054">
            <w:pPr>
              <w:autoSpaceDE w:val="0"/>
              <w:autoSpaceDN w:val="0"/>
              <w:adjustRightInd w:val="0"/>
              <w:spacing w:line="320" w:lineRule="exact"/>
              <w:jc w:val="center"/>
              <w:rPr>
                <w:rFonts w:ascii="仿宋_GB2312" w:hAnsi="仿宋_GB2312" w:eastAsia="仿宋_GB2312" w:cs="仿宋_GB2312"/>
                <w:kern w:val="0"/>
                <w:sz w:val="24"/>
                <w:szCs w:val="24"/>
              </w:rPr>
            </w:pPr>
          </w:p>
        </w:tc>
      </w:tr>
      <w:tr w14:paraId="110AE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42542B1F">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基本存款账户</w:t>
            </w:r>
          </w:p>
          <w:p w14:paraId="3918B7CA">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开户银行</w:t>
            </w:r>
          </w:p>
        </w:tc>
        <w:tc>
          <w:tcPr>
            <w:tcW w:w="3009" w:type="dxa"/>
            <w:gridSpan w:val="2"/>
            <w:vAlign w:val="center"/>
          </w:tcPr>
          <w:p w14:paraId="08BAF95F">
            <w:pPr>
              <w:autoSpaceDE w:val="0"/>
              <w:autoSpaceDN w:val="0"/>
              <w:adjustRightInd w:val="0"/>
              <w:spacing w:line="320" w:lineRule="exact"/>
              <w:jc w:val="center"/>
              <w:rPr>
                <w:rFonts w:ascii="仿宋_GB2312" w:hAnsi="仿宋_GB2312" w:eastAsia="仿宋_GB2312" w:cs="仿宋_GB2312"/>
                <w:kern w:val="0"/>
                <w:sz w:val="24"/>
                <w:szCs w:val="24"/>
              </w:rPr>
            </w:pPr>
          </w:p>
        </w:tc>
        <w:tc>
          <w:tcPr>
            <w:tcW w:w="1395" w:type="dxa"/>
            <w:vAlign w:val="center"/>
          </w:tcPr>
          <w:p w14:paraId="3A91AAA1">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基本存款</w:t>
            </w:r>
          </w:p>
          <w:p w14:paraId="177BDCDE">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账户账号</w:t>
            </w:r>
          </w:p>
        </w:tc>
        <w:tc>
          <w:tcPr>
            <w:tcW w:w="3090" w:type="dxa"/>
            <w:gridSpan w:val="2"/>
            <w:tcBorders>
              <w:right w:val="single" w:color="auto" w:sz="12" w:space="0"/>
            </w:tcBorders>
            <w:vAlign w:val="center"/>
          </w:tcPr>
          <w:p w14:paraId="29855095">
            <w:pPr>
              <w:autoSpaceDE w:val="0"/>
              <w:autoSpaceDN w:val="0"/>
              <w:adjustRightInd w:val="0"/>
              <w:spacing w:line="320" w:lineRule="exact"/>
              <w:jc w:val="center"/>
              <w:rPr>
                <w:rFonts w:ascii="仿宋_GB2312" w:hAnsi="仿宋_GB2312" w:eastAsia="仿宋_GB2312" w:cs="仿宋_GB2312"/>
                <w:kern w:val="0"/>
                <w:sz w:val="24"/>
                <w:szCs w:val="24"/>
              </w:rPr>
            </w:pPr>
          </w:p>
        </w:tc>
      </w:tr>
      <w:tr w14:paraId="6DC80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686" w:type="dxa"/>
            <w:tcBorders>
              <w:left w:val="single" w:color="auto" w:sz="12" w:space="0"/>
            </w:tcBorders>
            <w:vAlign w:val="center"/>
          </w:tcPr>
          <w:p w14:paraId="4343F735">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3009" w:type="dxa"/>
            <w:gridSpan w:val="2"/>
            <w:vAlign w:val="center"/>
          </w:tcPr>
          <w:p w14:paraId="77FB543A">
            <w:pPr>
              <w:autoSpaceDE w:val="0"/>
              <w:autoSpaceDN w:val="0"/>
              <w:adjustRightInd w:val="0"/>
              <w:spacing w:line="320" w:lineRule="exact"/>
              <w:jc w:val="center"/>
              <w:rPr>
                <w:rFonts w:ascii="仿宋_GB2312" w:hAnsi="仿宋_GB2312" w:eastAsia="仿宋_GB2312" w:cs="仿宋_GB2312"/>
                <w:kern w:val="0"/>
                <w:sz w:val="24"/>
                <w:szCs w:val="24"/>
              </w:rPr>
            </w:pPr>
          </w:p>
        </w:tc>
        <w:tc>
          <w:tcPr>
            <w:tcW w:w="1395" w:type="dxa"/>
            <w:vAlign w:val="center"/>
          </w:tcPr>
          <w:p w14:paraId="49FAFF76">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邮箱</w:t>
            </w:r>
          </w:p>
        </w:tc>
        <w:tc>
          <w:tcPr>
            <w:tcW w:w="3090" w:type="dxa"/>
            <w:gridSpan w:val="2"/>
            <w:tcBorders>
              <w:right w:val="single" w:color="auto" w:sz="12" w:space="0"/>
            </w:tcBorders>
            <w:vAlign w:val="center"/>
          </w:tcPr>
          <w:p w14:paraId="03065372">
            <w:pPr>
              <w:autoSpaceDE w:val="0"/>
              <w:autoSpaceDN w:val="0"/>
              <w:adjustRightInd w:val="0"/>
              <w:spacing w:line="320" w:lineRule="exact"/>
              <w:jc w:val="center"/>
              <w:rPr>
                <w:rFonts w:ascii="仿宋_GB2312" w:hAnsi="仿宋_GB2312" w:eastAsia="仿宋_GB2312" w:cs="仿宋_GB2312"/>
                <w:kern w:val="0"/>
                <w:sz w:val="24"/>
                <w:szCs w:val="24"/>
              </w:rPr>
            </w:pPr>
          </w:p>
        </w:tc>
      </w:tr>
      <w:tr w14:paraId="6968D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DAECD56">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所获得资质及等级(国家行政部门颁发)</w:t>
            </w:r>
          </w:p>
        </w:tc>
        <w:tc>
          <w:tcPr>
            <w:tcW w:w="7494" w:type="dxa"/>
            <w:gridSpan w:val="5"/>
            <w:tcBorders>
              <w:right w:val="single" w:color="auto" w:sz="12" w:space="0"/>
            </w:tcBorders>
            <w:vAlign w:val="center"/>
          </w:tcPr>
          <w:p w14:paraId="74FB4A4C">
            <w:pPr>
              <w:autoSpaceDE w:val="0"/>
              <w:autoSpaceDN w:val="0"/>
              <w:adjustRightInd w:val="0"/>
              <w:spacing w:line="320" w:lineRule="exact"/>
              <w:rPr>
                <w:rFonts w:ascii="仿宋_GB2312" w:hAnsi="仿宋_GB2312" w:eastAsia="仿宋_GB2312" w:cs="仿宋_GB2312"/>
                <w:kern w:val="0"/>
                <w:sz w:val="24"/>
                <w:szCs w:val="24"/>
              </w:rPr>
            </w:pPr>
          </w:p>
          <w:p w14:paraId="3FD23058">
            <w:pPr>
              <w:autoSpaceDE w:val="0"/>
              <w:autoSpaceDN w:val="0"/>
              <w:adjustRightInd w:val="0"/>
              <w:spacing w:line="320" w:lineRule="exact"/>
              <w:rPr>
                <w:rFonts w:ascii="仿宋_GB2312" w:hAnsi="仿宋_GB2312" w:eastAsia="仿宋_GB2312" w:cs="仿宋_GB2312"/>
                <w:kern w:val="0"/>
                <w:sz w:val="24"/>
                <w:szCs w:val="24"/>
              </w:rPr>
            </w:pPr>
          </w:p>
        </w:tc>
      </w:tr>
      <w:tr w14:paraId="24A66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686" w:type="dxa"/>
            <w:tcBorders>
              <w:left w:val="single" w:color="auto" w:sz="12" w:space="0"/>
            </w:tcBorders>
            <w:vAlign w:val="center"/>
          </w:tcPr>
          <w:p w14:paraId="06E4A12A">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经营范围</w:t>
            </w:r>
          </w:p>
        </w:tc>
        <w:tc>
          <w:tcPr>
            <w:tcW w:w="7494" w:type="dxa"/>
            <w:gridSpan w:val="5"/>
            <w:tcBorders>
              <w:right w:val="single" w:color="auto" w:sz="12" w:space="0"/>
            </w:tcBorders>
            <w:vAlign w:val="center"/>
          </w:tcPr>
          <w:p w14:paraId="0914F975">
            <w:pPr>
              <w:autoSpaceDE w:val="0"/>
              <w:autoSpaceDN w:val="0"/>
              <w:adjustRightInd w:val="0"/>
              <w:spacing w:line="320" w:lineRule="exact"/>
              <w:rPr>
                <w:rFonts w:ascii="仿宋_GB2312" w:hAnsi="仿宋_GB2312" w:eastAsia="仿宋_GB2312" w:cs="仿宋_GB2312"/>
                <w:kern w:val="0"/>
                <w:sz w:val="24"/>
                <w:szCs w:val="24"/>
              </w:rPr>
            </w:pPr>
          </w:p>
        </w:tc>
      </w:tr>
      <w:tr w14:paraId="138E72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0B391452">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人员情况</w:t>
            </w:r>
          </w:p>
        </w:tc>
      </w:tr>
      <w:tr w14:paraId="70B81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3A000103">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从业人员总数</w:t>
            </w:r>
          </w:p>
        </w:tc>
        <w:tc>
          <w:tcPr>
            <w:tcW w:w="1239" w:type="dxa"/>
            <w:vMerge w:val="restart"/>
            <w:vAlign w:val="center"/>
          </w:tcPr>
          <w:p w14:paraId="2FE918A9">
            <w:pPr>
              <w:autoSpaceDE w:val="0"/>
              <w:autoSpaceDN w:val="0"/>
              <w:adjustRightInd w:val="0"/>
              <w:spacing w:line="320" w:lineRule="exact"/>
              <w:jc w:val="center"/>
              <w:rPr>
                <w:rFonts w:ascii="仿宋_GB2312" w:hAnsi="仿宋_GB2312" w:eastAsia="仿宋_GB2312" w:cs="仿宋_GB2312"/>
                <w:kern w:val="0"/>
                <w:sz w:val="24"/>
                <w:szCs w:val="24"/>
              </w:rPr>
            </w:pPr>
          </w:p>
        </w:tc>
        <w:tc>
          <w:tcPr>
            <w:tcW w:w="1770" w:type="dxa"/>
            <w:vAlign w:val="center"/>
          </w:tcPr>
          <w:p w14:paraId="10D1D1DD">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管理人员数量</w:t>
            </w:r>
          </w:p>
        </w:tc>
        <w:tc>
          <w:tcPr>
            <w:tcW w:w="1395" w:type="dxa"/>
            <w:vAlign w:val="center"/>
          </w:tcPr>
          <w:p w14:paraId="4CBD2A24">
            <w:pPr>
              <w:autoSpaceDE w:val="0"/>
              <w:autoSpaceDN w:val="0"/>
              <w:adjustRightInd w:val="0"/>
              <w:spacing w:line="320" w:lineRule="exact"/>
              <w:jc w:val="center"/>
              <w:rPr>
                <w:rFonts w:ascii="仿宋_GB2312" w:hAnsi="仿宋_GB2312" w:eastAsia="仿宋_GB2312" w:cs="仿宋_GB2312"/>
                <w:kern w:val="0"/>
                <w:sz w:val="24"/>
                <w:szCs w:val="24"/>
              </w:rPr>
            </w:pPr>
          </w:p>
        </w:tc>
        <w:tc>
          <w:tcPr>
            <w:tcW w:w="1692" w:type="dxa"/>
            <w:vAlign w:val="center"/>
          </w:tcPr>
          <w:p w14:paraId="67EFE926">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专业技术</w:t>
            </w:r>
          </w:p>
          <w:p w14:paraId="15AFE540">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人员数量</w:t>
            </w:r>
          </w:p>
        </w:tc>
        <w:tc>
          <w:tcPr>
            <w:tcW w:w="1398" w:type="dxa"/>
            <w:tcBorders>
              <w:right w:val="single" w:color="auto" w:sz="12" w:space="0"/>
            </w:tcBorders>
            <w:vAlign w:val="center"/>
          </w:tcPr>
          <w:p w14:paraId="3EF8667A">
            <w:pPr>
              <w:autoSpaceDE w:val="0"/>
              <w:autoSpaceDN w:val="0"/>
              <w:adjustRightInd w:val="0"/>
              <w:spacing w:line="320" w:lineRule="exact"/>
              <w:jc w:val="center"/>
              <w:rPr>
                <w:rFonts w:ascii="仿宋_GB2312" w:hAnsi="仿宋_GB2312" w:eastAsia="仿宋_GB2312" w:cs="仿宋_GB2312"/>
                <w:bCs/>
                <w:kern w:val="0"/>
                <w:sz w:val="24"/>
                <w:szCs w:val="24"/>
              </w:rPr>
            </w:pPr>
          </w:p>
        </w:tc>
      </w:tr>
      <w:tr w14:paraId="7A32E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61DFAAE9">
            <w:pPr>
              <w:autoSpaceDE w:val="0"/>
              <w:autoSpaceDN w:val="0"/>
              <w:adjustRightInd w:val="0"/>
              <w:spacing w:line="320" w:lineRule="exact"/>
              <w:jc w:val="center"/>
              <w:rPr>
                <w:rFonts w:ascii="仿宋_GB2312" w:hAnsi="仿宋_GB2312" w:eastAsia="仿宋_GB2312" w:cs="仿宋_GB2312"/>
                <w:kern w:val="0"/>
                <w:sz w:val="24"/>
                <w:szCs w:val="24"/>
              </w:rPr>
            </w:pPr>
          </w:p>
        </w:tc>
        <w:tc>
          <w:tcPr>
            <w:tcW w:w="1239" w:type="dxa"/>
            <w:vMerge w:val="continue"/>
            <w:tcBorders>
              <w:bottom w:val="single" w:color="auto" w:sz="4" w:space="0"/>
            </w:tcBorders>
            <w:vAlign w:val="center"/>
          </w:tcPr>
          <w:p w14:paraId="4B726EAC">
            <w:pPr>
              <w:autoSpaceDE w:val="0"/>
              <w:autoSpaceDN w:val="0"/>
              <w:adjustRightInd w:val="0"/>
              <w:spacing w:line="320" w:lineRule="exact"/>
              <w:jc w:val="center"/>
              <w:rPr>
                <w:rFonts w:ascii="仿宋_GB2312" w:hAnsi="仿宋_GB2312" w:eastAsia="仿宋_GB2312" w:cs="仿宋_GB2312"/>
                <w:kern w:val="0"/>
                <w:sz w:val="24"/>
                <w:szCs w:val="24"/>
              </w:rPr>
            </w:pPr>
          </w:p>
        </w:tc>
        <w:tc>
          <w:tcPr>
            <w:tcW w:w="1770" w:type="dxa"/>
            <w:tcBorders>
              <w:bottom w:val="single" w:color="auto" w:sz="4" w:space="0"/>
            </w:tcBorders>
            <w:vAlign w:val="center"/>
          </w:tcPr>
          <w:p w14:paraId="0F040FFB">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残疾人人数</w:t>
            </w:r>
          </w:p>
        </w:tc>
        <w:tc>
          <w:tcPr>
            <w:tcW w:w="1395" w:type="dxa"/>
            <w:tcBorders>
              <w:bottom w:val="single" w:color="auto" w:sz="4" w:space="0"/>
            </w:tcBorders>
            <w:vAlign w:val="center"/>
          </w:tcPr>
          <w:p w14:paraId="21C98CBE">
            <w:pPr>
              <w:autoSpaceDE w:val="0"/>
              <w:autoSpaceDN w:val="0"/>
              <w:adjustRightInd w:val="0"/>
              <w:spacing w:line="320" w:lineRule="exact"/>
              <w:jc w:val="center"/>
              <w:rPr>
                <w:rFonts w:ascii="仿宋_GB2312" w:hAnsi="仿宋_GB2312" w:eastAsia="仿宋_GB2312" w:cs="仿宋_GB2312"/>
                <w:kern w:val="0"/>
                <w:sz w:val="24"/>
                <w:szCs w:val="24"/>
              </w:rPr>
            </w:pPr>
          </w:p>
        </w:tc>
        <w:tc>
          <w:tcPr>
            <w:tcW w:w="1692" w:type="dxa"/>
            <w:tcBorders>
              <w:bottom w:val="single" w:color="auto" w:sz="4" w:space="0"/>
            </w:tcBorders>
            <w:vAlign w:val="center"/>
          </w:tcPr>
          <w:p w14:paraId="0C818114">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少数民族人数</w:t>
            </w:r>
          </w:p>
        </w:tc>
        <w:tc>
          <w:tcPr>
            <w:tcW w:w="1398" w:type="dxa"/>
            <w:tcBorders>
              <w:bottom w:val="single" w:color="auto" w:sz="4" w:space="0"/>
              <w:right w:val="single" w:color="auto" w:sz="12" w:space="0"/>
            </w:tcBorders>
            <w:vAlign w:val="center"/>
          </w:tcPr>
          <w:p w14:paraId="4C3A3B71">
            <w:pPr>
              <w:autoSpaceDE w:val="0"/>
              <w:autoSpaceDN w:val="0"/>
              <w:adjustRightInd w:val="0"/>
              <w:spacing w:line="320" w:lineRule="exact"/>
              <w:jc w:val="center"/>
              <w:rPr>
                <w:rFonts w:ascii="仿宋_GB2312" w:hAnsi="仿宋_GB2312" w:eastAsia="仿宋_GB2312" w:cs="仿宋_GB2312"/>
                <w:bCs/>
                <w:kern w:val="0"/>
                <w:sz w:val="24"/>
                <w:szCs w:val="24"/>
              </w:rPr>
            </w:pPr>
          </w:p>
        </w:tc>
      </w:tr>
      <w:tr w14:paraId="6AF54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56E2B81A">
            <w:pPr>
              <w:autoSpaceDE w:val="0"/>
              <w:autoSpaceDN w:val="0"/>
              <w:adjustRightInd w:val="0"/>
              <w:spacing w:line="32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说明</w:t>
            </w:r>
          </w:p>
        </w:tc>
        <w:tc>
          <w:tcPr>
            <w:tcW w:w="7494" w:type="dxa"/>
            <w:gridSpan w:val="5"/>
            <w:tcBorders>
              <w:bottom w:val="single" w:color="auto" w:sz="12" w:space="0"/>
              <w:right w:val="single" w:color="auto" w:sz="12" w:space="0"/>
            </w:tcBorders>
            <w:vAlign w:val="center"/>
          </w:tcPr>
          <w:p w14:paraId="44C32E26">
            <w:pPr>
              <w:spacing w:line="320" w:lineRule="exact"/>
              <w:ind w:left="360" w:hanging="360"/>
              <w:rPr>
                <w:rFonts w:ascii="仿宋_GB2312" w:hAnsi="仿宋_GB2312" w:eastAsia="仿宋_GB2312" w:cs="仿宋_GB2312"/>
                <w:sz w:val="24"/>
                <w:szCs w:val="24"/>
              </w:rPr>
            </w:pPr>
            <w:r>
              <w:rPr>
                <w:rFonts w:hint="eastAsia" w:ascii="仿宋_GB2312" w:hAnsi="仿宋_GB2312" w:eastAsia="仿宋_GB2312" w:cs="仿宋_GB2312"/>
                <w:sz w:val="24"/>
                <w:szCs w:val="24"/>
              </w:rPr>
              <w:t>1、登记证号指营业执照/事业单位法人证书/专业服务机构执业许可证/民办非企业单位登记证书中的登记号。</w:t>
            </w:r>
          </w:p>
          <w:p w14:paraId="68790F35">
            <w:pPr>
              <w:spacing w:line="320" w:lineRule="exact"/>
              <w:ind w:left="360" w:hanging="360"/>
              <w:rPr>
                <w:rFonts w:ascii="仿宋_GB2312" w:hAnsi="仿宋_GB2312" w:eastAsia="仿宋_GB2312" w:cs="仿宋_GB2312"/>
                <w:sz w:val="24"/>
                <w:szCs w:val="24"/>
              </w:rPr>
            </w:pPr>
            <w:r>
              <w:rPr>
                <w:rFonts w:hint="eastAsia" w:ascii="仿宋_GB2312" w:hAnsi="仿宋_GB2312" w:eastAsia="仿宋_GB2312" w:cs="仿宋_GB2312"/>
                <w:sz w:val="24"/>
                <w:szCs w:val="24"/>
              </w:rPr>
              <w:t>2、成立时间至提交响应文件截止时间不足一年的可不提供“上年度营业收入”。</w:t>
            </w:r>
          </w:p>
          <w:p w14:paraId="5866D2F3">
            <w:pPr>
              <w:spacing w:line="320" w:lineRule="exact"/>
              <w:ind w:left="360" w:hanging="36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3、供应商应如实填写上述信息。</w:t>
            </w:r>
            <w:bookmarkStart w:id="425" w:name="■AcceptUnion_CH5_A■"/>
            <w:r>
              <w:rPr>
                <w:rFonts w:hint="eastAsia" w:ascii="仿宋_GB2312" w:hAnsi="仿宋_GB2312" w:eastAsia="仿宋_GB2312" w:cs="仿宋_GB2312"/>
                <w:sz w:val="24"/>
                <w:szCs w:val="24"/>
              </w:rPr>
              <w:t>磋商文件允许联合体投标的，联合体各方均应提供。</w:t>
            </w:r>
            <w:bookmarkEnd w:id="425"/>
          </w:p>
        </w:tc>
      </w:tr>
    </w:tbl>
    <w:p w14:paraId="2308FDC7">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（二）供应商其他情况</w:t>
      </w:r>
    </w:p>
    <w:p w14:paraId="4BEE869A">
      <w:pPr>
        <w:tabs>
          <w:tab w:val="right" w:pos="8364"/>
        </w:tabs>
        <w:spacing w:line="500" w:lineRule="exact"/>
        <w:ind w:firstLine="566" w:firstLineChars="200"/>
        <w:jc w:val="left"/>
        <w:rPr>
          <w:rFonts w:ascii="仿宋_GB2312" w:hAnsi="仿宋_GB2312" w:eastAsia="仿宋_GB2312" w:cs="仿宋_GB2312"/>
        </w:rPr>
      </w:pPr>
      <w:r>
        <w:rPr>
          <w:rFonts w:hint="eastAsia" w:ascii="仿宋_GB2312" w:hAnsi="仿宋_GB2312" w:eastAsia="仿宋_GB2312" w:cs="仿宋_GB2312"/>
        </w:rPr>
        <w:t>包括但不限于总公司分公司分布及经营状况、股权变更、管理制度、人员配备、用户评价、正在实施的项目，评优获奖等情况，以及供应商认为有利于成交的其他情况说明。</w:t>
      </w:r>
      <w:r>
        <w:rPr>
          <w:rFonts w:hint="eastAsia"/>
          <w:b/>
        </w:rPr>
        <w:br w:type="page"/>
      </w:r>
    </w:p>
    <w:p w14:paraId="7D2D7C80">
      <w:pPr>
        <w:spacing w:line="560" w:lineRule="exact"/>
        <w:rPr>
          <w:rFonts w:ascii="仿宋_GB2312" w:hAnsi="仿宋_GB2312" w:eastAsia="仿宋_GB2312" w:cs="仿宋_GB2312"/>
          <w:b/>
        </w:rPr>
      </w:pPr>
      <w:r>
        <w:rPr>
          <w:rFonts w:hint="eastAsia" w:ascii="仿宋_GB2312" w:hAnsi="仿宋_GB2312" w:eastAsia="仿宋_GB2312" w:cs="仿宋_GB2312"/>
          <w:b/>
        </w:rPr>
        <w:t>二、技术服务方案</w:t>
      </w:r>
    </w:p>
    <w:p w14:paraId="7661AFA6">
      <w:pPr>
        <w:spacing w:line="560" w:lineRule="exact"/>
        <w:ind w:firstLine="566" w:firstLineChars="200"/>
        <w:rPr>
          <w:rFonts w:ascii="仿宋_GB2312" w:hAnsi="仿宋_GB2312" w:eastAsia="仿宋_GB2312" w:cs="仿宋_GB2312"/>
          <w:bCs/>
        </w:rPr>
      </w:pPr>
      <w:r>
        <w:rPr>
          <w:rFonts w:hint="eastAsia" w:ascii="仿宋_GB2312" w:hAnsi="仿宋_GB2312" w:eastAsia="仿宋_GB2312" w:cs="仿宋_GB2312"/>
          <w:bCs/>
        </w:rPr>
        <w:t>参照磋商文件第二章《组织评审》各条款的要求，结合第三章《磋商内容及采购要求》编制技术服务方案。</w:t>
      </w:r>
    </w:p>
    <w:p w14:paraId="37A0F25D">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（一）施工方案</w:t>
      </w:r>
    </w:p>
    <w:p w14:paraId="08224591">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（二）施工进度计划</w:t>
      </w:r>
    </w:p>
    <w:p w14:paraId="104FD69F">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（三）工期保证措施</w:t>
      </w:r>
    </w:p>
    <w:p w14:paraId="64181A7C">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（四）质量保证措施</w:t>
      </w:r>
    </w:p>
    <w:p w14:paraId="275D2843">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（五）安全技术措施</w:t>
      </w:r>
    </w:p>
    <w:p w14:paraId="68BD0CFD">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（六）文明施工措施</w:t>
      </w:r>
    </w:p>
    <w:p w14:paraId="313DBBCF">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（七）环境保护措施</w:t>
      </w:r>
    </w:p>
    <w:p w14:paraId="28109ABF">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（八）组织措施</w:t>
      </w:r>
    </w:p>
    <w:p w14:paraId="0A9A1359">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（九）新材料新工艺</w:t>
      </w:r>
    </w:p>
    <w:p w14:paraId="11CE3077">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（十）应急措施</w:t>
      </w:r>
    </w:p>
    <w:p w14:paraId="34D322EB">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（十一）资源配置计划</w:t>
      </w:r>
    </w:p>
    <w:p w14:paraId="2864C610">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（十二）施工重难点</w:t>
      </w:r>
    </w:p>
    <w:p w14:paraId="378DF5E7">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（十三）节能环保产品</w:t>
      </w:r>
    </w:p>
    <w:p w14:paraId="4A5C57EE">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（十四）业绩</w:t>
      </w:r>
    </w:p>
    <w:p w14:paraId="1FBACD7A">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（十五）保修方案</w:t>
      </w:r>
    </w:p>
    <w:p w14:paraId="58AA70AF">
      <w:pPr>
        <w:spacing w:line="560" w:lineRule="exact"/>
        <w:ind w:firstLine="566" w:firstLineChars="200"/>
        <w:rPr>
          <w:rFonts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（十六）其他有必要说明的内容</w:t>
      </w:r>
    </w:p>
    <w:p w14:paraId="6E8A41E7">
      <w:pPr>
        <w:pStyle w:val="8"/>
        <w:rPr>
          <w:color w:val="000000" w:themeColor="text1"/>
          <w:highlight w:val="none"/>
          <w14:textFill>
            <w14:solidFill>
              <w14:schemeClr w14:val="tx1"/>
            </w14:solidFill>
          </w14:textFill>
        </w:rPr>
      </w:pPr>
    </w:p>
    <w:p w14:paraId="69BE3E0D">
      <w:pPr>
        <w:pStyle w:val="8"/>
      </w:pPr>
    </w:p>
    <w:p w14:paraId="48A83C2D">
      <w:pPr>
        <w:pStyle w:val="8"/>
      </w:pPr>
    </w:p>
    <w:p w14:paraId="69A050A3">
      <w:pPr>
        <w:pStyle w:val="8"/>
      </w:pPr>
    </w:p>
    <w:p w14:paraId="342DD7CB">
      <w:r>
        <w:br w:type="page"/>
      </w:r>
    </w:p>
    <w:p w14:paraId="39D16A2E">
      <w:pPr>
        <w:tabs>
          <w:tab w:val="right" w:pos="9070"/>
        </w:tabs>
        <w:spacing w:line="500" w:lineRule="exact"/>
        <w:rPr>
          <w:rFonts w:ascii="仿宋" w:hAnsi="仿宋" w:eastAsia="仿宋"/>
          <w:bCs/>
          <w:sz w:val="32"/>
          <w:szCs w:val="32"/>
        </w:rPr>
      </w:pPr>
      <w:r>
        <w:rPr>
          <w:rFonts w:hint="eastAsia" w:ascii="仿宋" w:hAnsi="仿宋" w:eastAsia="仿宋"/>
          <w:b/>
          <w:sz w:val="32"/>
          <w:szCs w:val="32"/>
        </w:rPr>
        <w:t>三、参考样表</w:t>
      </w:r>
    </w:p>
    <w:p w14:paraId="1667DF99">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（一）履约进度计划表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8"/>
        <w:gridCol w:w="3095"/>
        <w:gridCol w:w="2589"/>
      </w:tblGrid>
      <w:tr w14:paraId="5562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678F864">
            <w:pPr>
              <w:widowControl w:val="0"/>
              <w:tabs>
                <w:tab w:val="left" w:pos="540"/>
              </w:tabs>
              <w:jc w:val="center"/>
              <w:rPr>
                <w:rFonts w:ascii="仿宋_GB2312" w:hAnsi="仿宋_GB2312" w:eastAsia="仿宋_GB2312" w:cs="仿宋_GB2312"/>
                <w:b/>
              </w:rPr>
            </w:pPr>
            <w:r>
              <w:rPr>
                <w:rFonts w:hint="eastAsia" w:ascii="仿宋_GB2312" w:hAnsi="仿宋_GB2312" w:eastAsia="仿宋_GB2312" w:cs="仿宋_GB2312"/>
                <w:b/>
              </w:rPr>
              <w:t>序号</w:t>
            </w:r>
          </w:p>
        </w:tc>
        <w:tc>
          <w:tcPr>
            <w:tcW w:w="2498" w:type="dxa"/>
            <w:vAlign w:val="center"/>
          </w:tcPr>
          <w:p w14:paraId="4C3A95D7">
            <w:pPr>
              <w:widowControl w:val="0"/>
              <w:tabs>
                <w:tab w:val="left" w:pos="540"/>
              </w:tabs>
              <w:jc w:val="center"/>
              <w:rPr>
                <w:rFonts w:ascii="仿宋_GB2312" w:hAnsi="仿宋_GB2312" w:eastAsia="仿宋_GB2312" w:cs="仿宋_GB2312"/>
                <w:b/>
              </w:rPr>
            </w:pPr>
            <w:r>
              <w:rPr>
                <w:rFonts w:hint="eastAsia" w:ascii="仿宋_GB2312" w:hAnsi="仿宋_GB2312" w:eastAsia="仿宋_GB2312" w:cs="仿宋_GB2312"/>
                <w:b/>
              </w:rPr>
              <w:t>拟定时间安排</w:t>
            </w:r>
          </w:p>
        </w:tc>
        <w:tc>
          <w:tcPr>
            <w:tcW w:w="3095" w:type="dxa"/>
            <w:vAlign w:val="center"/>
          </w:tcPr>
          <w:p w14:paraId="4FEC6A71">
            <w:pPr>
              <w:widowControl w:val="0"/>
              <w:tabs>
                <w:tab w:val="left" w:pos="540"/>
              </w:tabs>
              <w:jc w:val="center"/>
              <w:rPr>
                <w:rFonts w:ascii="仿宋_GB2312" w:hAnsi="仿宋_GB2312" w:eastAsia="仿宋_GB2312" w:cs="仿宋_GB2312"/>
                <w:b/>
              </w:rPr>
            </w:pPr>
            <w:r>
              <w:rPr>
                <w:rFonts w:hint="eastAsia" w:ascii="仿宋_GB2312" w:hAnsi="仿宋_GB2312" w:eastAsia="仿宋_GB2312" w:cs="仿宋_GB2312"/>
                <w:b/>
              </w:rPr>
              <w:t>计划完成的工作内容</w:t>
            </w:r>
          </w:p>
        </w:tc>
        <w:tc>
          <w:tcPr>
            <w:tcW w:w="2589" w:type="dxa"/>
            <w:vAlign w:val="center"/>
          </w:tcPr>
          <w:p w14:paraId="51B64EDD">
            <w:pPr>
              <w:widowControl w:val="0"/>
              <w:tabs>
                <w:tab w:val="left" w:pos="540"/>
              </w:tabs>
              <w:jc w:val="center"/>
              <w:rPr>
                <w:rFonts w:ascii="仿宋_GB2312" w:hAnsi="仿宋_GB2312" w:eastAsia="仿宋_GB2312" w:cs="仿宋_GB2312"/>
                <w:b/>
              </w:rPr>
            </w:pPr>
            <w:r>
              <w:rPr>
                <w:rFonts w:hint="eastAsia" w:ascii="仿宋_GB2312" w:hAnsi="仿宋_GB2312" w:eastAsia="仿宋_GB2312" w:cs="仿宋_GB2312"/>
                <w:b/>
              </w:rPr>
              <w:t>实施方建议或要求</w:t>
            </w:r>
          </w:p>
        </w:tc>
      </w:tr>
      <w:tr w14:paraId="3C36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6FFDB101">
            <w:pPr>
              <w:widowControl w:val="0"/>
              <w:jc w:val="center"/>
              <w:rPr>
                <w:rFonts w:ascii="仿宋_GB2312" w:hAnsi="仿宋_GB2312" w:eastAsia="仿宋_GB2312" w:cs="仿宋_GB2312"/>
              </w:rPr>
            </w:pPr>
            <w:r>
              <w:rPr>
                <w:rFonts w:hint="eastAsia" w:ascii="仿宋_GB2312" w:hAnsi="仿宋_GB2312" w:eastAsia="仿宋_GB2312" w:cs="仿宋_GB2312"/>
              </w:rPr>
              <w:t>1</w:t>
            </w:r>
          </w:p>
        </w:tc>
        <w:tc>
          <w:tcPr>
            <w:tcW w:w="2498" w:type="dxa"/>
            <w:vAlign w:val="center"/>
          </w:tcPr>
          <w:p w14:paraId="57FECA05">
            <w:pPr>
              <w:widowControl w:val="0"/>
              <w:tabs>
                <w:tab w:val="left" w:pos="540"/>
              </w:tabs>
              <w:rPr>
                <w:rFonts w:ascii="仿宋_GB2312" w:hAnsi="仿宋_GB2312" w:eastAsia="仿宋_GB2312" w:cs="仿宋_GB2312"/>
              </w:rPr>
            </w:pPr>
            <w:r>
              <w:rPr>
                <w:rFonts w:hint="eastAsia" w:ascii="仿宋_GB2312" w:hAnsi="仿宋_GB2312" w:eastAsia="仿宋_GB2312" w:cs="仿宋_GB2312"/>
              </w:rPr>
              <w:t>拟定  年 月 日</w:t>
            </w:r>
          </w:p>
        </w:tc>
        <w:tc>
          <w:tcPr>
            <w:tcW w:w="3095" w:type="dxa"/>
            <w:vAlign w:val="center"/>
          </w:tcPr>
          <w:p w14:paraId="56603A9A">
            <w:pPr>
              <w:widowControl w:val="0"/>
              <w:tabs>
                <w:tab w:val="left" w:pos="540"/>
              </w:tabs>
              <w:jc w:val="center"/>
              <w:rPr>
                <w:rFonts w:ascii="仿宋_GB2312" w:hAnsi="仿宋_GB2312" w:eastAsia="仿宋_GB2312" w:cs="仿宋_GB2312"/>
              </w:rPr>
            </w:pPr>
            <w:r>
              <w:rPr>
                <w:rFonts w:hint="eastAsia" w:ascii="仿宋_GB2312" w:hAnsi="仿宋_GB2312" w:eastAsia="仿宋_GB2312" w:cs="仿宋_GB2312"/>
              </w:rPr>
              <w:t>签订合同并生效</w:t>
            </w:r>
          </w:p>
        </w:tc>
        <w:tc>
          <w:tcPr>
            <w:tcW w:w="2589" w:type="dxa"/>
            <w:vAlign w:val="center"/>
          </w:tcPr>
          <w:p w14:paraId="355054F9">
            <w:pPr>
              <w:widowControl w:val="0"/>
              <w:tabs>
                <w:tab w:val="left" w:pos="540"/>
              </w:tabs>
              <w:jc w:val="center"/>
              <w:rPr>
                <w:rFonts w:ascii="仿宋_GB2312" w:hAnsi="仿宋_GB2312" w:eastAsia="仿宋_GB2312" w:cs="仿宋_GB2312"/>
              </w:rPr>
            </w:pPr>
          </w:p>
        </w:tc>
      </w:tr>
      <w:tr w14:paraId="7C43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7290DA9F">
            <w:pPr>
              <w:widowControl w:val="0"/>
              <w:jc w:val="center"/>
              <w:rPr>
                <w:rFonts w:ascii="仿宋_GB2312" w:hAnsi="仿宋_GB2312" w:eastAsia="仿宋_GB2312" w:cs="仿宋_GB2312"/>
              </w:rPr>
            </w:pPr>
            <w:r>
              <w:rPr>
                <w:rFonts w:hint="eastAsia" w:ascii="仿宋_GB2312" w:hAnsi="仿宋_GB2312" w:eastAsia="仿宋_GB2312" w:cs="仿宋_GB2312"/>
              </w:rPr>
              <w:t>2</w:t>
            </w:r>
          </w:p>
        </w:tc>
        <w:tc>
          <w:tcPr>
            <w:tcW w:w="2498" w:type="dxa"/>
            <w:vAlign w:val="center"/>
          </w:tcPr>
          <w:p w14:paraId="586EEA51">
            <w:pPr>
              <w:widowControl w:val="0"/>
              <w:tabs>
                <w:tab w:val="left" w:pos="540"/>
              </w:tabs>
              <w:jc w:val="center"/>
              <w:rPr>
                <w:rFonts w:ascii="仿宋_GB2312" w:hAnsi="仿宋_GB2312" w:eastAsia="仿宋_GB2312" w:cs="仿宋_GB2312"/>
              </w:rPr>
            </w:pPr>
            <w:r>
              <w:rPr>
                <w:rFonts w:hint="eastAsia" w:ascii="仿宋_GB2312" w:hAnsi="仿宋_GB2312" w:eastAsia="仿宋_GB2312" w:cs="仿宋_GB2312"/>
              </w:rPr>
              <w:t>月  日—  月  日</w:t>
            </w:r>
          </w:p>
        </w:tc>
        <w:tc>
          <w:tcPr>
            <w:tcW w:w="3095" w:type="dxa"/>
            <w:vAlign w:val="center"/>
          </w:tcPr>
          <w:p w14:paraId="0EEA9867">
            <w:pPr>
              <w:widowControl w:val="0"/>
              <w:tabs>
                <w:tab w:val="left" w:pos="540"/>
              </w:tabs>
              <w:jc w:val="center"/>
              <w:rPr>
                <w:rFonts w:ascii="仿宋_GB2312" w:hAnsi="仿宋_GB2312" w:eastAsia="仿宋_GB2312" w:cs="仿宋_GB2312"/>
              </w:rPr>
            </w:pPr>
          </w:p>
        </w:tc>
        <w:tc>
          <w:tcPr>
            <w:tcW w:w="2589" w:type="dxa"/>
            <w:vAlign w:val="center"/>
          </w:tcPr>
          <w:p w14:paraId="722A832F">
            <w:pPr>
              <w:widowControl w:val="0"/>
              <w:tabs>
                <w:tab w:val="left" w:pos="540"/>
              </w:tabs>
              <w:jc w:val="center"/>
              <w:rPr>
                <w:rFonts w:ascii="仿宋_GB2312" w:hAnsi="仿宋_GB2312" w:eastAsia="仿宋_GB2312" w:cs="仿宋_GB2312"/>
              </w:rPr>
            </w:pPr>
          </w:p>
        </w:tc>
      </w:tr>
      <w:tr w14:paraId="6EB6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66D1720">
            <w:pPr>
              <w:widowControl w:val="0"/>
              <w:jc w:val="center"/>
              <w:rPr>
                <w:rFonts w:ascii="仿宋_GB2312" w:hAnsi="仿宋_GB2312" w:eastAsia="仿宋_GB2312" w:cs="仿宋_GB2312"/>
              </w:rPr>
            </w:pPr>
            <w:r>
              <w:rPr>
                <w:rFonts w:hint="eastAsia" w:ascii="仿宋_GB2312" w:hAnsi="仿宋_GB2312" w:eastAsia="仿宋_GB2312" w:cs="仿宋_GB2312"/>
              </w:rPr>
              <w:t>3</w:t>
            </w:r>
          </w:p>
        </w:tc>
        <w:tc>
          <w:tcPr>
            <w:tcW w:w="2498" w:type="dxa"/>
            <w:vAlign w:val="center"/>
          </w:tcPr>
          <w:p w14:paraId="1405AA4F">
            <w:pPr>
              <w:widowControl w:val="0"/>
              <w:tabs>
                <w:tab w:val="left" w:pos="540"/>
              </w:tabs>
              <w:jc w:val="center"/>
              <w:rPr>
                <w:rFonts w:ascii="仿宋_GB2312" w:hAnsi="仿宋_GB2312" w:eastAsia="仿宋_GB2312" w:cs="仿宋_GB2312"/>
              </w:rPr>
            </w:pPr>
            <w:r>
              <w:rPr>
                <w:rFonts w:hint="eastAsia" w:ascii="仿宋_GB2312" w:hAnsi="仿宋_GB2312" w:eastAsia="仿宋_GB2312" w:cs="仿宋_GB2312"/>
              </w:rPr>
              <w:t>月  日—  月  日</w:t>
            </w:r>
          </w:p>
        </w:tc>
        <w:tc>
          <w:tcPr>
            <w:tcW w:w="3095" w:type="dxa"/>
            <w:vAlign w:val="center"/>
          </w:tcPr>
          <w:p w14:paraId="3B784E28">
            <w:pPr>
              <w:widowControl w:val="0"/>
              <w:tabs>
                <w:tab w:val="left" w:pos="540"/>
              </w:tabs>
              <w:jc w:val="center"/>
              <w:rPr>
                <w:rFonts w:ascii="仿宋_GB2312" w:hAnsi="仿宋_GB2312" w:eastAsia="仿宋_GB2312" w:cs="仿宋_GB2312"/>
              </w:rPr>
            </w:pPr>
          </w:p>
        </w:tc>
        <w:tc>
          <w:tcPr>
            <w:tcW w:w="2589" w:type="dxa"/>
            <w:vAlign w:val="center"/>
          </w:tcPr>
          <w:p w14:paraId="7669A777">
            <w:pPr>
              <w:widowControl w:val="0"/>
              <w:tabs>
                <w:tab w:val="left" w:pos="540"/>
              </w:tabs>
              <w:jc w:val="center"/>
              <w:rPr>
                <w:rFonts w:ascii="仿宋_GB2312" w:hAnsi="仿宋_GB2312" w:eastAsia="仿宋_GB2312" w:cs="仿宋_GB2312"/>
              </w:rPr>
            </w:pPr>
          </w:p>
        </w:tc>
      </w:tr>
      <w:tr w14:paraId="3B91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6882D12">
            <w:pPr>
              <w:widowControl w:val="0"/>
              <w:jc w:val="center"/>
              <w:rPr>
                <w:rFonts w:ascii="仿宋_GB2312" w:hAnsi="仿宋_GB2312" w:eastAsia="仿宋_GB2312" w:cs="仿宋_GB2312"/>
              </w:rPr>
            </w:pPr>
            <w:r>
              <w:rPr>
                <w:rFonts w:hint="eastAsia" w:ascii="仿宋_GB2312" w:hAnsi="仿宋_GB2312" w:eastAsia="仿宋_GB2312" w:cs="仿宋_GB2312"/>
              </w:rPr>
              <w:t>4</w:t>
            </w:r>
          </w:p>
        </w:tc>
        <w:tc>
          <w:tcPr>
            <w:tcW w:w="2498" w:type="dxa"/>
            <w:vAlign w:val="center"/>
          </w:tcPr>
          <w:p w14:paraId="642B21E9">
            <w:pPr>
              <w:widowControl w:val="0"/>
              <w:tabs>
                <w:tab w:val="left" w:pos="540"/>
              </w:tabs>
              <w:jc w:val="center"/>
              <w:rPr>
                <w:rFonts w:ascii="仿宋_GB2312" w:hAnsi="仿宋_GB2312" w:eastAsia="仿宋_GB2312" w:cs="仿宋_GB2312"/>
              </w:rPr>
            </w:pPr>
            <w:r>
              <w:rPr>
                <w:rFonts w:hint="eastAsia" w:ascii="仿宋_GB2312" w:hAnsi="仿宋_GB2312" w:eastAsia="仿宋_GB2312" w:cs="仿宋_GB2312"/>
              </w:rPr>
              <w:t>月  日—  月  日</w:t>
            </w:r>
          </w:p>
        </w:tc>
        <w:tc>
          <w:tcPr>
            <w:tcW w:w="3095" w:type="dxa"/>
            <w:vAlign w:val="center"/>
          </w:tcPr>
          <w:p w14:paraId="11875C2C">
            <w:pPr>
              <w:widowControl w:val="0"/>
              <w:tabs>
                <w:tab w:val="left" w:pos="540"/>
              </w:tabs>
              <w:jc w:val="center"/>
              <w:rPr>
                <w:rFonts w:ascii="仿宋_GB2312" w:hAnsi="仿宋_GB2312" w:eastAsia="仿宋_GB2312" w:cs="仿宋_GB2312"/>
              </w:rPr>
            </w:pPr>
            <w:r>
              <w:rPr>
                <w:rFonts w:hint="eastAsia" w:ascii="仿宋_GB2312" w:hAnsi="仿宋_GB2312" w:eastAsia="仿宋_GB2312" w:cs="仿宋_GB2312"/>
              </w:rPr>
              <w:t>质保期</w:t>
            </w:r>
          </w:p>
        </w:tc>
        <w:tc>
          <w:tcPr>
            <w:tcW w:w="2589" w:type="dxa"/>
            <w:vAlign w:val="center"/>
          </w:tcPr>
          <w:p w14:paraId="1E429715">
            <w:pPr>
              <w:widowControl w:val="0"/>
              <w:tabs>
                <w:tab w:val="left" w:pos="540"/>
              </w:tabs>
              <w:jc w:val="center"/>
              <w:rPr>
                <w:rFonts w:ascii="仿宋_GB2312" w:hAnsi="仿宋_GB2312" w:eastAsia="仿宋_GB2312" w:cs="仿宋_GB2312"/>
              </w:rPr>
            </w:pPr>
          </w:p>
        </w:tc>
      </w:tr>
    </w:tbl>
    <w:p w14:paraId="7AA1B681">
      <w:pPr>
        <w:spacing w:line="500" w:lineRule="exact"/>
        <w:ind w:firstLine="566" w:firstLineChars="200"/>
        <w:rPr>
          <w:rFonts w:ascii="仿宋_GB2312" w:hAnsi="仿宋_GB2312" w:eastAsia="仿宋_GB2312" w:cs="仿宋_GB2312"/>
          <w:b/>
          <w:bCs/>
        </w:rPr>
      </w:pPr>
      <w:r>
        <w:rPr>
          <w:rFonts w:hint="eastAsia" w:ascii="仿宋_GB2312" w:hAnsi="仿宋_GB2312" w:eastAsia="仿宋_GB2312" w:cs="仿宋_GB2312"/>
          <w:b/>
          <w:bCs/>
        </w:rPr>
        <w:t>（二）业绩合同样表</w:t>
      </w:r>
    </w:p>
    <w:tbl>
      <w:tblPr>
        <w:tblStyle w:val="21"/>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027"/>
        <w:gridCol w:w="1592"/>
        <w:gridCol w:w="2375"/>
        <w:gridCol w:w="1984"/>
      </w:tblGrid>
      <w:tr w14:paraId="7FAB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14:paraId="6E68013E">
            <w:pPr>
              <w:widowControl w:val="0"/>
              <w:jc w:val="center"/>
              <w:rPr>
                <w:rFonts w:ascii="仿宋_GB2312" w:hAnsi="仿宋_GB2312" w:eastAsia="仿宋_GB2312" w:cs="仿宋_GB2312"/>
                <w:b/>
              </w:rPr>
            </w:pPr>
            <w:r>
              <w:rPr>
                <w:rFonts w:hint="eastAsia" w:ascii="仿宋_GB2312" w:hAnsi="仿宋_GB2312" w:eastAsia="仿宋_GB2312" w:cs="仿宋_GB2312"/>
                <w:b/>
              </w:rPr>
              <w:t>序号</w:t>
            </w:r>
          </w:p>
        </w:tc>
        <w:tc>
          <w:tcPr>
            <w:tcW w:w="2027" w:type="dxa"/>
            <w:vAlign w:val="center"/>
          </w:tcPr>
          <w:p w14:paraId="10DBCDBB">
            <w:pPr>
              <w:jc w:val="center"/>
              <w:rPr>
                <w:rFonts w:ascii="仿宋_GB2312" w:hAnsi="仿宋_GB2312" w:eastAsia="仿宋_GB2312" w:cs="仿宋_GB2312"/>
                <w:b/>
              </w:rPr>
            </w:pPr>
            <w:r>
              <w:rPr>
                <w:rFonts w:hint="eastAsia" w:ascii="仿宋_GB2312" w:hAnsi="仿宋_GB2312" w:eastAsia="仿宋_GB2312" w:cs="仿宋_GB2312"/>
                <w:b/>
              </w:rPr>
              <w:t>采购单位名称</w:t>
            </w:r>
          </w:p>
        </w:tc>
        <w:tc>
          <w:tcPr>
            <w:tcW w:w="1592" w:type="dxa"/>
            <w:vAlign w:val="center"/>
          </w:tcPr>
          <w:p w14:paraId="59A27F03">
            <w:pPr>
              <w:jc w:val="center"/>
              <w:rPr>
                <w:rFonts w:ascii="仿宋_GB2312" w:hAnsi="仿宋_GB2312" w:eastAsia="仿宋_GB2312" w:cs="仿宋_GB2312"/>
                <w:b/>
              </w:rPr>
            </w:pPr>
            <w:r>
              <w:rPr>
                <w:rFonts w:hint="eastAsia" w:ascii="仿宋_GB2312" w:hAnsi="仿宋_GB2312" w:eastAsia="仿宋_GB2312" w:cs="仿宋_GB2312"/>
                <w:b/>
              </w:rPr>
              <w:t>合同名称</w:t>
            </w:r>
          </w:p>
        </w:tc>
        <w:tc>
          <w:tcPr>
            <w:tcW w:w="2375" w:type="dxa"/>
            <w:vAlign w:val="center"/>
          </w:tcPr>
          <w:p w14:paraId="7FA5F565">
            <w:pPr>
              <w:jc w:val="center"/>
              <w:rPr>
                <w:rFonts w:ascii="仿宋_GB2312" w:hAnsi="仿宋_GB2312" w:eastAsia="仿宋_GB2312" w:cs="仿宋_GB2312"/>
                <w:b/>
              </w:rPr>
            </w:pPr>
            <w:r>
              <w:rPr>
                <w:rFonts w:hint="eastAsia" w:ascii="仿宋_GB2312" w:hAnsi="仿宋_GB2312" w:eastAsia="仿宋_GB2312" w:cs="仿宋_GB2312"/>
                <w:b/>
              </w:rPr>
              <w:t>合同起止时间</w:t>
            </w:r>
          </w:p>
        </w:tc>
        <w:tc>
          <w:tcPr>
            <w:tcW w:w="1984" w:type="dxa"/>
            <w:vAlign w:val="center"/>
          </w:tcPr>
          <w:p w14:paraId="49FC4B4C">
            <w:pPr>
              <w:jc w:val="center"/>
              <w:rPr>
                <w:rFonts w:ascii="仿宋_GB2312" w:hAnsi="仿宋_GB2312" w:eastAsia="仿宋_GB2312" w:cs="仿宋_GB2312"/>
                <w:b/>
              </w:rPr>
            </w:pPr>
            <w:r>
              <w:rPr>
                <w:rFonts w:hint="eastAsia" w:ascii="仿宋_GB2312" w:hAnsi="仿宋_GB2312" w:eastAsia="仿宋_GB2312" w:cs="仿宋_GB2312"/>
                <w:b/>
              </w:rPr>
              <w:t>合同金额（万元）</w:t>
            </w:r>
          </w:p>
        </w:tc>
      </w:tr>
      <w:tr w14:paraId="6FAD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14:paraId="5445BC5A">
            <w:pPr>
              <w:widowControl w:val="0"/>
              <w:jc w:val="center"/>
              <w:rPr>
                <w:rFonts w:ascii="仿宋_GB2312" w:hAnsi="仿宋_GB2312" w:eastAsia="仿宋_GB2312" w:cs="仿宋_GB2312"/>
              </w:rPr>
            </w:pPr>
            <w:r>
              <w:rPr>
                <w:rFonts w:hint="eastAsia" w:ascii="仿宋_GB2312" w:hAnsi="仿宋_GB2312" w:eastAsia="仿宋_GB2312" w:cs="仿宋_GB2312"/>
              </w:rPr>
              <w:t>1</w:t>
            </w:r>
          </w:p>
        </w:tc>
        <w:tc>
          <w:tcPr>
            <w:tcW w:w="2027" w:type="dxa"/>
            <w:vAlign w:val="center"/>
          </w:tcPr>
          <w:p w14:paraId="639E931F">
            <w:pPr>
              <w:widowControl w:val="0"/>
              <w:jc w:val="center"/>
              <w:rPr>
                <w:rFonts w:ascii="仿宋_GB2312" w:hAnsi="仿宋_GB2312" w:eastAsia="仿宋_GB2312" w:cs="仿宋_GB2312"/>
              </w:rPr>
            </w:pPr>
          </w:p>
        </w:tc>
        <w:tc>
          <w:tcPr>
            <w:tcW w:w="1592" w:type="dxa"/>
            <w:vAlign w:val="center"/>
          </w:tcPr>
          <w:p w14:paraId="23EE9434">
            <w:pPr>
              <w:widowControl w:val="0"/>
              <w:jc w:val="center"/>
              <w:rPr>
                <w:rFonts w:ascii="仿宋_GB2312" w:hAnsi="仿宋_GB2312" w:eastAsia="仿宋_GB2312" w:cs="仿宋_GB2312"/>
              </w:rPr>
            </w:pPr>
          </w:p>
        </w:tc>
        <w:tc>
          <w:tcPr>
            <w:tcW w:w="2375" w:type="dxa"/>
            <w:vAlign w:val="center"/>
          </w:tcPr>
          <w:p w14:paraId="54672482">
            <w:pPr>
              <w:widowControl w:val="0"/>
              <w:jc w:val="center"/>
              <w:rPr>
                <w:rFonts w:ascii="仿宋_GB2312" w:hAnsi="仿宋_GB2312" w:eastAsia="仿宋_GB2312" w:cs="仿宋_GB2312"/>
              </w:rPr>
            </w:pPr>
          </w:p>
        </w:tc>
        <w:tc>
          <w:tcPr>
            <w:tcW w:w="1984" w:type="dxa"/>
            <w:vAlign w:val="center"/>
          </w:tcPr>
          <w:p w14:paraId="705E8328">
            <w:pPr>
              <w:widowControl w:val="0"/>
              <w:jc w:val="center"/>
              <w:rPr>
                <w:rFonts w:ascii="仿宋_GB2312" w:hAnsi="仿宋_GB2312" w:eastAsia="仿宋_GB2312" w:cs="仿宋_GB2312"/>
              </w:rPr>
            </w:pPr>
          </w:p>
        </w:tc>
      </w:tr>
      <w:tr w14:paraId="0461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14:paraId="134FF55A">
            <w:pPr>
              <w:widowControl w:val="0"/>
              <w:jc w:val="center"/>
              <w:rPr>
                <w:rFonts w:ascii="仿宋_GB2312" w:hAnsi="仿宋_GB2312" w:eastAsia="仿宋_GB2312" w:cs="仿宋_GB2312"/>
              </w:rPr>
            </w:pPr>
            <w:r>
              <w:rPr>
                <w:rFonts w:hint="eastAsia" w:ascii="仿宋_GB2312" w:hAnsi="仿宋_GB2312" w:eastAsia="仿宋_GB2312" w:cs="仿宋_GB2312"/>
              </w:rPr>
              <w:t>2</w:t>
            </w:r>
          </w:p>
        </w:tc>
        <w:tc>
          <w:tcPr>
            <w:tcW w:w="2027" w:type="dxa"/>
            <w:vAlign w:val="center"/>
          </w:tcPr>
          <w:p w14:paraId="1ADB5009">
            <w:pPr>
              <w:widowControl w:val="0"/>
              <w:jc w:val="center"/>
              <w:rPr>
                <w:rFonts w:ascii="仿宋_GB2312" w:hAnsi="仿宋_GB2312" w:eastAsia="仿宋_GB2312" w:cs="仿宋_GB2312"/>
              </w:rPr>
            </w:pPr>
          </w:p>
        </w:tc>
        <w:tc>
          <w:tcPr>
            <w:tcW w:w="1592" w:type="dxa"/>
            <w:vAlign w:val="center"/>
          </w:tcPr>
          <w:p w14:paraId="1670B1BF">
            <w:pPr>
              <w:widowControl w:val="0"/>
              <w:jc w:val="center"/>
              <w:rPr>
                <w:rFonts w:ascii="仿宋_GB2312" w:hAnsi="仿宋_GB2312" w:eastAsia="仿宋_GB2312" w:cs="仿宋_GB2312"/>
              </w:rPr>
            </w:pPr>
          </w:p>
        </w:tc>
        <w:tc>
          <w:tcPr>
            <w:tcW w:w="2375" w:type="dxa"/>
            <w:vAlign w:val="center"/>
          </w:tcPr>
          <w:p w14:paraId="1FACCD46">
            <w:pPr>
              <w:widowControl w:val="0"/>
              <w:jc w:val="center"/>
              <w:rPr>
                <w:rFonts w:ascii="仿宋_GB2312" w:hAnsi="仿宋_GB2312" w:eastAsia="仿宋_GB2312" w:cs="仿宋_GB2312"/>
              </w:rPr>
            </w:pPr>
          </w:p>
        </w:tc>
        <w:tc>
          <w:tcPr>
            <w:tcW w:w="1984" w:type="dxa"/>
            <w:vAlign w:val="center"/>
          </w:tcPr>
          <w:p w14:paraId="5CEA0BF8">
            <w:pPr>
              <w:widowControl w:val="0"/>
              <w:jc w:val="center"/>
              <w:rPr>
                <w:rFonts w:ascii="仿宋_GB2312" w:hAnsi="仿宋_GB2312" w:eastAsia="仿宋_GB2312" w:cs="仿宋_GB2312"/>
              </w:rPr>
            </w:pPr>
          </w:p>
        </w:tc>
      </w:tr>
      <w:tr w14:paraId="1918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14:paraId="401ED04A">
            <w:pPr>
              <w:widowControl w:val="0"/>
              <w:jc w:val="center"/>
              <w:rPr>
                <w:rFonts w:ascii="仿宋_GB2312" w:hAnsi="仿宋_GB2312" w:eastAsia="仿宋_GB2312" w:cs="仿宋_GB2312"/>
              </w:rPr>
            </w:pPr>
            <w:r>
              <w:rPr>
                <w:rFonts w:hint="eastAsia" w:ascii="仿宋_GB2312" w:hAnsi="仿宋_GB2312" w:eastAsia="仿宋_GB2312" w:cs="仿宋_GB2312"/>
              </w:rPr>
              <w:t>3</w:t>
            </w:r>
          </w:p>
        </w:tc>
        <w:tc>
          <w:tcPr>
            <w:tcW w:w="2027" w:type="dxa"/>
            <w:vAlign w:val="center"/>
          </w:tcPr>
          <w:p w14:paraId="2D1D2D68">
            <w:pPr>
              <w:widowControl w:val="0"/>
              <w:jc w:val="center"/>
              <w:rPr>
                <w:rFonts w:ascii="仿宋_GB2312" w:hAnsi="仿宋_GB2312" w:eastAsia="仿宋_GB2312" w:cs="仿宋_GB2312"/>
              </w:rPr>
            </w:pPr>
          </w:p>
        </w:tc>
        <w:tc>
          <w:tcPr>
            <w:tcW w:w="1592" w:type="dxa"/>
            <w:vAlign w:val="center"/>
          </w:tcPr>
          <w:p w14:paraId="3799BFA7">
            <w:pPr>
              <w:widowControl w:val="0"/>
              <w:jc w:val="center"/>
              <w:rPr>
                <w:rFonts w:ascii="仿宋_GB2312" w:hAnsi="仿宋_GB2312" w:eastAsia="仿宋_GB2312" w:cs="仿宋_GB2312"/>
              </w:rPr>
            </w:pPr>
          </w:p>
        </w:tc>
        <w:tc>
          <w:tcPr>
            <w:tcW w:w="2375" w:type="dxa"/>
            <w:vAlign w:val="center"/>
          </w:tcPr>
          <w:p w14:paraId="4BB4781E">
            <w:pPr>
              <w:widowControl w:val="0"/>
              <w:jc w:val="center"/>
              <w:rPr>
                <w:rFonts w:ascii="仿宋_GB2312" w:hAnsi="仿宋_GB2312" w:eastAsia="仿宋_GB2312" w:cs="仿宋_GB2312"/>
              </w:rPr>
            </w:pPr>
          </w:p>
        </w:tc>
        <w:tc>
          <w:tcPr>
            <w:tcW w:w="1984" w:type="dxa"/>
            <w:vAlign w:val="center"/>
          </w:tcPr>
          <w:p w14:paraId="7BDA7926">
            <w:pPr>
              <w:widowControl w:val="0"/>
              <w:jc w:val="center"/>
              <w:rPr>
                <w:rFonts w:ascii="仿宋_GB2312" w:hAnsi="仿宋_GB2312" w:eastAsia="仿宋_GB2312" w:cs="仿宋_GB2312"/>
              </w:rPr>
            </w:pPr>
          </w:p>
        </w:tc>
      </w:tr>
      <w:tr w14:paraId="140F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6" w:type="dxa"/>
            <w:vAlign w:val="center"/>
          </w:tcPr>
          <w:p w14:paraId="4A8498C1">
            <w:pPr>
              <w:widowControl w:val="0"/>
              <w:jc w:val="center"/>
              <w:rPr>
                <w:rFonts w:ascii="仿宋_GB2312" w:hAnsi="仿宋_GB2312" w:eastAsia="仿宋_GB2312" w:cs="仿宋_GB2312"/>
              </w:rPr>
            </w:pPr>
            <w:r>
              <w:rPr>
                <w:rFonts w:hint="eastAsia" w:ascii="仿宋_GB2312" w:hAnsi="仿宋_GB2312" w:eastAsia="仿宋_GB2312" w:cs="仿宋_GB2312"/>
              </w:rPr>
              <w:t>……</w:t>
            </w:r>
          </w:p>
        </w:tc>
        <w:tc>
          <w:tcPr>
            <w:tcW w:w="2027" w:type="dxa"/>
            <w:vAlign w:val="center"/>
          </w:tcPr>
          <w:p w14:paraId="06FA0D18">
            <w:pPr>
              <w:widowControl w:val="0"/>
              <w:jc w:val="center"/>
              <w:rPr>
                <w:rFonts w:ascii="仿宋_GB2312" w:hAnsi="仿宋_GB2312" w:eastAsia="仿宋_GB2312" w:cs="仿宋_GB2312"/>
              </w:rPr>
            </w:pPr>
          </w:p>
        </w:tc>
        <w:tc>
          <w:tcPr>
            <w:tcW w:w="1592" w:type="dxa"/>
            <w:vAlign w:val="center"/>
          </w:tcPr>
          <w:p w14:paraId="743EA035">
            <w:pPr>
              <w:widowControl w:val="0"/>
              <w:jc w:val="center"/>
              <w:rPr>
                <w:rFonts w:ascii="仿宋_GB2312" w:hAnsi="仿宋_GB2312" w:eastAsia="仿宋_GB2312" w:cs="仿宋_GB2312"/>
              </w:rPr>
            </w:pPr>
          </w:p>
        </w:tc>
        <w:tc>
          <w:tcPr>
            <w:tcW w:w="2375" w:type="dxa"/>
            <w:vAlign w:val="center"/>
          </w:tcPr>
          <w:p w14:paraId="30576D23">
            <w:pPr>
              <w:widowControl w:val="0"/>
              <w:jc w:val="center"/>
              <w:rPr>
                <w:rFonts w:ascii="仿宋_GB2312" w:hAnsi="仿宋_GB2312" w:eastAsia="仿宋_GB2312" w:cs="仿宋_GB2312"/>
              </w:rPr>
            </w:pPr>
          </w:p>
        </w:tc>
        <w:tc>
          <w:tcPr>
            <w:tcW w:w="1984" w:type="dxa"/>
            <w:vAlign w:val="center"/>
          </w:tcPr>
          <w:p w14:paraId="77921D6E">
            <w:pPr>
              <w:widowControl w:val="0"/>
              <w:jc w:val="center"/>
              <w:rPr>
                <w:rFonts w:ascii="仿宋_GB2312" w:hAnsi="仿宋_GB2312" w:eastAsia="仿宋_GB2312" w:cs="仿宋_GB2312"/>
              </w:rPr>
            </w:pPr>
          </w:p>
        </w:tc>
      </w:tr>
      <w:tr w14:paraId="6B88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034" w:type="dxa"/>
            <w:gridSpan w:val="5"/>
            <w:vAlign w:val="center"/>
          </w:tcPr>
          <w:p w14:paraId="3A2BAEC7">
            <w:pPr>
              <w:widowControl w:val="0"/>
              <w:jc w:val="left"/>
              <w:rPr>
                <w:rFonts w:ascii="仿宋_GB2312" w:hAnsi="仿宋_GB2312" w:eastAsia="仿宋_GB2312" w:cs="仿宋_GB2312"/>
              </w:rPr>
            </w:pPr>
            <w:r>
              <w:rPr>
                <w:rFonts w:hint="eastAsia" w:ascii="仿宋_GB2312" w:hAnsi="仿宋_GB2312" w:eastAsia="仿宋_GB2312" w:cs="仿宋_GB2312"/>
                <w:b/>
              </w:rPr>
              <w:t>数量合计（个）</w:t>
            </w:r>
            <w:r>
              <w:rPr>
                <w:rFonts w:hint="eastAsia" w:ascii="仿宋_GB2312" w:hAnsi="仿宋_GB2312" w:eastAsia="仿宋_GB2312" w:cs="仿宋_GB2312"/>
              </w:rPr>
              <w:t>：</w:t>
            </w:r>
          </w:p>
        </w:tc>
      </w:tr>
    </w:tbl>
    <w:p w14:paraId="6575A1BA">
      <w:pPr>
        <w:tabs>
          <w:tab w:val="right" w:pos="9070"/>
        </w:tabs>
        <w:snapToGrid w:val="0"/>
        <w:spacing w:line="240" w:lineRule="auto"/>
        <w:rPr>
          <w:rFonts w:ascii="仿宋_GB2312" w:hAnsi="仿宋_GB2312" w:eastAsia="仿宋_GB2312" w:cs="仿宋_GB2312"/>
          <w:b/>
          <w:bCs/>
        </w:rPr>
      </w:pPr>
      <w:r>
        <w:rPr>
          <w:rFonts w:hint="eastAsia" w:ascii="仿宋_GB2312" w:hAnsi="仿宋_GB2312" w:eastAsia="仿宋_GB2312" w:cs="仿宋_GB2312"/>
        </w:rPr>
        <w:t xml:space="preserve">    注：1、后附2022年1月1日以来同类项目合同复印件加盖响应人公章（以合同签订日期为准）</w:t>
      </w:r>
      <w:r>
        <w:rPr>
          <w:rFonts w:hint="eastAsia" w:ascii="仿宋_GB2312" w:hAnsi="仿宋_GB2312" w:eastAsia="仿宋_GB2312" w:cs="仿宋_GB2312"/>
          <w:bCs/>
        </w:rPr>
        <w:t>2、视情况，此表一并随《成交结果》公示。</w:t>
      </w:r>
    </w:p>
    <w:p w14:paraId="311D033C">
      <w:pPr>
        <w:tabs>
          <w:tab w:val="right" w:pos="9070"/>
        </w:tabs>
        <w:snapToGrid w:val="0"/>
        <w:spacing w:line="500" w:lineRule="exact"/>
        <w:ind w:left="566" w:leftChars="200"/>
        <w:rPr>
          <w:rFonts w:ascii="仿宋_GB2312" w:hAnsi="仿宋_GB2312" w:eastAsia="仿宋_GB2312" w:cs="仿宋_GB2312"/>
        </w:rPr>
      </w:pPr>
      <w:r>
        <w:rPr>
          <w:rFonts w:hint="eastAsia" w:ascii="仿宋_GB2312" w:hAnsi="仿宋_GB2312" w:eastAsia="仿宋_GB2312" w:cs="仿宋_GB2312"/>
          <w:b/>
          <w:bCs/>
        </w:rPr>
        <w:t>（三）项目团队样表</w:t>
      </w:r>
    </w:p>
    <w:p w14:paraId="0D14E4DF">
      <w:pPr>
        <w:tabs>
          <w:tab w:val="right" w:pos="9070"/>
        </w:tabs>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1、项目团队情况概述</w:t>
      </w:r>
    </w:p>
    <w:p w14:paraId="115EDFC1">
      <w:pPr>
        <w:tabs>
          <w:tab w:val="right" w:pos="9070"/>
        </w:tabs>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概述内容包括但不限于为本项目提供服务的团队整体情况、团队负责人、联系人基本情况、背景、能力介绍等，具体内容自行编制。</w:t>
      </w:r>
    </w:p>
    <w:p w14:paraId="107B9F2D">
      <w:pPr>
        <w:tabs>
          <w:tab w:val="right" w:pos="9070"/>
        </w:tabs>
        <w:spacing w:line="500" w:lineRule="exact"/>
        <w:ind w:firstLine="566" w:firstLineChars="200"/>
        <w:rPr>
          <w:rFonts w:ascii="仿宋_GB2312" w:hAnsi="仿宋_GB2312" w:eastAsia="仿宋_GB2312" w:cs="仿宋_GB2312"/>
        </w:rPr>
      </w:pPr>
      <w:r>
        <w:rPr>
          <w:rFonts w:hint="eastAsia" w:ascii="仿宋_GB2312" w:hAnsi="仿宋_GB2312" w:eastAsia="仿宋_GB2312" w:cs="仿宋_GB2312"/>
        </w:rPr>
        <w:t>2、项目团队人员清单</w:t>
      </w:r>
    </w:p>
    <w:tbl>
      <w:tblPr>
        <w:tblStyle w:val="2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4193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l2br w:val="nil"/>
              <w:tr2bl w:val="nil"/>
            </w:tcBorders>
            <w:vAlign w:val="center"/>
          </w:tcPr>
          <w:p w14:paraId="7EFF27BB">
            <w:pPr>
              <w:tabs>
                <w:tab w:val="right" w:pos="9070"/>
              </w:tabs>
              <w:spacing w:line="5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1、项目负责人/技术负责人</w:t>
            </w:r>
          </w:p>
        </w:tc>
      </w:tr>
      <w:tr w14:paraId="18CB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2E0FD67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tl2br w:val="nil"/>
              <w:tr2bl w:val="nil"/>
            </w:tcBorders>
            <w:vAlign w:val="center"/>
          </w:tcPr>
          <w:p w14:paraId="2693A59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60" w:type="dxa"/>
            <w:tcBorders>
              <w:tl2br w:val="nil"/>
              <w:tr2bl w:val="nil"/>
            </w:tcBorders>
            <w:vAlign w:val="center"/>
          </w:tcPr>
          <w:p w14:paraId="10DB7A0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w:t>
            </w:r>
          </w:p>
        </w:tc>
        <w:tc>
          <w:tcPr>
            <w:tcW w:w="1387" w:type="dxa"/>
            <w:gridSpan w:val="2"/>
            <w:tcBorders>
              <w:tl2br w:val="nil"/>
              <w:tr2bl w:val="nil"/>
            </w:tcBorders>
            <w:vAlign w:val="center"/>
          </w:tcPr>
          <w:p w14:paraId="6B0503A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604" w:type="dxa"/>
            <w:gridSpan w:val="3"/>
            <w:tcBorders>
              <w:tl2br w:val="nil"/>
              <w:tr2bl w:val="nil"/>
            </w:tcBorders>
            <w:vAlign w:val="center"/>
          </w:tcPr>
          <w:p w14:paraId="67198CCE">
            <w:pPr>
              <w:spacing w:line="2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在本行业从业工作年限</w:t>
            </w:r>
          </w:p>
        </w:tc>
        <w:tc>
          <w:tcPr>
            <w:tcW w:w="1740" w:type="dxa"/>
            <w:tcBorders>
              <w:tl2br w:val="nil"/>
              <w:tr2bl w:val="nil"/>
            </w:tcBorders>
            <w:vAlign w:val="center"/>
          </w:tcPr>
          <w:p w14:paraId="33833DC7">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4D62AC26">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91" w:type="dxa"/>
            <w:gridSpan w:val="2"/>
            <w:tcBorders>
              <w:tl2br w:val="nil"/>
              <w:tr2bl w:val="nil"/>
            </w:tcBorders>
            <w:vAlign w:val="center"/>
          </w:tcPr>
          <w:p w14:paraId="46AD8CDF">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本项目分工</w:t>
            </w:r>
          </w:p>
        </w:tc>
      </w:tr>
      <w:tr w14:paraId="727A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1BD94B0B">
            <w:pPr>
              <w:rPr>
                <w:rFonts w:ascii="仿宋_GB2312" w:hAnsi="仿宋_GB2312" w:eastAsia="仿宋_GB2312" w:cs="仿宋_GB2312"/>
                <w:sz w:val="24"/>
                <w:szCs w:val="24"/>
              </w:rPr>
            </w:pPr>
          </w:p>
        </w:tc>
        <w:tc>
          <w:tcPr>
            <w:tcW w:w="969" w:type="dxa"/>
            <w:tcBorders>
              <w:tl2br w:val="nil"/>
              <w:tr2bl w:val="nil"/>
            </w:tcBorders>
            <w:vAlign w:val="center"/>
          </w:tcPr>
          <w:p w14:paraId="5C538E69">
            <w:pPr>
              <w:rPr>
                <w:rFonts w:ascii="仿宋_GB2312" w:hAnsi="仿宋_GB2312" w:eastAsia="仿宋_GB2312" w:cs="仿宋_GB2312"/>
                <w:sz w:val="24"/>
                <w:szCs w:val="24"/>
              </w:rPr>
            </w:pPr>
          </w:p>
        </w:tc>
        <w:tc>
          <w:tcPr>
            <w:tcW w:w="1260" w:type="dxa"/>
            <w:tcBorders>
              <w:tl2br w:val="nil"/>
              <w:tr2bl w:val="nil"/>
            </w:tcBorders>
            <w:vAlign w:val="center"/>
          </w:tcPr>
          <w:p w14:paraId="62006C03">
            <w:pPr>
              <w:rPr>
                <w:rFonts w:ascii="仿宋_GB2312" w:hAnsi="仿宋_GB2312" w:eastAsia="仿宋_GB2312" w:cs="仿宋_GB2312"/>
                <w:sz w:val="24"/>
                <w:szCs w:val="24"/>
              </w:rPr>
            </w:pPr>
          </w:p>
        </w:tc>
        <w:tc>
          <w:tcPr>
            <w:tcW w:w="1387" w:type="dxa"/>
            <w:gridSpan w:val="2"/>
            <w:tcBorders>
              <w:tl2br w:val="nil"/>
              <w:tr2bl w:val="nil"/>
            </w:tcBorders>
            <w:vAlign w:val="center"/>
          </w:tcPr>
          <w:p w14:paraId="5FBB1C8F">
            <w:pPr>
              <w:rPr>
                <w:rFonts w:ascii="仿宋_GB2312" w:hAnsi="仿宋_GB2312" w:eastAsia="仿宋_GB2312" w:cs="仿宋_GB2312"/>
                <w:sz w:val="24"/>
                <w:szCs w:val="24"/>
              </w:rPr>
            </w:pPr>
          </w:p>
        </w:tc>
        <w:tc>
          <w:tcPr>
            <w:tcW w:w="1604" w:type="dxa"/>
            <w:gridSpan w:val="3"/>
            <w:tcBorders>
              <w:tl2br w:val="nil"/>
              <w:tr2bl w:val="nil"/>
            </w:tcBorders>
            <w:vAlign w:val="center"/>
          </w:tcPr>
          <w:p w14:paraId="6882D46F">
            <w:pPr>
              <w:rPr>
                <w:rFonts w:ascii="仿宋_GB2312" w:hAnsi="仿宋_GB2312" w:eastAsia="仿宋_GB2312" w:cs="仿宋_GB2312"/>
                <w:sz w:val="24"/>
                <w:szCs w:val="24"/>
              </w:rPr>
            </w:pPr>
          </w:p>
        </w:tc>
        <w:tc>
          <w:tcPr>
            <w:tcW w:w="1740" w:type="dxa"/>
            <w:tcBorders>
              <w:tl2br w:val="nil"/>
              <w:tr2bl w:val="nil"/>
            </w:tcBorders>
            <w:vAlign w:val="center"/>
          </w:tcPr>
          <w:p w14:paraId="0682F7B5">
            <w:pPr>
              <w:rPr>
                <w:rFonts w:ascii="仿宋_GB2312" w:hAnsi="仿宋_GB2312" w:eastAsia="仿宋_GB2312" w:cs="仿宋_GB2312"/>
                <w:sz w:val="24"/>
                <w:szCs w:val="24"/>
              </w:rPr>
            </w:pPr>
          </w:p>
        </w:tc>
        <w:tc>
          <w:tcPr>
            <w:tcW w:w="1091" w:type="dxa"/>
            <w:gridSpan w:val="2"/>
            <w:tcBorders>
              <w:tl2br w:val="nil"/>
              <w:tr2bl w:val="nil"/>
            </w:tcBorders>
            <w:vAlign w:val="center"/>
          </w:tcPr>
          <w:p w14:paraId="71F6478E">
            <w:pPr>
              <w:rPr>
                <w:rFonts w:ascii="仿宋_GB2312" w:hAnsi="仿宋_GB2312" w:eastAsia="仿宋_GB2312" w:cs="仿宋_GB2312"/>
                <w:sz w:val="24"/>
                <w:szCs w:val="24"/>
              </w:rPr>
            </w:pPr>
          </w:p>
        </w:tc>
      </w:tr>
      <w:tr w14:paraId="19BC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l2br w:val="nil"/>
              <w:tr2bl w:val="nil"/>
            </w:tcBorders>
            <w:vAlign w:val="center"/>
          </w:tcPr>
          <w:p w14:paraId="60B3AD44">
            <w:pPr>
              <w:rPr>
                <w:rFonts w:ascii="仿宋_GB2312" w:hAnsi="仿宋_GB2312" w:eastAsia="仿宋_GB2312" w:cs="仿宋_GB2312"/>
                <w:sz w:val="24"/>
                <w:szCs w:val="24"/>
              </w:rPr>
            </w:pPr>
            <w:r>
              <w:rPr>
                <w:rFonts w:hint="eastAsia" w:ascii="仿宋_GB2312" w:hAnsi="仿宋_GB2312" w:eastAsia="仿宋_GB2312" w:cs="仿宋_GB2312"/>
                <w:sz w:val="24"/>
                <w:szCs w:val="24"/>
              </w:rPr>
              <w:t>2、技术人员</w:t>
            </w:r>
          </w:p>
        </w:tc>
      </w:tr>
      <w:tr w14:paraId="3096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41C1D72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tl2br w:val="nil"/>
              <w:tr2bl w:val="nil"/>
            </w:tcBorders>
            <w:vAlign w:val="center"/>
          </w:tcPr>
          <w:p w14:paraId="7495898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60" w:type="dxa"/>
            <w:tcBorders>
              <w:tl2br w:val="nil"/>
              <w:tr2bl w:val="nil"/>
            </w:tcBorders>
            <w:vAlign w:val="center"/>
          </w:tcPr>
          <w:p w14:paraId="593DC70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w:t>
            </w:r>
          </w:p>
        </w:tc>
        <w:tc>
          <w:tcPr>
            <w:tcW w:w="1404" w:type="dxa"/>
            <w:gridSpan w:val="3"/>
            <w:tcBorders>
              <w:tl2br w:val="nil"/>
              <w:tr2bl w:val="nil"/>
            </w:tcBorders>
            <w:vAlign w:val="center"/>
          </w:tcPr>
          <w:p w14:paraId="7299C9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587" w:type="dxa"/>
            <w:gridSpan w:val="2"/>
            <w:tcBorders>
              <w:tl2br w:val="nil"/>
              <w:tr2bl w:val="nil"/>
            </w:tcBorders>
            <w:vAlign w:val="center"/>
          </w:tcPr>
          <w:p w14:paraId="2B872E92">
            <w:pPr>
              <w:spacing w:line="2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在本行业从业工作年限</w:t>
            </w:r>
          </w:p>
        </w:tc>
        <w:tc>
          <w:tcPr>
            <w:tcW w:w="1782" w:type="dxa"/>
            <w:gridSpan w:val="2"/>
            <w:tcBorders>
              <w:tl2br w:val="nil"/>
              <w:tr2bl w:val="nil"/>
            </w:tcBorders>
            <w:vAlign w:val="center"/>
          </w:tcPr>
          <w:p w14:paraId="43CD5246">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323BA6A0">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49" w:type="dxa"/>
            <w:tcBorders>
              <w:tl2br w:val="nil"/>
              <w:tr2bl w:val="nil"/>
            </w:tcBorders>
            <w:vAlign w:val="center"/>
          </w:tcPr>
          <w:p w14:paraId="1413AF2A">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w:t>
            </w:r>
          </w:p>
          <w:p w14:paraId="364F0621">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分工</w:t>
            </w:r>
          </w:p>
        </w:tc>
      </w:tr>
      <w:tr w14:paraId="5E1A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38883FD0">
            <w:pPr>
              <w:rPr>
                <w:rFonts w:ascii="仿宋_GB2312" w:hAnsi="仿宋_GB2312" w:eastAsia="仿宋_GB2312" w:cs="仿宋_GB2312"/>
                <w:sz w:val="24"/>
                <w:szCs w:val="24"/>
              </w:rPr>
            </w:pPr>
          </w:p>
        </w:tc>
        <w:tc>
          <w:tcPr>
            <w:tcW w:w="969" w:type="dxa"/>
            <w:tcBorders>
              <w:tl2br w:val="nil"/>
              <w:tr2bl w:val="nil"/>
            </w:tcBorders>
            <w:vAlign w:val="center"/>
          </w:tcPr>
          <w:p w14:paraId="3025C648">
            <w:pPr>
              <w:rPr>
                <w:rFonts w:ascii="仿宋_GB2312" w:hAnsi="仿宋_GB2312" w:eastAsia="仿宋_GB2312" w:cs="仿宋_GB2312"/>
                <w:sz w:val="24"/>
                <w:szCs w:val="24"/>
              </w:rPr>
            </w:pPr>
          </w:p>
        </w:tc>
        <w:tc>
          <w:tcPr>
            <w:tcW w:w="1260" w:type="dxa"/>
            <w:tcBorders>
              <w:tl2br w:val="nil"/>
              <w:tr2bl w:val="nil"/>
            </w:tcBorders>
            <w:vAlign w:val="center"/>
          </w:tcPr>
          <w:p w14:paraId="14C23E99">
            <w:pPr>
              <w:rPr>
                <w:rFonts w:ascii="仿宋_GB2312" w:hAnsi="仿宋_GB2312" w:eastAsia="仿宋_GB2312" w:cs="仿宋_GB2312"/>
                <w:sz w:val="24"/>
                <w:szCs w:val="24"/>
              </w:rPr>
            </w:pPr>
          </w:p>
        </w:tc>
        <w:tc>
          <w:tcPr>
            <w:tcW w:w="1404" w:type="dxa"/>
            <w:gridSpan w:val="3"/>
            <w:tcBorders>
              <w:tl2br w:val="nil"/>
              <w:tr2bl w:val="nil"/>
            </w:tcBorders>
            <w:vAlign w:val="center"/>
          </w:tcPr>
          <w:p w14:paraId="4C90F333">
            <w:pPr>
              <w:rPr>
                <w:rFonts w:ascii="仿宋_GB2312" w:hAnsi="仿宋_GB2312" w:eastAsia="仿宋_GB2312" w:cs="仿宋_GB2312"/>
                <w:sz w:val="24"/>
                <w:szCs w:val="24"/>
              </w:rPr>
            </w:pPr>
          </w:p>
        </w:tc>
        <w:tc>
          <w:tcPr>
            <w:tcW w:w="1587" w:type="dxa"/>
            <w:gridSpan w:val="2"/>
            <w:tcBorders>
              <w:tl2br w:val="nil"/>
              <w:tr2bl w:val="nil"/>
            </w:tcBorders>
            <w:vAlign w:val="center"/>
          </w:tcPr>
          <w:p w14:paraId="3CB1EBEF">
            <w:pPr>
              <w:rPr>
                <w:rFonts w:ascii="仿宋_GB2312" w:hAnsi="仿宋_GB2312" w:eastAsia="仿宋_GB2312" w:cs="仿宋_GB2312"/>
                <w:sz w:val="24"/>
                <w:szCs w:val="24"/>
              </w:rPr>
            </w:pPr>
          </w:p>
        </w:tc>
        <w:tc>
          <w:tcPr>
            <w:tcW w:w="1782" w:type="dxa"/>
            <w:gridSpan w:val="2"/>
            <w:tcBorders>
              <w:tl2br w:val="nil"/>
              <w:tr2bl w:val="nil"/>
            </w:tcBorders>
            <w:vAlign w:val="center"/>
          </w:tcPr>
          <w:p w14:paraId="10849BF3">
            <w:pPr>
              <w:rPr>
                <w:rFonts w:ascii="仿宋_GB2312" w:hAnsi="仿宋_GB2312" w:eastAsia="仿宋_GB2312" w:cs="仿宋_GB2312"/>
                <w:sz w:val="24"/>
                <w:szCs w:val="24"/>
              </w:rPr>
            </w:pPr>
          </w:p>
        </w:tc>
        <w:tc>
          <w:tcPr>
            <w:tcW w:w="1049" w:type="dxa"/>
            <w:tcBorders>
              <w:tl2br w:val="nil"/>
              <w:tr2bl w:val="nil"/>
            </w:tcBorders>
            <w:vAlign w:val="center"/>
          </w:tcPr>
          <w:p w14:paraId="7F5DB0E7">
            <w:pPr>
              <w:rPr>
                <w:rFonts w:ascii="仿宋_GB2312" w:hAnsi="仿宋_GB2312" w:eastAsia="仿宋_GB2312" w:cs="仿宋_GB2312"/>
                <w:sz w:val="24"/>
                <w:szCs w:val="24"/>
              </w:rPr>
            </w:pPr>
          </w:p>
        </w:tc>
      </w:tr>
      <w:tr w14:paraId="67AD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7D3556DC">
            <w:pPr>
              <w:rPr>
                <w:rFonts w:ascii="仿宋_GB2312" w:hAnsi="仿宋_GB2312" w:eastAsia="仿宋_GB2312" w:cs="仿宋_GB2312"/>
                <w:sz w:val="24"/>
                <w:szCs w:val="24"/>
              </w:rPr>
            </w:pPr>
          </w:p>
        </w:tc>
        <w:tc>
          <w:tcPr>
            <w:tcW w:w="969" w:type="dxa"/>
            <w:tcBorders>
              <w:tl2br w:val="nil"/>
              <w:tr2bl w:val="nil"/>
            </w:tcBorders>
            <w:vAlign w:val="center"/>
          </w:tcPr>
          <w:p w14:paraId="1633992B">
            <w:pPr>
              <w:rPr>
                <w:rFonts w:ascii="仿宋_GB2312" w:hAnsi="仿宋_GB2312" w:eastAsia="仿宋_GB2312" w:cs="仿宋_GB2312"/>
                <w:sz w:val="24"/>
                <w:szCs w:val="24"/>
              </w:rPr>
            </w:pPr>
          </w:p>
        </w:tc>
        <w:tc>
          <w:tcPr>
            <w:tcW w:w="1260" w:type="dxa"/>
            <w:tcBorders>
              <w:tl2br w:val="nil"/>
              <w:tr2bl w:val="nil"/>
            </w:tcBorders>
            <w:vAlign w:val="center"/>
          </w:tcPr>
          <w:p w14:paraId="44E7BE45">
            <w:pPr>
              <w:rPr>
                <w:rFonts w:ascii="仿宋_GB2312" w:hAnsi="仿宋_GB2312" w:eastAsia="仿宋_GB2312" w:cs="仿宋_GB2312"/>
                <w:sz w:val="24"/>
                <w:szCs w:val="24"/>
              </w:rPr>
            </w:pPr>
          </w:p>
        </w:tc>
        <w:tc>
          <w:tcPr>
            <w:tcW w:w="1404" w:type="dxa"/>
            <w:gridSpan w:val="3"/>
            <w:tcBorders>
              <w:tl2br w:val="nil"/>
              <w:tr2bl w:val="nil"/>
            </w:tcBorders>
            <w:vAlign w:val="center"/>
          </w:tcPr>
          <w:p w14:paraId="47FC9B13">
            <w:pPr>
              <w:rPr>
                <w:rFonts w:ascii="仿宋_GB2312" w:hAnsi="仿宋_GB2312" w:eastAsia="仿宋_GB2312" w:cs="仿宋_GB2312"/>
                <w:sz w:val="24"/>
                <w:szCs w:val="24"/>
              </w:rPr>
            </w:pPr>
          </w:p>
        </w:tc>
        <w:tc>
          <w:tcPr>
            <w:tcW w:w="1587" w:type="dxa"/>
            <w:gridSpan w:val="2"/>
            <w:tcBorders>
              <w:tl2br w:val="nil"/>
              <w:tr2bl w:val="nil"/>
            </w:tcBorders>
            <w:vAlign w:val="center"/>
          </w:tcPr>
          <w:p w14:paraId="2613CB2E">
            <w:pPr>
              <w:rPr>
                <w:rFonts w:ascii="仿宋_GB2312" w:hAnsi="仿宋_GB2312" w:eastAsia="仿宋_GB2312" w:cs="仿宋_GB2312"/>
                <w:sz w:val="24"/>
                <w:szCs w:val="24"/>
              </w:rPr>
            </w:pPr>
          </w:p>
        </w:tc>
        <w:tc>
          <w:tcPr>
            <w:tcW w:w="1782" w:type="dxa"/>
            <w:gridSpan w:val="2"/>
            <w:tcBorders>
              <w:tl2br w:val="nil"/>
              <w:tr2bl w:val="nil"/>
            </w:tcBorders>
            <w:vAlign w:val="center"/>
          </w:tcPr>
          <w:p w14:paraId="5CD27721">
            <w:pPr>
              <w:rPr>
                <w:rFonts w:ascii="仿宋_GB2312" w:hAnsi="仿宋_GB2312" w:eastAsia="仿宋_GB2312" w:cs="仿宋_GB2312"/>
                <w:sz w:val="24"/>
                <w:szCs w:val="24"/>
              </w:rPr>
            </w:pPr>
          </w:p>
        </w:tc>
        <w:tc>
          <w:tcPr>
            <w:tcW w:w="1049" w:type="dxa"/>
            <w:tcBorders>
              <w:tl2br w:val="nil"/>
              <w:tr2bl w:val="nil"/>
            </w:tcBorders>
            <w:vAlign w:val="center"/>
          </w:tcPr>
          <w:p w14:paraId="1B3CAC54">
            <w:pPr>
              <w:rPr>
                <w:rFonts w:ascii="仿宋_GB2312" w:hAnsi="仿宋_GB2312" w:eastAsia="仿宋_GB2312" w:cs="仿宋_GB2312"/>
                <w:sz w:val="24"/>
                <w:szCs w:val="24"/>
              </w:rPr>
            </w:pPr>
          </w:p>
        </w:tc>
      </w:tr>
      <w:tr w14:paraId="3BEA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5384CEA3">
            <w:pPr>
              <w:rPr>
                <w:rFonts w:ascii="仿宋_GB2312" w:hAnsi="仿宋_GB2312" w:eastAsia="仿宋_GB2312" w:cs="仿宋_GB2312"/>
                <w:sz w:val="24"/>
                <w:szCs w:val="24"/>
              </w:rPr>
            </w:pPr>
          </w:p>
        </w:tc>
        <w:tc>
          <w:tcPr>
            <w:tcW w:w="969" w:type="dxa"/>
            <w:tcBorders>
              <w:tl2br w:val="nil"/>
              <w:tr2bl w:val="nil"/>
            </w:tcBorders>
            <w:vAlign w:val="center"/>
          </w:tcPr>
          <w:p w14:paraId="37485164">
            <w:pPr>
              <w:rPr>
                <w:rFonts w:ascii="仿宋_GB2312" w:hAnsi="仿宋_GB2312" w:eastAsia="仿宋_GB2312" w:cs="仿宋_GB2312"/>
                <w:sz w:val="24"/>
                <w:szCs w:val="24"/>
              </w:rPr>
            </w:pPr>
          </w:p>
        </w:tc>
        <w:tc>
          <w:tcPr>
            <w:tcW w:w="1260" w:type="dxa"/>
            <w:tcBorders>
              <w:tl2br w:val="nil"/>
              <w:tr2bl w:val="nil"/>
            </w:tcBorders>
            <w:vAlign w:val="center"/>
          </w:tcPr>
          <w:p w14:paraId="6CF9C854">
            <w:pPr>
              <w:rPr>
                <w:rFonts w:ascii="仿宋_GB2312" w:hAnsi="仿宋_GB2312" w:eastAsia="仿宋_GB2312" w:cs="仿宋_GB2312"/>
                <w:sz w:val="24"/>
                <w:szCs w:val="24"/>
              </w:rPr>
            </w:pPr>
          </w:p>
        </w:tc>
        <w:tc>
          <w:tcPr>
            <w:tcW w:w="1404" w:type="dxa"/>
            <w:gridSpan w:val="3"/>
            <w:tcBorders>
              <w:tl2br w:val="nil"/>
              <w:tr2bl w:val="nil"/>
            </w:tcBorders>
            <w:vAlign w:val="center"/>
          </w:tcPr>
          <w:p w14:paraId="0BE3CBEF">
            <w:pPr>
              <w:rPr>
                <w:rFonts w:ascii="仿宋_GB2312" w:hAnsi="仿宋_GB2312" w:eastAsia="仿宋_GB2312" w:cs="仿宋_GB2312"/>
                <w:sz w:val="24"/>
                <w:szCs w:val="24"/>
              </w:rPr>
            </w:pPr>
          </w:p>
        </w:tc>
        <w:tc>
          <w:tcPr>
            <w:tcW w:w="1587" w:type="dxa"/>
            <w:gridSpan w:val="2"/>
            <w:tcBorders>
              <w:tl2br w:val="nil"/>
              <w:tr2bl w:val="nil"/>
            </w:tcBorders>
            <w:vAlign w:val="center"/>
          </w:tcPr>
          <w:p w14:paraId="60E9ED9C">
            <w:pPr>
              <w:rPr>
                <w:rFonts w:ascii="仿宋_GB2312" w:hAnsi="仿宋_GB2312" w:eastAsia="仿宋_GB2312" w:cs="仿宋_GB2312"/>
                <w:sz w:val="24"/>
                <w:szCs w:val="24"/>
              </w:rPr>
            </w:pPr>
          </w:p>
        </w:tc>
        <w:tc>
          <w:tcPr>
            <w:tcW w:w="1782" w:type="dxa"/>
            <w:gridSpan w:val="2"/>
            <w:tcBorders>
              <w:tl2br w:val="nil"/>
              <w:tr2bl w:val="nil"/>
            </w:tcBorders>
            <w:vAlign w:val="center"/>
          </w:tcPr>
          <w:p w14:paraId="561C40B7">
            <w:pPr>
              <w:rPr>
                <w:rFonts w:ascii="仿宋_GB2312" w:hAnsi="仿宋_GB2312" w:eastAsia="仿宋_GB2312" w:cs="仿宋_GB2312"/>
                <w:sz w:val="24"/>
                <w:szCs w:val="24"/>
              </w:rPr>
            </w:pPr>
          </w:p>
        </w:tc>
        <w:tc>
          <w:tcPr>
            <w:tcW w:w="1049" w:type="dxa"/>
            <w:tcBorders>
              <w:tl2br w:val="nil"/>
              <w:tr2bl w:val="nil"/>
            </w:tcBorders>
            <w:vAlign w:val="center"/>
          </w:tcPr>
          <w:p w14:paraId="23D1EE35">
            <w:pPr>
              <w:rPr>
                <w:rFonts w:ascii="仿宋_GB2312" w:hAnsi="仿宋_GB2312" w:eastAsia="仿宋_GB2312" w:cs="仿宋_GB2312"/>
                <w:sz w:val="24"/>
                <w:szCs w:val="24"/>
              </w:rPr>
            </w:pPr>
          </w:p>
        </w:tc>
      </w:tr>
      <w:tr w14:paraId="5131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l2br w:val="nil"/>
              <w:tr2bl w:val="nil"/>
            </w:tcBorders>
            <w:vAlign w:val="center"/>
          </w:tcPr>
          <w:p w14:paraId="30671E3A">
            <w:pPr>
              <w:rPr>
                <w:rFonts w:ascii="仿宋_GB2312" w:hAnsi="仿宋_GB2312" w:eastAsia="仿宋_GB2312" w:cs="仿宋_GB2312"/>
                <w:sz w:val="24"/>
                <w:szCs w:val="24"/>
              </w:rPr>
            </w:pPr>
            <w:r>
              <w:rPr>
                <w:rFonts w:hint="eastAsia" w:ascii="仿宋_GB2312" w:hAnsi="仿宋_GB2312" w:eastAsia="仿宋_GB2312" w:cs="仿宋_GB2312"/>
                <w:sz w:val="24"/>
                <w:szCs w:val="24"/>
              </w:rPr>
              <w:t>3、辅助人员</w:t>
            </w:r>
          </w:p>
        </w:tc>
      </w:tr>
      <w:tr w14:paraId="5EB1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l2br w:val="nil"/>
              <w:tr2bl w:val="nil"/>
            </w:tcBorders>
            <w:vAlign w:val="center"/>
          </w:tcPr>
          <w:p w14:paraId="07CBDFA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969" w:type="dxa"/>
            <w:tcBorders>
              <w:tl2br w:val="nil"/>
              <w:tr2bl w:val="nil"/>
            </w:tcBorders>
            <w:vAlign w:val="center"/>
          </w:tcPr>
          <w:p w14:paraId="330A0A8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1284" w:type="dxa"/>
            <w:gridSpan w:val="2"/>
            <w:tcBorders>
              <w:tl2br w:val="nil"/>
              <w:tr2bl w:val="nil"/>
            </w:tcBorders>
            <w:vAlign w:val="center"/>
          </w:tcPr>
          <w:p w14:paraId="14DB8F2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386" w:type="dxa"/>
            <w:gridSpan w:val="3"/>
            <w:tcBorders>
              <w:tl2br w:val="nil"/>
              <w:tr2bl w:val="nil"/>
            </w:tcBorders>
            <w:vAlign w:val="center"/>
          </w:tcPr>
          <w:p w14:paraId="356C9C3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581" w:type="dxa"/>
            <w:tcBorders>
              <w:tl2br w:val="nil"/>
              <w:tr2bl w:val="nil"/>
            </w:tcBorders>
            <w:vAlign w:val="center"/>
          </w:tcPr>
          <w:p w14:paraId="2B0DC5E3">
            <w:pPr>
              <w:spacing w:line="28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从事类似项目工作年限</w:t>
            </w:r>
          </w:p>
        </w:tc>
        <w:tc>
          <w:tcPr>
            <w:tcW w:w="1782" w:type="dxa"/>
            <w:gridSpan w:val="2"/>
            <w:tcBorders>
              <w:tl2br w:val="nil"/>
              <w:tr2bl w:val="nil"/>
            </w:tcBorders>
            <w:vAlign w:val="center"/>
          </w:tcPr>
          <w:p w14:paraId="6280D049">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主要工作</w:t>
            </w:r>
          </w:p>
          <w:p w14:paraId="5DFF646D">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业绩和经历</w:t>
            </w:r>
          </w:p>
        </w:tc>
        <w:tc>
          <w:tcPr>
            <w:tcW w:w="1049" w:type="dxa"/>
            <w:tcBorders>
              <w:tl2br w:val="nil"/>
              <w:tr2bl w:val="nil"/>
            </w:tcBorders>
            <w:vAlign w:val="center"/>
          </w:tcPr>
          <w:p w14:paraId="098B9FF5">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本项目分工</w:t>
            </w:r>
          </w:p>
        </w:tc>
      </w:tr>
      <w:tr w14:paraId="4941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390B65A5">
            <w:pPr>
              <w:rPr>
                <w:rFonts w:ascii="仿宋_GB2312" w:hAnsi="仿宋_GB2312" w:eastAsia="仿宋_GB2312" w:cs="仿宋_GB2312"/>
                <w:sz w:val="24"/>
                <w:szCs w:val="24"/>
              </w:rPr>
            </w:pPr>
          </w:p>
        </w:tc>
        <w:tc>
          <w:tcPr>
            <w:tcW w:w="969" w:type="dxa"/>
            <w:tcBorders>
              <w:tl2br w:val="nil"/>
              <w:tr2bl w:val="nil"/>
            </w:tcBorders>
            <w:vAlign w:val="center"/>
          </w:tcPr>
          <w:p w14:paraId="3FA770B2">
            <w:pPr>
              <w:rPr>
                <w:rFonts w:ascii="仿宋_GB2312" w:hAnsi="仿宋_GB2312" w:eastAsia="仿宋_GB2312" w:cs="仿宋_GB2312"/>
                <w:sz w:val="24"/>
                <w:szCs w:val="24"/>
              </w:rPr>
            </w:pPr>
          </w:p>
        </w:tc>
        <w:tc>
          <w:tcPr>
            <w:tcW w:w="1284" w:type="dxa"/>
            <w:gridSpan w:val="2"/>
            <w:tcBorders>
              <w:tl2br w:val="nil"/>
              <w:tr2bl w:val="nil"/>
            </w:tcBorders>
            <w:vAlign w:val="center"/>
          </w:tcPr>
          <w:p w14:paraId="38BED247">
            <w:pPr>
              <w:rPr>
                <w:rFonts w:ascii="仿宋_GB2312" w:hAnsi="仿宋_GB2312" w:eastAsia="仿宋_GB2312" w:cs="仿宋_GB2312"/>
                <w:sz w:val="24"/>
                <w:szCs w:val="24"/>
              </w:rPr>
            </w:pPr>
          </w:p>
        </w:tc>
        <w:tc>
          <w:tcPr>
            <w:tcW w:w="1386" w:type="dxa"/>
            <w:gridSpan w:val="3"/>
            <w:tcBorders>
              <w:tl2br w:val="nil"/>
              <w:tr2bl w:val="nil"/>
            </w:tcBorders>
            <w:vAlign w:val="center"/>
          </w:tcPr>
          <w:p w14:paraId="48E676A8">
            <w:pPr>
              <w:rPr>
                <w:rFonts w:ascii="仿宋_GB2312" w:hAnsi="仿宋_GB2312" w:eastAsia="仿宋_GB2312" w:cs="仿宋_GB2312"/>
                <w:sz w:val="24"/>
                <w:szCs w:val="24"/>
              </w:rPr>
            </w:pPr>
          </w:p>
        </w:tc>
        <w:tc>
          <w:tcPr>
            <w:tcW w:w="1581" w:type="dxa"/>
            <w:tcBorders>
              <w:tl2br w:val="nil"/>
              <w:tr2bl w:val="nil"/>
            </w:tcBorders>
            <w:vAlign w:val="center"/>
          </w:tcPr>
          <w:p w14:paraId="213F147B">
            <w:pPr>
              <w:rPr>
                <w:rFonts w:ascii="仿宋_GB2312" w:hAnsi="仿宋_GB2312" w:eastAsia="仿宋_GB2312" w:cs="仿宋_GB2312"/>
                <w:sz w:val="24"/>
                <w:szCs w:val="24"/>
              </w:rPr>
            </w:pPr>
          </w:p>
        </w:tc>
        <w:tc>
          <w:tcPr>
            <w:tcW w:w="1782" w:type="dxa"/>
            <w:gridSpan w:val="2"/>
            <w:tcBorders>
              <w:tl2br w:val="nil"/>
              <w:tr2bl w:val="nil"/>
            </w:tcBorders>
            <w:vAlign w:val="center"/>
          </w:tcPr>
          <w:p w14:paraId="4D27E9F6">
            <w:pPr>
              <w:rPr>
                <w:rFonts w:ascii="仿宋_GB2312" w:hAnsi="仿宋_GB2312" w:eastAsia="仿宋_GB2312" w:cs="仿宋_GB2312"/>
                <w:sz w:val="24"/>
                <w:szCs w:val="24"/>
              </w:rPr>
            </w:pPr>
          </w:p>
        </w:tc>
        <w:tc>
          <w:tcPr>
            <w:tcW w:w="1049" w:type="dxa"/>
            <w:tcBorders>
              <w:tl2br w:val="nil"/>
              <w:tr2bl w:val="nil"/>
            </w:tcBorders>
            <w:vAlign w:val="center"/>
          </w:tcPr>
          <w:p w14:paraId="1D177B6B">
            <w:pPr>
              <w:rPr>
                <w:rFonts w:ascii="仿宋_GB2312" w:hAnsi="仿宋_GB2312" w:eastAsia="仿宋_GB2312" w:cs="仿宋_GB2312"/>
                <w:sz w:val="24"/>
                <w:szCs w:val="24"/>
              </w:rPr>
            </w:pPr>
          </w:p>
        </w:tc>
      </w:tr>
      <w:tr w14:paraId="7E67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469074BD">
            <w:pPr>
              <w:rPr>
                <w:rFonts w:ascii="仿宋_GB2312" w:hAnsi="仿宋_GB2312" w:eastAsia="仿宋_GB2312" w:cs="仿宋_GB2312"/>
                <w:sz w:val="24"/>
                <w:szCs w:val="24"/>
              </w:rPr>
            </w:pPr>
          </w:p>
        </w:tc>
        <w:tc>
          <w:tcPr>
            <w:tcW w:w="969" w:type="dxa"/>
            <w:tcBorders>
              <w:tl2br w:val="nil"/>
              <w:tr2bl w:val="nil"/>
            </w:tcBorders>
            <w:vAlign w:val="center"/>
          </w:tcPr>
          <w:p w14:paraId="531662E5">
            <w:pPr>
              <w:rPr>
                <w:rFonts w:ascii="仿宋_GB2312" w:hAnsi="仿宋_GB2312" w:eastAsia="仿宋_GB2312" w:cs="仿宋_GB2312"/>
                <w:sz w:val="24"/>
                <w:szCs w:val="24"/>
              </w:rPr>
            </w:pPr>
          </w:p>
        </w:tc>
        <w:tc>
          <w:tcPr>
            <w:tcW w:w="1284" w:type="dxa"/>
            <w:gridSpan w:val="2"/>
            <w:tcBorders>
              <w:tl2br w:val="nil"/>
              <w:tr2bl w:val="nil"/>
            </w:tcBorders>
            <w:vAlign w:val="center"/>
          </w:tcPr>
          <w:p w14:paraId="202B5112">
            <w:pPr>
              <w:rPr>
                <w:rFonts w:ascii="仿宋_GB2312" w:hAnsi="仿宋_GB2312" w:eastAsia="仿宋_GB2312" w:cs="仿宋_GB2312"/>
                <w:sz w:val="24"/>
                <w:szCs w:val="24"/>
              </w:rPr>
            </w:pPr>
          </w:p>
        </w:tc>
        <w:tc>
          <w:tcPr>
            <w:tcW w:w="1386" w:type="dxa"/>
            <w:gridSpan w:val="3"/>
            <w:tcBorders>
              <w:tl2br w:val="nil"/>
              <w:tr2bl w:val="nil"/>
            </w:tcBorders>
            <w:vAlign w:val="center"/>
          </w:tcPr>
          <w:p w14:paraId="27DB0E18">
            <w:pPr>
              <w:rPr>
                <w:rFonts w:ascii="仿宋_GB2312" w:hAnsi="仿宋_GB2312" w:eastAsia="仿宋_GB2312" w:cs="仿宋_GB2312"/>
                <w:sz w:val="24"/>
                <w:szCs w:val="24"/>
              </w:rPr>
            </w:pPr>
          </w:p>
        </w:tc>
        <w:tc>
          <w:tcPr>
            <w:tcW w:w="1581" w:type="dxa"/>
            <w:tcBorders>
              <w:tl2br w:val="nil"/>
              <w:tr2bl w:val="nil"/>
            </w:tcBorders>
            <w:vAlign w:val="center"/>
          </w:tcPr>
          <w:p w14:paraId="7082AE6F">
            <w:pPr>
              <w:rPr>
                <w:rFonts w:ascii="仿宋_GB2312" w:hAnsi="仿宋_GB2312" w:eastAsia="仿宋_GB2312" w:cs="仿宋_GB2312"/>
                <w:sz w:val="24"/>
                <w:szCs w:val="24"/>
              </w:rPr>
            </w:pPr>
          </w:p>
        </w:tc>
        <w:tc>
          <w:tcPr>
            <w:tcW w:w="1782" w:type="dxa"/>
            <w:gridSpan w:val="2"/>
            <w:tcBorders>
              <w:tl2br w:val="nil"/>
              <w:tr2bl w:val="nil"/>
            </w:tcBorders>
            <w:vAlign w:val="center"/>
          </w:tcPr>
          <w:p w14:paraId="25D28185">
            <w:pPr>
              <w:rPr>
                <w:rFonts w:ascii="仿宋_GB2312" w:hAnsi="仿宋_GB2312" w:eastAsia="仿宋_GB2312" w:cs="仿宋_GB2312"/>
                <w:sz w:val="24"/>
                <w:szCs w:val="24"/>
              </w:rPr>
            </w:pPr>
          </w:p>
        </w:tc>
        <w:tc>
          <w:tcPr>
            <w:tcW w:w="1049" w:type="dxa"/>
            <w:tcBorders>
              <w:tl2br w:val="nil"/>
              <w:tr2bl w:val="nil"/>
            </w:tcBorders>
            <w:vAlign w:val="center"/>
          </w:tcPr>
          <w:p w14:paraId="7234E52A">
            <w:pPr>
              <w:rPr>
                <w:rFonts w:ascii="仿宋_GB2312" w:hAnsi="仿宋_GB2312" w:eastAsia="仿宋_GB2312" w:cs="仿宋_GB2312"/>
                <w:sz w:val="24"/>
                <w:szCs w:val="24"/>
              </w:rPr>
            </w:pPr>
          </w:p>
        </w:tc>
      </w:tr>
      <w:tr w14:paraId="0847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5B00D379">
            <w:pPr>
              <w:rPr>
                <w:rFonts w:ascii="仿宋_GB2312" w:hAnsi="仿宋_GB2312" w:eastAsia="仿宋_GB2312" w:cs="仿宋_GB2312"/>
                <w:sz w:val="24"/>
                <w:szCs w:val="24"/>
              </w:rPr>
            </w:pPr>
          </w:p>
        </w:tc>
        <w:tc>
          <w:tcPr>
            <w:tcW w:w="969" w:type="dxa"/>
            <w:tcBorders>
              <w:tl2br w:val="nil"/>
              <w:tr2bl w:val="nil"/>
            </w:tcBorders>
            <w:vAlign w:val="center"/>
          </w:tcPr>
          <w:p w14:paraId="61049C1E">
            <w:pPr>
              <w:rPr>
                <w:rFonts w:ascii="仿宋_GB2312" w:hAnsi="仿宋_GB2312" w:eastAsia="仿宋_GB2312" w:cs="仿宋_GB2312"/>
                <w:sz w:val="24"/>
                <w:szCs w:val="24"/>
              </w:rPr>
            </w:pPr>
          </w:p>
        </w:tc>
        <w:tc>
          <w:tcPr>
            <w:tcW w:w="1284" w:type="dxa"/>
            <w:gridSpan w:val="2"/>
            <w:tcBorders>
              <w:tl2br w:val="nil"/>
              <w:tr2bl w:val="nil"/>
            </w:tcBorders>
            <w:vAlign w:val="center"/>
          </w:tcPr>
          <w:p w14:paraId="1FE955C0">
            <w:pPr>
              <w:rPr>
                <w:rFonts w:ascii="仿宋_GB2312" w:hAnsi="仿宋_GB2312" w:eastAsia="仿宋_GB2312" w:cs="仿宋_GB2312"/>
                <w:sz w:val="24"/>
                <w:szCs w:val="24"/>
              </w:rPr>
            </w:pPr>
          </w:p>
        </w:tc>
        <w:tc>
          <w:tcPr>
            <w:tcW w:w="1386" w:type="dxa"/>
            <w:gridSpan w:val="3"/>
            <w:tcBorders>
              <w:tl2br w:val="nil"/>
              <w:tr2bl w:val="nil"/>
            </w:tcBorders>
            <w:vAlign w:val="center"/>
          </w:tcPr>
          <w:p w14:paraId="295F47AA">
            <w:pPr>
              <w:rPr>
                <w:rFonts w:ascii="仿宋_GB2312" w:hAnsi="仿宋_GB2312" w:eastAsia="仿宋_GB2312" w:cs="仿宋_GB2312"/>
                <w:sz w:val="24"/>
                <w:szCs w:val="24"/>
              </w:rPr>
            </w:pPr>
          </w:p>
        </w:tc>
        <w:tc>
          <w:tcPr>
            <w:tcW w:w="1581" w:type="dxa"/>
            <w:tcBorders>
              <w:tl2br w:val="nil"/>
              <w:tr2bl w:val="nil"/>
            </w:tcBorders>
            <w:vAlign w:val="center"/>
          </w:tcPr>
          <w:p w14:paraId="713D0AD4">
            <w:pPr>
              <w:rPr>
                <w:rFonts w:ascii="仿宋_GB2312" w:hAnsi="仿宋_GB2312" w:eastAsia="仿宋_GB2312" w:cs="仿宋_GB2312"/>
                <w:sz w:val="24"/>
                <w:szCs w:val="24"/>
              </w:rPr>
            </w:pPr>
          </w:p>
        </w:tc>
        <w:tc>
          <w:tcPr>
            <w:tcW w:w="1782" w:type="dxa"/>
            <w:gridSpan w:val="2"/>
            <w:tcBorders>
              <w:tl2br w:val="nil"/>
              <w:tr2bl w:val="nil"/>
            </w:tcBorders>
            <w:vAlign w:val="center"/>
          </w:tcPr>
          <w:p w14:paraId="058C6D53">
            <w:pPr>
              <w:rPr>
                <w:rFonts w:ascii="仿宋_GB2312" w:hAnsi="仿宋_GB2312" w:eastAsia="仿宋_GB2312" w:cs="仿宋_GB2312"/>
                <w:sz w:val="24"/>
                <w:szCs w:val="24"/>
              </w:rPr>
            </w:pPr>
          </w:p>
        </w:tc>
        <w:tc>
          <w:tcPr>
            <w:tcW w:w="1049" w:type="dxa"/>
            <w:tcBorders>
              <w:tl2br w:val="nil"/>
              <w:tr2bl w:val="nil"/>
            </w:tcBorders>
            <w:vAlign w:val="center"/>
          </w:tcPr>
          <w:p w14:paraId="0AABA741">
            <w:pPr>
              <w:rPr>
                <w:rFonts w:ascii="仿宋_GB2312" w:hAnsi="仿宋_GB2312" w:eastAsia="仿宋_GB2312" w:cs="仿宋_GB2312"/>
                <w:sz w:val="24"/>
                <w:szCs w:val="24"/>
              </w:rPr>
            </w:pPr>
          </w:p>
        </w:tc>
      </w:tr>
      <w:tr w14:paraId="73E6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l2br w:val="nil"/>
              <w:tr2bl w:val="nil"/>
            </w:tcBorders>
            <w:vAlign w:val="center"/>
          </w:tcPr>
          <w:p w14:paraId="2D4E7C82">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051" w:type="dxa"/>
            <w:gridSpan w:val="10"/>
            <w:tcBorders>
              <w:tl2br w:val="nil"/>
              <w:tr2bl w:val="nil"/>
            </w:tcBorders>
            <w:vAlign w:val="center"/>
          </w:tcPr>
          <w:p w14:paraId="31A5F88F">
            <w:pPr>
              <w:rPr>
                <w:rFonts w:ascii="仿宋_GB2312" w:hAnsi="仿宋_GB2312" w:eastAsia="仿宋_GB2312" w:cs="仿宋_GB2312"/>
                <w:sz w:val="24"/>
                <w:szCs w:val="24"/>
              </w:rPr>
            </w:pPr>
            <w:r>
              <w:rPr>
                <w:rFonts w:hint="eastAsia" w:ascii="仿宋_GB2312" w:hAnsi="仿宋_GB2312" w:eastAsia="仿宋_GB2312" w:cs="仿宋_GB2312"/>
                <w:sz w:val="24"/>
                <w:szCs w:val="24"/>
              </w:rPr>
              <w:t>表格空间不足时请自行扩展。</w:t>
            </w:r>
          </w:p>
        </w:tc>
      </w:tr>
    </w:tbl>
    <w:p w14:paraId="352A36CB">
      <w:pPr>
        <w:pStyle w:val="8"/>
      </w:pPr>
    </w:p>
    <w:sectPr>
      <w:footerReference r:id="rId11" w:type="first"/>
      <w:headerReference r:id="rId9" w:type="default"/>
      <w:footerReference r:id="rId10" w:type="default"/>
      <w:pgSz w:w="11906" w:h="16838"/>
      <w:pgMar w:top="1417" w:right="1417" w:bottom="1417" w:left="1417" w:header="850" w:footer="992"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小标宋简体">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华文中宋">
    <w:altName w:val="汉仪中黑 197"/>
    <w:panose1 w:val="00000000000000000000"/>
    <w:charset w:val="86"/>
    <w:family w:val="auto"/>
    <w:pitch w:val="default"/>
    <w:sig w:usb0="00000000" w:usb1="00000000" w:usb2="00000000" w:usb3="00000000" w:csb0="0004009F" w:csb1="DFD7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23F6">
    <w:pPr>
      <w:pStyle w:val="13"/>
      <w:tabs>
        <w:tab w:val="clear" w:pos="4153"/>
        <w:tab w:val="clear" w:pos="8306"/>
      </w:tabs>
      <w:jc w:val="center"/>
      <w:rPr>
        <w:rFonts w:ascii="宋体" w:hAnsi="宋体" w:eastAsia="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4E48">
    <w:pPr>
      <w:pStyle w:val="13"/>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788A">
    <w:pPr>
      <w:pStyle w:val="13"/>
      <w:tabs>
        <w:tab w:val="center" w:pos="4536"/>
        <w:tab w:val="right" w:pos="10489"/>
        <w:tab w:val="clear" w:pos="4153"/>
        <w:tab w:val="clear" w:pos="8306"/>
      </w:tabs>
      <w:jc w:val="center"/>
      <w:rPr>
        <w:rFonts w:ascii="宋体" w:hAnsi="宋体"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F4B6A">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50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5FF4B6A">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50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84F2">
    <w:pPr>
      <w:pStyle w:val="13"/>
      <w:tabs>
        <w:tab w:val="clear" w:pos="4153"/>
        <w:tab w:val="clear" w:pos="8306"/>
      </w:tabs>
      <w:rPr>
        <w:rFonts w:ascii="宋体" w:hAnsi="宋体" w:eastAsia="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64DD">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r>
                            <w:rPr>
                              <w:rFonts w:hint="eastAsia"/>
                            </w:rPr>
                            <w:t xml:space="preserve"> 页 共 50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05A64DD">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r>
                      <w:rPr>
                        <w:rFonts w:hint="eastAsia"/>
                      </w:rPr>
                      <w:t xml:space="preserve"> 页 共 50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CE2A">
    <w:pPr>
      <w:pStyle w:val="13"/>
      <w:tabs>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31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hint="eastAsia" w:ascii="宋体" w:hAnsi="宋体" w:eastAsia="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98EA">
    <w:pPr>
      <w:pStyle w:val="14"/>
    </w:pPr>
    <w:r>
      <w:rPr>
        <w:rFonts w:hint="eastAsia" w:ascii="宋体" w:hAnsi="宋体" w:eastAsia="宋体" w:cs="华文仿宋"/>
      </w:rPr>
      <w:t>汉中市政府采购中心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959BD">
    <w:pPr>
      <w:pStyle w:val="14"/>
      <w:rPr>
        <w:rFonts w:eastAsia="宋体"/>
        <w:sz w:val="21"/>
        <w:szCs w:val="21"/>
      </w:rPr>
    </w:pPr>
    <w:r>
      <w:rPr>
        <w:rFonts w:hint="eastAsia" w:ascii="宋体" w:hAnsi="宋体" w:eastAsia="宋体" w:cs="华文仿宋"/>
      </w:rPr>
      <w:t>汉中市政府采购中心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A4767"/>
    <w:multiLevelType w:val="singleLevel"/>
    <w:tmpl w:val="8F8A4767"/>
    <w:lvl w:ilvl="0" w:tentative="0">
      <w:start w:val="1"/>
      <w:numFmt w:val="chineseCounting"/>
      <w:suff w:val="nothing"/>
      <w:lvlText w:val="（%1）"/>
      <w:lvlJc w:val="left"/>
      <w:rPr>
        <w:rFonts w:hint="eastAsia"/>
      </w:rPr>
    </w:lvl>
  </w:abstractNum>
  <w:abstractNum w:abstractNumId="1">
    <w:nsid w:val="D7BA63B9"/>
    <w:multiLevelType w:val="singleLevel"/>
    <w:tmpl w:val="D7BA63B9"/>
    <w:lvl w:ilvl="0" w:tentative="0">
      <w:start w:val="1"/>
      <w:numFmt w:val="chineseCounting"/>
      <w:suff w:val="space"/>
      <w:lvlText w:val="第%1章"/>
      <w:lvlJc w:val="left"/>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Y2EwYTliYzRhYmI5YjgwYWI5N2JkYzNiMjBlOTkifQ=="/>
  </w:docVars>
  <w:rsids>
    <w:rsidRoot w:val="15DB7622"/>
    <w:rsid w:val="0007204D"/>
    <w:rsid w:val="000F4978"/>
    <w:rsid w:val="0019511E"/>
    <w:rsid w:val="0026374D"/>
    <w:rsid w:val="00294CF0"/>
    <w:rsid w:val="002B30BD"/>
    <w:rsid w:val="002E4E4D"/>
    <w:rsid w:val="00331341"/>
    <w:rsid w:val="00340C6A"/>
    <w:rsid w:val="0038572B"/>
    <w:rsid w:val="003917EE"/>
    <w:rsid w:val="003E41D4"/>
    <w:rsid w:val="004F3FD4"/>
    <w:rsid w:val="00515E27"/>
    <w:rsid w:val="005268AA"/>
    <w:rsid w:val="006C3311"/>
    <w:rsid w:val="006D6246"/>
    <w:rsid w:val="007378C6"/>
    <w:rsid w:val="007523FA"/>
    <w:rsid w:val="00791324"/>
    <w:rsid w:val="007A39DA"/>
    <w:rsid w:val="00803ECD"/>
    <w:rsid w:val="00887D93"/>
    <w:rsid w:val="008D12AD"/>
    <w:rsid w:val="00934F0E"/>
    <w:rsid w:val="0096705E"/>
    <w:rsid w:val="009716B8"/>
    <w:rsid w:val="00975546"/>
    <w:rsid w:val="00B604BC"/>
    <w:rsid w:val="00B70141"/>
    <w:rsid w:val="00B822E5"/>
    <w:rsid w:val="00BA4780"/>
    <w:rsid w:val="00C067FF"/>
    <w:rsid w:val="00D12FAC"/>
    <w:rsid w:val="00D54DC4"/>
    <w:rsid w:val="00DA0F8E"/>
    <w:rsid w:val="00EF498E"/>
    <w:rsid w:val="00F058FE"/>
    <w:rsid w:val="010273A6"/>
    <w:rsid w:val="010518F0"/>
    <w:rsid w:val="011F0AC5"/>
    <w:rsid w:val="015A5870"/>
    <w:rsid w:val="015C7263"/>
    <w:rsid w:val="015D1C6F"/>
    <w:rsid w:val="016439CE"/>
    <w:rsid w:val="01684E01"/>
    <w:rsid w:val="01903397"/>
    <w:rsid w:val="019422A6"/>
    <w:rsid w:val="01A050EF"/>
    <w:rsid w:val="01BD7E6C"/>
    <w:rsid w:val="01C82D28"/>
    <w:rsid w:val="01CD6A8A"/>
    <w:rsid w:val="01CE3474"/>
    <w:rsid w:val="01D515BB"/>
    <w:rsid w:val="01FA3AC8"/>
    <w:rsid w:val="0204742C"/>
    <w:rsid w:val="02296E92"/>
    <w:rsid w:val="02343D5B"/>
    <w:rsid w:val="023E3EED"/>
    <w:rsid w:val="02557B87"/>
    <w:rsid w:val="025A0286"/>
    <w:rsid w:val="02891DCB"/>
    <w:rsid w:val="028B63E9"/>
    <w:rsid w:val="02BD0EE2"/>
    <w:rsid w:val="02C11391"/>
    <w:rsid w:val="02C4205E"/>
    <w:rsid w:val="02D15085"/>
    <w:rsid w:val="02E307E4"/>
    <w:rsid w:val="02FC284D"/>
    <w:rsid w:val="03427B4F"/>
    <w:rsid w:val="03460878"/>
    <w:rsid w:val="034B3DA3"/>
    <w:rsid w:val="03526AB2"/>
    <w:rsid w:val="03531D00"/>
    <w:rsid w:val="036C3D74"/>
    <w:rsid w:val="03726617"/>
    <w:rsid w:val="037E48A2"/>
    <w:rsid w:val="0387207F"/>
    <w:rsid w:val="039F5F7A"/>
    <w:rsid w:val="03A7685B"/>
    <w:rsid w:val="03B2157C"/>
    <w:rsid w:val="03BD2FA8"/>
    <w:rsid w:val="03D43FC2"/>
    <w:rsid w:val="03E823D6"/>
    <w:rsid w:val="03EC3438"/>
    <w:rsid w:val="03EF1CB8"/>
    <w:rsid w:val="03F22485"/>
    <w:rsid w:val="03F22718"/>
    <w:rsid w:val="0426080F"/>
    <w:rsid w:val="044762AA"/>
    <w:rsid w:val="045F127B"/>
    <w:rsid w:val="0467205E"/>
    <w:rsid w:val="046E5030"/>
    <w:rsid w:val="047F7D42"/>
    <w:rsid w:val="0489653F"/>
    <w:rsid w:val="048A6B28"/>
    <w:rsid w:val="04981D44"/>
    <w:rsid w:val="049F3DB3"/>
    <w:rsid w:val="04A04E7B"/>
    <w:rsid w:val="04A56CCB"/>
    <w:rsid w:val="04B01582"/>
    <w:rsid w:val="04C17D44"/>
    <w:rsid w:val="04C57B89"/>
    <w:rsid w:val="05016CE4"/>
    <w:rsid w:val="050E718A"/>
    <w:rsid w:val="05210E5D"/>
    <w:rsid w:val="05214B13"/>
    <w:rsid w:val="055F2FF6"/>
    <w:rsid w:val="05634469"/>
    <w:rsid w:val="05686454"/>
    <w:rsid w:val="057139B6"/>
    <w:rsid w:val="057523EE"/>
    <w:rsid w:val="057754F2"/>
    <w:rsid w:val="0585046E"/>
    <w:rsid w:val="05A35D71"/>
    <w:rsid w:val="05B065AB"/>
    <w:rsid w:val="05CA098C"/>
    <w:rsid w:val="05D17456"/>
    <w:rsid w:val="05F94DCD"/>
    <w:rsid w:val="062335AF"/>
    <w:rsid w:val="06243474"/>
    <w:rsid w:val="06410743"/>
    <w:rsid w:val="064B18B7"/>
    <w:rsid w:val="064E03A2"/>
    <w:rsid w:val="068157BD"/>
    <w:rsid w:val="06843B5A"/>
    <w:rsid w:val="06B51EAB"/>
    <w:rsid w:val="06C17517"/>
    <w:rsid w:val="06CB49BC"/>
    <w:rsid w:val="07195343"/>
    <w:rsid w:val="07213C3A"/>
    <w:rsid w:val="07250E2E"/>
    <w:rsid w:val="07254389"/>
    <w:rsid w:val="07280963"/>
    <w:rsid w:val="073843F7"/>
    <w:rsid w:val="074E0A56"/>
    <w:rsid w:val="076C6CA2"/>
    <w:rsid w:val="076D5CE6"/>
    <w:rsid w:val="078508C6"/>
    <w:rsid w:val="07C92D47"/>
    <w:rsid w:val="07CA4DE5"/>
    <w:rsid w:val="07DB28A2"/>
    <w:rsid w:val="07E020CE"/>
    <w:rsid w:val="07EA4D10"/>
    <w:rsid w:val="08097B10"/>
    <w:rsid w:val="080F1B46"/>
    <w:rsid w:val="0813234A"/>
    <w:rsid w:val="08211FD1"/>
    <w:rsid w:val="08243795"/>
    <w:rsid w:val="08320553"/>
    <w:rsid w:val="083537ED"/>
    <w:rsid w:val="083C734E"/>
    <w:rsid w:val="083F4CD5"/>
    <w:rsid w:val="08417A7B"/>
    <w:rsid w:val="085F77E6"/>
    <w:rsid w:val="086E5C87"/>
    <w:rsid w:val="08707E21"/>
    <w:rsid w:val="08712B08"/>
    <w:rsid w:val="08763D9D"/>
    <w:rsid w:val="088F579F"/>
    <w:rsid w:val="089366B6"/>
    <w:rsid w:val="08955C70"/>
    <w:rsid w:val="08970F3A"/>
    <w:rsid w:val="08976949"/>
    <w:rsid w:val="08A10645"/>
    <w:rsid w:val="08AC12A9"/>
    <w:rsid w:val="08BA2649"/>
    <w:rsid w:val="08C85A1D"/>
    <w:rsid w:val="08D06A36"/>
    <w:rsid w:val="08D8683B"/>
    <w:rsid w:val="08DC0FE3"/>
    <w:rsid w:val="08E24872"/>
    <w:rsid w:val="08EF588E"/>
    <w:rsid w:val="08F6330D"/>
    <w:rsid w:val="090C54BA"/>
    <w:rsid w:val="092F16EE"/>
    <w:rsid w:val="09555E20"/>
    <w:rsid w:val="096F7367"/>
    <w:rsid w:val="097F6C5F"/>
    <w:rsid w:val="098900BC"/>
    <w:rsid w:val="09921B5C"/>
    <w:rsid w:val="09A44801"/>
    <w:rsid w:val="09E319B7"/>
    <w:rsid w:val="09ED721B"/>
    <w:rsid w:val="0A16231D"/>
    <w:rsid w:val="0A394E5E"/>
    <w:rsid w:val="0A4214E6"/>
    <w:rsid w:val="0A4707FD"/>
    <w:rsid w:val="0A622F41"/>
    <w:rsid w:val="0A7A446C"/>
    <w:rsid w:val="0A7D5CED"/>
    <w:rsid w:val="0A7F7130"/>
    <w:rsid w:val="0A870BFA"/>
    <w:rsid w:val="0A9B2547"/>
    <w:rsid w:val="0AF11BC9"/>
    <w:rsid w:val="0AFB176D"/>
    <w:rsid w:val="0B0B31B3"/>
    <w:rsid w:val="0B144A64"/>
    <w:rsid w:val="0B1C7012"/>
    <w:rsid w:val="0B240833"/>
    <w:rsid w:val="0B3031ED"/>
    <w:rsid w:val="0B354EB2"/>
    <w:rsid w:val="0B373F04"/>
    <w:rsid w:val="0B3F0F07"/>
    <w:rsid w:val="0B4C17B5"/>
    <w:rsid w:val="0B5155F7"/>
    <w:rsid w:val="0B6901C4"/>
    <w:rsid w:val="0B692F04"/>
    <w:rsid w:val="0B6A096C"/>
    <w:rsid w:val="0B721EFB"/>
    <w:rsid w:val="0B734F42"/>
    <w:rsid w:val="0B7E024F"/>
    <w:rsid w:val="0B8556F0"/>
    <w:rsid w:val="0B894B9F"/>
    <w:rsid w:val="0B8E23DB"/>
    <w:rsid w:val="0B9C58ED"/>
    <w:rsid w:val="0BC4039D"/>
    <w:rsid w:val="0BD14F4E"/>
    <w:rsid w:val="0BDF2684"/>
    <w:rsid w:val="0BDF30E8"/>
    <w:rsid w:val="0BDF5D7D"/>
    <w:rsid w:val="0BE60A01"/>
    <w:rsid w:val="0BE61950"/>
    <w:rsid w:val="0BEC43AB"/>
    <w:rsid w:val="0C182E69"/>
    <w:rsid w:val="0C1D529F"/>
    <w:rsid w:val="0C1E1870"/>
    <w:rsid w:val="0C325E86"/>
    <w:rsid w:val="0C424E69"/>
    <w:rsid w:val="0C5D7BD6"/>
    <w:rsid w:val="0C620A1C"/>
    <w:rsid w:val="0C62191E"/>
    <w:rsid w:val="0C6432ED"/>
    <w:rsid w:val="0C7C7D5B"/>
    <w:rsid w:val="0C8E6CD7"/>
    <w:rsid w:val="0CC20327"/>
    <w:rsid w:val="0CC24884"/>
    <w:rsid w:val="0CE86762"/>
    <w:rsid w:val="0CEC4544"/>
    <w:rsid w:val="0CEE7177"/>
    <w:rsid w:val="0D085996"/>
    <w:rsid w:val="0D256266"/>
    <w:rsid w:val="0D6E60A1"/>
    <w:rsid w:val="0D725B91"/>
    <w:rsid w:val="0D9171AE"/>
    <w:rsid w:val="0DA9338A"/>
    <w:rsid w:val="0DC358E6"/>
    <w:rsid w:val="0DE037BA"/>
    <w:rsid w:val="0DE85E53"/>
    <w:rsid w:val="0E096579"/>
    <w:rsid w:val="0E0E4861"/>
    <w:rsid w:val="0E132C75"/>
    <w:rsid w:val="0E2E2A82"/>
    <w:rsid w:val="0E550C71"/>
    <w:rsid w:val="0E5F01E5"/>
    <w:rsid w:val="0E8363B6"/>
    <w:rsid w:val="0EB253C1"/>
    <w:rsid w:val="0EB957D3"/>
    <w:rsid w:val="0ECE1CDE"/>
    <w:rsid w:val="0ECF35E0"/>
    <w:rsid w:val="0EDB7766"/>
    <w:rsid w:val="0EED3D24"/>
    <w:rsid w:val="0F1B578D"/>
    <w:rsid w:val="0F1D03EF"/>
    <w:rsid w:val="0F3533CF"/>
    <w:rsid w:val="0F3B6457"/>
    <w:rsid w:val="0F461A45"/>
    <w:rsid w:val="0F684453"/>
    <w:rsid w:val="0F7165DD"/>
    <w:rsid w:val="0F8B2DA9"/>
    <w:rsid w:val="0FA311DA"/>
    <w:rsid w:val="0FB15E33"/>
    <w:rsid w:val="0FDA797C"/>
    <w:rsid w:val="0FE75496"/>
    <w:rsid w:val="0FE9694D"/>
    <w:rsid w:val="0FF86D48"/>
    <w:rsid w:val="100C563E"/>
    <w:rsid w:val="10292C44"/>
    <w:rsid w:val="10635C65"/>
    <w:rsid w:val="10841837"/>
    <w:rsid w:val="10883FD1"/>
    <w:rsid w:val="109F5877"/>
    <w:rsid w:val="10BB57F6"/>
    <w:rsid w:val="10BC00C6"/>
    <w:rsid w:val="10E13394"/>
    <w:rsid w:val="10FD2B76"/>
    <w:rsid w:val="110C102F"/>
    <w:rsid w:val="11181B40"/>
    <w:rsid w:val="114333A1"/>
    <w:rsid w:val="114A462A"/>
    <w:rsid w:val="1169081A"/>
    <w:rsid w:val="1171679A"/>
    <w:rsid w:val="118249C0"/>
    <w:rsid w:val="11B03DAF"/>
    <w:rsid w:val="11BE795D"/>
    <w:rsid w:val="11D32976"/>
    <w:rsid w:val="11DE655A"/>
    <w:rsid w:val="1219391F"/>
    <w:rsid w:val="12303C06"/>
    <w:rsid w:val="123E6579"/>
    <w:rsid w:val="12421048"/>
    <w:rsid w:val="124E27C4"/>
    <w:rsid w:val="125C0391"/>
    <w:rsid w:val="12617F82"/>
    <w:rsid w:val="126F2075"/>
    <w:rsid w:val="128D6FC9"/>
    <w:rsid w:val="12950F85"/>
    <w:rsid w:val="12960862"/>
    <w:rsid w:val="12A04BDA"/>
    <w:rsid w:val="12A86650"/>
    <w:rsid w:val="12D76496"/>
    <w:rsid w:val="12E51257"/>
    <w:rsid w:val="12F57C06"/>
    <w:rsid w:val="12FD6D66"/>
    <w:rsid w:val="12FF18AF"/>
    <w:rsid w:val="131953F9"/>
    <w:rsid w:val="134C233A"/>
    <w:rsid w:val="136C6BDF"/>
    <w:rsid w:val="136F7A26"/>
    <w:rsid w:val="137B051A"/>
    <w:rsid w:val="138222F2"/>
    <w:rsid w:val="13837718"/>
    <w:rsid w:val="138C0895"/>
    <w:rsid w:val="138D048A"/>
    <w:rsid w:val="13900013"/>
    <w:rsid w:val="13931510"/>
    <w:rsid w:val="13A11597"/>
    <w:rsid w:val="13AE09B3"/>
    <w:rsid w:val="13C04FD2"/>
    <w:rsid w:val="13C31130"/>
    <w:rsid w:val="13C85D12"/>
    <w:rsid w:val="13C937D6"/>
    <w:rsid w:val="13E737B7"/>
    <w:rsid w:val="13EE393F"/>
    <w:rsid w:val="1402440B"/>
    <w:rsid w:val="1408673E"/>
    <w:rsid w:val="140E39DD"/>
    <w:rsid w:val="141C207A"/>
    <w:rsid w:val="142D54E1"/>
    <w:rsid w:val="14336CEA"/>
    <w:rsid w:val="14341855"/>
    <w:rsid w:val="14477D16"/>
    <w:rsid w:val="144B4426"/>
    <w:rsid w:val="14633F0B"/>
    <w:rsid w:val="146464BB"/>
    <w:rsid w:val="14743D20"/>
    <w:rsid w:val="14774D9D"/>
    <w:rsid w:val="14817EA1"/>
    <w:rsid w:val="148D32B1"/>
    <w:rsid w:val="1493627B"/>
    <w:rsid w:val="14A539EC"/>
    <w:rsid w:val="14DA45EC"/>
    <w:rsid w:val="14E56F92"/>
    <w:rsid w:val="14ED3D4F"/>
    <w:rsid w:val="14F33389"/>
    <w:rsid w:val="14FB602E"/>
    <w:rsid w:val="150E3E9E"/>
    <w:rsid w:val="151F1ED6"/>
    <w:rsid w:val="153540B6"/>
    <w:rsid w:val="1564126D"/>
    <w:rsid w:val="15645D6E"/>
    <w:rsid w:val="157F0489"/>
    <w:rsid w:val="15A614D9"/>
    <w:rsid w:val="15C56A7A"/>
    <w:rsid w:val="15CA6D94"/>
    <w:rsid w:val="15D226A2"/>
    <w:rsid w:val="15DB7622"/>
    <w:rsid w:val="162271CE"/>
    <w:rsid w:val="163D2276"/>
    <w:rsid w:val="1646616E"/>
    <w:rsid w:val="164B7078"/>
    <w:rsid w:val="16545E33"/>
    <w:rsid w:val="16961986"/>
    <w:rsid w:val="16984A31"/>
    <w:rsid w:val="16A724A2"/>
    <w:rsid w:val="16BC5D11"/>
    <w:rsid w:val="16DF64BF"/>
    <w:rsid w:val="16E25B8A"/>
    <w:rsid w:val="16FF6F24"/>
    <w:rsid w:val="170555E3"/>
    <w:rsid w:val="172547B0"/>
    <w:rsid w:val="17562AFA"/>
    <w:rsid w:val="176750FA"/>
    <w:rsid w:val="178701A0"/>
    <w:rsid w:val="178D3B42"/>
    <w:rsid w:val="17CD1BB2"/>
    <w:rsid w:val="17EB105E"/>
    <w:rsid w:val="17F54509"/>
    <w:rsid w:val="180D61E0"/>
    <w:rsid w:val="181417AB"/>
    <w:rsid w:val="1824217E"/>
    <w:rsid w:val="18460FF6"/>
    <w:rsid w:val="184B4224"/>
    <w:rsid w:val="184F21B3"/>
    <w:rsid w:val="186802BC"/>
    <w:rsid w:val="18864D3A"/>
    <w:rsid w:val="189A4C02"/>
    <w:rsid w:val="189C1D14"/>
    <w:rsid w:val="18A626E9"/>
    <w:rsid w:val="18A74FE1"/>
    <w:rsid w:val="18A90755"/>
    <w:rsid w:val="18B77BA2"/>
    <w:rsid w:val="18BA17D8"/>
    <w:rsid w:val="18C835DC"/>
    <w:rsid w:val="18CB4DD4"/>
    <w:rsid w:val="18D41CCF"/>
    <w:rsid w:val="18E1122A"/>
    <w:rsid w:val="190A1374"/>
    <w:rsid w:val="19192C89"/>
    <w:rsid w:val="192F1F43"/>
    <w:rsid w:val="19364865"/>
    <w:rsid w:val="19392B48"/>
    <w:rsid w:val="195E4D01"/>
    <w:rsid w:val="19835F84"/>
    <w:rsid w:val="19961403"/>
    <w:rsid w:val="19A07745"/>
    <w:rsid w:val="19B25FC3"/>
    <w:rsid w:val="19BF282D"/>
    <w:rsid w:val="19C0263E"/>
    <w:rsid w:val="19CD08FA"/>
    <w:rsid w:val="19D22C3D"/>
    <w:rsid w:val="1A0D68EB"/>
    <w:rsid w:val="1A116732"/>
    <w:rsid w:val="1A2B68D6"/>
    <w:rsid w:val="1A50307B"/>
    <w:rsid w:val="1A5F40D0"/>
    <w:rsid w:val="1A810701"/>
    <w:rsid w:val="1A8472A0"/>
    <w:rsid w:val="1A9D590B"/>
    <w:rsid w:val="1AA441E5"/>
    <w:rsid w:val="1AC85D1B"/>
    <w:rsid w:val="1ACC5E1B"/>
    <w:rsid w:val="1AD304B8"/>
    <w:rsid w:val="1AE006FC"/>
    <w:rsid w:val="1AFF05E0"/>
    <w:rsid w:val="1B0374CB"/>
    <w:rsid w:val="1B1021D6"/>
    <w:rsid w:val="1B2E0D2F"/>
    <w:rsid w:val="1B34316D"/>
    <w:rsid w:val="1B3C49CA"/>
    <w:rsid w:val="1B4771C2"/>
    <w:rsid w:val="1B7D49F7"/>
    <w:rsid w:val="1B8E56AB"/>
    <w:rsid w:val="1BA80A6F"/>
    <w:rsid w:val="1BB14E66"/>
    <w:rsid w:val="1BBD091F"/>
    <w:rsid w:val="1BE04391"/>
    <w:rsid w:val="1BE31C2B"/>
    <w:rsid w:val="1BF8652E"/>
    <w:rsid w:val="1C2E65C9"/>
    <w:rsid w:val="1C2F716F"/>
    <w:rsid w:val="1C3E54EB"/>
    <w:rsid w:val="1C3F3D72"/>
    <w:rsid w:val="1C4A24B6"/>
    <w:rsid w:val="1C552039"/>
    <w:rsid w:val="1C796C6B"/>
    <w:rsid w:val="1C8A3C5A"/>
    <w:rsid w:val="1C8F7303"/>
    <w:rsid w:val="1C901B90"/>
    <w:rsid w:val="1C967A89"/>
    <w:rsid w:val="1CAE291B"/>
    <w:rsid w:val="1CC21924"/>
    <w:rsid w:val="1CD15C79"/>
    <w:rsid w:val="1D1B4F27"/>
    <w:rsid w:val="1D20081E"/>
    <w:rsid w:val="1D335514"/>
    <w:rsid w:val="1D356CC0"/>
    <w:rsid w:val="1D4209B0"/>
    <w:rsid w:val="1D501181"/>
    <w:rsid w:val="1D8343E7"/>
    <w:rsid w:val="1D992236"/>
    <w:rsid w:val="1DA51267"/>
    <w:rsid w:val="1DC27599"/>
    <w:rsid w:val="1DE42258"/>
    <w:rsid w:val="1DF82208"/>
    <w:rsid w:val="1DFB27F1"/>
    <w:rsid w:val="1E150EE3"/>
    <w:rsid w:val="1E3C4FCE"/>
    <w:rsid w:val="1E5A2132"/>
    <w:rsid w:val="1E6257AE"/>
    <w:rsid w:val="1E776749"/>
    <w:rsid w:val="1E820D2A"/>
    <w:rsid w:val="1E8F1ECA"/>
    <w:rsid w:val="1E9546A5"/>
    <w:rsid w:val="1E9B1F5F"/>
    <w:rsid w:val="1EA37146"/>
    <w:rsid w:val="1EAB1ADB"/>
    <w:rsid w:val="1EAC4085"/>
    <w:rsid w:val="1EBA1122"/>
    <w:rsid w:val="1EBF5830"/>
    <w:rsid w:val="1EC645BF"/>
    <w:rsid w:val="1EC67C8F"/>
    <w:rsid w:val="1ED8574D"/>
    <w:rsid w:val="1EDC1A7B"/>
    <w:rsid w:val="1EDD7FA9"/>
    <w:rsid w:val="1F0268BD"/>
    <w:rsid w:val="1F0F280A"/>
    <w:rsid w:val="1F1260D8"/>
    <w:rsid w:val="1F2422DF"/>
    <w:rsid w:val="1F2B2168"/>
    <w:rsid w:val="1F2B5BA0"/>
    <w:rsid w:val="1F306773"/>
    <w:rsid w:val="1F34430F"/>
    <w:rsid w:val="1F346CA0"/>
    <w:rsid w:val="1F4C66FE"/>
    <w:rsid w:val="1F5844BB"/>
    <w:rsid w:val="1F77014D"/>
    <w:rsid w:val="1F827198"/>
    <w:rsid w:val="1F876088"/>
    <w:rsid w:val="1F925678"/>
    <w:rsid w:val="1F9F20EA"/>
    <w:rsid w:val="1FB47EFC"/>
    <w:rsid w:val="1FD35342"/>
    <w:rsid w:val="1FDB5C4A"/>
    <w:rsid w:val="200705EA"/>
    <w:rsid w:val="203945B9"/>
    <w:rsid w:val="2042167B"/>
    <w:rsid w:val="204D2CD4"/>
    <w:rsid w:val="204E1039"/>
    <w:rsid w:val="20500A32"/>
    <w:rsid w:val="205D4EF1"/>
    <w:rsid w:val="20677454"/>
    <w:rsid w:val="20787973"/>
    <w:rsid w:val="207F496E"/>
    <w:rsid w:val="20885D40"/>
    <w:rsid w:val="20A21E92"/>
    <w:rsid w:val="20A37050"/>
    <w:rsid w:val="20A91698"/>
    <w:rsid w:val="20B53E4A"/>
    <w:rsid w:val="20BA6848"/>
    <w:rsid w:val="20C430EF"/>
    <w:rsid w:val="20E07AF1"/>
    <w:rsid w:val="20E223FB"/>
    <w:rsid w:val="20F37841"/>
    <w:rsid w:val="210F4172"/>
    <w:rsid w:val="215E7F7D"/>
    <w:rsid w:val="216A5B17"/>
    <w:rsid w:val="21881D08"/>
    <w:rsid w:val="218C5F60"/>
    <w:rsid w:val="218D3E5D"/>
    <w:rsid w:val="21910AEA"/>
    <w:rsid w:val="21AA2BB6"/>
    <w:rsid w:val="21CE6EEF"/>
    <w:rsid w:val="21D073B0"/>
    <w:rsid w:val="21D72497"/>
    <w:rsid w:val="21DE4542"/>
    <w:rsid w:val="21EB6A1B"/>
    <w:rsid w:val="21ED538F"/>
    <w:rsid w:val="21F0447F"/>
    <w:rsid w:val="21F77868"/>
    <w:rsid w:val="21FB63BA"/>
    <w:rsid w:val="2217504C"/>
    <w:rsid w:val="223E2DC4"/>
    <w:rsid w:val="22491C26"/>
    <w:rsid w:val="22497597"/>
    <w:rsid w:val="224E07D8"/>
    <w:rsid w:val="22554647"/>
    <w:rsid w:val="22575CE6"/>
    <w:rsid w:val="2264646B"/>
    <w:rsid w:val="226C52A0"/>
    <w:rsid w:val="226E2973"/>
    <w:rsid w:val="226F59C8"/>
    <w:rsid w:val="22887BC3"/>
    <w:rsid w:val="22FA3D86"/>
    <w:rsid w:val="231A1B0E"/>
    <w:rsid w:val="231B09DE"/>
    <w:rsid w:val="23222DE2"/>
    <w:rsid w:val="23244A98"/>
    <w:rsid w:val="23373684"/>
    <w:rsid w:val="23567880"/>
    <w:rsid w:val="237D15F6"/>
    <w:rsid w:val="23876DB6"/>
    <w:rsid w:val="238C2D74"/>
    <w:rsid w:val="239048BE"/>
    <w:rsid w:val="23A93BDB"/>
    <w:rsid w:val="23A96390"/>
    <w:rsid w:val="23B35841"/>
    <w:rsid w:val="23C41338"/>
    <w:rsid w:val="23EF46D5"/>
    <w:rsid w:val="23F724F4"/>
    <w:rsid w:val="24042BDB"/>
    <w:rsid w:val="24234AF6"/>
    <w:rsid w:val="24404FB3"/>
    <w:rsid w:val="244C739C"/>
    <w:rsid w:val="245B144E"/>
    <w:rsid w:val="245D3144"/>
    <w:rsid w:val="246B7E66"/>
    <w:rsid w:val="246F4AAC"/>
    <w:rsid w:val="247E599E"/>
    <w:rsid w:val="248E26A9"/>
    <w:rsid w:val="249155FE"/>
    <w:rsid w:val="24C22B02"/>
    <w:rsid w:val="24E16FE1"/>
    <w:rsid w:val="24E54A43"/>
    <w:rsid w:val="24EB6423"/>
    <w:rsid w:val="250A773C"/>
    <w:rsid w:val="25136D8E"/>
    <w:rsid w:val="25384B48"/>
    <w:rsid w:val="25471D43"/>
    <w:rsid w:val="254D418D"/>
    <w:rsid w:val="255179ED"/>
    <w:rsid w:val="256B6EB4"/>
    <w:rsid w:val="2571095A"/>
    <w:rsid w:val="258549DE"/>
    <w:rsid w:val="259326F1"/>
    <w:rsid w:val="26016813"/>
    <w:rsid w:val="2606196B"/>
    <w:rsid w:val="26072636"/>
    <w:rsid w:val="26143C85"/>
    <w:rsid w:val="26156A2E"/>
    <w:rsid w:val="261750D0"/>
    <w:rsid w:val="261D1E42"/>
    <w:rsid w:val="262364AE"/>
    <w:rsid w:val="26400E1B"/>
    <w:rsid w:val="26414B12"/>
    <w:rsid w:val="2652435A"/>
    <w:rsid w:val="2664395E"/>
    <w:rsid w:val="26712A32"/>
    <w:rsid w:val="26755ECA"/>
    <w:rsid w:val="26812549"/>
    <w:rsid w:val="26906045"/>
    <w:rsid w:val="269E5D92"/>
    <w:rsid w:val="26A37629"/>
    <w:rsid w:val="26A7749B"/>
    <w:rsid w:val="26C02358"/>
    <w:rsid w:val="26C77C48"/>
    <w:rsid w:val="26D272A7"/>
    <w:rsid w:val="26D93911"/>
    <w:rsid w:val="26E63298"/>
    <w:rsid w:val="271543D2"/>
    <w:rsid w:val="27475541"/>
    <w:rsid w:val="275E46A6"/>
    <w:rsid w:val="27723BE0"/>
    <w:rsid w:val="27835FC2"/>
    <w:rsid w:val="27886618"/>
    <w:rsid w:val="278A15B2"/>
    <w:rsid w:val="278C71E1"/>
    <w:rsid w:val="279845D2"/>
    <w:rsid w:val="27AC6324"/>
    <w:rsid w:val="27B256E3"/>
    <w:rsid w:val="27D305C7"/>
    <w:rsid w:val="27D91A5B"/>
    <w:rsid w:val="27DB1F8C"/>
    <w:rsid w:val="27E31A18"/>
    <w:rsid w:val="27E964AC"/>
    <w:rsid w:val="27EE6269"/>
    <w:rsid w:val="27F947FC"/>
    <w:rsid w:val="280478D6"/>
    <w:rsid w:val="280B2A12"/>
    <w:rsid w:val="28285372"/>
    <w:rsid w:val="283F53A6"/>
    <w:rsid w:val="28424EE2"/>
    <w:rsid w:val="28453086"/>
    <w:rsid w:val="285E08D0"/>
    <w:rsid w:val="28637E3D"/>
    <w:rsid w:val="28651224"/>
    <w:rsid w:val="286914E7"/>
    <w:rsid w:val="287B7B56"/>
    <w:rsid w:val="28812CD5"/>
    <w:rsid w:val="288D49B8"/>
    <w:rsid w:val="288D78CB"/>
    <w:rsid w:val="28A15125"/>
    <w:rsid w:val="28BE7A85"/>
    <w:rsid w:val="28CB1F56"/>
    <w:rsid w:val="28D30D37"/>
    <w:rsid w:val="28DF504B"/>
    <w:rsid w:val="28F224E1"/>
    <w:rsid w:val="28FC7ED2"/>
    <w:rsid w:val="290410FD"/>
    <w:rsid w:val="29104600"/>
    <w:rsid w:val="291A586C"/>
    <w:rsid w:val="291E22D1"/>
    <w:rsid w:val="292045F7"/>
    <w:rsid w:val="292B0B20"/>
    <w:rsid w:val="29514F8D"/>
    <w:rsid w:val="29613908"/>
    <w:rsid w:val="2967676A"/>
    <w:rsid w:val="298C582A"/>
    <w:rsid w:val="299568ED"/>
    <w:rsid w:val="299E4141"/>
    <w:rsid w:val="29CD2E3F"/>
    <w:rsid w:val="29D02637"/>
    <w:rsid w:val="29D432EC"/>
    <w:rsid w:val="29D67228"/>
    <w:rsid w:val="2A144AFA"/>
    <w:rsid w:val="2A212221"/>
    <w:rsid w:val="2A230158"/>
    <w:rsid w:val="2A3B2025"/>
    <w:rsid w:val="2A4B491B"/>
    <w:rsid w:val="2A5F55C3"/>
    <w:rsid w:val="2A625DFF"/>
    <w:rsid w:val="2A6F48BA"/>
    <w:rsid w:val="2A8339A2"/>
    <w:rsid w:val="2ACE1EC8"/>
    <w:rsid w:val="2AD916FB"/>
    <w:rsid w:val="2ADD059B"/>
    <w:rsid w:val="2ADE61BC"/>
    <w:rsid w:val="2AE632C3"/>
    <w:rsid w:val="2B007F78"/>
    <w:rsid w:val="2B05199B"/>
    <w:rsid w:val="2B290297"/>
    <w:rsid w:val="2B4A4876"/>
    <w:rsid w:val="2B9A382D"/>
    <w:rsid w:val="2BA0394B"/>
    <w:rsid w:val="2BA35BA3"/>
    <w:rsid w:val="2BB2311B"/>
    <w:rsid w:val="2BBD4C5A"/>
    <w:rsid w:val="2BCD150F"/>
    <w:rsid w:val="2BD93648"/>
    <w:rsid w:val="2BEC377F"/>
    <w:rsid w:val="2BFC2CAF"/>
    <w:rsid w:val="2C1A17A4"/>
    <w:rsid w:val="2C26758B"/>
    <w:rsid w:val="2C286B86"/>
    <w:rsid w:val="2C292C06"/>
    <w:rsid w:val="2C297706"/>
    <w:rsid w:val="2C357305"/>
    <w:rsid w:val="2C383938"/>
    <w:rsid w:val="2C473F94"/>
    <w:rsid w:val="2C475FE3"/>
    <w:rsid w:val="2C4958B7"/>
    <w:rsid w:val="2C5E4EB5"/>
    <w:rsid w:val="2C89125C"/>
    <w:rsid w:val="2C916EC8"/>
    <w:rsid w:val="2CA65861"/>
    <w:rsid w:val="2CC828D8"/>
    <w:rsid w:val="2D0E75A7"/>
    <w:rsid w:val="2D197F39"/>
    <w:rsid w:val="2D272F05"/>
    <w:rsid w:val="2D3145A1"/>
    <w:rsid w:val="2D472455"/>
    <w:rsid w:val="2D477E26"/>
    <w:rsid w:val="2D4E0FF6"/>
    <w:rsid w:val="2D551367"/>
    <w:rsid w:val="2D8378CA"/>
    <w:rsid w:val="2D8F19F0"/>
    <w:rsid w:val="2D9939FD"/>
    <w:rsid w:val="2DA06D16"/>
    <w:rsid w:val="2DB53831"/>
    <w:rsid w:val="2DCE3C7D"/>
    <w:rsid w:val="2DCF0D38"/>
    <w:rsid w:val="2DDB0505"/>
    <w:rsid w:val="2DF77CC5"/>
    <w:rsid w:val="2DFF70AD"/>
    <w:rsid w:val="2E197228"/>
    <w:rsid w:val="2E490CF6"/>
    <w:rsid w:val="2E616693"/>
    <w:rsid w:val="2E640E80"/>
    <w:rsid w:val="2E685A4D"/>
    <w:rsid w:val="2E786928"/>
    <w:rsid w:val="2E85670C"/>
    <w:rsid w:val="2E93683E"/>
    <w:rsid w:val="2EAE51C5"/>
    <w:rsid w:val="2ECE0FF5"/>
    <w:rsid w:val="2EDB35F4"/>
    <w:rsid w:val="2EE80E9D"/>
    <w:rsid w:val="2F2E6FE6"/>
    <w:rsid w:val="2F305550"/>
    <w:rsid w:val="2F340AB1"/>
    <w:rsid w:val="2F3E05FD"/>
    <w:rsid w:val="2F5A04F1"/>
    <w:rsid w:val="2F675649"/>
    <w:rsid w:val="2F702A20"/>
    <w:rsid w:val="2F7601D5"/>
    <w:rsid w:val="2F9C3813"/>
    <w:rsid w:val="2FB13E9F"/>
    <w:rsid w:val="2FB214E2"/>
    <w:rsid w:val="2FC13835"/>
    <w:rsid w:val="2FC17679"/>
    <w:rsid w:val="2FCB33B7"/>
    <w:rsid w:val="2FE82DA7"/>
    <w:rsid w:val="2FE8558C"/>
    <w:rsid w:val="2FED6249"/>
    <w:rsid w:val="2FF724D0"/>
    <w:rsid w:val="3012072F"/>
    <w:rsid w:val="301A150C"/>
    <w:rsid w:val="302D1BB3"/>
    <w:rsid w:val="30342F1D"/>
    <w:rsid w:val="30395C43"/>
    <w:rsid w:val="303F40CB"/>
    <w:rsid w:val="305344F9"/>
    <w:rsid w:val="305658CA"/>
    <w:rsid w:val="306C1DBC"/>
    <w:rsid w:val="307A4AC9"/>
    <w:rsid w:val="308929C6"/>
    <w:rsid w:val="30893359"/>
    <w:rsid w:val="308E0291"/>
    <w:rsid w:val="30942A46"/>
    <w:rsid w:val="309E477A"/>
    <w:rsid w:val="30A42698"/>
    <w:rsid w:val="30DB652B"/>
    <w:rsid w:val="30E639BE"/>
    <w:rsid w:val="30E74C0B"/>
    <w:rsid w:val="30F02844"/>
    <w:rsid w:val="30F30335"/>
    <w:rsid w:val="31051699"/>
    <w:rsid w:val="310D5CA5"/>
    <w:rsid w:val="311321B5"/>
    <w:rsid w:val="311A5A74"/>
    <w:rsid w:val="311F02AF"/>
    <w:rsid w:val="313A7E15"/>
    <w:rsid w:val="3145771C"/>
    <w:rsid w:val="3151177C"/>
    <w:rsid w:val="316D029A"/>
    <w:rsid w:val="317A3376"/>
    <w:rsid w:val="318031CF"/>
    <w:rsid w:val="31890866"/>
    <w:rsid w:val="318A77C5"/>
    <w:rsid w:val="31905D36"/>
    <w:rsid w:val="31A063FD"/>
    <w:rsid w:val="31B4416D"/>
    <w:rsid w:val="31DD71CE"/>
    <w:rsid w:val="31E150A9"/>
    <w:rsid w:val="31F5271A"/>
    <w:rsid w:val="320061DC"/>
    <w:rsid w:val="32352A7B"/>
    <w:rsid w:val="323671A4"/>
    <w:rsid w:val="3237369F"/>
    <w:rsid w:val="32406CCF"/>
    <w:rsid w:val="32463A26"/>
    <w:rsid w:val="32552500"/>
    <w:rsid w:val="326E6E6C"/>
    <w:rsid w:val="32700042"/>
    <w:rsid w:val="327166EE"/>
    <w:rsid w:val="327C087E"/>
    <w:rsid w:val="328141BD"/>
    <w:rsid w:val="32895DB5"/>
    <w:rsid w:val="328F5EAD"/>
    <w:rsid w:val="32933F60"/>
    <w:rsid w:val="329A2FAD"/>
    <w:rsid w:val="32CA3359"/>
    <w:rsid w:val="32E02AEF"/>
    <w:rsid w:val="32E5571A"/>
    <w:rsid w:val="32EB65E8"/>
    <w:rsid w:val="32EC120E"/>
    <w:rsid w:val="32EE756C"/>
    <w:rsid w:val="331623EA"/>
    <w:rsid w:val="33165D81"/>
    <w:rsid w:val="331F562A"/>
    <w:rsid w:val="331F7CDC"/>
    <w:rsid w:val="33201918"/>
    <w:rsid w:val="33275293"/>
    <w:rsid w:val="333B2E78"/>
    <w:rsid w:val="33441CFD"/>
    <w:rsid w:val="33634E42"/>
    <w:rsid w:val="3386499B"/>
    <w:rsid w:val="33AF65AC"/>
    <w:rsid w:val="33B12A74"/>
    <w:rsid w:val="33B755E0"/>
    <w:rsid w:val="33EA22B9"/>
    <w:rsid w:val="33EE561B"/>
    <w:rsid w:val="33F2005B"/>
    <w:rsid w:val="340915D9"/>
    <w:rsid w:val="341660D6"/>
    <w:rsid w:val="343321E4"/>
    <w:rsid w:val="3449718C"/>
    <w:rsid w:val="345A7CDA"/>
    <w:rsid w:val="346B239F"/>
    <w:rsid w:val="3477169F"/>
    <w:rsid w:val="347845C3"/>
    <w:rsid w:val="347A4A94"/>
    <w:rsid w:val="348061C8"/>
    <w:rsid w:val="348E726D"/>
    <w:rsid w:val="34983880"/>
    <w:rsid w:val="34A72740"/>
    <w:rsid w:val="34A83CBD"/>
    <w:rsid w:val="34C90259"/>
    <w:rsid w:val="34F23FA0"/>
    <w:rsid w:val="34F5398E"/>
    <w:rsid w:val="35232779"/>
    <w:rsid w:val="35490675"/>
    <w:rsid w:val="354E7917"/>
    <w:rsid w:val="35533564"/>
    <w:rsid w:val="357F3C0D"/>
    <w:rsid w:val="359C482A"/>
    <w:rsid w:val="35A2648D"/>
    <w:rsid w:val="35DC2769"/>
    <w:rsid w:val="35EE3F20"/>
    <w:rsid w:val="363A1A40"/>
    <w:rsid w:val="365057CB"/>
    <w:rsid w:val="366F05D1"/>
    <w:rsid w:val="36707E4B"/>
    <w:rsid w:val="369E2CA4"/>
    <w:rsid w:val="36C06D6C"/>
    <w:rsid w:val="36C0742F"/>
    <w:rsid w:val="36C848DD"/>
    <w:rsid w:val="36CB72FE"/>
    <w:rsid w:val="370B22B6"/>
    <w:rsid w:val="3720617D"/>
    <w:rsid w:val="375335A8"/>
    <w:rsid w:val="375A115E"/>
    <w:rsid w:val="376F7161"/>
    <w:rsid w:val="37786996"/>
    <w:rsid w:val="37AB7604"/>
    <w:rsid w:val="38152477"/>
    <w:rsid w:val="381A3FBC"/>
    <w:rsid w:val="383115F5"/>
    <w:rsid w:val="386A4D8B"/>
    <w:rsid w:val="387060FE"/>
    <w:rsid w:val="38780152"/>
    <w:rsid w:val="387D2978"/>
    <w:rsid w:val="388242C0"/>
    <w:rsid w:val="388D490B"/>
    <w:rsid w:val="38926838"/>
    <w:rsid w:val="38A35CBB"/>
    <w:rsid w:val="38AA19BF"/>
    <w:rsid w:val="38AA1B3D"/>
    <w:rsid w:val="38C06F01"/>
    <w:rsid w:val="38C53CA2"/>
    <w:rsid w:val="38CA274D"/>
    <w:rsid w:val="38DB3D3B"/>
    <w:rsid w:val="391A3434"/>
    <w:rsid w:val="3922196A"/>
    <w:rsid w:val="39511C84"/>
    <w:rsid w:val="396759FD"/>
    <w:rsid w:val="397958BD"/>
    <w:rsid w:val="397D3884"/>
    <w:rsid w:val="39801E55"/>
    <w:rsid w:val="398048E2"/>
    <w:rsid w:val="398F55AF"/>
    <w:rsid w:val="39916AF0"/>
    <w:rsid w:val="399B079A"/>
    <w:rsid w:val="39AF7201"/>
    <w:rsid w:val="39BB72A2"/>
    <w:rsid w:val="39C61315"/>
    <w:rsid w:val="39DA200A"/>
    <w:rsid w:val="39DB1464"/>
    <w:rsid w:val="39EC4848"/>
    <w:rsid w:val="39F15800"/>
    <w:rsid w:val="39FB1FB5"/>
    <w:rsid w:val="3A1D23B3"/>
    <w:rsid w:val="3A3620BE"/>
    <w:rsid w:val="3A3932E5"/>
    <w:rsid w:val="3A3F327A"/>
    <w:rsid w:val="3A402C8E"/>
    <w:rsid w:val="3A461688"/>
    <w:rsid w:val="3A502A4B"/>
    <w:rsid w:val="3A540249"/>
    <w:rsid w:val="3A57294E"/>
    <w:rsid w:val="3A725720"/>
    <w:rsid w:val="3A8A623C"/>
    <w:rsid w:val="3A8D36C6"/>
    <w:rsid w:val="3A9E50EE"/>
    <w:rsid w:val="3ABC50BD"/>
    <w:rsid w:val="3ABC7B9C"/>
    <w:rsid w:val="3AC416E1"/>
    <w:rsid w:val="3AE47E5B"/>
    <w:rsid w:val="3AFB0727"/>
    <w:rsid w:val="3B0E7AE4"/>
    <w:rsid w:val="3B34709E"/>
    <w:rsid w:val="3B374E54"/>
    <w:rsid w:val="3B662A70"/>
    <w:rsid w:val="3B7216AD"/>
    <w:rsid w:val="3B7A2E9E"/>
    <w:rsid w:val="3B815EBA"/>
    <w:rsid w:val="3B8B5E54"/>
    <w:rsid w:val="3B924D83"/>
    <w:rsid w:val="3B9C0F7B"/>
    <w:rsid w:val="3BA044D9"/>
    <w:rsid w:val="3BE54BE6"/>
    <w:rsid w:val="3C043541"/>
    <w:rsid w:val="3C1D0ABD"/>
    <w:rsid w:val="3C456A27"/>
    <w:rsid w:val="3C7B42E0"/>
    <w:rsid w:val="3C894E88"/>
    <w:rsid w:val="3CA37266"/>
    <w:rsid w:val="3CEF7ADE"/>
    <w:rsid w:val="3CF010B9"/>
    <w:rsid w:val="3CF61A27"/>
    <w:rsid w:val="3D1B7EA2"/>
    <w:rsid w:val="3D2116F3"/>
    <w:rsid w:val="3D2E7CCB"/>
    <w:rsid w:val="3D4B512D"/>
    <w:rsid w:val="3D612479"/>
    <w:rsid w:val="3D741EAE"/>
    <w:rsid w:val="3D7E2A2B"/>
    <w:rsid w:val="3D7E6297"/>
    <w:rsid w:val="3D834075"/>
    <w:rsid w:val="3D8D740C"/>
    <w:rsid w:val="3DBA72BA"/>
    <w:rsid w:val="3DC92869"/>
    <w:rsid w:val="3DD3562E"/>
    <w:rsid w:val="3DDE52D5"/>
    <w:rsid w:val="3DEE0AC0"/>
    <w:rsid w:val="3E0151A6"/>
    <w:rsid w:val="3E077CBE"/>
    <w:rsid w:val="3E0F16C4"/>
    <w:rsid w:val="3E102F58"/>
    <w:rsid w:val="3E1B01C4"/>
    <w:rsid w:val="3E1C24A8"/>
    <w:rsid w:val="3E29618D"/>
    <w:rsid w:val="3E3C7AEA"/>
    <w:rsid w:val="3E3D4BD0"/>
    <w:rsid w:val="3E683EEA"/>
    <w:rsid w:val="3E824C64"/>
    <w:rsid w:val="3E8A0F75"/>
    <w:rsid w:val="3E987AEE"/>
    <w:rsid w:val="3E9A2284"/>
    <w:rsid w:val="3EAC34A7"/>
    <w:rsid w:val="3EB472BD"/>
    <w:rsid w:val="3F15252A"/>
    <w:rsid w:val="3F1B5750"/>
    <w:rsid w:val="3F3177A8"/>
    <w:rsid w:val="3F496CBE"/>
    <w:rsid w:val="3F587306"/>
    <w:rsid w:val="3F7153F9"/>
    <w:rsid w:val="3F9410E8"/>
    <w:rsid w:val="3FAE024D"/>
    <w:rsid w:val="3FD61700"/>
    <w:rsid w:val="3FF033EE"/>
    <w:rsid w:val="3FF67573"/>
    <w:rsid w:val="3FFB5A3F"/>
    <w:rsid w:val="40213BB3"/>
    <w:rsid w:val="40275EA5"/>
    <w:rsid w:val="402B4847"/>
    <w:rsid w:val="40546C48"/>
    <w:rsid w:val="406B6B72"/>
    <w:rsid w:val="40701A4C"/>
    <w:rsid w:val="40741F5B"/>
    <w:rsid w:val="40774232"/>
    <w:rsid w:val="40860801"/>
    <w:rsid w:val="40865A6A"/>
    <w:rsid w:val="408E7435"/>
    <w:rsid w:val="40924816"/>
    <w:rsid w:val="40956EC5"/>
    <w:rsid w:val="40A427E0"/>
    <w:rsid w:val="40AE3E97"/>
    <w:rsid w:val="40FA1B12"/>
    <w:rsid w:val="4122513C"/>
    <w:rsid w:val="41355EF0"/>
    <w:rsid w:val="41392674"/>
    <w:rsid w:val="415D1E0C"/>
    <w:rsid w:val="41794F45"/>
    <w:rsid w:val="41AA074E"/>
    <w:rsid w:val="41C51A2C"/>
    <w:rsid w:val="41E24A0A"/>
    <w:rsid w:val="41E40104"/>
    <w:rsid w:val="41E54201"/>
    <w:rsid w:val="41EA0EFE"/>
    <w:rsid w:val="42517364"/>
    <w:rsid w:val="4262363F"/>
    <w:rsid w:val="42866E0B"/>
    <w:rsid w:val="42887741"/>
    <w:rsid w:val="429F792A"/>
    <w:rsid w:val="42A10A0B"/>
    <w:rsid w:val="42A82704"/>
    <w:rsid w:val="42AF630A"/>
    <w:rsid w:val="42B775C7"/>
    <w:rsid w:val="42CE76C5"/>
    <w:rsid w:val="4305085A"/>
    <w:rsid w:val="43087E22"/>
    <w:rsid w:val="431742E7"/>
    <w:rsid w:val="43312BDE"/>
    <w:rsid w:val="433862B6"/>
    <w:rsid w:val="43457D5C"/>
    <w:rsid w:val="435A32D3"/>
    <w:rsid w:val="435D7551"/>
    <w:rsid w:val="43743B53"/>
    <w:rsid w:val="43763D41"/>
    <w:rsid w:val="43843137"/>
    <w:rsid w:val="4391176E"/>
    <w:rsid w:val="43A062AD"/>
    <w:rsid w:val="43B545F0"/>
    <w:rsid w:val="43CF397F"/>
    <w:rsid w:val="43EC3C39"/>
    <w:rsid w:val="43F539A2"/>
    <w:rsid w:val="442A447D"/>
    <w:rsid w:val="44391ED2"/>
    <w:rsid w:val="443B241F"/>
    <w:rsid w:val="444903F3"/>
    <w:rsid w:val="444F12A9"/>
    <w:rsid w:val="446961BB"/>
    <w:rsid w:val="449A28A3"/>
    <w:rsid w:val="449A4C45"/>
    <w:rsid w:val="44A85A06"/>
    <w:rsid w:val="44BF09B5"/>
    <w:rsid w:val="44C252E7"/>
    <w:rsid w:val="44E43D61"/>
    <w:rsid w:val="44E72DD0"/>
    <w:rsid w:val="44EE10CA"/>
    <w:rsid w:val="450163B3"/>
    <w:rsid w:val="452250F1"/>
    <w:rsid w:val="4525639F"/>
    <w:rsid w:val="452623E2"/>
    <w:rsid w:val="45284541"/>
    <w:rsid w:val="45316B5D"/>
    <w:rsid w:val="45593BE6"/>
    <w:rsid w:val="456875F0"/>
    <w:rsid w:val="456F5A54"/>
    <w:rsid w:val="45A96C77"/>
    <w:rsid w:val="45AC7614"/>
    <w:rsid w:val="45B33761"/>
    <w:rsid w:val="45C53DA9"/>
    <w:rsid w:val="45CC6425"/>
    <w:rsid w:val="45D3296A"/>
    <w:rsid w:val="45E33B18"/>
    <w:rsid w:val="45F910DF"/>
    <w:rsid w:val="463F07A1"/>
    <w:rsid w:val="46B67097"/>
    <w:rsid w:val="46BA5F18"/>
    <w:rsid w:val="46BC3AE3"/>
    <w:rsid w:val="46BF57EA"/>
    <w:rsid w:val="46E22B80"/>
    <w:rsid w:val="47073A3C"/>
    <w:rsid w:val="471C6162"/>
    <w:rsid w:val="471D1AE4"/>
    <w:rsid w:val="471E63A8"/>
    <w:rsid w:val="474B7E8D"/>
    <w:rsid w:val="474F4C0B"/>
    <w:rsid w:val="475F38B6"/>
    <w:rsid w:val="47685614"/>
    <w:rsid w:val="476D294A"/>
    <w:rsid w:val="47741261"/>
    <w:rsid w:val="477C493B"/>
    <w:rsid w:val="478D6B48"/>
    <w:rsid w:val="47A428C2"/>
    <w:rsid w:val="47B75973"/>
    <w:rsid w:val="47C00874"/>
    <w:rsid w:val="47CF7161"/>
    <w:rsid w:val="47D236CB"/>
    <w:rsid w:val="47E41648"/>
    <w:rsid w:val="47E71D6B"/>
    <w:rsid w:val="47E801AB"/>
    <w:rsid w:val="47EC4B78"/>
    <w:rsid w:val="47F02948"/>
    <w:rsid w:val="47F06F8A"/>
    <w:rsid w:val="480D47B9"/>
    <w:rsid w:val="48233849"/>
    <w:rsid w:val="48277842"/>
    <w:rsid w:val="483D20C4"/>
    <w:rsid w:val="48776E5E"/>
    <w:rsid w:val="48795C23"/>
    <w:rsid w:val="48881D4F"/>
    <w:rsid w:val="488C2FD7"/>
    <w:rsid w:val="48974A79"/>
    <w:rsid w:val="489F5422"/>
    <w:rsid w:val="48CB5B7A"/>
    <w:rsid w:val="48D14BB0"/>
    <w:rsid w:val="48D70F6B"/>
    <w:rsid w:val="48E00EFA"/>
    <w:rsid w:val="48E50E7E"/>
    <w:rsid w:val="490E63AC"/>
    <w:rsid w:val="490F1DBB"/>
    <w:rsid w:val="49177011"/>
    <w:rsid w:val="49260A0E"/>
    <w:rsid w:val="492A7C7B"/>
    <w:rsid w:val="493D634C"/>
    <w:rsid w:val="49593636"/>
    <w:rsid w:val="49750ACF"/>
    <w:rsid w:val="498768B0"/>
    <w:rsid w:val="498F1EC9"/>
    <w:rsid w:val="498F281F"/>
    <w:rsid w:val="49E1306F"/>
    <w:rsid w:val="4A0A6A2A"/>
    <w:rsid w:val="4A104F60"/>
    <w:rsid w:val="4A1277D9"/>
    <w:rsid w:val="4A204EC8"/>
    <w:rsid w:val="4A236AB7"/>
    <w:rsid w:val="4A392FB7"/>
    <w:rsid w:val="4A4C7A60"/>
    <w:rsid w:val="4A5730A3"/>
    <w:rsid w:val="4A7D1B58"/>
    <w:rsid w:val="4A7D6FF8"/>
    <w:rsid w:val="4AD34EFA"/>
    <w:rsid w:val="4ADD1B95"/>
    <w:rsid w:val="4AE04400"/>
    <w:rsid w:val="4AE93111"/>
    <w:rsid w:val="4AF35404"/>
    <w:rsid w:val="4B30754A"/>
    <w:rsid w:val="4B37594E"/>
    <w:rsid w:val="4B3C44DC"/>
    <w:rsid w:val="4B4546E2"/>
    <w:rsid w:val="4B5F5FC3"/>
    <w:rsid w:val="4B6549DC"/>
    <w:rsid w:val="4B6E06DF"/>
    <w:rsid w:val="4B937C35"/>
    <w:rsid w:val="4B9F2EFD"/>
    <w:rsid w:val="4BAF63DD"/>
    <w:rsid w:val="4BB57285"/>
    <w:rsid w:val="4BBD1489"/>
    <w:rsid w:val="4BDB0C2D"/>
    <w:rsid w:val="4BF076A6"/>
    <w:rsid w:val="4C0478A6"/>
    <w:rsid w:val="4C3A380D"/>
    <w:rsid w:val="4C513FD9"/>
    <w:rsid w:val="4C6A0DCA"/>
    <w:rsid w:val="4C6B04B5"/>
    <w:rsid w:val="4C7F272A"/>
    <w:rsid w:val="4CB01933"/>
    <w:rsid w:val="4CB45732"/>
    <w:rsid w:val="4CBD3D2C"/>
    <w:rsid w:val="4CC24367"/>
    <w:rsid w:val="4CD160C0"/>
    <w:rsid w:val="4D022C05"/>
    <w:rsid w:val="4D1F5342"/>
    <w:rsid w:val="4D2C7AF3"/>
    <w:rsid w:val="4D343260"/>
    <w:rsid w:val="4D452701"/>
    <w:rsid w:val="4D484218"/>
    <w:rsid w:val="4D5D0D6B"/>
    <w:rsid w:val="4D5F4C58"/>
    <w:rsid w:val="4D677E3B"/>
    <w:rsid w:val="4D7267BE"/>
    <w:rsid w:val="4DAA2AAB"/>
    <w:rsid w:val="4DD067B1"/>
    <w:rsid w:val="4DDA23BB"/>
    <w:rsid w:val="4DDC7FA5"/>
    <w:rsid w:val="4E143766"/>
    <w:rsid w:val="4E4906EE"/>
    <w:rsid w:val="4E52289A"/>
    <w:rsid w:val="4E5C0BF1"/>
    <w:rsid w:val="4E692982"/>
    <w:rsid w:val="4E6E01C7"/>
    <w:rsid w:val="4E81128D"/>
    <w:rsid w:val="4EAA2B9B"/>
    <w:rsid w:val="4EAC63A7"/>
    <w:rsid w:val="4EB44450"/>
    <w:rsid w:val="4EBE06E2"/>
    <w:rsid w:val="4EE96D5A"/>
    <w:rsid w:val="4EF018DD"/>
    <w:rsid w:val="4EF95E37"/>
    <w:rsid w:val="4F04640B"/>
    <w:rsid w:val="4F0E3BBD"/>
    <w:rsid w:val="4F144EEE"/>
    <w:rsid w:val="4F2F6737"/>
    <w:rsid w:val="4F4C2A01"/>
    <w:rsid w:val="4F5368C9"/>
    <w:rsid w:val="4F6B7BB9"/>
    <w:rsid w:val="4F8627FB"/>
    <w:rsid w:val="4F981B6D"/>
    <w:rsid w:val="4FA6654E"/>
    <w:rsid w:val="4FCC7BD9"/>
    <w:rsid w:val="4FD51E77"/>
    <w:rsid w:val="4FEF0962"/>
    <w:rsid w:val="4FF51ACA"/>
    <w:rsid w:val="4FF659D3"/>
    <w:rsid w:val="4FFB6AF8"/>
    <w:rsid w:val="502D6990"/>
    <w:rsid w:val="503A7C33"/>
    <w:rsid w:val="503B7503"/>
    <w:rsid w:val="505408EF"/>
    <w:rsid w:val="50626FEC"/>
    <w:rsid w:val="50802698"/>
    <w:rsid w:val="508F1B83"/>
    <w:rsid w:val="50B36090"/>
    <w:rsid w:val="50B62460"/>
    <w:rsid w:val="50DF4E67"/>
    <w:rsid w:val="50E15827"/>
    <w:rsid w:val="51002F0E"/>
    <w:rsid w:val="51071B0C"/>
    <w:rsid w:val="511B28C1"/>
    <w:rsid w:val="51685EE7"/>
    <w:rsid w:val="51753008"/>
    <w:rsid w:val="517D7903"/>
    <w:rsid w:val="51B82A14"/>
    <w:rsid w:val="51E809A2"/>
    <w:rsid w:val="51EF6CDE"/>
    <w:rsid w:val="51F219E4"/>
    <w:rsid w:val="52151A1A"/>
    <w:rsid w:val="521A27C6"/>
    <w:rsid w:val="52214FE4"/>
    <w:rsid w:val="522C13B9"/>
    <w:rsid w:val="5234116C"/>
    <w:rsid w:val="52391B1D"/>
    <w:rsid w:val="5254213E"/>
    <w:rsid w:val="526650E8"/>
    <w:rsid w:val="5274323B"/>
    <w:rsid w:val="527812C6"/>
    <w:rsid w:val="52804735"/>
    <w:rsid w:val="52AE3750"/>
    <w:rsid w:val="52B5436D"/>
    <w:rsid w:val="52BD3921"/>
    <w:rsid w:val="52BE1CC3"/>
    <w:rsid w:val="52C13B4A"/>
    <w:rsid w:val="52D62801"/>
    <w:rsid w:val="52DB195C"/>
    <w:rsid w:val="52E25026"/>
    <w:rsid w:val="52E33202"/>
    <w:rsid w:val="52E86357"/>
    <w:rsid w:val="52F03D33"/>
    <w:rsid w:val="53053AB0"/>
    <w:rsid w:val="531655AF"/>
    <w:rsid w:val="531E0F9C"/>
    <w:rsid w:val="535367A5"/>
    <w:rsid w:val="536E66F9"/>
    <w:rsid w:val="53733BF6"/>
    <w:rsid w:val="537D42F8"/>
    <w:rsid w:val="53873D44"/>
    <w:rsid w:val="53962B3E"/>
    <w:rsid w:val="539F4BC3"/>
    <w:rsid w:val="53C7637D"/>
    <w:rsid w:val="53C9708E"/>
    <w:rsid w:val="53CD6E9C"/>
    <w:rsid w:val="53E3217E"/>
    <w:rsid w:val="53E51640"/>
    <w:rsid w:val="5410069F"/>
    <w:rsid w:val="541F502B"/>
    <w:rsid w:val="5428422D"/>
    <w:rsid w:val="542850CE"/>
    <w:rsid w:val="54412AB9"/>
    <w:rsid w:val="54484B90"/>
    <w:rsid w:val="545430A1"/>
    <w:rsid w:val="5459131B"/>
    <w:rsid w:val="54662BFB"/>
    <w:rsid w:val="5471114B"/>
    <w:rsid w:val="54B14A15"/>
    <w:rsid w:val="54B14ED7"/>
    <w:rsid w:val="54BE73BB"/>
    <w:rsid w:val="54C0392D"/>
    <w:rsid w:val="54EC1A3E"/>
    <w:rsid w:val="550876C8"/>
    <w:rsid w:val="550E080D"/>
    <w:rsid w:val="552473CE"/>
    <w:rsid w:val="55273084"/>
    <w:rsid w:val="553918DB"/>
    <w:rsid w:val="554F3566"/>
    <w:rsid w:val="55694C7A"/>
    <w:rsid w:val="55790153"/>
    <w:rsid w:val="557A1F24"/>
    <w:rsid w:val="557B277B"/>
    <w:rsid w:val="557D4AFD"/>
    <w:rsid w:val="55A57753"/>
    <w:rsid w:val="55A939CC"/>
    <w:rsid w:val="55AA7895"/>
    <w:rsid w:val="55B579F7"/>
    <w:rsid w:val="55C73B6D"/>
    <w:rsid w:val="55DF443D"/>
    <w:rsid w:val="55E62380"/>
    <w:rsid w:val="55FB34EE"/>
    <w:rsid w:val="5628417F"/>
    <w:rsid w:val="562B489D"/>
    <w:rsid w:val="56310FE7"/>
    <w:rsid w:val="564357FC"/>
    <w:rsid w:val="5650554F"/>
    <w:rsid w:val="565C7725"/>
    <w:rsid w:val="56721800"/>
    <w:rsid w:val="568820D4"/>
    <w:rsid w:val="568D45BE"/>
    <w:rsid w:val="56936B3D"/>
    <w:rsid w:val="569D5052"/>
    <w:rsid w:val="56B063AF"/>
    <w:rsid w:val="56D33E1D"/>
    <w:rsid w:val="56EB5C17"/>
    <w:rsid w:val="56F67432"/>
    <w:rsid w:val="56FC10C4"/>
    <w:rsid w:val="570C2AAA"/>
    <w:rsid w:val="57196811"/>
    <w:rsid w:val="57230876"/>
    <w:rsid w:val="5725461D"/>
    <w:rsid w:val="57440F69"/>
    <w:rsid w:val="5754503F"/>
    <w:rsid w:val="576378C6"/>
    <w:rsid w:val="57645644"/>
    <w:rsid w:val="578C51EE"/>
    <w:rsid w:val="57AC7CFA"/>
    <w:rsid w:val="57C2639A"/>
    <w:rsid w:val="57C43D39"/>
    <w:rsid w:val="57E27D6D"/>
    <w:rsid w:val="57F16C7F"/>
    <w:rsid w:val="58135902"/>
    <w:rsid w:val="581D05D2"/>
    <w:rsid w:val="581E7B89"/>
    <w:rsid w:val="58203E2B"/>
    <w:rsid w:val="58363A1E"/>
    <w:rsid w:val="583B5B55"/>
    <w:rsid w:val="583E7652"/>
    <w:rsid w:val="586C0F12"/>
    <w:rsid w:val="586D4BB3"/>
    <w:rsid w:val="586E0CF8"/>
    <w:rsid w:val="587F7675"/>
    <w:rsid w:val="58AA2D4B"/>
    <w:rsid w:val="58B0376F"/>
    <w:rsid w:val="58D24194"/>
    <w:rsid w:val="590251D7"/>
    <w:rsid w:val="59075246"/>
    <w:rsid w:val="590810D4"/>
    <w:rsid w:val="59172716"/>
    <w:rsid w:val="592B1BE2"/>
    <w:rsid w:val="592D2065"/>
    <w:rsid w:val="593E07E2"/>
    <w:rsid w:val="594D3F55"/>
    <w:rsid w:val="59517920"/>
    <w:rsid w:val="59617A34"/>
    <w:rsid w:val="596C32A7"/>
    <w:rsid w:val="59721B65"/>
    <w:rsid w:val="599574FB"/>
    <w:rsid w:val="59967ADE"/>
    <w:rsid w:val="59A25F54"/>
    <w:rsid w:val="59A87F44"/>
    <w:rsid w:val="59C451A3"/>
    <w:rsid w:val="59C46400"/>
    <w:rsid w:val="59CE01AC"/>
    <w:rsid w:val="59FA62BF"/>
    <w:rsid w:val="59FD3B38"/>
    <w:rsid w:val="5A2B7D90"/>
    <w:rsid w:val="5A3E0765"/>
    <w:rsid w:val="5A406DEB"/>
    <w:rsid w:val="5A4640AD"/>
    <w:rsid w:val="5A493D64"/>
    <w:rsid w:val="5A583C89"/>
    <w:rsid w:val="5A5E3DF2"/>
    <w:rsid w:val="5A6E567A"/>
    <w:rsid w:val="5A8238C1"/>
    <w:rsid w:val="5A824E8E"/>
    <w:rsid w:val="5AAF6D4A"/>
    <w:rsid w:val="5AB74837"/>
    <w:rsid w:val="5AC530DC"/>
    <w:rsid w:val="5AC54D73"/>
    <w:rsid w:val="5ADB7D78"/>
    <w:rsid w:val="5ADF16B5"/>
    <w:rsid w:val="5B034F7D"/>
    <w:rsid w:val="5B077572"/>
    <w:rsid w:val="5B1C48F7"/>
    <w:rsid w:val="5B3D2335"/>
    <w:rsid w:val="5B596518"/>
    <w:rsid w:val="5B825172"/>
    <w:rsid w:val="5B95101E"/>
    <w:rsid w:val="5BA43574"/>
    <w:rsid w:val="5BAA3237"/>
    <w:rsid w:val="5BBA2229"/>
    <w:rsid w:val="5BC46FC8"/>
    <w:rsid w:val="5BC91312"/>
    <w:rsid w:val="5BDD6EA5"/>
    <w:rsid w:val="5BDE1220"/>
    <w:rsid w:val="5BDE3B67"/>
    <w:rsid w:val="5C1F62D6"/>
    <w:rsid w:val="5C427AAA"/>
    <w:rsid w:val="5C4471CE"/>
    <w:rsid w:val="5C470EA6"/>
    <w:rsid w:val="5C510CA7"/>
    <w:rsid w:val="5C6C4B26"/>
    <w:rsid w:val="5C70627F"/>
    <w:rsid w:val="5C78121F"/>
    <w:rsid w:val="5C7E3B46"/>
    <w:rsid w:val="5C8E6AD3"/>
    <w:rsid w:val="5C962A0F"/>
    <w:rsid w:val="5C9C63C8"/>
    <w:rsid w:val="5CA04BF9"/>
    <w:rsid w:val="5CBA15A3"/>
    <w:rsid w:val="5CD252D1"/>
    <w:rsid w:val="5CD82D18"/>
    <w:rsid w:val="5CDC0BDD"/>
    <w:rsid w:val="5CE96DCA"/>
    <w:rsid w:val="5CFB0D0E"/>
    <w:rsid w:val="5D077EF5"/>
    <w:rsid w:val="5D0D570F"/>
    <w:rsid w:val="5D4708ED"/>
    <w:rsid w:val="5D5061F6"/>
    <w:rsid w:val="5D590772"/>
    <w:rsid w:val="5D670BC7"/>
    <w:rsid w:val="5D6F385A"/>
    <w:rsid w:val="5D8E4CA8"/>
    <w:rsid w:val="5DB86D54"/>
    <w:rsid w:val="5DBE6255"/>
    <w:rsid w:val="5DCA043A"/>
    <w:rsid w:val="5DDC5EE5"/>
    <w:rsid w:val="5DE06080"/>
    <w:rsid w:val="5E026B09"/>
    <w:rsid w:val="5E103836"/>
    <w:rsid w:val="5E1C1E8A"/>
    <w:rsid w:val="5E1C4572"/>
    <w:rsid w:val="5E246A8B"/>
    <w:rsid w:val="5E303CE5"/>
    <w:rsid w:val="5E4B5198"/>
    <w:rsid w:val="5E642265"/>
    <w:rsid w:val="5EA70CDE"/>
    <w:rsid w:val="5EBE0A06"/>
    <w:rsid w:val="5ECB1CD4"/>
    <w:rsid w:val="5ECE7D1A"/>
    <w:rsid w:val="5ED50ED8"/>
    <w:rsid w:val="5EF779D7"/>
    <w:rsid w:val="5EFA1803"/>
    <w:rsid w:val="5EFC2014"/>
    <w:rsid w:val="5F0465E4"/>
    <w:rsid w:val="5F0E78E8"/>
    <w:rsid w:val="5F1B0A3E"/>
    <w:rsid w:val="5F3B2D6C"/>
    <w:rsid w:val="5F4D0535"/>
    <w:rsid w:val="5F57453E"/>
    <w:rsid w:val="5F5B53F6"/>
    <w:rsid w:val="5F60685A"/>
    <w:rsid w:val="5FA570E4"/>
    <w:rsid w:val="5FAC744F"/>
    <w:rsid w:val="5FB46F10"/>
    <w:rsid w:val="5FC353A5"/>
    <w:rsid w:val="5FDC62ED"/>
    <w:rsid w:val="5FE819D3"/>
    <w:rsid w:val="5FEB2206"/>
    <w:rsid w:val="5FED7100"/>
    <w:rsid w:val="5FF44887"/>
    <w:rsid w:val="602472A5"/>
    <w:rsid w:val="604550F9"/>
    <w:rsid w:val="6049085F"/>
    <w:rsid w:val="6051231A"/>
    <w:rsid w:val="60554CDC"/>
    <w:rsid w:val="60580311"/>
    <w:rsid w:val="60593614"/>
    <w:rsid w:val="606317CD"/>
    <w:rsid w:val="60751E3A"/>
    <w:rsid w:val="60963944"/>
    <w:rsid w:val="60994E7B"/>
    <w:rsid w:val="60DC5B8D"/>
    <w:rsid w:val="60E77EFC"/>
    <w:rsid w:val="60ED27E4"/>
    <w:rsid w:val="611C61A9"/>
    <w:rsid w:val="6143479C"/>
    <w:rsid w:val="619A1950"/>
    <w:rsid w:val="619D4186"/>
    <w:rsid w:val="61AE7D97"/>
    <w:rsid w:val="61F80AC1"/>
    <w:rsid w:val="62031A89"/>
    <w:rsid w:val="621F43E9"/>
    <w:rsid w:val="62316AA4"/>
    <w:rsid w:val="623E241B"/>
    <w:rsid w:val="624A237C"/>
    <w:rsid w:val="62686EAA"/>
    <w:rsid w:val="62722A66"/>
    <w:rsid w:val="627D508D"/>
    <w:rsid w:val="62A226C2"/>
    <w:rsid w:val="62C8546B"/>
    <w:rsid w:val="62D813F4"/>
    <w:rsid w:val="62DC4BD7"/>
    <w:rsid w:val="630615B2"/>
    <w:rsid w:val="632073D1"/>
    <w:rsid w:val="6329520B"/>
    <w:rsid w:val="63362285"/>
    <w:rsid w:val="635C5213"/>
    <w:rsid w:val="636D7EBA"/>
    <w:rsid w:val="639064E8"/>
    <w:rsid w:val="63CE15FA"/>
    <w:rsid w:val="63D83474"/>
    <w:rsid w:val="63DB6EED"/>
    <w:rsid w:val="63EF2296"/>
    <w:rsid w:val="63F35B2D"/>
    <w:rsid w:val="64044E99"/>
    <w:rsid w:val="641621E1"/>
    <w:rsid w:val="643F15A9"/>
    <w:rsid w:val="64436AB5"/>
    <w:rsid w:val="644D1BED"/>
    <w:rsid w:val="64743A57"/>
    <w:rsid w:val="64962060"/>
    <w:rsid w:val="64A81117"/>
    <w:rsid w:val="64B27796"/>
    <w:rsid w:val="64B308E0"/>
    <w:rsid w:val="64C32CDA"/>
    <w:rsid w:val="64E85323"/>
    <w:rsid w:val="64E86B5E"/>
    <w:rsid w:val="64EB71D9"/>
    <w:rsid w:val="64EC5266"/>
    <w:rsid w:val="64F1374D"/>
    <w:rsid w:val="652715A4"/>
    <w:rsid w:val="653320C8"/>
    <w:rsid w:val="65336F33"/>
    <w:rsid w:val="655834E5"/>
    <w:rsid w:val="655B7E2E"/>
    <w:rsid w:val="65774DE2"/>
    <w:rsid w:val="658F6A2D"/>
    <w:rsid w:val="65A9123D"/>
    <w:rsid w:val="65AF7C90"/>
    <w:rsid w:val="65B124D6"/>
    <w:rsid w:val="65BD2414"/>
    <w:rsid w:val="65C94AFF"/>
    <w:rsid w:val="65FB194F"/>
    <w:rsid w:val="661208FC"/>
    <w:rsid w:val="661C3008"/>
    <w:rsid w:val="6626043C"/>
    <w:rsid w:val="662D301C"/>
    <w:rsid w:val="664A36D1"/>
    <w:rsid w:val="665A7A13"/>
    <w:rsid w:val="6664740F"/>
    <w:rsid w:val="6665384F"/>
    <w:rsid w:val="66843DD5"/>
    <w:rsid w:val="66943F9D"/>
    <w:rsid w:val="6695367E"/>
    <w:rsid w:val="66986EFA"/>
    <w:rsid w:val="66B91561"/>
    <w:rsid w:val="66B91976"/>
    <w:rsid w:val="66B97C81"/>
    <w:rsid w:val="66F43DD4"/>
    <w:rsid w:val="66FC4493"/>
    <w:rsid w:val="670C7116"/>
    <w:rsid w:val="673452B8"/>
    <w:rsid w:val="674B7A80"/>
    <w:rsid w:val="675C0C10"/>
    <w:rsid w:val="6798478A"/>
    <w:rsid w:val="67B75509"/>
    <w:rsid w:val="67C004EE"/>
    <w:rsid w:val="67CB3049"/>
    <w:rsid w:val="67DF5789"/>
    <w:rsid w:val="67E5058E"/>
    <w:rsid w:val="67E553B0"/>
    <w:rsid w:val="67EF2889"/>
    <w:rsid w:val="67FA4E8C"/>
    <w:rsid w:val="67FB568E"/>
    <w:rsid w:val="680B2738"/>
    <w:rsid w:val="681E1C8A"/>
    <w:rsid w:val="681E74FC"/>
    <w:rsid w:val="68246020"/>
    <w:rsid w:val="683F57E5"/>
    <w:rsid w:val="6846531F"/>
    <w:rsid w:val="685A18FB"/>
    <w:rsid w:val="687C28DB"/>
    <w:rsid w:val="68907DEF"/>
    <w:rsid w:val="68976136"/>
    <w:rsid w:val="68A0278A"/>
    <w:rsid w:val="68C812E7"/>
    <w:rsid w:val="68CE0B86"/>
    <w:rsid w:val="68F540D3"/>
    <w:rsid w:val="69082643"/>
    <w:rsid w:val="69256E15"/>
    <w:rsid w:val="692764EA"/>
    <w:rsid w:val="695976F5"/>
    <w:rsid w:val="699219DD"/>
    <w:rsid w:val="69975BFE"/>
    <w:rsid w:val="69A654F2"/>
    <w:rsid w:val="69B00A10"/>
    <w:rsid w:val="69B42EE2"/>
    <w:rsid w:val="69C441F4"/>
    <w:rsid w:val="69D92366"/>
    <w:rsid w:val="69DE72A2"/>
    <w:rsid w:val="69E40BF9"/>
    <w:rsid w:val="69FA5E67"/>
    <w:rsid w:val="6A206100"/>
    <w:rsid w:val="6A263131"/>
    <w:rsid w:val="6A263720"/>
    <w:rsid w:val="6A330B04"/>
    <w:rsid w:val="6A426472"/>
    <w:rsid w:val="6A436AEC"/>
    <w:rsid w:val="6A67214E"/>
    <w:rsid w:val="6A717CE3"/>
    <w:rsid w:val="6A730EA4"/>
    <w:rsid w:val="6A9260A0"/>
    <w:rsid w:val="6AAB68AC"/>
    <w:rsid w:val="6AB574DF"/>
    <w:rsid w:val="6ACC62E0"/>
    <w:rsid w:val="6ACE4105"/>
    <w:rsid w:val="6AD03793"/>
    <w:rsid w:val="6AE608D0"/>
    <w:rsid w:val="6AFC29BB"/>
    <w:rsid w:val="6B1B6AC3"/>
    <w:rsid w:val="6B327AFB"/>
    <w:rsid w:val="6B336006"/>
    <w:rsid w:val="6B467F07"/>
    <w:rsid w:val="6B4904A7"/>
    <w:rsid w:val="6B5E78FE"/>
    <w:rsid w:val="6B622E3D"/>
    <w:rsid w:val="6B94255A"/>
    <w:rsid w:val="6B966DF8"/>
    <w:rsid w:val="6BA554C4"/>
    <w:rsid w:val="6BB06E24"/>
    <w:rsid w:val="6BB211A1"/>
    <w:rsid w:val="6BF71AE5"/>
    <w:rsid w:val="6BFA67A6"/>
    <w:rsid w:val="6C0C2360"/>
    <w:rsid w:val="6C1D733F"/>
    <w:rsid w:val="6C296A44"/>
    <w:rsid w:val="6C2C23C0"/>
    <w:rsid w:val="6C395525"/>
    <w:rsid w:val="6C54338D"/>
    <w:rsid w:val="6C5F747B"/>
    <w:rsid w:val="6C6643BF"/>
    <w:rsid w:val="6C667726"/>
    <w:rsid w:val="6C6B1CC8"/>
    <w:rsid w:val="6C813704"/>
    <w:rsid w:val="6CA65E33"/>
    <w:rsid w:val="6CCD618B"/>
    <w:rsid w:val="6CD41A5B"/>
    <w:rsid w:val="6CD45481"/>
    <w:rsid w:val="6CD52274"/>
    <w:rsid w:val="6CEA21C3"/>
    <w:rsid w:val="6D0059E8"/>
    <w:rsid w:val="6D0D058A"/>
    <w:rsid w:val="6D155705"/>
    <w:rsid w:val="6D2102DD"/>
    <w:rsid w:val="6D4F5F3E"/>
    <w:rsid w:val="6D654AF0"/>
    <w:rsid w:val="6D672DF1"/>
    <w:rsid w:val="6D6973ED"/>
    <w:rsid w:val="6D702BDA"/>
    <w:rsid w:val="6D7607C6"/>
    <w:rsid w:val="6D7C6B93"/>
    <w:rsid w:val="6D91680B"/>
    <w:rsid w:val="6DBE61E8"/>
    <w:rsid w:val="6DF45B50"/>
    <w:rsid w:val="6E0237C7"/>
    <w:rsid w:val="6E0F5CB7"/>
    <w:rsid w:val="6E396833"/>
    <w:rsid w:val="6E3C46FC"/>
    <w:rsid w:val="6E487B8A"/>
    <w:rsid w:val="6E547FBE"/>
    <w:rsid w:val="6E62419F"/>
    <w:rsid w:val="6E8201DA"/>
    <w:rsid w:val="6E9A04DB"/>
    <w:rsid w:val="6E9D322D"/>
    <w:rsid w:val="6EBB757B"/>
    <w:rsid w:val="6EC519AE"/>
    <w:rsid w:val="6ECA1928"/>
    <w:rsid w:val="6ED17380"/>
    <w:rsid w:val="6EE726EF"/>
    <w:rsid w:val="6EEE6897"/>
    <w:rsid w:val="6F080E6D"/>
    <w:rsid w:val="6F086931"/>
    <w:rsid w:val="6F0926A9"/>
    <w:rsid w:val="6F175ED7"/>
    <w:rsid w:val="6F1A63C1"/>
    <w:rsid w:val="6F222ACE"/>
    <w:rsid w:val="6F4106F3"/>
    <w:rsid w:val="6F724588"/>
    <w:rsid w:val="6F734606"/>
    <w:rsid w:val="6F812514"/>
    <w:rsid w:val="6F8C7562"/>
    <w:rsid w:val="6F8D5CB6"/>
    <w:rsid w:val="6FA9005F"/>
    <w:rsid w:val="6FC71C5E"/>
    <w:rsid w:val="6FCC43BD"/>
    <w:rsid w:val="6FD91702"/>
    <w:rsid w:val="6FE657EB"/>
    <w:rsid w:val="6FED00FF"/>
    <w:rsid w:val="6FF230A4"/>
    <w:rsid w:val="6FF84890"/>
    <w:rsid w:val="70383246"/>
    <w:rsid w:val="703C7C1A"/>
    <w:rsid w:val="704E6956"/>
    <w:rsid w:val="70A54970"/>
    <w:rsid w:val="70D3169F"/>
    <w:rsid w:val="70DC4E9C"/>
    <w:rsid w:val="71063370"/>
    <w:rsid w:val="711F45B9"/>
    <w:rsid w:val="712802B3"/>
    <w:rsid w:val="713B1222"/>
    <w:rsid w:val="714E63D6"/>
    <w:rsid w:val="71756349"/>
    <w:rsid w:val="71905F74"/>
    <w:rsid w:val="71AC3EEB"/>
    <w:rsid w:val="71E33AEE"/>
    <w:rsid w:val="71F71DF5"/>
    <w:rsid w:val="71FB452B"/>
    <w:rsid w:val="71FC66A6"/>
    <w:rsid w:val="71FD217F"/>
    <w:rsid w:val="720601C5"/>
    <w:rsid w:val="72206BCE"/>
    <w:rsid w:val="72210924"/>
    <w:rsid w:val="722B123D"/>
    <w:rsid w:val="724541FF"/>
    <w:rsid w:val="72464B3F"/>
    <w:rsid w:val="72842B7E"/>
    <w:rsid w:val="728E1843"/>
    <w:rsid w:val="729C6937"/>
    <w:rsid w:val="72AC0994"/>
    <w:rsid w:val="72C20476"/>
    <w:rsid w:val="72D32E9D"/>
    <w:rsid w:val="72D95E85"/>
    <w:rsid w:val="72E66B78"/>
    <w:rsid w:val="72E7502A"/>
    <w:rsid w:val="73044502"/>
    <w:rsid w:val="730832B1"/>
    <w:rsid w:val="7345735F"/>
    <w:rsid w:val="734E1B56"/>
    <w:rsid w:val="736528CC"/>
    <w:rsid w:val="736D4CD8"/>
    <w:rsid w:val="73A019BD"/>
    <w:rsid w:val="73A9592E"/>
    <w:rsid w:val="73A960E7"/>
    <w:rsid w:val="73BC23E0"/>
    <w:rsid w:val="73DB7AF6"/>
    <w:rsid w:val="73DE0A03"/>
    <w:rsid w:val="73E96B3C"/>
    <w:rsid w:val="73FE0302"/>
    <w:rsid w:val="740A43A4"/>
    <w:rsid w:val="74314148"/>
    <w:rsid w:val="744C7E0E"/>
    <w:rsid w:val="745775DE"/>
    <w:rsid w:val="745D758A"/>
    <w:rsid w:val="745F712C"/>
    <w:rsid w:val="74695686"/>
    <w:rsid w:val="746C3BCF"/>
    <w:rsid w:val="74726218"/>
    <w:rsid w:val="74813987"/>
    <w:rsid w:val="749E3893"/>
    <w:rsid w:val="74AF7B7D"/>
    <w:rsid w:val="74B15097"/>
    <w:rsid w:val="74B174B7"/>
    <w:rsid w:val="74B662A6"/>
    <w:rsid w:val="74C14C55"/>
    <w:rsid w:val="74C730E6"/>
    <w:rsid w:val="74D40C14"/>
    <w:rsid w:val="74D456F4"/>
    <w:rsid w:val="74DD408E"/>
    <w:rsid w:val="74EF0204"/>
    <w:rsid w:val="74F4000B"/>
    <w:rsid w:val="74F53565"/>
    <w:rsid w:val="750C0702"/>
    <w:rsid w:val="75290C8A"/>
    <w:rsid w:val="75354D85"/>
    <w:rsid w:val="753A05F3"/>
    <w:rsid w:val="755E271D"/>
    <w:rsid w:val="75611E78"/>
    <w:rsid w:val="756646E4"/>
    <w:rsid w:val="75674CA9"/>
    <w:rsid w:val="756C26AF"/>
    <w:rsid w:val="758B541D"/>
    <w:rsid w:val="759A1677"/>
    <w:rsid w:val="75A152BF"/>
    <w:rsid w:val="75B5699E"/>
    <w:rsid w:val="75C612F4"/>
    <w:rsid w:val="75EF0431"/>
    <w:rsid w:val="761D6F02"/>
    <w:rsid w:val="7628317F"/>
    <w:rsid w:val="763846D6"/>
    <w:rsid w:val="765C2A9A"/>
    <w:rsid w:val="76616E2A"/>
    <w:rsid w:val="769470CC"/>
    <w:rsid w:val="76B90DB8"/>
    <w:rsid w:val="76E1191A"/>
    <w:rsid w:val="76EE01F5"/>
    <w:rsid w:val="7709593C"/>
    <w:rsid w:val="770F4A0E"/>
    <w:rsid w:val="771B662C"/>
    <w:rsid w:val="771C23B1"/>
    <w:rsid w:val="772E2BF6"/>
    <w:rsid w:val="774804CC"/>
    <w:rsid w:val="77526E44"/>
    <w:rsid w:val="77547927"/>
    <w:rsid w:val="77722EAD"/>
    <w:rsid w:val="777C270F"/>
    <w:rsid w:val="777C39DF"/>
    <w:rsid w:val="77CF75E3"/>
    <w:rsid w:val="77DD3B92"/>
    <w:rsid w:val="77F12A59"/>
    <w:rsid w:val="78063C29"/>
    <w:rsid w:val="780B46B4"/>
    <w:rsid w:val="782021D6"/>
    <w:rsid w:val="782C17E6"/>
    <w:rsid w:val="7831720A"/>
    <w:rsid w:val="784A371B"/>
    <w:rsid w:val="784D0268"/>
    <w:rsid w:val="78511BFB"/>
    <w:rsid w:val="78570929"/>
    <w:rsid w:val="786646C8"/>
    <w:rsid w:val="78720F0B"/>
    <w:rsid w:val="787B6CEB"/>
    <w:rsid w:val="7889250C"/>
    <w:rsid w:val="7895540D"/>
    <w:rsid w:val="789629A1"/>
    <w:rsid w:val="78972AD3"/>
    <w:rsid w:val="78AA212A"/>
    <w:rsid w:val="78B47E62"/>
    <w:rsid w:val="78BD3A19"/>
    <w:rsid w:val="78CA743F"/>
    <w:rsid w:val="78CD237D"/>
    <w:rsid w:val="78FC723E"/>
    <w:rsid w:val="7903576C"/>
    <w:rsid w:val="791059C4"/>
    <w:rsid w:val="793612F6"/>
    <w:rsid w:val="79471A66"/>
    <w:rsid w:val="794B4FBB"/>
    <w:rsid w:val="79715F03"/>
    <w:rsid w:val="79832C90"/>
    <w:rsid w:val="79A62F1D"/>
    <w:rsid w:val="79B34D12"/>
    <w:rsid w:val="79BA09EE"/>
    <w:rsid w:val="79CD40FA"/>
    <w:rsid w:val="79CE69C9"/>
    <w:rsid w:val="79EA60FA"/>
    <w:rsid w:val="7A0D5743"/>
    <w:rsid w:val="7A1376CB"/>
    <w:rsid w:val="7A3F563E"/>
    <w:rsid w:val="7A47368D"/>
    <w:rsid w:val="7A477AC9"/>
    <w:rsid w:val="7A487312"/>
    <w:rsid w:val="7A4A7E2B"/>
    <w:rsid w:val="7A4B0FE0"/>
    <w:rsid w:val="7A4C2BA3"/>
    <w:rsid w:val="7A574389"/>
    <w:rsid w:val="7A662F0C"/>
    <w:rsid w:val="7A922A62"/>
    <w:rsid w:val="7A9B7021"/>
    <w:rsid w:val="7AAB161A"/>
    <w:rsid w:val="7AB744CE"/>
    <w:rsid w:val="7AB7745D"/>
    <w:rsid w:val="7AD622E1"/>
    <w:rsid w:val="7AE019BD"/>
    <w:rsid w:val="7AE31DB8"/>
    <w:rsid w:val="7AF2300E"/>
    <w:rsid w:val="7B0C07ED"/>
    <w:rsid w:val="7B192506"/>
    <w:rsid w:val="7B2B7492"/>
    <w:rsid w:val="7B3B29FD"/>
    <w:rsid w:val="7B440233"/>
    <w:rsid w:val="7B505C2F"/>
    <w:rsid w:val="7B590514"/>
    <w:rsid w:val="7B5B24DE"/>
    <w:rsid w:val="7B631BC2"/>
    <w:rsid w:val="7B66424C"/>
    <w:rsid w:val="7BAC3148"/>
    <w:rsid w:val="7BBC0F77"/>
    <w:rsid w:val="7BBF003E"/>
    <w:rsid w:val="7BC86099"/>
    <w:rsid w:val="7BCF61EF"/>
    <w:rsid w:val="7BDE4FC2"/>
    <w:rsid w:val="7C251BB9"/>
    <w:rsid w:val="7C270A47"/>
    <w:rsid w:val="7C526BA2"/>
    <w:rsid w:val="7C66738C"/>
    <w:rsid w:val="7C7A2444"/>
    <w:rsid w:val="7C834023"/>
    <w:rsid w:val="7C866FC1"/>
    <w:rsid w:val="7C887303"/>
    <w:rsid w:val="7C9E49BB"/>
    <w:rsid w:val="7CBE33F7"/>
    <w:rsid w:val="7CDE5CED"/>
    <w:rsid w:val="7CE20075"/>
    <w:rsid w:val="7CE77E19"/>
    <w:rsid w:val="7CF873D9"/>
    <w:rsid w:val="7CFC31CC"/>
    <w:rsid w:val="7D023B87"/>
    <w:rsid w:val="7D094AC2"/>
    <w:rsid w:val="7D277784"/>
    <w:rsid w:val="7D281411"/>
    <w:rsid w:val="7D2D0E92"/>
    <w:rsid w:val="7D2F1335"/>
    <w:rsid w:val="7D39684F"/>
    <w:rsid w:val="7D5256DE"/>
    <w:rsid w:val="7D5E7AAB"/>
    <w:rsid w:val="7D613541"/>
    <w:rsid w:val="7D623196"/>
    <w:rsid w:val="7D6A383D"/>
    <w:rsid w:val="7D787EF8"/>
    <w:rsid w:val="7D853F17"/>
    <w:rsid w:val="7DB3008D"/>
    <w:rsid w:val="7DB32A7F"/>
    <w:rsid w:val="7DC3439E"/>
    <w:rsid w:val="7DE435B1"/>
    <w:rsid w:val="7DF123E8"/>
    <w:rsid w:val="7E0064D6"/>
    <w:rsid w:val="7E032F24"/>
    <w:rsid w:val="7E09202D"/>
    <w:rsid w:val="7E113552"/>
    <w:rsid w:val="7E34384C"/>
    <w:rsid w:val="7E3D470A"/>
    <w:rsid w:val="7E3E2ED1"/>
    <w:rsid w:val="7E481050"/>
    <w:rsid w:val="7E4F112B"/>
    <w:rsid w:val="7E5132C5"/>
    <w:rsid w:val="7E725143"/>
    <w:rsid w:val="7E7722A2"/>
    <w:rsid w:val="7E8D040A"/>
    <w:rsid w:val="7EB75211"/>
    <w:rsid w:val="7ED17784"/>
    <w:rsid w:val="7EDA761A"/>
    <w:rsid w:val="7EFC4E2F"/>
    <w:rsid w:val="7F0B6042"/>
    <w:rsid w:val="7F20708C"/>
    <w:rsid w:val="7F413AA5"/>
    <w:rsid w:val="7F4E67C5"/>
    <w:rsid w:val="7F5E3540"/>
    <w:rsid w:val="7F5E39F4"/>
    <w:rsid w:val="7F6C5324"/>
    <w:rsid w:val="7F8A2AB7"/>
    <w:rsid w:val="7F8C2BED"/>
    <w:rsid w:val="7F8F0454"/>
    <w:rsid w:val="7FAE3829"/>
    <w:rsid w:val="7FC62FFE"/>
    <w:rsid w:val="7FCA3FDF"/>
    <w:rsid w:val="7FE34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3"/>
    <w:autoRedefine/>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autoRedefine/>
    <w:qFormat/>
    <w:uiPriority w:val="9"/>
    <w:pPr>
      <w:keepNext/>
      <w:keepLines/>
      <w:spacing w:line="240" w:lineRule="auto"/>
      <w:outlineLvl w:val="1"/>
    </w:pPr>
    <w:rPr>
      <w:rFonts w:ascii="Calibri" w:hAnsi="Calibri" w:cs="黑体"/>
      <w:b/>
      <w:bCs/>
      <w:sz w:val="32"/>
      <w:szCs w:val="32"/>
    </w:rPr>
  </w:style>
  <w:style w:type="paragraph" w:styleId="4">
    <w:name w:val="heading 3"/>
    <w:basedOn w:val="1"/>
    <w:next w:val="1"/>
    <w:autoRedefine/>
    <w:qFormat/>
    <w:uiPriority w:val="9"/>
    <w:pPr>
      <w:keepNext/>
      <w:keepLines/>
      <w:spacing w:line="400" w:lineRule="atLeast"/>
      <w:jc w:val="center"/>
      <w:outlineLvl w:val="2"/>
    </w:pPr>
    <w:rPr>
      <w:b/>
      <w:bCs/>
      <w:sz w:val="32"/>
      <w:szCs w:val="32"/>
      <w:u w:val="double"/>
    </w:rPr>
  </w:style>
  <w:style w:type="paragraph" w:styleId="5">
    <w:name w:val="heading 4"/>
    <w:basedOn w:val="1"/>
    <w:next w:val="1"/>
    <w:autoRedefine/>
    <w:unhideWhenUsed/>
    <w:qFormat/>
    <w:uiPriority w:val="0"/>
    <w:pPr>
      <w:keepNext/>
      <w:keepLines/>
      <w:jc w:val="left"/>
      <w:outlineLvl w:val="3"/>
    </w:pPr>
    <w:rPr>
      <w:rFonts w:ascii="Arial" w:hAnsi="Arial" w:cs="Times New Roman"/>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style>
  <w:style w:type="paragraph" w:styleId="7">
    <w:name w:val="annotation text"/>
    <w:basedOn w:val="1"/>
    <w:link w:val="47"/>
    <w:autoRedefine/>
    <w:qFormat/>
    <w:uiPriority w:val="0"/>
    <w:pPr>
      <w:jc w:val="left"/>
    </w:pPr>
  </w:style>
  <w:style w:type="paragraph" w:styleId="8">
    <w:name w:val="Body Text"/>
    <w:basedOn w:val="1"/>
    <w:next w:val="1"/>
    <w:autoRedefine/>
    <w:qFormat/>
    <w:uiPriority w:val="99"/>
    <w:pPr>
      <w:spacing w:after="120"/>
    </w:pPr>
  </w:style>
  <w:style w:type="paragraph" w:styleId="9">
    <w:name w:val="Body Text Indent"/>
    <w:basedOn w:val="1"/>
    <w:autoRedefine/>
    <w:qFormat/>
    <w:uiPriority w:val="0"/>
    <w:pPr>
      <w:spacing w:after="120"/>
      <w:ind w:left="420" w:leftChars="200"/>
    </w:pPr>
  </w:style>
  <w:style w:type="paragraph" w:styleId="10">
    <w:name w:val="Plain Text"/>
    <w:autoRedefine/>
    <w:qFormat/>
    <w:uiPriority w:val="0"/>
    <w:pPr>
      <w:widowControl w:val="0"/>
      <w:jc w:val="both"/>
    </w:pPr>
    <w:rPr>
      <w:rFonts w:ascii="宋体" w:hAnsi="Courier New" w:eastAsia="宋体" w:cs="Courier New"/>
      <w:kern w:val="2"/>
      <w:sz w:val="21"/>
      <w:szCs w:val="21"/>
      <w:lang w:val="en-US" w:eastAsia="zh-CN" w:bidi="ar-SA"/>
    </w:rPr>
  </w:style>
  <w:style w:type="paragraph" w:styleId="11">
    <w:name w:val="Date"/>
    <w:next w:val="1"/>
    <w:autoRedefine/>
    <w:qFormat/>
    <w:uiPriority w:val="0"/>
    <w:pPr>
      <w:widowControl w:val="0"/>
      <w:ind w:left="2500" w:leftChars="2500"/>
      <w:jc w:val="both"/>
    </w:pPr>
    <w:rPr>
      <w:rFonts w:hint="eastAsia" w:ascii="仿宋_GB2312" w:hAnsi="Calibri" w:eastAsia="仿宋_GB2312" w:cs="Times New Roman"/>
      <w:color w:val="000000"/>
      <w:sz w:val="32"/>
      <w:lang w:val="en-US" w:eastAsia="zh-CN" w:bidi="ar-SA"/>
    </w:rPr>
  </w:style>
  <w:style w:type="paragraph" w:styleId="12">
    <w:name w:val="Balloon Text"/>
    <w:basedOn w:val="1"/>
    <w:link w:val="49"/>
    <w:autoRedefine/>
    <w:qFormat/>
    <w:uiPriority w:val="0"/>
    <w:pPr>
      <w:spacing w:line="240" w:lineRule="auto"/>
    </w:pPr>
    <w:rPr>
      <w:sz w:val="18"/>
      <w:szCs w:val="18"/>
    </w:rPr>
  </w:style>
  <w:style w:type="paragraph" w:styleId="13">
    <w:name w:val="footer"/>
    <w:basedOn w:val="1"/>
    <w:autoRedefine/>
    <w:qFormat/>
    <w:uiPriority w:val="99"/>
    <w:pPr>
      <w:widowControl w:val="0"/>
      <w:tabs>
        <w:tab w:val="center" w:pos="4153"/>
        <w:tab w:val="right" w:pos="8306"/>
      </w:tabs>
      <w:snapToGrid w:val="0"/>
      <w:spacing w:line="240" w:lineRule="auto"/>
      <w:jc w:val="left"/>
    </w:pPr>
    <w:rPr>
      <w:sz w:val="18"/>
    </w:rPr>
  </w:style>
  <w:style w:type="paragraph" w:styleId="14">
    <w:name w:val="header"/>
    <w:basedOn w:val="1"/>
    <w:autoRedefine/>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5">
    <w:name w:val="toc 1"/>
    <w:basedOn w:val="1"/>
    <w:next w:val="1"/>
    <w:autoRedefine/>
    <w:qFormat/>
    <w:uiPriority w:val="39"/>
  </w:style>
  <w:style w:type="paragraph" w:styleId="16">
    <w:name w:val="toc 2"/>
    <w:basedOn w:val="1"/>
    <w:next w:val="1"/>
    <w:autoRedefine/>
    <w:unhideWhenUsed/>
    <w:qFormat/>
    <w:uiPriority w:val="39"/>
    <w:pPr>
      <w:ind w:left="420" w:leftChars="200"/>
    </w:pPr>
  </w:style>
  <w:style w:type="paragraph" w:styleId="17">
    <w:name w:val="Normal (Web)"/>
    <w:basedOn w:val="1"/>
    <w:autoRedefine/>
    <w:qFormat/>
    <w:uiPriority w:val="99"/>
    <w:pPr>
      <w:spacing w:beforeAutospacing="1" w:afterAutospacing="1"/>
      <w:jc w:val="left"/>
    </w:pPr>
    <w:rPr>
      <w:rFonts w:cs="Times New Roman"/>
      <w:kern w:val="0"/>
      <w:sz w:val="24"/>
    </w:rPr>
  </w:style>
  <w:style w:type="paragraph" w:styleId="18">
    <w:name w:val="index 2"/>
    <w:basedOn w:val="1"/>
    <w:next w:val="1"/>
    <w:semiHidden/>
    <w:qFormat/>
    <w:uiPriority w:val="0"/>
    <w:pPr>
      <w:ind w:left="400" w:hanging="200"/>
    </w:pPr>
  </w:style>
  <w:style w:type="paragraph" w:styleId="19">
    <w:name w:val="annotation subject"/>
    <w:basedOn w:val="7"/>
    <w:next w:val="7"/>
    <w:link w:val="48"/>
    <w:autoRedefine/>
    <w:qFormat/>
    <w:uiPriority w:val="0"/>
    <w:rPr>
      <w:b/>
      <w:bCs/>
    </w:rPr>
  </w:style>
  <w:style w:type="paragraph" w:styleId="20">
    <w:name w:val="Body Text First Indent"/>
    <w:basedOn w:val="8"/>
    <w:autoRedefine/>
    <w:unhideWhenUsed/>
    <w:qFormat/>
    <w:uiPriority w:val="0"/>
    <w:pPr>
      <w:spacing w:line="240" w:lineRule="auto"/>
      <w:ind w:firstLine="420" w:firstLineChars="100"/>
    </w:pPr>
    <w:rPr>
      <w:rFonts w:ascii="Times New Roman" w:hAnsi="Times New Roman"/>
      <w:sz w:val="18"/>
      <w:szCs w:val="18"/>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FollowedHyperlink"/>
    <w:basedOn w:val="23"/>
    <w:autoRedefine/>
    <w:semiHidden/>
    <w:unhideWhenUsed/>
    <w:qFormat/>
    <w:uiPriority w:val="0"/>
    <w:rPr>
      <w:color w:val="800080"/>
      <w:u w:val="none"/>
    </w:rPr>
  </w:style>
  <w:style w:type="character" w:styleId="26">
    <w:name w:val="Emphasis"/>
    <w:basedOn w:val="23"/>
    <w:autoRedefine/>
    <w:qFormat/>
    <w:uiPriority w:val="0"/>
    <w:rPr>
      <w:b/>
    </w:rPr>
  </w:style>
  <w:style w:type="character" w:styleId="27">
    <w:name w:val="HTML Definition"/>
    <w:basedOn w:val="23"/>
    <w:autoRedefine/>
    <w:semiHidden/>
    <w:unhideWhenUsed/>
    <w:qFormat/>
    <w:uiPriority w:val="0"/>
  </w:style>
  <w:style w:type="character" w:styleId="28">
    <w:name w:val="HTML Typewriter"/>
    <w:basedOn w:val="23"/>
    <w:autoRedefine/>
    <w:semiHidden/>
    <w:unhideWhenUsed/>
    <w:qFormat/>
    <w:uiPriority w:val="0"/>
    <w:rPr>
      <w:rFonts w:ascii="monospace" w:hAnsi="monospace" w:eastAsia="monospace" w:cs="monospace"/>
      <w:sz w:val="20"/>
    </w:rPr>
  </w:style>
  <w:style w:type="character" w:styleId="29">
    <w:name w:val="HTML Acronym"/>
    <w:basedOn w:val="23"/>
    <w:autoRedefine/>
    <w:semiHidden/>
    <w:unhideWhenUsed/>
    <w:qFormat/>
    <w:uiPriority w:val="0"/>
  </w:style>
  <w:style w:type="character" w:styleId="30">
    <w:name w:val="HTML Variable"/>
    <w:basedOn w:val="23"/>
    <w:autoRedefine/>
    <w:semiHidden/>
    <w:unhideWhenUsed/>
    <w:qFormat/>
    <w:uiPriority w:val="0"/>
  </w:style>
  <w:style w:type="character" w:styleId="31">
    <w:name w:val="Hyperlink"/>
    <w:autoRedefine/>
    <w:qFormat/>
    <w:uiPriority w:val="99"/>
    <w:rPr>
      <w:color w:val="000000"/>
      <w:sz w:val="18"/>
      <w:szCs w:val="18"/>
      <w:u w:val="none"/>
    </w:rPr>
  </w:style>
  <w:style w:type="character" w:styleId="32">
    <w:name w:val="HTML Code"/>
    <w:basedOn w:val="23"/>
    <w:autoRedefine/>
    <w:semiHidden/>
    <w:unhideWhenUsed/>
    <w:qFormat/>
    <w:uiPriority w:val="0"/>
    <w:rPr>
      <w:rFonts w:hint="default" w:ascii="monospace" w:hAnsi="monospace" w:eastAsia="monospace" w:cs="monospace"/>
      <w:sz w:val="20"/>
    </w:rPr>
  </w:style>
  <w:style w:type="character" w:styleId="33">
    <w:name w:val="annotation reference"/>
    <w:basedOn w:val="23"/>
    <w:autoRedefine/>
    <w:qFormat/>
    <w:uiPriority w:val="0"/>
    <w:rPr>
      <w:sz w:val="21"/>
      <w:szCs w:val="21"/>
    </w:rPr>
  </w:style>
  <w:style w:type="character" w:styleId="34">
    <w:name w:val="HTML Cite"/>
    <w:basedOn w:val="23"/>
    <w:autoRedefine/>
    <w:semiHidden/>
    <w:unhideWhenUsed/>
    <w:qFormat/>
    <w:uiPriority w:val="0"/>
  </w:style>
  <w:style w:type="character" w:styleId="35">
    <w:name w:val="HTML Keyboard"/>
    <w:basedOn w:val="23"/>
    <w:autoRedefine/>
    <w:semiHidden/>
    <w:unhideWhenUsed/>
    <w:qFormat/>
    <w:uiPriority w:val="0"/>
    <w:rPr>
      <w:rFonts w:hint="default" w:ascii="monospace" w:hAnsi="monospace" w:eastAsia="monospace" w:cs="monospace"/>
      <w:sz w:val="18"/>
      <w:szCs w:val="18"/>
      <w:bdr w:val="single" w:color="D2D2D2" w:sz="2" w:space="0"/>
    </w:rPr>
  </w:style>
  <w:style w:type="character" w:styleId="36">
    <w:name w:val="HTML Sample"/>
    <w:basedOn w:val="23"/>
    <w:autoRedefine/>
    <w:semiHidden/>
    <w:unhideWhenUsed/>
    <w:qFormat/>
    <w:uiPriority w:val="0"/>
    <w:rPr>
      <w:rFonts w:hint="default" w:ascii="monospace" w:hAnsi="monospace" w:eastAsia="monospace" w:cs="monospace"/>
    </w:rPr>
  </w:style>
  <w:style w:type="paragraph" w:customStyle="1" w:styleId="37">
    <w:name w:val="正文缩进1"/>
    <w:basedOn w:val="1"/>
    <w:autoRedefine/>
    <w:qFormat/>
    <w:uiPriority w:val="0"/>
    <w:pPr>
      <w:ind w:firstLine="420" w:firstLineChars="200"/>
    </w:pPr>
  </w:style>
  <w:style w:type="paragraph" w:customStyle="1" w:styleId="38">
    <w:name w:val="正文（缩进 2 字符）"/>
    <w:basedOn w:val="1"/>
    <w:autoRedefine/>
    <w:qFormat/>
    <w:uiPriority w:val="0"/>
    <w:pPr>
      <w:ind w:firstLine="200" w:firstLineChars="200"/>
    </w:pPr>
  </w:style>
  <w:style w:type="paragraph" w:customStyle="1" w:styleId="39">
    <w:name w:val="正文（缩进 4 字符）"/>
    <w:basedOn w:val="1"/>
    <w:autoRedefine/>
    <w:qFormat/>
    <w:uiPriority w:val="0"/>
    <w:pPr>
      <w:ind w:firstLine="1134" w:firstLineChars="400"/>
    </w:pPr>
  </w:style>
  <w:style w:type="paragraph" w:customStyle="1" w:styleId="40">
    <w:name w:val="列出段落1"/>
    <w:basedOn w:val="1"/>
    <w:autoRedefine/>
    <w:qFormat/>
    <w:uiPriority w:val="99"/>
    <w:pPr>
      <w:ind w:firstLine="420" w:firstLineChars="200"/>
    </w:pPr>
  </w:style>
  <w:style w:type="paragraph" w:customStyle="1" w:styleId="4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2">
    <w:name w:val="标题 2（投标文件）"/>
    <w:basedOn w:val="3"/>
    <w:autoRedefine/>
    <w:qFormat/>
    <w:uiPriority w:val="0"/>
    <w:pPr>
      <w:jc w:val="center"/>
    </w:pPr>
  </w:style>
  <w:style w:type="character" w:customStyle="1" w:styleId="43">
    <w:name w:val="标题 1 字符"/>
    <w:link w:val="2"/>
    <w:autoRedefine/>
    <w:qFormat/>
    <w:uiPriority w:val="9"/>
    <w:rPr>
      <w:rFonts w:eastAsia="仿宋"/>
      <w:b/>
      <w:color w:val="000000"/>
      <w:kern w:val="44"/>
      <w:sz w:val="36"/>
      <w:szCs w:val="44"/>
    </w:rPr>
  </w:style>
  <w:style w:type="paragraph" w:customStyle="1" w:styleId="44">
    <w:name w:val="标题 3（投标文件）"/>
    <w:basedOn w:val="4"/>
    <w:autoRedefine/>
    <w:qFormat/>
    <w:uiPriority w:val="0"/>
    <w:pPr>
      <w:jc w:val="left"/>
    </w:pPr>
    <w:rPr>
      <w:u w:val="none"/>
    </w:rPr>
  </w:style>
  <w:style w:type="character" w:customStyle="1" w:styleId="45">
    <w:name w:val="font21"/>
    <w:basedOn w:val="23"/>
    <w:autoRedefine/>
    <w:qFormat/>
    <w:uiPriority w:val="0"/>
    <w:rPr>
      <w:rFonts w:hint="default" w:ascii="Tahoma" w:hAnsi="Tahoma" w:eastAsia="Tahoma" w:cs="Tahoma"/>
      <w:color w:val="000000"/>
      <w:sz w:val="22"/>
      <w:szCs w:val="22"/>
      <w:u w:val="none"/>
    </w:rPr>
  </w:style>
  <w:style w:type="character" w:customStyle="1" w:styleId="46">
    <w:name w:val="font01"/>
    <w:basedOn w:val="23"/>
    <w:autoRedefine/>
    <w:qFormat/>
    <w:uiPriority w:val="0"/>
    <w:rPr>
      <w:rFonts w:hint="eastAsia" w:ascii="宋体" w:hAnsi="宋体" w:eastAsia="宋体" w:cs="宋体"/>
      <w:color w:val="000000"/>
      <w:sz w:val="22"/>
      <w:szCs w:val="22"/>
      <w:u w:val="none"/>
    </w:rPr>
  </w:style>
  <w:style w:type="character" w:customStyle="1" w:styleId="47">
    <w:name w:val="批注文字 字符"/>
    <w:basedOn w:val="23"/>
    <w:link w:val="7"/>
    <w:autoRedefine/>
    <w:qFormat/>
    <w:uiPriority w:val="0"/>
    <w:rPr>
      <w:rFonts w:ascii="Calibri Light" w:hAnsi="Calibri Light" w:eastAsia="华文仿宋" w:cs="Calibri Light"/>
      <w:kern w:val="2"/>
      <w:sz w:val="28"/>
      <w:szCs w:val="28"/>
    </w:rPr>
  </w:style>
  <w:style w:type="character" w:customStyle="1" w:styleId="48">
    <w:name w:val="批注主题 字符"/>
    <w:basedOn w:val="47"/>
    <w:link w:val="19"/>
    <w:autoRedefine/>
    <w:qFormat/>
    <w:uiPriority w:val="0"/>
    <w:rPr>
      <w:rFonts w:ascii="Calibri Light" w:hAnsi="Calibri Light" w:eastAsia="华文仿宋" w:cs="Calibri Light"/>
      <w:b/>
      <w:bCs/>
      <w:kern w:val="2"/>
      <w:sz w:val="28"/>
      <w:szCs w:val="28"/>
    </w:rPr>
  </w:style>
  <w:style w:type="character" w:customStyle="1" w:styleId="49">
    <w:name w:val="批注框文本 字符"/>
    <w:basedOn w:val="23"/>
    <w:link w:val="12"/>
    <w:autoRedefine/>
    <w:qFormat/>
    <w:uiPriority w:val="0"/>
    <w:rPr>
      <w:rFonts w:ascii="Calibri Light" w:hAnsi="Calibri Light" w:eastAsia="华文仿宋" w:cs="Calibri Light"/>
      <w:kern w:val="2"/>
      <w:sz w:val="18"/>
      <w:szCs w:val="18"/>
    </w:rPr>
  </w:style>
  <w:style w:type="paragraph" w:styleId="50">
    <w:name w:val="List Paragraph"/>
    <w:basedOn w:val="1"/>
    <w:autoRedefine/>
    <w:qFormat/>
    <w:uiPriority w:val="34"/>
    <w:pPr>
      <w:ind w:firstLine="420" w:firstLineChars="200"/>
    </w:pPr>
  </w:style>
  <w:style w:type="paragraph" w:customStyle="1" w:styleId="51">
    <w:name w:val="段"/>
    <w:next w:val="1"/>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15867</Words>
  <Characters>16650</Characters>
  <Lines>182</Lines>
  <Paragraphs>51</Paragraphs>
  <TotalTime>136</TotalTime>
  <ScaleCrop>false</ScaleCrop>
  <LinksUpToDate>false</LinksUpToDate>
  <CharactersWithSpaces>16841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2020-07-14T04:13:00Z</dcterms:created>
  <dc:creator>x</dc:creator>
  <cp:lastModifiedBy>善良</cp:lastModifiedBy>
  <cp:lastPrinted>2025-07-09T01:24:00Z</cp:lastPrinted>
  <dcterms:modified xsi:type="dcterms:W3CDTF">2025-10-17T06:33:42Z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E0FC1363564C47798146338F10879490_13</vt:lpwstr>
  </property>
  <property fmtid="{D5CDD505-2E9C-101B-9397-08002B2CF9AE}" pid="4" name="KSOTemplateDocerSaveRecord">
    <vt:lpwstr>eyJoZGlkIjoiNDI4YTQxZjE2N2EwMGY2MTM1M2M4ZDRiNzM1MjljOTYiLCJ1c2VySWQiOiI0NzgyNjExNDQifQ==</vt:lpwstr>
  </property>
</Properties>
</file>