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62BD7">
      <w:pPr>
        <w:rPr>
          <w:rFonts w:hint="eastAsia" w:hAnsi="宋体" w:eastAsia="宋体" w:cs="宋体"/>
          <w:b/>
          <w:color w:val="auto"/>
          <w:sz w:val="36"/>
          <w:highlight w:val="none"/>
          <w:lang w:eastAsia="zh-CN"/>
        </w:rPr>
      </w:pPr>
      <w:r>
        <w:rPr>
          <w:rFonts w:hint="eastAsia" w:hAnsi="宋体" w:cs="宋体"/>
          <w:b/>
          <w:bCs/>
          <w:color w:val="auto"/>
          <w:sz w:val="32"/>
          <w:szCs w:val="32"/>
          <w:highlight w:val="none"/>
        </w:rPr>
        <w:t>项目编号：SXZCZB2025-ZC</w:t>
      </w:r>
      <w:r>
        <w:rPr>
          <w:rFonts w:hint="eastAsia" w:hAnsi="宋体" w:cs="宋体"/>
          <w:b/>
          <w:bCs/>
          <w:color w:val="auto"/>
          <w:sz w:val="32"/>
          <w:szCs w:val="32"/>
          <w:highlight w:val="none"/>
          <w:lang w:val="en-US" w:eastAsia="zh-CN"/>
        </w:rPr>
        <w:t>CS</w:t>
      </w:r>
      <w:r>
        <w:rPr>
          <w:rFonts w:hint="eastAsia" w:hAnsi="宋体" w:cs="宋体"/>
          <w:b/>
          <w:bCs/>
          <w:color w:val="auto"/>
          <w:sz w:val="32"/>
          <w:szCs w:val="32"/>
          <w:highlight w:val="none"/>
        </w:rPr>
        <w:t>-0736</w:t>
      </w:r>
    </w:p>
    <w:p w14:paraId="161674C3">
      <w:pPr>
        <w:rPr>
          <w:rFonts w:hAnsi="宋体" w:cs="宋体"/>
          <w:b/>
          <w:color w:val="auto"/>
          <w:sz w:val="36"/>
          <w:highlight w:val="none"/>
        </w:rPr>
      </w:pPr>
    </w:p>
    <w:p w14:paraId="044FAF78">
      <w:pPr>
        <w:rPr>
          <w:rFonts w:hAnsi="宋体" w:cs="宋体"/>
          <w:b/>
          <w:color w:val="auto"/>
          <w:sz w:val="36"/>
          <w:highlight w:val="none"/>
        </w:rPr>
      </w:pPr>
    </w:p>
    <w:p w14:paraId="209C1407">
      <w:pPr>
        <w:jc w:val="center"/>
        <w:rPr>
          <w:rFonts w:hAnsi="宋体" w:cs="宋体"/>
          <w:b/>
          <w:bCs/>
          <w:color w:val="auto"/>
          <w:sz w:val="52"/>
          <w:szCs w:val="52"/>
          <w:highlight w:val="none"/>
        </w:rPr>
      </w:pPr>
    </w:p>
    <w:p w14:paraId="72ACAE46">
      <w:pPr>
        <w:jc w:val="center"/>
        <w:rPr>
          <w:rFonts w:hAnsi="宋体" w:cs="宋体"/>
          <w:b/>
          <w:color w:val="auto"/>
          <w:sz w:val="72"/>
          <w:szCs w:val="72"/>
          <w:highlight w:val="none"/>
        </w:rPr>
      </w:pPr>
      <w:r>
        <w:rPr>
          <w:rFonts w:hint="eastAsia" w:hAnsi="宋体" w:cs="宋体"/>
          <w:b/>
          <w:bCs/>
          <w:color w:val="auto"/>
          <w:sz w:val="60"/>
          <w:szCs w:val="60"/>
          <w:highlight w:val="none"/>
          <w:lang w:eastAsia="zh-CN"/>
        </w:rPr>
        <w:t>西院区手术室层流净化改造建设</w:t>
      </w:r>
    </w:p>
    <w:p w14:paraId="4363D4D3">
      <w:pPr>
        <w:spacing w:line="780" w:lineRule="auto"/>
        <w:jc w:val="center"/>
        <w:rPr>
          <w:rFonts w:hAnsi="宋体" w:cs="宋体"/>
          <w:b/>
          <w:color w:val="auto"/>
          <w:sz w:val="72"/>
          <w:szCs w:val="72"/>
          <w:highlight w:val="none"/>
        </w:rPr>
      </w:pPr>
    </w:p>
    <w:p w14:paraId="2C2EC859">
      <w:pPr>
        <w:spacing w:line="780" w:lineRule="auto"/>
        <w:jc w:val="center"/>
        <w:rPr>
          <w:rFonts w:hAnsi="宋体" w:cs="宋体"/>
          <w:b/>
          <w:color w:val="auto"/>
          <w:sz w:val="72"/>
          <w:szCs w:val="72"/>
          <w:highlight w:val="none"/>
        </w:rPr>
      </w:pPr>
      <w:r>
        <w:rPr>
          <w:rFonts w:hint="eastAsia" w:hAnsi="宋体" w:cs="宋体"/>
          <w:b/>
          <w:color w:val="auto"/>
          <w:sz w:val="72"/>
          <w:szCs w:val="72"/>
          <w:highlight w:val="none"/>
        </w:rPr>
        <w:t>竞争性磋商文件</w:t>
      </w:r>
    </w:p>
    <w:p w14:paraId="28394636">
      <w:pPr>
        <w:rPr>
          <w:rFonts w:hAnsi="宋体" w:cs="宋体"/>
          <w:color w:val="auto"/>
          <w:highlight w:val="none"/>
        </w:rPr>
      </w:pPr>
      <w:bookmarkStart w:id="0" w:name="_Toc363463325"/>
    </w:p>
    <w:p w14:paraId="3E5E9903">
      <w:pPr>
        <w:rPr>
          <w:rFonts w:hAnsi="宋体" w:cs="宋体"/>
          <w:color w:val="auto"/>
          <w:highlight w:val="none"/>
        </w:rPr>
      </w:pPr>
    </w:p>
    <w:p w14:paraId="3BFE193A">
      <w:pPr>
        <w:rPr>
          <w:color w:val="auto"/>
          <w:highlight w:val="none"/>
        </w:rPr>
      </w:pPr>
    </w:p>
    <w:p w14:paraId="0B85DBBD">
      <w:pPr>
        <w:rPr>
          <w:rFonts w:hAnsi="宋体" w:cs="宋体"/>
          <w:color w:val="auto"/>
          <w:highlight w:val="none"/>
        </w:rPr>
      </w:pPr>
    </w:p>
    <w:bookmarkEnd w:id="0"/>
    <w:p w14:paraId="30D2364E">
      <w:pPr>
        <w:pStyle w:val="9"/>
        <w:jc w:val="center"/>
        <w:rPr>
          <w:rFonts w:hAnsi="宋体" w:cs="宋体"/>
          <w:b/>
          <w:color w:val="auto"/>
          <w:sz w:val="32"/>
          <w:szCs w:val="32"/>
          <w:highlight w:val="none"/>
        </w:rPr>
      </w:pPr>
    </w:p>
    <w:p w14:paraId="5093031D">
      <w:pPr>
        <w:ind w:left="2400" w:leftChars="10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采 购 人：</w:t>
      </w:r>
      <w:r>
        <w:rPr>
          <w:rFonts w:hint="eastAsia" w:hAnsi="宋体" w:cs="宋体"/>
          <w:b/>
          <w:bCs/>
          <w:color w:val="auto"/>
          <w:sz w:val="32"/>
          <w:szCs w:val="32"/>
          <w:highlight w:val="none"/>
          <w:lang w:eastAsia="zh-CN"/>
        </w:rPr>
        <w:t>宝鸡市中医医院</w:t>
      </w:r>
    </w:p>
    <w:p w14:paraId="74ED0637">
      <w:pPr>
        <w:ind w:left="2400" w:leftChars="1000"/>
        <w:rPr>
          <w:rFonts w:hAnsi="宋体" w:cs="宋体"/>
          <w:b/>
          <w:bCs/>
          <w:color w:val="auto"/>
          <w:sz w:val="32"/>
          <w:szCs w:val="32"/>
          <w:highlight w:val="none"/>
        </w:rPr>
      </w:pPr>
      <w:r>
        <w:rPr>
          <w:rFonts w:hint="eastAsia" w:hAnsi="宋体" w:cs="宋体"/>
          <w:b/>
          <w:bCs/>
          <w:color w:val="auto"/>
          <w:sz w:val="32"/>
          <w:szCs w:val="32"/>
          <w:highlight w:val="none"/>
        </w:rPr>
        <w:t>代理机构：陕西至诚项目管理集团有限公司</w:t>
      </w:r>
    </w:p>
    <w:p w14:paraId="760A58E9">
      <w:pPr>
        <w:pStyle w:val="9"/>
        <w:spacing w:after="0"/>
        <w:ind w:left="2400" w:leftChars="1000"/>
        <w:rPr>
          <w:rFonts w:ascii="宋体" w:hAnsi="宋体" w:cs="宋体"/>
          <w:b/>
          <w:bCs/>
          <w:color w:val="auto"/>
          <w:sz w:val="28"/>
          <w:szCs w:val="28"/>
          <w:highlight w:val="none"/>
        </w:rPr>
      </w:pPr>
      <w:r>
        <w:rPr>
          <w:rFonts w:hint="eastAsia" w:hAnsi="宋体" w:cs="宋体"/>
          <w:b/>
          <w:bCs/>
          <w:color w:val="auto"/>
          <w:sz w:val="32"/>
          <w:szCs w:val="32"/>
          <w:highlight w:val="none"/>
        </w:rPr>
        <w:t>日    期：二〇二</w:t>
      </w:r>
      <w:r>
        <w:rPr>
          <w:rFonts w:hint="eastAsia" w:hAnsi="宋体" w:cs="宋体"/>
          <w:b/>
          <w:bCs/>
          <w:color w:val="auto"/>
          <w:sz w:val="32"/>
          <w:szCs w:val="32"/>
          <w:highlight w:val="none"/>
          <w:lang w:val="en-US" w:eastAsia="zh-CN"/>
        </w:rPr>
        <w:t>五</w:t>
      </w:r>
      <w:r>
        <w:rPr>
          <w:rFonts w:hint="eastAsia" w:hAnsi="宋体" w:cs="宋体"/>
          <w:b/>
          <w:bCs/>
          <w:color w:val="auto"/>
          <w:sz w:val="32"/>
          <w:szCs w:val="32"/>
          <w:highlight w:val="none"/>
        </w:rPr>
        <w:t>年</w:t>
      </w:r>
      <w:r>
        <w:rPr>
          <w:rFonts w:hint="eastAsia" w:hAnsi="宋体" w:cs="宋体"/>
          <w:b/>
          <w:bCs/>
          <w:color w:val="auto"/>
          <w:sz w:val="32"/>
          <w:szCs w:val="32"/>
          <w:highlight w:val="none"/>
          <w:lang w:val="en-US" w:eastAsia="zh-CN"/>
        </w:rPr>
        <w:t>十</w:t>
      </w:r>
      <w:r>
        <w:rPr>
          <w:rFonts w:hint="eastAsia" w:hAnsi="宋体" w:cs="宋体"/>
          <w:b/>
          <w:bCs/>
          <w:color w:val="auto"/>
          <w:sz w:val="32"/>
          <w:szCs w:val="32"/>
          <w:highlight w:val="none"/>
        </w:rPr>
        <w:t>月</w:t>
      </w:r>
    </w:p>
    <w:p w14:paraId="14DC9858">
      <w:pPr>
        <w:rPr>
          <w:rFonts w:hAnsi="宋体" w:cs="宋体"/>
          <w:b/>
          <w:bCs/>
          <w:color w:val="auto"/>
          <w:sz w:val="32"/>
          <w:szCs w:val="32"/>
          <w:highlight w:val="none"/>
        </w:rPr>
      </w:pPr>
    </w:p>
    <w:p w14:paraId="2EE937B6">
      <w:pPr>
        <w:pStyle w:val="3"/>
        <w:rPr>
          <w:color w:val="auto"/>
          <w:highlight w:val="none"/>
        </w:rPr>
        <w:sectPr>
          <w:headerReference r:id="rId4" w:type="first"/>
          <w:headerReference r:id="rId3" w:type="default"/>
          <w:footerReference r:id="rId5" w:type="default"/>
          <w:pgSz w:w="11906" w:h="16838"/>
          <w:pgMar w:top="1418" w:right="1418" w:bottom="1418" w:left="1417" w:header="851" w:footer="992" w:gutter="0"/>
          <w:cols w:space="720" w:num="1"/>
          <w:titlePg/>
          <w:docGrid w:type="lines" w:linePitch="312" w:charSpace="0"/>
        </w:sectPr>
      </w:pPr>
    </w:p>
    <w:p w14:paraId="1932EE65">
      <w:pPr>
        <w:rPr>
          <w:rFonts w:hAnsi="宋体" w:cs="宋体"/>
          <w:color w:val="auto"/>
          <w:highlight w:val="none"/>
        </w:rPr>
      </w:pPr>
    </w:p>
    <w:p w14:paraId="785A0D88">
      <w:pPr>
        <w:jc w:val="center"/>
        <w:rPr>
          <w:rFonts w:hAnsi="宋体" w:cs="宋体"/>
          <w:b/>
          <w:color w:val="auto"/>
          <w:sz w:val="44"/>
          <w:szCs w:val="44"/>
          <w:highlight w:val="none"/>
        </w:rPr>
      </w:pPr>
      <w:r>
        <w:rPr>
          <w:rFonts w:hint="eastAsia" w:hAnsi="宋体" w:cs="宋体"/>
          <w:b/>
          <w:color w:val="auto"/>
          <w:sz w:val="44"/>
          <w:szCs w:val="44"/>
          <w:highlight w:val="none"/>
        </w:rPr>
        <w:t>目 录</w:t>
      </w:r>
    </w:p>
    <w:p w14:paraId="035EC05B">
      <w:pPr>
        <w:jc w:val="center"/>
        <w:rPr>
          <w:rFonts w:hAnsi="宋体" w:cs="宋体"/>
          <w:b/>
          <w:color w:val="auto"/>
          <w:sz w:val="44"/>
          <w:szCs w:val="44"/>
          <w:highlight w:val="none"/>
        </w:rPr>
      </w:pPr>
    </w:p>
    <w:p w14:paraId="090EED5A">
      <w:pPr>
        <w:pStyle w:val="18"/>
        <w:tabs>
          <w:tab w:val="right" w:leader="dot" w:pos="8787"/>
        </w:tabs>
        <w:rPr>
          <w:color w:val="auto"/>
          <w:sz w:val="28"/>
          <w:szCs w:val="28"/>
          <w:highlight w:val="none"/>
        </w:rPr>
      </w:pPr>
      <w:bookmarkStart w:id="1" w:name="_Toc21518"/>
      <w:bookmarkStart w:id="2" w:name="_Toc16218"/>
      <w:bookmarkStart w:id="3" w:name="_Toc389582033"/>
      <w:bookmarkStart w:id="4" w:name="_Toc5293"/>
      <w:bookmarkStart w:id="5" w:name="_Toc19886"/>
      <w:bookmarkStart w:id="6" w:name="_Toc20858"/>
      <w:bookmarkStart w:id="7" w:name="_Toc20652"/>
      <w:bookmarkStart w:id="8" w:name="_Toc27420"/>
      <w:bookmarkStart w:id="9" w:name="_Toc363473971"/>
      <w:bookmarkStart w:id="10" w:name="_Toc363474016"/>
      <w:bookmarkStart w:id="11" w:name="_Toc403077638"/>
      <w:r>
        <w:rPr>
          <w:rFonts w:hint="eastAsia" w:hAnsi="宋体" w:cs="宋体"/>
          <w:bCs/>
          <w:color w:val="auto"/>
          <w:sz w:val="28"/>
          <w:szCs w:val="28"/>
          <w:highlight w:val="none"/>
        </w:rPr>
        <w:fldChar w:fldCharType="begin"/>
      </w:r>
      <w:r>
        <w:rPr>
          <w:rFonts w:hint="eastAsia" w:hAnsi="宋体" w:cs="宋体"/>
          <w:bCs/>
          <w:color w:val="auto"/>
          <w:sz w:val="28"/>
          <w:szCs w:val="28"/>
          <w:highlight w:val="none"/>
        </w:rPr>
        <w:instrText xml:space="preserve">TOC \o "1-2" \h \u </w:instrText>
      </w:r>
      <w:r>
        <w:rPr>
          <w:rFonts w:hint="eastAsia" w:hAnsi="宋体" w:cs="宋体"/>
          <w:bCs/>
          <w:color w:val="auto"/>
          <w:sz w:val="28"/>
          <w:szCs w:val="28"/>
          <w:highlight w:val="none"/>
        </w:rPr>
        <w:fldChar w:fldCharType="separate"/>
      </w:r>
      <w:r>
        <w:rPr>
          <w:color w:val="auto"/>
          <w:highlight w:val="none"/>
        </w:rPr>
        <w:fldChar w:fldCharType="begin"/>
      </w:r>
      <w:r>
        <w:rPr>
          <w:color w:val="auto"/>
          <w:highlight w:val="none"/>
        </w:rPr>
        <w:instrText xml:space="preserve"> HYPERLINK \l "_Toc15104" </w:instrText>
      </w:r>
      <w:r>
        <w:rPr>
          <w:color w:val="auto"/>
          <w:highlight w:val="none"/>
        </w:rPr>
        <w:fldChar w:fldCharType="separate"/>
      </w:r>
      <w:r>
        <w:rPr>
          <w:rFonts w:hint="eastAsia" w:cs="宋体"/>
          <w:bCs/>
          <w:color w:val="auto"/>
          <w:sz w:val="28"/>
          <w:szCs w:val="28"/>
          <w:highlight w:val="none"/>
        </w:rPr>
        <w:t>第一章  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_Toc15104 \h </w:instrText>
      </w:r>
      <w:r>
        <w:rPr>
          <w:color w:val="auto"/>
          <w:sz w:val="28"/>
          <w:szCs w:val="28"/>
          <w:highlight w:val="none"/>
        </w:rPr>
        <w:fldChar w:fldCharType="separate"/>
      </w:r>
      <w:r>
        <w:rPr>
          <w:color w:val="auto"/>
          <w:sz w:val="28"/>
          <w:szCs w:val="28"/>
          <w:highlight w:val="none"/>
        </w:rPr>
        <w:t>2</w:t>
      </w:r>
      <w:r>
        <w:rPr>
          <w:color w:val="auto"/>
          <w:sz w:val="28"/>
          <w:szCs w:val="28"/>
          <w:highlight w:val="none"/>
        </w:rPr>
        <w:fldChar w:fldCharType="end"/>
      </w:r>
      <w:r>
        <w:rPr>
          <w:color w:val="auto"/>
          <w:sz w:val="28"/>
          <w:szCs w:val="28"/>
          <w:highlight w:val="none"/>
        </w:rPr>
        <w:fldChar w:fldCharType="end"/>
      </w:r>
    </w:p>
    <w:p w14:paraId="091AAE7B">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"_Toc20398" </w:instrText>
      </w:r>
      <w:r>
        <w:rPr>
          <w:color w:val="auto"/>
          <w:highlight w:val="none"/>
        </w:rPr>
        <w:fldChar w:fldCharType="separate"/>
      </w:r>
      <w:r>
        <w:rPr>
          <w:rFonts w:hint="eastAsia" w:hAnsi="宋体" w:cs="宋体"/>
          <w:bCs/>
          <w:color w:val="auto"/>
          <w:kern w:val="2"/>
          <w:sz w:val="28"/>
          <w:szCs w:val="28"/>
          <w:highlight w:val="none"/>
        </w:rPr>
        <w:t>第二章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_Toc20398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4054D18D">
      <w:pPr>
        <w:pStyle w:val="20"/>
        <w:tabs>
          <w:tab w:val="right" w:leader="dot" w:pos="8787"/>
        </w:tabs>
        <w:ind w:left="480"/>
        <w:rPr>
          <w:color w:val="auto"/>
          <w:sz w:val="28"/>
          <w:szCs w:val="28"/>
          <w:highlight w:val="none"/>
        </w:rPr>
      </w:pPr>
      <w:r>
        <w:rPr>
          <w:color w:val="auto"/>
          <w:highlight w:val="none"/>
        </w:rPr>
        <w:fldChar w:fldCharType="begin"/>
      </w:r>
      <w:r>
        <w:rPr>
          <w:color w:val="auto"/>
          <w:highlight w:val="none"/>
        </w:rPr>
        <w:instrText xml:space="preserve"> HYPERLINK \l "_Toc15286" </w:instrText>
      </w:r>
      <w:r>
        <w:rPr>
          <w:color w:val="auto"/>
          <w:highlight w:val="none"/>
        </w:rPr>
        <w:fldChar w:fldCharType="separate"/>
      </w:r>
      <w:r>
        <w:rPr>
          <w:rFonts w:hint="eastAsia" w:hAnsi="宋体" w:cs="宋体"/>
          <w:color w:val="auto"/>
          <w:sz w:val="28"/>
          <w:szCs w:val="28"/>
          <w:highlight w:val="none"/>
        </w:rPr>
        <w:t>供应商须知前附表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_Toc15286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53246D91">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"_Toc11414" </w:instrText>
      </w:r>
      <w:r>
        <w:rPr>
          <w:color w:val="auto"/>
          <w:highlight w:val="none"/>
        </w:rPr>
        <w:fldChar w:fldCharType="separate"/>
      </w:r>
      <w:r>
        <w:rPr>
          <w:rFonts w:hint="eastAsia" w:cs="宋体"/>
          <w:bCs/>
          <w:color w:val="auto"/>
          <w:sz w:val="28"/>
          <w:szCs w:val="28"/>
          <w:highlight w:val="none"/>
        </w:rPr>
        <w:t>第三章  评审方法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_Toc11414 \h </w:instrText>
      </w:r>
      <w:r>
        <w:rPr>
          <w:color w:val="auto"/>
          <w:sz w:val="28"/>
          <w:szCs w:val="28"/>
          <w:highlight w:val="none"/>
        </w:rPr>
        <w:fldChar w:fldCharType="separate"/>
      </w:r>
      <w:r>
        <w:rPr>
          <w:color w:val="auto"/>
          <w:sz w:val="28"/>
          <w:szCs w:val="28"/>
          <w:highlight w:val="none"/>
        </w:rPr>
        <w:t>23</w:t>
      </w:r>
      <w:r>
        <w:rPr>
          <w:color w:val="auto"/>
          <w:sz w:val="28"/>
          <w:szCs w:val="28"/>
          <w:highlight w:val="none"/>
        </w:rPr>
        <w:fldChar w:fldCharType="end"/>
      </w:r>
      <w:r>
        <w:rPr>
          <w:color w:val="auto"/>
          <w:sz w:val="28"/>
          <w:szCs w:val="28"/>
          <w:highlight w:val="none"/>
        </w:rPr>
        <w:fldChar w:fldCharType="end"/>
      </w:r>
    </w:p>
    <w:p w14:paraId="136DDB75">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"_Toc24962" </w:instrText>
      </w:r>
      <w:r>
        <w:rPr>
          <w:color w:val="auto"/>
          <w:highlight w:val="none"/>
        </w:rPr>
        <w:fldChar w:fldCharType="separate"/>
      </w:r>
      <w:r>
        <w:rPr>
          <w:rFonts w:hint="eastAsia" w:cs="宋体"/>
          <w:bCs/>
          <w:color w:val="auto"/>
          <w:sz w:val="28"/>
          <w:szCs w:val="28"/>
          <w:highlight w:val="none"/>
        </w:rPr>
        <w:t>第四章  合同条款及格式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_Toc24962 \h </w:instrText>
      </w:r>
      <w:r>
        <w:rPr>
          <w:color w:val="auto"/>
          <w:sz w:val="28"/>
          <w:szCs w:val="28"/>
          <w:highlight w:val="none"/>
        </w:rPr>
        <w:fldChar w:fldCharType="separate"/>
      </w:r>
      <w:r>
        <w:rPr>
          <w:color w:val="auto"/>
          <w:sz w:val="28"/>
          <w:szCs w:val="28"/>
          <w:highlight w:val="none"/>
        </w:rPr>
        <w:t>29</w:t>
      </w:r>
      <w:r>
        <w:rPr>
          <w:color w:val="auto"/>
          <w:sz w:val="28"/>
          <w:szCs w:val="28"/>
          <w:highlight w:val="none"/>
        </w:rPr>
        <w:fldChar w:fldCharType="end"/>
      </w:r>
      <w:r>
        <w:rPr>
          <w:color w:val="auto"/>
          <w:sz w:val="28"/>
          <w:szCs w:val="28"/>
          <w:highlight w:val="none"/>
        </w:rPr>
        <w:fldChar w:fldCharType="end"/>
      </w:r>
    </w:p>
    <w:p w14:paraId="4526783A">
      <w:pPr>
        <w:pStyle w:val="20"/>
        <w:tabs>
          <w:tab w:val="right" w:leader="dot" w:pos="8787"/>
        </w:tabs>
        <w:ind w:left="480"/>
        <w:rPr>
          <w:color w:val="auto"/>
          <w:sz w:val="28"/>
          <w:szCs w:val="28"/>
          <w:highlight w:val="none"/>
        </w:rPr>
      </w:pPr>
      <w:r>
        <w:rPr>
          <w:color w:val="auto"/>
          <w:highlight w:val="none"/>
        </w:rPr>
        <w:fldChar w:fldCharType="begin"/>
      </w:r>
      <w:r>
        <w:rPr>
          <w:color w:val="auto"/>
          <w:highlight w:val="none"/>
        </w:rPr>
        <w:instrText xml:space="preserve"> HYPERLINK \l "_Toc30923" </w:instrText>
      </w:r>
      <w:r>
        <w:rPr>
          <w:color w:val="auto"/>
          <w:highlight w:val="none"/>
        </w:rPr>
        <w:fldChar w:fldCharType="separate"/>
      </w:r>
      <w:r>
        <w:rPr>
          <w:rFonts w:hint="eastAsia" w:hAnsi="宋体"/>
          <w:color w:val="auto"/>
          <w:sz w:val="28"/>
          <w:szCs w:val="28"/>
          <w:highlight w:val="none"/>
        </w:rPr>
        <w:t>合同条款及格式前附表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_Toc30923 \h </w:instrText>
      </w:r>
      <w:r>
        <w:rPr>
          <w:color w:val="auto"/>
          <w:sz w:val="28"/>
          <w:szCs w:val="28"/>
          <w:highlight w:val="none"/>
        </w:rPr>
        <w:fldChar w:fldCharType="separate"/>
      </w:r>
      <w:r>
        <w:rPr>
          <w:color w:val="auto"/>
          <w:sz w:val="28"/>
          <w:szCs w:val="28"/>
          <w:highlight w:val="none"/>
        </w:rPr>
        <w:t>29</w:t>
      </w:r>
      <w:r>
        <w:rPr>
          <w:color w:val="auto"/>
          <w:sz w:val="28"/>
          <w:szCs w:val="28"/>
          <w:highlight w:val="none"/>
        </w:rPr>
        <w:fldChar w:fldCharType="end"/>
      </w:r>
      <w:r>
        <w:rPr>
          <w:color w:val="auto"/>
          <w:sz w:val="28"/>
          <w:szCs w:val="28"/>
          <w:highlight w:val="none"/>
        </w:rPr>
        <w:fldChar w:fldCharType="end"/>
      </w:r>
    </w:p>
    <w:p w14:paraId="2CCAFEE2">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"_Toc27319" </w:instrText>
      </w:r>
      <w:r>
        <w:rPr>
          <w:color w:val="auto"/>
          <w:highlight w:val="none"/>
        </w:rPr>
        <w:fldChar w:fldCharType="separate"/>
      </w:r>
      <w:r>
        <w:rPr>
          <w:rFonts w:hint="eastAsia" w:cs="宋体"/>
          <w:bCs/>
          <w:color w:val="auto"/>
          <w:sz w:val="28"/>
          <w:szCs w:val="28"/>
          <w:highlight w:val="none"/>
        </w:rPr>
        <w:t>第五章  磋商内容及技术要求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_Toc27319 \h </w:instrText>
      </w:r>
      <w:r>
        <w:rPr>
          <w:color w:val="auto"/>
          <w:sz w:val="28"/>
          <w:szCs w:val="28"/>
          <w:highlight w:val="none"/>
        </w:rPr>
        <w:fldChar w:fldCharType="separate"/>
      </w:r>
      <w:r>
        <w:rPr>
          <w:color w:val="auto"/>
          <w:sz w:val="28"/>
          <w:szCs w:val="28"/>
          <w:highlight w:val="none"/>
        </w:rPr>
        <w:t>57</w:t>
      </w:r>
      <w:r>
        <w:rPr>
          <w:color w:val="auto"/>
          <w:sz w:val="28"/>
          <w:szCs w:val="28"/>
          <w:highlight w:val="none"/>
        </w:rPr>
        <w:fldChar w:fldCharType="end"/>
      </w:r>
      <w:r>
        <w:rPr>
          <w:color w:val="auto"/>
          <w:sz w:val="28"/>
          <w:szCs w:val="28"/>
          <w:highlight w:val="none"/>
        </w:rPr>
        <w:fldChar w:fldCharType="end"/>
      </w:r>
    </w:p>
    <w:p w14:paraId="36567641">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"_Toc8141" </w:instrText>
      </w:r>
      <w:r>
        <w:rPr>
          <w:color w:val="auto"/>
          <w:highlight w:val="none"/>
        </w:rPr>
        <w:fldChar w:fldCharType="separate"/>
      </w:r>
      <w:r>
        <w:rPr>
          <w:rFonts w:hint="eastAsia" w:cs="宋体"/>
          <w:color w:val="auto"/>
          <w:sz w:val="28"/>
          <w:szCs w:val="28"/>
          <w:highlight w:val="none"/>
        </w:rPr>
        <w:t>第六章  竞争性磋商响应文件格式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_Toc8141 \h </w:instrText>
      </w:r>
      <w:r>
        <w:rPr>
          <w:color w:val="auto"/>
          <w:sz w:val="28"/>
          <w:szCs w:val="28"/>
          <w:highlight w:val="none"/>
        </w:rPr>
        <w:fldChar w:fldCharType="separate"/>
      </w:r>
      <w:r>
        <w:rPr>
          <w:color w:val="auto"/>
          <w:sz w:val="28"/>
          <w:szCs w:val="28"/>
          <w:highlight w:val="none"/>
        </w:rPr>
        <w:t>57</w:t>
      </w:r>
      <w:r>
        <w:rPr>
          <w:color w:val="auto"/>
          <w:sz w:val="28"/>
          <w:szCs w:val="28"/>
          <w:highlight w:val="none"/>
        </w:rPr>
        <w:fldChar w:fldCharType="end"/>
      </w:r>
      <w:r>
        <w:rPr>
          <w:color w:val="auto"/>
          <w:sz w:val="28"/>
          <w:szCs w:val="28"/>
          <w:highlight w:val="none"/>
        </w:rPr>
        <w:fldChar w:fldCharType="end"/>
      </w:r>
    </w:p>
    <w:p w14:paraId="35C1115D">
      <w:pPr>
        <w:pStyle w:val="18"/>
        <w:tabs>
          <w:tab w:val="right" w:leader="dot" w:pos="8302"/>
        </w:tabs>
        <w:spacing w:line="480" w:lineRule="auto"/>
        <w:rPr>
          <w:rFonts w:hAnsi="宋体" w:cs="宋体"/>
          <w:bCs/>
          <w:color w:val="auto"/>
          <w:sz w:val="28"/>
          <w:szCs w:val="28"/>
          <w:highlight w:val="none"/>
        </w:rPr>
      </w:pPr>
      <w:r>
        <w:rPr>
          <w:rFonts w:hint="eastAsia" w:hAnsi="宋体" w:cs="宋体"/>
          <w:bCs/>
          <w:color w:val="auto"/>
          <w:sz w:val="28"/>
          <w:szCs w:val="28"/>
          <w:highlight w:val="none"/>
        </w:rPr>
        <w:fldChar w:fldCharType="end"/>
      </w:r>
    </w:p>
    <w:p w14:paraId="539020FB">
      <w:pPr>
        <w:pStyle w:val="2"/>
        <w:spacing w:before="312" w:beforeLines="100"/>
        <w:jc w:val="center"/>
        <w:rPr>
          <w:rFonts w:ascii="宋体" w:eastAsia="宋体" w:cs="宋体"/>
          <w:bCs/>
          <w:color w:val="auto"/>
          <w:sz w:val="36"/>
          <w:szCs w:val="36"/>
          <w:highlight w:val="none"/>
        </w:rPr>
        <w:sectPr>
          <w:footerReference r:id="rId7" w:type="first"/>
          <w:footerReference r:id="rId6" w:type="default"/>
          <w:pgSz w:w="11906" w:h="16838"/>
          <w:pgMar w:top="1418" w:right="1418" w:bottom="1418" w:left="1417" w:header="851" w:footer="992" w:gutter="0"/>
          <w:pgNumType w:start="1"/>
          <w:cols w:space="720" w:num="1"/>
          <w:titlePg/>
          <w:docGrid w:type="lines" w:linePitch="312" w:charSpace="0"/>
        </w:sectPr>
      </w:pPr>
    </w:p>
    <w:p w14:paraId="4B383042">
      <w:pPr>
        <w:pStyle w:val="2"/>
        <w:keepNext w:val="0"/>
        <w:keepLines/>
        <w:pageBreakBefore/>
        <w:spacing w:before="159" w:beforeLines="50" w:after="159" w:afterLines="50" w:line="360" w:lineRule="auto"/>
        <w:jc w:val="center"/>
        <w:rPr>
          <w:rFonts w:ascii="宋体" w:eastAsia="宋体" w:cs="宋体"/>
          <w:bCs/>
          <w:color w:val="auto"/>
          <w:szCs w:val="32"/>
          <w:highlight w:val="none"/>
        </w:rPr>
      </w:pPr>
      <w:bookmarkStart w:id="12" w:name="_Toc15104"/>
      <w:bookmarkStart w:id="13" w:name="_Toc423973071"/>
      <w:r>
        <w:rPr>
          <w:rFonts w:hint="eastAsia" w:ascii="宋体" w:eastAsia="宋体" w:cs="宋体"/>
          <w:bCs/>
          <w:color w:val="auto"/>
          <w:szCs w:val="32"/>
          <w:highlight w:val="none"/>
        </w:rPr>
        <w:t xml:space="preserve">第一章  </w:t>
      </w:r>
      <w:bookmarkEnd w:id="1"/>
      <w:bookmarkEnd w:id="2"/>
      <w:bookmarkEnd w:id="3"/>
      <w:bookmarkEnd w:id="4"/>
      <w:bookmarkEnd w:id="5"/>
      <w:bookmarkEnd w:id="6"/>
      <w:bookmarkEnd w:id="7"/>
      <w:r>
        <w:rPr>
          <w:rFonts w:hint="eastAsia" w:ascii="宋体" w:eastAsia="宋体" w:cs="宋体"/>
          <w:bCs/>
          <w:color w:val="auto"/>
          <w:szCs w:val="32"/>
          <w:highlight w:val="none"/>
        </w:rPr>
        <w:t>竞争性磋商公告</w:t>
      </w:r>
      <w:bookmarkEnd w:id="8"/>
      <w:bookmarkEnd w:id="12"/>
      <w:bookmarkEnd w:id="13"/>
    </w:p>
    <w:p w14:paraId="62E5FC40">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bookmarkStart w:id="14" w:name="_Toc389582035"/>
      <w:bookmarkStart w:id="15" w:name="_Toc2929"/>
      <w:bookmarkStart w:id="16" w:name="_Toc29249"/>
      <w:bookmarkStart w:id="17" w:name="_Toc423973072"/>
      <w:r>
        <w:rPr>
          <w:rFonts w:hint="eastAsia" w:ascii="宋体" w:hAnsi="宋体" w:eastAsia="宋体" w:cs="宋体"/>
          <w:b/>
          <w:bCs/>
          <w:i w:val="0"/>
          <w:iCs w:val="0"/>
          <w:caps w:val="0"/>
          <w:color w:val="333333"/>
          <w:spacing w:val="0"/>
          <w:sz w:val="24"/>
          <w:szCs w:val="24"/>
          <w:highlight w:val="none"/>
          <w:shd w:val="clear" w:fill="FFFFFF"/>
        </w:rPr>
        <w:t>项目概况</w:t>
      </w:r>
    </w:p>
    <w:p w14:paraId="6DE82BF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hAnsi="宋体" w:cs="宋体"/>
          <w:i w:val="0"/>
          <w:iCs w:val="0"/>
          <w:caps w:val="0"/>
          <w:color w:val="333333"/>
          <w:spacing w:val="0"/>
          <w:sz w:val="24"/>
          <w:szCs w:val="24"/>
          <w:highlight w:val="none"/>
          <w:shd w:val="clear" w:fill="FFFFFF"/>
          <w:lang w:eastAsia="zh-CN"/>
        </w:rPr>
        <w:t>西院区手术室层流净化改造建设</w:t>
      </w:r>
      <w:r>
        <w:rPr>
          <w:rFonts w:hint="eastAsia" w:ascii="宋体" w:hAnsi="宋体" w:eastAsia="宋体" w:cs="宋体"/>
          <w:i w:val="0"/>
          <w:iCs w:val="0"/>
          <w:caps w:val="0"/>
          <w:color w:val="333333"/>
          <w:spacing w:val="0"/>
          <w:sz w:val="24"/>
          <w:szCs w:val="24"/>
          <w:highlight w:val="none"/>
          <w:shd w:val="clear" w:fill="FFFFFF"/>
        </w:rPr>
        <w:t>采购项目的潜在供应商应在陕西省西安市经济技术开发区未央路171-1号银池道拉斯财富中心21楼03室获取采购文件，并于 2025年</w:t>
      </w:r>
      <w:r>
        <w:rPr>
          <w:rFonts w:hint="eastAsia" w:hAnsi="宋体" w:cs="宋体"/>
          <w:i w:val="0"/>
          <w:iCs w:val="0"/>
          <w:caps w:val="0"/>
          <w:color w:val="333333"/>
          <w:spacing w:val="0"/>
          <w:sz w:val="24"/>
          <w:szCs w:val="24"/>
          <w:highlight w:val="none"/>
          <w:shd w:val="clear" w:fill="FFFFFF"/>
          <w:lang w:val="en-US" w:eastAsia="zh-CN"/>
        </w:rPr>
        <w:t xml:space="preserve"> 10 </w:t>
      </w:r>
      <w:r>
        <w:rPr>
          <w:rFonts w:hint="eastAsia" w:ascii="宋体" w:hAnsi="宋体" w:eastAsia="宋体" w:cs="宋体"/>
          <w:i w:val="0"/>
          <w:iCs w:val="0"/>
          <w:caps w:val="0"/>
          <w:color w:val="333333"/>
          <w:spacing w:val="0"/>
          <w:sz w:val="24"/>
          <w:szCs w:val="24"/>
          <w:highlight w:val="none"/>
          <w:shd w:val="clear" w:fill="FFFFFF"/>
        </w:rPr>
        <w:t>月</w:t>
      </w:r>
      <w:r>
        <w:rPr>
          <w:rFonts w:hint="eastAsia" w:hAnsi="宋体" w:cs="宋体"/>
          <w:i w:val="0"/>
          <w:iCs w:val="0"/>
          <w:caps w:val="0"/>
          <w:color w:val="333333"/>
          <w:spacing w:val="0"/>
          <w:sz w:val="24"/>
          <w:szCs w:val="24"/>
          <w:highlight w:val="none"/>
          <w:shd w:val="clear" w:fill="FFFFFF"/>
          <w:lang w:val="en-US" w:eastAsia="zh-CN"/>
        </w:rPr>
        <w:t xml:space="preserve"> 23 </w:t>
      </w:r>
      <w:r>
        <w:rPr>
          <w:rFonts w:hint="eastAsia" w:ascii="宋体" w:hAnsi="宋体" w:eastAsia="宋体" w:cs="宋体"/>
          <w:i w:val="0"/>
          <w:iCs w:val="0"/>
          <w:caps w:val="0"/>
          <w:color w:val="333333"/>
          <w:spacing w:val="0"/>
          <w:sz w:val="24"/>
          <w:szCs w:val="24"/>
          <w:highlight w:val="none"/>
          <w:shd w:val="clear" w:fill="FFFFFF"/>
        </w:rPr>
        <w:t>日</w:t>
      </w:r>
      <w:r>
        <w:rPr>
          <w:rFonts w:hint="eastAsia" w:hAnsi="宋体" w:cs="宋体"/>
          <w:i w:val="0"/>
          <w:iCs w:val="0"/>
          <w:caps w:val="0"/>
          <w:color w:val="333333"/>
          <w:spacing w:val="0"/>
          <w:sz w:val="24"/>
          <w:szCs w:val="24"/>
          <w:highlight w:val="none"/>
          <w:shd w:val="clear" w:fill="FFFFFF"/>
          <w:lang w:val="en-US" w:eastAsia="zh-CN"/>
        </w:rPr>
        <w:t xml:space="preserve"> 10 </w:t>
      </w:r>
      <w:r>
        <w:rPr>
          <w:rFonts w:hint="eastAsia" w:ascii="宋体" w:hAnsi="宋体" w:eastAsia="宋体" w:cs="宋体"/>
          <w:i w:val="0"/>
          <w:iCs w:val="0"/>
          <w:caps w:val="0"/>
          <w:color w:val="333333"/>
          <w:spacing w:val="0"/>
          <w:sz w:val="24"/>
          <w:szCs w:val="24"/>
          <w:highlight w:val="none"/>
          <w:shd w:val="clear" w:fill="FFFFFF"/>
        </w:rPr>
        <w:t>时</w:t>
      </w:r>
      <w:r>
        <w:rPr>
          <w:rFonts w:hint="eastAsia" w:hAnsi="宋体" w:cs="宋体"/>
          <w:i w:val="0"/>
          <w:iCs w:val="0"/>
          <w:caps w:val="0"/>
          <w:color w:val="333333"/>
          <w:spacing w:val="0"/>
          <w:sz w:val="24"/>
          <w:szCs w:val="24"/>
          <w:highlight w:val="none"/>
          <w:shd w:val="clear" w:fill="FFFFFF"/>
          <w:lang w:val="en-US" w:eastAsia="zh-CN"/>
        </w:rPr>
        <w:t xml:space="preserve"> 00 </w:t>
      </w:r>
      <w:r>
        <w:rPr>
          <w:rFonts w:hint="eastAsia" w:ascii="宋体" w:hAnsi="宋体" w:eastAsia="宋体" w:cs="宋体"/>
          <w:i w:val="0"/>
          <w:iCs w:val="0"/>
          <w:caps w:val="0"/>
          <w:color w:val="333333"/>
          <w:spacing w:val="0"/>
          <w:sz w:val="24"/>
          <w:szCs w:val="24"/>
          <w:highlight w:val="none"/>
          <w:shd w:val="clear" w:fill="FFFFFF"/>
        </w:rPr>
        <w:t>分（北京时间）前提交响应文件。</w:t>
      </w:r>
    </w:p>
    <w:p w14:paraId="48841996">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一、项目基本情况</w:t>
      </w:r>
    </w:p>
    <w:p w14:paraId="738337D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项目编号：</w:t>
      </w:r>
      <w:r>
        <w:rPr>
          <w:rFonts w:hint="eastAsia" w:hAnsi="宋体" w:cs="宋体"/>
          <w:i w:val="0"/>
          <w:iCs w:val="0"/>
          <w:caps w:val="0"/>
          <w:color w:val="333333"/>
          <w:spacing w:val="0"/>
          <w:sz w:val="24"/>
          <w:szCs w:val="24"/>
          <w:highlight w:val="none"/>
          <w:shd w:val="clear" w:fill="FFFFFF"/>
          <w:lang w:eastAsia="zh-CN"/>
        </w:rPr>
        <w:t>SXZCZB2025-ZCCS-0736</w:t>
      </w:r>
    </w:p>
    <w:p w14:paraId="63A8D69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项目名称：</w:t>
      </w:r>
      <w:r>
        <w:rPr>
          <w:rFonts w:hint="eastAsia" w:hAnsi="宋体" w:cs="宋体"/>
          <w:i w:val="0"/>
          <w:iCs w:val="0"/>
          <w:caps w:val="0"/>
          <w:color w:val="333333"/>
          <w:spacing w:val="0"/>
          <w:sz w:val="24"/>
          <w:szCs w:val="24"/>
          <w:highlight w:val="none"/>
          <w:shd w:val="clear" w:fill="FFFFFF"/>
          <w:lang w:eastAsia="zh-CN"/>
        </w:rPr>
        <w:t>西院区手术室层流净化改造建设</w:t>
      </w:r>
    </w:p>
    <w:p w14:paraId="24E4293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采购方式：竞争性磋商</w:t>
      </w:r>
    </w:p>
    <w:p w14:paraId="46781B4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预算金额：</w:t>
      </w:r>
      <w:r>
        <w:rPr>
          <w:rFonts w:hint="eastAsia" w:hAnsi="宋体" w:cs="宋体"/>
          <w:i w:val="0"/>
          <w:iCs w:val="0"/>
          <w:caps w:val="0"/>
          <w:color w:val="333333"/>
          <w:spacing w:val="0"/>
          <w:sz w:val="24"/>
          <w:szCs w:val="24"/>
          <w:highlight w:val="none"/>
          <w:shd w:val="clear" w:fill="FFFFFF"/>
          <w:lang w:eastAsia="zh-CN"/>
        </w:rPr>
        <w:t>1,430,000.00</w:t>
      </w:r>
      <w:r>
        <w:rPr>
          <w:rFonts w:hint="eastAsia" w:ascii="宋体" w:hAnsi="宋体" w:eastAsia="宋体" w:cs="宋体"/>
          <w:i w:val="0"/>
          <w:iCs w:val="0"/>
          <w:caps w:val="0"/>
          <w:color w:val="333333"/>
          <w:spacing w:val="0"/>
          <w:sz w:val="24"/>
          <w:szCs w:val="24"/>
          <w:highlight w:val="none"/>
          <w:shd w:val="clear" w:fill="FFFFFF"/>
        </w:rPr>
        <w:t>元</w:t>
      </w:r>
    </w:p>
    <w:p w14:paraId="3DEEB17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采购需求：</w:t>
      </w:r>
    </w:p>
    <w:p w14:paraId="1969D2B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合同包1(</w:t>
      </w:r>
      <w:r>
        <w:rPr>
          <w:rFonts w:hint="eastAsia" w:hAnsi="宋体" w:cs="宋体"/>
          <w:i w:val="0"/>
          <w:iCs w:val="0"/>
          <w:caps w:val="0"/>
          <w:color w:val="333333"/>
          <w:spacing w:val="0"/>
          <w:sz w:val="24"/>
          <w:szCs w:val="24"/>
          <w:highlight w:val="none"/>
          <w:shd w:val="clear" w:fill="FFFFFF"/>
          <w:lang w:eastAsia="zh-CN"/>
        </w:rPr>
        <w:t>西院区手术室层流净化改造建设</w:t>
      </w:r>
      <w:r>
        <w:rPr>
          <w:rFonts w:hint="eastAsia" w:ascii="宋体" w:hAnsi="宋体" w:eastAsia="宋体" w:cs="宋体"/>
          <w:i w:val="0"/>
          <w:iCs w:val="0"/>
          <w:caps w:val="0"/>
          <w:color w:val="333333"/>
          <w:spacing w:val="0"/>
          <w:sz w:val="24"/>
          <w:szCs w:val="24"/>
          <w:highlight w:val="none"/>
          <w:shd w:val="clear" w:fill="FFFFFF"/>
        </w:rPr>
        <w:t>):</w:t>
      </w:r>
    </w:p>
    <w:p w14:paraId="2490ADE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合同包预算金额：1,430,000.00元</w:t>
      </w:r>
    </w:p>
    <w:p w14:paraId="7C139201">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合同包最高限价：</w:t>
      </w:r>
      <w:r>
        <w:rPr>
          <w:rFonts w:hint="eastAsia" w:hAnsi="宋体" w:cs="宋体"/>
          <w:i w:val="0"/>
          <w:iCs w:val="0"/>
          <w:caps w:val="0"/>
          <w:color w:val="333333"/>
          <w:spacing w:val="0"/>
          <w:sz w:val="24"/>
          <w:szCs w:val="24"/>
          <w:highlight w:val="none"/>
          <w:shd w:val="clear" w:fill="FFFFFF"/>
          <w:lang w:eastAsia="zh-CN"/>
        </w:rPr>
        <w:t>1,430,000.00</w:t>
      </w:r>
      <w:r>
        <w:rPr>
          <w:rFonts w:hint="eastAsia" w:ascii="宋体" w:hAnsi="宋体" w:eastAsia="宋体" w:cs="宋体"/>
          <w:i w:val="0"/>
          <w:iCs w:val="0"/>
          <w:caps w:val="0"/>
          <w:color w:val="333333"/>
          <w:spacing w:val="0"/>
          <w:sz w:val="24"/>
          <w:szCs w:val="24"/>
          <w:highlight w:val="none"/>
          <w:shd w:val="clear" w:fill="FFFFFF"/>
        </w:rPr>
        <w:t>元</w:t>
      </w:r>
    </w:p>
    <w:tbl>
      <w:tblPr>
        <w:tblStyle w:val="25"/>
        <w:tblW w:w="4997"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498"/>
        <w:gridCol w:w="1498"/>
        <w:gridCol w:w="1499"/>
        <w:gridCol w:w="1499"/>
        <w:gridCol w:w="1499"/>
        <w:gridCol w:w="1794"/>
      </w:tblGrid>
      <w:tr w14:paraId="27ECCF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06" w:type="pct"/>
            <w:vAlign w:val="center"/>
          </w:tcPr>
          <w:p w14:paraId="7D96952A">
            <w:pPr>
              <w:bidi w:val="0"/>
              <w:jc w:val="center"/>
              <w:rPr>
                <w:highlight w:val="none"/>
              </w:rPr>
            </w:pPr>
            <w:r>
              <w:rPr>
                <w:highlight w:val="none"/>
              </w:rPr>
              <w:t>品目号</w:t>
            </w:r>
          </w:p>
        </w:tc>
        <w:tc>
          <w:tcPr>
            <w:tcW w:w="806" w:type="pct"/>
            <w:vAlign w:val="center"/>
          </w:tcPr>
          <w:p w14:paraId="39500A60">
            <w:pPr>
              <w:bidi w:val="0"/>
              <w:jc w:val="center"/>
              <w:rPr>
                <w:highlight w:val="none"/>
              </w:rPr>
            </w:pPr>
            <w:r>
              <w:rPr>
                <w:highlight w:val="none"/>
              </w:rPr>
              <w:t>品目名称</w:t>
            </w:r>
          </w:p>
        </w:tc>
        <w:tc>
          <w:tcPr>
            <w:tcW w:w="806" w:type="pct"/>
            <w:vAlign w:val="center"/>
          </w:tcPr>
          <w:p w14:paraId="40FB2CD0">
            <w:pPr>
              <w:bidi w:val="0"/>
              <w:jc w:val="center"/>
              <w:rPr>
                <w:highlight w:val="none"/>
              </w:rPr>
            </w:pPr>
            <w:r>
              <w:rPr>
                <w:highlight w:val="none"/>
              </w:rPr>
              <w:t>采购标的</w:t>
            </w:r>
          </w:p>
        </w:tc>
        <w:tc>
          <w:tcPr>
            <w:tcW w:w="806" w:type="pct"/>
            <w:vAlign w:val="center"/>
          </w:tcPr>
          <w:p w14:paraId="5D6AC2C1">
            <w:pPr>
              <w:bidi w:val="0"/>
              <w:jc w:val="center"/>
              <w:rPr>
                <w:highlight w:val="none"/>
              </w:rPr>
            </w:pPr>
            <w:r>
              <w:rPr>
                <w:highlight w:val="none"/>
              </w:rPr>
              <w:t>数量（单位）</w:t>
            </w:r>
          </w:p>
        </w:tc>
        <w:tc>
          <w:tcPr>
            <w:tcW w:w="806" w:type="pct"/>
            <w:vAlign w:val="center"/>
          </w:tcPr>
          <w:p w14:paraId="2387A382">
            <w:pPr>
              <w:bidi w:val="0"/>
              <w:jc w:val="center"/>
              <w:rPr>
                <w:highlight w:val="none"/>
              </w:rPr>
            </w:pPr>
            <w:r>
              <w:rPr>
                <w:highlight w:val="none"/>
              </w:rPr>
              <w:t>技术规格、参数及要求</w:t>
            </w:r>
          </w:p>
        </w:tc>
        <w:tc>
          <w:tcPr>
            <w:tcW w:w="965" w:type="pct"/>
            <w:vAlign w:val="center"/>
          </w:tcPr>
          <w:p w14:paraId="193EA9FA">
            <w:pPr>
              <w:bidi w:val="0"/>
              <w:jc w:val="center"/>
              <w:rPr>
                <w:highlight w:val="none"/>
              </w:rPr>
            </w:pPr>
            <w:r>
              <w:rPr>
                <w:highlight w:val="none"/>
              </w:rPr>
              <w:t>品目预算(元)</w:t>
            </w:r>
          </w:p>
        </w:tc>
      </w:tr>
      <w:tr w14:paraId="789051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06" w:type="pct"/>
            <w:vAlign w:val="center"/>
          </w:tcPr>
          <w:p w14:paraId="0053EDF2">
            <w:pPr>
              <w:bidi w:val="0"/>
              <w:jc w:val="center"/>
              <w:rPr>
                <w:highlight w:val="none"/>
              </w:rPr>
            </w:pPr>
            <w:r>
              <w:rPr>
                <w:highlight w:val="none"/>
              </w:rPr>
              <w:t>1-1</w:t>
            </w:r>
          </w:p>
        </w:tc>
        <w:tc>
          <w:tcPr>
            <w:tcW w:w="806" w:type="pct"/>
            <w:vAlign w:val="center"/>
          </w:tcPr>
          <w:p w14:paraId="000AE5C1">
            <w:pPr>
              <w:bidi w:val="0"/>
              <w:jc w:val="center"/>
              <w:rPr>
                <w:highlight w:val="none"/>
              </w:rPr>
            </w:pPr>
            <w:r>
              <w:rPr>
                <w:rFonts w:hint="eastAsia"/>
                <w:highlight w:val="none"/>
              </w:rPr>
              <w:t>通风和空调设备安装</w:t>
            </w:r>
          </w:p>
        </w:tc>
        <w:tc>
          <w:tcPr>
            <w:tcW w:w="806" w:type="pct"/>
            <w:vAlign w:val="center"/>
          </w:tcPr>
          <w:p w14:paraId="2FE5CE68">
            <w:pPr>
              <w:bidi w:val="0"/>
              <w:jc w:val="center"/>
              <w:rPr>
                <w:highlight w:val="none"/>
              </w:rPr>
            </w:pPr>
            <w:r>
              <w:rPr>
                <w:rFonts w:hint="eastAsia"/>
                <w:highlight w:val="none"/>
              </w:rPr>
              <w:t>手术室层流净化改造建设</w:t>
            </w:r>
          </w:p>
        </w:tc>
        <w:tc>
          <w:tcPr>
            <w:tcW w:w="806" w:type="pct"/>
            <w:vAlign w:val="center"/>
          </w:tcPr>
          <w:p w14:paraId="3CADCF86">
            <w:pPr>
              <w:bidi w:val="0"/>
              <w:jc w:val="center"/>
              <w:rPr>
                <w:highlight w:val="none"/>
              </w:rPr>
            </w:pPr>
            <w:r>
              <w:rPr>
                <w:highlight w:val="none"/>
              </w:rPr>
              <w:t>1(项)</w:t>
            </w:r>
          </w:p>
        </w:tc>
        <w:tc>
          <w:tcPr>
            <w:tcW w:w="806" w:type="pct"/>
            <w:vAlign w:val="center"/>
          </w:tcPr>
          <w:p w14:paraId="234E7254">
            <w:pPr>
              <w:bidi w:val="0"/>
              <w:jc w:val="center"/>
              <w:rPr>
                <w:highlight w:val="none"/>
              </w:rPr>
            </w:pPr>
            <w:r>
              <w:rPr>
                <w:highlight w:val="none"/>
              </w:rPr>
              <w:t>详见采购文件</w:t>
            </w:r>
          </w:p>
        </w:tc>
        <w:tc>
          <w:tcPr>
            <w:tcW w:w="965" w:type="pct"/>
            <w:vAlign w:val="center"/>
          </w:tcPr>
          <w:p w14:paraId="75A3EF82">
            <w:pPr>
              <w:bidi w:val="0"/>
              <w:jc w:val="center"/>
              <w:rPr>
                <w:rFonts w:hint="eastAsia" w:eastAsia="宋体"/>
                <w:highlight w:val="none"/>
                <w:lang w:eastAsia="zh-CN"/>
              </w:rPr>
            </w:pPr>
            <w:r>
              <w:rPr>
                <w:rFonts w:hint="eastAsia" w:hAnsi="宋体" w:cs="宋体"/>
                <w:i w:val="0"/>
                <w:iCs w:val="0"/>
                <w:caps w:val="0"/>
                <w:color w:val="333333"/>
                <w:spacing w:val="0"/>
                <w:sz w:val="24"/>
                <w:szCs w:val="24"/>
                <w:highlight w:val="none"/>
                <w:shd w:val="clear" w:fill="FFFFFF"/>
                <w:lang w:eastAsia="zh-CN"/>
              </w:rPr>
              <w:t>1,430,000.00</w:t>
            </w:r>
          </w:p>
        </w:tc>
      </w:tr>
    </w:tbl>
    <w:p w14:paraId="791AD58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 xml:space="preserve"> 本合同包不接受联合体投标</w:t>
      </w:r>
    </w:p>
    <w:p w14:paraId="0AB62CD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 xml:space="preserve"> 合同履行期限：详见采购文件</w:t>
      </w:r>
    </w:p>
    <w:p w14:paraId="22090B0A">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二、申请人的资格要求：</w:t>
      </w:r>
    </w:p>
    <w:p w14:paraId="3000D732">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1.满足《中华人民共和国政府采购法》第二十二条规定;</w:t>
      </w:r>
    </w:p>
    <w:p w14:paraId="098CC3D8">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2.落实政府采购政策需满足的资格要求：</w:t>
      </w:r>
    </w:p>
    <w:p w14:paraId="1A532F1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合同包1(</w:t>
      </w:r>
      <w:r>
        <w:rPr>
          <w:rFonts w:hint="eastAsia" w:hAnsi="宋体" w:cs="宋体"/>
          <w:i w:val="0"/>
          <w:iCs w:val="0"/>
          <w:caps w:val="0"/>
          <w:color w:val="333333"/>
          <w:spacing w:val="0"/>
          <w:sz w:val="24"/>
          <w:szCs w:val="24"/>
          <w:highlight w:val="none"/>
          <w:shd w:val="clear" w:fill="FFFFFF"/>
          <w:lang w:eastAsia="zh-CN"/>
        </w:rPr>
        <w:t>西院区手术室层流净化改造建设</w:t>
      </w:r>
      <w:r>
        <w:rPr>
          <w:rFonts w:hint="eastAsia" w:ascii="宋体" w:hAnsi="宋体" w:eastAsia="宋体" w:cs="宋体"/>
          <w:i w:val="0"/>
          <w:iCs w:val="0"/>
          <w:caps w:val="0"/>
          <w:color w:val="333333"/>
          <w:spacing w:val="0"/>
          <w:sz w:val="24"/>
          <w:szCs w:val="24"/>
          <w:highlight w:val="none"/>
          <w:shd w:val="clear" w:fill="FFFFFF"/>
        </w:rPr>
        <w:t>)落实政府采购政策需满足的资格要求如下:</w:t>
      </w:r>
    </w:p>
    <w:p w14:paraId="6C2FE608">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（1）《政府采购促进中小企业发展管理办法》（财库〔2020〕46号）；</w:t>
      </w:r>
    </w:p>
    <w:p w14:paraId="1A4E4EB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（2）《财政部司法部关于政府采购支持监狱企业发展有关问题的通知》（财库〔2014〕68号）；</w:t>
      </w:r>
    </w:p>
    <w:p w14:paraId="7B923B7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（3）《关于促进残疾人就业政府采购政策的通知》（财库〔2017〕141号）；</w:t>
      </w:r>
    </w:p>
    <w:p w14:paraId="5520A86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（4）《节能产品政府采购实施意见》（财库〔2004〕185号）；</w:t>
      </w:r>
    </w:p>
    <w:p w14:paraId="2C108C16">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（5）《环境标志产品政府采购实施的意见》（财库〔2006〕90号）；</w:t>
      </w:r>
    </w:p>
    <w:p w14:paraId="767139B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（6）《国务院办公厅关于建立政府强制采购节能产品制度的通知》（国办发〔2007〕51号）；</w:t>
      </w:r>
    </w:p>
    <w:p w14:paraId="2FD1847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（7）财政部发展改革委生态环境部市场监管总局关于调整优化节能产品、环境标志产品政府采购执行机制的通知（财库〔2019〕9号）；</w:t>
      </w:r>
    </w:p>
    <w:p w14:paraId="48ABD51C">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（8）《关于印发环境标志产品政府采购品目清单的通知》--（财库〔2019〕18号）；</w:t>
      </w:r>
    </w:p>
    <w:p w14:paraId="3DB110D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（9）《关于印发节能产品政府采购品目清单的通知》--（财库〔2019〕19号）；</w:t>
      </w:r>
    </w:p>
    <w:p w14:paraId="00CD671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（10）《关于发布参与实施政府采购节能产品、环境标志产品认证机构名录的公告》—2019年第16号；</w:t>
      </w:r>
    </w:p>
    <w:p w14:paraId="14834CD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（11）《关于运用政府采购政策支持乡村产业振兴的通知》（财库〔2021〕19号）；</w:t>
      </w:r>
    </w:p>
    <w:p w14:paraId="5F39A50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（12）陕西省财政厅关于印发《陕西省中小企业政府采购信用融资办法》（陕财办采〔2018〕23号），相关政策、业务流程、办理平台（详见http://www.ccgp-shaanxi.gov.cn/zcdservice/zcd/shanxi/）；</w:t>
      </w:r>
    </w:p>
    <w:p w14:paraId="6D74F92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（13）《陕西省财政厅关于加快推进我省中小企业政府采购信用融资工作的通知》（陕财办采〔2020〕15号）；</w:t>
      </w:r>
    </w:p>
    <w:p w14:paraId="5EED628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（14）《关于进一步加强政府绿色采购有关问题的通知》（陕财办采〔2021〕29号）；</w:t>
      </w:r>
    </w:p>
    <w:p w14:paraId="077060D4">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（15）《陕西省财政厅陕西省工业和信息化厅关于运用政府采购政策支持首台（套）及创新产品有关事项的通知》（陕财办采〔2021〕17号）；</w:t>
      </w:r>
    </w:p>
    <w:p w14:paraId="05E7763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（16）《关于进一步加大政府采购支持中小企业力度的通知》（财库〔2022〕19号）、《关于落实政府采购支持中小企业政策有关事项的通知》（陕财办采函〔2022〕10号）；</w:t>
      </w:r>
    </w:p>
    <w:p w14:paraId="03625F1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（17）其他需要落实的政府采购政策。</w:t>
      </w:r>
    </w:p>
    <w:p w14:paraId="2DFBBEFB">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3.本项目的特定资格要求：</w:t>
      </w:r>
    </w:p>
    <w:p w14:paraId="06C289B0">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合同包1(</w:t>
      </w:r>
      <w:r>
        <w:rPr>
          <w:rFonts w:hint="eastAsia" w:hAnsi="宋体" w:cs="宋体"/>
          <w:i w:val="0"/>
          <w:iCs w:val="0"/>
          <w:caps w:val="0"/>
          <w:color w:val="333333"/>
          <w:spacing w:val="0"/>
          <w:sz w:val="24"/>
          <w:szCs w:val="24"/>
          <w:highlight w:val="none"/>
          <w:shd w:val="clear" w:fill="FFFFFF"/>
          <w:lang w:eastAsia="zh-CN"/>
        </w:rPr>
        <w:t>西院区手术室层流净化改造建设</w:t>
      </w:r>
      <w:r>
        <w:rPr>
          <w:rFonts w:hint="eastAsia" w:ascii="宋体" w:hAnsi="宋体" w:eastAsia="宋体" w:cs="宋体"/>
          <w:i w:val="0"/>
          <w:iCs w:val="0"/>
          <w:caps w:val="0"/>
          <w:color w:val="333333"/>
          <w:spacing w:val="0"/>
          <w:sz w:val="24"/>
          <w:szCs w:val="24"/>
          <w:highlight w:val="none"/>
          <w:shd w:val="clear" w:fill="FFFFFF"/>
        </w:rPr>
        <w:t>)特定资格要求如下:</w:t>
      </w:r>
    </w:p>
    <w:p w14:paraId="4FC0317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1、提供合格有效的法人或者其他组织的营业执照等证明文件，自然人的身份证明。</w:t>
      </w:r>
    </w:p>
    <w:p w14:paraId="1ABA22E1">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2、提供法定代表人授权书（附法定代表人、被授权人身份证复印件），（法定代表人直接参加磋商，须提供法定代表人身份证明）；</w:t>
      </w:r>
    </w:p>
    <w:p w14:paraId="25C06DF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3、财务状况报告：提供2024年度的财务审计报告（成立时间至提交磋商响应文件截止时间不足一年的可提供成立后任意时段的资产负债表）需附审计报告二维码，或开标时间前六个月内银行出具的资信证明；</w:t>
      </w:r>
    </w:p>
    <w:p w14:paraId="00BF51C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4、税收缴纳证明：提供磋商截止日前一年内已缴纳的至少一个月的纳税证明或完税证明（任意税种），依法免税的单位应提供相关证明材料；</w:t>
      </w:r>
    </w:p>
    <w:p w14:paraId="016687B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5、社会保障资金缴纳证明：提供磋商截止日前一年内已缴存的至少一个月的社会保障资金缴存单据或社保机构开具的社会保险参保缴费情况证明，依法不需要缴纳社会保障资金的单位应提供相关证明材料；</w:t>
      </w:r>
    </w:p>
    <w:p w14:paraId="0A753211">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6、供应商须具备【机电施工总承包三级】及以上资质或【建筑机电安装工程专业承包三级】及以上资质，具有有效的安全生产许可证；</w:t>
      </w:r>
    </w:p>
    <w:p w14:paraId="0F61E246">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7、拟派项目经理具备【机电二级注册建造师】及以上执业资格，具备有效的安全生产考核合格证书，在本单位注册，且未担任其他在建工程项目的项目经理；</w:t>
      </w:r>
    </w:p>
    <w:p w14:paraId="5E475E64">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8、提供具有履行本合同所必需的设备和专业技术能力的说明及承诺书；</w:t>
      </w:r>
    </w:p>
    <w:p w14:paraId="70721A58">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9、供应商应通过“信用中国”网站(www.creditchina.gov.cn)、中国政府采购网(www.ccgp.gov.cn)查询相关主体信用记录；</w:t>
      </w:r>
    </w:p>
    <w:p w14:paraId="7D0E7F5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10、参加政府采购活动前3年内，在经营活动中没有重大违法记录的书面声明；</w:t>
      </w:r>
    </w:p>
    <w:p w14:paraId="58152CA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11、本项目不接受联合体磋商。</w:t>
      </w:r>
    </w:p>
    <w:p w14:paraId="5EC42141">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三、获取采购文件</w:t>
      </w:r>
    </w:p>
    <w:p w14:paraId="38722C6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时间：2025年</w:t>
      </w:r>
      <w:r>
        <w:rPr>
          <w:rFonts w:hint="eastAsia" w:hAnsi="宋体" w:cs="宋体"/>
          <w:i w:val="0"/>
          <w:iCs w:val="0"/>
          <w:caps w:val="0"/>
          <w:color w:val="333333"/>
          <w:spacing w:val="0"/>
          <w:sz w:val="24"/>
          <w:szCs w:val="24"/>
          <w:highlight w:val="none"/>
          <w:shd w:val="clear" w:fill="FFFFFF"/>
          <w:lang w:val="en-US" w:eastAsia="zh-CN"/>
        </w:rPr>
        <w:t xml:space="preserve"> 10 </w:t>
      </w:r>
      <w:r>
        <w:rPr>
          <w:rFonts w:hint="eastAsia" w:ascii="宋体" w:hAnsi="宋体" w:eastAsia="宋体" w:cs="宋体"/>
          <w:i w:val="0"/>
          <w:iCs w:val="0"/>
          <w:caps w:val="0"/>
          <w:color w:val="333333"/>
          <w:spacing w:val="0"/>
          <w:sz w:val="24"/>
          <w:szCs w:val="24"/>
          <w:highlight w:val="none"/>
          <w:shd w:val="clear" w:fill="FFFFFF"/>
        </w:rPr>
        <w:t>月</w:t>
      </w:r>
      <w:r>
        <w:rPr>
          <w:rFonts w:hint="eastAsia" w:hAnsi="宋体" w:cs="宋体"/>
          <w:i w:val="0"/>
          <w:iCs w:val="0"/>
          <w:caps w:val="0"/>
          <w:color w:val="333333"/>
          <w:spacing w:val="0"/>
          <w:sz w:val="24"/>
          <w:szCs w:val="24"/>
          <w:highlight w:val="none"/>
          <w:shd w:val="clear" w:fill="FFFFFF"/>
          <w:lang w:val="en-US" w:eastAsia="zh-CN"/>
        </w:rPr>
        <w:t xml:space="preserve"> 10 </w:t>
      </w:r>
      <w:r>
        <w:rPr>
          <w:rFonts w:hint="eastAsia" w:ascii="宋体" w:hAnsi="宋体" w:eastAsia="宋体" w:cs="宋体"/>
          <w:i w:val="0"/>
          <w:iCs w:val="0"/>
          <w:caps w:val="0"/>
          <w:color w:val="333333"/>
          <w:spacing w:val="0"/>
          <w:sz w:val="24"/>
          <w:szCs w:val="24"/>
          <w:highlight w:val="none"/>
          <w:shd w:val="clear" w:fill="FFFFFF"/>
        </w:rPr>
        <w:t>日至2025年</w:t>
      </w:r>
      <w:r>
        <w:rPr>
          <w:rFonts w:hint="eastAsia" w:hAnsi="宋体" w:cs="宋体"/>
          <w:i w:val="0"/>
          <w:iCs w:val="0"/>
          <w:caps w:val="0"/>
          <w:color w:val="333333"/>
          <w:spacing w:val="0"/>
          <w:sz w:val="24"/>
          <w:szCs w:val="24"/>
          <w:highlight w:val="none"/>
          <w:shd w:val="clear" w:fill="FFFFFF"/>
          <w:lang w:val="en-US" w:eastAsia="zh-CN"/>
        </w:rPr>
        <w:t xml:space="preserve"> 10 </w:t>
      </w:r>
      <w:r>
        <w:rPr>
          <w:rFonts w:hint="eastAsia" w:ascii="宋体" w:hAnsi="宋体" w:eastAsia="宋体" w:cs="宋体"/>
          <w:i w:val="0"/>
          <w:iCs w:val="0"/>
          <w:caps w:val="0"/>
          <w:color w:val="333333"/>
          <w:spacing w:val="0"/>
          <w:sz w:val="24"/>
          <w:szCs w:val="24"/>
          <w:highlight w:val="none"/>
          <w:shd w:val="clear" w:fill="FFFFFF"/>
        </w:rPr>
        <w:t>月</w:t>
      </w:r>
      <w:r>
        <w:rPr>
          <w:rFonts w:hint="eastAsia" w:hAnsi="宋体" w:cs="宋体"/>
          <w:i w:val="0"/>
          <w:iCs w:val="0"/>
          <w:caps w:val="0"/>
          <w:color w:val="333333"/>
          <w:spacing w:val="0"/>
          <w:sz w:val="24"/>
          <w:szCs w:val="24"/>
          <w:highlight w:val="none"/>
          <w:shd w:val="clear" w:fill="FFFFFF"/>
          <w:lang w:val="en-US" w:eastAsia="zh-CN"/>
        </w:rPr>
        <w:t xml:space="preserve"> 15 </w:t>
      </w:r>
      <w:r>
        <w:rPr>
          <w:rFonts w:hint="eastAsia" w:ascii="宋体" w:hAnsi="宋体" w:eastAsia="宋体" w:cs="宋体"/>
          <w:i w:val="0"/>
          <w:iCs w:val="0"/>
          <w:caps w:val="0"/>
          <w:color w:val="333333"/>
          <w:spacing w:val="0"/>
          <w:sz w:val="24"/>
          <w:szCs w:val="24"/>
          <w:highlight w:val="none"/>
          <w:shd w:val="clear" w:fill="FFFFFF"/>
        </w:rPr>
        <w:t>日，每天上午09:00:00至12:00:00，下午14:00:00至17:00:00（北京时间）</w:t>
      </w:r>
    </w:p>
    <w:p w14:paraId="3279C3C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途径：陕西省西安市经济技术开发区未央路171-1号银池道拉斯财富中心21楼03室</w:t>
      </w:r>
    </w:p>
    <w:p w14:paraId="66C4EB6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方式：现场获取</w:t>
      </w:r>
    </w:p>
    <w:p w14:paraId="76C9804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售价：0元</w:t>
      </w:r>
    </w:p>
    <w:p w14:paraId="289C1139">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四、响应文件提交</w:t>
      </w:r>
    </w:p>
    <w:p w14:paraId="479314A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截止时间：2025年</w:t>
      </w:r>
      <w:r>
        <w:rPr>
          <w:rFonts w:hint="eastAsia" w:hAnsi="宋体" w:cs="宋体"/>
          <w:i w:val="0"/>
          <w:iCs w:val="0"/>
          <w:caps w:val="0"/>
          <w:color w:val="333333"/>
          <w:spacing w:val="0"/>
          <w:sz w:val="24"/>
          <w:szCs w:val="24"/>
          <w:highlight w:val="none"/>
          <w:shd w:val="clear" w:fill="FFFFFF"/>
          <w:lang w:val="en-US" w:eastAsia="zh-CN"/>
        </w:rPr>
        <w:t xml:space="preserve"> 10 </w:t>
      </w:r>
      <w:r>
        <w:rPr>
          <w:rFonts w:hint="eastAsia" w:ascii="宋体" w:hAnsi="宋体" w:eastAsia="宋体" w:cs="宋体"/>
          <w:i w:val="0"/>
          <w:iCs w:val="0"/>
          <w:caps w:val="0"/>
          <w:color w:val="333333"/>
          <w:spacing w:val="0"/>
          <w:sz w:val="24"/>
          <w:szCs w:val="24"/>
          <w:highlight w:val="none"/>
          <w:shd w:val="clear" w:fill="FFFFFF"/>
        </w:rPr>
        <w:t>月</w:t>
      </w:r>
      <w:r>
        <w:rPr>
          <w:rFonts w:hint="eastAsia" w:hAnsi="宋体" w:cs="宋体"/>
          <w:i w:val="0"/>
          <w:iCs w:val="0"/>
          <w:caps w:val="0"/>
          <w:color w:val="333333"/>
          <w:spacing w:val="0"/>
          <w:sz w:val="24"/>
          <w:szCs w:val="24"/>
          <w:highlight w:val="none"/>
          <w:shd w:val="clear" w:fill="FFFFFF"/>
          <w:lang w:val="en-US" w:eastAsia="zh-CN"/>
        </w:rPr>
        <w:t xml:space="preserve"> 23 </w:t>
      </w:r>
      <w:r>
        <w:rPr>
          <w:rFonts w:hint="eastAsia" w:ascii="宋体" w:hAnsi="宋体" w:eastAsia="宋体" w:cs="宋体"/>
          <w:i w:val="0"/>
          <w:iCs w:val="0"/>
          <w:caps w:val="0"/>
          <w:color w:val="333333"/>
          <w:spacing w:val="0"/>
          <w:sz w:val="24"/>
          <w:szCs w:val="24"/>
          <w:highlight w:val="none"/>
          <w:shd w:val="clear" w:fill="FFFFFF"/>
        </w:rPr>
        <w:t>日</w:t>
      </w:r>
      <w:r>
        <w:rPr>
          <w:rFonts w:hint="eastAsia" w:hAnsi="宋体" w:cs="宋体"/>
          <w:i w:val="0"/>
          <w:iCs w:val="0"/>
          <w:caps w:val="0"/>
          <w:color w:val="333333"/>
          <w:spacing w:val="0"/>
          <w:sz w:val="24"/>
          <w:szCs w:val="24"/>
          <w:highlight w:val="none"/>
          <w:shd w:val="clear" w:fill="FFFFFF"/>
          <w:lang w:val="en-US" w:eastAsia="zh-CN"/>
        </w:rPr>
        <w:t xml:space="preserve"> 10 </w:t>
      </w:r>
      <w:r>
        <w:rPr>
          <w:rFonts w:hint="eastAsia" w:ascii="宋体" w:hAnsi="宋体" w:eastAsia="宋体" w:cs="宋体"/>
          <w:i w:val="0"/>
          <w:iCs w:val="0"/>
          <w:caps w:val="0"/>
          <w:color w:val="333333"/>
          <w:spacing w:val="0"/>
          <w:sz w:val="24"/>
          <w:szCs w:val="24"/>
          <w:highlight w:val="none"/>
          <w:shd w:val="clear" w:fill="FFFFFF"/>
        </w:rPr>
        <w:t>时</w:t>
      </w:r>
      <w:r>
        <w:rPr>
          <w:rFonts w:hint="eastAsia" w:hAnsi="宋体" w:cs="宋体"/>
          <w:i w:val="0"/>
          <w:iCs w:val="0"/>
          <w:caps w:val="0"/>
          <w:color w:val="333333"/>
          <w:spacing w:val="0"/>
          <w:sz w:val="24"/>
          <w:szCs w:val="24"/>
          <w:highlight w:val="none"/>
          <w:shd w:val="clear" w:fill="FFFFFF"/>
          <w:lang w:val="en-US" w:eastAsia="zh-CN"/>
        </w:rPr>
        <w:t xml:space="preserve"> 00 </w:t>
      </w:r>
      <w:r>
        <w:rPr>
          <w:rFonts w:hint="eastAsia" w:ascii="宋体" w:hAnsi="宋体" w:eastAsia="宋体" w:cs="宋体"/>
          <w:i w:val="0"/>
          <w:iCs w:val="0"/>
          <w:caps w:val="0"/>
          <w:color w:val="333333"/>
          <w:spacing w:val="0"/>
          <w:sz w:val="24"/>
          <w:szCs w:val="24"/>
          <w:highlight w:val="none"/>
          <w:shd w:val="clear" w:fill="FFFFFF"/>
        </w:rPr>
        <w:t>分</w:t>
      </w:r>
      <w:r>
        <w:rPr>
          <w:rFonts w:hint="eastAsia" w:hAnsi="宋体" w:cs="宋体"/>
          <w:i w:val="0"/>
          <w:iCs w:val="0"/>
          <w:caps w:val="0"/>
          <w:color w:val="333333"/>
          <w:spacing w:val="0"/>
          <w:sz w:val="24"/>
          <w:szCs w:val="24"/>
          <w:highlight w:val="none"/>
          <w:shd w:val="clear" w:fill="FFFFFF"/>
          <w:lang w:val="en-US" w:eastAsia="zh-CN"/>
        </w:rPr>
        <w:t xml:space="preserve"> 00 </w:t>
      </w:r>
      <w:r>
        <w:rPr>
          <w:rFonts w:hint="eastAsia" w:ascii="宋体" w:hAnsi="宋体" w:eastAsia="宋体" w:cs="宋体"/>
          <w:i w:val="0"/>
          <w:iCs w:val="0"/>
          <w:caps w:val="0"/>
          <w:color w:val="333333"/>
          <w:spacing w:val="0"/>
          <w:sz w:val="24"/>
          <w:szCs w:val="24"/>
          <w:highlight w:val="none"/>
          <w:shd w:val="clear" w:fill="FFFFFF"/>
        </w:rPr>
        <w:t>秒（北京时间）</w:t>
      </w:r>
    </w:p>
    <w:p w14:paraId="645B965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地点：陕西省西安市经济技术开发区未央路171-1号银池道拉斯财富中心21楼03室</w:t>
      </w:r>
    </w:p>
    <w:p w14:paraId="56733505">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五、开启</w:t>
      </w:r>
    </w:p>
    <w:p w14:paraId="3249337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时间：2025年 10 月 2</w:t>
      </w:r>
      <w:r>
        <w:rPr>
          <w:rFonts w:hint="eastAsia" w:hAnsi="宋体" w:cs="宋体"/>
          <w:i w:val="0"/>
          <w:iCs w:val="0"/>
          <w:caps w:val="0"/>
          <w:color w:val="333333"/>
          <w:spacing w:val="0"/>
          <w:sz w:val="24"/>
          <w:szCs w:val="24"/>
          <w:highlight w:val="none"/>
          <w:shd w:val="clear" w:fill="FFFFFF"/>
          <w:lang w:val="en-US" w:eastAsia="zh-CN"/>
        </w:rPr>
        <w:t>3</w:t>
      </w:r>
      <w:r>
        <w:rPr>
          <w:rFonts w:hint="eastAsia" w:ascii="宋体" w:hAnsi="宋体" w:eastAsia="宋体" w:cs="宋体"/>
          <w:i w:val="0"/>
          <w:iCs w:val="0"/>
          <w:caps w:val="0"/>
          <w:color w:val="333333"/>
          <w:spacing w:val="0"/>
          <w:sz w:val="24"/>
          <w:szCs w:val="24"/>
          <w:highlight w:val="none"/>
          <w:shd w:val="clear" w:fill="FFFFFF"/>
        </w:rPr>
        <w:t xml:space="preserve"> 日 </w:t>
      </w:r>
      <w:r>
        <w:rPr>
          <w:rFonts w:hint="eastAsia" w:hAnsi="宋体" w:cs="宋体"/>
          <w:i w:val="0"/>
          <w:iCs w:val="0"/>
          <w:caps w:val="0"/>
          <w:color w:val="333333"/>
          <w:spacing w:val="0"/>
          <w:sz w:val="24"/>
          <w:szCs w:val="24"/>
          <w:highlight w:val="none"/>
          <w:shd w:val="clear" w:fill="FFFFFF"/>
          <w:lang w:val="en-US" w:eastAsia="zh-CN"/>
        </w:rPr>
        <w:t>10</w:t>
      </w:r>
      <w:r>
        <w:rPr>
          <w:rFonts w:hint="eastAsia" w:ascii="宋体" w:hAnsi="宋体" w:eastAsia="宋体" w:cs="宋体"/>
          <w:i w:val="0"/>
          <w:iCs w:val="0"/>
          <w:caps w:val="0"/>
          <w:color w:val="333333"/>
          <w:spacing w:val="0"/>
          <w:sz w:val="24"/>
          <w:szCs w:val="24"/>
          <w:highlight w:val="none"/>
          <w:shd w:val="clear" w:fill="FFFFFF"/>
        </w:rPr>
        <w:t xml:space="preserve"> 时 </w:t>
      </w:r>
      <w:r>
        <w:rPr>
          <w:rFonts w:hint="eastAsia" w:hAnsi="宋体" w:cs="宋体"/>
          <w:i w:val="0"/>
          <w:iCs w:val="0"/>
          <w:caps w:val="0"/>
          <w:color w:val="333333"/>
          <w:spacing w:val="0"/>
          <w:sz w:val="24"/>
          <w:szCs w:val="24"/>
          <w:highlight w:val="none"/>
          <w:shd w:val="clear" w:fill="FFFFFF"/>
          <w:lang w:val="en-US" w:eastAsia="zh-CN"/>
        </w:rPr>
        <w:t>0</w:t>
      </w:r>
      <w:r>
        <w:rPr>
          <w:rFonts w:hint="eastAsia" w:ascii="宋体" w:hAnsi="宋体" w:eastAsia="宋体" w:cs="宋体"/>
          <w:i w:val="0"/>
          <w:iCs w:val="0"/>
          <w:caps w:val="0"/>
          <w:color w:val="333333"/>
          <w:spacing w:val="0"/>
          <w:sz w:val="24"/>
          <w:szCs w:val="24"/>
          <w:highlight w:val="none"/>
          <w:shd w:val="clear" w:fill="FFFFFF"/>
        </w:rPr>
        <w:t>0 分 00 秒 （北京时间）</w:t>
      </w:r>
    </w:p>
    <w:p w14:paraId="5D5E346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地点：陕西省西安市经济技术开发区未央路171-1号银池道拉斯财富中心21楼03室</w:t>
      </w:r>
    </w:p>
    <w:p w14:paraId="7C668E85">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六、公告期限</w:t>
      </w:r>
    </w:p>
    <w:p w14:paraId="6AA37E36">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自本公告发布之日起3个工作日。</w:t>
      </w:r>
    </w:p>
    <w:p w14:paraId="058816C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七、其他补充事宜</w:t>
      </w:r>
    </w:p>
    <w:p w14:paraId="2F91861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（1）供应商领取采购文件时，请携带单位介绍信及经办人身份证原件及复印件加盖公章；</w:t>
      </w:r>
    </w:p>
    <w:p w14:paraId="3623C6D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（2）请供应商按照《陕西省财政厅关于政府采购供应商注册登记有关事项的通知》中的要求，通过陕西省政府采购网（http://www.ccgp-shaanxi.gov.cn/）注册登记加入陕西省政府采购供应商库；</w:t>
      </w:r>
    </w:p>
    <w:p w14:paraId="1EFCDA18">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（3）本项目</w:t>
      </w:r>
      <w:r>
        <w:rPr>
          <w:rFonts w:hint="eastAsia" w:hAnsi="宋体" w:cs="宋体"/>
          <w:i w:val="0"/>
          <w:iCs w:val="0"/>
          <w:caps w:val="0"/>
          <w:color w:val="333333"/>
          <w:spacing w:val="0"/>
          <w:sz w:val="24"/>
          <w:szCs w:val="24"/>
          <w:highlight w:val="none"/>
          <w:shd w:val="clear" w:fill="FFFFFF"/>
          <w:lang w:val="en-US" w:eastAsia="zh-CN"/>
        </w:rPr>
        <w:t>非</w:t>
      </w:r>
      <w:r>
        <w:rPr>
          <w:rFonts w:hint="eastAsia" w:ascii="宋体" w:hAnsi="宋体" w:eastAsia="宋体" w:cs="宋体"/>
          <w:i w:val="0"/>
          <w:iCs w:val="0"/>
          <w:caps w:val="0"/>
          <w:color w:val="333333"/>
          <w:spacing w:val="0"/>
          <w:sz w:val="24"/>
          <w:szCs w:val="24"/>
          <w:highlight w:val="none"/>
          <w:shd w:val="clear" w:fill="FFFFFF"/>
        </w:rPr>
        <w:t>专门面向</w:t>
      </w:r>
      <w:r>
        <w:rPr>
          <w:rFonts w:hint="eastAsia" w:hAnsi="宋体" w:cs="宋体"/>
          <w:i w:val="0"/>
          <w:iCs w:val="0"/>
          <w:caps w:val="0"/>
          <w:color w:val="333333"/>
          <w:spacing w:val="0"/>
          <w:sz w:val="24"/>
          <w:szCs w:val="24"/>
          <w:highlight w:val="none"/>
          <w:shd w:val="clear" w:fill="FFFFFF"/>
          <w:lang w:val="en-US" w:eastAsia="zh-CN"/>
        </w:rPr>
        <w:t>中小</w:t>
      </w:r>
      <w:r>
        <w:rPr>
          <w:rFonts w:hint="eastAsia" w:ascii="宋体" w:hAnsi="宋体" w:eastAsia="宋体" w:cs="宋体"/>
          <w:i w:val="0"/>
          <w:iCs w:val="0"/>
          <w:caps w:val="0"/>
          <w:color w:val="333333"/>
          <w:spacing w:val="0"/>
          <w:sz w:val="24"/>
          <w:szCs w:val="24"/>
          <w:highlight w:val="none"/>
          <w:shd w:val="clear" w:fill="FFFFFF"/>
        </w:rPr>
        <w:t>企业采购。</w:t>
      </w:r>
    </w:p>
    <w:p w14:paraId="72D04E7F">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highlight w:val="none"/>
          <w:shd w:val="clear" w:fill="FFFFFF"/>
        </w:rPr>
      </w:pPr>
      <w:r>
        <w:rPr>
          <w:rFonts w:hint="eastAsia" w:ascii="宋体" w:hAnsi="宋体" w:eastAsia="宋体" w:cs="宋体"/>
          <w:b/>
          <w:bCs/>
          <w:i w:val="0"/>
          <w:iCs w:val="0"/>
          <w:caps w:val="0"/>
          <w:color w:val="333333"/>
          <w:spacing w:val="0"/>
          <w:sz w:val="24"/>
          <w:szCs w:val="24"/>
          <w:highlight w:val="none"/>
          <w:shd w:val="clear" w:fill="FFFFFF"/>
        </w:rPr>
        <w:t>八、对本次招标提出询问，请按以下方式联系。</w:t>
      </w:r>
    </w:p>
    <w:p w14:paraId="3485054C">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1.采购人信息</w:t>
      </w:r>
    </w:p>
    <w:p w14:paraId="7BCAC46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名称：</w:t>
      </w:r>
      <w:r>
        <w:rPr>
          <w:rFonts w:hint="eastAsia" w:hAnsi="宋体" w:cs="宋体"/>
          <w:i w:val="0"/>
          <w:iCs w:val="0"/>
          <w:caps w:val="0"/>
          <w:color w:val="333333"/>
          <w:spacing w:val="0"/>
          <w:sz w:val="24"/>
          <w:szCs w:val="24"/>
          <w:highlight w:val="none"/>
          <w:shd w:val="clear" w:fill="FFFFFF"/>
          <w:lang w:eastAsia="zh-CN"/>
        </w:rPr>
        <w:t>宝鸡市中医医院</w:t>
      </w:r>
    </w:p>
    <w:p w14:paraId="4273C15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lang w:eastAsia="zh-CN"/>
        </w:rPr>
      </w:pPr>
      <w:r>
        <w:rPr>
          <w:rFonts w:hint="eastAsia" w:ascii="宋体" w:hAnsi="宋体" w:eastAsia="宋体" w:cs="宋体"/>
          <w:i w:val="0"/>
          <w:iCs w:val="0"/>
          <w:caps w:val="0"/>
          <w:color w:val="333333"/>
          <w:spacing w:val="0"/>
          <w:sz w:val="24"/>
          <w:szCs w:val="24"/>
          <w:highlight w:val="none"/>
          <w:shd w:val="clear" w:fill="FFFFFF"/>
        </w:rPr>
        <w:t>地址：</w:t>
      </w:r>
      <w:r>
        <w:rPr>
          <w:rFonts w:hint="eastAsia" w:hAnsi="宋体" w:cs="宋体"/>
          <w:i w:val="0"/>
          <w:iCs w:val="0"/>
          <w:caps w:val="0"/>
          <w:color w:val="333333"/>
          <w:spacing w:val="0"/>
          <w:sz w:val="24"/>
          <w:szCs w:val="24"/>
          <w:highlight w:val="none"/>
          <w:shd w:val="clear" w:fill="FFFFFF"/>
          <w:lang w:eastAsia="zh-CN"/>
        </w:rPr>
        <w:t>陕西省宝鸡市金台区宝福路43号</w:t>
      </w:r>
    </w:p>
    <w:p w14:paraId="3E6307C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联系方式：0917-3886051</w:t>
      </w:r>
    </w:p>
    <w:p w14:paraId="655B9C4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2.采购代理机构信息</w:t>
      </w:r>
    </w:p>
    <w:p w14:paraId="1E1C288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名称：陕西至诚项目管理集团有限公司</w:t>
      </w:r>
    </w:p>
    <w:p w14:paraId="052D69A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地址：陕西省西安市经济技术开发区未央路171-1号银池道拉斯财富中心21楼03室</w:t>
      </w:r>
    </w:p>
    <w:p w14:paraId="6BAD84D4">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联系方式：029-88219779</w:t>
      </w:r>
    </w:p>
    <w:p w14:paraId="7100070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3.项目联系方式</w:t>
      </w:r>
    </w:p>
    <w:p w14:paraId="48F2020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default" w:ascii="宋体" w:hAnsi="宋体" w:eastAsia="宋体" w:cs="宋体"/>
          <w:i w:val="0"/>
          <w:iCs w:val="0"/>
          <w:caps w:val="0"/>
          <w:color w:val="333333"/>
          <w:spacing w:val="0"/>
          <w:sz w:val="24"/>
          <w:szCs w:val="24"/>
          <w:highlight w:val="none"/>
          <w:shd w:val="clear" w:fill="FFFFFF"/>
          <w:lang w:val="en-US" w:eastAsia="zh-CN"/>
        </w:rPr>
      </w:pPr>
      <w:r>
        <w:rPr>
          <w:rFonts w:hint="eastAsia" w:ascii="宋体" w:hAnsi="宋体" w:eastAsia="宋体" w:cs="宋体"/>
          <w:i w:val="0"/>
          <w:iCs w:val="0"/>
          <w:caps w:val="0"/>
          <w:color w:val="333333"/>
          <w:spacing w:val="0"/>
          <w:sz w:val="24"/>
          <w:szCs w:val="24"/>
          <w:highlight w:val="none"/>
          <w:shd w:val="clear" w:fill="FFFFFF"/>
        </w:rPr>
        <w:t>项目联系人：</w:t>
      </w:r>
      <w:r>
        <w:rPr>
          <w:rFonts w:hint="eastAsia" w:hAnsi="宋体" w:cs="宋体"/>
          <w:i w:val="0"/>
          <w:iCs w:val="0"/>
          <w:caps w:val="0"/>
          <w:color w:val="333333"/>
          <w:spacing w:val="0"/>
          <w:sz w:val="24"/>
          <w:szCs w:val="24"/>
          <w:highlight w:val="none"/>
          <w:shd w:val="clear" w:fill="FFFFFF"/>
          <w:lang w:val="en-US" w:eastAsia="zh-CN"/>
        </w:rPr>
        <w:t>倪沛、常瑛、王欣玫</w:t>
      </w:r>
    </w:p>
    <w:p w14:paraId="17CF0D24">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电话：029-88219779</w:t>
      </w:r>
    </w:p>
    <w:p w14:paraId="0927B80E">
      <w:pPr>
        <w:keepNext w:val="0"/>
        <w:keepLines w:val="0"/>
        <w:pageBreakBefore w:val="0"/>
        <w:kinsoku/>
        <w:overflowPunct/>
        <w:topLinePunct w:val="0"/>
        <w:autoSpaceDE/>
        <w:autoSpaceDN/>
        <w:bidi w:val="0"/>
        <w:adjustRightInd/>
        <w:snapToGrid w:val="0"/>
        <w:spacing w:line="360" w:lineRule="auto"/>
        <w:ind w:left="0" w:firstLine="480" w:firstLineChars="200"/>
        <w:jc w:val="righ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陕西至诚项目管理集团有限公司</w:t>
      </w:r>
    </w:p>
    <w:p w14:paraId="7523851C">
      <w:pPr>
        <w:keepNext w:val="0"/>
        <w:keepLines w:val="0"/>
        <w:pageBreakBefore w:val="0"/>
        <w:kinsoku/>
        <w:overflowPunct/>
        <w:topLinePunct w:val="0"/>
        <w:autoSpaceDE/>
        <w:autoSpaceDN/>
        <w:bidi w:val="0"/>
        <w:adjustRightInd/>
        <w:snapToGrid w:val="0"/>
        <w:spacing w:line="360" w:lineRule="auto"/>
        <w:ind w:left="0" w:firstLine="480" w:firstLineChars="200"/>
        <w:jc w:val="right"/>
        <w:textAlignment w:val="auto"/>
        <w:outlineLvl w:val="9"/>
        <w:rPr>
          <w:rFonts w:hint="eastAsia" w:ascii="宋体" w:hAnsi="宋体" w:eastAsia="宋体" w:cs="宋体"/>
          <w:i w:val="0"/>
          <w:iCs w:val="0"/>
          <w:caps w:val="0"/>
          <w:color w:val="333333"/>
          <w:spacing w:val="0"/>
          <w:sz w:val="24"/>
          <w:szCs w:val="24"/>
          <w:highlight w:val="none"/>
          <w:shd w:val="clear" w:fill="FFFFFF"/>
          <w:lang w:val="en-US" w:eastAsia="zh-CN"/>
        </w:rPr>
      </w:pPr>
      <w:r>
        <w:rPr>
          <w:rFonts w:hint="eastAsia" w:ascii="宋体" w:hAnsi="宋体" w:eastAsia="宋体" w:cs="宋体"/>
          <w:i w:val="0"/>
          <w:iCs w:val="0"/>
          <w:caps w:val="0"/>
          <w:color w:val="333333"/>
          <w:spacing w:val="0"/>
          <w:sz w:val="24"/>
          <w:szCs w:val="24"/>
          <w:highlight w:val="none"/>
          <w:shd w:val="clear" w:fill="FFFFFF"/>
          <w:lang w:val="en-US" w:eastAsia="zh-CN"/>
        </w:rPr>
        <w:t>2025年</w:t>
      </w:r>
      <w:r>
        <w:rPr>
          <w:rFonts w:hint="eastAsia" w:hAnsi="宋体" w:cs="宋体"/>
          <w:i w:val="0"/>
          <w:iCs w:val="0"/>
          <w:caps w:val="0"/>
          <w:color w:val="333333"/>
          <w:spacing w:val="0"/>
          <w:sz w:val="24"/>
          <w:szCs w:val="24"/>
          <w:highlight w:val="none"/>
          <w:shd w:val="clear" w:fill="FFFFFF"/>
          <w:lang w:val="en-US" w:eastAsia="zh-CN"/>
        </w:rPr>
        <w:t>10</w:t>
      </w:r>
      <w:r>
        <w:rPr>
          <w:rFonts w:hint="eastAsia" w:ascii="宋体" w:hAnsi="宋体" w:eastAsia="宋体" w:cs="宋体"/>
          <w:i w:val="0"/>
          <w:iCs w:val="0"/>
          <w:caps w:val="0"/>
          <w:color w:val="333333"/>
          <w:spacing w:val="0"/>
          <w:sz w:val="24"/>
          <w:szCs w:val="24"/>
          <w:highlight w:val="none"/>
          <w:shd w:val="clear" w:fill="FFFFFF"/>
          <w:lang w:val="en-US" w:eastAsia="zh-CN"/>
        </w:rPr>
        <w:t>月</w:t>
      </w:r>
      <w:r>
        <w:rPr>
          <w:rFonts w:hint="eastAsia" w:hAnsi="宋体" w:cs="宋体"/>
          <w:i w:val="0"/>
          <w:iCs w:val="0"/>
          <w:caps w:val="0"/>
          <w:color w:val="333333"/>
          <w:spacing w:val="0"/>
          <w:sz w:val="24"/>
          <w:szCs w:val="24"/>
          <w:highlight w:val="none"/>
          <w:shd w:val="clear" w:fill="FFFFFF"/>
          <w:lang w:val="en-US" w:eastAsia="zh-CN"/>
        </w:rPr>
        <w:t xml:space="preserve"> 09 </w:t>
      </w:r>
      <w:r>
        <w:rPr>
          <w:rFonts w:hint="eastAsia" w:ascii="宋体" w:hAnsi="宋体" w:eastAsia="宋体" w:cs="宋体"/>
          <w:i w:val="0"/>
          <w:iCs w:val="0"/>
          <w:caps w:val="0"/>
          <w:color w:val="333333"/>
          <w:spacing w:val="0"/>
          <w:sz w:val="24"/>
          <w:szCs w:val="24"/>
          <w:highlight w:val="none"/>
          <w:shd w:val="clear" w:fill="FFFFFF"/>
          <w:lang w:val="en-US" w:eastAsia="zh-CN"/>
        </w:rPr>
        <w:t>日</w:t>
      </w:r>
    </w:p>
    <w:p w14:paraId="76D6918C">
      <w:pPr>
        <w:rPr>
          <w:rFonts w:hAnsi="宋体" w:cs="宋体"/>
          <w:bCs/>
          <w:color w:val="auto"/>
          <w:sz w:val="36"/>
          <w:szCs w:val="36"/>
          <w:highlight w:val="none"/>
        </w:rPr>
      </w:pPr>
      <w:r>
        <w:rPr>
          <w:rFonts w:hint="eastAsia" w:hAnsi="宋体" w:cs="宋体"/>
          <w:bCs/>
          <w:color w:val="auto"/>
          <w:sz w:val="36"/>
          <w:szCs w:val="36"/>
          <w:highlight w:val="none"/>
        </w:rPr>
        <w:br w:type="page"/>
      </w:r>
    </w:p>
    <w:p w14:paraId="6FEE90F8">
      <w:pPr>
        <w:spacing w:line="348" w:lineRule="auto"/>
        <w:ind w:right="119"/>
        <w:jc w:val="center"/>
        <w:outlineLvl w:val="0"/>
        <w:rPr>
          <w:rFonts w:hAnsi="宋体" w:cs="宋体"/>
          <w:bCs/>
          <w:color w:val="auto"/>
          <w:sz w:val="32"/>
          <w:szCs w:val="32"/>
          <w:highlight w:val="none"/>
        </w:rPr>
      </w:pPr>
      <w:bookmarkStart w:id="18" w:name="_Toc20398"/>
      <w:r>
        <w:rPr>
          <w:rFonts w:hint="eastAsia" w:hAnsi="宋体" w:cs="宋体"/>
          <w:b/>
          <w:bCs/>
          <w:color w:val="auto"/>
          <w:kern w:val="2"/>
          <w:sz w:val="32"/>
          <w:szCs w:val="32"/>
          <w:highlight w:val="none"/>
        </w:rPr>
        <w:t xml:space="preserve">第二章  </w:t>
      </w:r>
      <w:bookmarkEnd w:id="14"/>
      <w:bookmarkEnd w:id="15"/>
      <w:bookmarkStart w:id="19" w:name="OLE_LINK3"/>
      <w:r>
        <w:rPr>
          <w:rFonts w:hint="eastAsia" w:hAnsi="宋体" w:cs="宋体"/>
          <w:b/>
          <w:bCs/>
          <w:color w:val="auto"/>
          <w:kern w:val="2"/>
          <w:sz w:val="32"/>
          <w:szCs w:val="32"/>
          <w:highlight w:val="none"/>
        </w:rPr>
        <w:t>供应商须知</w:t>
      </w:r>
      <w:bookmarkEnd w:id="16"/>
      <w:bookmarkEnd w:id="17"/>
      <w:bookmarkEnd w:id="18"/>
      <w:bookmarkEnd w:id="19"/>
    </w:p>
    <w:p w14:paraId="132F19FC">
      <w:pPr>
        <w:pStyle w:val="3"/>
        <w:widowControl w:val="0"/>
        <w:spacing w:before="120" w:after="120" w:line="360" w:lineRule="auto"/>
        <w:ind w:left="0"/>
        <w:jc w:val="center"/>
        <w:rPr>
          <w:rFonts w:ascii="宋体" w:hAnsi="宋体" w:cs="宋体"/>
          <w:color w:val="auto"/>
          <w:sz w:val="32"/>
          <w:highlight w:val="none"/>
        </w:rPr>
      </w:pPr>
      <w:bookmarkStart w:id="20" w:name="_Toc19364"/>
      <w:bookmarkStart w:id="21" w:name="OLE_LINK2"/>
      <w:bookmarkStart w:id="22" w:name="_Toc423973073"/>
      <w:bookmarkStart w:id="23" w:name="_Toc15286"/>
      <w:r>
        <w:rPr>
          <w:rFonts w:hint="eastAsia" w:ascii="宋体" w:hAnsi="宋体" w:cs="宋体"/>
          <w:color w:val="auto"/>
          <w:sz w:val="32"/>
          <w:highlight w:val="none"/>
        </w:rPr>
        <w:t>供应商须知前附表</w:t>
      </w:r>
      <w:bookmarkEnd w:id="20"/>
      <w:bookmarkEnd w:id="21"/>
      <w:bookmarkEnd w:id="22"/>
      <w:bookmarkEnd w:id="23"/>
    </w:p>
    <w:p w14:paraId="510169F7">
      <w:pPr>
        <w:spacing w:line="440" w:lineRule="exact"/>
        <w:ind w:firstLine="480" w:firstLineChars="200"/>
        <w:rPr>
          <w:rFonts w:hAnsi="宋体" w:cs="宋体"/>
          <w:color w:val="auto"/>
          <w:szCs w:val="24"/>
          <w:highlight w:val="none"/>
        </w:rPr>
      </w:pPr>
      <w:r>
        <w:rPr>
          <w:rFonts w:hint="eastAsia" w:hAnsi="宋体" w:cs="宋体"/>
          <w:color w:val="auto"/>
          <w:szCs w:val="24"/>
          <w:highlight w:val="none"/>
        </w:rPr>
        <w:t>本表是对供应商须知的具体补充和修改，如有矛盾，应以本资料表为准。</w:t>
      </w:r>
    </w:p>
    <w:tbl>
      <w:tblPr>
        <w:tblStyle w:val="2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2"/>
        <w:gridCol w:w="1019"/>
        <w:gridCol w:w="7286"/>
      </w:tblGrid>
      <w:tr w14:paraId="40EE2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592" w:type="dxa"/>
          </w:tcPr>
          <w:p w14:paraId="102F2883">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序号</w:t>
            </w:r>
          </w:p>
        </w:tc>
        <w:tc>
          <w:tcPr>
            <w:tcW w:w="1019" w:type="dxa"/>
            <w:vAlign w:val="center"/>
          </w:tcPr>
          <w:p w14:paraId="6D977727">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条款号</w:t>
            </w:r>
          </w:p>
        </w:tc>
        <w:tc>
          <w:tcPr>
            <w:tcW w:w="7286" w:type="dxa"/>
          </w:tcPr>
          <w:p w14:paraId="2900A67B">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 xml:space="preserve">编 列 内 容 </w:t>
            </w:r>
          </w:p>
        </w:tc>
      </w:tr>
      <w:tr w14:paraId="07872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089386E3">
            <w:pPr>
              <w:spacing w:line="360" w:lineRule="auto"/>
              <w:jc w:val="center"/>
              <w:rPr>
                <w:rFonts w:hAnsi="宋体" w:cs="宋体"/>
                <w:color w:val="auto"/>
                <w:szCs w:val="24"/>
                <w:highlight w:val="none"/>
              </w:rPr>
            </w:pPr>
            <w:r>
              <w:rPr>
                <w:rFonts w:hint="eastAsia" w:hAnsi="宋体" w:cs="宋体"/>
                <w:color w:val="auto"/>
                <w:szCs w:val="24"/>
                <w:highlight w:val="none"/>
              </w:rPr>
              <w:t>1</w:t>
            </w:r>
          </w:p>
        </w:tc>
        <w:tc>
          <w:tcPr>
            <w:tcW w:w="1019" w:type="dxa"/>
            <w:vAlign w:val="center"/>
          </w:tcPr>
          <w:p w14:paraId="17AC8630">
            <w:pPr>
              <w:spacing w:line="360" w:lineRule="auto"/>
              <w:jc w:val="center"/>
              <w:rPr>
                <w:rFonts w:hAnsi="宋体" w:cs="宋体"/>
                <w:color w:val="auto"/>
                <w:szCs w:val="24"/>
                <w:highlight w:val="none"/>
              </w:rPr>
            </w:pPr>
            <w:r>
              <w:rPr>
                <w:rFonts w:hint="eastAsia" w:hAnsi="宋体" w:cs="宋体"/>
                <w:color w:val="auto"/>
                <w:szCs w:val="24"/>
                <w:highlight w:val="none"/>
              </w:rPr>
              <w:t>2.3</w:t>
            </w:r>
          </w:p>
        </w:tc>
        <w:tc>
          <w:tcPr>
            <w:tcW w:w="7286" w:type="dxa"/>
          </w:tcPr>
          <w:p w14:paraId="01BB3046">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采   购   人：</w:t>
            </w:r>
            <w:r>
              <w:rPr>
                <w:rFonts w:hint="eastAsia" w:hAnsi="宋体" w:cs="宋体"/>
                <w:color w:val="auto"/>
                <w:szCs w:val="24"/>
                <w:highlight w:val="none"/>
                <w:lang w:eastAsia="zh-CN"/>
              </w:rPr>
              <w:t>宝鸡市中医医院</w:t>
            </w:r>
          </w:p>
          <w:p w14:paraId="02F9DC89">
            <w:pPr>
              <w:spacing w:line="360" w:lineRule="auto"/>
              <w:rPr>
                <w:rFonts w:hAnsi="宋体" w:cs="宋体"/>
                <w:color w:val="auto"/>
                <w:szCs w:val="24"/>
                <w:highlight w:val="none"/>
              </w:rPr>
            </w:pPr>
            <w:r>
              <w:rPr>
                <w:rFonts w:hint="eastAsia" w:hAnsi="宋体" w:cs="宋体"/>
                <w:color w:val="auto"/>
                <w:szCs w:val="24"/>
                <w:highlight w:val="none"/>
              </w:rPr>
              <w:t>采购代理机构：陕西至诚项目管理集团有限公司</w:t>
            </w:r>
          </w:p>
          <w:p w14:paraId="27C655CF">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地        址：陕西省西安市经济技术开发区未央路171-1号银池道拉斯财富中心21楼</w:t>
            </w:r>
            <w:r>
              <w:rPr>
                <w:rFonts w:hint="eastAsia" w:hAnsi="宋体" w:cs="宋体"/>
                <w:color w:val="auto"/>
                <w:szCs w:val="24"/>
                <w:highlight w:val="none"/>
                <w:lang w:val="en-US" w:eastAsia="zh-CN"/>
              </w:rPr>
              <w:t>03室</w:t>
            </w:r>
          </w:p>
          <w:p w14:paraId="02707F5A">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邮        编：7100</w:t>
            </w:r>
            <w:r>
              <w:rPr>
                <w:rFonts w:hint="eastAsia" w:hAnsi="宋体" w:cs="宋体"/>
                <w:color w:val="auto"/>
                <w:szCs w:val="24"/>
                <w:highlight w:val="none"/>
                <w:lang w:val="en-US" w:eastAsia="zh-CN"/>
              </w:rPr>
              <w:t>00</w:t>
            </w:r>
          </w:p>
          <w:p w14:paraId="774D597E">
            <w:pPr>
              <w:spacing w:line="360" w:lineRule="auto"/>
              <w:rPr>
                <w:rFonts w:hAnsi="宋体" w:cs="宋体"/>
                <w:color w:val="auto"/>
                <w:szCs w:val="24"/>
                <w:highlight w:val="none"/>
              </w:rPr>
            </w:pPr>
            <w:r>
              <w:rPr>
                <w:rFonts w:hint="eastAsia" w:hAnsi="宋体" w:cs="宋体"/>
                <w:color w:val="auto"/>
                <w:szCs w:val="24"/>
                <w:highlight w:val="none"/>
              </w:rPr>
              <w:t>电        话：029-88219779</w:t>
            </w:r>
          </w:p>
          <w:p w14:paraId="4A8A516E">
            <w:pPr>
              <w:spacing w:line="360" w:lineRule="auto"/>
              <w:rPr>
                <w:rFonts w:hAnsi="宋体" w:cs="宋体"/>
                <w:color w:val="auto"/>
                <w:szCs w:val="24"/>
                <w:highlight w:val="none"/>
              </w:rPr>
            </w:pPr>
            <w:r>
              <w:rPr>
                <w:rFonts w:hint="eastAsia"/>
                <w:color w:val="auto"/>
                <w:szCs w:val="24"/>
                <w:highlight w:val="none"/>
              </w:rPr>
              <w:t>邮        箱：SXZCXMGLJT@163.com</w:t>
            </w:r>
          </w:p>
        </w:tc>
      </w:tr>
      <w:tr w14:paraId="023D7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7" w:hRule="atLeast"/>
          <w:jc w:val="center"/>
        </w:trPr>
        <w:tc>
          <w:tcPr>
            <w:tcW w:w="592" w:type="dxa"/>
            <w:vAlign w:val="center"/>
          </w:tcPr>
          <w:p w14:paraId="2D5E165B">
            <w:pPr>
              <w:spacing w:line="360" w:lineRule="auto"/>
              <w:jc w:val="center"/>
              <w:rPr>
                <w:rFonts w:hAnsi="宋体" w:cs="宋体"/>
                <w:color w:val="auto"/>
                <w:szCs w:val="24"/>
                <w:highlight w:val="none"/>
              </w:rPr>
            </w:pPr>
            <w:r>
              <w:rPr>
                <w:rFonts w:hint="eastAsia" w:hAnsi="宋体" w:cs="宋体"/>
                <w:color w:val="auto"/>
                <w:szCs w:val="24"/>
                <w:highlight w:val="none"/>
              </w:rPr>
              <w:t>2</w:t>
            </w:r>
          </w:p>
        </w:tc>
        <w:tc>
          <w:tcPr>
            <w:tcW w:w="1019" w:type="dxa"/>
            <w:vAlign w:val="center"/>
          </w:tcPr>
          <w:p w14:paraId="1EF2FD17">
            <w:pPr>
              <w:spacing w:line="360" w:lineRule="auto"/>
              <w:jc w:val="center"/>
              <w:rPr>
                <w:rFonts w:hAnsi="宋体" w:cs="宋体"/>
                <w:color w:val="auto"/>
                <w:szCs w:val="24"/>
                <w:highlight w:val="none"/>
              </w:rPr>
            </w:pPr>
            <w:r>
              <w:rPr>
                <w:rFonts w:hint="eastAsia" w:hAnsi="宋体" w:cs="宋体"/>
                <w:color w:val="auto"/>
                <w:szCs w:val="24"/>
                <w:highlight w:val="none"/>
              </w:rPr>
              <w:t>3.6</w:t>
            </w:r>
          </w:p>
        </w:tc>
        <w:tc>
          <w:tcPr>
            <w:tcW w:w="7286" w:type="dxa"/>
            <w:vAlign w:val="center"/>
          </w:tcPr>
          <w:p w14:paraId="14BAF010">
            <w:pPr>
              <w:spacing w:line="360" w:lineRule="auto"/>
              <w:rPr>
                <w:rFonts w:hAnsi="宋体" w:cs="宋体"/>
                <w:color w:val="auto"/>
                <w:szCs w:val="24"/>
                <w:highlight w:val="none"/>
              </w:rPr>
            </w:pPr>
            <w:r>
              <w:rPr>
                <w:rFonts w:hint="eastAsia" w:hAnsi="宋体" w:cs="宋体"/>
                <w:color w:val="auto"/>
                <w:szCs w:val="24"/>
                <w:highlight w:val="none"/>
              </w:rPr>
              <w:t>本项目不接受联合体磋商。</w:t>
            </w:r>
          </w:p>
        </w:tc>
      </w:tr>
      <w:tr w14:paraId="63CC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1" w:hRule="atLeast"/>
          <w:jc w:val="center"/>
        </w:trPr>
        <w:tc>
          <w:tcPr>
            <w:tcW w:w="592" w:type="dxa"/>
            <w:vAlign w:val="center"/>
          </w:tcPr>
          <w:p w14:paraId="5D208C00">
            <w:pPr>
              <w:spacing w:line="360" w:lineRule="auto"/>
              <w:jc w:val="center"/>
              <w:rPr>
                <w:rFonts w:hAnsi="宋体" w:cs="宋体"/>
                <w:color w:val="auto"/>
                <w:szCs w:val="24"/>
                <w:highlight w:val="none"/>
              </w:rPr>
            </w:pPr>
            <w:r>
              <w:rPr>
                <w:rFonts w:hint="eastAsia" w:hAnsi="宋体" w:cs="宋体"/>
                <w:color w:val="auto"/>
                <w:szCs w:val="24"/>
                <w:highlight w:val="none"/>
              </w:rPr>
              <w:t>3</w:t>
            </w:r>
          </w:p>
        </w:tc>
        <w:tc>
          <w:tcPr>
            <w:tcW w:w="1019" w:type="dxa"/>
            <w:vAlign w:val="center"/>
          </w:tcPr>
          <w:p w14:paraId="679A1294">
            <w:pPr>
              <w:spacing w:line="360" w:lineRule="auto"/>
              <w:jc w:val="center"/>
              <w:rPr>
                <w:rFonts w:hAnsi="宋体" w:cs="宋体"/>
                <w:color w:val="auto"/>
                <w:szCs w:val="24"/>
                <w:highlight w:val="none"/>
              </w:rPr>
            </w:pPr>
            <w:r>
              <w:rPr>
                <w:rFonts w:hint="eastAsia" w:hAnsi="宋体" w:cs="宋体"/>
                <w:color w:val="auto"/>
                <w:szCs w:val="24"/>
                <w:highlight w:val="none"/>
              </w:rPr>
              <w:t>9.2</w:t>
            </w:r>
          </w:p>
        </w:tc>
        <w:tc>
          <w:tcPr>
            <w:tcW w:w="7286" w:type="dxa"/>
            <w:vAlign w:val="center"/>
          </w:tcPr>
          <w:p w14:paraId="25F49899">
            <w:pPr>
              <w:spacing w:line="360" w:lineRule="auto"/>
              <w:rPr>
                <w:rFonts w:hAnsi="宋体" w:cs="宋体"/>
                <w:color w:val="auto"/>
                <w:szCs w:val="24"/>
                <w:highlight w:val="none"/>
              </w:rPr>
            </w:pPr>
            <w:r>
              <w:rPr>
                <w:rFonts w:hint="eastAsia" w:hAnsi="宋体" w:cs="宋体"/>
                <w:color w:val="auto"/>
                <w:szCs w:val="24"/>
                <w:highlight w:val="none"/>
              </w:rPr>
              <w:t>不允许提供备选方案。</w:t>
            </w:r>
          </w:p>
        </w:tc>
      </w:tr>
      <w:tr w14:paraId="3552B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272C461D">
            <w:pPr>
              <w:spacing w:line="360" w:lineRule="auto"/>
              <w:jc w:val="center"/>
              <w:rPr>
                <w:rFonts w:hAnsi="宋体" w:cs="宋体"/>
                <w:color w:val="auto"/>
                <w:szCs w:val="24"/>
                <w:highlight w:val="none"/>
              </w:rPr>
            </w:pPr>
            <w:r>
              <w:rPr>
                <w:rFonts w:hint="eastAsia" w:hAnsi="宋体" w:cs="宋体"/>
                <w:color w:val="auto"/>
                <w:szCs w:val="24"/>
                <w:highlight w:val="none"/>
              </w:rPr>
              <w:t>4</w:t>
            </w:r>
          </w:p>
        </w:tc>
        <w:tc>
          <w:tcPr>
            <w:tcW w:w="1019" w:type="dxa"/>
            <w:vAlign w:val="center"/>
          </w:tcPr>
          <w:p w14:paraId="15900D21">
            <w:pPr>
              <w:spacing w:line="360" w:lineRule="auto"/>
              <w:jc w:val="center"/>
              <w:rPr>
                <w:rFonts w:hAnsi="宋体" w:cs="宋体"/>
                <w:color w:val="auto"/>
                <w:szCs w:val="24"/>
                <w:highlight w:val="none"/>
              </w:rPr>
            </w:pPr>
            <w:r>
              <w:rPr>
                <w:rFonts w:hint="eastAsia" w:hAnsi="宋体" w:cs="宋体"/>
                <w:color w:val="auto"/>
                <w:szCs w:val="24"/>
                <w:highlight w:val="none"/>
              </w:rPr>
              <w:t>9.3</w:t>
            </w:r>
          </w:p>
        </w:tc>
        <w:tc>
          <w:tcPr>
            <w:tcW w:w="7286" w:type="dxa"/>
            <w:vAlign w:val="center"/>
          </w:tcPr>
          <w:p w14:paraId="748E0447">
            <w:pPr>
              <w:spacing w:line="360" w:lineRule="auto"/>
              <w:rPr>
                <w:rFonts w:hAnsi="宋体" w:cs="宋体"/>
                <w:color w:val="auto"/>
                <w:szCs w:val="24"/>
                <w:highlight w:val="none"/>
              </w:rPr>
            </w:pPr>
            <w:r>
              <w:rPr>
                <w:rFonts w:hint="eastAsia" w:hAnsi="宋体" w:cs="宋体"/>
                <w:color w:val="auto"/>
                <w:szCs w:val="24"/>
                <w:highlight w:val="none"/>
              </w:rPr>
              <w:t>本次磋商的最小单元为“项目”，供应商可根据自身的资质情况和经营范围对本次项目进行磋商，不得将其子目再行分解或只对本次项目中的品目进行不完全磋商，任何不完全的响应将会被拒绝。</w:t>
            </w:r>
          </w:p>
        </w:tc>
      </w:tr>
      <w:tr w14:paraId="33478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2" w:type="dxa"/>
            <w:vAlign w:val="center"/>
          </w:tcPr>
          <w:p w14:paraId="5541D62C">
            <w:pPr>
              <w:spacing w:line="360" w:lineRule="auto"/>
              <w:jc w:val="center"/>
              <w:rPr>
                <w:rFonts w:hAnsi="宋体" w:cs="宋体"/>
                <w:color w:val="auto"/>
                <w:szCs w:val="24"/>
                <w:highlight w:val="none"/>
              </w:rPr>
            </w:pPr>
            <w:r>
              <w:rPr>
                <w:rFonts w:hint="eastAsia" w:hAnsi="宋体" w:cs="宋体"/>
                <w:color w:val="auto"/>
                <w:szCs w:val="24"/>
                <w:highlight w:val="none"/>
              </w:rPr>
              <w:t>5</w:t>
            </w:r>
          </w:p>
        </w:tc>
        <w:tc>
          <w:tcPr>
            <w:tcW w:w="1019" w:type="dxa"/>
            <w:vAlign w:val="center"/>
          </w:tcPr>
          <w:p w14:paraId="299CAA7B">
            <w:pPr>
              <w:spacing w:line="360" w:lineRule="auto"/>
              <w:jc w:val="center"/>
              <w:rPr>
                <w:rFonts w:hAnsi="宋体" w:cs="宋体"/>
                <w:color w:val="auto"/>
                <w:szCs w:val="24"/>
                <w:highlight w:val="none"/>
              </w:rPr>
            </w:pPr>
            <w:r>
              <w:rPr>
                <w:rFonts w:hint="eastAsia" w:hAnsi="宋体" w:cs="宋体"/>
                <w:color w:val="auto"/>
                <w:szCs w:val="24"/>
                <w:highlight w:val="none"/>
              </w:rPr>
              <w:t>11.1</w:t>
            </w:r>
          </w:p>
        </w:tc>
        <w:tc>
          <w:tcPr>
            <w:tcW w:w="7286" w:type="dxa"/>
          </w:tcPr>
          <w:p w14:paraId="634B2C78">
            <w:pPr>
              <w:spacing w:line="360" w:lineRule="auto"/>
              <w:ind w:firstLine="480"/>
              <w:rPr>
                <w:rFonts w:hAnsi="宋体" w:cs="宋体"/>
                <w:color w:val="auto"/>
                <w:szCs w:val="24"/>
                <w:highlight w:val="none"/>
              </w:rPr>
            </w:pPr>
            <w:r>
              <w:rPr>
                <w:rFonts w:hint="eastAsia" w:hAnsi="宋体" w:cs="宋体"/>
                <w:color w:val="auto"/>
                <w:szCs w:val="24"/>
                <w:highlight w:val="none"/>
              </w:rPr>
              <w:t>磋商报价：本工程合同形式为固定综合单价合同，各投标人依据企业自身情况自主报价、风险自负。所有投标报价中的单价和合价均以人民币表示。投标人在投标报价时应仔细对磋商文件进行透彻的分析研究。各投标人对分部分项工程费、措施项目费、其他项目费等进行自主报价、风险自负。</w:t>
            </w:r>
          </w:p>
          <w:p w14:paraId="037FAC90">
            <w:pPr>
              <w:spacing w:line="360" w:lineRule="auto"/>
              <w:ind w:firstLine="480"/>
              <w:rPr>
                <w:rFonts w:hAnsi="宋体" w:cs="宋体"/>
                <w:color w:val="auto"/>
                <w:szCs w:val="24"/>
                <w:highlight w:val="none"/>
              </w:rPr>
            </w:pPr>
            <w:r>
              <w:rPr>
                <w:rFonts w:hint="eastAsia" w:hAnsi="宋体" w:cs="宋体"/>
                <w:color w:val="auto"/>
                <w:szCs w:val="24"/>
                <w:highlight w:val="none"/>
              </w:rPr>
              <w:t>供应商所报的价格应考虑到可能发生的所有与完成本项目相关服务及履行合同义务有关的一切费用，任何有选择的报价将不予接受，按无效磋商处理。</w:t>
            </w:r>
          </w:p>
        </w:tc>
      </w:tr>
      <w:tr w14:paraId="04B7B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6F23E688">
            <w:pPr>
              <w:spacing w:line="360" w:lineRule="auto"/>
              <w:jc w:val="center"/>
              <w:rPr>
                <w:rFonts w:hAnsi="宋体" w:cs="宋体"/>
                <w:color w:val="auto"/>
                <w:szCs w:val="24"/>
                <w:highlight w:val="none"/>
              </w:rPr>
            </w:pPr>
            <w:r>
              <w:rPr>
                <w:rFonts w:hint="eastAsia" w:hAnsi="宋体" w:cs="宋体"/>
                <w:color w:val="auto"/>
                <w:szCs w:val="24"/>
                <w:highlight w:val="none"/>
              </w:rPr>
              <w:t>6</w:t>
            </w:r>
          </w:p>
        </w:tc>
        <w:tc>
          <w:tcPr>
            <w:tcW w:w="1019" w:type="dxa"/>
            <w:vAlign w:val="center"/>
          </w:tcPr>
          <w:p w14:paraId="7465C572">
            <w:pPr>
              <w:spacing w:line="360" w:lineRule="auto"/>
              <w:jc w:val="center"/>
              <w:rPr>
                <w:rFonts w:hAnsi="宋体" w:cs="宋体"/>
                <w:color w:val="auto"/>
                <w:szCs w:val="24"/>
                <w:highlight w:val="none"/>
              </w:rPr>
            </w:pPr>
            <w:r>
              <w:rPr>
                <w:rFonts w:hint="eastAsia" w:hAnsi="宋体" w:cs="宋体"/>
                <w:color w:val="auto"/>
                <w:szCs w:val="24"/>
                <w:highlight w:val="none"/>
              </w:rPr>
              <w:t>12.1</w:t>
            </w:r>
          </w:p>
        </w:tc>
        <w:tc>
          <w:tcPr>
            <w:tcW w:w="7286" w:type="dxa"/>
          </w:tcPr>
          <w:p w14:paraId="26B75F6B">
            <w:pPr>
              <w:spacing w:line="360" w:lineRule="auto"/>
              <w:rPr>
                <w:rFonts w:hAnsi="宋体" w:cs="宋体"/>
                <w:b/>
                <w:bCs/>
                <w:color w:val="auto"/>
                <w:szCs w:val="24"/>
                <w:highlight w:val="none"/>
              </w:rPr>
            </w:pPr>
            <w:r>
              <w:rPr>
                <w:rFonts w:hint="eastAsia" w:hAnsi="宋体" w:cs="宋体"/>
                <w:b/>
                <w:bCs/>
                <w:color w:val="auto"/>
                <w:szCs w:val="24"/>
                <w:highlight w:val="none"/>
              </w:rPr>
              <w:t>特定资格证明文件：</w:t>
            </w:r>
          </w:p>
          <w:p w14:paraId="3FA87829">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1、提供合格有效的法人或者其他组织的营业执照等证明文件，自然人的身份证明。</w:t>
            </w:r>
          </w:p>
          <w:p w14:paraId="40C6BED6">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2、提供法定代表人授权书（附法定代表人、被授权人身份证复印件），（法定代表人直接参加磋商，须提供法定代表人身份证明）；</w:t>
            </w:r>
          </w:p>
          <w:p w14:paraId="4BC6129A">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3、财务状况报告：提供2024年度的财务审计报告（成立时间至提交磋商响应文件截止时间不足一年的可提供成立后任意时段的资产负债表）需附审计报告二维码，或开标时间前六个月内银行出具的资信证明；</w:t>
            </w:r>
          </w:p>
          <w:p w14:paraId="66230D36">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4、税收缴纳证明：提供磋商截止日前一年内已缴纳的至少一个月的纳税证明或完税证明（任意税种），依法免税的单位应提供相关证明材料；</w:t>
            </w:r>
          </w:p>
          <w:p w14:paraId="64A4301E">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5、社会保障资金缴纳证明：提供磋商截止日前一年内已缴存的至少一个月的社会保障资金缴存单据或社保机构开具的社会保险参保缴费情况证明，依法不需要缴纳社会保障资金的单位应提供相关证明材料；</w:t>
            </w:r>
          </w:p>
          <w:p w14:paraId="2995FE8A">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6、供应商须具备【机电施工总承包三级】及以上资质或【建筑机电安装工程专业承包三级】及以上资质，具有有效的安全生产许可证；；</w:t>
            </w:r>
          </w:p>
          <w:p w14:paraId="6E1B0A0F">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7、拟派项目经理具备【机电二级注册建造师】及以上执业资格，具备有效的安全生产考核合格证书，在本单位注册，且未担任其他在建工程项目的项目经理；</w:t>
            </w:r>
          </w:p>
          <w:p w14:paraId="383E0FE7">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8、提供具有履行本合同所必需的设备和专业技术能力的说明及承诺书；</w:t>
            </w:r>
          </w:p>
          <w:p w14:paraId="665B5448">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9、供应商应通过“信用中国”网站(www.creditchina.gov.cn)、中国政府采购网(www.ccgp.gov.cn)查询相关主体信用记录；</w:t>
            </w:r>
          </w:p>
          <w:p w14:paraId="704D857D">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10、参加政府采购活动前3年内，在经营活动中没有重大违法记录的书面声明；</w:t>
            </w:r>
          </w:p>
          <w:p w14:paraId="0E4BC7C4">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rPr>
              <w:t>11、本项目不接受联合体磋商。</w:t>
            </w:r>
          </w:p>
          <w:p w14:paraId="2B9A10B2">
            <w:pPr>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以上（1-</w:t>
            </w:r>
            <w:r>
              <w:rPr>
                <w:rFonts w:hint="eastAsia" w:hAnsi="宋体" w:cs="宋体"/>
                <w:b/>
                <w:bCs/>
                <w:color w:val="auto"/>
                <w:szCs w:val="24"/>
                <w:highlight w:val="none"/>
                <w:lang w:val="en-US" w:eastAsia="zh-CN"/>
              </w:rPr>
              <w:t>11</w:t>
            </w:r>
            <w:r>
              <w:rPr>
                <w:rFonts w:hint="eastAsia" w:hAnsi="宋体" w:cs="宋体"/>
                <w:b/>
                <w:bCs/>
                <w:color w:val="auto"/>
                <w:szCs w:val="24"/>
                <w:highlight w:val="none"/>
              </w:rPr>
              <w:t>）为必备资质，缺一项或某项达不到要求，按无效磋商处理。</w:t>
            </w:r>
          </w:p>
        </w:tc>
      </w:tr>
      <w:tr w14:paraId="1B162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592" w:type="dxa"/>
            <w:vAlign w:val="center"/>
          </w:tcPr>
          <w:p w14:paraId="284A88FF">
            <w:pPr>
              <w:spacing w:line="360" w:lineRule="auto"/>
              <w:jc w:val="center"/>
              <w:rPr>
                <w:rFonts w:hAnsi="宋体" w:cs="宋体"/>
                <w:color w:val="auto"/>
                <w:szCs w:val="24"/>
                <w:highlight w:val="none"/>
              </w:rPr>
            </w:pPr>
            <w:r>
              <w:rPr>
                <w:rFonts w:hint="eastAsia" w:hAnsi="宋体" w:cs="宋体"/>
                <w:color w:val="auto"/>
                <w:szCs w:val="24"/>
                <w:highlight w:val="none"/>
              </w:rPr>
              <w:t>7</w:t>
            </w:r>
          </w:p>
        </w:tc>
        <w:tc>
          <w:tcPr>
            <w:tcW w:w="1019" w:type="dxa"/>
            <w:vAlign w:val="center"/>
          </w:tcPr>
          <w:p w14:paraId="21D689B1">
            <w:pPr>
              <w:spacing w:line="360" w:lineRule="auto"/>
              <w:jc w:val="center"/>
              <w:rPr>
                <w:rFonts w:hAnsi="宋体" w:cs="宋体"/>
                <w:color w:val="auto"/>
                <w:szCs w:val="24"/>
                <w:highlight w:val="none"/>
              </w:rPr>
            </w:pPr>
            <w:r>
              <w:rPr>
                <w:rFonts w:hint="eastAsia" w:hAnsi="宋体" w:cs="宋体"/>
                <w:color w:val="auto"/>
                <w:szCs w:val="24"/>
                <w:highlight w:val="none"/>
              </w:rPr>
              <w:t>14.4</w:t>
            </w:r>
          </w:p>
        </w:tc>
        <w:tc>
          <w:tcPr>
            <w:tcW w:w="7286" w:type="dxa"/>
          </w:tcPr>
          <w:p w14:paraId="1F12ACA5">
            <w:pPr>
              <w:spacing w:line="360" w:lineRule="auto"/>
              <w:rPr>
                <w:rFonts w:hAnsi="宋体" w:cs="宋体"/>
                <w:color w:val="auto"/>
                <w:szCs w:val="24"/>
                <w:highlight w:val="none"/>
              </w:rPr>
            </w:pPr>
            <w:r>
              <w:rPr>
                <w:rFonts w:hint="eastAsia" w:hAnsi="宋体" w:cs="宋体"/>
                <w:b/>
                <w:bCs/>
                <w:color w:val="auto"/>
                <w:szCs w:val="24"/>
                <w:highlight w:val="none"/>
              </w:rPr>
              <w:t>磋商保证金：无</w:t>
            </w:r>
          </w:p>
        </w:tc>
      </w:tr>
      <w:tr w14:paraId="75E19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592" w:type="dxa"/>
            <w:vAlign w:val="center"/>
          </w:tcPr>
          <w:p w14:paraId="69EF35B2">
            <w:pPr>
              <w:spacing w:line="360" w:lineRule="auto"/>
              <w:jc w:val="center"/>
              <w:rPr>
                <w:rFonts w:hAnsi="宋体" w:cs="宋体"/>
                <w:color w:val="auto"/>
                <w:szCs w:val="24"/>
                <w:highlight w:val="none"/>
              </w:rPr>
            </w:pPr>
            <w:r>
              <w:rPr>
                <w:rFonts w:hint="eastAsia" w:hAnsi="宋体" w:cs="宋体"/>
                <w:color w:val="auto"/>
                <w:szCs w:val="24"/>
                <w:highlight w:val="none"/>
              </w:rPr>
              <w:t>8</w:t>
            </w:r>
          </w:p>
        </w:tc>
        <w:tc>
          <w:tcPr>
            <w:tcW w:w="1019" w:type="dxa"/>
            <w:vAlign w:val="center"/>
          </w:tcPr>
          <w:p w14:paraId="6C14F69D">
            <w:pPr>
              <w:spacing w:line="360" w:lineRule="auto"/>
              <w:jc w:val="center"/>
              <w:rPr>
                <w:rFonts w:hAnsi="宋体" w:cs="宋体"/>
                <w:color w:val="auto"/>
                <w:szCs w:val="24"/>
                <w:highlight w:val="none"/>
              </w:rPr>
            </w:pPr>
            <w:r>
              <w:rPr>
                <w:rFonts w:hint="eastAsia" w:hAnsi="宋体" w:cs="宋体"/>
                <w:color w:val="auto"/>
                <w:szCs w:val="24"/>
                <w:highlight w:val="none"/>
              </w:rPr>
              <w:t>15.1</w:t>
            </w:r>
          </w:p>
        </w:tc>
        <w:tc>
          <w:tcPr>
            <w:tcW w:w="7286" w:type="dxa"/>
            <w:vAlign w:val="center"/>
          </w:tcPr>
          <w:p w14:paraId="02C09A06">
            <w:pPr>
              <w:spacing w:line="360" w:lineRule="auto"/>
              <w:rPr>
                <w:rFonts w:hAnsi="宋体" w:cs="宋体"/>
                <w:color w:val="auto"/>
                <w:highlight w:val="none"/>
              </w:rPr>
            </w:pPr>
            <w:r>
              <w:rPr>
                <w:rFonts w:hint="eastAsia" w:hAnsi="宋体" w:cs="宋体"/>
                <w:color w:val="auto"/>
                <w:szCs w:val="24"/>
                <w:highlight w:val="none"/>
              </w:rPr>
              <w:t>磋商有效期:提交磋商响应文件的截止之日起90天。</w:t>
            </w:r>
          </w:p>
        </w:tc>
      </w:tr>
      <w:tr w14:paraId="4D6FA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592" w:type="dxa"/>
            <w:vAlign w:val="center"/>
          </w:tcPr>
          <w:p w14:paraId="31F63E6E">
            <w:pPr>
              <w:spacing w:line="360" w:lineRule="auto"/>
              <w:jc w:val="center"/>
              <w:rPr>
                <w:rFonts w:hAnsi="宋体" w:cs="宋体"/>
                <w:color w:val="auto"/>
                <w:szCs w:val="24"/>
                <w:highlight w:val="none"/>
              </w:rPr>
            </w:pPr>
            <w:r>
              <w:rPr>
                <w:rFonts w:hint="eastAsia" w:hAnsi="宋体" w:cs="宋体"/>
                <w:color w:val="auto"/>
                <w:szCs w:val="24"/>
                <w:highlight w:val="none"/>
              </w:rPr>
              <w:t>9</w:t>
            </w:r>
          </w:p>
        </w:tc>
        <w:tc>
          <w:tcPr>
            <w:tcW w:w="1019" w:type="dxa"/>
            <w:vAlign w:val="center"/>
          </w:tcPr>
          <w:p w14:paraId="0B6FE395">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16.1</w:t>
            </w:r>
          </w:p>
        </w:tc>
        <w:tc>
          <w:tcPr>
            <w:tcW w:w="7286" w:type="dxa"/>
            <w:vAlign w:val="center"/>
          </w:tcPr>
          <w:p w14:paraId="0E4584EF">
            <w:pPr>
              <w:spacing w:line="360" w:lineRule="auto"/>
              <w:rPr>
                <w:color w:val="auto"/>
                <w:szCs w:val="24"/>
                <w:highlight w:val="none"/>
              </w:rPr>
            </w:pPr>
            <w:r>
              <w:rPr>
                <w:rFonts w:hint="eastAsia"/>
                <w:color w:val="auto"/>
                <w:szCs w:val="24"/>
                <w:highlight w:val="none"/>
              </w:rPr>
              <w:t>正本的份数：壹份；副本的份数：贰份；</w:t>
            </w:r>
            <w:r>
              <w:rPr>
                <w:rFonts w:hint="eastAsia" w:hAnsi="宋体"/>
                <w:color w:val="auto"/>
                <w:szCs w:val="24"/>
                <w:highlight w:val="none"/>
              </w:rPr>
              <w:t>报价一览表：</w:t>
            </w:r>
            <w:r>
              <w:rPr>
                <w:rFonts w:hint="eastAsia"/>
                <w:color w:val="auto"/>
                <w:szCs w:val="24"/>
                <w:highlight w:val="none"/>
              </w:rPr>
              <w:t>壹</w:t>
            </w:r>
            <w:r>
              <w:rPr>
                <w:rFonts w:hint="eastAsia" w:hAnsi="宋体"/>
                <w:color w:val="auto"/>
                <w:szCs w:val="24"/>
                <w:highlight w:val="none"/>
              </w:rPr>
              <w:t>份；</w:t>
            </w:r>
            <w:r>
              <w:rPr>
                <w:rFonts w:hint="eastAsia"/>
                <w:color w:val="auto"/>
                <w:szCs w:val="24"/>
                <w:highlight w:val="none"/>
              </w:rPr>
              <w:t>同时提供与正本内容一致的电子版（U盘）壹份，并在盘面标注供应商全称、项目名称</w:t>
            </w:r>
            <w:r>
              <w:rPr>
                <w:color w:val="auto"/>
                <w:szCs w:val="24"/>
                <w:highlight w:val="none"/>
              </w:rPr>
              <w:t>、</w:t>
            </w:r>
            <w:r>
              <w:rPr>
                <w:rFonts w:hint="eastAsia"/>
                <w:color w:val="auto"/>
                <w:szCs w:val="24"/>
                <w:highlight w:val="none"/>
              </w:rPr>
              <w:t>编号；磋商响应文件装订要求：胶装。</w:t>
            </w:r>
          </w:p>
        </w:tc>
      </w:tr>
      <w:tr w14:paraId="5AD5B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1875F9EB">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10</w:t>
            </w:r>
          </w:p>
        </w:tc>
        <w:tc>
          <w:tcPr>
            <w:tcW w:w="1019" w:type="dxa"/>
            <w:vAlign w:val="center"/>
          </w:tcPr>
          <w:p w14:paraId="56594BF9">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17.2</w:t>
            </w:r>
          </w:p>
        </w:tc>
        <w:tc>
          <w:tcPr>
            <w:tcW w:w="7286" w:type="dxa"/>
            <w:vAlign w:val="center"/>
          </w:tcPr>
          <w:p w14:paraId="3680A06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竞争性磋商响应文件正本、所有的副本、电子版本、报价一览表分开密封装在单独的封袋中（封袋不得有破损），且在封袋正面标明“正本”“副本”“电子版本”“报价一览表”字样。封袋应加贴封条，并在封线处加盖供应商公章，封袋正面要粘贴供应商全称、项目名称、编号等标识。</w:t>
            </w:r>
          </w:p>
          <w:p w14:paraId="5474DA86">
            <w:pPr>
              <w:spacing w:line="360" w:lineRule="auto"/>
              <w:rPr>
                <w:rFonts w:hAnsi="宋体"/>
                <w:color w:val="auto"/>
                <w:szCs w:val="24"/>
                <w:highlight w:val="none"/>
              </w:rPr>
            </w:pPr>
            <w:r>
              <w:rPr>
                <w:rFonts w:hAnsi="宋体"/>
                <w:color w:val="auto"/>
                <w:szCs w:val="24"/>
                <w:highlight w:val="none"/>
              </w:rPr>
              <w:t>外层包装请按以下要求标记：</w:t>
            </w:r>
          </w:p>
          <w:p w14:paraId="53C446FA">
            <w:pPr>
              <w:spacing w:line="360" w:lineRule="auto"/>
              <w:ind w:firstLine="720" w:firstLineChars="300"/>
              <w:rPr>
                <w:rFonts w:hAnsi="宋体"/>
                <w:color w:val="auto"/>
                <w:szCs w:val="24"/>
                <w:highlight w:val="none"/>
              </w:rPr>
            </w:pPr>
            <w:r>
              <w:rPr>
                <w:rFonts w:hAnsi="宋体"/>
                <w:color w:val="auto"/>
                <w:szCs w:val="24"/>
                <w:highlight w:val="none"/>
              </w:rPr>
              <w:t xml:space="preserve">1) </w:t>
            </w:r>
            <w:r>
              <w:rPr>
                <w:rFonts w:hint="eastAsia" w:hAnsi="宋体"/>
                <w:color w:val="auto"/>
                <w:szCs w:val="24"/>
                <w:highlight w:val="none"/>
              </w:rPr>
              <w:t>磋商响应单位</w:t>
            </w:r>
            <w:r>
              <w:rPr>
                <w:rFonts w:hAnsi="宋体"/>
                <w:color w:val="auto"/>
                <w:szCs w:val="24"/>
                <w:highlight w:val="none"/>
              </w:rPr>
              <w:t>的全称；</w:t>
            </w:r>
          </w:p>
          <w:p w14:paraId="4EFF1550">
            <w:pPr>
              <w:spacing w:line="360" w:lineRule="auto"/>
              <w:ind w:firstLine="720" w:firstLineChars="300"/>
              <w:rPr>
                <w:rFonts w:hAnsi="宋体"/>
                <w:color w:val="auto"/>
                <w:szCs w:val="24"/>
                <w:highlight w:val="none"/>
              </w:rPr>
            </w:pPr>
            <w:r>
              <w:rPr>
                <w:rFonts w:hAnsi="宋体"/>
                <w:color w:val="auto"/>
                <w:szCs w:val="24"/>
                <w:highlight w:val="none"/>
              </w:rPr>
              <w:t xml:space="preserve">2) </w:t>
            </w:r>
            <w:r>
              <w:rPr>
                <w:rFonts w:hint="eastAsia" w:hAnsi="宋体"/>
                <w:color w:val="auto"/>
                <w:szCs w:val="24"/>
                <w:highlight w:val="none"/>
              </w:rPr>
              <w:t>磋商</w:t>
            </w:r>
            <w:r>
              <w:rPr>
                <w:rFonts w:hAnsi="宋体"/>
                <w:color w:val="auto"/>
                <w:szCs w:val="24"/>
                <w:highlight w:val="none"/>
              </w:rPr>
              <w:t>项目名称、项目编号</w:t>
            </w:r>
            <w:r>
              <w:rPr>
                <w:rFonts w:hint="eastAsia" w:hAnsi="宋体"/>
                <w:color w:val="auto"/>
                <w:szCs w:val="24"/>
                <w:highlight w:val="none"/>
              </w:rPr>
              <w:t>；</w:t>
            </w:r>
          </w:p>
          <w:p w14:paraId="65202CF8">
            <w:pPr>
              <w:spacing w:line="360" w:lineRule="auto"/>
              <w:ind w:firstLine="720" w:firstLineChars="300"/>
              <w:rPr>
                <w:rFonts w:hAnsi="宋体"/>
                <w:color w:val="auto"/>
                <w:szCs w:val="24"/>
                <w:highlight w:val="none"/>
              </w:rPr>
            </w:pPr>
            <w:r>
              <w:rPr>
                <w:rFonts w:hAnsi="宋体"/>
                <w:bCs/>
                <w:color w:val="auto"/>
                <w:szCs w:val="24"/>
                <w:highlight w:val="none"/>
              </w:rPr>
              <w:t>3）正本或副本</w:t>
            </w:r>
            <w:r>
              <w:rPr>
                <w:rFonts w:hint="eastAsia" w:hAnsi="宋体"/>
                <w:bCs/>
                <w:color w:val="auto"/>
                <w:szCs w:val="24"/>
                <w:highlight w:val="none"/>
              </w:rPr>
              <w:t>、电子版、报价一览表</w:t>
            </w:r>
            <w:r>
              <w:rPr>
                <w:rFonts w:hAnsi="宋体"/>
                <w:bCs/>
                <w:color w:val="auto"/>
                <w:szCs w:val="24"/>
                <w:highlight w:val="none"/>
              </w:rPr>
              <w:t>“请勿在＿＿＿＿＿(</w:t>
            </w:r>
            <w:r>
              <w:rPr>
                <w:rFonts w:hint="eastAsia" w:hAnsi="宋体"/>
                <w:bCs/>
                <w:color w:val="auto"/>
                <w:szCs w:val="24"/>
                <w:highlight w:val="none"/>
              </w:rPr>
              <w:t>磋商</w:t>
            </w:r>
            <w:r>
              <w:rPr>
                <w:rFonts w:hAnsi="宋体"/>
                <w:bCs/>
                <w:color w:val="auto"/>
                <w:szCs w:val="24"/>
                <w:highlight w:val="none"/>
              </w:rPr>
              <w:t>时间)之前启封”。</w:t>
            </w:r>
          </w:p>
        </w:tc>
      </w:tr>
      <w:tr w14:paraId="338F9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592" w:type="dxa"/>
            <w:vAlign w:val="center"/>
          </w:tcPr>
          <w:p w14:paraId="7A48927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11</w:t>
            </w:r>
          </w:p>
        </w:tc>
        <w:tc>
          <w:tcPr>
            <w:tcW w:w="1019" w:type="dxa"/>
            <w:vAlign w:val="center"/>
          </w:tcPr>
          <w:p w14:paraId="45CD261E">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18.1</w:t>
            </w:r>
          </w:p>
        </w:tc>
        <w:tc>
          <w:tcPr>
            <w:tcW w:w="7286" w:type="dxa"/>
          </w:tcPr>
          <w:p w14:paraId="3FECCAA9">
            <w:pPr>
              <w:spacing w:line="360" w:lineRule="auto"/>
              <w:rPr>
                <w:rFonts w:hAnsi="宋体" w:cs="宋体"/>
                <w:color w:val="auto"/>
                <w:szCs w:val="24"/>
                <w:highlight w:val="none"/>
              </w:rPr>
            </w:pPr>
            <w:r>
              <w:rPr>
                <w:rFonts w:hint="eastAsia" w:hAnsi="宋体" w:cs="宋体"/>
                <w:color w:val="auto"/>
                <w:szCs w:val="24"/>
                <w:highlight w:val="none"/>
              </w:rPr>
              <w:t>磋商响应文件递交截止时间：见磋商公告</w:t>
            </w:r>
          </w:p>
          <w:p w14:paraId="026F0045">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磋商响应文件递交地址：</w:t>
            </w:r>
            <w:r>
              <w:rPr>
                <w:rFonts w:hint="eastAsia" w:cs="宋体"/>
                <w:color w:val="auto"/>
                <w:highlight w:val="none"/>
                <w:shd w:val="clear" w:color="auto" w:fill="FFFFFF"/>
              </w:rPr>
              <w:t>陕西省西安市经济技术开发区未央路171-1号银池道拉斯财富中心21楼</w:t>
            </w:r>
            <w:r>
              <w:rPr>
                <w:rFonts w:hint="eastAsia" w:cs="宋体"/>
                <w:color w:val="auto"/>
                <w:highlight w:val="none"/>
                <w:shd w:val="clear" w:color="auto" w:fill="FFFFFF"/>
                <w:lang w:val="en-US" w:eastAsia="zh-CN"/>
              </w:rPr>
              <w:t>03室</w:t>
            </w:r>
          </w:p>
          <w:p w14:paraId="1220691B">
            <w:pPr>
              <w:spacing w:line="360" w:lineRule="auto"/>
              <w:rPr>
                <w:rFonts w:hAnsi="宋体" w:cs="宋体"/>
                <w:color w:val="auto"/>
                <w:szCs w:val="24"/>
                <w:highlight w:val="none"/>
              </w:rPr>
            </w:pPr>
            <w:r>
              <w:rPr>
                <w:rFonts w:hint="eastAsia" w:hAnsi="宋体" w:cs="宋体"/>
                <w:color w:val="auto"/>
                <w:szCs w:val="24"/>
                <w:highlight w:val="none"/>
              </w:rPr>
              <w:t>磋商响应文件接收人：陕西至诚项目管理集团有限公司</w:t>
            </w:r>
          </w:p>
        </w:tc>
      </w:tr>
      <w:tr w14:paraId="727FE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592" w:type="dxa"/>
            <w:vAlign w:val="center"/>
          </w:tcPr>
          <w:p w14:paraId="3BA04CE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12</w:t>
            </w:r>
          </w:p>
        </w:tc>
        <w:tc>
          <w:tcPr>
            <w:tcW w:w="1019" w:type="dxa"/>
            <w:vAlign w:val="center"/>
          </w:tcPr>
          <w:p w14:paraId="20B2BB0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21.1</w:t>
            </w:r>
          </w:p>
        </w:tc>
        <w:tc>
          <w:tcPr>
            <w:tcW w:w="7286" w:type="dxa"/>
            <w:vAlign w:val="center"/>
          </w:tcPr>
          <w:p w14:paraId="2079F97E">
            <w:pPr>
              <w:spacing w:line="360" w:lineRule="auto"/>
              <w:rPr>
                <w:rFonts w:hAnsi="宋体" w:cs="宋体"/>
                <w:color w:val="auto"/>
                <w:szCs w:val="24"/>
                <w:highlight w:val="none"/>
              </w:rPr>
            </w:pPr>
            <w:r>
              <w:rPr>
                <w:rFonts w:hint="eastAsia" w:hAnsi="宋体" w:cs="宋体"/>
                <w:color w:val="auto"/>
                <w:szCs w:val="24"/>
                <w:highlight w:val="none"/>
              </w:rPr>
              <w:t>磋商时间：见磋商公告</w:t>
            </w:r>
          </w:p>
          <w:p w14:paraId="3FD84180">
            <w:pPr>
              <w:spacing w:line="360" w:lineRule="auto"/>
              <w:jc w:val="left"/>
              <w:rPr>
                <w:rFonts w:hAnsi="宋体" w:cs="宋体"/>
                <w:color w:val="auto"/>
                <w:szCs w:val="24"/>
                <w:highlight w:val="none"/>
              </w:rPr>
            </w:pPr>
            <w:r>
              <w:rPr>
                <w:rFonts w:hint="eastAsia" w:hAnsi="宋体" w:cs="宋体"/>
                <w:color w:val="auto"/>
                <w:szCs w:val="24"/>
                <w:highlight w:val="none"/>
              </w:rPr>
              <w:t>磋商地点：</w:t>
            </w:r>
            <w:r>
              <w:rPr>
                <w:rFonts w:hint="eastAsia" w:cs="宋体"/>
                <w:color w:val="auto"/>
                <w:highlight w:val="none"/>
                <w:shd w:val="clear" w:color="auto" w:fill="FFFFFF"/>
              </w:rPr>
              <w:t>陕西省西安市经济技术开发区未央路171-1号银池道拉斯财富中心21楼</w:t>
            </w:r>
            <w:r>
              <w:rPr>
                <w:rFonts w:hint="eastAsia" w:cs="宋体"/>
                <w:color w:val="auto"/>
                <w:highlight w:val="none"/>
                <w:shd w:val="clear" w:color="auto" w:fill="FFFFFF"/>
                <w:lang w:val="en-US" w:eastAsia="zh-CN"/>
              </w:rPr>
              <w:t>03室</w:t>
            </w:r>
          </w:p>
        </w:tc>
      </w:tr>
      <w:tr w14:paraId="05642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592" w:type="dxa"/>
            <w:vAlign w:val="center"/>
          </w:tcPr>
          <w:p w14:paraId="32E65417">
            <w:pPr>
              <w:spacing w:after="159" w:afterLines="50" w:line="360" w:lineRule="auto"/>
              <w:jc w:val="center"/>
              <w:rPr>
                <w:rFonts w:hint="default" w:hAnsi="宋体" w:eastAsia="宋体" w:cs="宋体"/>
                <w:color w:val="auto"/>
                <w:szCs w:val="24"/>
                <w:highlight w:val="none"/>
                <w:lang w:val="en-US" w:eastAsia="zh-CN"/>
              </w:rPr>
            </w:pPr>
            <w:r>
              <w:rPr>
                <w:rFonts w:hint="eastAsia" w:hAnsi="宋体" w:cs="宋体"/>
                <w:color w:val="auto"/>
                <w:szCs w:val="24"/>
                <w:highlight w:val="none"/>
                <w:lang w:val="en-US" w:eastAsia="zh-CN"/>
              </w:rPr>
              <w:t>13</w:t>
            </w:r>
          </w:p>
        </w:tc>
        <w:tc>
          <w:tcPr>
            <w:tcW w:w="1019" w:type="dxa"/>
            <w:vAlign w:val="center"/>
          </w:tcPr>
          <w:p w14:paraId="473D409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24.1</w:t>
            </w:r>
          </w:p>
        </w:tc>
        <w:tc>
          <w:tcPr>
            <w:tcW w:w="7286" w:type="dxa"/>
            <w:vAlign w:val="center"/>
          </w:tcPr>
          <w:p w14:paraId="4E9F090D">
            <w:pPr>
              <w:spacing w:after="159" w:afterLines="50" w:line="360" w:lineRule="auto"/>
              <w:rPr>
                <w:rFonts w:hAnsi="宋体" w:cs="宋体"/>
                <w:color w:val="auto"/>
                <w:szCs w:val="24"/>
                <w:highlight w:val="none"/>
              </w:rPr>
            </w:pPr>
            <w:r>
              <w:rPr>
                <w:rFonts w:hint="eastAsia" w:hAnsi="宋体" w:cs="宋体"/>
                <w:b/>
                <w:bCs/>
                <w:color w:val="auto"/>
                <w:szCs w:val="24"/>
                <w:highlight w:val="none"/>
              </w:rPr>
              <w:t>评审方法：综合评分法（详见第三章）</w:t>
            </w:r>
          </w:p>
        </w:tc>
      </w:tr>
      <w:tr w14:paraId="170DC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9" w:hRule="atLeast"/>
          <w:jc w:val="center"/>
        </w:trPr>
        <w:tc>
          <w:tcPr>
            <w:tcW w:w="592" w:type="dxa"/>
            <w:vAlign w:val="center"/>
          </w:tcPr>
          <w:p w14:paraId="464E06D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14</w:t>
            </w:r>
          </w:p>
        </w:tc>
        <w:tc>
          <w:tcPr>
            <w:tcW w:w="1019" w:type="dxa"/>
            <w:vAlign w:val="center"/>
          </w:tcPr>
          <w:p w14:paraId="4A6D8F53">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29</w:t>
            </w:r>
          </w:p>
        </w:tc>
        <w:tc>
          <w:tcPr>
            <w:tcW w:w="7286" w:type="dxa"/>
            <w:vAlign w:val="center"/>
          </w:tcPr>
          <w:p w14:paraId="3F1EAF31">
            <w:pPr>
              <w:spacing w:after="159" w:afterLines="50" w:line="360" w:lineRule="auto"/>
              <w:jc w:val="left"/>
              <w:rPr>
                <w:rFonts w:hAnsi="宋体" w:cs="宋体"/>
                <w:color w:val="auto"/>
                <w:szCs w:val="24"/>
                <w:highlight w:val="none"/>
              </w:rPr>
            </w:pPr>
            <w:r>
              <w:rPr>
                <w:rFonts w:hint="eastAsia" w:hAnsi="宋体" w:cs="宋体"/>
                <w:color w:val="auto"/>
                <w:szCs w:val="24"/>
                <w:highlight w:val="none"/>
              </w:rPr>
              <w:t>磋商代理服务费及造价咨询服务费：</w:t>
            </w:r>
          </w:p>
          <w:p w14:paraId="5B02BDC6">
            <w:pPr>
              <w:spacing w:after="159" w:afterLines="50" w:line="360" w:lineRule="auto"/>
              <w:jc w:val="left"/>
              <w:rPr>
                <w:rFonts w:hint="eastAsia" w:hAnsi="宋体" w:cs="宋体"/>
                <w:color w:val="auto"/>
                <w:szCs w:val="24"/>
                <w:highlight w:val="none"/>
              </w:rPr>
            </w:pPr>
            <w:r>
              <w:rPr>
                <w:rFonts w:hint="eastAsia" w:hAnsi="宋体" w:cs="宋体"/>
                <w:color w:val="auto"/>
                <w:szCs w:val="24"/>
                <w:highlight w:val="none"/>
                <w:lang w:val="en-US" w:eastAsia="zh-CN"/>
              </w:rPr>
              <w:t>29.</w:t>
            </w:r>
            <w:r>
              <w:rPr>
                <w:rFonts w:hint="eastAsia" w:hAnsi="宋体" w:cs="宋体"/>
                <w:color w:val="auto"/>
                <w:szCs w:val="24"/>
                <w:highlight w:val="none"/>
              </w:rPr>
              <w:t>1、招标代理及造价咨询服务费：依据国家计委颁发的《招标代理服务收费管理暂行办法》（计价格[2002]1980号）和国家发展改革委员会办公厅颁发的《关于招标代理服务收费有关问题的通知》（发改办价格[2003]857号）的有关规定下浮30%计算;</w:t>
            </w:r>
          </w:p>
          <w:p w14:paraId="041F1DC3">
            <w:pPr>
              <w:spacing w:after="159" w:afterLines="50" w:line="360" w:lineRule="auto"/>
              <w:jc w:val="left"/>
              <w:rPr>
                <w:rFonts w:hint="eastAsia" w:hAnsi="宋体" w:eastAsia="宋体" w:cs="宋体"/>
                <w:color w:val="auto"/>
                <w:szCs w:val="24"/>
                <w:highlight w:val="none"/>
                <w:lang w:val="en-US" w:eastAsia="zh-CN"/>
              </w:rPr>
            </w:pPr>
            <w:r>
              <w:rPr>
                <w:rFonts w:hint="eastAsia" w:hAnsi="宋体" w:cs="宋体"/>
                <w:color w:val="auto"/>
                <w:szCs w:val="24"/>
                <w:highlight w:val="none"/>
              </w:rPr>
              <w:t>造价咨询费以《陕西省物价局陕西省住房和城乡建设厅关于我省工程造价咨询服务收费标准有关问题的通知》(陕价行发[2014]88号)的规定下浮30%</w:t>
            </w:r>
            <w:r>
              <w:rPr>
                <w:rFonts w:hint="eastAsia" w:hAnsi="宋体" w:cs="宋体"/>
                <w:color w:val="auto"/>
                <w:szCs w:val="24"/>
                <w:highlight w:val="none"/>
                <w:lang w:val="en-US" w:eastAsia="zh-CN"/>
              </w:rPr>
              <w:t>执行。</w:t>
            </w:r>
          </w:p>
          <w:p w14:paraId="418791FE">
            <w:pPr>
              <w:spacing w:after="159" w:afterLines="50" w:line="360" w:lineRule="auto"/>
              <w:jc w:val="left"/>
              <w:rPr>
                <w:rFonts w:hAnsi="宋体" w:cs="宋体"/>
                <w:color w:val="auto"/>
                <w:szCs w:val="24"/>
                <w:highlight w:val="none"/>
              </w:rPr>
            </w:pPr>
            <w:r>
              <w:rPr>
                <w:rFonts w:hint="eastAsia" w:hAnsi="宋体" w:cs="宋体"/>
                <w:color w:val="auto"/>
                <w:szCs w:val="24"/>
                <w:highlight w:val="none"/>
                <w:lang w:val="en-US" w:eastAsia="zh-CN"/>
              </w:rPr>
              <w:t>29.</w:t>
            </w:r>
            <w:r>
              <w:rPr>
                <w:rFonts w:hint="eastAsia" w:hAnsi="宋体" w:cs="宋体"/>
                <w:color w:val="auto"/>
                <w:szCs w:val="24"/>
                <w:highlight w:val="none"/>
              </w:rPr>
              <w:t>2、本项目代理服务费及造价咨询服务费由成交单位支付，成交单位应依据成交金额向招标代理机构交纳招标代理服务费及造价咨询服务费。</w:t>
            </w:r>
          </w:p>
        </w:tc>
      </w:tr>
      <w:tr w14:paraId="493F8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51A42B88">
            <w:pPr>
              <w:jc w:val="center"/>
              <w:rPr>
                <w:rFonts w:hAnsi="宋体" w:cs="宋体"/>
                <w:color w:val="auto"/>
                <w:szCs w:val="24"/>
                <w:highlight w:val="none"/>
              </w:rPr>
            </w:pPr>
            <w:r>
              <w:rPr>
                <w:rFonts w:hint="eastAsia" w:hAnsi="宋体" w:cs="宋体"/>
                <w:color w:val="auto"/>
                <w:szCs w:val="24"/>
                <w:highlight w:val="none"/>
              </w:rPr>
              <w:t>15</w:t>
            </w:r>
          </w:p>
        </w:tc>
        <w:tc>
          <w:tcPr>
            <w:tcW w:w="1019" w:type="dxa"/>
            <w:vAlign w:val="center"/>
          </w:tcPr>
          <w:p w14:paraId="038E35F0">
            <w:pPr>
              <w:jc w:val="center"/>
              <w:rPr>
                <w:rFonts w:hAnsi="宋体" w:cs="宋体"/>
                <w:b/>
                <w:bCs/>
                <w:color w:val="auto"/>
                <w:szCs w:val="24"/>
                <w:highlight w:val="none"/>
              </w:rPr>
            </w:pPr>
            <w:r>
              <w:rPr>
                <w:rFonts w:hint="eastAsia" w:hAnsi="宋体" w:cs="宋体"/>
                <w:b/>
                <w:bCs/>
                <w:color w:val="auto"/>
                <w:szCs w:val="24"/>
                <w:highlight w:val="none"/>
              </w:rPr>
              <w:t>银行</w:t>
            </w:r>
          </w:p>
          <w:p w14:paraId="375C05F1">
            <w:pPr>
              <w:jc w:val="center"/>
              <w:rPr>
                <w:rFonts w:hAnsi="宋体" w:cs="宋体"/>
                <w:b/>
                <w:bCs/>
                <w:color w:val="auto"/>
                <w:szCs w:val="24"/>
                <w:highlight w:val="none"/>
              </w:rPr>
            </w:pPr>
            <w:r>
              <w:rPr>
                <w:rFonts w:hint="eastAsia" w:hAnsi="宋体" w:cs="宋体"/>
                <w:b/>
                <w:bCs/>
                <w:color w:val="auto"/>
                <w:szCs w:val="24"/>
                <w:highlight w:val="none"/>
              </w:rPr>
              <w:t>账户</w:t>
            </w:r>
          </w:p>
          <w:p w14:paraId="5187A5F9">
            <w:pPr>
              <w:jc w:val="center"/>
              <w:rPr>
                <w:rFonts w:hAnsi="宋体" w:cs="宋体"/>
                <w:color w:val="auto"/>
                <w:szCs w:val="24"/>
                <w:highlight w:val="none"/>
              </w:rPr>
            </w:pPr>
            <w:r>
              <w:rPr>
                <w:rFonts w:hint="eastAsia" w:hAnsi="宋体" w:cs="宋体"/>
                <w:b/>
                <w:bCs/>
                <w:color w:val="auto"/>
                <w:szCs w:val="24"/>
                <w:highlight w:val="none"/>
              </w:rPr>
              <w:t>信息</w:t>
            </w:r>
          </w:p>
        </w:tc>
        <w:tc>
          <w:tcPr>
            <w:tcW w:w="7286" w:type="dxa"/>
            <w:vAlign w:val="center"/>
          </w:tcPr>
          <w:p w14:paraId="629CB43C">
            <w:pPr>
              <w:numPr>
                <w:ilvl w:val="0"/>
                <w:numId w:val="1"/>
              </w:numPr>
              <w:spacing w:line="520" w:lineRule="exact"/>
              <w:rPr>
                <w:rFonts w:hAnsi="宋体" w:cs="宋体"/>
                <w:b/>
                <w:bCs/>
                <w:color w:val="auto"/>
                <w:szCs w:val="24"/>
                <w:highlight w:val="none"/>
              </w:rPr>
            </w:pPr>
            <w:r>
              <w:rPr>
                <w:rFonts w:hint="eastAsia" w:hAnsi="宋体" w:cs="宋体"/>
                <w:b/>
                <w:bCs/>
                <w:color w:val="auto"/>
                <w:szCs w:val="24"/>
                <w:highlight w:val="none"/>
              </w:rPr>
              <w:t>代理服务费账户：</w:t>
            </w:r>
          </w:p>
          <w:p w14:paraId="04B5325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采购代理机构开户名称：陕西至诚项目管理集团有限公司</w:t>
            </w:r>
          </w:p>
          <w:p w14:paraId="3C595B1E">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开户行名称：中国建设银行股份有限公司西安高新技术产业开发区支行</w:t>
            </w:r>
          </w:p>
          <w:p w14:paraId="0AF9ABF7">
            <w:pPr>
              <w:pStyle w:val="9"/>
              <w:ind w:firstLine="482" w:firstLineChars="200"/>
              <w:rPr>
                <w:rFonts w:hAnsi="宋体" w:cs="宋体"/>
                <w:color w:val="auto"/>
                <w:szCs w:val="24"/>
                <w:highlight w:val="none"/>
              </w:rPr>
            </w:pPr>
            <w:r>
              <w:rPr>
                <w:rFonts w:hint="eastAsia" w:ascii="宋体" w:hAnsi="宋体" w:cs="宋体"/>
                <w:b/>
                <w:bCs/>
                <w:color w:val="auto"/>
                <w:sz w:val="24"/>
                <w:szCs w:val="24"/>
                <w:highlight w:val="none"/>
              </w:rPr>
              <w:t>账号：61050192090000002152</w:t>
            </w:r>
          </w:p>
        </w:tc>
      </w:tr>
      <w:tr w14:paraId="4B61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21EBA3C">
            <w:pPr>
              <w:jc w:val="center"/>
              <w:rPr>
                <w:rFonts w:hAnsi="宋体" w:cs="宋体"/>
                <w:color w:val="auto"/>
                <w:szCs w:val="24"/>
                <w:highlight w:val="none"/>
              </w:rPr>
            </w:pPr>
            <w:r>
              <w:rPr>
                <w:rFonts w:hint="eastAsia" w:hAnsi="宋体" w:cs="宋体"/>
                <w:color w:val="auto"/>
                <w:szCs w:val="24"/>
                <w:highlight w:val="none"/>
              </w:rPr>
              <w:t>16</w:t>
            </w:r>
          </w:p>
        </w:tc>
        <w:tc>
          <w:tcPr>
            <w:tcW w:w="1019" w:type="dxa"/>
            <w:vAlign w:val="center"/>
          </w:tcPr>
          <w:p w14:paraId="0832DFC2">
            <w:pPr>
              <w:spacing w:line="360" w:lineRule="auto"/>
              <w:jc w:val="center"/>
              <w:rPr>
                <w:rFonts w:hAnsi="宋体" w:cs="宋体"/>
                <w:color w:val="auto"/>
                <w:szCs w:val="24"/>
                <w:highlight w:val="none"/>
              </w:rPr>
            </w:pPr>
            <w:r>
              <w:rPr>
                <w:rFonts w:hint="eastAsia" w:hAnsi="宋体" w:cs="宋体"/>
                <w:color w:val="auto"/>
                <w:szCs w:val="24"/>
                <w:highlight w:val="none"/>
              </w:rPr>
              <w:t>履约</w:t>
            </w:r>
          </w:p>
          <w:p w14:paraId="5A4DE4A1">
            <w:pPr>
              <w:spacing w:line="360" w:lineRule="auto"/>
              <w:jc w:val="center"/>
              <w:rPr>
                <w:rFonts w:hAnsi="宋体" w:cs="宋体"/>
                <w:b/>
                <w:bCs/>
                <w:color w:val="auto"/>
                <w:szCs w:val="24"/>
                <w:highlight w:val="none"/>
              </w:rPr>
            </w:pPr>
            <w:r>
              <w:rPr>
                <w:rFonts w:hint="eastAsia" w:hAnsi="宋体" w:cs="宋体"/>
                <w:color w:val="auto"/>
                <w:szCs w:val="24"/>
                <w:highlight w:val="none"/>
              </w:rPr>
              <w:t>担保</w:t>
            </w:r>
          </w:p>
        </w:tc>
        <w:tc>
          <w:tcPr>
            <w:tcW w:w="7286" w:type="dxa"/>
            <w:vAlign w:val="center"/>
          </w:tcPr>
          <w:p w14:paraId="7BA9CE76">
            <w:pPr>
              <w:widowControl/>
              <w:spacing w:line="360" w:lineRule="auto"/>
              <w:jc w:val="left"/>
              <w:rPr>
                <w:rFonts w:hAnsi="宋体" w:cs="宋体"/>
                <w:color w:val="auto"/>
                <w:szCs w:val="24"/>
                <w:highlight w:val="none"/>
              </w:rPr>
            </w:pPr>
            <w:r>
              <w:rPr>
                <w:rFonts w:hint="eastAsia" w:hAnsi="宋体" w:cs="宋体"/>
                <w:color w:val="auto"/>
                <w:szCs w:val="24"/>
                <w:highlight w:val="none"/>
              </w:rPr>
              <w:t>履约担保的形式：/</w:t>
            </w:r>
          </w:p>
          <w:p w14:paraId="3D7A9112">
            <w:pPr>
              <w:spacing w:line="360" w:lineRule="auto"/>
              <w:rPr>
                <w:rFonts w:hAnsi="宋体" w:cs="宋体"/>
                <w:b/>
                <w:bCs/>
                <w:color w:val="auto"/>
                <w:szCs w:val="24"/>
                <w:highlight w:val="none"/>
              </w:rPr>
            </w:pPr>
            <w:r>
              <w:rPr>
                <w:rFonts w:hint="eastAsia" w:hAnsi="宋体" w:cs="宋体"/>
                <w:color w:val="auto"/>
                <w:szCs w:val="24"/>
                <w:highlight w:val="none"/>
              </w:rPr>
              <w:t>履约担保的金额：/</w:t>
            </w:r>
          </w:p>
        </w:tc>
      </w:tr>
      <w:tr w14:paraId="09410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76A21A3">
            <w:pPr>
              <w:jc w:val="center"/>
              <w:rPr>
                <w:rFonts w:hAnsi="宋体" w:cs="宋体"/>
                <w:color w:val="auto"/>
                <w:szCs w:val="24"/>
                <w:highlight w:val="none"/>
              </w:rPr>
            </w:pPr>
            <w:r>
              <w:rPr>
                <w:rFonts w:hint="eastAsia" w:hAnsi="宋体" w:cs="宋体"/>
                <w:color w:val="auto"/>
                <w:szCs w:val="24"/>
                <w:highlight w:val="none"/>
              </w:rPr>
              <w:t>17</w:t>
            </w:r>
          </w:p>
        </w:tc>
        <w:tc>
          <w:tcPr>
            <w:tcW w:w="1019" w:type="dxa"/>
            <w:vAlign w:val="center"/>
          </w:tcPr>
          <w:p w14:paraId="3CB3B64D">
            <w:pPr>
              <w:spacing w:line="360" w:lineRule="auto"/>
              <w:jc w:val="center"/>
              <w:rPr>
                <w:rFonts w:hAnsi="宋体" w:cs="宋体"/>
                <w:bCs/>
                <w:color w:val="auto"/>
                <w:szCs w:val="24"/>
                <w:highlight w:val="none"/>
              </w:rPr>
            </w:pPr>
            <w:r>
              <w:rPr>
                <w:rFonts w:hint="eastAsia" w:hAnsi="宋体" w:cs="宋体"/>
                <w:bCs/>
                <w:color w:val="auto"/>
                <w:szCs w:val="24"/>
                <w:highlight w:val="none"/>
              </w:rPr>
              <w:t>现场</w:t>
            </w:r>
          </w:p>
          <w:p w14:paraId="23168FFA">
            <w:pPr>
              <w:spacing w:line="360" w:lineRule="auto"/>
              <w:jc w:val="center"/>
              <w:rPr>
                <w:rFonts w:hAnsi="宋体" w:cs="宋体"/>
                <w:color w:val="auto"/>
                <w:szCs w:val="24"/>
                <w:highlight w:val="none"/>
              </w:rPr>
            </w:pPr>
            <w:r>
              <w:rPr>
                <w:rFonts w:hint="eastAsia" w:hAnsi="宋体" w:cs="宋体"/>
                <w:color w:val="auto"/>
                <w:kern w:val="2"/>
                <w:szCs w:val="24"/>
                <w:highlight w:val="none"/>
              </w:rPr>
              <w:t>踏</w:t>
            </w:r>
            <w:r>
              <w:rPr>
                <w:rFonts w:hint="eastAsia" w:hAnsi="宋体" w:cs="宋体"/>
                <w:bCs/>
                <w:color w:val="auto"/>
                <w:szCs w:val="24"/>
                <w:highlight w:val="none"/>
              </w:rPr>
              <w:t>勘</w:t>
            </w:r>
          </w:p>
        </w:tc>
        <w:tc>
          <w:tcPr>
            <w:tcW w:w="7286" w:type="dxa"/>
            <w:vAlign w:val="center"/>
          </w:tcPr>
          <w:p w14:paraId="381B5B48">
            <w:pPr>
              <w:spacing w:line="360" w:lineRule="auto"/>
              <w:rPr>
                <w:color w:val="auto"/>
                <w:highlight w:val="none"/>
              </w:rPr>
            </w:pPr>
            <w:r>
              <w:rPr>
                <w:rFonts w:hint="eastAsia"/>
                <w:color w:val="auto"/>
                <w:highlight w:val="none"/>
              </w:rPr>
              <w:t>（1）</w:t>
            </w:r>
            <w:r>
              <w:rPr>
                <w:rFonts w:hint="eastAsia"/>
                <w:color w:val="auto"/>
                <w:highlight w:val="none"/>
                <w:lang w:val="en-US" w:eastAsia="zh-CN"/>
              </w:rPr>
              <w:t>不</w:t>
            </w:r>
            <w:r>
              <w:rPr>
                <w:rFonts w:hint="eastAsia"/>
                <w:color w:val="auto"/>
                <w:highlight w:val="none"/>
              </w:rPr>
              <w:t>组织现场踏勘：</w:t>
            </w:r>
            <w:r>
              <w:rPr>
                <w:rFonts w:hint="eastAsia" w:hAnsi="宋体" w:cs="宋体"/>
                <w:color w:val="auto"/>
                <w:szCs w:val="24"/>
                <w:highlight w:val="none"/>
                <w:lang w:val="en-US" w:eastAsia="zh-CN"/>
              </w:rPr>
              <w:t>各投标人自行踏勘</w:t>
            </w:r>
            <w:r>
              <w:rPr>
                <w:rFonts w:hint="eastAsia" w:hAnsi="宋体" w:cs="宋体"/>
                <w:color w:val="auto"/>
                <w:szCs w:val="24"/>
                <w:highlight w:val="none"/>
              </w:rPr>
              <w:t>，相关费用及安全由投标人自行承担。</w:t>
            </w:r>
          </w:p>
        </w:tc>
      </w:tr>
      <w:tr w14:paraId="26779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3EAA4A9">
            <w:pPr>
              <w:jc w:val="center"/>
              <w:rPr>
                <w:rFonts w:hAnsi="宋体" w:cs="宋体"/>
                <w:b/>
                <w:bCs/>
                <w:color w:val="auto"/>
                <w:szCs w:val="24"/>
                <w:highlight w:val="none"/>
              </w:rPr>
            </w:pPr>
            <w:r>
              <w:rPr>
                <w:rFonts w:hint="eastAsia" w:hAnsi="宋体" w:cs="宋体"/>
                <w:b/>
                <w:bCs/>
                <w:color w:val="auto"/>
                <w:szCs w:val="24"/>
                <w:highlight w:val="none"/>
              </w:rPr>
              <w:t>18</w:t>
            </w:r>
          </w:p>
        </w:tc>
        <w:tc>
          <w:tcPr>
            <w:tcW w:w="1019" w:type="dxa"/>
            <w:vAlign w:val="center"/>
          </w:tcPr>
          <w:p w14:paraId="1BC9B2B8">
            <w:pPr>
              <w:spacing w:line="360" w:lineRule="auto"/>
              <w:jc w:val="center"/>
              <w:rPr>
                <w:rFonts w:hAnsi="宋体" w:cs="宋体"/>
                <w:b/>
                <w:bCs/>
                <w:color w:val="auto"/>
                <w:kern w:val="2"/>
                <w:szCs w:val="24"/>
                <w:highlight w:val="none"/>
              </w:rPr>
            </w:pPr>
            <w:r>
              <w:rPr>
                <w:rFonts w:hint="eastAsia" w:hAnsi="宋体" w:cs="宋体"/>
                <w:b/>
                <w:bCs/>
                <w:color w:val="auto"/>
                <w:kern w:val="2"/>
                <w:szCs w:val="24"/>
                <w:highlight w:val="none"/>
              </w:rPr>
              <w:t>最高</w:t>
            </w:r>
          </w:p>
          <w:p w14:paraId="5A55CB56">
            <w:pPr>
              <w:spacing w:line="360" w:lineRule="auto"/>
              <w:jc w:val="center"/>
              <w:rPr>
                <w:rFonts w:hAnsi="宋体" w:cs="宋体"/>
                <w:b/>
                <w:bCs/>
                <w:color w:val="auto"/>
                <w:kern w:val="2"/>
                <w:szCs w:val="24"/>
                <w:highlight w:val="none"/>
              </w:rPr>
            </w:pPr>
            <w:r>
              <w:rPr>
                <w:rFonts w:hint="eastAsia" w:hAnsi="宋体" w:cs="宋体"/>
                <w:b/>
                <w:bCs/>
                <w:color w:val="auto"/>
                <w:kern w:val="2"/>
                <w:szCs w:val="24"/>
                <w:highlight w:val="none"/>
              </w:rPr>
              <w:t>限价</w:t>
            </w:r>
          </w:p>
        </w:tc>
        <w:tc>
          <w:tcPr>
            <w:tcW w:w="7286" w:type="dxa"/>
            <w:vAlign w:val="center"/>
          </w:tcPr>
          <w:p w14:paraId="267B2804">
            <w:pPr>
              <w:spacing w:line="360" w:lineRule="auto"/>
              <w:rPr>
                <w:rFonts w:hint="default" w:eastAsia="宋体"/>
                <w:b/>
                <w:bCs/>
                <w:color w:val="auto"/>
                <w:szCs w:val="22"/>
                <w:highlight w:val="none"/>
                <w:lang w:val="en-US" w:eastAsia="zh-CN"/>
              </w:rPr>
            </w:pPr>
            <w:r>
              <w:rPr>
                <w:rFonts w:hint="eastAsia"/>
                <w:b/>
                <w:bCs/>
                <w:color w:val="auto"/>
                <w:szCs w:val="22"/>
                <w:highlight w:val="none"/>
                <w:lang w:eastAsia="zh-CN"/>
              </w:rPr>
              <w:t>1,430,000.00</w:t>
            </w:r>
            <w:r>
              <w:rPr>
                <w:rFonts w:hint="eastAsia"/>
                <w:b/>
                <w:bCs/>
                <w:color w:val="auto"/>
                <w:szCs w:val="22"/>
                <w:highlight w:val="none"/>
                <w:lang w:val="en-US" w:eastAsia="zh-CN"/>
              </w:rPr>
              <w:t>元</w:t>
            </w:r>
          </w:p>
        </w:tc>
      </w:tr>
      <w:tr w14:paraId="2A405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0B10799C">
            <w:pPr>
              <w:jc w:val="center"/>
              <w:rPr>
                <w:rFonts w:hAnsi="宋体" w:cs="宋体"/>
                <w:b/>
                <w:bCs/>
                <w:color w:val="auto"/>
                <w:szCs w:val="24"/>
                <w:highlight w:val="none"/>
              </w:rPr>
            </w:pPr>
            <w:r>
              <w:rPr>
                <w:rFonts w:hint="eastAsia" w:hAnsi="宋体" w:cs="宋体"/>
                <w:b/>
                <w:bCs/>
                <w:color w:val="auto"/>
                <w:szCs w:val="24"/>
                <w:highlight w:val="none"/>
              </w:rPr>
              <w:t>19</w:t>
            </w:r>
          </w:p>
        </w:tc>
        <w:tc>
          <w:tcPr>
            <w:tcW w:w="1019" w:type="dxa"/>
            <w:vAlign w:val="center"/>
          </w:tcPr>
          <w:p w14:paraId="100DF02F">
            <w:pPr>
              <w:widowControl/>
              <w:spacing w:line="360" w:lineRule="auto"/>
              <w:jc w:val="center"/>
              <w:rPr>
                <w:rFonts w:hAnsi="宋体"/>
                <w:b/>
                <w:bCs/>
                <w:color w:val="auto"/>
                <w:szCs w:val="24"/>
                <w:highlight w:val="none"/>
              </w:rPr>
            </w:pPr>
            <w:r>
              <w:rPr>
                <w:rFonts w:hint="eastAsia" w:hAnsi="宋体"/>
                <w:b/>
                <w:bCs/>
                <w:color w:val="auto"/>
                <w:szCs w:val="24"/>
                <w:highlight w:val="none"/>
              </w:rPr>
              <w:t>项目</w:t>
            </w:r>
          </w:p>
          <w:p w14:paraId="3C0FE26A">
            <w:pPr>
              <w:widowControl/>
              <w:spacing w:line="360" w:lineRule="auto"/>
              <w:jc w:val="center"/>
              <w:rPr>
                <w:rFonts w:hAnsi="宋体" w:cs="宋体"/>
                <w:b/>
                <w:bCs/>
                <w:color w:val="auto"/>
                <w:kern w:val="2"/>
                <w:szCs w:val="24"/>
                <w:highlight w:val="none"/>
              </w:rPr>
            </w:pPr>
            <w:r>
              <w:rPr>
                <w:rFonts w:hint="eastAsia" w:hAnsi="宋体"/>
                <w:b/>
                <w:bCs/>
                <w:color w:val="auto"/>
                <w:szCs w:val="24"/>
                <w:highlight w:val="none"/>
              </w:rPr>
              <w:t>性质</w:t>
            </w:r>
          </w:p>
        </w:tc>
        <w:tc>
          <w:tcPr>
            <w:tcW w:w="7286" w:type="dxa"/>
            <w:vAlign w:val="center"/>
          </w:tcPr>
          <w:p w14:paraId="5F400297">
            <w:pPr>
              <w:widowControl/>
              <w:spacing w:line="360" w:lineRule="auto"/>
              <w:rPr>
                <w:b/>
                <w:bCs/>
                <w:color w:val="auto"/>
                <w:szCs w:val="22"/>
                <w:highlight w:val="none"/>
              </w:rPr>
            </w:pPr>
            <w:r>
              <w:rPr>
                <w:rFonts w:hint="eastAsia" w:hAnsi="宋体"/>
                <w:b/>
                <w:bCs/>
                <w:color w:val="auto"/>
                <w:szCs w:val="24"/>
                <w:highlight w:val="none"/>
              </w:rPr>
              <w:t>本项目</w:t>
            </w:r>
            <w:r>
              <w:rPr>
                <w:rFonts w:hint="eastAsia" w:hAnsi="宋体"/>
                <w:b/>
                <w:bCs/>
                <w:color w:val="auto"/>
                <w:szCs w:val="24"/>
                <w:highlight w:val="none"/>
                <w:lang w:val="en-US" w:eastAsia="zh-CN"/>
              </w:rPr>
              <w:t>非</w:t>
            </w:r>
            <w:r>
              <w:rPr>
                <w:rFonts w:hint="eastAsia" w:hAnsi="宋体"/>
                <w:b/>
                <w:bCs/>
                <w:color w:val="auto"/>
                <w:szCs w:val="24"/>
                <w:highlight w:val="none"/>
              </w:rPr>
              <w:t>专门面向</w:t>
            </w:r>
            <w:r>
              <w:rPr>
                <w:rFonts w:hint="eastAsia" w:hAnsi="宋体"/>
                <w:b/>
                <w:bCs/>
                <w:color w:val="auto"/>
                <w:szCs w:val="24"/>
                <w:highlight w:val="none"/>
                <w:lang w:val="en-US" w:eastAsia="zh-CN"/>
              </w:rPr>
              <w:t>中小</w:t>
            </w:r>
            <w:r>
              <w:rPr>
                <w:rFonts w:hint="eastAsia" w:hAnsi="宋体"/>
                <w:b/>
                <w:bCs/>
                <w:color w:val="auto"/>
                <w:szCs w:val="24"/>
                <w:highlight w:val="none"/>
              </w:rPr>
              <w:t>企业</w:t>
            </w:r>
          </w:p>
        </w:tc>
      </w:tr>
      <w:tr w14:paraId="781B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E9D0906">
            <w:pPr>
              <w:jc w:val="center"/>
              <w:rPr>
                <w:rFonts w:hAnsi="宋体" w:cs="宋体"/>
                <w:b/>
                <w:bCs/>
                <w:color w:val="auto"/>
                <w:szCs w:val="24"/>
                <w:highlight w:val="none"/>
              </w:rPr>
            </w:pPr>
            <w:bookmarkStart w:id="24" w:name="_Toc363473972"/>
            <w:bookmarkStart w:id="25" w:name="_Toc403077639"/>
            <w:bookmarkStart w:id="26" w:name="_Toc363474017"/>
            <w:r>
              <w:rPr>
                <w:rFonts w:hint="eastAsia" w:hAnsi="宋体" w:cs="宋体"/>
                <w:b/>
                <w:bCs/>
                <w:color w:val="auto"/>
                <w:szCs w:val="24"/>
                <w:highlight w:val="none"/>
              </w:rPr>
              <w:t>20</w:t>
            </w:r>
          </w:p>
        </w:tc>
        <w:tc>
          <w:tcPr>
            <w:tcW w:w="1019" w:type="dxa"/>
            <w:vAlign w:val="center"/>
          </w:tcPr>
          <w:p w14:paraId="08AD3CDC">
            <w:pPr>
              <w:widowControl/>
              <w:spacing w:line="360" w:lineRule="auto"/>
              <w:jc w:val="center"/>
              <w:rPr>
                <w:rFonts w:hAnsi="宋体" w:cs="宋体"/>
                <w:b/>
                <w:bCs/>
                <w:color w:val="auto"/>
                <w:kern w:val="2"/>
                <w:szCs w:val="24"/>
                <w:highlight w:val="none"/>
              </w:rPr>
            </w:pPr>
            <w:r>
              <w:rPr>
                <w:rFonts w:hint="eastAsia" w:hAnsi="宋体"/>
                <w:b/>
                <w:bCs/>
                <w:color w:val="auto"/>
                <w:szCs w:val="24"/>
                <w:highlight w:val="none"/>
                <w:lang w:val="en-US" w:eastAsia="zh-CN"/>
              </w:rPr>
              <w:t>项目</w:t>
            </w:r>
            <w:r>
              <w:rPr>
                <w:rFonts w:hint="eastAsia" w:hAnsi="宋体"/>
                <w:b/>
                <w:bCs/>
                <w:color w:val="auto"/>
                <w:szCs w:val="24"/>
                <w:highlight w:val="none"/>
              </w:rPr>
              <w:t>所属行业</w:t>
            </w:r>
          </w:p>
        </w:tc>
        <w:tc>
          <w:tcPr>
            <w:tcW w:w="7286" w:type="dxa"/>
            <w:vAlign w:val="center"/>
          </w:tcPr>
          <w:p w14:paraId="5E97FBD8">
            <w:pPr>
              <w:widowControl/>
              <w:spacing w:line="360" w:lineRule="auto"/>
              <w:rPr>
                <w:b/>
                <w:bCs/>
                <w:color w:val="auto"/>
                <w:szCs w:val="22"/>
                <w:highlight w:val="none"/>
              </w:rPr>
            </w:pPr>
            <w:r>
              <w:rPr>
                <w:rFonts w:hint="eastAsia"/>
                <w:b/>
                <w:bCs/>
                <w:color w:val="auto"/>
                <w:szCs w:val="22"/>
                <w:highlight w:val="none"/>
              </w:rPr>
              <w:t>建筑业</w:t>
            </w:r>
          </w:p>
        </w:tc>
      </w:tr>
      <w:tr w14:paraId="45320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DD97791">
            <w:pPr>
              <w:jc w:val="center"/>
              <w:rPr>
                <w:rFonts w:hint="eastAsia" w:hAnsi="宋体" w:eastAsia="宋体" w:cs="宋体"/>
                <w:color w:val="auto"/>
                <w:szCs w:val="24"/>
                <w:highlight w:val="none"/>
                <w:lang w:val="en-US" w:eastAsia="zh-CN"/>
              </w:rPr>
            </w:pPr>
            <w:r>
              <w:rPr>
                <w:rFonts w:hint="eastAsia" w:hAnsi="宋体" w:cs="宋体"/>
                <w:color w:val="auto"/>
                <w:szCs w:val="24"/>
                <w:highlight w:val="none"/>
              </w:rPr>
              <w:t>2</w:t>
            </w:r>
            <w:r>
              <w:rPr>
                <w:rFonts w:hint="eastAsia" w:hAnsi="宋体" w:cs="宋体"/>
                <w:color w:val="auto"/>
                <w:szCs w:val="24"/>
                <w:highlight w:val="none"/>
                <w:lang w:val="en-US" w:eastAsia="zh-CN"/>
              </w:rPr>
              <w:t>1</w:t>
            </w:r>
          </w:p>
        </w:tc>
        <w:tc>
          <w:tcPr>
            <w:tcW w:w="1019" w:type="dxa"/>
            <w:vAlign w:val="center"/>
          </w:tcPr>
          <w:p w14:paraId="51812D50">
            <w:pPr>
              <w:widowControl/>
              <w:spacing w:line="360" w:lineRule="auto"/>
              <w:jc w:val="center"/>
              <w:rPr>
                <w:rFonts w:hAnsi="宋体"/>
                <w:color w:val="auto"/>
                <w:szCs w:val="24"/>
                <w:highlight w:val="none"/>
              </w:rPr>
            </w:pPr>
            <w:r>
              <w:rPr>
                <w:rFonts w:hint="eastAsia" w:hAnsi="宋体"/>
                <w:color w:val="auto"/>
                <w:szCs w:val="24"/>
                <w:highlight w:val="none"/>
              </w:rPr>
              <w:t>政策性扣减</w:t>
            </w:r>
          </w:p>
        </w:tc>
        <w:tc>
          <w:tcPr>
            <w:tcW w:w="7286" w:type="dxa"/>
            <w:vAlign w:val="center"/>
          </w:tcPr>
          <w:p w14:paraId="08453C55">
            <w:pPr>
              <w:widowControl/>
              <w:spacing w:line="360" w:lineRule="auto"/>
              <w:ind w:firstLine="480" w:firstLineChars="200"/>
              <w:rPr>
                <w:color w:val="auto"/>
                <w:szCs w:val="22"/>
                <w:highlight w:val="none"/>
              </w:rPr>
            </w:pPr>
            <w:r>
              <w:rPr>
                <w:rFonts w:hint="eastAsia" w:hAnsi="宋体"/>
                <w:color w:val="auto"/>
                <w:szCs w:val="24"/>
                <w:highlight w:val="none"/>
              </w:rPr>
              <w:t>对符合《政府采购促进中小企业发展管理办法》(财库(2020)46号)规定的小微企业(监狱企业视同小型、微型企业)的报价给予5%的扣除,用扣除后的价格参加评审。</w:t>
            </w:r>
            <w:bookmarkStart w:id="643" w:name="_GoBack"/>
            <w:bookmarkEnd w:id="643"/>
          </w:p>
        </w:tc>
      </w:tr>
      <w:tr w14:paraId="31CCC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382496A3">
            <w:pPr>
              <w:jc w:val="center"/>
              <w:rPr>
                <w:rFonts w:hint="eastAsia" w:hAnsi="宋体" w:eastAsia="宋体" w:cs="宋体"/>
                <w:color w:val="auto"/>
                <w:szCs w:val="24"/>
                <w:highlight w:val="none"/>
                <w:lang w:val="en-US" w:eastAsia="zh-CN"/>
              </w:rPr>
            </w:pPr>
            <w:r>
              <w:rPr>
                <w:rFonts w:hint="eastAsia" w:hAnsi="宋体" w:cs="宋体"/>
                <w:color w:val="auto"/>
                <w:szCs w:val="24"/>
                <w:highlight w:val="none"/>
              </w:rPr>
              <w:t>2</w:t>
            </w:r>
            <w:r>
              <w:rPr>
                <w:rFonts w:hint="eastAsia" w:hAnsi="宋体" w:cs="宋体"/>
                <w:color w:val="auto"/>
                <w:szCs w:val="24"/>
                <w:highlight w:val="none"/>
                <w:lang w:val="en-US" w:eastAsia="zh-CN"/>
              </w:rPr>
              <w:t>2</w:t>
            </w:r>
          </w:p>
        </w:tc>
        <w:tc>
          <w:tcPr>
            <w:tcW w:w="1019" w:type="dxa"/>
            <w:vAlign w:val="center"/>
          </w:tcPr>
          <w:p w14:paraId="57A0C5E8">
            <w:pPr>
              <w:widowControl/>
              <w:spacing w:line="360" w:lineRule="auto"/>
              <w:jc w:val="center"/>
              <w:rPr>
                <w:rFonts w:hAnsi="宋体"/>
                <w:color w:val="auto"/>
                <w:szCs w:val="24"/>
                <w:highlight w:val="none"/>
              </w:rPr>
            </w:pPr>
            <w:r>
              <w:rPr>
                <w:rFonts w:hint="eastAsia" w:hAnsi="宋体" w:cs="宋体"/>
                <w:color w:val="auto"/>
                <w:kern w:val="2"/>
                <w:szCs w:val="24"/>
                <w:highlight w:val="none"/>
              </w:rPr>
              <w:t>其他</w:t>
            </w:r>
          </w:p>
        </w:tc>
        <w:tc>
          <w:tcPr>
            <w:tcW w:w="7286" w:type="dxa"/>
            <w:vAlign w:val="center"/>
          </w:tcPr>
          <w:p w14:paraId="63E42737">
            <w:pPr>
              <w:spacing w:line="360" w:lineRule="auto"/>
              <w:ind w:firstLine="480" w:firstLineChars="200"/>
              <w:rPr>
                <w:rFonts w:hAnsi="宋体" w:cs="宋体"/>
                <w:color w:val="auto"/>
                <w:szCs w:val="32"/>
                <w:highlight w:val="none"/>
              </w:rPr>
            </w:pPr>
            <w:r>
              <w:rPr>
                <w:rFonts w:hint="eastAsia" w:hAnsi="宋体" w:cs="宋体"/>
                <w:color w:val="auto"/>
                <w:szCs w:val="32"/>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 【2020】15 号）等有关规定，按照市场主导、财政引导、银企自愿、风险自担的原则，中标（成交）供应商可根据自身资金需求，登录陕西省政府采购信用融资平台(http://www.ccgp-shaanxi.gov.cn/zcdservice/zcd/shan xi/）在线申请，依法参加政府采购信用融资活动。</w:t>
            </w:r>
          </w:p>
          <w:p w14:paraId="06C66D65">
            <w:pPr>
              <w:spacing w:line="500" w:lineRule="exact"/>
              <w:ind w:firstLine="480" w:firstLineChars="200"/>
              <w:rPr>
                <w:rFonts w:hAnsi="宋体"/>
                <w:color w:val="auto"/>
                <w:szCs w:val="24"/>
                <w:highlight w:val="none"/>
              </w:rPr>
            </w:pPr>
            <w:r>
              <w:rPr>
                <w:rFonts w:hint="eastAsia" w:hAnsi="宋体" w:cs="宋体"/>
                <w:color w:val="auto"/>
                <w:szCs w:val="32"/>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14:paraId="55057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9492A98">
            <w:pPr>
              <w:jc w:val="center"/>
              <w:rPr>
                <w:rFonts w:hint="eastAsia" w:hAnsi="宋体" w:eastAsia="宋体" w:cs="宋体"/>
                <w:b/>
                <w:bCs/>
                <w:color w:val="auto"/>
                <w:szCs w:val="24"/>
                <w:highlight w:val="none"/>
                <w:lang w:val="en-US" w:eastAsia="zh-CN"/>
              </w:rPr>
            </w:pPr>
            <w:r>
              <w:rPr>
                <w:rFonts w:hint="eastAsia" w:hAnsi="宋体" w:cs="宋体"/>
                <w:b/>
                <w:bCs/>
                <w:color w:val="auto"/>
                <w:szCs w:val="24"/>
                <w:highlight w:val="none"/>
              </w:rPr>
              <w:t>2</w:t>
            </w:r>
            <w:r>
              <w:rPr>
                <w:rFonts w:hint="eastAsia" w:hAnsi="宋体" w:cs="宋体"/>
                <w:b/>
                <w:bCs/>
                <w:color w:val="auto"/>
                <w:szCs w:val="24"/>
                <w:highlight w:val="none"/>
                <w:lang w:val="en-US" w:eastAsia="zh-CN"/>
              </w:rPr>
              <w:t>3</w:t>
            </w:r>
          </w:p>
        </w:tc>
        <w:tc>
          <w:tcPr>
            <w:tcW w:w="1019" w:type="dxa"/>
            <w:vAlign w:val="center"/>
          </w:tcPr>
          <w:p w14:paraId="3D0E7049">
            <w:pPr>
              <w:widowControl/>
              <w:spacing w:line="360" w:lineRule="auto"/>
              <w:jc w:val="center"/>
              <w:rPr>
                <w:rFonts w:hAnsi="宋体"/>
                <w:b/>
                <w:bCs/>
                <w:color w:val="auto"/>
                <w:szCs w:val="24"/>
                <w:highlight w:val="none"/>
              </w:rPr>
            </w:pPr>
            <w:r>
              <w:rPr>
                <w:rFonts w:hint="eastAsia" w:hAnsi="宋体" w:cs="宋体"/>
                <w:b/>
                <w:bCs/>
                <w:color w:val="auto"/>
                <w:szCs w:val="24"/>
                <w:highlight w:val="none"/>
              </w:rPr>
              <w:t>备注</w:t>
            </w:r>
          </w:p>
        </w:tc>
        <w:tc>
          <w:tcPr>
            <w:tcW w:w="7286" w:type="dxa"/>
            <w:vAlign w:val="center"/>
          </w:tcPr>
          <w:p w14:paraId="1A51DD64">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供应商注册登记提醒：</w:t>
            </w:r>
          </w:p>
          <w:p w14:paraId="551AC785">
            <w:pPr>
              <w:spacing w:line="500" w:lineRule="exact"/>
              <w:ind w:firstLine="482" w:firstLineChars="200"/>
              <w:rPr>
                <w:rFonts w:hAnsi="宋体"/>
                <w:b/>
                <w:bCs/>
                <w:color w:val="auto"/>
                <w:szCs w:val="24"/>
                <w:highlight w:val="none"/>
              </w:rPr>
            </w:pPr>
            <w:r>
              <w:rPr>
                <w:rFonts w:hint="eastAsia" w:hAnsi="宋体" w:cs="宋体"/>
                <w:b/>
                <w:bCs/>
                <w:color w:val="auto"/>
                <w:szCs w:val="24"/>
                <w:highlight w:val="none"/>
              </w:rPr>
              <w:t>根据陕西省财政厅关于政府采购供应商注册登记有关事项的通知，如所投本项目的供应商未在陕西省政府采购网（https://www.ccgp-shaanxi.gov.cn/gpbs-gpbs/index.html#/gpbs/supplierReg/registrationPage?zoneCode=610001&amp;tenantId=ZF_JGBM_000003）注册登记加入陕西省政府采购供应商库的，应按要求及时办理注册登记，并接受财政部门监督管理。</w:t>
            </w:r>
          </w:p>
        </w:tc>
      </w:tr>
      <w:bookmarkEnd w:id="9"/>
      <w:bookmarkEnd w:id="10"/>
      <w:bookmarkEnd w:id="11"/>
    </w:tbl>
    <w:p w14:paraId="2006EDC5">
      <w:pPr>
        <w:spacing w:before="159" w:beforeLines="50" w:after="159" w:afterLines="50"/>
        <w:jc w:val="center"/>
        <w:rPr>
          <w:rFonts w:hAnsi="宋体" w:cs="宋体"/>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一.总  则</w:t>
      </w:r>
      <w:bookmarkEnd w:id="24"/>
      <w:bookmarkEnd w:id="25"/>
      <w:bookmarkEnd w:id="26"/>
    </w:p>
    <w:p w14:paraId="459F1DAD">
      <w:pPr>
        <w:spacing w:line="360" w:lineRule="auto"/>
        <w:rPr>
          <w:rFonts w:hAnsi="宋体" w:cs="宋体"/>
          <w:b/>
          <w:color w:val="auto"/>
          <w:szCs w:val="24"/>
          <w:highlight w:val="none"/>
        </w:rPr>
      </w:pPr>
      <w:r>
        <w:rPr>
          <w:rFonts w:hint="eastAsia" w:hAnsi="宋体" w:cs="宋体"/>
          <w:b/>
          <w:color w:val="auto"/>
          <w:szCs w:val="24"/>
          <w:highlight w:val="none"/>
        </w:rPr>
        <w:t>1.资金来源</w:t>
      </w:r>
    </w:p>
    <w:p w14:paraId="07C0BD0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1.1本次竞争性磋商所签合同使用</w:t>
      </w:r>
      <w:r>
        <w:rPr>
          <w:rFonts w:hint="eastAsia" w:hAnsi="宋体" w:cs="宋体"/>
          <w:color w:val="auto"/>
          <w:szCs w:val="24"/>
          <w:highlight w:val="none"/>
          <w:lang w:val="en-US" w:eastAsia="zh-CN"/>
        </w:rPr>
        <w:t>其他财政资金</w:t>
      </w:r>
      <w:r>
        <w:rPr>
          <w:rFonts w:hint="eastAsia" w:hAnsi="宋体" w:cs="宋体"/>
          <w:color w:val="auto"/>
          <w:szCs w:val="24"/>
          <w:highlight w:val="none"/>
        </w:rPr>
        <w:t>支付，资金已落实到位。</w:t>
      </w:r>
    </w:p>
    <w:p w14:paraId="45369EEE">
      <w:pPr>
        <w:numPr>
          <w:ilvl w:val="0"/>
          <w:numId w:val="2"/>
        </w:numPr>
        <w:spacing w:line="500" w:lineRule="exact"/>
        <w:rPr>
          <w:rFonts w:hAnsi="宋体" w:cs="宋体"/>
          <w:b/>
          <w:color w:val="auto"/>
          <w:szCs w:val="24"/>
          <w:highlight w:val="none"/>
        </w:rPr>
      </w:pPr>
      <w:bookmarkStart w:id="27" w:name="_Toc363474018"/>
      <w:bookmarkStart w:id="28" w:name="_Toc363473973"/>
      <w:bookmarkStart w:id="29" w:name="_Toc403077640"/>
      <w:r>
        <w:rPr>
          <w:rFonts w:hint="eastAsia" w:hAnsi="宋体" w:cs="宋体"/>
          <w:b/>
          <w:color w:val="auto"/>
          <w:szCs w:val="24"/>
          <w:highlight w:val="none"/>
        </w:rPr>
        <w:t>名词解释</w:t>
      </w:r>
    </w:p>
    <w:p w14:paraId="611D9175">
      <w:pPr>
        <w:tabs>
          <w:tab w:val="left" w:pos="7665"/>
        </w:tabs>
        <w:spacing w:line="360" w:lineRule="auto"/>
        <w:ind w:firstLine="480" w:firstLineChars="200"/>
        <w:rPr>
          <w:rFonts w:hint="eastAsia" w:hAnsi="宋体" w:eastAsia="宋体" w:cs="宋体"/>
          <w:color w:val="auto"/>
          <w:szCs w:val="22"/>
          <w:highlight w:val="none"/>
          <w:lang w:val="en-US" w:eastAsia="zh-CN"/>
        </w:rPr>
      </w:pPr>
      <w:r>
        <w:rPr>
          <w:rFonts w:hint="eastAsia" w:hAnsi="宋体" w:cs="宋体"/>
          <w:color w:val="auto"/>
          <w:szCs w:val="22"/>
          <w:highlight w:val="none"/>
        </w:rPr>
        <w:t>2.1采购人：</w:t>
      </w:r>
      <w:r>
        <w:rPr>
          <w:rFonts w:hint="eastAsia" w:hAnsi="宋体" w:cs="宋体"/>
          <w:color w:val="auto"/>
          <w:szCs w:val="22"/>
          <w:highlight w:val="none"/>
          <w:lang w:eastAsia="zh-CN"/>
        </w:rPr>
        <w:t>宝鸡市中医医院</w:t>
      </w:r>
    </w:p>
    <w:p w14:paraId="0F277280">
      <w:pPr>
        <w:tabs>
          <w:tab w:val="left" w:pos="7665"/>
        </w:tabs>
        <w:spacing w:line="360" w:lineRule="auto"/>
        <w:ind w:firstLine="480" w:firstLineChars="200"/>
        <w:rPr>
          <w:rFonts w:hAnsi="宋体" w:cs="宋体"/>
          <w:color w:val="auto"/>
          <w:szCs w:val="22"/>
          <w:highlight w:val="none"/>
        </w:rPr>
      </w:pPr>
      <w:r>
        <w:rPr>
          <w:rFonts w:hint="eastAsia" w:hAnsi="宋体" w:cs="宋体"/>
          <w:color w:val="auto"/>
          <w:szCs w:val="22"/>
          <w:highlight w:val="none"/>
        </w:rPr>
        <w:t>2.2监督机构：</w:t>
      </w:r>
      <w:r>
        <w:rPr>
          <w:rFonts w:hint="eastAsia" w:hAnsi="宋体" w:cs="宋体"/>
          <w:color w:val="auto"/>
          <w:szCs w:val="22"/>
          <w:highlight w:val="none"/>
          <w:lang w:val="en-US" w:eastAsia="zh-CN"/>
        </w:rPr>
        <w:t>同级人民财政部门</w:t>
      </w:r>
    </w:p>
    <w:p w14:paraId="1096DBF4">
      <w:pPr>
        <w:tabs>
          <w:tab w:val="left" w:pos="7665"/>
        </w:tabs>
        <w:spacing w:line="360" w:lineRule="auto"/>
        <w:ind w:firstLine="480" w:firstLineChars="200"/>
        <w:rPr>
          <w:rFonts w:hAnsi="宋体" w:cs="宋体"/>
          <w:color w:val="auto"/>
          <w:highlight w:val="none"/>
        </w:rPr>
      </w:pPr>
      <w:r>
        <w:rPr>
          <w:rFonts w:hint="eastAsia" w:hAnsi="宋体" w:cs="宋体"/>
          <w:color w:val="auto"/>
          <w:szCs w:val="22"/>
          <w:highlight w:val="none"/>
        </w:rPr>
        <w:t>2.3采购代理机构：陕西至诚项目管理集团有限公司</w:t>
      </w:r>
    </w:p>
    <w:p w14:paraId="4A8C2650">
      <w:pPr>
        <w:tabs>
          <w:tab w:val="left" w:pos="7665"/>
        </w:tabs>
        <w:spacing w:line="360" w:lineRule="auto"/>
        <w:ind w:firstLine="480" w:firstLineChars="200"/>
        <w:rPr>
          <w:rFonts w:hAnsi="宋体" w:cs="宋体"/>
          <w:color w:val="auto"/>
          <w:highlight w:val="none"/>
        </w:rPr>
      </w:pPr>
      <w:r>
        <w:rPr>
          <w:rFonts w:hint="eastAsia" w:hAnsi="宋体" w:cs="宋体"/>
          <w:color w:val="auto"/>
          <w:highlight w:val="none"/>
        </w:rPr>
        <w:t>2.4供应商：是指响应和符合竞争性磋商文件规定资格条件且参与竞争性磋商的法人、其他组织或者自然人。</w:t>
      </w:r>
    </w:p>
    <w:p w14:paraId="728117CA">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2.5产品是指本竞争性磋商文件中第四章所述所有产品。</w:t>
      </w:r>
    </w:p>
    <w:p w14:paraId="74E84DC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2.6服务是指供应商为满足竞争性磋商文件要求而提供的服务。</w:t>
      </w:r>
    </w:p>
    <w:p w14:paraId="76623DF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2.7节能产品或者环保产品是指依据国家确定的认证机构出具的、处于有效期之内的具有节能产品、环境标志产品认证证书的产品。</w:t>
      </w:r>
    </w:p>
    <w:p w14:paraId="6A1A323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2.8进口产品是指通过中国海关报关验放进入中国境内且产自关境外的产品，详见《关于政府采购进口产品管理有关问题的通知》(财库[2007]119号)。</w:t>
      </w:r>
    </w:p>
    <w:p w14:paraId="25129739">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2.9中小企业是指符合《工业和信息化部、国家统计局、国家发展和改革委员会、财政部关于印发中小企业划型标准规定的通知》（工信部联企业[2011]300号）规定的对中小企业的划分标准的企业。</w:t>
      </w:r>
    </w:p>
    <w:p w14:paraId="6BB4682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2.10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9685D92">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2.11残疾人福利性单位是指符合《三部门联合发布关于促进残疾人就业政府采购政策的通知》财库〔2017〕141号规定的对残疾人福利性单位划分标准的单位。</w:t>
      </w:r>
    </w:p>
    <w:p w14:paraId="7B2AFBC8">
      <w:pPr>
        <w:spacing w:line="500" w:lineRule="exact"/>
        <w:rPr>
          <w:rFonts w:hAnsi="宋体" w:cs="宋体"/>
          <w:b/>
          <w:color w:val="auto"/>
          <w:szCs w:val="24"/>
          <w:highlight w:val="none"/>
        </w:rPr>
      </w:pPr>
      <w:r>
        <w:rPr>
          <w:rFonts w:hint="eastAsia" w:hAnsi="宋体" w:cs="宋体"/>
          <w:b/>
          <w:color w:val="auto"/>
          <w:szCs w:val="24"/>
          <w:highlight w:val="none"/>
        </w:rPr>
        <w:t>3.合格的供应商</w:t>
      </w:r>
    </w:p>
    <w:p w14:paraId="4CD1A8EB">
      <w:pPr>
        <w:tabs>
          <w:tab w:val="left" w:pos="851"/>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3.1《</w:t>
      </w:r>
      <w:r>
        <w:rPr>
          <w:rFonts w:hint="eastAsia" w:hAnsi="宋体" w:cs="宋体"/>
          <w:color w:val="auto"/>
          <w:szCs w:val="24"/>
          <w:highlight w:val="none"/>
          <w:lang w:val="en-US" w:eastAsia="zh-CN"/>
        </w:rPr>
        <w:t>中华人民共和国</w:t>
      </w:r>
      <w:r>
        <w:rPr>
          <w:rFonts w:hint="eastAsia" w:hAnsi="宋体" w:cs="宋体"/>
          <w:color w:val="auto"/>
          <w:szCs w:val="24"/>
          <w:highlight w:val="none"/>
        </w:rPr>
        <w:t>政府采购法》第二十二条第一款规定的供应商基本资格条件:</w:t>
      </w:r>
    </w:p>
    <w:p w14:paraId="398E6FC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1）具有独立承担民事责任的能力；</w:t>
      </w:r>
    </w:p>
    <w:p w14:paraId="7BD5285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2）具有良好的商业信誉和健全的财务会计制度；</w:t>
      </w:r>
    </w:p>
    <w:p w14:paraId="6A3A327C">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3）具有履行合同所必需的设备和专业技术能力；</w:t>
      </w:r>
    </w:p>
    <w:p w14:paraId="4D1A59B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4）有依法缴纳税收和社会保障资金的良好记录；</w:t>
      </w:r>
    </w:p>
    <w:p w14:paraId="3B13BE8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5）参加政府采购活动前三年内，在经营活动中没有重大违法记录；</w:t>
      </w:r>
    </w:p>
    <w:p w14:paraId="6CF1475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6）法律、行政法规规定的其他条件。</w:t>
      </w:r>
    </w:p>
    <w:p w14:paraId="1DB4880E">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3.2根据本次采购项目的特殊要求，规定的供应商特殊条件（见供应商须知前附表）。</w:t>
      </w:r>
    </w:p>
    <w:p w14:paraId="3BC5A863">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3.3法定代表人为同一人的两个及两个以上的法人，母公司、全资子公司及其控股公司，都不得在同一项目（分包的按包）的采购中同时参与磋商，否则均为无效磋商。</w:t>
      </w:r>
    </w:p>
    <w:p w14:paraId="1E7C78C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3.4供应商必须在陕西至诚项目管理集团有限公司购买</w:t>
      </w:r>
      <w:r>
        <w:rPr>
          <w:rFonts w:hint="eastAsia" w:hAnsi="宋体" w:cs="宋体"/>
          <w:color w:val="auto"/>
          <w:highlight w:val="none"/>
        </w:rPr>
        <w:t>竞争性磋商文件</w:t>
      </w:r>
      <w:r>
        <w:rPr>
          <w:rFonts w:hint="eastAsia" w:hAnsi="宋体" w:cs="宋体"/>
          <w:color w:val="auto"/>
          <w:szCs w:val="24"/>
          <w:highlight w:val="none"/>
        </w:rPr>
        <w:t>，方可参加磋商。</w:t>
      </w:r>
      <w:r>
        <w:rPr>
          <w:rFonts w:hint="eastAsia" w:hAnsi="宋体" w:cs="宋体"/>
          <w:color w:val="auto"/>
          <w:highlight w:val="none"/>
        </w:rPr>
        <w:t>竞争性</w:t>
      </w:r>
      <w:r>
        <w:rPr>
          <w:rFonts w:hint="eastAsia" w:hAnsi="宋体" w:cs="宋体"/>
          <w:color w:val="auto"/>
          <w:szCs w:val="24"/>
          <w:highlight w:val="none"/>
        </w:rPr>
        <w:t>磋商文件售后不退。</w:t>
      </w:r>
    </w:p>
    <w:p w14:paraId="3EB31E0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3.5本项目不接受联合体磋商。</w:t>
      </w:r>
    </w:p>
    <w:p w14:paraId="419A73C8">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3.6磋商费用自理。不论磋商的结果如何，供应商均应自行承担所有与参加磋商有关的费用。</w:t>
      </w:r>
    </w:p>
    <w:p w14:paraId="0C2E02DF">
      <w:pPr>
        <w:tabs>
          <w:tab w:val="left" w:pos="747"/>
        </w:tabs>
        <w:snapToGrid w:val="0"/>
        <w:spacing w:line="500" w:lineRule="exact"/>
        <w:rPr>
          <w:rFonts w:hAnsi="宋体" w:cs="宋体"/>
          <w:b/>
          <w:bCs/>
          <w:color w:val="auto"/>
          <w:highlight w:val="none"/>
        </w:rPr>
      </w:pPr>
      <w:r>
        <w:rPr>
          <w:rFonts w:hint="eastAsia" w:hAnsi="宋体" w:cs="宋体"/>
          <w:b/>
          <w:bCs/>
          <w:color w:val="auto"/>
          <w:highlight w:val="none"/>
        </w:rPr>
        <w:t>4.</w:t>
      </w:r>
      <w:r>
        <w:rPr>
          <w:rFonts w:hint="eastAsia" w:hAnsi="宋体" w:cs="宋体"/>
          <w:b/>
          <w:color w:val="auto"/>
          <w:szCs w:val="24"/>
          <w:highlight w:val="none"/>
        </w:rPr>
        <w:t>竞争性磋商产品（含服务）的合格性和合法性</w:t>
      </w:r>
    </w:p>
    <w:p w14:paraId="109CF7EE">
      <w:pPr>
        <w:tabs>
          <w:tab w:val="left" w:pos="747"/>
        </w:tabs>
        <w:snapToGrid w:val="0"/>
        <w:spacing w:line="500" w:lineRule="exact"/>
        <w:ind w:firstLine="480" w:firstLineChars="200"/>
        <w:rPr>
          <w:rFonts w:hAnsi="宋体" w:cs="宋体"/>
          <w:color w:val="auto"/>
          <w:highlight w:val="none"/>
        </w:rPr>
      </w:pPr>
      <w:r>
        <w:rPr>
          <w:rFonts w:hint="eastAsia" w:hAnsi="宋体" w:cs="宋体"/>
          <w:color w:val="auto"/>
          <w:szCs w:val="24"/>
          <w:highlight w:val="none"/>
        </w:rPr>
        <w:t>4.1竞争性磋商产品（含服务）应满足竞争性磋商文件的要求并应符合国家法律法规、行业管理部门要求的其他强制性标准。</w:t>
      </w:r>
      <w:r>
        <w:rPr>
          <w:rFonts w:hint="eastAsia" w:hAnsi="宋体" w:cs="宋体"/>
          <w:color w:val="auto"/>
          <w:highlight w:val="none"/>
        </w:rPr>
        <w:t>并满足竞争性磋商文件规定的质量、价格、有效期、售后服务及供应商须承担的运输、配送、技术支持和竞争性磋商文件规定的其他伴随服务等要求。</w:t>
      </w:r>
    </w:p>
    <w:p w14:paraId="5A415107">
      <w:pPr>
        <w:tabs>
          <w:tab w:val="left" w:pos="747"/>
        </w:tabs>
        <w:snapToGrid w:val="0"/>
        <w:spacing w:line="500" w:lineRule="exact"/>
        <w:ind w:firstLine="480" w:firstLineChars="200"/>
        <w:rPr>
          <w:rFonts w:hAnsi="宋体" w:cs="宋体"/>
          <w:color w:val="auto"/>
          <w:szCs w:val="24"/>
          <w:highlight w:val="none"/>
        </w:rPr>
      </w:pPr>
      <w:r>
        <w:rPr>
          <w:rFonts w:hint="eastAsia" w:hAnsi="宋体" w:cs="宋体"/>
          <w:color w:val="auto"/>
          <w:highlight w:val="none"/>
        </w:rPr>
        <w:t>4.2采购人有权拒绝接受任何不合格的产品和服务，由此产生的费用及相关后果均由供应商自行承担。</w:t>
      </w:r>
    </w:p>
    <w:p w14:paraId="07F93AE9">
      <w:pPr>
        <w:spacing w:line="360" w:lineRule="auto"/>
        <w:rPr>
          <w:rFonts w:hAnsi="宋体" w:cs="宋体"/>
          <w:b/>
          <w:color w:val="auto"/>
          <w:szCs w:val="24"/>
          <w:highlight w:val="none"/>
        </w:rPr>
      </w:pPr>
      <w:r>
        <w:rPr>
          <w:rFonts w:hint="eastAsia" w:hAnsi="宋体" w:cs="宋体"/>
          <w:b/>
          <w:color w:val="auto"/>
          <w:szCs w:val="24"/>
          <w:highlight w:val="none"/>
        </w:rPr>
        <w:t>5.竞争性磋商响应文件内容的真实性</w:t>
      </w:r>
    </w:p>
    <w:p w14:paraId="6E69AE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2589509F">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二.竞争性磋商文件</w:t>
      </w:r>
      <w:bookmarkEnd w:id="27"/>
      <w:bookmarkEnd w:id="28"/>
      <w:bookmarkEnd w:id="29"/>
    </w:p>
    <w:p w14:paraId="221E7A14">
      <w:pPr>
        <w:spacing w:line="360" w:lineRule="auto"/>
        <w:rPr>
          <w:rFonts w:hAnsi="宋体" w:cs="宋体"/>
          <w:b/>
          <w:color w:val="auto"/>
          <w:szCs w:val="24"/>
          <w:highlight w:val="none"/>
        </w:rPr>
      </w:pPr>
      <w:r>
        <w:rPr>
          <w:rFonts w:hint="eastAsia" w:hAnsi="宋体" w:cs="宋体"/>
          <w:b/>
          <w:color w:val="auto"/>
          <w:szCs w:val="24"/>
          <w:highlight w:val="none"/>
        </w:rPr>
        <w:t>6.竞争性磋商文件构成</w:t>
      </w:r>
    </w:p>
    <w:p w14:paraId="1E81A5B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6.1 竞争性磋商文件规定了要求提供的产品和服务，磋商程序和合同条件在竞争性磋商文件中均有说明。竞争性磋商文件共六章，内容如下：</w:t>
      </w:r>
    </w:p>
    <w:p w14:paraId="1887BB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第一章 竞争性磋商公告</w:t>
      </w:r>
    </w:p>
    <w:p w14:paraId="73BF64F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第二章 供应商须知</w:t>
      </w:r>
    </w:p>
    <w:p w14:paraId="555C121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第三章 评审方法</w:t>
      </w:r>
    </w:p>
    <w:p w14:paraId="7A295AA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第四章 合同条款及格式</w:t>
      </w:r>
    </w:p>
    <w:p w14:paraId="11CC435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第五章 磋商内容及技术要求</w:t>
      </w:r>
    </w:p>
    <w:p w14:paraId="2625A48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第六章 竞争性磋商响应文件构成及格式</w:t>
      </w:r>
    </w:p>
    <w:p w14:paraId="0BF900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6.2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14:paraId="6BB5E9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6.3本竞争性磋商文件的解释权归陕西至诚项目管理集团有限公司，如发现竞争性磋商响应文件内容与现行法律法规不相符的情况，以现行法律法规为准。</w:t>
      </w:r>
    </w:p>
    <w:p w14:paraId="67CA922B">
      <w:pPr>
        <w:spacing w:line="360" w:lineRule="auto"/>
        <w:rPr>
          <w:rFonts w:hAnsi="宋体" w:cs="宋体"/>
          <w:b/>
          <w:color w:val="auto"/>
          <w:szCs w:val="24"/>
          <w:highlight w:val="none"/>
        </w:rPr>
      </w:pPr>
      <w:r>
        <w:rPr>
          <w:rFonts w:hint="eastAsia" w:hAnsi="宋体" w:cs="宋体"/>
          <w:b/>
          <w:color w:val="auto"/>
          <w:szCs w:val="24"/>
          <w:highlight w:val="none"/>
        </w:rPr>
        <w:t>7.竞争性磋商文件的修改和澄清</w:t>
      </w:r>
    </w:p>
    <w:p w14:paraId="2A15E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7.1在磋商响应文件递交截止时间3日前，采购代理机构可以视采购具体情况，延长竞争性磋商响应文件递交截止时间和磋商时间并在财政部门指定的媒体上发布变更公告，同时将变更时间书面通知所有获取竞争性磋商文件的供应商。</w:t>
      </w:r>
    </w:p>
    <w:p w14:paraId="4F94CD0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7.2采购代理机构如果对已发出的竞争性磋商文件进行必要的澄清或者修改，将在竞争性磋商文件要求提交竞争性磋商响应文件截止时间5日前，以书面形式通知所有获取竞争性磋商文件的供应商。该澄清或者修改的内容为竞争性磋商文件的组成部分。</w:t>
      </w:r>
    </w:p>
    <w:p w14:paraId="72A253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7.3已经购买竞争性磋商文件的供应商对竞争性磋商文件有疑问的，均应在磋商截止日期3日前以书面形式向采购代理机构提出。采购代理机构视情况必要时将书面答复传送给所有获取竞争性磋商文件的供应商。</w:t>
      </w:r>
    </w:p>
    <w:p w14:paraId="32BFBF1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7.4供应商在收到上述通知后，应立即向采购代理机构回函确认。</w:t>
      </w:r>
    </w:p>
    <w:p w14:paraId="6E3F837E">
      <w:pPr>
        <w:keepNext/>
        <w:keepLines/>
        <w:spacing w:before="318" w:beforeLines="100" w:after="159" w:afterLines="50" w:line="360" w:lineRule="auto"/>
        <w:jc w:val="center"/>
        <w:rPr>
          <w:rFonts w:hAnsi="宋体" w:cs="宋体"/>
          <w:b/>
          <w:color w:val="auto"/>
          <w:sz w:val="32"/>
          <w:szCs w:val="32"/>
          <w:highlight w:val="none"/>
        </w:rPr>
      </w:pPr>
      <w:bookmarkStart w:id="30" w:name="_Toc403077641"/>
      <w:bookmarkStart w:id="31" w:name="_Toc363473974"/>
      <w:bookmarkStart w:id="32" w:name="_Toc363474019"/>
      <w:r>
        <w:rPr>
          <w:rFonts w:hint="eastAsia" w:hAnsi="宋体" w:cs="宋体"/>
          <w:b/>
          <w:color w:val="auto"/>
          <w:sz w:val="32"/>
          <w:szCs w:val="32"/>
          <w:highlight w:val="none"/>
        </w:rPr>
        <w:t>三.磋商响应文件的编制</w:t>
      </w:r>
      <w:bookmarkEnd w:id="30"/>
      <w:bookmarkEnd w:id="31"/>
      <w:bookmarkEnd w:id="32"/>
    </w:p>
    <w:p w14:paraId="57611098">
      <w:pPr>
        <w:spacing w:line="360" w:lineRule="auto"/>
        <w:rPr>
          <w:rFonts w:hAnsi="宋体" w:cs="宋体"/>
          <w:b/>
          <w:color w:val="auto"/>
          <w:szCs w:val="24"/>
          <w:highlight w:val="none"/>
        </w:rPr>
      </w:pPr>
      <w:r>
        <w:rPr>
          <w:rFonts w:hint="eastAsia" w:hAnsi="宋体" w:cs="宋体"/>
          <w:b/>
          <w:color w:val="auto"/>
          <w:szCs w:val="24"/>
          <w:highlight w:val="none"/>
        </w:rPr>
        <w:t>8. 磋商语言和磋商货币</w:t>
      </w:r>
    </w:p>
    <w:p w14:paraId="7ABED9FF">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8.1供应商提交的竞争性磋商响应文件以及供应商与采购代理机构就有关磋商的所有来往函电均应使用中文。</w:t>
      </w:r>
    </w:p>
    <w:p w14:paraId="15744E4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8.2磋商应以人民币报价。任何包含非人民币报价的磋商将按无效磋商处理。</w:t>
      </w:r>
    </w:p>
    <w:p w14:paraId="2F5EF106">
      <w:pPr>
        <w:spacing w:line="360" w:lineRule="auto"/>
        <w:rPr>
          <w:rFonts w:hAnsi="宋体" w:cs="宋体"/>
          <w:b/>
          <w:color w:val="auto"/>
          <w:szCs w:val="24"/>
          <w:highlight w:val="none"/>
        </w:rPr>
      </w:pPr>
      <w:r>
        <w:rPr>
          <w:rFonts w:hint="eastAsia" w:hAnsi="宋体" w:cs="宋体"/>
          <w:b/>
          <w:color w:val="auto"/>
          <w:szCs w:val="24"/>
          <w:highlight w:val="none"/>
        </w:rPr>
        <w:t>9.竞争性磋商响应文件的构成</w:t>
      </w:r>
    </w:p>
    <w:p w14:paraId="641EF9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9.1 供应商提交的竞争性磋商响应文件应包含下列部分的内容：</w:t>
      </w:r>
    </w:p>
    <w:p w14:paraId="64E551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（1）按照供应商须知的要求和竞争性磋商文件规定格式填写的竞争性磋商响应函、磋商报价表、法定代表人授权委托书。</w:t>
      </w:r>
    </w:p>
    <w:p w14:paraId="1E592D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（2）按照竞争性磋商文件的要求编制的磋商方案说明。</w:t>
      </w:r>
    </w:p>
    <w:p w14:paraId="23A60D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（3）按照竞争性磋商文件供应商须知前附表的要求提交的资格证明文件；</w:t>
      </w:r>
    </w:p>
    <w:p w14:paraId="21F4489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（4）按照本须知第14条要求提交的磋商保证金。</w:t>
      </w:r>
    </w:p>
    <w:p w14:paraId="37B95B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（5）竞争磋商文件中要求的其他证明文件。</w:t>
      </w:r>
    </w:p>
    <w:p w14:paraId="6C7C935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9.2 如果在竞争性磋商文件中没有允许提供备选方案，则每个供应商只允许提交一个磋商方案，否则，其磋商将按照无效磋商处理。</w:t>
      </w:r>
    </w:p>
    <w:p w14:paraId="0A6CB21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9.3本次磋商的最小单元为“项目”，供应商可根据自身的资质情况和经营范围对本次项目进行磋商，不得将其子目再行分解或只对本次项目中的品目进行不完全磋商，任何不完全的响应将会被拒绝。</w:t>
      </w:r>
    </w:p>
    <w:p w14:paraId="6F46558A">
      <w:pPr>
        <w:spacing w:line="360" w:lineRule="auto"/>
        <w:rPr>
          <w:rFonts w:hAnsi="宋体" w:cs="宋体"/>
          <w:b/>
          <w:color w:val="auto"/>
          <w:szCs w:val="24"/>
          <w:highlight w:val="none"/>
        </w:rPr>
      </w:pPr>
      <w:r>
        <w:rPr>
          <w:rFonts w:hint="eastAsia" w:hAnsi="宋体" w:cs="宋体"/>
          <w:b/>
          <w:color w:val="auto"/>
          <w:szCs w:val="24"/>
          <w:highlight w:val="none"/>
        </w:rPr>
        <w:t xml:space="preserve">10.竞争性磋商响应文件格式 </w:t>
      </w:r>
    </w:p>
    <w:p w14:paraId="2862C3F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10.1 供应商应按照竞争性磋商文件中第六章“竞争性磋商响应文件格式及构成”所提供的格式和要求制作竞争性磋商响应文件，明确表达磋商意愿，详细说明磋商方案、承诺及价格。</w:t>
      </w:r>
    </w:p>
    <w:p w14:paraId="79FBF91E">
      <w:pPr>
        <w:spacing w:line="360" w:lineRule="auto"/>
        <w:ind w:firstLine="480" w:firstLineChars="200"/>
        <w:rPr>
          <w:rFonts w:hAnsi="宋体" w:cs="宋体"/>
          <w:b/>
          <w:bCs/>
          <w:color w:val="auto"/>
          <w:szCs w:val="24"/>
          <w:highlight w:val="none"/>
        </w:rPr>
      </w:pPr>
      <w:r>
        <w:rPr>
          <w:rFonts w:hint="eastAsia" w:hAnsi="宋体" w:cs="宋体"/>
          <w:color w:val="auto"/>
          <w:szCs w:val="24"/>
          <w:highlight w:val="none"/>
        </w:rPr>
        <w:t>10.2按竞争性磋商文件第9条的内容及要求和第六章提供的格式和要求编写其竞争性磋商响应文件，供应商不得缺少或留空任何竞争性磋商文件要求填写的表格或提交的资料。</w:t>
      </w:r>
    </w:p>
    <w:p w14:paraId="6785D1B1">
      <w:pPr>
        <w:spacing w:line="360" w:lineRule="auto"/>
        <w:rPr>
          <w:rFonts w:hAnsi="宋体" w:cs="宋体"/>
          <w:b/>
          <w:color w:val="auto"/>
          <w:szCs w:val="24"/>
          <w:highlight w:val="none"/>
        </w:rPr>
      </w:pPr>
      <w:r>
        <w:rPr>
          <w:rFonts w:hint="eastAsia" w:hAnsi="宋体" w:cs="宋体"/>
          <w:b/>
          <w:color w:val="auto"/>
          <w:szCs w:val="24"/>
          <w:highlight w:val="none"/>
        </w:rPr>
        <w:t>11.磋商报价</w:t>
      </w:r>
    </w:p>
    <w:p w14:paraId="537A428B">
      <w:pPr>
        <w:spacing w:line="360" w:lineRule="auto"/>
        <w:ind w:firstLine="480" w:firstLineChars="200"/>
        <w:rPr>
          <w:color w:val="auto"/>
          <w:highlight w:val="none"/>
        </w:rPr>
      </w:pPr>
      <w:r>
        <w:rPr>
          <w:rFonts w:hint="eastAsia" w:hAnsi="宋体" w:cs="宋体"/>
          <w:color w:val="auto"/>
          <w:highlight w:val="none"/>
        </w:rPr>
        <w:t>11.1</w:t>
      </w:r>
      <w:r>
        <w:rPr>
          <w:rFonts w:hint="eastAsia" w:hAnsi="宋体" w:cs="宋体"/>
          <w:color w:val="auto"/>
          <w:szCs w:val="24"/>
          <w:highlight w:val="none"/>
        </w:rPr>
        <w:t>磋商</w:t>
      </w:r>
      <w:r>
        <w:rPr>
          <w:rFonts w:hint="eastAsia" w:hAnsi="宋体" w:cs="宋体"/>
          <w:color w:val="auto"/>
          <w:highlight w:val="none"/>
        </w:rPr>
        <w:t>报价：本工程合同形式为固定综合单价合同，各投标人依据企业自身情况自主报价、风险自负。所有投标报价中的单价和合价均以人民币表示。投标人在磋商报价时应仔细对磋商文件进行透彻的分析研究。各投标人对分部分项工程费、措施项目费、其他项目费等进行自主报价、风险自负。</w:t>
      </w:r>
    </w:p>
    <w:p w14:paraId="3DD8FA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报价为投标人充分考虑磋商文件的各项条款和所掌握的市场情况及本工程的实际，依据企业自身情况自主报价、风险自负。所有磋商报价中的单价和合价均以人民币表示。投标人在计算报价时必须考虑相应的风险；</w:t>
      </w:r>
    </w:p>
    <w:p w14:paraId="0B151D0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11.2磋商报价表中标明本次服务的价格，任何有选择的报价将不予接受，按无效文件处理。所有价格均以人民币报价。</w:t>
      </w:r>
    </w:p>
    <w:p w14:paraId="3E182B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11.3磋商报价表中标明的价格应为履行合同的总报价，不得以任何理由予以变更。以可调整的价格提交的竞争性磋商响应文件将按无效磋商处理。</w:t>
      </w:r>
    </w:p>
    <w:p w14:paraId="34035241">
      <w:pPr>
        <w:spacing w:line="360" w:lineRule="auto"/>
        <w:rPr>
          <w:rFonts w:hAnsi="宋体" w:cs="宋体"/>
          <w:b/>
          <w:color w:val="auto"/>
          <w:szCs w:val="24"/>
          <w:highlight w:val="none"/>
        </w:rPr>
      </w:pPr>
      <w:r>
        <w:rPr>
          <w:rFonts w:hint="eastAsia" w:hAnsi="宋体" w:cs="宋体"/>
          <w:b/>
          <w:color w:val="auto"/>
          <w:szCs w:val="24"/>
          <w:highlight w:val="none"/>
        </w:rPr>
        <w:t>12.证明供应商合格的资格证明文件</w:t>
      </w:r>
    </w:p>
    <w:p w14:paraId="3537344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12.1供应商应按照竞争性磋商文件供应商须知前附表的要求，在竞争性磋商响应文件中提交合格的资格证明文件。如果资格证明文件不全或不合格的，其磋商响应文件将被作无效文件处理。</w:t>
      </w:r>
    </w:p>
    <w:p w14:paraId="275662FC">
      <w:pPr>
        <w:spacing w:line="360" w:lineRule="auto"/>
        <w:rPr>
          <w:rFonts w:hAnsi="宋体" w:cs="宋体"/>
          <w:b/>
          <w:color w:val="auto"/>
          <w:szCs w:val="24"/>
          <w:highlight w:val="none"/>
        </w:rPr>
      </w:pPr>
      <w:r>
        <w:rPr>
          <w:rFonts w:hint="eastAsia" w:hAnsi="宋体" w:cs="宋体"/>
          <w:b/>
          <w:color w:val="auto"/>
          <w:szCs w:val="24"/>
          <w:highlight w:val="none"/>
        </w:rPr>
        <w:t>13.</w:t>
      </w:r>
      <w:r>
        <w:rPr>
          <w:rFonts w:hAnsi="宋体"/>
          <w:b/>
          <w:color w:val="auto"/>
          <w:szCs w:val="24"/>
          <w:highlight w:val="none"/>
        </w:rPr>
        <w:t>证明的合格性和符合</w:t>
      </w:r>
      <w:r>
        <w:rPr>
          <w:rFonts w:hint="eastAsia" w:hAnsi="宋体"/>
          <w:b/>
          <w:color w:val="auto"/>
          <w:szCs w:val="24"/>
          <w:highlight w:val="none"/>
        </w:rPr>
        <w:t>竞争性磋商</w:t>
      </w:r>
      <w:r>
        <w:rPr>
          <w:rFonts w:hAnsi="宋体"/>
          <w:b/>
          <w:color w:val="auto"/>
          <w:szCs w:val="24"/>
          <w:highlight w:val="none"/>
        </w:rPr>
        <w:t>文件规定的文件</w:t>
      </w:r>
    </w:p>
    <w:p w14:paraId="37016589">
      <w:pPr>
        <w:spacing w:line="360" w:lineRule="auto"/>
        <w:ind w:firstLine="480" w:firstLineChars="200"/>
        <w:rPr>
          <w:rFonts w:hAnsi="宋体"/>
          <w:color w:val="auto"/>
          <w:szCs w:val="24"/>
          <w:highlight w:val="none"/>
        </w:rPr>
      </w:pPr>
      <w:r>
        <w:rPr>
          <w:rFonts w:hAnsi="宋体"/>
          <w:color w:val="auto"/>
          <w:szCs w:val="24"/>
          <w:highlight w:val="none"/>
        </w:rPr>
        <w:t>13.1</w:t>
      </w:r>
      <w:r>
        <w:rPr>
          <w:rFonts w:hint="eastAsia" w:hAnsi="宋体"/>
          <w:color w:val="auto"/>
          <w:szCs w:val="24"/>
          <w:highlight w:val="none"/>
        </w:rPr>
        <w:t>供应商</w:t>
      </w:r>
      <w:r>
        <w:rPr>
          <w:rFonts w:hAnsi="宋体"/>
          <w:color w:val="auto"/>
          <w:szCs w:val="24"/>
          <w:highlight w:val="none"/>
        </w:rPr>
        <w:t>应在</w:t>
      </w:r>
      <w:r>
        <w:rPr>
          <w:rFonts w:hint="eastAsia" w:hAnsi="宋体"/>
          <w:color w:val="auto"/>
          <w:szCs w:val="24"/>
          <w:highlight w:val="none"/>
        </w:rPr>
        <w:t>竞争性磋商响应文件</w:t>
      </w:r>
      <w:r>
        <w:rPr>
          <w:rFonts w:hAnsi="宋体"/>
          <w:color w:val="auto"/>
          <w:szCs w:val="24"/>
          <w:highlight w:val="none"/>
        </w:rPr>
        <w:t>中提交服务满足</w:t>
      </w:r>
      <w:r>
        <w:rPr>
          <w:rFonts w:hint="eastAsia" w:hAnsi="宋体"/>
          <w:color w:val="auto"/>
          <w:szCs w:val="24"/>
          <w:highlight w:val="none"/>
        </w:rPr>
        <w:t>竞争性磋商</w:t>
      </w:r>
      <w:r>
        <w:rPr>
          <w:rFonts w:hAnsi="宋体"/>
          <w:color w:val="auto"/>
          <w:szCs w:val="24"/>
          <w:highlight w:val="none"/>
        </w:rPr>
        <w:t>文件要求并符合国家法律法规、行业管理部门要求的其他强制性标准的证明文件。缺少证明文件或证明文件不合格的</w:t>
      </w:r>
      <w:r>
        <w:rPr>
          <w:rFonts w:hint="eastAsia" w:hAnsi="宋体"/>
          <w:color w:val="auto"/>
          <w:szCs w:val="24"/>
          <w:highlight w:val="none"/>
        </w:rPr>
        <w:t>磋商响应文件</w:t>
      </w:r>
      <w:r>
        <w:rPr>
          <w:rFonts w:hAnsi="宋体"/>
          <w:color w:val="auto"/>
          <w:szCs w:val="24"/>
          <w:highlight w:val="none"/>
        </w:rPr>
        <w:t>，与</w:t>
      </w:r>
      <w:r>
        <w:rPr>
          <w:rFonts w:hint="eastAsia" w:hAnsi="宋体"/>
          <w:color w:val="auto"/>
          <w:szCs w:val="24"/>
          <w:highlight w:val="none"/>
        </w:rPr>
        <w:t>竞争性磋商</w:t>
      </w:r>
      <w:r>
        <w:rPr>
          <w:rFonts w:hAnsi="宋体"/>
          <w:color w:val="auto"/>
          <w:szCs w:val="24"/>
          <w:highlight w:val="none"/>
        </w:rPr>
        <w:t>文件要求有重大偏离的</w:t>
      </w:r>
      <w:r>
        <w:rPr>
          <w:rFonts w:hint="eastAsia" w:hAnsi="宋体"/>
          <w:color w:val="auto"/>
          <w:szCs w:val="24"/>
          <w:highlight w:val="none"/>
        </w:rPr>
        <w:t>磋商响应文件</w:t>
      </w:r>
      <w:r>
        <w:rPr>
          <w:rFonts w:hAnsi="宋体"/>
          <w:color w:val="auto"/>
          <w:szCs w:val="24"/>
          <w:highlight w:val="none"/>
        </w:rPr>
        <w:t>，不符合国家法律法规、行业管理部门要求的其他强制性标准的</w:t>
      </w:r>
      <w:r>
        <w:rPr>
          <w:rFonts w:hint="eastAsia" w:hAnsi="宋体"/>
          <w:color w:val="auto"/>
          <w:szCs w:val="24"/>
          <w:highlight w:val="none"/>
        </w:rPr>
        <w:t>磋商响应文件</w:t>
      </w:r>
      <w:r>
        <w:rPr>
          <w:rFonts w:hAnsi="宋体"/>
          <w:color w:val="auto"/>
          <w:szCs w:val="24"/>
          <w:highlight w:val="none"/>
        </w:rPr>
        <w:t>将</w:t>
      </w:r>
      <w:r>
        <w:rPr>
          <w:rFonts w:hint="eastAsia" w:hAnsi="宋体"/>
          <w:color w:val="auto"/>
          <w:szCs w:val="24"/>
          <w:highlight w:val="none"/>
        </w:rPr>
        <w:t>按无效磋商处理</w:t>
      </w:r>
      <w:r>
        <w:rPr>
          <w:rFonts w:hAnsi="宋体"/>
          <w:color w:val="auto"/>
          <w:szCs w:val="24"/>
          <w:highlight w:val="none"/>
        </w:rPr>
        <w:t>。</w:t>
      </w:r>
    </w:p>
    <w:p w14:paraId="29984FDC">
      <w:pPr>
        <w:spacing w:line="360" w:lineRule="auto"/>
        <w:ind w:firstLine="480" w:firstLineChars="200"/>
        <w:rPr>
          <w:rFonts w:hAnsi="宋体"/>
          <w:color w:val="auto"/>
          <w:szCs w:val="24"/>
          <w:highlight w:val="none"/>
        </w:rPr>
      </w:pPr>
      <w:r>
        <w:rPr>
          <w:rFonts w:hAnsi="宋体"/>
          <w:color w:val="auto"/>
          <w:szCs w:val="24"/>
          <w:highlight w:val="none"/>
        </w:rPr>
        <w:t>13.2上述证明文件可以是文字资料、图纸、图片</w:t>
      </w:r>
      <w:r>
        <w:rPr>
          <w:rFonts w:hint="eastAsia" w:hAnsi="宋体"/>
          <w:color w:val="auto"/>
          <w:szCs w:val="24"/>
          <w:highlight w:val="none"/>
        </w:rPr>
        <w:t>、</w:t>
      </w:r>
      <w:r>
        <w:rPr>
          <w:rFonts w:hAnsi="宋体"/>
          <w:color w:val="auto"/>
          <w:szCs w:val="24"/>
          <w:highlight w:val="none"/>
        </w:rPr>
        <w:t>数据</w:t>
      </w:r>
      <w:r>
        <w:rPr>
          <w:rFonts w:hint="eastAsia" w:hAnsi="宋体"/>
          <w:color w:val="auto"/>
          <w:szCs w:val="24"/>
          <w:highlight w:val="none"/>
        </w:rPr>
        <w:t>、</w:t>
      </w:r>
      <w:r>
        <w:rPr>
          <w:rFonts w:hAnsi="宋体"/>
          <w:color w:val="auto"/>
          <w:szCs w:val="24"/>
          <w:highlight w:val="none"/>
        </w:rPr>
        <w:t>宣传彩页等，所有证明文件表达意思必须统一。</w:t>
      </w:r>
    </w:p>
    <w:p w14:paraId="20F52B0A">
      <w:pPr>
        <w:spacing w:line="360" w:lineRule="auto"/>
        <w:rPr>
          <w:rFonts w:hAnsi="宋体" w:cs="宋体"/>
          <w:color w:val="auto"/>
          <w:szCs w:val="24"/>
          <w:highlight w:val="none"/>
        </w:rPr>
      </w:pPr>
      <w:r>
        <w:rPr>
          <w:rFonts w:hint="eastAsia" w:hAnsi="宋体" w:cs="宋体"/>
          <w:b/>
          <w:color w:val="auto"/>
          <w:szCs w:val="24"/>
          <w:highlight w:val="none"/>
        </w:rPr>
        <w:t>14.磋商保证金（本项目不缴纳磋商保证金）</w:t>
      </w:r>
    </w:p>
    <w:p w14:paraId="40F4D232">
      <w:pPr>
        <w:spacing w:line="360" w:lineRule="auto"/>
        <w:rPr>
          <w:rFonts w:hAnsi="宋体" w:cs="宋体"/>
          <w:b/>
          <w:color w:val="auto"/>
          <w:szCs w:val="24"/>
          <w:highlight w:val="none"/>
        </w:rPr>
      </w:pPr>
      <w:r>
        <w:rPr>
          <w:rFonts w:hint="eastAsia" w:hAnsi="宋体" w:cs="宋体"/>
          <w:b/>
          <w:color w:val="auto"/>
          <w:szCs w:val="24"/>
          <w:highlight w:val="none"/>
        </w:rPr>
        <w:t>15.磋商有效期</w:t>
      </w:r>
    </w:p>
    <w:p w14:paraId="57B51E5B">
      <w:pPr>
        <w:spacing w:line="360" w:lineRule="auto"/>
        <w:ind w:firstLine="480" w:firstLineChars="200"/>
        <w:rPr>
          <w:rFonts w:hAnsi="宋体" w:cs="宋体"/>
          <w:color w:val="auto"/>
          <w:szCs w:val="24"/>
          <w:highlight w:val="none"/>
        </w:rPr>
      </w:pPr>
      <w:bookmarkStart w:id="33" w:name="OLE_LINK4"/>
      <w:r>
        <w:rPr>
          <w:rFonts w:hint="eastAsia" w:hAnsi="宋体" w:cs="宋体"/>
          <w:color w:val="auto"/>
          <w:szCs w:val="24"/>
          <w:highlight w:val="none"/>
        </w:rPr>
        <w:t>15.1磋商响应文件应在“供应商须知前附表”中规定的期限内保持有效。磋商有效期不满足规定有效期的磋商响应文件将被视为非响应性磋商而予以拒绝。</w:t>
      </w:r>
      <w:bookmarkEnd w:id="33"/>
    </w:p>
    <w:p w14:paraId="3A957CA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15.2在特殊情况下，在原磋商有效期期满之前，采购代理机构可向供应商提出延长磋商有效期的要求。这种要求与答复均应以书面的形式。供应商可以拒绝采购代理机构的这种要求,其磋商保证金也不被没收。同意延长的供应商既不能要求也不允许修改其竞争性磋商响应文件，但要相应延长其磋商保证金的有效期。在这种情况下，本章第14条有关磋商保证金的退还和没收的规定将在延长了的有效期内继续有效。</w:t>
      </w:r>
    </w:p>
    <w:p w14:paraId="2BC8C58E">
      <w:pPr>
        <w:spacing w:line="360" w:lineRule="auto"/>
        <w:rPr>
          <w:rFonts w:hAnsi="宋体" w:cs="宋体"/>
          <w:b/>
          <w:color w:val="auto"/>
          <w:szCs w:val="24"/>
          <w:highlight w:val="none"/>
        </w:rPr>
      </w:pPr>
      <w:r>
        <w:rPr>
          <w:rFonts w:hint="eastAsia" w:hAnsi="宋体" w:cs="宋体"/>
          <w:b/>
          <w:color w:val="auto"/>
          <w:szCs w:val="24"/>
          <w:highlight w:val="none"/>
        </w:rPr>
        <w:t>16.竞争性磋商响应文件的式样和签署</w:t>
      </w:r>
    </w:p>
    <w:p w14:paraId="2FB50A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16.1供应商应按照供应商须知的要求,准备一份竞争性磋商响应文件正本和“供应商须知前附表”中规定数量的副本，每套竞争性磋商响应文件封面须清楚地标明“正本”或“副本”。同时提供与正本内容一致的电子版（U/光盘）并在盘面标注供应商全称、项目名称、项目编号，并与竞争性磋商响应文件同时递交。</w:t>
      </w:r>
    </w:p>
    <w:p w14:paraId="5D898275">
      <w:pPr>
        <w:spacing w:line="360" w:lineRule="auto"/>
        <w:ind w:firstLine="480" w:firstLineChars="200"/>
        <w:rPr>
          <w:rFonts w:hAnsi="宋体" w:cs="宋体"/>
          <w:b/>
          <w:bCs/>
          <w:color w:val="auto"/>
          <w:highlight w:val="none"/>
        </w:rPr>
      </w:pPr>
      <w:r>
        <w:rPr>
          <w:rFonts w:hint="eastAsia" w:hAnsi="宋体" w:cs="宋体"/>
          <w:color w:val="auto"/>
          <w:szCs w:val="24"/>
          <w:highlight w:val="none"/>
        </w:rPr>
        <w:t>16.2竞争性磋商响应文件正本需打印或用不褪色的蓝(黑)色墨水(汁)书写,并由供应商法定代表人或经法定代表人正式授权的代表签字【竞争性磋商文件要求竞争性磋商响应文件中法定代表人签字处由法定代表人签署，要求授权代表签字处由授权代表签署】，若由授权代表签署，须按竞争性磋商文件规定的格式出具的“法定代表人授权书”附在竞争性磋商响应文件中，所有要求签字（名）处，均须由签字（名）者本人用不褪色的蓝(黑)色墨水(汁)书写，不得用任何形式的图章代替。</w:t>
      </w:r>
      <w:r>
        <w:rPr>
          <w:rFonts w:hint="eastAsia" w:hAnsi="宋体" w:cs="宋体"/>
          <w:b/>
          <w:bCs/>
          <w:color w:val="auto"/>
          <w:szCs w:val="24"/>
          <w:highlight w:val="none"/>
        </w:rPr>
        <w:t>所有竞争性磋商响应文件正本和副本须按第六章规定的顺序编排、并应编制目录、逐页标注连续页码，并</w:t>
      </w:r>
      <w:r>
        <w:rPr>
          <w:rFonts w:hint="eastAsia" w:hAnsi="宋体" w:cs="宋体"/>
          <w:b/>
          <w:bCs/>
          <w:color w:val="auto"/>
          <w:highlight w:val="none"/>
        </w:rPr>
        <w:t>分别胶装成册。</w:t>
      </w:r>
    </w:p>
    <w:p w14:paraId="119D24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16.3任何行间插字、涂改和增删，必须由供应商的法定代表人或其授权代表在旁边签字才有效。</w:t>
      </w:r>
    </w:p>
    <w:p w14:paraId="6776A3B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16.4供应商名称应填写全称。磋商响应文件正本必须逐页加盖供应商公章（鲜章），否则按无效处理。</w:t>
      </w:r>
    </w:p>
    <w:p w14:paraId="23635DB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16.5因字迹潦草、表述不清或不按竞争性磋商文件格式编制的竞争性磋商响应文件，所引起的对供应商不利的后果，由供应商自行负责。</w:t>
      </w:r>
    </w:p>
    <w:p w14:paraId="50193A58">
      <w:pPr>
        <w:spacing w:line="500" w:lineRule="exact"/>
        <w:ind w:firstLine="480" w:firstLineChars="200"/>
        <w:rPr>
          <w:rFonts w:hAnsi="宋体" w:cs="宋体"/>
          <w:color w:val="auto"/>
          <w:highlight w:val="none"/>
        </w:rPr>
      </w:pPr>
      <w:r>
        <w:rPr>
          <w:rFonts w:hint="eastAsia" w:hAnsi="宋体" w:cs="宋体"/>
          <w:color w:val="auto"/>
          <w:szCs w:val="24"/>
          <w:highlight w:val="none"/>
        </w:rPr>
        <w:t>16.6竞争性磋商文件的副本、电子版须和正本保持一致。</w:t>
      </w:r>
      <w:r>
        <w:rPr>
          <w:rFonts w:hint="eastAsia" w:hAnsi="宋体" w:cs="宋体"/>
          <w:color w:val="auto"/>
          <w:highlight w:val="none"/>
        </w:rPr>
        <w:t>若正本、副本和电子版有不一致的内容，以正本为准。</w:t>
      </w:r>
    </w:p>
    <w:p w14:paraId="69E51341">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四.竞争性磋商响应文件的递交</w:t>
      </w:r>
    </w:p>
    <w:p w14:paraId="3D802D8F">
      <w:pPr>
        <w:spacing w:line="360" w:lineRule="auto"/>
        <w:rPr>
          <w:rFonts w:hAnsi="宋体" w:cs="宋体"/>
          <w:b/>
          <w:color w:val="auto"/>
          <w:szCs w:val="24"/>
          <w:highlight w:val="none"/>
        </w:rPr>
      </w:pPr>
      <w:r>
        <w:rPr>
          <w:rFonts w:hint="eastAsia" w:hAnsi="宋体" w:cs="宋体"/>
          <w:b/>
          <w:color w:val="auto"/>
          <w:szCs w:val="24"/>
          <w:highlight w:val="none"/>
        </w:rPr>
        <w:t>17.竞争性磋商响应文件的密封和标记</w:t>
      </w:r>
    </w:p>
    <w:p w14:paraId="21328BF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17.1报价一览表除在竞争性磋商响应文件内装订外，再制作一份单独放在一个信封中。封线处加贴封条并加盖供应商公章，封袋正面要粘贴标识，单独递交（该单独密封报价一览表的报价必须与竞争性磋商响应文件正本中的报价一览表（报价表）报价一致，若不一致，则按单独密封的报价一览表为准。</w:t>
      </w:r>
    </w:p>
    <w:p w14:paraId="36E9F6F7">
      <w:pPr>
        <w:spacing w:line="360" w:lineRule="auto"/>
        <w:ind w:firstLine="480" w:firstLineChars="200"/>
        <w:rPr>
          <w:rFonts w:hAnsi="宋体" w:cs="宋体"/>
          <w:color w:val="auto"/>
          <w:szCs w:val="24"/>
          <w:highlight w:val="none"/>
        </w:rPr>
      </w:pPr>
      <w:r>
        <w:rPr>
          <w:rFonts w:hint="eastAsia" w:hAnsi="宋体" w:cs="宋体"/>
          <w:color w:val="auto"/>
          <w:highlight w:val="none"/>
        </w:rPr>
        <w:t>17.2供应商应将竞争性磋商响应文件正本、</w:t>
      </w:r>
      <w:r>
        <w:rPr>
          <w:rFonts w:hint="eastAsia" w:hAnsi="宋体" w:cs="宋体"/>
          <w:color w:val="auto"/>
          <w:szCs w:val="24"/>
          <w:highlight w:val="none"/>
        </w:rPr>
        <w:t>所有的副本、</w:t>
      </w:r>
      <w:r>
        <w:rPr>
          <w:rFonts w:hint="eastAsia" w:hAnsi="宋体" w:cs="宋体"/>
          <w:color w:val="auto"/>
          <w:highlight w:val="none"/>
        </w:rPr>
        <w:t>电子版本、报价一览表单独密封装在封袋中（封袋不得有破损），且在封袋正面标明</w:t>
      </w:r>
      <w:r>
        <w:rPr>
          <w:rFonts w:hint="eastAsia" w:hAnsi="宋体" w:cs="宋体"/>
          <w:color w:val="auto"/>
          <w:szCs w:val="24"/>
          <w:highlight w:val="none"/>
        </w:rPr>
        <w:t>“正本”“副本”</w:t>
      </w:r>
      <w:r>
        <w:rPr>
          <w:rFonts w:hint="eastAsia" w:hAnsi="宋体" w:cs="宋体"/>
          <w:color w:val="auto"/>
          <w:highlight w:val="none"/>
        </w:rPr>
        <w:t>“电子版本”“报价一览表”字样。封袋应加贴封条，并在封线处加盖供应商公章，封袋正面要粘贴供应商全称、项目名称、项目编号等标识。</w:t>
      </w:r>
    </w:p>
    <w:p w14:paraId="1618A1B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外层包装请按以下要求标记：</w:t>
      </w:r>
    </w:p>
    <w:p w14:paraId="0777055C">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1) 磋商响应单位的全称；</w:t>
      </w:r>
    </w:p>
    <w:p w14:paraId="4C449ED1">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2) 磋商项目名称、项目编号；</w:t>
      </w:r>
    </w:p>
    <w:p w14:paraId="7D8AB7C4">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3）正本或副本、电子版、报价一览表“请勿在＿＿＿＿＿(磋商时间)之前启封”。</w:t>
      </w:r>
    </w:p>
    <w:p w14:paraId="7DA193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17.3如果供应商未对竞争性磋商响应文件按上述要求进行完好密封，由此产生的不利后果由供应商自行承担。</w:t>
      </w:r>
    </w:p>
    <w:p w14:paraId="01DD4D2C">
      <w:pPr>
        <w:spacing w:line="360" w:lineRule="auto"/>
        <w:rPr>
          <w:rFonts w:hAnsi="宋体" w:cs="宋体"/>
          <w:b/>
          <w:color w:val="auto"/>
          <w:szCs w:val="24"/>
          <w:highlight w:val="none"/>
        </w:rPr>
      </w:pPr>
      <w:r>
        <w:rPr>
          <w:rFonts w:hint="eastAsia" w:hAnsi="宋体" w:cs="宋体"/>
          <w:b/>
          <w:color w:val="auto"/>
          <w:szCs w:val="24"/>
          <w:highlight w:val="none"/>
        </w:rPr>
        <w:t>18．竞争性磋商响应文件的递交</w:t>
      </w:r>
    </w:p>
    <w:p w14:paraId="5FFE430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18.1供应商应按照竞争性磋商公告中规定的时间、地点，在规定的竞争性磋商响应文件递交截止时间前将全部竞争性磋商响应文件和磋商资料递交至采购代理机构接收人处。</w:t>
      </w:r>
    </w:p>
    <w:p w14:paraId="743A4A8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18.2采购代理机构在竞争性磋商文件规定的竞争性磋商响应文件递交截止时间前，只负责竞争性磋商响应文件的接收、清点、造册登记工作，并请递交人签字确认，对其有效性不负任何责任；</w:t>
      </w:r>
    </w:p>
    <w:p w14:paraId="5876F3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18.3无论供应商成交与否，其竞争性磋商响应文件恕不退还。</w:t>
      </w:r>
    </w:p>
    <w:p w14:paraId="746866B0">
      <w:pPr>
        <w:spacing w:line="360" w:lineRule="auto"/>
        <w:rPr>
          <w:rFonts w:hAnsi="宋体" w:cs="宋体"/>
          <w:b/>
          <w:color w:val="auto"/>
          <w:szCs w:val="24"/>
          <w:highlight w:val="none"/>
        </w:rPr>
      </w:pPr>
      <w:r>
        <w:rPr>
          <w:rFonts w:hint="eastAsia" w:hAnsi="宋体" w:cs="宋体"/>
          <w:b/>
          <w:color w:val="auto"/>
          <w:szCs w:val="24"/>
          <w:highlight w:val="none"/>
        </w:rPr>
        <w:t>19．递交的竞争性磋商响应文件</w:t>
      </w:r>
    </w:p>
    <w:p w14:paraId="57817CF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19.1按照供应商须知的规定，采购代理机构将拒绝接受在规定的磋商截止时间后递交的任何竞争性磋商响应文件。</w:t>
      </w:r>
    </w:p>
    <w:p w14:paraId="4B2ECB54">
      <w:pPr>
        <w:spacing w:line="360" w:lineRule="auto"/>
        <w:rPr>
          <w:rFonts w:hAnsi="宋体" w:cs="宋体"/>
          <w:b/>
          <w:color w:val="auto"/>
          <w:szCs w:val="24"/>
          <w:highlight w:val="none"/>
        </w:rPr>
      </w:pPr>
      <w:r>
        <w:rPr>
          <w:rFonts w:hint="eastAsia" w:hAnsi="宋体" w:cs="宋体"/>
          <w:b/>
          <w:color w:val="auto"/>
          <w:szCs w:val="24"/>
          <w:highlight w:val="none"/>
        </w:rPr>
        <w:t>20．磋商的修改与撤回</w:t>
      </w:r>
    </w:p>
    <w:p w14:paraId="6E870A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20.1 供应商在递交竞争性磋商响应文件后，可以修改或撤回其竞争性磋商响应文件，也可以提出价格变动声明，但供应商必须在规定的磋商截止时间之前将修改或撤回或变动价格的书面通知文件递交到采购代理机构。</w:t>
      </w:r>
    </w:p>
    <w:p w14:paraId="07781E7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20.2 供应商的修改或撤回或变动价格的通知应按本须知第17条的规定编制、密封、标记和递交。</w:t>
      </w:r>
    </w:p>
    <w:p w14:paraId="6452317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20.3 在磋商截止时间之后，供应商不得对其磋商响应文件做任何修改或撤回。</w:t>
      </w:r>
    </w:p>
    <w:p w14:paraId="24DCBDAA">
      <w:pPr>
        <w:keepNext/>
        <w:keepLines/>
        <w:spacing w:before="318" w:beforeLines="100" w:after="159" w:afterLines="50" w:line="360" w:lineRule="auto"/>
        <w:jc w:val="center"/>
        <w:rPr>
          <w:rFonts w:hAnsi="宋体" w:cs="宋体"/>
          <w:b/>
          <w:color w:val="auto"/>
          <w:sz w:val="32"/>
          <w:szCs w:val="32"/>
          <w:highlight w:val="none"/>
        </w:rPr>
      </w:pPr>
      <w:bookmarkStart w:id="34" w:name="_Toc363474021"/>
      <w:bookmarkStart w:id="35" w:name="_Toc403077643"/>
      <w:bookmarkStart w:id="36" w:name="_Toc363473976"/>
      <w:r>
        <w:rPr>
          <w:rFonts w:hint="eastAsia" w:hAnsi="宋体" w:cs="宋体"/>
          <w:b/>
          <w:color w:val="auto"/>
          <w:sz w:val="32"/>
          <w:szCs w:val="32"/>
          <w:highlight w:val="none"/>
        </w:rPr>
        <w:t>五.磋商与评标</w:t>
      </w:r>
      <w:bookmarkEnd w:id="34"/>
      <w:bookmarkEnd w:id="35"/>
      <w:bookmarkEnd w:id="36"/>
    </w:p>
    <w:p w14:paraId="464F25DF">
      <w:pPr>
        <w:spacing w:line="360" w:lineRule="auto"/>
        <w:rPr>
          <w:rFonts w:hAnsi="宋体" w:cs="宋体"/>
          <w:b/>
          <w:color w:val="auto"/>
          <w:szCs w:val="24"/>
          <w:highlight w:val="none"/>
        </w:rPr>
      </w:pPr>
      <w:r>
        <w:rPr>
          <w:rFonts w:hint="eastAsia" w:hAnsi="宋体" w:cs="宋体"/>
          <w:b/>
          <w:color w:val="auto"/>
          <w:szCs w:val="24"/>
          <w:highlight w:val="none"/>
        </w:rPr>
        <w:t>21.磋商大会</w:t>
      </w:r>
    </w:p>
    <w:p w14:paraId="7D00D0E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21.1 采购代理机构在规定的时间和地点组织竞争性磋商。磋商时所有供应商代表自愿参加，参加磋商的代表应签名报到以证明其出席。</w:t>
      </w:r>
    </w:p>
    <w:p w14:paraId="2A1A9560">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21.2采购代理机构将做磋商记录，存档备查。</w:t>
      </w:r>
    </w:p>
    <w:p w14:paraId="331F31B4">
      <w:pPr>
        <w:spacing w:line="360" w:lineRule="auto"/>
        <w:rPr>
          <w:rFonts w:hAnsi="宋体" w:cs="宋体"/>
          <w:b/>
          <w:color w:val="auto"/>
          <w:szCs w:val="24"/>
          <w:highlight w:val="none"/>
        </w:rPr>
      </w:pPr>
      <w:r>
        <w:rPr>
          <w:rFonts w:hint="eastAsia" w:hAnsi="宋体" w:cs="宋体"/>
          <w:b/>
          <w:color w:val="auto"/>
          <w:szCs w:val="24"/>
          <w:highlight w:val="none"/>
        </w:rPr>
        <w:t>22．评审程序</w:t>
      </w:r>
    </w:p>
    <w:p w14:paraId="53D718A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08C2DD73">
      <w:pPr>
        <w:spacing w:line="360" w:lineRule="auto"/>
        <w:rPr>
          <w:rFonts w:hAnsi="宋体" w:cs="宋体"/>
          <w:b/>
          <w:color w:val="auto"/>
          <w:szCs w:val="24"/>
          <w:highlight w:val="none"/>
        </w:rPr>
      </w:pPr>
      <w:r>
        <w:rPr>
          <w:rFonts w:hint="eastAsia" w:hAnsi="宋体" w:cs="宋体"/>
          <w:b/>
          <w:color w:val="auto"/>
          <w:szCs w:val="24"/>
          <w:highlight w:val="none"/>
        </w:rPr>
        <w:t>23．评审组织及评审原则</w:t>
      </w:r>
    </w:p>
    <w:p w14:paraId="1157A7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23.1按照《中华人民共和国政府采购法》及实施条例和关于印发《政府采购竞争性磋商采购方式管理暂行办法》的通知（财库【2014】214号），依法组建磋商小组。磋商小组由采购人代表和评审专家组成，成员人数应当为3人以上单数，其中采购人代表须持有授权书。磋商小组按照竞争性磋商文件规定的评审方法独立进行评审工作。</w:t>
      </w:r>
    </w:p>
    <w:p w14:paraId="7960E4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23.2竞争性磋商文件和竞争性磋商响应文件是评审的依据。在评审中，不得改变竞争性磋商文件中规定的评审标准、方法和成交条件。</w:t>
      </w:r>
    </w:p>
    <w:p w14:paraId="50E259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0B5CEE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23.4如果供应商在澄清规定期限内，未能答复或拒绝答复磋商小组提出的澄清要求，将由磋商小组根据其竞争性磋商响应文件按最大风险进行评审。</w:t>
      </w:r>
    </w:p>
    <w:p w14:paraId="48E9CBB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23.5磋商过程中的实质性变动：</w:t>
      </w:r>
    </w:p>
    <w:p w14:paraId="718D9E7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03DF37F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23.5.2对竞争性磋商文件做出的实质性变动是磋商文件的有效组成部分，磋商小组应当及时以书面形式通知所有参加磋商的供应商。</w:t>
      </w:r>
    </w:p>
    <w:p w14:paraId="3C85FCC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23.6竞争性磋商响应文件的初审（含资格性检查和符合性检查）</w:t>
      </w:r>
    </w:p>
    <w:p w14:paraId="7B86FD3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23.6.1磋商小组将审查竞争性磋商响应文件是否完整、资格证明文件是否齐全，磋商保证金是否合格、有无计算上的错误等。</w:t>
      </w:r>
    </w:p>
    <w:p w14:paraId="4D1DE7B1">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23.6.2计算错误将按以下方法更正：</w:t>
      </w:r>
    </w:p>
    <w:p w14:paraId="5B0F52E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磋商响应文件中报价一览表(报价表)内容与磋商响应文件中相应内容不一致的，以报价一览表(报价表)为准；如果单独密封的报价一览表(报价表)与磋商响应文件正本的报价一览表(报价表)不一致，以单独密封的报价一览表(报价表)为准。</w:t>
      </w:r>
    </w:p>
    <w:p w14:paraId="66134E7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（2）磋商响应文件的大写金额和小写金额不一致的，以大写金额为准；</w:t>
      </w:r>
    </w:p>
    <w:p w14:paraId="19BAB157">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（3）单价金额小数点或者百分比有明显错位的，以单独密封的报价一览表的总价为准，并修改单价；</w:t>
      </w:r>
    </w:p>
    <w:p w14:paraId="6161E26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（4）总价金额与按单价汇总金额不一致的，以单价金额计算结果为准。</w:t>
      </w:r>
    </w:p>
    <w:p w14:paraId="26424AC3">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按上述修正的顺序和方法调整的报价应对供应商具有约束力。如果供应商不接受修正后的价格，其响应文件将按无效响应处理。</w:t>
      </w:r>
    </w:p>
    <w:p w14:paraId="05DBEE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23.6.3对于竞争性磋商响应文件中明显的标点符号错误或不构成实质性偏差的不正规、不一致或不规则，采购人可以接受。</w:t>
      </w:r>
    </w:p>
    <w:p w14:paraId="610853D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23.6.4在详细评审之前，根据本须知第22.6.5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14:paraId="49AE1F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23.6.5实质上没有响应竞争性磋商文件要求的磋商将被拒绝。供应商不得通过修正或撤销不合要求的偏离从而使其磋商成为实质性响应的磋商。</w:t>
      </w:r>
      <w:r>
        <w:rPr>
          <w:rFonts w:hint="eastAsia" w:hAnsi="宋体" w:cs="宋体"/>
          <w:b/>
          <w:bCs/>
          <w:color w:val="auto"/>
          <w:szCs w:val="24"/>
          <w:highlight w:val="none"/>
        </w:rPr>
        <w:t>如发现下列情况之一的，其磋商将构成非实质性响应，按无效磋商处理：</w:t>
      </w:r>
    </w:p>
    <w:p w14:paraId="6038620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1）没有按照竞争性磋商文件要求提供的竞争性磋商响应文件或竞争性磋商响应文件构成有重大缺项；</w:t>
      </w:r>
    </w:p>
    <w:p w14:paraId="4003A3F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2）供应商未提交有效的磋商保证金或金额不足的、磋商保证金形式不符合竞争性磋商文件要求的；</w:t>
      </w:r>
    </w:p>
    <w:p w14:paraId="0A1FDFFF">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3）资格证明文件不全的或无效的，或不符合国家规定的；</w:t>
      </w:r>
    </w:p>
    <w:p w14:paraId="582A862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4）竞争性磋商响应文件无供应商公章、无法定代表人签字或签字人无法定代表人有效委托书的；</w:t>
      </w:r>
    </w:p>
    <w:p w14:paraId="2663BA7D">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5）</w:t>
      </w:r>
      <w:r>
        <w:rPr>
          <w:rFonts w:hint="eastAsia" w:hAnsi="宋体" w:cs="宋体"/>
          <w:b/>
          <w:bCs/>
          <w:color w:val="auto"/>
          <w:spacing w:val="-6"/>
          <w:szCs w:val="24"/>
          <w:highlight w:val="none"/>
        </w:rPr>
        <w:t>无磋商有效期或有效期达不到竞争性磋商文件要求的</w:t>
      </w:r>
      <w:r>
        <w:rPr>
          <w:rFonts w:hint="eastAsia" w:hAnsi="宋体" w:cs="宋体"/>
          <w:b/>
          <w:bCs/>
          <w:color w:val="auto"/>
          <w:szCs w:val="24"/>
          <w:highlight w:val="none"/>
        </w:rPr>
        <w:t>；</w:t>
      </w:r>
    </w:p>
    <w:p w14:paraId="693B4FD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6）供应商在同一份竞争性磋商响应文件中，有两个或多个报价的；</w:t>
      </w:r>
    </w:p>
    <w:p w14:paraId="0F45222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7）存在有重大缺漏项和重大偏离的；</w:t>
      </w:r>
    </w:p>
    <w:p w14:paraId="501254B7">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8）供应商有串通磋商、以他人名义磋商、行贿、提供虚假证明（包括第三方提供的虚假证明），开具虚假资质，出现虚假应答的，除按无效文件处理外，还将按照政府采购的有关规定进行处罚；</w:t>
      </w:r>
    </w:p>
    <w:p w14:paraId="13FBD18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9）磋商总报价低于成本或者高于竞争性磋商文件公布的采购预算的。</w:t>
      </w:r>
    </w:p>
    <w:p w14:paraId="2E4BD9B0">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10）竞争性磋商响应文件含有采购人不能接受的附加条件的；</w:t>
      </w:r>
    </w:p>
    <w:p w14:paraId="0BA486A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11）竞争性磋商响应文件不符合法律法规要求的；</w:t>
      </w:r>
    </w:p>
    <w:p w14:paraId="00DCBEA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12）供应商被列入失信被执行人、重大税收违法案件当事人名单、政府采购严重违法失信行为记录名单及其他不符合《中华人民共和国政府采购法》第二十二条规定条件。</w:t>
      </w:r>
    </w:p>
    <w:p w14:paraId="4EB5278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23.7竞争性磋商响应文件的详细评审</w:t>
      </w:r>
    </w:p>
    <w:p w14:paraId="6A82307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23.7.1磋商小组将按照本须知第22.6.4条规定，只对确定为实质性响应竞争性磋商文件要求的磋商响应文件进行详细评审。</w:t>
      </w:r>
    </w:p>
    <w:p w14:paraId="4DBB5EA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23.7.2详细评审按照“供应商须知前附表”的评审方法进行。</w:t>
      </w:r>
    </w:p>
    <w:p w14:paraId="3386CC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23.8成交候选人的确定</w:t>
      </w:r>
    </w:p>
    <w:p w14:paraId="5477FC3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磋商小组完成评审后，向采购人提出书面评审，并推荐1-3名成交候选人，标明排列顺序。</w:t>
      </w:r>
    </w:p>
    <w:p w14:paraId="46B0A048">
      <w:pPr>
        <w:spacing w:line="360" w:lineRule="auto"/>
        <w:rPr>
          <w:rFonts w:hAnsi="宋体" w:cs="宋体"/>
          <w:b/>
          <w:color w:val="auto"/>
          <w:szCs w:val="24"/>
          <w:highlight w:val="none"/>
        </w:rPr>
      </w:pPr>
      <w:r>
        <w:rPr>
          <w:rFonts w:hint="eastAsia" w:hAnsi="宋体" w:cs="宋体"/>
          <w:b/>
          <w:color w:val="auto"/>
          <w:szCs w:val="24"/>
          <w:highlight w:val="none"/>
        </w:rPr>
        <w:t>24．评审过程的保密</w:t>
      </w:r>
    </w:p>
    <w:p w14:paraId="5D0EAF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磋商小组成员和与评审活动有关的工作人员不得泄露有关竞争性磋商响应文件的评审和比较、成交候选人的推荐以及与评审有关的其他情况。</w:t>
      </w:r>
    </w:p>
    <w:p w14:paraId="1C9A7340">
      <w:pPr>
        <w:jc w:val="left"/>
        <w:rPr>
          <w:rFonts w:hAnsi="宋体" w:cs="宋体"/>
          <w:b/>
          <w:color w:val="auto"/>
          <w:szCs w:val="24"/>
          <w:highlight w:val="none"/>
        </w:rPr>
      </w:pPr>
      <w:r>
        <w:rPr>
          <w:rFonts w:hint="eastAsia" w:hAnsi="宋体" w:cs="宋体"/>
          <w:b/>
          <w:color w:val="auto"/>
          <w:szCs w:val="24"/>
          <w:highlight w:val="none"/>
        </w:rPr>
        <w:t>25．评审方法</w:t>
      </w:r>
    </w:p>
    <w:p w14:paraId="5417262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24.1按照《中华人民共和国政府采购法》及实施条例和关于印发《政府采购竞争性磋商采购方式管理暂行办法》的通知（财库【2014】214号），本次评审采用综合评分法，即在全部满足竞争性磋商文件实质性要求前提下，磋商小组应当根据综合评分情况，按照评审得分高低顺序推荐1-3名成交候选人。</w:t>
      </w:r>
    </w:p>
    <w:p w14:paraId="0D94E76C">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六.成交、通知与签约</w:t>
      </w:r>
    </w:p>
    <w:p w14:paraId="12AFF32D">
      <w:pPr>
        <w:spacing w:line="360" w:lineRule="auto"/>
        <w:rPr>
          <w:rFonts w:hAnsi="宋体" w:cs="宋体"/>
          <w:b/>
          <w:color w:val="auto"/>
          <w:szCs w:val="24"/>
          <w:highlight w:val="none"/>
        </w:rPr>
      </w:pPr>
      <w:r>
        <w:rPr>
          <w:rFonts w:hint="eastAsia" w:hAnsi="宋体" w:cs="宋体"/>
          <w:b/>
          <w:color w:val="auto"/>
          <w:szCs w:val="24"/>
          <w:highlight w:val="none"/>
        </w:rPr>
        <w:t>26．成交程序</w:t>
      </w:r>
    </w:p>
    <w:p w14:paraId="7C31874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26.1磋商小组根据评审方法的规定对供应商进行评审排序，推荐1-3名成交候选人，作为评审结果。评审结果由全体磋商小组成员签字确认。</w:t>
      </w:r>
    </w:p>
    <w:p w14:paraId="0F1ABD5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26.2采购人根据磋商报告中推荐的成交候选人排列顺序，确定排名第一的为成交供应商。</w:t>
      </w:r>
    </w:p>
    <w:p w14:paraId="32BF7D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3710B7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26.4采购人也可以授权磋商小组评审后直接确定成交供应商。</w:t>
      </w:r>
    </w:p>
    <w:p w14:paraId="30F2A8D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26.5成交供应商确定之后，成交结果将在财政部门指定的政府采购信息发布媒体上公告。</w:t>
      </w:r>
    </w:p>
    <w:p w14:paraId="79036F25">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26.6供应商或者其他利害关系人对评审结果有异议的，应当在法律规定的时间内提出。</w:t>
      </w:r>
    </w:p>
    <w:p w14:paraId="1F9902FF">
      <w:pPr>
        <w:spacing w:line="360" w:lineRule="auto"/>
        <w:rPr>
          <w:rFonts w:hAnsi="宋体" w:cs="宋体"/>
          <w:b/>
          <w:color w:val="auto"/>
          <w:szCs w:val="24"/>
          <w:highlight w:val="none"/>
        </w:rPr>
      </w:pPr>
      <w:r>
        <w:rPr>
          <w:rFonts w:hint="eastAsia" w:hAnsi="宋体" w:cs="宋体"/>
          <w:b/>
          <w:color w:val="auto"/>
          <w:szCs w:val="24"/>
          <w:highlight w:val="none"/>
        </w:rPr>
        <w:t>27．成交通知</w:t>
      </w:r>
    </w:p>
    <w:p w14:paraId="5BA3994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27.1采购代理机构向成交供应商发出《成交通知书》。</w:t>
      </w:r>
      <w:r>
        <w:rPr>
          <w:rFonts w:hint="eastAsia" w:hAnsi="宋体" w:cs="宋体"/>
          <w:b/>
          <w:bCs/>
          <w:color w:val="auto"/>
          <w:szCs w:val="24"/>
          <w:highlight w:val="none"/>
        </w:rPr>
        <w:t>成交供应商领取成交通知书时须携带法定代表人授权书及加盖单位公章的被授权人身份证复印件。</w:t>
      </w:r>
    </w:p>
    <w:p w14:paraId="4B9D9D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27.2成交通知书对采购人和成交供应商具有同等法律效力。成交通知书发出之后，采购人改变成交结果，或者成交供应商放弃成交，应当承担相应的法律责任。</w:t>
      </w:r>
    </w:p>
    <w:p w14:paraId="7FF87CBA">
      <w:pPr>
        <w:spacing w:line="360" w:lineRule="auto"/>
        <w:rPr>
          <w:rFonts w:hAnsi="宋体" w:cs="宋体"/>
          <w:b/>
          <w:color w:val="auto"/>
          <w:szCs w:val="24"/>
          <w:highlight w:val="none"/>
        </w:rPr>
      </w:pPr>
      <w:r>
        <w:rPr>
          <w:rFonts w:hint="eastAsia" w:hAnsi="宋体" w:cs="宋体"/>
          <w:b/>
          <w:color w:val="auto"/>
          <w:szCs w:val="24"/>
          <w:highlight w:val="none"/>
        </w:rPr>
        <w:t>28. 采购合同的签订</w:t>
      </w:r>
    </w:p>
    <w:p w14:paraId="68B9BB2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2BF330C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28.2采购人自采购合同签订之日起七个工作日内，将采购合同副本报同级人民政府财政部门备案。</w:t>
      </w:r>
    </w:p>
    <w:p w14:paraId="38F167B2">
      <w:pPr>
        <w:spacing w:line="360" w:lineRule="auto"/>
        <w:rPr>
          <w:rFonts w:hAnsi="宋体" w:cs="宋体"/>
          <w:b/>
          <w:color w:val="auto"/>
          <w:szCs w:val="24"/>
          <w:highlight w:val="none"/>
        </w:rPr>
      </w:pPr>
      <w:r>
        <w:rPr>
          <w:rFonts w:hint="eastAsia" w:hAnsi="宋体" w:cs="宋体"/>
          <w:b/>
          <w:color w:val="auto"/>
          <w:szCs w:val="24"/>
          <w:highlight w:val="none"/>
        </w:rPr>
        <w:t>29．招标代理及造价咨询服务费</w:t>
      </w:r>
      <w:r>
        <w:rPr>
          <w:rFonts w:hint="eastAsia" w:hAnsi="宋体" w:cs="宋体"/>
          <w:color w:val="auto"/>
          <w:szCs w:val="24"/>
          <w:highlight w:val="none"/>
        </w:rPr>
        <w:t xml:space="preserve"> </w:t>
      </w:r>
    </w:p>
    <w:p w14:paraId="0F8E39B9">
      <w:pPr>
        <w:spacing w:after="159" w:afterLines="50" w:line="360" w:lineRule="auto"/>
        <w:ind w:firstLine="480" w:firstLineChars="200"/>
        <w:jc w:val="left"/>
        <w:rPr>
          <w:rFonts w:hint="eastAsia" w:hAnsi="宋体" w:cs="宋体"/>
          <w:color w:val="auto"/>
          <w:szCs w:val="24"/>
          <w:highlight w:val="none"/>
        </w:rPr>
      </w:pPr>
      <w:r>
        <w:rPr>
          <w:rFonts w:hint="eastAsia" w:hAnsi="宋体" w:cs="宋体"/>
          <w:color w:val="auto"/>
          <w:szCs w:val="24"/>
          <w:highlight w:val="none"/>
          <w:lang w:val="en-US" w:eastAsia="zh-CN"/>
        </w:rPr>
        <w:t>29.</w:t>
      </w:r>
      <w:r>
        <w:rPr>
          <w:rFonts w:hint="eastAsia" w:hAnsi="宋体" w:cs="宋体"/>
          <w:color w:val="auto"/>
          <w:szCs w:val="24"/>
          <w:highlight w:val="none"/>
        </w:rPr>
        <w:t>1、招标代理及造价咨询服务费：依据国家计委颁发的《招标代理服务收费管理暂行办法》（计价格[2002]1980号）和国家发展改革委员会办公厅颁发的《关于招标代理服务收费有关问题的通知》（发改办价格[2003]857号）的有关规定下浮30%计算;</w:t>
      </w:r>
    </w:p>
    <w:p w14:paraId="1EF0FF58">
      <w:pPr>
        <w:spacing w:after="159" w:afterLines="50" w:line="360" w:lineRule="auto"/>
        <w:jc w:val="left"/>
        <w:rPr>
          <w:rFonts w:hint="eastAsia" w:hAnsi="宋体" w:eastAsia="宋体" w:cs="宋体"/>
          <w:color w:val="auto"/>
          <w:szCs w:val="24"/>
          <w:highlight w:val="none"/>
          <w:lang w:val="en-US" w:eastAsia="zh-CN"/>
        </w:rPr>
      </w:pPr>
      <w:r>
        <w:rPr>
          <w:rFonts w:hint="eastAsia" w:hAnsi="宋体" w:cs="宋体"/>
          <w:color w:val="auto"/>
          <w:szCs w:val="24"/>
          <w:highlight w:val="none"/>
        </w:rPr>
        <w:t>造价咨询费以《陕西省物价局陕西省住房和城乡建设厅关于我省工程造价咨询服务收费标准有关问题的通知》(陕价行发[2014]88号)的规定下浮30%</w:t>
      </w:r>
      <w:r>
        <w:rPr>
          <w:rFonts w:hint="eastAsia" w:hAnsi="宋体" w:cs="宋体"/>
          <w:color w:val="auto"/>
          <w:szCs w:val="24"/>
          <w:highlight w:val="none"/>
          <w:lang w:val="en-US" w:eastAsia="zh-CN"/>
        </w:rPr>
        <w:t>执行。</w:t>
      </w:r>
    </w:p>
    <w:p w14:paraId="76EF1ABE">
      <w:pPr>
        <w:spacing w:line="360" w:lineRule="auto"/>
        <w:ind w:firstLine="480" w:firstLineChars="200"/>
        <w:rPr>
          <w:rFonts w:hint="eastAsia" w:hAnsi="宋体" w:cs="宋体"/>
          <w:b w:val="0"/>
          <w:bCs w:val="0"/>
          <w:color w:val="auto"/>
          <w:szCs w:val="24"/>
          <w:highlight w:val="none"/>
        </w:rPr>
      </w:pPr>
      <w:r>
        <w:rPr>
          <w:rFonts w:hint="eastAsia" w:hAnsi="宋体" w:cs="宋体"/>
          <w:color w:val="auto"/>
          <w:szCs w:val="24"/>
          <w:highlight w:val="none"/>
          <w:lang w:val="en-US" w:eastAsia="zh-CN"/>
        </w:rPr>
        <w:t>29.</w:t>
      </w:r>
      <w:r>
        <w:rPr>
          <w:rFonts w:hint="eastAsia" w:hAnsi="宋体" w:cs="宋体"/>
          <w:color w:val="auto"/>
          <w:szCs w:val="24"/>
          <w:highlight w:val="none"/>
        </w:rPr>
        <w:t>2、本项目代理服务费及造价咨询服务费由成交单位支付，成交单位应依据成交金额向招标代理机构交纳招标代理服务费及造价咨询服务费。</w:t>
      </w:r>
    </w:p>
    <w:p w14:paraId="5C90F26D">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代理服务费转账账户：</w:t>
      </w:r>
    </w:p>
    <w:p w14:paraId="2CB424CA">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1、采购代理机构开户名称: 陕西至诚项目管理集团有限公司</w:t>
      </w:r>
    </w:p>
    <w:p w14:paraId="18DE27E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2、开户行名称：中国建设银行股份有限公司西安高新技术产业开发区支行</w:t>
      </w:r>
    </w:p>
    <w:p w14:paraId="49C4C13B">
      <w:pPr>
        <w:pStyle w:val="9"/>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3、账号：61050192090000002152</w:t>
      </w:r>
    </w:p>
    <w:p w14:paraId="34838309">
      <w:pPr>
        <w:numPr>
          <w:ilvl w:val="0"/>
          <w:numId w:val="3"/>
        </w:numPr>
        <w:spacing w:line="600" w:lineRule="exact"/>
        <w:rPr>
          <w:rFonts w:hAnsi="宋体" w:cs="宋体"/>
          <w:b/>
          <w:bCs/>
          <w:color w:val="auto"/>
          <w:szCs w:val="24"/>
          <w:highlight w:val="none"/>
        </w:rPr>
      </w:pPr>
      <w:r>
        <w:rPr>
          <w:rFonts w:hint="eastAsia" w:hAnsi="宋体" w:cs="宋体"/>
          <w:b/>
          <w:bCs/>
          <w:color w:val="auto"/>
          <w:szCs w:val="24"/>
          <w:highlight w:val="none"/>
        </w:rPr>
        <w:t>质疑</w:t>
      </w:r>
    </w:p>
    <w:p w14:paraId="4D39CBF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30.1供应商认为磋商文件、采购过程、成交结果使自己的权益受到损害的，可以在知道或者应知其权益受到损害之日起7个工作日内，以书面形式向采购人、采购代理机构提出质疑。</w:t>
      </w:r>
    </w:p>
    <w:p w14:paraId="57161FB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30.2供应商必须在法定质疑期内一次性提出针对同一采购程序环节的质疑。</w:t>
      </w:r>
    </w:p>
    <w:p w14:paraId="4C98E03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8F966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30.4以联合体形式参加政府采购活动的，其质疑应当由组成联合体的所有供应商共同提出。</w:t>
      </w:r>
    </w:p>
    <w:p w14:paraId="23ACAFA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30.5供应商提出质疑应当提交质疑函和必要的证明材料。质疑函应当包括下列内容：</w:t>
      </w:r>
    </w:p>
    <w:p w14:paraId="471174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30.5.1供应商的姓名或者名称、地址、邮编、联系人及联系电话；</w:t>
      </w:r>
    </w:p>
    <w:p w14:paraId="430853B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30.5.2质疑项目的名称、编号；</w:t>
      </w:r>
    </w:p>
    <w:p w14:paraId="37EAB65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30.5.3具体、明确的质疑事项和与质疑事项相关的请求；</w:t>
      </w:r>
    </w:p>
    <w:p w14:paraId="1F72EAB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30.5.4事实依据；</w:t>
      </w:r>
    </w:p>
    <w:p w14:paraId="18FED5C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30.5.5必要的法律依据；</w:t>
      </w:r>
    </w:p>
    <w:p w14:paraId="4FA10A5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30.5.6提出质疑的日期。</w:t>
      </w:r>
    </w:p>
    <w:p w14:paraId="213C8F7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30.6有下列情形之一的，属于无效质疑，采购代理机构和采购人不予受理：</w:t>
      </w:r>
    </w:p>
    <w:p w14:paraId="21DE76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30.6.1质疑供应商不是参与本次政府采购项目的供应商；</w:t>
      </w:r>
    </w:p>
    <w:p w14:paraId="0325B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30.6.2质疑供应商与质疑事项不存在利害关系的；</w:t>
      </w:r>
    </w:p>
    <w:p w14:paraId="4FB444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30.6.3未在法定期限内提出质疑的；</w:t>
      </w:r>
    </w:p>
    <w:p w14:paraId="371A13F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30.6.4质疑未以书面形式提出，或质疑函主要内容构成不完整的；</w:t>
      </w:r>
    </w:p>
    <w:p w14:paraId="22AE54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30.6.5应当提交授权书而未提交的；</w:t>
      </w:r>
    </w:p>
    <w:p w14:paraId="5BF3F1A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30.6.6以非法手段取得证据、材料的；</w:t>
      </w:r>
    </w:p>
    <w:p w14:paraId="4B8E3C6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30.6.7质疑答复后，同一质疑人就同一事项或同一采购程序环节再次提出质疑的；</w:t>
      </w:r>
    </w:p>
    <w:p w14:paraId="0395522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30.6.8不符合法律、法规、规章和政府采购监管机构规定的其他条件的。</w:t>
      </w:r>
    </w:p>
    <w:p w14:paraId="41D8A3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30.7质疑答复</w:t>
      </w:r>
    </w:p>
    <w:p w14:paraId="07E9E8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30.7.1采购人或采购代理机构在收到质疑函后7个工作日内作出答复，并以书面形式通知质疑供应商和其他有关供应商。</w:t>
      </w:r>
    </w:p>
    <w:p w14:paraId="5294B61B">
      <w:pPr>
        <w:pStyle w:val="2"/>
        <w:jc w:val="center"/>
        <w:rPr>
          <w:rFonts w:ascii="宋体" w:eastAsia="宋体" w:cs="宋体"/>
          <w:bCs/>
          <w:color w:val="auto"/>
          <w:szCs w:val="24"/>
          <w:highlight w:val="none"/>
        </w:rPr>
      </w:pPr>
      <w:bookmarkStart w:id="37" w:name="_Toc403077645"/>
      <w:bookmarkStart w:id="38" w:name="_Toc25783"/>
      <w:bookmarkStart w:id="39" w:name="_Toc423973074"/>
      <w:bookmarkStart w:id="40" w:name="_Toc363474023"/>
      <w:r>
        <w:rPr>
          <w:rFonts w:hint="eastAsia" w:ascii="宋体" w:eastAsia="宋体" w:cs="宋体"/>
          <w:bCs/>
          <w:color w:val="auto"/>
          <w:sz w:val="36"/>
          <w:szCs w:val="36"/>
          <w:highlight w:val="none"/>
        </w:rPr>
        <w:br w:type="page"/>
      </w:r>
      <w:bookmarkStart w:id="41" w:name="_Toc11414"/>
      <w:r>
        <w:rPr>
          <w:rFonts w:hint="eastAsia" w:ascii="宋体" w:eastAsia="宋体" w:cs="宋体"/>
          <w:bCs/>
          <w:color w:val="auto"/>
          <w:szCs w:val="36"/>
          <w:highlight w:val="none"/>
        </w:rPr>
        <w:t xml:space="preserve">第三章  </w:t>
      </w:r>
      <w:r>
        <w:rPr>
          <w:rFonts w:hint="eastAsia" w:ascii="宋体" w:eastAsia="宋体" w:cs="宋体"/>
          <w:bCs/>
          <w:color w:val="auto"/>
          <w:szCs w:val="32"/>
          <w:highlight w:val="none"/>
        </w:rPr>
        <w:t>评审</w:t>
      </w:r>
      <w:r>
        <w:rPr>
          <w:rFonts w:hint="eastAsia" w:ascii="宋体" w:eastAsia="宋体" w:cs="宋体"/>
          <w:bCs/>
          <w:color w:val="auto"/>
          <w:szCs w:val="36"/>
          <w:highlight w:val="none"/>
        </w:rPr>
        <w:t>方法</w:t>
      </w:r>
      <w:bookmarkEnd w:id="41"/>
    </w:p>
    <w:p w14:paraId="03A6E7A9">
      <w:pPr>
        <w:spacing w:line="360" w:lineRule="auto"/>
        <w:rPr>
          <w:rFonts w:hAnsi="宋体" w:cs="宋体"/>
          <w:b/>
          <w:color w:val="auto"/>
          <w:szCs w:val="24"/>
          <w:highlight w:val="none"/>
        </w:rPr>
      </w:pPr>
      <w:r>
        <w:rPr>
          <w:rFonts w:hint="eastAsia" w:hAnsi="宋体" w:cs="宋体"/>
          <w:b/>
          <w:color w:val="auto"/>
          <w:szCs w:val="24"/>
          <w:highlight w:val="none"/>
        </w:rPr>
        <w:t>一、评审方法：</w:t>
      </w:r>
    </w:p>
    <w:p w14:paraId="64D02302">
      <w:pPr>
        <w:spacing w:line="500" w:lineRule="exact"/>
        <w:ind w:firstLine="520" w:firstLineChars="217"/>
        <w:rPr>
          <w:rFonts w:hAnsi="宋体" w:cs="宋体"/>
          <w:color w:val="auto"/>
          <w:spacing w:val="4"/>
          <w:szCs w:val="24"/>
          <w:highlight w:val="none"/>
        </w:rPr>
      </w:pPr>
      <w:r>
        <w:rPr>
          <w:rFonts w:hint="eastAsia" w:hAnsi="宋体" w:cs="宋体"/>
          <w:color w:val="auto"/>
          <w:szCs w:val="24"/>
          <w:highlight w:val="none"/>
        </w:rPr>
        <w:t>按照《中华人民共和国政府采购法》及实施条例和关于印发《政府采购竞争性磋商采购方式管理暂行办法》的通知（财库【2014】214号）</w:t>
      </w:r>
      <w:r>
        <w:rPr>
          <w:rFonts w:hint="eastAsia" w:hAnsi="宋体" w:cs="宋体"/>
          <w:color w:val="auto"/>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3229012E">
      <w:pPr>
        <w:spacing w:line="500" w:lineRule="exact"/>
        <w:rPr>
          <w:rFonts w:hAnsi="宋体" w:cs="宋体"/>
          <w:b/>
          <w:color w:val="auto"/>
          <w:spacing w:val="4"/>
          <w:szCs w:val="24"/>
          <w:highlight w:val="none"/>
        </w:rPr>
      </w:pPr>
      <w:r>
        <w:rPr>
          <w:rFonts w:hint="eastAsia" w:hAnsi="宋体" w:cs="宋体"/>
          <w:b/>
          <w:color w:val="auto"/>
          <w:spacing w:val="4"/>
          <w:szCs w:val="24"/>
          <w:highlight w:val="none"/>
        </w:rPr>
        <w:t>二、评审程序：</w:t>
      </w:r>
    </w:p>
    <w:p w14:paraId="7EBCB317">
      <w:pPr>
        <w:tabs>
          <w:tab w:val="left" w:pos="0"/>
        </w:tabs>
        <w:adjustRightInd w:val="0"/>
        <w:snapToGrid w:val="0"/>
        <w:spacing w:line="500" w:lineRule="exact"/>
        <w:ind w:firstLine="470" w:firstLineChars="196"/>
        <w:rPr>
          <w:rFonts w:hAnsi="宋体" w:cs="宋体"/>
          <w:color w:val="auto"/>
          <w:highlight w:val="none"/>
        </w:rPr>
      </w:pPr>
      <w:r>
        <w:rPr>
          <w:rFonts w:hint="eastAsia" w:hAnsi="宋体" w:cs="宋体"/>
          <w:color w:val="auto"/>
          <w:szCs w:val="24"/>
          <w:highlight w:val="none"/>
        </w:rPr>
        <w:t>按照竞争性磋商响应文件初审、澄清有关问题、分别磋商、二次报价、比较与评审、推荐成交候选人名单。在上一步评审中被认定为无效磋商者，不进入下一步的评审。</w:t>
      </w:r>
    </w:p>
    <w:p w14:paraId="342D2DB2">
      <w:pPr>
        <w:numPr>
          <w:ilvl w:val="0"/>
          <w:numId w:val="4"/>
        </w:numPr>
        <w:spacing w:line="500" w:lineRule="exact"/>
        <w:ind w:firstLine="498" w:firstLineChars="200"/>
        <w:rPr>
          <w:rFonts w:hAnsi="宋体" w:cs="宋体"/>
          <w:b/>
          <w:bCs/>
          <w:color w:val="auto"/>
          <w:spacing w:val="4"/>
          <w:szCs w:val="24"/>
          <w:highlight w:val="none"/>
        </w:rPr>
      </w:pPr>
      <w:r>
        <w:rPr>
          <w:rFonts w:hint="eastAsia" w:hAnsi="宋体" w:cs="宋体"/>
          <w:b/>
          <w:bCs/>
          <w:color w:val="auto"/>
          <w:spacing w:val="4"/>
          <w:szCs w:val="24"/>
          <w:highlight w:val="none"/>
        </w:rPr>
        <w:t>对磋商响应文件的初审：</w:t>
      </w:r>
    </w:p>
    <w:p w14:paraId="2F4FE514">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1.1资格性审查。</w:t>
      </w:r>
      <w:r>
        <w:rPr>
          <w:rFonts w:hint="eastAsia" w:hAnsi="宋体" w:cs="宋体"/>
          <w:color w:val="auto"/>
          <w:highlight w:val="none"/>
        </w:rPr>
        <w:t>采购人及采购代理机构将依据磋商响应文件，按照磋商文件第二章供应商须知前附表12.1条所述资格要求进行资格性审查，如果供应商不满足磋商文件所规定的资格要求或提供资格证明文件不全,将被视为未实质性响应磋商文件。</w:t>
      </w:r>
    </w:p>
    <w:p w14:paraId="68EBD5F8">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1.2符合性审查。</w:t>
      </w:r>
      <w:r>
        <w:rPr>
          <w:rFonts w:hint="eastAsia" w:hAnsi="宋体" w:cs="宋体"/>
          <w:color w:val="auto"/>
          <w:highlight w:val="none"/>
        </w:rPr>
        <w:t>磋商小组从磋商响应文件的完整性、有效性和对磋商文件的响应程度进行审查，以确定其是否对磋商文件实质性内容作出响应。</w:t>
      </w:r>
    </w:p>
    <w:p w14:paraId="4E656B53">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1.2.1竞争性磋商响应文件的完整性。竞争性磋商响应文件构成是否有重大缺项，是否按照竞争性磋商文件要求的格式编写竞争性磋商响应文件。</w:t>
      </w:r>
    </w:p>
    <w:p w14:paraId="7DA0C3B6">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1.2.2竞争性磋商响应文件的有效性。竞争性磋商响应文件的签署、加盖印章是否合格、有效；提供的各种证明文件、数据、资料是否真实、有效。</w:t>
      </w:r>
    </w:p>
    <w:p w14:paraId="4828CF93">
      <w:pPr>
        <w:spacing w:line="500" w:lineRule="exact"/>
        <w:ind w:firstLine="496" w:firstLineChars="200"/>
        <w:rPr>
          <w:rFonts w:hAnsi="宋体" w:cs="宋体"/>
          <w:color w:val="auto"/>
          <w:szCs w:val="24"/>
          <w:highlight w:val="none"/>
        </w:rPr>
      </w:pPr>
      <w:r>
        <w:rPr>
          <w:rFonts w:hint="eastAsia" w:hAnsi="宋体" w:cs="宋体"/>
          <w:bCs/>
          <w:color w:val="auto"/>
          <w:spacing w:val="4"/>
          <w:szCs w:val="24"/>
          <w:highlight w:val="none"/>
        </w:rPr>
        <w:t>1.2.3竞争性磋商</w:t>
      </w:r>
      <w:r>
        <w:rPr>
          <w:rFonts w:hint="eastAsia" w:hAnsi="宋体" w:cs="宋体"/>
          <w:color w:val="auto"/>
          <w:szCs w:val="24"/>
          <w:highlight w:val="none"/>
        </w:rPr>
        <w:t>响应文件的响应性。磋商有效期是否符合竞争性磋商文件要求；是否满足本次磋商的特殊要求；磋商方案是否有重大缺漏项；磋商产品的技术规格是否有重大偏离；磋商商务响应条款是否有重大偏离；对合同中规定的双方的权利和义务是否做出了实质性修改。</w:t>
      </w:r>
    </w:p>
    <w:p w14:paraId="0EE6B1B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1.2.4报价是否超过采购预算。</w:t>
      </w:r>
    </w:p>
    <w:p w14:paraId="04BE5220">
      <w:pPr>
        <w:rPr>
          <w:rFonts w:hAnsi="宋体" w:cs="宋体"/>
          <w:b/>
          <w:color w:val="auto"/>
          <w:highlight w:val="none"/>
        </w:rPr>
      </w:pPr>
      <w:r>
        <w:rPr>
          <w:rFonts w:hint="eastAsia" w:hAnsi="宋体" w:cs="宋体"/>
          <w:b/>
          <w:color w:val="auto"/>
          <w:highlight w:val="none"/>
        </w:rPr>
        <w:br w:type="page"/>
      </w:r>
    </w:p>
    <w:p w14:paraId="39A9DA58">
      <w:pPr>
        <w:spacing w:after="159" w:afterLines="50" w:line="500" w:lineRule="exact"/>
        <w:ind w:firstLine="482" w:firstLineChars="200"/>
        <w:rPr>
          <w:rFonts w:hAnsi="宋体" w:cs="宋体"/>
          <w:b/>
          <w:color w:val="auto"/>
          <w:highlight w:val="none"/>
        </w:rPr>
      </w:pPr>
      <w:r>
        <w:rPr>
          <w:rFonts w:hint="eastAsia" w:hAnsi="宋体" w:cs="宋体"/>
          <w:b/>
          <w:color w:val="auto"/>
          <w:highlight w:val="none"/>
        </w:rPr>
        <w:t>2、磋商响应文件的澄清</w:t>
      </w:r>
    </w:p>
    <w:p w14:paraId="1C8ABFF7">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1.3.1磋商小组发现供应商的报价明显低于其他磋商报价、或明显低于市场价格，使得其磋商报价可能低于其成本的，有可能影响产品质量或者不能诚信履约的，应当要求其在合理的时间内做出书面说明并提交相关证明材料。供应商不能证明其报价合理性的，由磋商小组认定该供应商以低于成本报价竞标，将其作为无效响应处理。</w:t>
      </w:r>
    </w:p>
    <w:p w14:paraId="180B6E3E">
      <w:pPr>
        <w:spacing w:line="500" w:lineRule="exact"/>
        <w:ind w:firstLine="480" w:firstLineChars="200"/>
        <w:rPr>
          <w:rFonts w:hAnsi="宋体" w:cs="宋体"/>
          <w:bCs/>
          <w:color w:val="auto"/>
          <w:spacing w:val="4"/>
          <w:szCs w:val="24"/>
          <w:highlight w:val="none"/>
        </w:rPr>
      </w:pPr>
      <w:r>
        <w:rPr>
          <w:rFonts w:hint="eastAsia" w:hAnsi="宋体" w:cs="宋体"/>
          <w:color w:val="auto"/>
          <w:szCs w:val="24"/>
          <w:highlight w:val="none"/>
        </w:rPr>
        <w:t>1.3.2有效的书面澄清材料，是磋商响应文件的补充材料，成为磋商响应文件的组成部分。</w:t>
      </w:r>
    </w:p>
    <w:p w14:paraId="6D237632">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3、磋商：</w:t>
      </w:r>
      <w:r>
        <w:rPr>
          <w:rFonts w:hint="eastAsia" w:hAnsi="宋体" w:cs="宋体"/>
          <w:color w:val="auto"/>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14:paraId="676A58A2">
      <w:pPr>
        <w:pStyle w:val="9"/>
        <w:spacing w:line="500" w:lineRule="exact"/>
        <w:ind w:firstLine="482" w:firstLineChars="200"/>
        <w:rPr>
          <w:rFonts w:ascii="宋体" w:hAnsi="宋体" w:cs="宋体"/>
          <w:color w:val="auto"/>
          <w:highlight w:val="none"/>
        </w:rPr>
      </w:pPr>
      <w:r>
        <w:rPr>
          <w:rFonts w:hint="eastAsia" w:ascii="宋体" w:hAnsi="宋体" w:cs="宋体"/>
          <w:b/>
          <w:bCs/>
          <w:color w:val="auto"/>
          <w:sz w:val="24"/>
          <w:szCs w:val="24"/>
          <w:highlight w:val="none"/>
        </w:rPr>
        <w:t>4、综合评审：</w:t>
      </w:r>
      <w:r>
        <w:rPr>
          <w:rFonts w:hint="eastAsia" w:ascii="宋体" w:hAnsi="宋体" w:cs="宋体"/>
          <w:color w:val="auto"/>
          <w:kern w:val="0"/>
          <w:sz w:val="24"/>
          <w:szCs w:val="24"/>
          <w:highlight w:val="none"/>
        </w:rPr>
        <w:t>对于经初审合格的所有供应商，由磋商小组各成员依据磋商响应文件和最终报价，按照下列《评标要素和分值分解表》规定的内容独立进行综合评价、比较打分，然后汇总每个供应商的得分，从高到低依次排序，推荐中标候选人。</w:t>
      </w:r>
    </w:p>
    <w:p w14:paraId="68F01C6C">
      <w:pPr>
        <w:spacing w:line="360" w:lineRule="auto"/>
        <w:ind w:firstLine="498" w:firstLineChars="200"/>
        <w:jc w:val="center"/>
        <w:rPr>
          <w:rFonts w:hint="eastAsia" w:hAnsi="宋体" w:cs="宋体"/>
          <w:b/>
          <w:color w:val="auto"/>
          <w:szCs w:val="24"/>
          <w:highlight w:val="none"/>
        </w:rPr>
      </w:pPr>
      <w:r>
        <w:rPr>
          <w:rFonts w:hint="eastAsia" w:hAnsi="宋体" w:cs="宋体"/>
          <w:b/>
          <w:color w:val="auto"/>
          <w:spacing w:val="4"/>
          <w:szCs w:val="24"/>
          <w:highlight w:val="none"/>
        </w:rPr>
        <w:br w:type="page"/>
      </w:r>
      <w:r>
        <w:rPr>
          <w:rFonts w:hint="eastAsia" w:hAnsi="宋体" w:cs="宋体"/>
          <w:b/>
          <w:color w:val="auto"/>
          <w:spacing w:val="4"/>
          <w:szCs w:val="24"/>
          <w:highlight w:val="none"/>
        </w:rPr>
        <w:t>四、</w:t>
      </w:r>
      <w:r>
        <w:rPr>
          <w:rFonts w:hint="eastAsia" w:hAnsi="宋体" w:cs="宋体"/>
          <w:b/>
          <w:color w:val="auto"/>
          <w:szCs w:val="24"/>
          <w:highlight w:val="none"/>
        </w:rPr>
        <w:t>评审要素和分值分解表</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326"/>
        <w:gridCol w:w="6798"/>
      </w:tblGrid>
      <w:tr w14:paraId="3621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24" w:type="pct"/>
            <w:noWrap w:val="0"/>
            <w:vAlign w:val="center"/>
          </w:tcPr>
          <w:p w14:paraId="51187779">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名称</w:t>
            </w:r>
          </w:p>
        </w:tc>
        <w:tc>
          <w:tcPr>
            <w:tcW w:w="714" w:type="pct"/>
            <w:noWrap w:val="0"/>
            <w:vAlign w:val="center"/>
          </w:tcPr>
          <w:p w14:paraId="04FD68FF">
            <w:pPr>
              <w:jc w:val="center"/>
              <w:rPr>
                <w:rFonts w:hint="eastAsia" w:ascii="宋体" w:hAnsi="宋体" w:eastAsia="宋体" w:cs="宋体"/>
                <w:sz w:val="24"/>
                <w:szCs w:val="24"/>
                <w:highlight w:val="none"/>
                <w:lang w:val="en-US" w:eastAsia="zh-CN"/>
              </w:rPr>
            </w:pPr>
            <w:r>
              <w:rPr>
                <w:rFonts w:hint="eastAsia" w:hAnsi="宋体" w:cs="宋体"/>
                <w:sz w:val="24"/>
                <w:szCs w:val="24"/>
                <w:highlight w:val="none"/>
                <w:lang w:val="en-US" w:eastAsia="zh-CN"/>
              </w:rPr>
              <w:t>分值</w:t>
            </w:r>
          </w:p>
        </w:tc>
        <w:tc>
          <w:tcPr>
            <w:tcW w:w="3660" w:type="pct"/>
            <w:noWrap w:val="0"/>
            <w:vAlign w:val="center"/>
          </w:tcPr>
          <w:p w14:paraId="78266156">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评审要素</w:t>
            </w:r>
          </w:p>
        </w:tc>
      </w:tr>
      <w:tr w14:paraId="48FB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62033558">
            <w:pPr>
              <w:jc w:val="center"/>
              <w:rPr>
                <w:rFonts w:hint="default" w:ascii="宋体" w:hAnsi="宋体" w:eastAsia="宋体" w:cs="宋体"/>
                <w:sz w:val="24"/>
                <w:szCs w:val="24"/>
                <w:highlight w:val="none"/>
                <w:lang w:val="en-US"/>
              </w:rPr>
            </w:pPr>
            <w:r>
              <w:rPr>
                <w:rFonts w:hint="eastAsia" w:hAnsi="宋体" w:cs="宋体"/>
                <w:sz w:val="24"/>
                <w:szCs w:val="24"/>
                <w:highlight w:val="none"/>
                <w:lang w:val="en-US" w:eastAsia="zh-CN"/>
              </w:rPr>
              <w:t>磋商报价</w:t>
            </w:r>
          </w:p>
        </w:tc>
        <w:tc>
          <w:tcPr>
            <w:tcW w:w="714" w:type="pct"/>
            <w:noWrap w:val="0"/>
            <w:vAlign w:val="center"/>
          </w:tcPr>
          <w:p w14:paraId="01CF16FE">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30分</w:t>
            </w:r>
          </w:p>
        </w:tc>
        <w:tc>
          <w:tcPr>
            <w:tcW w:w="3660" w:type="pct"/>
            <w:noWrap w:val="0"/>
            <w:vAlign w:val="center"/>
          </w:tcPr>
          <w:p w14:paraId="531B8A81">
            <w:pPr>
              <w:rPr>
                <w:rFonts w:hint="eastAsia" w:ascii="宋体" w:hAnsi="宋体" w:eastAsia="宋体" w:cs="宋体"/>
                <w:sz w:val="24"/>
                <w:szCs w:val="24"/>
                <w:highlight w:val="none"/>
              </w:rPr>
            </w:pPr>
            <w:r>
              <w:rPr>
                <w:rFonts w:hint="eastAsia" w:ascii="宋体" w:hAnsi="宋体" w:eastAsia="宋体" w:cs="宋体"/>
                <w:sz w:val="24"/>
                <w:szCs w:val="24"/>
                <w:highlight w:val="none"/>
              </w:rPr>
              <w:t>满足磋商文件要求且最后报价最低的供应商的价格为磋商基准价得30分，其他各供应商的最后磋商报价得分按下列公式计算：</w:t>
            </w:r>
          </w:p>
          <w:p w14:paraId="73B7A171">
            <w:pPr>
              <w:rPr>
                <w:rFonts w:hint="eastAsia" w:ascii="宋体" w:hAnsi="宋体" w:eastAsia="宋体" w:cs="宋体"/>
                <w:sz w:val="24"/>
                <w:szCs w:val="24"/>
                <w:highlight w:val="none"/>
              </w:rPr>
            </w:pPr>
            <w:r>
              <w:rPr>
                <w:rFonts w:hint="eastAsia" w:ascii="宋体" w:hAnsi="宋体" w:eastAsia="宋体" w:cs="宋体"/>
                <w:sz w:val="24"/>
                <w:szCs w:val="24"/>
                <w:highlight w:val="none"/>
              </w:rPr>
              <w:t>（磋商基准价/最后磋商报价）×30%×100。</w:t>
            </w:r>
          </w:p>
        </w:tc>
      </w:tr>
      <w:tr w14:paraId="226E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65A3D80A">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施工</w:t>
            </w:r>
          </w:p>
          <w:p w14:paraId="54E4A109">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部署</w:t>
            </w:r>
          </w:p>
        </w:tc>
        <w:tc>
          <w:tcPr>
            <w:tcW w:w="714" w:type="pct"/>
            <w:noWrap w:val="0"/>
            <w:vAlign w:val="center"/>
          </w:tcPr>
          <w:p w14:paraId="65D7A0A2">
            <w:pPr>
              <w:adjustRightInd w:val="0"/>
              <w:snapToGrid w:val="0"/>
              <w:jc w:val="center"/>
              <w:rPr>
                <w:rFonts w:hint="eastAsia" w:ascii="宋体" w:hAnsi="宋体" w:eastAsia="宋体" w:cs="宋体"/>
                <w:bCs/>
                <w:sz w:val="24"/>
                <w:szCs w:val="24"/>
                <w:highlight w:val="none"/>
                <w:lang w:val="zh-CN"/>
              </w:rPr>
            </w:pPr>
            <w:r>
              <w:rPr>
                <w:rFonts w:hint="eastAsia" w:ascii="宋体" w:hAnsi="宋体" w:eastAsia="宋体" w:cs="宋体"/>
                <w:bCs/>
                <w:sz w:val="24"/>
                <w:szCs w:val="24"/>
                <w:highlight w:val="none"/>
                <w:lang w:val="zh-CN"/>
              </w:rPr>
              <w:t>（</w:t>
            </w:r>
            <w:r>
              <w:rPr>
                <w:rFonts w:hint="eastAsia" w:hAnsi="宋体" w:cs="宋体"/>
                <w:bCs/>
                <w:sz w:val="24"/>
                <w:szCs w:val="24"/>
                <w:highlight w:val="none"/>
                <w:lang w:val="en-US" w:eastAsia="zh-CN"/>
              </w:rPr>
              <w:t>6</w:t>
            </w:r>
            <w:r>
              <w:rPr>
                <w:rFonts w:hint="eastAsia" w:ascii="宋体" w:hAnsi="宋体" w:eastAsia="宋体" w:cs="宋体"/>
                <w:bCs/>
                <w:sz w:val="24"/>
                <w:szCs w:val="24"/>
                <w:highlight w:val="none"/>
              </w:rPr>
              <w:t>分</w:t>
            </w:r>
            <w:r>
              <w:rPr>
                <w:rFonts w:hint="eastAsia" w:ascii="宋体" w:hAnsi="宋体" w:eastAsia="宋体" w:cs="宋体"/>
                <w:bCs/>
                <w:sz w:val="24"/>
                <w:szCs w:val="24"/>
                <w:highlight w:val="none"/>
                <w:lang w:val="zh-CN"/>
              </w:rPr>
              <w:t>）</w:t>
            </w:r>
          </w:p>
        </w:tc>
        <w:tc>
          <w:tcPr>
            <w:tcW w:w="3660" w:type="pct"/>
            <w:noWrap w:val="0"/>
            <w:vAlign w:val="center"/>
          </w:tcPr>
          <w:p w14:paraId="472E89C3">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一、评审内容</w:t>
            </w:r>
          </w:p>
          <w:p w14:paraId="48C21231">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供应商针对本项目编制完善的施工部署，内容包含：①施工目标:成本目标、工期目标、质量目标②施工准备：技术准备、材料准备③施工平面布置与安排：现场围挡及收入口管理、交通组织安排、消防及道路安排。</w:t>
            </w:r>
          </w:p>
          <w:p w14:paraId="5B013DF5">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二、评审标准</w:t>
            </w:r>
          </w:p>
          <w:p w14:paraId="69273A3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1、完整性：方案必须全面，对评审内容中的各项要求有详细描述；</w:t>
            </w:r>
          </w:p>
          <w:p w14:paraId="726B38E8">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2、可实施性：切合本项目实际情况，提出步骤清晰、合理的方案；</w:t>
            </w:r>
          </w:p>
          <w:p w14:paraId="1F61BF64">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3、针对性：方案能够紧扣项目实际情况，内容科学合理。</w:t>
            </w:r>
          </w:p>
          <w:p w14:paraId="565A905D">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三、赋分标准（满分</w:t>
            </w:r>
            <w:r>
              <w:rPr>
                <w:rFonts w:hint="eastAsia" w:hAnsi="宋体" w:cs="宋体"/>
                <w:sz w:val="24"/>
                <w:szCs w:val="24"/>
                <w:highlight w:val="none"/>
                <w:lang w:val="en-US" w:eastAsia="zh-CN"/>
              </w:rPr>
              <w:t>6</w:t>
            </w:r>
            <w:r>
              <w:rPr>
                <w:rFonts w:hint="eastAsia" w:ascii="宋体" w:hAnsi="宋体" w:eastAsia="宋体" w:cs="宋体"/>
                <w:sz w:val="24"/>
                <w:szCs w:val="24"/>
                <w:highlight w:val="none"/>
                <w:lang w:val="zh-CN"/>
              </w:rPr>
              <w:t>分）</w:t>
            </w:r>
          </w:p>
          <w:p w14:paraId="42F89B9D">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①施工目标：每完全满足一个评审标准得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zh-CN"/>
              </w:rPr>
              <w:t>分；</w:t>
            </w:r>
          </w:p>
          <w:p w14:paraId="0AC681C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②施工准备：每完全满足一个评审标准得0.5分，满分1.5分；</w:t>
            </w:r>
          </w:p>
          <w:p w14:paraId="1CF74EA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③施工平面布置与安排：每完全满足一个评审标准得0.5分，满分1.5分。</w:t>
            </w:r>
          </w:p>
        </w:tc>
      </w:tr>
      <w:tr w14:paraId="5B15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0" w:hRule="atLeast"/>
          <w:jc w:val="center"/>
        </w:trPr>
        <w:tc>
          <w:tcPr>
            <w:tcW w:w="624" w:type="pct"/>
            <w:noWrap w:val="0"/>
            <w:vAlign w:val="center"/>
          </w:tcPr>
          <w:p w14:paraId="0736254B">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施工</w:t>
            </w:r>
          </w:p>
          <w:p w14:paraId="429448D5">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进度</w:t>
            </w:r>
          </w:p>
          <w:p w14:paraId="76DBD538">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计划</w:t>
            </w:r>
          </w:p>
        </w:tc>
        <w:tc>
          <w:tcPr>
            <w:tcW w:w="714" w:type="pct"/>
            <w:noWrap w:val="0"/>
            <w:vAlign w:val="center"/>
          </w:tcPr>
          <w:p w14:paraId="50759636">
            <w:pPr>
              <w:adjustRightInd w:val="0"/>
              <w:snapToGrid w:val="0"/>
              <w:jc w:val="center"/>
              <w:rPr>
                <w:rFonts w:hint="default" w:ascii="宋体" w:hAnsi="宋体" w:eastAsia="宋体" w:cs="宋体"/>
                <w:bCs/>
                <w:sz w:val="24"/>
                <w:szCs w:val="24"/>
                <w:highlight w:val="none"/>
                <w:lang w:val="en-US" w:eastAsia="zh-CN"/>
              </w:rPr>
            </w:pPr>
            <w:r>
              <w:rPr>
                <w:rFonts w:hint="eastAsia" w:hAnsi="宋体" w:cs="宋体"/>
                <w:bCs/>
                <w:sz w:val="24"/>
                <w:szCs w:val="24"/>
                <w:highlight w:val="none"/>
                <w:lang w:val="en-US" w:eastAsia="zh-CN"/>
              </w:rPr>
              <w:t>（9分）</w:t>
            </w:r>
          </w:p>
        </w:tc>
        <w:tc>
          <w:tcPr>
            <w:tcW w:w="3660" w:type="pct"/>
            <w:noWrap w:val="0"/>
            <w:vAlign w:val="center"/>
          </w:tcPr>
          <w:p w14:paraId="626B859B">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一、评审内容</w:t>
            </w:r>
          </w:p>
          <w:p w14:paraId="4F7F9C8F">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供应商针对本项目编制完善的施工进度计划，内容包含：①施工进度计划横道图②进度计划保证措施。</w:t>
            </w:r>
          </w:p>
          <w:p w14:paraId="69FBB1E5">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二、评审标准</w:t>
            </w:r>
          </w:p>
          <w:p w14:paraId="7CB8F07D">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1、完整性：方案必须全面，对评审内容中的各项要求有详细描述；</w:t>
            </w:r>
          </w:p>
          <w:p w14:paraId="187F1441">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2、可实施性：切合本项目实际情况，提出步骤清晰、合理的方案；</w:t>
            </w:r>
          </w:p>
          <w:p w14:paraId="7B172153">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3、针对性：方案能够紧扣项目实际情况，内容科学合理。</w:t>
            </w:r>
          </w:p>
          <w:p w14:paraId="3585B581">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三、赋分标准（满分9分）</w:t>
            </w:r>
          </w:p>
          <w:p w14:paraId="4EC76EA8">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①施工进度计划图：每完全满足一个评审标准得</w:t>
            </w:r>
            <w:r>
              <w:rPr>
                <w:rFonts w:hint="eastAsia" w:hAnsi="宋体" w:cs="宋体"/>
                <w:sz w:val="24"/>
                <w:szCs w:val="24"/>
                <w:highlight w:val="none"/>
                <w:lang w:val="en-US" w:eastAsia="zh-CN"/>
              </w:rPr>
              <w:t>2</w:t>
            </w:r>
            <w:r>
              <w:rPr>
                <w:rFonts w:hint="eastAsia" w:hAnsi="宋体" w:cs="宋体"/>
                <w:sz w:val="24"/>
                <w:szCs w:val="24"/>
                <w:highlight w:val="none"/>
                <w:lang w:val="zh-CN"/>
              </w:rPr>
              <w:t>分，满分</w:t>
            </w:r>
            <w:r>
              <w:rPr>
                <w:rFonts w:hint="eastAsia" w:hAnsi="宋体" w:cs="宋体"/>
                <w:sz w:val="24"/>
                <w:szCs w:val="24"/>
                <w:highlight w:val="none"/>
                <w:lang w:val="en-US" w:eastAsia="zh-CN"/>
              </w:rPr>
              <w:t>6</w:t>
            </w:r>
            <w:r>
              <w:rPr>
                <w:rFonts w:hint="eastAsia" w:hAnsi="宋体" w:cs="宋体"/>
                <w:sz w:val="24"/>
                <w:szCs w:val="24"/>
                <w:highlight w:val="none"/>
                <w:lang w:val="zh-CN"/>
              </w:rPr>
              <w:t>分；</w:t>
            </w:r>
          </w:p>
          <w:p w14:paraId="039189DA">
            <w:pPr>
              <w:tabs>
                <w:tab w:val="left" w:pos="1264"/>
              </w:tabs>
              <w:adjustRightInd w:val="0"/>
              <w:snapToGrid w:val="0"/>
              <w:jc w:val="left"/>
              <w:rPr>
                <w:rFonts w:hint="eastAsia" w:ascii="宋体" w:hAnsi="宋体" w:eastAsia="宋体" w:cs="宋体"/>
                <w:sz w:val="24"/>
                <w:szCs w:val="24"/>
                <w:highlight w:val="none"/>
                <w:lang w:val="zh-CN"/>
              </w:rPr>
            </w:pPr>
            <w:r>
              <w:rPr>
                <w:rFonts w:hint="eastAsia" w:hAnsi="宋体" w:cs="宋体"/>
                <w:sz w:val="24"/>
                <w:szCs w:val="24"/>
                <w:highlight w:val="none"/>
                <w:lang w:val="zh-CN"/>
              </w:rPr>
              <w:t>②进度计划保证措施：每完全满足一个评审标准得1分，满分3分；</w:t>
            </w:r>
          </w:p>
        </w:tc>
      </w:tr>
      <w:tr w14:paraId="114E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23050A8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9FAC03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w:t>
            </w:r>
          </w:p>
        </w:tc>
        <w:tc>
          <w:tcPr>
            <w:tcW w:w="714" w:type="pct"/>
            <w:noWrap w:val="0"/>
            <w:vAlign w:val="center"/>
          </w:tcPr>
          <w:p w14:paraId="4038562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hAnsi="宋体" w:cs="宋体"/>
                <w:sz w:val="24"/>
                <w:szCs w:val="24"/>
                <w:highlight w:val="none"/>
                <w:lang w:val="en-US" w:eastAsia="zh-CN"/>
              </w:rPr>
              <w:t>9</w:t>
            </w:r>
            <w:r>
              <w:rPr>
                <w:rFonts w:hint="eastAsia" w:ascii="宋体" w:hAnsi="宋体" w:eastAsia="宋体" w:cs="宋体"/>
                <w:sz w:val="24"/>
                <w:szCs w:val="24"/>
                <w:highlight w:val="none"/>
              </w:rPr>
              <w:t>分）</w:t>
            </w:r>
          </w:p>
        </w:tc>
        <w:tc>
          <w:tcPr>
            <w:tcW w:w="3660" w:type="pct"/>
            <w:noWrap w:val="0"/>
            <w:vAlign w:val="center"/>
          </w:tcPr>
          <w:p w14:paraId="65CA9F34">
            <w:pPr>
              <w:numPr>
                <w:ilvl w:val="0"/>
                <w:numId w:val="5"/>
              </w:numPr>
              <w:adjustRightInd w:val="0"/>
              <w:snapToGrid w:val="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评审内容：</w:t>
            </w:r>
          </w:p>
          <w:p w14:paraId="012B31E3">
            <w:pPr>
              <w:keepNext w:val="0"/>
              <w:keepLines w:val="0"/>
              <w:widowControl/>
              <w:suppressLineNumbers w:val="0"/>
              <w:jc w:val="left"/>
              <w:rPr>
                <w:highlight w:val="none"/>
              </w:rPr>
            </w:pPr>
            <w:r>
              <w:rPr>
                <w:rFonts w:hint="eastAsia"/>
                <w:highlight w:val="none"/>
                <w:lang w:val="en-US" w:eastAsia="zh-CN"/>
              </w:rPr>
              <w:t>供应</w:t>
            </w:r>
            <w:r>
              <w:rPr>
                <w:rFonts w:hint="eastAsia"/>
                <w:sz w:val="24"/>
                <w:szCs w:val="24"/>
                <w:highlight w:val="none"/>
                <w:lang w:val="en-US" w:eastAsia="zh-CN"/>
              </w:rPr>
              <w:t>供应商针对本项目编制完善的施工方案内容包含：①工程重难点及解决措施②工程施工方法</w:t>
            </w:r>
            <w:r>
              <w:rPr>
                <w:rFonts w:hint="eastAsia"/>
                <w:highlight w:val="none"/>
                <w:lang w:val="en-US" w:eastAsia="zh-CN"/>
              </w:rPr>
              <w:t>③施工质量通病防治措施。</w:t>
            </w:r>
          </w:p>
          <w:p w14:paraId="6848813E">
            <w:pPr>
              <w:pStyle w:val="23"/>
              <w:numPr>
                <w:ilvl w:val="0"/>
                <w:numId w:val="0"/>
              </w:numPr>
              <w:ind w:leftChars="0"/>
              <w:rPr>
                <w:rFonts w:hint="eastAsia"/>
                <w:b w:val="0"/>
                <w:bCs/>
                <w:sz w:val="24"/>
                <w:szCs w:val="24"/>
                <w:highlight w:val="none"/>
                <w:lang w:val="en-US" w:eastAsia="zh-CN"/>
              </w:rPr>
            </w:pPr>
            <w:r>
              <w:rPr>
                <w:rFonts w:hint="eastAsia"/>
                <w:b w:val="0"/>
                <w:bCs/>
                <w:sz w:val="24"/>
                <w:szCs w:val="24"/>
                <w:highlight w:val="none"/>
                <w:lang w:val="en-US" w:eastAsia="zh-CN"/>
              </w:rPr>
              <w:t>二、评审标准</w:t>
            </w:r>
          </w:p>
          <w:p w14:paraId="43F67828">
            <w:pPr>
              <w:numPr>
                <w:ilvl w:val="0"/>
                <w:numId w:val="0"/>
              </w:numPr>
              <w:ind w:leftChars="0"/>
              <w:rPr>
                <w:rFonts w:hint="default"/>
                <w:highlight w:val="none"/>
                <w:lang w:val="en-US" w:eastAsia="zh-CN"/>
              </w:rPr>
            </w:pPr>
            <w:r>
              <w:rPr>
                <w:rFonts w:hint="default"/>
                <w:highlight w:val="none"/>
                <w:lang w:val="en-US" w:eastAsia="zh-CN"/>
              </w:rPr>
              <w:t>1、完整性：方案必须全面，对评审内容中的各项要求有详细描述；</w:t>
            </w:r>
          </w:p>
          <w:p w14:paraId="2D9F19FE">
            <w:pPr>
              <w:numPr>
                <w:ilvl w:val="0"/>
                <w:numId w:val="0"/>
              </w:numPr>
              <w:ind w:leftChars="0"/>
              <w:rPr>
                <w:rFonts w:hint="default"/>
                <w:highlight w:val="none"/>
                <w:lang w:val="en-US" w:eastAsia="zh-CN"/>
              </w:rPr>
            </w:pPr>
            <w:r>
              <w:rPr>
                <w:rFonts w:hint="default"/>
                <w:highlight w:val="none"/>
                <w:lang w:val="en-US" w:eastAsia="zh-CN"/>
              </w:rPr>
              <w:t>2、可实施性：切合本项目实际情况，提出步骤清晰、合理的方案；</w:t>
            </w:r>
          </w:p>
          <w:p w14:paraId="4E6E6986">
            <w:pPr>
              <w:numPr>
                <w:ilvl w:val="0"/>
                <w:numId w:val="0"/>
              </w:numPr>
              <w:ind w:leftChars="0"/>
              <w:rPr>
                <w:rFonts w:hint="default"/>
                <w:highlight w:val="none"/>
                <w:lang w:val="en-US" w:eastAsia="zh-CN"/>
              </w:rPr>
            </w:pPr>
            <w:r>
              <w:rPr>
                <w:rFonts w:hint="default"/>
                <w:highlight w:val="none"/>
                <w:lang w:val="en-US" w:eastAsia="zh-CN"/>
              </w:rPr>
              <w:t>3、针对性：方案能够紧扣项目实际情况，内容科学合理。</w:t>
            </w:r>
          </w:p>
          <w:p w14:paraId="22C430F2">
            <w:pPr>
              <w:pStyle w:val="24"/>
              <w:ind w:left="0" w:leftChars="0" w:firstLine="0" w:firstLineChars="0"/>
              <w:rPr>
                <w:rFonts w:hint="default"/>
                <w:sz w:val="24"/>
                <w:szCs w:val="24"/>
                <w:highlight w:val="none"/>
                <w:lang w:val="en-US" w:eastAsia="zh-CN"/>
              </w:rPr>
            </w:pPr>
            <w:r>
              <w:rPr>
                <w:rFonts w:hint="default"/>
                <w:sz w:val="24"/>
                <w:szCs w:val="24"/>
                <w:highlight w:val="none"/>
                <w:lang w:val="en-US" w:eastAsia="zh-CN"/>
              </w:rPr>
              <w:t>三、赋分标准</w:t>
            </w:r>
            <w:r>
              <w:rPr>
                <w:rFonts w:hint="eastAsia"/>
                <w:sz w:val="24"/>
                <w:szCs w:val="24"/>
                <w:highlight w:val="none"/>
                <w:lang w:val="en-US" w:eastAsia="zh-CN"/>
              </w:rPr>
              <w:t>（9分）</w:t>
            </w:r>
          </w:p>
          <w:p w14:paraId="5C17E338">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①工程重难点及解决措施：每完全满足一个评审标准得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p w14:paraId="0028B58B">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②工程施工方法：每完全满足一个评审标准得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p w14:paraId="5B00AB82">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③施工质量通病防治措施：每完全满足一个评审标准得1分，满分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tc>
      </w:tr>
      <w:tr w14:paraId="0F09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9DD825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w:t>
            </w:r>
          </w:p>
          <w:p w14:paraId="7784F61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保证</w:t>
            </w:r>
          </w:p>
          <w:p w14:paraId="09C8EB8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1EA3EEEC">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26D42CEC">
            <w:pPr>
              <w:jc w:val="both"/>
              <w:rPr>
                <w:rFonts w:hint="eastAsia" w:hAnsi="宋体" w:cs="宋体"/>
                <w:sz w:val="24"/>
                <w:szCs w:val="24"/>
                <w:highlight w:val="none"/>
                <w:lang w:eastAsia="zh-CN"/>
              </w:rPr>
            </w:pPr>
            <w:r>
              <w:rPr>
                <w:rFonts w:hint="eastAsia" w:hAnsi="宋体" w:cs="宋体"/>
                <w:sz w:val="24"/>
                <w:szCs w:val="24"/>
                <w:highlight w:val="none"/>
                <w:lang w:eastAsia="zh-CN"/>
              </w:rPr>
              <w:t>一、评审内容</w:t>
            </w:r>
          </w:p>
          <w:p w14:paraId="288F33A4">
            <w:pPr>
              <w:jc w:val="both"/>
              <w:rPr>
                <w:rFonts w:hint="eastAsia" w:hAnsi="宋体" w:cs="宋体"/>
                <w:sz w:val="24"/>
                <w:szCs w:val="24"/>
                <w:highlight w:val="none"/>
                <w:lang w:eastAsia="zh-CN"/>
              </w:rPr>
            </w:pPr>
            <w:r>
              <w:rPr>
                <w:rFonts w:hint="eastAsia" w:hAnsi="宋体" w:cs="宋体"/>
                <w:sz w:val="24"/>
                <w:szCs w:val="24"/>
                <w:highlight w:val="none"/>
                <w:lang w:eastAsia="zh-CN"/>
              </w:rPr>
              <w:t>供应商针对本项目编制完善的质量保证措施，内容包含：①质量目标管理体系②施工质量的检验制度③确保质量的技术组织措施④施工质量控制措施。</w:t>
            </w:r>
            <w:r>
              <w:rPr>
                <w:rFonts w:hint="eastAsia" w:hAnsi="宋体" w:cs="宋体"/>
                <w:sz w:val="24"/>
                <w:szCs w:val="24"/>
                <w:highlight w:val="none"/>
                <w:lang w:val="en-US" w:eastAsia="zh-CN"/>
              </w:rPr>
              <w:t xml:space="preserve"> </w:t>
            </w:r>
          </w:p>
          <w:p w14:paraId="4FBB4DF9">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二、评审标准 </w:t>
            </w:r>
          </w:p>
          <w:p w14:paraId="7F279128">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1、完整性：方案必须全面，对评审内容中的各项要求有详细描述； </w:t>
            </w:r>
          </w:p>
          <w:p w14:paraId="3211E5A1">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2、可实施性：切合本项目实际情况，提出步骤清晰、合理的方案； </w:t>
            </w:r>
          </w:p>
          <w:p w14:paraId="67B7328B">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3、针对性：方案能够紧扣项目实际情况，内容科学合理。 </w:t>
            </w:r>
          </w:p>
          <w:p w14:paraId="4235A26C">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三、赋分标准（满分6分） </w:t>
            </w:r>
          </w:p>
          <w:p w14:paraId="3EB011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①质量目标管理体系：每完全满足一个评审标准得0.5分，满分1.5分；</w:t>
            </w:r>
          </w:p>
          <w:p w14:paraId="7E5E31E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②施工质量检验制度：每完全满足一个评审标准得0.5分，满分1.5分；</w:t>
            </w:r>
          </w:p>
          <w:p w14:paraId="466469FD">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③确保质量的技术组织措施：每完全满足一个评审标准得0.5分，满分1.5分；</w:t>
            </w:r>
          </w:p>
          <w:p w14:paraId="159F542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④施工质量控制措施：每完全满足一个评审标准得0.5分，满分1.5分。</w:t>
            </w:r>
          </w:p>
        </w:tc>
      </w:tr>
      <w:tr w14:paraId="3FF3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1ED7FBA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w:t>
            </w:r>
          </w:p>
          <w:p w14:paraId="6EAAE6E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3331C2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3FFC2DD8">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5511B9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1079997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供应商针对本项目编制完整的安全施工措施，内容包含：①安全生产管理制度②安全施工措施③安全应急预案④安全生产教育。</w:t>
            </w:r>
          </w:p>
          <w:p w14:paraId="06E6285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129BB32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038E23D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6D7355F7">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02193D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三、赋分标准（满分6分）</w:t>
            </w:r>
          </w:p>
          <w:p w14:paraId="06C65C1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①安全生产管理制度：每完全满足一个评审标准得0.5分，满分1.5分；</w:t>
            </w:r>
          </w:p>
          <w:p w14:paraId="5C3453C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②安全施工措施：每完全满足一个评审标准得0.5分，满分1.5分；</w:t>
            </w:r>
          </w:p>
          <w:p w14:paraId="2C5DB2F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③安全应急预案：每完全满足一个评审标准得0.5分，满分1.5分；</w:t>
            </w:r>
          </w:p>
          <w:p w14:paraId="66881AB2">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④安全生产教育：每完全满足一个评审标准得0.5分，满分1.5分。</w:t>
            </w:r>
          </w:p>
        </w:tc>
      </w:tr>
      <w:tr w14:paraId="20B6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20863E9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文明</w:t>
            </w:r>
          </w:p>
          <w:p w14:paraId="4B0D2D7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728170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6C2A0812">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5893E71C">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一、评审内容 </w:t>
            </w:r>
          </w:p>
          <w:p w14:paraId="1AE23749">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供应商编制完善的文明施工措施，内容包含：①安全文明施工目标及施工现场的临时管理措施②文明施工保障措施。 </w:t>
            </w:r>
          </w:p>
          <w:p w14:paraId="267C2520">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二、评审标准 </w:t>
            </w:r>
          </w:p>
          <w:p w14:paraId="79B663C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4F1377E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3E00427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35B12FD4">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三、赋分标准（满分3分） </w:t>
            </w:r>
          </w:p>
          <w:p w14:paraId="0AC021F7">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①安全文明施工目标及施工现场的临时管理措施：每完全满足一个评审标准得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en-US" w:eastAsia="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en-US" w:eastAsia="zh-CN"/>
              </w:rPr>
              <w:t xml:space="preserve">分； </w:t>
            </w:r>
          </w:p>
          <w:p w14:paraId="68580EE7">
            <w:pPr>
              <w:jc w:val="left"/>
              <w:rPr>
                <w:rFonts w:hint="eastAsia" w:hAnsi="宋体" w:cs="宋体"/>
                <w:sz w:val="24"/>
                <w:szCs w:val="24"/>
                <w:highlight w:val="none"/>
                <w:lang w:val="en-US" w:eastAsia="zh-CN"/>
              </w:rPr>
            </w:pPr>
            <w:r>
              <w:rPr>
                <w:rFonts w:hint="eastAsia" w:ascii="宋体" w:hAnsi="宋体" w:eastAsia="宋体" w:cs="宋体"/>
                <w:sz w:val="24"/>
                <w:szCs w:val="24"/>
                <w:highlight w:val="none"/>
                <w:lang w:val="en-US" w:eastAsia="zh-CN"/>
              </w:rPr>
              <w:t>②文明施工保障措施：每完全满足一个评审标准得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en-US" w:eastAsia="zh-CN"/>
              </w:rPr>
              <w:t>分，满分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en-US" w:eastAsia="zh-CN"/>
              </w:rPr>
              <w:t>分。</w:t>
            </w:r>
          </w:p>
        </w:tc>
      </w:tr>
      <w:tr w14:paraId="66C24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D562E4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环境</w:t>
            </w:r>
          </w:p>
          <w:p w14:paraId="410B621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保护</w:t>
            </w:r>
          </w:p>
          <w:p w14:paraId="4B71C40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24A48EEA">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6C17595B">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一、评审内容</w:t>
            </w:r>
          </w:p>
          <w:p w14:paraId="197C78BA">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供应商编制完善的环境保护措施，内容包含：①环境保护管理体系②环保控制措施：污染物及废弃物处理的排放、噪音控制、防尘及扬尘的控制措施。</w:t>
            </w:r>
          </w:p>
          <w:p w14:paraId="6B2C9A6E">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二、评审标准</w:t>
            </w:r>
          </w:p>
          <w:p w14:paraId="4F13E74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57CB117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68DD516B">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5A525F16">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三、赋分标准（满分6分）</w:t>
            </w:r>
          </w:p>
          <w:p w14:paraId="270AC93F">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①环境保护管理体系：每完全满足一个评审标准得1分，满分3分；</w:t>
            </w:r>
          </w:p>
          <w:p w14:paraId="685C05FA">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②环保控制措施：每完全满足一个评审标准1分，满分3分。</w:t>
            </w:r>
          </w:p>
        </w:tc>
      </w:tr>
      <w:tr w14:paraId="5C24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292604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p>
          <w:p w14:paraId="6C518DC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管理</w:t>
            </w:r>
          </w:p>
          <w:p w14:paraId="2AB39B8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机构</w:t>
            </w:r>
          </w:p>
        </w:tc>
        <w:tc>
          <w:tcPr>
            <w:tcW w:w="714" w:type="pct"/>
            <w:noWrap w:val="0"/>
            <w:vAlign w:val="center"/>
          </w:tcPr>
          <w:p w14:paraId="2BF56F2C">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70B205DD">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19E08155">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供应商针对本项目编制科学的项目管理机构，内容包含：①管理机构的配备计划②组织机构的岗位职责。</w:t>
            </w:r>
          </w:p>
          <w:p w14:paraId="2AAC520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7E9A4BA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5152451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0F09A3E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0B158D7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三、赋分标准（满分6分）</w:t>
            </w:r>
          </w:p>
          <w:p w14:paraId="7039BF1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①管理机构的配备计划：每完全满足一个评审标准得1分，满分3分；</w:t>
            </w:r>
          </w:p>
          <w:p w14:paraId="5F63075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②组织机构的岗位职责：每完全满足一个评审标准得1分，满分3分。</w:t>
            </w:r>
          </w:p>
        </w:tc>
      </w:tr>
      <w:tr w14:paraId="4B4D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766D9D3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新材</w:t>
            </w:r>
          </w:p>
          <w:p w14:paraId="64362DD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料新</w:t>
            </w:r>
          </w:p>
          <w:p w14:paraId="4DB3ACF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工艺</w:t>
            </w:r>
          </w:p>
        </w:tc>
        <w:tc>
          <w:tcPr>
            <w:tcW w:w="714" w:type="pct"/>
            <w:noWrap w:val="0"/>
            <w:vAlign w:val="center"/>
          </w:tcPr>
          <w:p w14:paraId="2D7293AA">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（3分）</w:t>
            </w:r>
          </w:p>
        </w:tc>
        <w:tc>
          <w:tcPr>
            <w:tcW w:w="3660" w:type="pct"/>
            <w:noWrap w:val="0"/>
            <w:vAlign w:val="center"/>
          </w:tcPr>
          <w:p w14:paraId="7D137B5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440BDED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针对本项目具有①新材料②新技术和新工艺的应用情况。</w:t>
            </w:r>
          </w:p>
          <w:p w14:paraId="61EF583C">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386A7BD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4224078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4426E24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53A586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三、赋分标准（满分3分）</w:t>
            </w:r>
          </w:p>
          <w:p w14:paraId="3FDC5FE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①新材料：每完全满足一个评审标准得0.5分，满分1.5分；</w:t>
            </w:r>
          </w:p>
          <w:p w14:paraId="734B924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②新技术和新工艺：每完全满足一个评审标准得0.5分，满分1.5分。</w:t>
            </w:r>
          </w:p>
        </w:tc>
      </w:tr>
      <w:tr w14:paraId="058F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5D09AFB5">
            <w:pPr>
              <w:spacing w:line="360" w:lineRule="auto"/>
              <w:jc w:val="center"/>
              <w:rPr>
                <w:rFonts w:hint="eastAsia" w:ascii="宋体" w:hAnsi="宋体" w:eastAsia="宋体" w:cs="宋体"/>
                <w:sz w:val="24"/>
                <w:szCs w:val="24"/>
                <w:highlight w:val="none"/>
              </w:rPr>
            </w:pPr>
            <w:r>
              <w:rPr>
                <w:rFonts w:hint="eastAsia" w:ascii="宋体" w:hAnsi="宋体" w:eastAsia="宋体" w:cs="宋体"/>
                <w:bCs/>
                <w:sz w:val="24"/>
                <w:szCs w:val="24"/>
                <w:highlight w:val="none"/>
                <w:lang w:val="zh-CN"/>
              </w:rPr>
              <w:t>施工承诺</w:t>
            </w:r>
          </w:p>
        </w:tc>
        <w:tc>
          <w:tcPr>
            <w:tcW w:w="714" w:type="pct"/>
            <w:noWrap w:val="0"/>
            <w:vAlign w:val="center"/>
          </w:tcPr>
          <w:p w14:paraId="44771B7C">
            <w:pPr>
              <w:jc w:val="center"/>
              <w:rPr>
                <w:rFonts w:hint="eastAsia" w:hAnsi="宋体" w:cs="宋体"/>
                <w:sz w:val="24"/>
                <w:szCs w:val="24"/>
                <w:highlight w:val="none"/>
                <w:lang w:val="en-US" w:eastAsia="zh-CN"/>
              </w:rPr>
            </w:pPr>
            <w:r>
              <w:rPr>
                <w:rFonts w:hint="eastAsia" w:hAnsi="宋体" w:cs="宋体"/>
                <w:sz w:val="24"/>
                <w:szCs w:val="24"/>
                <w:highlight w:val="none"/>
                <w:lang w:val="en-US" w:eastAsia="zh-CN"/>
              </w:rPr>
              <w:t>（3分）</w:t>
            </w:r>
          </w:p>
        </w:tc>
        <w:tc>
          <w:tcPr>
            <w:tcW w:w="3660" w:type="pct"/>
            <w:noWrap w:val="0"/>
            <w:vAlign w:val="center"/>
          </w:tcPr>
          <w:p w14:paraId="0801DE3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5465F2B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针对本项目具有①工程施工承诺（主要体现不得拖欠施工人员工资、给施工人员缴纳保险、工程质量等）。</w:t>
            </w:r>
          </w:p>
          <w:p w14:paraId="228BB2DC">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171EFFCB">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617C0B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4F09A90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31B22F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三、赋分标准（满分3分）</w:t>
            </w:r>
          </w:p>
          <w:p w14:paraId="72496696">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①工程施工承诺：每完全满足一个评审标准得1分，满分3分；</w:t>
            </w:r>
          </w:p>
        </w:tc>
      </w:tr>
      <w:tr w14:paraId="24F6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410AFD1D">
            <w:pPr>
              <w:spacing w:line="360" w:lineRule="auto"/>
              <w:jc w:val="center"/>
              <w:rPr>
                <w:rFonts w:hint="eastAsia" w:ascii="宋体" w:hAnsi="宋体" w:eastAsia="宋体" w:cs="宋体"/>
                <w:sz w:val="24"/>
                <w:szCs w:val="24"/>
                <w:highlight w:val="none"/>
                <w:lang w:val="en-US" w:eastAsia="zh-CN"/>
              </w:rPr>
            </w:pPr>
            <w:r>
              <w:rPr>
                <w:rFonts w:hint="eastAsia" w:hAnsi="宋体" w:cs="宋体"/>
                <w:sz w:val="24"/>
                <w:szCs w:val="24"/>
                <w:highlight w:val="none"/>
                <w:lang w:val="en-US" w:eastAsia="zh-CN"/>
              </w:rPr>
              <w:t>业绩</w:t>
            </w:r>
          </w:p>
        </w:tc>
        <w:tc>
          <w:tcPr>
            <w:tcW w:w="714" w:type="pct"/>
            <w:noWrap w:val="0"/>
            <w:vAlign w:val="center"/>
          </w:tcPr>
          <w:p w14:paraId="4A6CA652">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（10分）</w:t>
            </w:r>
          </w:p>
        </w:tc>
        <w:tc>
          <w:tcPr>
            <w:tcW w:w="3660" w:type="pct"/>
            <w:noWrap w:val="0"/>
            <w:vAlign w:val="center"/>
          </w:tcPr>
          <w:p w14:paraId="33BFB27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1、投标人应提供2022年8月起至今的类似业绩证明材料，时间以合同签订日期为准，（文件中附成交/中标通知书或合同复印件，原件备查），每提供一项上述业绩的得2分，最高得10分。不提供或缺项不得分。</w:t>
            </w:r>
          </w:p>
        </w:tc>
      </w:tr>
      <w:tr w14:paraId="27D0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7E71554E">
            <w:pPr>
              <w:spacing w:line="360" w:lineRule="auto"/>
              <w:jc w:val="center"/>
              <w:rPr>
                <w:rFonts w:hint="eastAsia" w:ascii="宋体" w:hAnsi="宋体" w:eastAsia="宋体" w:cs="宋体"/>
                <w:sz w:val="24"/>
                <w:szCs w:val="24"/>
                <w:highlight w:val="none"/>
              </w:rPr>
            </w:pPr>
            <w:r>
              <w:rPr>
                <w:rFonts w:hint="eastAsia" w:hAnsi="宋体" w:cs="宋体"/>
                <w:sz w:val="24"/>
                <w:szCs w:val="24"/>
                <w:highlight w:val="none"/>
                <w:lang w:val="en-US" w:eastAsia="zh-CN"/>
              </w:rPr>
              <w:t>说明</w:t>
            </w:r>
          </w:p>
        </w:tc>
        <w:tc>
          <w:tcPr>
            <w:tcW w:w="4375" w:type="pct"/>
            <w:gridSpan w:val="2"/>
            <w:noWrap w:val="0"/>
            <w:vAlign w:val="center"/>
          </w:tcPr>
          <w:p w14:paraId="3F5FFEC2">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磋商小组成员必须按照本评审要素据实打分。</w:t>
            </w:r>
          </w:p>
        </w:tc>
      </w:tr>
    </w:tbl>
    <w:p w14:paraId="754486D9">
      <w:pPr>
        <w:spacing w:line="460" w:lineRule="exact"/>
        <w:rPr>
          <w:rFonts w:hAnsi="宋体" w:cs="宋体"/>
          <w:b/>
          <w:color w:val="auto"/>
          <w:spacing w:val="4"/>
          <w:sz w:val="28"/>
          <w:szCs w:val="24"/>
          <w:highlight w:val="none"/>
        </w:rPr>
      </w:pPr>
      <w:r>
        <w:rPr>
          <w:rFonts w:hint="eastAsia" w:hAnsi="宋体" w:cs="宋体"/>
          <w:b/>
          <w:color w:val="auto"/>
          <w:spacing w:val="4"/>
          <w:sz w:val="28"/>
          <w:szCs w:val="24"/>
          <w:highlight w:val="none"/>
        </w:rPr>
        <w:t>五、定标：</w:t>
      </w:r>
    </w:p>
    <w:p w14:paraId="7A51BE57">
      <w:pPr>
        <w:spacing w:line="460" w:lineRule="exact"/>
        <w:ind w:firstLine="496" w:firstLineChars="200"/>
        <w:rPr>
          <w:rFonts w:hAnsi="宋体" w:cs="宋体"/>
          <w:color w:val="auto"/>
          <w:spacing w:val="4"/>
          <w:szCs w:val="24"/>
          <w:highlight w:val="none"/>
        </w:rPr>
      </w:pPr>
      <w:r>
        <w:rPr>
          <w:rFonts w:hint="eastAsia" w:hAnsi="宋体" w:cs="宋体"/>
          <w:color w:val="auto"/>
          <w:spacing w:val="4"/>
          <w:szCs w:val="24"/>
          <w:highlight w:val="none"/>
        </w:rPr>
        <w:t>1、评标结果由</w:t>
      </w:r>
      <w:r>
        <w:rPr>
          <w:rFonts w:hint="eastAsia" w:hAnsi="宋体" w:cs="宋体"/>
          <w:color w:val="auto"/>
          <w:szCs w:val="24"/>
          <w:highlight w:val="none"/>
        </w:rPr>
        <w:t>磋商小组</w:t>
      </w:r>
      <w:r>
        <w:rPr>
          <w:rFonts w:hint="eastAsia" w:hAnsi="宋体" w:cs="宋体"/>
          <w:color w:val="auto"/>
          <w:spacing w:val="4"/>
          <w:szCs w:val="24"/>
          <w:highlight w:val="none"/>
        </w:rPr>
        <w:t>全体</w:t>
      </w:r>
      <w:r>
        <w:rPr>
          <w:rFonts w:hint="eastAsia" w:hAnsi="宋体" w:cs="宋体"/>
          <w:color w:val="auto"/>
          <w:szCs w:val="24"/>
          <w:highlight w:val="none"/>
        </w:rPr>
        <w:t>成员</w:t>
      </w:r>
      <w:r>
        <w:rPr>
          <w:rFonts w:hint="eastAsia" w:hAnsi="宋体" w:cs="宋体"/>
          <w:color w:val="auto"/>
          <w:spacing w:val="4"/>
          <w:szCs w:val="24"/>
          <w:highlight w:val="none"/>
        </w:rPr>
        <w:t>签字确认。</w:t>
      </w:r>
    </w:p>
    <w:p w14:paraId="21E2AD14">
      <w:pPr>
        <w:spacing w:line="460" w:lineRule="exact"/>
        <w:ind w:firstLine="496" w:firstLineChars="200"/>
        <w:rPr>
          <w:rFonts w:hAnsi="宋体" w:cs="宋体"/>
          <w:bCs/>
          <w:color w:val="auto"/>
          <w:sz w:val="36"/>
          <w:szCs w:val="36"/>
          <w:highlight w:val="none"/>
        </w:rPr>
      </w:pPr>
      <w:r>
        <w:rPr>
          <w:rFonts w:hint="eastAsia" w:hAnsi="宋体" w:cs="宋体"/>
          <w:color w:val="auto"/>
          <w:spacing w:val="4"/>
          <w:szCs w:val="24"/>
          <w:highlight w:val="none"/>
        </w:rPr>
        <w:t>2、采购人根据评标报告中推荐的成交候选人排列顺序确定供应商，以复函通知招标代理机构。</w:t>
      </w:r>
    </w:p>
    <w:p w14:paraId="629FC31E">
      <w:pPr>
        <w:pStyle w:val="19"/>
        <w:spacing w:line="360" w:lineRule="auto"/>
        <w:ind w:left="0" w:leftChars="0" w:firstLine="0" w:firstLineChars="0"/>
        <w:rPr>
          <w:rFonts w:cs="宋体"/>
          <w:b/>
          <w:color w:val="auto"/>
          <w:sz w:val="24"/>
          <w:szCs w:val="24"/>
          <w:highlight w:val="none"/>
        </w:rPr>
      </w:pPr>
      <w:r>
        <w:rPr>
          <w:rFonts w:hint="eastAsia" w:cs="宋体"/>
          <w:b/>
          <w:color w:val="auto"/>
          <w:sz w:val="24"/>
          <w:szCs w:val="24"/>
          <w:highlight w:val="none"/>
        </w:rPr>
        <w:br w:type="page"/>
      </w:r>
    </w:p>
    <w:p w14:paraId="10A89250">
      <w:pPr>
        <w:pStyle w:val="2"/>
        <w:jc w:val="center"/>
        <w:rPr>
          <w:rFonts w:ascii="宋体" w:eastAsia="宋体" w:cs="宋体"/>
          <w:bCs/>
          <w:color w:val="auto"/>
          <w:szCs w:val="36"/>
          <w:highlight w:val="none"/>
        </w:rPr>
      </w:pPr>
      <w:bookmarkStart w:id="42" w:name="_Toc24962"/>
      <w:r>
        <w:rPr>
          <w:rFonts w:hint="eastAsia" w:ascii="宋体" w:eastAsia="宋体" w:cs="宋体"/>
          <w:bCs/>
          <w:color w:val="auto"/>
          <w:szCs w:val="36"/>
          <w:highlight w:val="none"/>
        </w:rPr>
        <w:t>第四章  合同条款及格式</w:t>
      </w:r>
      <w:bookmarkEnd w:id="37"/>
      <w:bookmarkEnd w:id="38"/>
      <w:bookmarkEnd w:id="39"/>
      <w:bookmarkEnd w:id="42"/>
      <w:bookmarkStart w:id="43" w:name="_Toc19199"/>
      <w:bookmarkStart w:id="44" w:name="_Toc19246"/>
      <w:bookmarkStart w:id="45" w:name="_Toc8333"/>
      <w:bookmarkStart w:id="46" w:name="_Toc4679"/>
      <w:bookmarkStart w:id="47" w:name="_Toc389582037"/>
      <w:bookmarkStart w:id="48" w:name="_Toc26595"/>
      <w:bookmarkStart w:id="49" w:name="_Toc29888"/>
      <w:bookmarkStart w:id="50" w:name="_Toc31520"/>
      <w:bookmarkStart w:id="51" w:name="_Toc423973075"/>
    </w:p>
    <w:p w14:paraId="69412191">
      <w:pPr>
        <w:pStyle w:val="3"/>
        <w:jc w:val="center"/>
        <w:rPr>
          <w:rFonts w:ascii="宋体" w:hAnsi="宋体"/>
          <w:color w:val="auto"/>
          <w:highlight w:val="none"/>
        </w:rPr>
      </w:pPr>
      <w:bookmarkStart w:id="52" w:name="_Toc6935"/>
      <w:bookmarkStart w:id="53" w:name="_Toc30560"/>
      <w:bookmarkStart w:id="54" w:name="_Toc30923"/>
      <w:r>
        <w:rPr>
          <w:rFonts w:hint="eastAsia" w:ascii="宋体" w:hAnsi="宋体"/>
          <w:color w:val="auto"/>
          <w:highlight w:val="none"/>
        </w:rPr>
        <w:t>合同条款及格式前附表</w:t>
      </w:r>
      <w:bookmarkEnd w:id="52"/>
      <w:bookmarkEnd w:id="53"/>
      <w:bookmarkEnd w:id="54"/>
    </w:p>
    <w:p w14:paraId="3334ECEA">
      <w:pPr>
        <w:ind w:firstLine="480" w:firstLineChars="200"/>
        <w:rPr>
          <w:bCs/>
          <w:color w:val="auto"/>
          <w:sz w:val="36"/>
          <w:szCs w:val="36"/>
          <w:highlight w:val="none"/>
        </w:rPr>
      </w:pPr>
      <w:r>
        <w:rPr>
          <w:rFonts w:hint="eastAsia"/>
          <w:color w:val="auto"/>
          <w:szCs w:val="24"/>
          <w:highlight w:val="none"/>
        </w:rPr>
        <w:t>本表是对合同条款的具体补充和修改，如有矛盾，应以本资料表为准。</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002"/>
        <w:gridCol w:w="8127"/>
      </w:tblGrid>
      <w:tr w14:paraId="6FD27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5756F09">
            <w:pPr>
              <w:spacing w:line="360" w:lineRule="auto"/>
              <w:jc w:val="center"/>
              <w:rPr>
                <w:rFonts w:hAnsi="宋体" w:cs="宋体"/>
                <w:b/>
                <w:color w:val="auto"/>
                <w:szCs w:val="21"/>
                <w:highlight w:val="none"/>
              </w:rPr>
            </w:pPr>
            <w:r>
              <w:rPr>
                <w:rFonts w:hint="eastAsia" w:hAnsi="宋体" w:cs="宋体"/>
                <w:b/>
                <w:color w:val="auto"/>
                <w:szCs w:val="21"/>
                <w:highlight w:val="none"/>
              </w:rPr>
              <w:t>序号</w:t>
            </w:r>
          </w:p>
        </w:tc>
        <w:tc>
          <w:tcPr>
            <w:tcW w:w="4450" w:type="pct"/>
            <w:vAlign w:val="center"/>
          </w:tcPr>
          <w:p w14:paraId="71F0A600">
            <w:pPr>
              <w:spacing w:line="360" w:lineRule="auto"/>
              <w:jc w:val="center"/>
              <w:rPr>
                <w:rFonts w:hAnsi="宋体" w:cs="宋体"/>
                <w:b/>
                <w:color w:val="auto"/>
                <w:szCs w:val="21"/>
                <w:highlight w:val="none"/>
              </w:rPr>
            </w:pPr>
            <w:r>
              <w:rPr>
                <w:rFonts w:hint="eastAsia" w:hAnsi="宋体" w:cs="宋体"/>
                <w:b/>
                <w:color w:val="auto"/>
                <w:szCs w:val="21"/>
                <w:highlight w:val="none"/>
              </w:rPr>
              <w:t>内      容</w:t>
            </w:r>
          </w:p>
        </w:tc>
      </w:tr>
      <w:tr w14:paraId="12E99E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38F5B02">
            <w:pPr>
              <w:jc w:val="center"/>
              <w:rPr>
                <w:rFonts w:hAnsi="宋体" w:cs="宋体"/>
                <w:color w:val="auto"/>
                <w:szCs w:val="21"/>
                <w:highlight w:val="none"/>
              </w:rPr>
            </w:pPr>
            <w:r>
              <w:rPr>
                <w:rFonts w:hint="eastAsia" w:hAnsi="宋体" w:cs="宋体"/>
                <w:color w:val="auto"/>
                <w:szCs w:val="21"/>
                <w:highlight w:val="none"/>
              </w:rPr>
              <w:t>1</w:t>
            </w:r>
          </w:p>
        </w:tc>
        <w:tc>
          <w:tcPr>
            <w:tcW w:w="4450" w:type="pct"/>
            <w:vAlign w:val="center"/>
          </w:tcPr>
          <w:p w14:paraId="6E3FC995">
            <w:pPr>
              <w:spacing w:line="360" w:lineRule="auto"/>
              <w:rPr>
                <w:rFonts w:hint="eastAsia" w:hAnsi="宋体" w:eastAsia="宋体" w:cs="宋体"/>
                <w:color w:val="auto"/>
                <w:szCs w:val="21"/>
                <w:highlight w:val="none"/>
                <w:lang w:val="en-US" w:eastAsia="zh-CN"/>
              </w:rPr>
            </w:pPr>
            <w:r>
              <w:rPr>
                <w:rFonts w:hint="eastAsia" w:hAnsi="宋体" w:cs="宋体"/>
                <w:color w:val="auto"/>
                <w:szCs w:val="21"/>
                <w:highlight w:val="none"/>
              </w:rPr>
              <w:t>采购人：</w:t>
            </w:r>
            <w:r>
              <w:rPr>
                <w:rFonts w:hint="eastAsia" w:hAnsi="宋体" w:cs="宋体"/>
                <w:color w:val="auto"/>
                <w:szCs w:val="21"/>
                <w:highlight w:val="none"/>
                <w:lang w:eastAsia="zh-CN"/>
              </w:rPr>
              <w:t>宝鸡市中医医院</w:t>
            </w:r>
          </w:p>
          <w:p w14:paraId="5FE42A23">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地址：</w:t>
            </w:r>
            <w:r>
              <w:rPr>
                <w:rFonts w:hint="eastAsia" w:hAnsi="宋体" w:cs="宋体"/>
                <w:color w:val="auto"/>
                <w:szCs w:val="21"/>
                <w:highlight w:val="none"/>
                <w:lang w:eastAsia="zh-CN"/>
              </w:rPr>
              <w:t>陕西省宝鸡市金台区宝福路43号</w:t>
            </w:r>
          </w:p>
          <w:p w14:paraId="615D10A8">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项目名称：</w:t>
            </w:r>
            <w:r>
              <w:rPr>
                <w:rFonts w:hint="eastAsia" w:hAnsi="宋体" w:cs="宋体"/>
                <w:color w:val="auto"/>
                <w:szCs w:val="21"/>
                <w:highlight w:val="none"/>
                <w:lang w:eastAsia="zh-CN"/>
              </w:rPr>
              <w:t>西院区手术室层流净化改造建设</w:t>
            </w:r>
          </w:p>
          <w:p w14:paraId="5F4AC650">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资金来源：</w:t>
            </w:r>
            <w:r>
              <w:rPr>
                <w:rFonts w:hint="eastAsia" w:hAnsi="宋体" w:cs="宋体"/>
                <w:color w:val="auto"/>
                <w:szCs w:val="24"/>
                <w:highlight w:val="none"/>
                <w:lang w:val="en-US" w:eastAsia="zh-CN"/>
              </w:rPr>
              <w:t>其他财政资金</w:t>
            </w:r>
          </w:p>
        </w:tc>
      </w:tr>
      <w:tr w14:paraId="52BEB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03AC9B70">
            <w:pPr>
              <w:spacing w:line="360" w:lineRule="auto"/>
              <w:jc w:val="center"/>
              <w:rPr>
                <w:rFonts w:hAnsi="宋体" w:cs="宋体"/>
                <w:color w:val="auto"/>
                <w:szCs w:val="21"/>
                <w:highlight w:val="none"/>
              </w:rPr>
            </w:pPr>
            <w:r>
              <w:rPr>
                <w:rFonts w:hint="eastAsia" w:hAnsi="宋体" w:cs="宋体"/>
                <w:color w:val="auto"/>
                <w:szCs w:val="21"/>
                <w:highlight w:val="none"/>
              </w:rPr>
              <w:t>2</w:t>
            </w:r>
          </w:p>
        </w:tc>
        <w:tc>
          <w:tcPr>
            <w:tcW w:w="4450" w:type="pct"/>
            <w:vAlign w:val="center"/>
          </w:tcPr>
          <w:p w14:paraId="3E8B1CBE">
            <w:pPr>
              <w:spacing w:line="360" w:lineRule="auto"/>
              <w:jc w:val="both"/>
              <w:rPr>
                <w:rFonts w:hAnsi="宋体" w:cs="宋体"/>
                <w:color w:val="auto"/>
                <w:szCs w:val="21"/>
                <w:highlight w:val="none"/>
              </w:rPr>
            </w:pPr>
            <w:r>
              <w:rPr>
                <w:rFonts w:hint="eastAsia" w:hAnsi="宋体" w:cs="宋体"/>
                <w:color w:val="auto"/>
                <w:szCs w:val="21"/>
                <w:highlight w:val="none"/>
              </w:rPr>
              <w:t>项目实施地点：采购人指定地点</w:t>
            </w:r>
          </w:p>
        </w:tc>
      </w:tr>
      <w:tr w14:paraId="0AA94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11A12D89">
            <w:pPr>
              <w:spacing w:line="360" w:lineRule="auto"/>
              <w:jc w:val="center"/>
              <w:rPr>
                <w:rFonts w:hAnsi="宋体" w:cs="宋体"/>
                <w:color w:val="auto"/>
                <w:szCs w:val="21"/>
                <w:highlight w:val="none"/>
              </w:rPr>
            </w:pPr>
            <w:r>
              <w:rPr>
                <w:rFonts w:hint="eastAsia" w:hAnsi="宋体" w:cs="宋体"/>
                <w:color w:val="auto"/>
                <w:szCs w:val="21"/>
                <w:highlight w:val="none"/>
              </w:rPr>
              <w:t>3</w:t>
            </w:r>
          </w:p>
        </w:tc>
        <w:tc>
          <w:tcPr>
            <w:tcW w:w="4450" w:type="pct"/>
            <w:vAlign w:val="center"/>
          </w:tcPr>
          <w:p w14:paraId="45EEEB93">
            <w:pPr>
              <w:spacing w:line="360" w:lineRule="auto"/>
              <w:jc w:val="both"/>
              <w:rPr>
                <w:rFonts w:hAnsi="宋体" w:cs="宋体"/>
                <w:color w:val="auto"/>
                <w:szCs w:val="21"/>
                <w:highlight w:val="none"/>
              </w:rPr>
            </w:pPr>
            <w:r>
              <w:rPr>
                <w:rFonts w:hint="eastAsia" w:hAnsi="宋体" w:cs="宋体"/>
                <w:b/>
                <w:bCs/>
                <w:color w:val="auto"/>
                <w:szCs w:val="21"/>
                <w:highlight w:val="none"/>
              </w:rPr>
              <w:t>工期：</w:t>
            </w:r>
            <w:r>
              <w:rPr>
                <w:rFonts w:hint="eastAsia" w:hAnsi="宋体" w:cs="宋体"/>
                <w:b/>
                <w:bCs/>
                <w:color w:val="auto"/>
                <w:szCs w:val="21"/>
                <w:highlight w:val="none"/>
                <w:lang w:val="en-US" w:eastAsia="zh-CN"/>
              </w:rPr>
              <w:t>合同签订后60日历日</w:t>
            </w:r>
          </w:p>
        </w:tc>
      </w:tr>
      <w:tr w14:paraId="23CA3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297C26DD">
            <w:pPr>
              <w:spacing w:line="360" w:lineRule="auto"/>
              <w:jc w:val="center"/>
              <w:rPr>
                <w:rFonts w:hAnsi="宋体" w:cs="宋体"/>
                <w:color w:val="auto"/>
                <w:szCs w:val="21"/>
                <w:highlight w:val="none"/>
              </w:rPr>
            </w:pPr>
            <w:r>
              <w:rPr>
                <w:rFonts w:hint="eastAsia" w:hAnsi="宋体" w:cs="宋体"/>
                <w:color w:val="auto"/>
                <w:szCs w:val="21"/>
                <w:highlight w:val="none"/>
              </w:rPr>
              <w:t>4</w:t>
            </w:r>
          </w:p>
        </w:tc>
        <w:tc>
          <w:tcPr>
            <w:tcW w:w="4450" w:type="pct"/>
            <w:vAlign w:val="center"/>
          </w:tcPr>
          <w:p w14:paraId="3427B4D4">
            <w:pPr>
              <w:pStyle w:val="9"/>
              <w:jc w:val="both"/>
              <w:rPr>
                <w:rFonts w:ascii="宋体" w:hAnsi="宋体" w:cs="宋体"/>
                <w:color w:val="auto"/>
                <w:kern w:val="0"/>
                <w:sz w:val="24"/>
                <w:szCs w:val="21"/>
                <w:highlight w:val="none"/>
              </w:rPr>
            </w:pPr>
            <w:r>
              <w:rPr>
                <w:rFonts w:hint="eastAsia" w:ascii="宋体" w:hAnsi="宋体" w:cs="宋体"/>
                <w:b/>
                <w:bCs/>
                <w:color w:val="auto"/>
                <w:kern w:val="0"/>
                <w:sz w:val="24"/>
                <w:szCs w:val="21"/>
                <w:highlight w:val="none"/>
              </w:rPr>
              <w:t>质量标准：达到国家现行有关质量验收规范“合格”要求</w:t>
            </w:r>
          </w:p>
        </w:tc>
      </w:tr>
      <w:tr w14:paraId="032F1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2EC7ED3">
            <w:pPr>
              <w:spacing w:line="360" w:lineRule="auto"/>
              <w:jc w:val="center"/>
              <w:rPr>
                <w:rFonts w:hAnsi="宋体" w:cs="宋体"/>
                <w:color w:val="auto"/>
                <w:szCs w:val="21"/>
                <w:highlight w:val="none"/>
              </w:rPr>
            </w:pPr>
            <w:r>
              <w:rPr>
                <w:rFonts w:hint="eastAsia" w:hAnsi="宋体" w:cs="宋体"/>
                <w:color w:val="auto"/>
                <w:szCs w:val="21"/>
                <w:highlight w:val="none"/>
              </w:rPr>
              <w:t>5</w:t>
            </w:r>
          </w:p>
        </w:tc>
        <w:tc>
          <w:tcPr>
            <w:tcW w:w="4450" w:type="pct"/>
            <w:vAlign w:val="center"/>
          </w:tcPr>
          <w:p w14:paraId="1F875AA1">
            <w:pPr>
              <w:jc w:val="both"/>
              <w:rPr>
                <w:rFonts w:hint="default"/>
                <w:highlight w:val="none"/>
                <w:lang w:val="en-US"/>
              </w:rPr>
            </w:pPr>
            <w:r>
              <w:rPr>
                <w:rFonts w:hint="eastAsia" w:hAnsi="宋体" w:cs="宋体"/>
                <w:color w:val="auto"/>
                <w:kern w:val="0"/>
                <w:sz w:val="24"/>
                <w:szCs w:val="21"/>
                <w:highlight w:val="none"/>
                <w:lang w:val="en-US" w:eastAsia="zh-CN"/>
              </w:rPr>
              <w:t>缺陷责任期：3年</w:t>
            </w:r>
          </w:p>
        </w:tc>
      </w:tr>
      <w:tr w14:paraId="7E038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6CF29A8">
            <w:pPr>
              <w:spacing w:line="360" w:lineRule="auto"/>
              <w:jc w:val="center"/>
              <w:rPr>
                <w:rFonts w:hint="eastAsia" w:hAnsi="宋体" w:eastAsia="宋体" w:cs="宋体"/>
                <w:color w:val="auto"/>
                <w:szCs w:val="21"/>
                <w:highlight w:val="none"/>
                <w:shd w:val="clear" w:color="FFFFFF" w:fill="D9D9D9"/>
                <w:lang w:eastAsia="zh-CN"/>
              </w:rPr>
            </w:pPr>
            <w:r>
              <w:rPr>
                <w:rFonts w:hint="eastAsia" w:hAnsi="宋体" w:cs="宋体"/>
                <w:color w:val="auto"/>
                <w:szCs w:val="21"/>
                <w:highlight w:val="none"/>
                <w:lang w:val="en-US" w:eastAsia="zh-CN"/>
              </w:rPr>
              <w:t>6</w:t>
            </w:r>
          </w:p>
        </w:tc>
        <w:tc>
          <w:tcPr>
            <w:tcW w:w="4450" w:type="pct"/>
            <w:vAlign w:val="center"/>
          </w:tcPr>
          <w:p w14:paraId="354F048F">
            <w:pPr>
              <w:spacing w:line="360" w:lineRule="auto"/>
              <w:rPr>
                <w:rFonts w:hAnsi="宋体" w:cs="宋体"/>
                <w:color w:val="auto"/>
                <w:szCs w:val="21"/>
                <w:highlight w:val="none"/>
              </w:rPr>
            </w:pPr>
            <w:r>
              <w:rPr>
                <w:rFonts w:hint="eastAsia" w:hAnsi="宋体" w:cs="宋体"/>
                <w:color w:val="auto"/>
                <w:szCs w:val="21"/>
                <w:highlight w:val="none"/>
              </w:rPr>
              <w:t>1.本工程合同形式为固定综合单价合同；以实际发生的工程量结算。</w:t>
            </w:r>
          </w:p>
          <w:p w14:paraId="5A8F7F4B">
            <w:pPr>
              <w:spacing w:line="360" w:lineRule="auto"/>
              <w:rPr>
                <w:rFonts w:hAnsi="宋体" w:cs="宋体"/>
                <w:color w:val="auto"/>
                <w:szCs w:val="21"/>
                <w:highlight w:val="none"/>
              </w:rPr>
            </w:pPr>
            <w:r>
              <w:rPr>
                <w:rFonts w:hint="eastAsia" w:hAnsi="宋体" w:cs="宋体"/>
                <w:color w:val="auto"/>
                <w:szCs w:val="21"/>
                <w:highlight w:val="none"/>
              </w:rPr>
              <w:t>2.付款方式和程序：</w:t>
            </w:r>
          </w:p>
          <w:p w14:paraId="2B6CBDCC">
            <w:pPr>
              <w:spacing w:line="360" w:lineRule="auto"/>
              <w:rPr>
                <w:rFonts w:hAnsi="宋体" w:cs="宋体"/>
                <w:color w:val="auto"/>
                <w:szCs w:val="21"/>
                <w:highlight w:val="none"/>
              </w:rPr>
            </w:pPr>
            <w:r>
              <w:rPr>
                <w:rFonts w:hint="eastAsia" w:hAnsi="宋体" w:cs="宋体"/>
                <w:color w:val="auto"/>
                <w:szCs w:val="21"/>
                <w:highlight w:val="none"/>
              </w:rPr>
              <w:t>（1）结算方式：</w:t>
            </w:r>
          </w:p>
          <w:p w14:paraId="5E7DB92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由采购人负责结算，在付款前，成交供应商须开具全额发票给采购人。</w:t>
            </w:r>
          </w:p>
          <w:p w14:paraId="646FE4A0">
            <w:pPr>
              <w:spacing w:line="360" w:lineRule="auto"/>
              <w:jc w:val="left"/>
              <w:rPr>
                <w:rFonts w:hAnsi="宋体" w:cs="宋体"/>
                <w:color w:val="auto"/>
                <w:szCs w:val="21"/>
                <w:highlight w:val="none"/>
              </w:rPr>
            </w:pPr>
            <w:r>
              <w:rPr>
                <w:rFonts w:hint="eastAsia" w:hAnsi="宋体" w:cs="宋体"/>
                <w:color w:val="auto"/>
                <w:szCs w:val="21"/>
                <w:highlight w:val="none"/>
              </w:rPr>
              <w:t>（2）付款方式：</w:t>
            </w:r>
          </w:p>
          <w:p w14:paraId="40873A5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银行转账，项目实施完成并通过验收后，由供应商提供票据并申请，经采购人签字同意后支付。</w:t>
            </w:r>
          </w:p>
          <w:p w14:paraId="6E26088B">
            <w:pPr>
              <w:spacing w:line="360" w:lineRule="auto"/>
              <w:rPr>
                <w:rFonts w:hAnsi="宋体" w:cs="宋体"/>
                <w:color w:val="auto"/>
                <w:szCs w:val="21"/>
                <w:highlight w:val="none"/>
              </w:rPr>
            </w:pPr>
            <w:r>
              <w:rPr>
                <w:rFonts w:hint="eastAsia" w:hAnsi="宋体" w:cs="宋体"/>
                <w:color w:val="auto"/>
                <w:szCs w:val="21"/>
                <w:highlight w:val="none"/>
              </w:rPr>
              <w:t>（</w:t>
            </w:r>
            <w:r>
              <w:rPr>
                <w:rFonts w:hint="eastAsia" w:hAnsi="宋体" w:cs="宋体"/>
                <w:color w:val="auto"/>
                <w:szCs w:val="21"/>
                <w:highlight w:val="none"/>
                <w:lang w:val="en-US" w:eastAsia="zh-CN"/>
              </w:rPr>
              <w:t>3</w:t>
            </w:r>
            <w:r>
              <w:rPr>
                <w:rFonts w:hint="eastAsia" w:hAnsi="宋体" w:cs="宋体"/>
                <w:color w:val="auto"/>
                <w:szCs w:val="21"/>
                <w:highlight w:val="none"/>
              </w:rPr>
              <w:t>）付款方式：</w:t>
            </w:r>
          </w:p>
          <w:p w14:paraId="3FAB5BE0">
            <w:pPr>
              <w:spacing w:line="360" w:lineRule="auto"/>
              <w:ind w:firstLine="482" w:firstLineChars="200"/>
              <w:rPr>
                <w:color w:val="auto"/>
                <w:szCs w:val="22"/>
                <w:highlight w:val="none"/>
              </w:rPr>
            </w:pPr>
            <w:r>
              <w:rPr>
                <w:rFonts w:hint="eastAsia"/>
                <w:b/>
                <w:bCs/>
                <w:color w:val="auto"/>
                <w:szCs w:val="22"/>
                <w:highlight w:val="none"/>
              </w:rPr>
              <w:t>施工项目完成后支付至合同价的</w:t>
            </w:r>
            <w:r>
              <w:rPr>
                <w:rFonts w:hint="eastAsia"/>
                <w:b/>
                <w:bCs/>
                <w:color w:val="auto"/>
                <w:szCs w:val="22"/>
                <w:highlight w:val="none"/>
                <w:lang w:val="en-US" w:eastAsia="zh-CN"/>
              </w:rPr>
              <w:t>7</w:t>
            </w:r>
            <w:r>
              <w:rPr>
                <w:rFonts w:hint="eastAsia"/>
                <w:b/>
                <w:bCs/>
                <w:color w:val="auto"/>
                <w:szCs w:val="22"/>
                <w:highlight w:val="none"/>
              </w:rPr>
              <w:t>0%，工程结算审计完毕后，支付到工程结算审核金额的97%，剩余工程款3%作为质量保证金，</w:t>
            </w:r>
            <w:r>
              <w:rPr>
                <w:rFonts w:hint="eastAsia"/>
                <w:b/>
                <w:bCs/>
                <w:color w:val="auto"/>
                <w:szCs w:val="22"/>
                <w:highlight w:val="none"/>
                <w:lang w:val="en-US" w:eastAsia="zh-CN"/>
              </w:rPr>
              <w:t>缺陷责任期</w:t>
            </w:r>
            <w:r>
              <w:rPr>
                <w:rFonts w:hint="eastAsia"/>
                <w:b/>
                <w:bCs/>
                <w:color w:val="auto"/>
                <w:szCs w:val="22"/>
                <w:highlight w:val="none"/>
              </w:rPr>
              <w:t>满后，无任何质量问题一次性无息结清。（具体以合同签订为准）</w:t>
            </w:r>
          </w:p>
        </w:tc>
      </w:tr>
      <w:tr w14:paraId="3748D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549" w:type="pct"/>
            <w:vAlign w:val="center"/>
          </w:tcPr>
          <w:p w14:paraId="69C0FB43">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7</w:t>
            </w:r>
          </w:p>
        </w:tc>
        <w:tc>
          <w:tcPr>
            <w:tcW w:w="4450" w:type="pct"/>
            <w:vAlign w:val="center"/>
          </w:tcPr>
          <w:p w14:paraId="64F866FF">
            <w:pPr>
              <w:spacing w:line="360" w:lineRule="auto"/>
              <w:rPr>
                <w:rFonts w:hint="eastAsia" w:hAnsi="宋体" w:cs="宋体"/>
                <w:b/>
                <w:color w:val="auto"/>
                <w:szCs w:val="21"/>
                <w:highlight w:val="none"/>
              </w:rPr>
            </w:pPr>
            <w:r>
              <w:rPr>
                <w:rFonts w:hint="eastAsia" w:hAnsi="宋体" w:cs="宋体"/>
                <w:b/>
                <w:color w:val="auto"/>
                <w:szCs w:val="21"/>
                <w:highlight w:val="none"/>
              </w:rPr>
              <w:t>质量保证：</w:t>
            </w:r>
          </w:p>
          <w:p w14:paraId="78EC48E9">
            <w:pPr>
              <w:spacing w:line="520" w:lineRule="exact"/>
              <w:ind w:firstLine="360" w:firstLineChars="150"/>
              <w:rPr>
                <w:rFonts w:hint="eastAsia" w:hAnsi="宋体" w:eastAsia="宋体" w:cs="宋体"/>
                <w:b/>
                <w:bCs/>
                <w:color w:val="auto"/>
                <w:szCs w:val="21"/>
                <w:highlight w:val="none"/>
                <w:lang w:eastAsia="zh-CN"/>
              </w:rPr>
            </w:pPr>
            <w:r>
              <w:rPr>
                <w:rFonts w:hint="eastAsia" w:hAnsi="宋体" w:cs="宋体"/>
                <w:color w:val="auto"/>
                <w:szCs w:val="21"/>
                <w:highlight w:val="none"/>
              </w:rPr>
              <w:t>工程质量标准：达到国家现行有关质量验收规范“合格”要求</w:t>
            </w:r>
            <w:r>
              <w:rPr>
                <w:rFonts w:hint="eastAsia" w:hAnsi="宋体" w:cs="宋体"/>
                <w:color w:val="auto"/>
                <w:szCs w:val="21"/>
                <w:highlight w:val="none"/>
                <w:lang w:eastAsia="zh-CN"/>
              </w:rPr>
              <w:t>。</w:t>
            </w:r>
          </w:p>
          <w:p w14:paraId="1B06BB91">
            <w:pPr>
              <w:spacing w:line="520" w:lineRule="exact"/>
              <w:ind w:firstLine="360" w:firstLineChars="150"/>
              <w:rPr>
                <w:rFonts w:hAnsi="宋体" w:cs="宋体"/>
                <w:color w:val="auto"/>
                <w:szCs w:val="21"/>
                <w:highlight w:val="none"/>
              </w:rPr>
            </w:pPr>
            <w:r>
              <w:rPr>
                <w:rFonts w:hint="eastAsia" w:hAnsi="宋体" w:cs="宋体"/>
                <w:color w:val="auto"/>
                <w:szCs w:val="21"/>
                <w:highlight w:val="none"/>
              </w:rPr>
              <w:t>供应商必须保证材料合格、工程及服务质量可靠，并全面满足磋商文件的要求，磋商文件未明确要求的内容，供应商须按采购人的补充要求为准。施工工艺应严格按国家最新发布的规范标准执行，如发生质量问题由供应商承担全部责任。</w:t>
            </w:r>
          </w:p>
        </w:tc>
      </w:tr>
      <w:tr w14:paraId="71727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7CBE90">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8</w:t>
            </w:r>
          </w:p>
        </w:tc>
        <w:tc>
          <w:tcPr>
            <w:tcW w:w="4450" w:type="pct"/>
            <w:vAlign w:val="center"/>
          </w:tcPr>
          <w:p w14:paraId="0F461C9E">
            <w:pPr>
              <w:spacing w:line="360" w:lineRule="auto"/>
              <w:rPr>
                <w:rFonts w:hAnsi="宋体" w:cs="宋体"/>
                <w:b/>
                <w:color w:val="auto"/>
                <w:szCs w:val="21"/>
                <w:highlight w:val="none"/>
              </w:rPr>
            </w:pPr>
            <w:r>
              <w:rPr>
                <w:rFonts w:hint="eastAsia" w:hAnsi="宋体" w:cs="宋体"/>
                <w:b/>
                <w:color w:val="auto"/>
                <w:szCs w:val="21"/>
                <w:highlight w:val="none"/>
              </w:rPr>
              <w:t>验收：</w:t>
            </w:r>
          </w:p>
          <w:p w14:paraId="144376E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由采购人、供应商共同对项目进行整体验收。其内容包括材料和施工质量是否达到现行国家有关验收规范“合格”标准、是否按照招标人要求按时完工。</w:t>
            </w:r>
          </w:p>
          <w:p w14:paraId="7F3CC272">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1.所验各项内容最终验收达不到磋商文件要求和磋商响应文件承诺的，或在后续使用中发现招标人不能容忍的缺陷等，将视为验收不合格，供应商应在采购人要求的时间内无条件整改及恢复。</w:t>
            </w:r>
          </w:p>
          <w:p w14:paraId="6DD235E5">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2.若发现供应商有弄虚作假的，在磋商阶段故意或随意夸大技术能力、工程、服务质量的，采购人有权解除合同，并且要求供应商赔偿相关损失。</w:t>
            </w:r>
          </w:p>
          <w:p w14:paraId="496D257F">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3.验收标准：按磋商文件、磋商响应文件及澄清函等技术指标进行验收。各项指标均应符合验收标准及要求。</w:t>
            </w:r>
          </w:p>
          <w:p w14:paraId="05769CA7">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4.验收合格后，填写验收单，双方签字生效。</w:t>
            </w:r>
          </w:p>
          <w:p w14:paraId="727CAED5">
            <w:pPr>
              <w:spacing w:line="360" w:lineRule="auto"/>
              <w:ind w:firstLine="480" w:firstLineChars="200"/>
              <w:rPr>
                <w:color w:val="auto"/>
                <w:highlight w:val="none"/>
              </w:rPr>
            </w:pPr>
            <w:r>
              <w:rPr>
                <w:rFonts w:hint="eastAsia" w:hAnsi="宋体" w:cs="宋体"/>
                <w:color w:val="auto"/>
                <w:szCs w:val="21"/>
                <w:highlight w:val="none"/>
              </w:rPr>
              <w:t>5.验收依据：</w:t>
            </w:r>
          </w:p>
          <w:p w14:paraId="75DD99E6">
            <w:pPr>
              <w:numPr>
                <w:ilvl w:val="0"/>
                <w:numId w:val="6"/>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合同文本；</w:t>
            </w:r>
          </w:p>
          <w:p w14:paraId="3AE81D73">
            <w:pPr>
              <w:numPr>
                <w:ilvl w:val="0"/>
                <w:numId w:val="6"/>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磋商文件及澄清函、磋商响应文件；</w:t>
            </w:r>
          </w:p>
          <w:p w14:paraId="7FAC090A">
            <w:pPr>
              <w:numPr>
                <w:ilvl w:val="0"/>
                <w:numId w:val="6"/>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国家和行业制定的相应的标准和规范；</w:t>
            </w:r>
          </w:p>
          <w:p w14:paraId="11EE3FF1">
            <w:pPr>
              <w:tabs>
                <w:tab w:val="left" w:pos="498"/>
              </w:tabs>
              <w:spacing w:line="360" w:lineRule="auto"/>
              <w:ind w:firstLine="240" w:firstLineChars="100"/>
              <w:rPr>
                <w:rFonts w:hAnsi="宋体" w:cs="宋体"/>
                <w:color w:val="auto"/>
                <w:szCs w:val="21"/>
                <w:highlight w:val="none"/>
              </w:rPr>
            </w:pPr>
            <w:r>
              <w:rPr>
                <w:rFonts w:hint="eastAsia" w:hAnsi="宋体" w:cs="宋体"/>
                <w:color w:val="auto"/>
                <w:szCs w:val="21"/>
                <w:highlight w:val="none"/>
              </w:rPr>
              <w:t>d)验收清单。</w:t>
            </w:r>
          </w:p>
        </w:tc>
      </w:tr>
      <w:tr w14:paraId="48F838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079563">
            <w:pPr>
              <w:pStyle w:val="12"/>
              <w:spacing w:line="360" w:lineRule="auto"/>
              <w:jc w:val="center"/>
              <w:rPr>
                <w:rFonts w:hint="eastAsia" w:hAnsi="宋体" w:eastAsia="宋体"/>
                <w:color w:val="auto"/>
                <w:szCs w:val="21"/>
                <w:highlight w:val="none"/>
                <w:lang w:eastAsia="zh-CN"/>
              </w:rPr>
            </w:pPr>
            <w:r>
              <w:rPr>
                <w:rFonts w:hint="eastAsia" w:hAnsi="宋体"/>
                <w:color w:val="auto"/>
                <w:szCs w:val="21"/>
                <w:highlight w:val="none"/>
                <w:lang w:val="en-US" w:eastAsia="zh-CN"/>
              </w:rPr>
              <w:t>9</w:t>
            </w:r>
          </w:p>
        </w:tc>
        <w:tc>
          <w:tcPr>
            <w:tcW w:w="4450" w:type="pct"/>
            <w:vAlign w:val="center"/>
          </w:tcPr>
          <w:p w14:paraId="2B3EE8EE">
            <w:pPr>
              <w:spacing w:line="360" w:lineRule="auto"/>
              <w:rPr>
                <w:rFonts w:hAnsi="宋体" w:cs="宋体"/>
                <w:b/>
                <w:bCs/>
                <w:color w:val="auto"/>
                <w:szCs w:val="21"/>
                <w:highlight w:val="none"/>
              </w:rPr>
            </w:pPr>
            <w:r>
              <w:rPr>
                <w:rFonts w:hint="eastAsia" w:hAnsi="宋体" w:cs="宋体"/>
                <w:b/>
                <w:bCs/>
                <w:color w:val="auto"/>
                <w:szCs w:val="21"/>
                <w:highlight w:val="none"/>
              </w:rPr>
              <w:t>违约责任：</w:t>
            </w:r>
          </w:p>
          <w:p w14:paraId="65907B08">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1、按《中华人民共和国民法典》中的相关条款执行。</w:t>
            </w:r>
          </w:p>
          <w:p w14:paraId="73E45213">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2、未按合同要求提供服务或服务不能满足合同要求，采购人应当将服务商违约的情况以及拟采取的措施以书面形式报政府采购监管部门，根据政府采购监管部门的处理意见，采购人有权依据《中华人民共和国民法典》有关条款及合同约定终止合同，并要求服务商承担违约责任。同时，政府采购监管部门有权依据《</w:t>
            </w:r>
            <w:r>
              <w:rPr>
                <w:rFonts w:hint="eastAsia" w:hAnsi="宋体" w:cs="宋体"/>
                <w:color w:val="auto"/>
                <w:szCs w:val="24"/>
                <w:highlight w:val="none"/>
                <w:lang w:val="en-US" w:eastAsia="zh-CN"/>
              </w:rPr>
              <w:t>中华人民共和国</w:t>
            </w:r>
            <w:r>
              <w:rPr>
                <w:rFonts w:hint="eastAsia" w:hAnsi="宋体" w:cs="宋体"/>
                <w:color w:val="auto"/>
                <w:szCs w:val="21"/>
                <w:highlight w:val="none"/>
              </w:rPr>
              <w:t>政府采购法》及相关法律法规对服务商的违法行为进行相应的处罚。</w:t>
            </w:r>
          </w:p>
        </w:tc>
      </w:tr>
      <w:tr w14:paraId="14F087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4E5D6211">
            <w:pPr>
              <w:spacing w:line="360" w:lineRule="auto"/>
              <w:jc w:val="center"/>
              <w:rPr>
                <w:rFonts w:hint="default" w:hAnsi="宋体" w:eastAsia="宋体" w:cs="宋体"/>
                <w:color w:val="auto"/>
                <w:szCs w:val="21"/>
                <w:highlight w:val="none"/>
                <w:lang w:val="en-US" w:eastAsia="zh-CN"/>
              </w:rPr>
            </w:pPr>
            <w:r>
              <w:rPr>
                <w:rFonts w:hint="eastAsia" w:hAnsi="宋体" w:cs="宋体"/>
                <w:color w:val="auto"/>
                <w:szCs w:val="21"/>
                <w:highlight w:val="none"/>
                <w:lang w:val="en-US" w:eastAsia="zh-CN"/>
              </w:rPr>
              <w:t>10</w:t>
            </w:r>
          </w:p>
        </w:tc>
        <w:tc>
          <w:tcPr>
            <w:tcW w:w="4450" w:type="pct"/>
            <w:vAlign w:val="center"/>
          </w:tcPr>
          <w:p w14:paraId="2B23C930">
            <w:pPr>
              <w:spacing w:line="360" w:lineRule="auto"/>
              <w:rPr>
                <w:rFonts w:hAnsi="宋体" w:cs="宋体"/>
                <w:b/>
                <w:color w:val="auto"/>
                <w:szCs w:val="21"/>
                <w:highlight w:val="none"/>
              </w:rPr>
            </w:pPr>
            <w:r>
              <w:rPr>
                <w:rFonts w:hint="eastAsia" w:hAnsi="宋体" w:cs="宋体"/>
                <w:b/>
                <w:color w:val="auto"/>
                <w:szCs w:val="21"/>
                <w:highlight w:val="none"/>
              </w:rPr>
              <w:t>政府采购合同：</w:t>
            </w:r>
          </w:p>
          <w:p w14:paraId="10AC164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政府采购合同适用合同法。采购人和供应商之间的权利和义务，应当按照平等、自愿的原则以合同方式约定。</w:t>
            </w:r>
            <w:r>
              <w:rPr>
                <w:rFonts w:hint="eastAsia" w:hAnsi="宋体" w:cs="宋体"/>
                <w:color w:val="auto"/>
                <w:szCs w:val="21"/>
                <w:highlight w:val="none"/>
              </w:rPr>
              <w:br w:type="textWrapping"/>
            </w:r>
            <w:r>
              <w:rPr>
                <w:rFonts w:hint="eastAsia" w:hAnsi="宋体" w:cs="宋体"/>
                <w:color w:val="auto"/>
                <w:szCs w:val="21"/>
                <w:highlight w:val="none"/>
              </w:rPr>
              <w:t xml:space="preserve">    采购人可以委托采购代理机构代表其与供应商签订政府采购合同。由采购代理机构以采购人名义签订合同的，应当提交采购人的授权委托书，作为合同附件。</w:t>
            </w:r>
          </w:p>
          <w:p w14:paraId="7336E788">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政府采购合同应当采用书面形式。</w:t>
            </w:r>
          </w:p>
          <w:p w14:paraId="66074B5D">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国务院政府采购监督管理部门应当会同国务院有关部门，规定政府采购合同必须具备的条款。</w:t>
            </w:r>
            <w:r>
              <w:rPr>
                <w:rFonts w:hint="eastAsia" w:hAnsi="宋体" w:cs="宋体"/>
                <w:color w:val="auto"/>
                <w:szCs w:val="21"/>
                <w:highlight w:val="none"/>
              </w:rPr>
              <w:br w:type="textWrapping"/>
            </w:r>
            <w:r>
              <w:rPr>
                <w:rFonts w:hint="eastAsia" w:hAnsi="宋体" w:cs="宋体"/>
                <w:color w:val="auto"/>
                <w:szCs w:val="21"/>
                <w:highlight w:val="none"/>
              </w:rPr>
              <w:t xml:space="preserve">    采购人与中标、成交供应商应当在中标、成交通知书发出之日起三十日内，按照采购文件确定的事项签订政府采购合同。</w:t>
            </w:r>
            <w:r>
              <w:rPr>
                <w:rFonts w:hint="eastAsia" w:hAnsi="宋体" w:cs="宋体"/>
                <w:color w:val="auto"/>
                <w:szCs w:val="21"/>
                <w:highlight w:val="none"/>
              </w:rPr>
              <w:br w:type="textWrapping"/>
            </w:r>
            <w:r>
              <w:rPr>
                <w:rFonts w:hint="eastAsia" w:hAnsi="宋体" w:cs="宋体"/>
                <w:color w:val="auto"/>
                <w:szCs w:val="21"/>
                <w:highlight w:val="none"/>
              </w:rPr>
              <w:t xml:space="preserve">    中标、成交通知书对采购人和中标、成交供应商均具有法律效力。中标、成交通知书发出后，采购人改变中标、成交结果的，或者中标、成交供应商放弃中标、成交项目的，应当依法承担法律责任。</w:t>
            </w:r>
          </w:p>
          <w:p w14:paraId="3AE01DEA">
            <w:pPr>
              <w:pStyle w:val="12"/>
              <w:spacing w:line="360" w:lineRule="auto"/>
              <w:ind w:firstLine="480" w:firstLineChars="200"/>
              <w:rPr>
                <w:rFonts w:hAnsi="宋体"/>
                <w:color w:val="auto"/>
                <w:szCs w:val="21"/>
                <w:highlight w:val="none"/>
              </w:rPr>
            </w:pPr>
            <w:r>
              <w:rPr>
                <w:rFonts w:hint="eastAsia" w:hAnsi="宋体" w:cs="宋体"/>
                <w:color w:val="auto"/>
                <w:kern w:val="0"/>
                <w:sz w:val="24"/>
                <w:szCs w:val="21"/>
                <w:highlight w:val="none"/>
              </w:rPr>
              <w:t>政府采购项目的采购合同自签订之日起七个工作日内，采购人应当将合同副本报同级政府采购监督管理部门和有关部门备案。</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经采购人同意，中标、成交供应商可以依法采取分包方式履行合同。政府采购合同分包履行的，中标、成交供应商就采购项目和分包项目向采购人负责，分包供应商就分包项目承担责任。</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履行中，采购人需追加与合同标的相同的货物、工程或者服务的，在不改变合同其他条款的前提下，可以与供应商协商签订补充合同，但所有补充合同的采购金额不得超过原合同采购金额的百分之十。</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政府采购合同的双方当事人不得擅自变更、中止或者终止合同。</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政府采购合同继续履行将损害国家利益和社会公共利益的，双方当事人应当变更、中止或者终止合同。有过错的一方应当承担赔偿责任，双方都有过错的，各自承担相应的责任。</w:t>
            </w:r>
          </w:p>
        </w:tc>
      </w:tr>
    </w:tbl>
    <w:p w14:paraId="7213AA2E">
      <w:pPr>
        <w:jc w:val="left"/>
        <w:rPr>
          <w:rFonts w:ascii="Times New Roman" w:eastAsia="仿宋_GB2312"/>
          <w:bCs/>
          <w:color w:val="auto"/>
          <w:sz w:val="32"/>
          <w:szCs w:val="32"/>
          <w:highlight w:val="none"/>
        </w:rPr>
      </w:pPr>
      <w:bookmarkStart w:id="55" w:name="_Toc205891759"/>
      <w:bookmarkEnd w:id="55"/>
      <w:bookmarkStart w:id="56" w:name="_Toc107194479"/>
      <w:bookmarkEnd w:id="56"/>
      <w:bookmarkStart w:id="57" w:name="_Toc209339595"/>
      <w:bookmarkEnd w:id="57"/>
      <w:r>
        <w:rPr>
          <w:rFonts w:hint="eastAsia" w:hAnsi="宋体" w:cs="宋体"/>
          <w:b/>
          <w:bCs/>
          <w:color w:val="auto"/>
          <w:spacing w:val="100"/>
          <w:kern w:val="16"/>
          <w:sz w:val="52"/>
          <w:szCs w:val="52"/>
          <w:highlight w:val="none"/>
        </w:rPr>
        <w:br w:type="page"/>
      </w:r>
    </w:p>
    <w:p w14:paraId="1EC1399F">
      <w:pPr>
        <w:ind w:firstLine="2700" w:firstLineChars="750"/>
        <w:rPr>
          <w:rFonts w:hint="eastAsia" w:ascii="宋体" w:hAnsi="宋体" w:cs="宋体"/>
          <w:bCs/>
          <w:sz w:val="36"/>
          <w:szCs w:val="36"/>
          <w:highlight w:val="none"/>
        </w:rPr>
      </w:pPr>
      <w:r>
        <w:rPr>
          <w:rFonts w:hint="eastAsia" w:ascii="宋体" w:hAnsi="宋体" w:cs="宋体"/>
          <w:bCs/>
          <w:sz w:val="36"/>
          <w:szCs w:val="36"/>
          <w:highlight w:val="none"/>
        </w:rPr>
        <w:t>（GF-2017-0201）</w:t>
      </w:r>
    </w:p>
    <w:p w14:paraId="392D4694">
      <w:pPr>
        <w:wordWrap w:val="0"/>
        <w:ind w:right="640"/>
        <w:jc w:val="center"/>
        <w:rPr>
          <w:rFonts w:hint="eastAsia" w:ascii="宋体" w:hAnsi="宋体" w:cs="宋体"/>
          <w:bCs/>
          <w:sz w:val="32"/>
          <w:szCs w:val="32"/>
          <w:highlight w:val="none"/>
        </w:rPr>
      </w:pPr>
      <w:r>
        <w:rPr>
          <w:rFonts w:hint="eastAsia" w:ascii="宋体" w:hAnsi="宋体" w:cs="宋体"/>
          <w:bCs/>
          <w:sz w:val="32"/>
          <w:szCs w:val="32"/>
          <w:highlight w:val="none"/>
        </w:rPr>
        <w:t xml:space="preserve"> </w:t>
      </w:r>
    </w:p>
    <w:p w14:paraId="69D51468">
      <w:pPr>
        <w:wordWrap w:val="0"/>
        <w:ind w:right="640"/>
        <w:jc w:val="center"/>
        <w:rPr>
          <w:rFonts w:hint="eastAsia" w:ascii="宋体" w:hAnsi="宋体" w:cs="宋体"/>
          <w:bCs/>
          <w:sz w:val="32"/>
          <w:szCs w:val="32"/>
          <w:highlight w:val="none"/>
        </w:rPr>
      </w:pPr>
    </w:p>
    <w:p w14:paraId="663C46E3">
      <w:pPr>
        <w:jc w:val="center"/>
        <w:rPr>
          <w:rFonts w:hint="eastAsia" w:ascii="宋体" w:hAnsi="宋体" w:cs="宋体"/>
          <w:bCs/>
          <w:sz w:val="52"/>
          <w:szCs w:val="52"/>
          <w:highlight w:val="none"/>
        </w:rPr>
      </w:pPr>
    </w:p>
    <w:p w14:paraId="427C4205">
      <w:pPr>
        <w:jc w:val="center"/>
        <w:rPr>
          <w:rFonts w:hint="eastAsia" w:ascii="宋体" w:hAnsi="宋体" w:cs="宋体"/>
          <w:bCs/>
          <w:sz w:val="52"/>
          <w:szCs w:val="52"/>
          <w:highlight w:val="none"/>
        </w:rPr>
      </w:pPr>
    </w:p>
    <w:p w14:paraId="30222DE2">
      <w:pPr>
        <w:jc w:val="center"/>
        <w:rPr>
          <w:rFonts w:hint="eastAsia" w:ascii="宋体" w:hAnsi="宋体" w:cs="宋体"/>
          <w:bCs/>
          <w:sz w:val="52"/>
          <w:szCs w:val="52"/>
          <w:highlight w:val="none"/>
        </w:rPr>
      </w:pPr>
    </w:p>
    <w:p w14:paraId="52D156D5">
      <w:pPr>
        <w:jc w:val="center"/>
        <w:rPr>
          <w:rFonts w:hint="eastAsia" w:ascii="宋体" w:hAnsi="宋体" w:cs="宋体"/>
          <w:bCs/>
          <w:sz w:val="52"/>
          <w:szCs w:val="52"/>
          <w:highlight w:val="none"/>
        </w:rPr>
      </w:pPr>
    </w:p>
    <w:p w14:paraId="7217FCA8">
      <w:pPr>
        <w:jc w:val="center"/>
        <w:rPr>
          <w:rFonts w:hint="eastAsia" w:ascii="宋体" w:hAnsi="宋体" w:cs="宋体"/>
          <w:bCs/>
          <w:sz w:val="52"/>
          <w:szCs w:val="52"/>
          <w:highlight w:val="none"/>
        </w:rPr>
      </w:pPr>
    </w:p>
    <w:p w14:paraId="32930619">
      <w:pPr>
        <w:jc w:val="center"/>
        <w:rPr>
          <w:rFonts w:hint="eastAsia" w:ascii="宋体" w:hAnsi="宋体" w:eastAsia="宋体" w:cs="宋体"/>
          <w:bCs/>
          <w:sz w:val="52"/>
          <w:szCs w:val="52"/>
          <w:highlight w:val="none"/>
          <w:lang w:eastAsia="zh-CN"/>
        </w:rPr>
      </w:pPr>
      <w:r>
        <w:rPr>
          <w:rFonts w:hint="eastAsia" w:ascii="宋体" w:hAnsi="宋体" w:cs="宋体"/>
          <w:bCs/>
          <w:sz w:val="52"/>
          <w:szCs w:val="52"/>
          <w:highlight w:val="none"/>
        </w:rPr>
        <w:t>建设工程施工合同</w:t>
      </w:r>
    </w:p>
    <w:p w14:paraId="16EDC515">
      <w:pPr>
        <w:pStyle w:val="40"/>
        <w:rPr>
          <w:rFonts w:hint="eastAsia"/>
          <w:highlight w:val="none"/>
          <w:lang w:eastAsia="zh-CN"/>
        </w:rPr>
      </w:pPr>
    </w:p>
    <w:p w14:paraId="4D526C04">
      <w:pPr>
        <w:jc w:val="center"/>
        <w:rPr>
          <w:rFonts w:hint="eastAsia" w:ascii="宋体" w:hAnsi="宋体" w:cs="宋体"/>
          <w:bCs/>
          <w:sz w:val="52"/>
          <w:szCs w:val="52"/>
          <w:highlight w:val="none"/>
        </w:rPr>
      </w:pPr>
      <w:r>
        <w:rPr>
          <w:rFonts w:hint="eastAsia" w:ascii="宋体" w:hAnsi="宋体" w:cs="宋体"/>
          <w:bCs/>
          <w:sz w:val="36"/>
          <w:szCs w:val="36"/>
          <w:highlight w:val="none"/>
        </w:rPr>
        <w:t>（示范文本）</w:t>
      </w:r>
    </w:p>
    <w:p w14:paraId="78EF25AA">
      <w:pPr>
        <w:jc w:val="center"/>
        <w:rPr>
          <w:rFonts w:hint="eastAsia" w:ascii="宋体" w:hAnsi="宋体" w:cs="宋体"/>
          <w:bCs/>
          <w:sz w:val="52"/>
          <w:szCs w:val="52"/>
          <w:highlight w:val="none"/>
        </w:rPr>
      </w:pPr>
    </w:p>
    <w:p w14:paraId="609AAB49">
      <w:pPr>
        <w:jc w:val="center"/>
        <w:rPr>
          <w:rFonts w:hint="eastAsia" w:ascii="宋体" w:hAnsi="宋体" w:cs="宋体"/>
          <w:bCs/>
          <w:sz w:val="72"/>
          <w:szCs w:val="72"/>
          <w:highlight w:val="none"/>
        </w:rPr>
      </w:pPr>
    </w:p>
    <w:p w14:paraId="08C57FCD">
      <w:pPr>
        <w:jc w:val="center"/>
        <w:rPr>
          <w:rFonts w:hint="eastAsia" w:ascii="宋体" w:hAnsi="宋体" w:cs="宋体"/>
          <w:bCs/>
          <w:sz w:val="72"/>
          <w:szCs w:val="72"/>
          <w:highlight w:val="none"/>
        </w:rPr>
      </w:pPr>
    </w:p>
    <w:p w14:paraId="2B9737A4">
      <w:pPr>
        <w:jc w:val="center"/>
        <w:rPr>
          <w:rFonts w:hint="eastAsia" w:ascii="宋体" w:hAnsi="宋体" w:cs="宋体"/>
          <w:bCs/>
          <w:sz w:val="72"/>
          <w:szCs w:val="72"/>
          <w:highlight w:val="none"/>
        </w:rPr>
      </w:pPr>
    </w:p>
    <w:p w14:paraId="1B71EABD">
      <w:pPr>
        <w:rPr>
          <w:rFonts w:hint="eastAsia" w:ascii="宋体" w:hAnsi="宋体" w:cs="宋体"/>
          <w:bCs/>
          <w:sz w:val="28"/>
          <w:szCs w:val="28"/>
          <w:highlight w:val="none"/>
        </w:rPr>
      </w:pPr>
    </w:p>
    <w:p w14:paraId="0F7CC535">
      <w:pPr>
        <w:rPr>
          <w:rFonts w:hint="eastAsia" w:ascii="宋体" w:hAnsi="宋体" w:cs="宋体"/>
          <w:bCs/>
          <w:sz w:val="28"/>
          <w:szCs w:val="28"/>
          <w:highlight w:val="none"/>
        </w:rPr>
      </w:pPr>
    </w:p>
    <w:p w14:paraId="2D4FA4E1">
      <w:pPr>
        <w:rPr>
          <w:rFonts w:hint="eastAsia" w:ascii="宋体" w:hAnsi="宋体" w:cs="宋体"/>
          <w:bCs/>
          <w:sz w:val="28"/>
          <w:szCs w:val="28"/>
          <w:highlight w:val="none"/>
        </w:rPr>
      </w:pPr>
    </w:p>
    <w:p w14:paraId="271D03AA">
      <w:pPr>
        <w:rPr>
          <w:rFonts w:hint="eastAsia" w:ascii="宋体" w:hAnsi="宋体" w:cs="宋体"/>
          <w:bCs/>
          <w:sz w:val="28"/>
          <w:szCs w:val="28"/>
          <w:highlight w:val="none"/>
        </w:rPr>
      </w:pPr>
    </w:p>
    <w:p w14:paraId="54EE46E1">
      <w:pPr>
        <w:ind w:right="3108" w:rightChars="1295" w:firstLine="3129" w:firstLineChars="1304"/>
        <w:jc w:val="distribute"/>
        <w:rPr>
          <w:rFonts w:hint="eastAsia" w:ascii="宋体" w:hAnsi="宋体" w:cs="宋体"/>
          <w:bCs/>
          <w:sz w:val="32"/>
          <w:szCs w:val="28"/>
          <w:highlight w:val="none"/>
        </w:rPr>
      </w:pPr>
      <w:r>
        <w:rPr>
          <w:rFonts w:hint="eastAsia" w:ascii="宋体" w:hAnsi="宋体" w:cs="宋体"/>
          <w:bCs/>
          <w:highlight w:val="none"/>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10" name="文本框 10"/>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744C080A">
                            <w:pPr>
                              <w:rPr>
                                <w:rFonts w:ascii="宋体" w:hAnsi="宋体"/>
                                <w:b/>
                                <w:bCs/>
                                <w:sz w:val="32"/>
                              </w:rPr>
                            </w:pPr>
                            <w:r>
                              <w:rPr>
                                <w:rFonts w:hint="eastAsia" w:ascii="宋体" w:hAnsi="宋体"/>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LMNYbgEAgAADgQAAA4AAAAAAAAAAQAgAAAAJwEA&#10;AGRycy9lMm9Eb2MueG1sUEsFBgAAAAAGAAYAWQEAAJ0FAAAAAA==&#10;">
                <v:fill on="f" focussize="0,0"/>
                <v:stroke color="#FFFFFF" joinstyle="miter"/>
                <v:imagedata o:title=""/>
                <o:lock v:ext="edit" aspectratio="f"/>
                <v:textbox>
                  <w:txbxContent>
                    <w:p w14:paraId="744C080A">
                      <w:pPr>
                        <w:rPr>
                          <w:rFonts w:ascii="宋体" w:hAnsi="宋体"/>
                          <w:b/>
                          <w:bCs/>
                          <w:sz w:val="32"/>
                        </w:rPr>
                      </w:pPr>
                      <w:r>
                        <w:rPr>
                          <w:rFonts w:hint="eastAsia" w:ascii="宋体" w:hAnsi="宋体"/>
                          <w:b/>
                          <w:bCs/>
                          <w:sz w:val="32"/>
                        </w:rPr>
                        <w:t>制定</w:t>
                      </w:r>
                    </w:p>
                  </w:txbxContent>
                </v:textbox>
              </v:shape>
            </w:pict>
          </mc:Fallback>
        </mc:AlternateContent>
      </w:r>
      <w:r>
        <w:rPr>
          <w:rFonts w:hint="eastAsia" w:ascii="宋体" w:hAnsi="宋体" w:cs="宋体"/>
          <w:bCs/>
          <w:sz w:val="32"/>
          <w:szCs w:val="28"/>
          <w:highlight w:val="none"/>
        </w:rPr>
        <w:t>住房和城乡建设部</w:t>
      </w:r>
    </w:p>
    <w:p w14:paraId="2C1AF9AB">
      <w:pPr>
        <w:ind w:right="3108" w:rightChars="1295" w:firstLine="2739" w:firstLineChars="856"/>
        <w:jc w:val="distribute"/>
        <w:rPr>
          <w:rFonts w:hint="eastAsia" w:ascii="宋体" w:hAnsi="宋体" w:cs="宋体"/>
          <w:bCs/>
          <w:sz w:val="32"/>
          <w:szCs w:val="28"/>
          <w:highlight w:val="none"/>
        </w:rPr>
      </w:pPr>
      <w:r>
        <w:rPr>
          <w:rFonts w:hint="eastAsia" w:ascii="宋体" w:hAnsi="宋体" w:cs="宋体"/>
          <w:bCs/>
          <w:sz w:val="32"/>
          <w:szCs w:val="28"/>
          <w:highlight w:val="none"/>
        </w:rPr>
        <w:t>国家工商行政管理总局</w:t>
      </w:r>
    </w:p>
    <w:p w14:paraId="546D1492">
      <w:pPr>
        <w:ind w:right="3108" w:rightChars="1295" w:firstLine="2739" w:firstLineChars="856"/>
        <w:jc w:val="distribute"/>
        <w:rPr>
          <w:rFonts w:hint="eastAsia" w:ascii="宋体" w:hAnsi="宋体" w:cs="宋体"/>
          <w:bCs/>
          <w:sz w:val="32"/>
          <w:szCs w:val="28"/>
          <w:highlight w:val="none"/>
        </w:rPr>
      </w:pPr>
    </w:p>
    <w:p w14:paraId="13D64E2D">
      <w:pPr>
        <w:rPr>
          <w:rFonts w:hint="eastAsia" w:ascii="宋体" w:hAnsi="宋体" w:cs="宋体"/>
          <w:bCs/>
          <w:highlight w:val="none"/>
        </w:rPr>
      </w:pPr>
    </w:p>
    <w:p w14:paraId="2554F963">
      <w:pPr>
        <w:rPr>
          <w:rFonts w:hint="eastAsia"/>
          <w:highlight w:val="none"/>
        </w:rPr>
      </w:pPr>
      <w:r>
        <w:rPr>
          <w:rFonts w:hint="eastAsia"/>
          <w:highlight w:val="none"/>
        </w:rPr>
        <w:br w:type="page"/>
      </w:r>
    </w:p>
    <w:p w14:paraId="77CC72A6">
      <w:pPr>
        <w:rPr>
          <w:rFonts w:hint="eastAsia"/>
          <w:highlight w:val="none"/>
        </w:rPr>
      </w:pPr>
    </w:p>
    <w:p w14:paraId="14F13C9D">
      <w:pPr>
        <w:jc w:val="center"/>
        <w:rPr>
          <w:rFonts w:hint="eastAsia" w:ascii="宋体" w:hAnsi="宋体" w:cs="宋体"/>
          <w:bCs/>
          <w:sz w:val="32"/>
          <w:szCs w:val="32"/>
          <w:highlight w:val="none"/>
        </w:rPr>
      </w:pPr>
      <w:bookmarkStart w:id="58" w:name="_Toc296503025"/>
      <w:bookmarkStart w:id="59" w:name="_Toc351203480"/>
      <w:bookmarkStart w:id="60" w:name="_Toc296890982"/>
      <w:r>
        <w:rPr>
          <w:rFonts w:hint="eastAsia" w:ascii="宋体" w:hAnsi="宋体" w:cs="宋体"/>
          <w:bCs/>
          <w:sz w:val="32"/>
          <w:szCs w:val="32"/>
          <w:highlight w:val="none"/>
        </w:rPr>
        <w:t>第一部分 合同协议书</w:t>
      </w:r>
      <w:bookmarkEnd w:id="58"/>
      <w:bookmarkEnd w:id="59"/>
      <w:bookmarkEnd w:id="60"/>
    </w:p>
    <w:p w14:paraId="2588985D">
      <w:pPr>
        <w:spacing w:line="360" w:lineRule="auto"/>
        <w:rPr>
          <w:rFonts w:hint="eastAsia" w:ascii="宋体" w:hAnsi="宋体" w:cs="宋体"/>
          <w:bCs/>
          <w:sz w:val="24"/>
          <w:highlight w:val="none"/>
          <w:u w:val="single"/>
        </w:rPr>
      </w:pPr>
      <w:r>
        <w:rPr>
          <w:rFonts w:hint="eastAsia" w:ascii="宋体" w:hAnsi="宋体" w:cs="宋体"/>
          <w:bCs/>
          <w:sz w:val="24"/>
          <w:highlight w:val="none"/>
        </w:rPr>
        <w:t>发包人（全称）：</w:t>
      </w:r>
      <w:r>
        <w:rPr>
          <w:rFonts w:hint="eastAsia" w:hAnsi="宋体" w:cs="宋体"/>
          <w:bCs/>
          <w:sz w:val="24"/>
          <w:highlight w:val="none"/>
          <w:u w:val="single"/>
          <w:lang w:eastAsia="zh-CN"/>
        </w:rPr>
        <w:t>宝鸡市中医医院</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p>
    <w:p w14:paraId="1D7498B0">
      <w:pPr>
        <w:spacing w:line="360" w:lineRule="auto"/>
        <w:rPr>
          <w:rFonts w:hint="eastAsia" w:ascii="宋体" w:hAnsi="宋体" w:cs="宋体"/>
          <w:bCs/>
          <w:sz w:val="24"/>
          <w:highlight w:val="none"/>
          <w:u w:val="single"/>
        </w:rPr>
      </w:pPr>
      <w:r>
        <w:rPr>
          <w:rFonts w:hint="eastAsia" w:ascii="宋体" w:hAnsi="宋体" w:cs="宋体"/>
          <w:bCs/>
          <w:sz w:val="24"/>
          <w:highlight w:val="none"/>
        </w:rPr>
        <w:t>承包人（全称）：</w:t>
      </w:r>
      <w:r>
        <w:rPr>
          <w:rFonts w:hint="eastAsia" w:ascii="宋体" w:hAnsi="宋体" w:cs="宋体"/>
          <w:bCs/>
          <w:sz w:val="24"/>
          <w:highlight w:val="none"/>
          <w:u w:val="single"/>
        </w:rPr>
        <w:t xml:space="preserve">                       </w:t>
      </w:r>
    </w:p>
    <w:p w14:paraId="56F4AEF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根据《中华人民共和国</w:t>
      </w:r>
      <w:r>
        <w:rPr>
          <w:rFonts w:hint="eastAsia" w:hAnsi="宋体" w:cs="宋体"/>
          <w:bCs/>
          <w:sz w:val="24"/>
          <w:highlight w:val="none"/>
          <w:lang w:val="en-US" w:eastAsia="zh-CN"/>
        </w:rPr>
        <w:t>民法典</w:t>
      </w:r>
      <w:r>
        <w:rPr>
          <w:rFonts w:hint="eastAsia" w:ascii="宋体" w:hAnsi="宋体" w:cs="宋体"/>
          <w:bCs/>
          <w:sz w:val="24"/>
          <w:highlight w:val="none"/>
        </w:rPr>
        <w:t>》、《中华人民共和国建筑法》及有关法律规定，遵循平等、自愿、公平和诚实信用的原则，双方就</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西院区手术室层流净化改造建设</w:t>
      </w:r>
      <w:r>
        <w:rPr>
          <w:rFonts w:hint="eastAsia" w:ascii="宋体" w:hAnsi="宋体"/>
          <w:color w:val="000000"/>
          <w:sz w:val="24"/>
          <w:highlight w:val="none"/>
          <w:u w:val="single"/>
        </w:rPr>
        <w:t xml:space="preserve"> </w:t>
      </w:r>
      <w:r>
        <w:rPr>
          <w:rFonts w:hint="eastAsia" w:ascii="宋体" w:hAnsi="宋体" w:cs="宋体"/>
          <w:bCs/>
          <w:sz w:val="24"/>
          <w:highlight w:val="none"/>
        </w:rPr>
        <w:t>施工及有关事项协商一致，共同达成如下协议：</w:t>
      </w:r>
      <w:bookmarkStart w:id="61" w:name="_Toc351203481"/>
    </w:p>
    <w:p w14:paraId="412AC1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一、工程概况</w:t>
      </w:r>
      <w:bookmarkEnd w:id="61"/>
    </w:p>
    <w:p w14:paraId="654A0C1C">
      <w:pPr>
        <w:spacing w:line="360" w:lineRule="auto"/>
        <w:ind w:firstLine="470" w:firstLineChars="196"/>
        <w:rPr>
          <w:rFonts w:hint="eastAsia" w:ascii="宋体" w:hAnsi="宋体" w:cs="宋体"/>
          <w:bCs/>
          <w:sz w:val="24"/>
          <w:highlight w:val="none"/>
          <w:u w:val="single"/>
        </w:rPr>
      </w:pPr>
      <w:r>
        <w:rPr>
          <w:rFonts w:hint="eastAsia" w:ascii="宋体" w:hAnsi="宋体" w:cs="宋体"/>
          <w:bCs/>
          <w:sz w:val="24"/>
          <w:highlight w:val="none"/>
        </w:rPr>
        <w:t>1.工程名称：</w:t>
      </w:r>
      <w:r>
        <w:rPr>
          <w:rFonts w:hint="eastAsia" w:hAnsi="宋体" w:cs="宋体"/>
          <w:bCs/>
          <w:sz w:val="24"/>
          <w:highlight w:val="none"/>
          <w:u w:val="single"/>
          <w:lang w:eastAsia="zh-CN"/>
        </w:rPr>
        <w:t>西院区手术室层流净化改造建设</w:t>
      </w:r>
      <w:r>
        <w:rPr>
          <w:rFonts w:hint="eastAsia" w:ascii="宋体" w:hAnsi="宋体" w:cs="宋体"/>
          <w:bCs/>
          <w:sz w:val="24"/>
          <w:highlight w:val="none"/>
        </w:rPr>
        <w:t>。</w:t>
      </w:r>
    </w:p>
    <w:p w14:paraId="712D34C7">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2.工程地点：</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C4294">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3.工程立项批准文号：</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3E4FC8E">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4.资金来源：</w:t>
      </w:r>
      <w:r>
        <w:rPr>
          <w:rFonts w:hint="eastAsia" w:ascii="宋体" w:hAnsi="宋体" w:cs="宋体"/>
          <w:bCs/>
          <w:sz w:val="24"/>
          <w:highlight w:val="none"/>
          <w:u w:val="single"/>
        </w:rPr>
        <w:t xml:space="preserve"> 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3583890">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5.工程内容：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EBE9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6.工程承包范围：</w:t>
      </w:r>
      <w:r>
        <w:rPr>
          <w:rFonts w:hint="eastAsia" w:ascii="宋体" w:hAnsi="宋体" w:cs="宋体"/>
          <w:bCs/>
          <w:sz w:val="24"/>
          <w:highlight w:val="none"/>
          <w:u w:val="single"/>
        </w:rPr>
        <w:t></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w:t>
      </w:r>
      <w:r>
        <w:rPr>
          <w:rFonts w:hint="eastAsia" w:ascii="宋体" w:hAnsi="宋体" w:cs="宋体"/>
          <w:bCs/>
          <w:sz w:val="24"/>
          <w:highlight w:val="none"/>
        </w:rPr>
        <w:t>。</w:t>
      </w:r>
      <w:bookmarkStart w:id="62" w:name="_Toc351203482"/>
    </w:p>
    <w:p w14:paraId="67548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二、合同工期</w:t>
      </w:r>
      <w:bookmarkEnd w:id="62"/>
    </w:p>
    <w:p w14:paraId="5AD98656">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计划开工日期：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2C47FF9F">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计划竣工日期：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6DBA70E1">
      <w:pPr>
        <w:spacing w:line="360" w:lineRule="auto"/>
        <w:ind w:firstLine="459"/>
        <w:rPr>
          <w:rFonts w:hint="eastAsia" w:ascii="宋体" w:hAnsi="宋体" w:cs="宋体"/>
          <w:bCs/>
          <w:sz w:val="24"/>
          <w:highlight w:val="none"/>
        </w:rPr>
      </w:pPr>
      <w:r>
        <w:rPr>
          <w:rFonts w:hint="eastAsia" w:ascii="宋体" w:hAnsi="宋体" w:cs="宋体"/>
          <w:bCs/>
          <w:sz w:val="24"/>
          <w:highlight w:val="none"/>
        </w:rPr>
        <w:t>工期总日历天数：</w:t>
      </w:r>
      <w:r>
        <w:rPr>
          <w:rFonts w:hint="eastAsia" w:hAnsi="宋体" w:cs="宋体"/>
          <w:bCs/>
          <w:sz w:val="24"/>
          <w:highlight w:val="none"/>
          <w:u w:val="single"/>
          <w:lang w:val="en-US" w:eastAsia="zh-CN"/>
        </w:rPr>
        <w:t xml:space="preserve">       </w:t>
      </w:r>
      <w:r>
        <w:rPr>
          <w:rFonts w:hint="eastAsia" w:ascii="宋体" w:hAnsi="宋体" w:cs="宋体"/>
          <w:bCs/>
          <w:sz w:val="24"/>
          <w:highlight w:val="none"/>
        </w:rPr>
        <w:t>。工期总日历天数与根据前述计划开竣工日期计算的工期天数不一致的，以工期总日历天数为准。</w:t>
      </w:r>
    </w:p>
    <w:p w14:paraId="59DAA195">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3" w:name="_Toc351203483"/>
      <w:r>
        <w:rPr>
          <w:rFonts w:hint="eastAsia" w:ascii="宋体" w:hAnsi="宋体" w:cs="宋体"/>
          <w:bCs/>
          <w:sz w:val="24"/>
          <w:highlight w:val="none"/>
        </w:rPr>
        <w:t>三、质量标准</w:t>
      </w:r>
      <w:bookmarkEnd w:id="63"/>
    </w:p>
    <w:p w14:paraId="431B31C3">
      <w:pPr>
        <w:spacing w:line="360" w:lineRule="auto"/>
        <w:ind w:firstLine="459"/>
        <w:rPr>
          <w:rFonts w:hint="eastAsia" w:ascii="宋体" w:hAnsi="宋体" w:cs="宋体"/>
          <w:bCs/>
          <w:sz w:val="24"/>
          <w:highlight w:val="none"/>
        </w:rPr>
      </w:pPr>
      <w:r>
        <w:rPr>
          <w:rFonts w:hint="eastAsia" w:ascii="宋体" w:hAnsi="宋体" w:cs="宋体"/>
          <w:bCs/>
          <w:sz w:val="24"/>
          <w:highlight w:val="none"/>
        </w:rPr>
        <w:t>工程质量符合</w:t>
      </w:r>
      <w:r>
        <w:rPr>
          <w:rFonts w:hint="eastAsia" w:ascii="宋体" w:hAnsi="宋体" w:cs="宋体"/>
          <w:bCs/>
          <w:sz w:val="24"/>
          <w:highlight w:val="none"/>
          <w:u w:val="single"/>
        </w:rPr>
        <w:t>合格</w:t>
      </w:r>
      <w:r>
        <w:rPr>
          <w:rFonts w:hint="eastAsia" w:ascii="宋体" w:hAnsi="宋体" w:cs="宋体"/>
          <w:bCs/>
          <w:sz w:val="24"/>
          <w:highlight w:val="none"/>
        </w:rPr>
        <w:t>标准。</w:t>
      </w:r>
    </w:p>
    <w:p w14:paraId="00597E2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4" w:name="_Toc351203484"/>
      <w:r>
        <w:rPr>
          <w:rFonts w:hint="eastAsia" w:ascii="宋体" w:hAnsi="宋体" w:cs="宋体"/>
          <w:bCs/>
          <w:sz w:val="24"/>
          <w:highlight w:val="none"/>
        </w:rPr>
        <w:t>四、签约合同价与合同价格形式</w:t>
      </w:r>
      <w:bookmarkEnd w:id="64"/>
      <w:r>
        <w:rPr>
          <w:rFonts w:hint="eastAsia" w:ascii="宋体" w:hAnsi="宋体" w:cs="宋体"/>
          <w:bCs/>
          <w:sz w:val="24"/>
          <w:highlight w:val="none"/>
        </w:rPr>
        <w:tab/>
      </w:r>
    </w:p>
    <w:p w14:paraId="176D081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1.签约合同价为：</w:t>
      </w:r>
    </w:p>
    <w:p w14:paraId="7322E086">
      <w:pPr>
        <w:spacing w:line="360" w:lineRule="auto"/>
        <w:ind w:firstLine="600" w:firstLineChars="2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7FA5429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其中：</w:t>
      </w:r>
    </w:p>
    <w:p w14:paraId="69E6F7C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（1）安全文明施工费：</w:t>
      </w:r>
    </w:p>
    <w:p w14:paraId="6F38B2F8">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722C90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（2）材料和工程设备暂估价金额：</w:t>
      </w:r>
    </w:p>
    <w:p w14:paraId="53237147">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C5B93A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2.合同价格形式：</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 xml:space="preserve">         </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673160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5" w:name="_Toc351203485"/>
      <w:r>
        <w:rPr>
          <w:rFonts w:hint="eastAsia" w:ascii="宋体" w:hAnsi="宋体" w:cs="宋体"/>
          <w:bCs/>
          <w:sz w:val="24"/>
          <w:highlight w:val="none"/>
        </w:rPr>
        <w:t>五、</w:t>
      </w:r>
      <w:bookmarkEnd w:id="65"/>
      <w:r>
        <w:rPr>
          <w:rFonts w:hint="eastAsia" w:ascii="宋体" w:hAnsi="宋体" w:cs="宋体"/>
          <w:bCs/>
          <w:sz w:val="24"/>
          <w:highlight w:val="none"/>
        </w:rPr>
        <w:t>项目经理</w:t>
      </w:r>
    </w:p>
    <w:p w14:paraId="25B5C13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承包人项目经理：</w:t>
      </w:r>
      <w:r>
        <w:rPr>
          <w:rFonts w:hint="eastAsia" w:ascii="宋体" w:hAnsi="宋体" w:cs="宋体"/>
          <w:bCs/>
          <w:sz w:val="24"/>
          <w:highlight w:val="none"/>
          <w:u w:val="single"/>
        </w:rPr>
        <w:t>                     </w:t>
      </w:r>
      <w:r>
        <w:rPr>
          <w:rFonts w:hint="eastAsia" w:ascii="宋体" w:hAnsi="宋体" w:cs="宋体"/>
          <w:bCs/>
          <w:sz w:val="24"/>
          <w:highlight w:val="none"/>
        </w:rPr>
        <w:t>。</w:t>
      </w:r>
    </w:p>
    <w:p w14:paraId="4F7DB83B">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6" w:name="_Toc351203486"/>
      <w:r>
        <w:rPr>
          <w:rFonts w:hint="eastAsia" w:ascii="宋体" w:hAnsi="宋体" w:cs="宋体"/>
          <w:bCs/>
          <w:sz w:val="24"/>
          <w:highlight w:val="none"/>
        </w:rPr>
        <w:t>六、合同文件构成</w:t>
      </w:r>
      <w:bookmarkEnd w:id="66"/>
    </w:p>
    <w:p w14:paraId="4961ECB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本协议书与下列文件一起构成合同文件：</w:t>
      </w:r>
    </w:p>
    <w:p w14:paraId="44A9B405">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（1）中标通知书（如果有）；</w:t>
      </w:r>
    </w:p>
    <w:p w14:paraId="1C196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（2）投标函及其附录（如果有）； </w:t>
      </w:r>
    </w:p>
    <w:p w14:paraId="3ECCC2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（3）专用合同条款及其附件；</w:t>
      </w:r>
    </w:p>
    <w:p w14:paraId="5DE12B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（4）通用合同条款；</w:t>
      </w:r>
    </w:p>
    <w:p w14:paraId="03D900B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（5）技术标准和要求；</w:t>
      </w:r>
    </w:p>
    <w:p w14:paraId="5FF73FD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（6）图纸；</w:t>
      </w:r>
    </w:p>
    <w:p w14:paraId="2206DE6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（7）已标价工程量清单或预算书；</w:t>
      </w:r>
    </w:p>
    <w:p w14:paraId="71D21F31">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（8）其他合同文件。</w:t>
      </w:r>
    </w:p>
    <w:p w14:paraId="571541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在合同订立及履行过程中形成的与合同有关的文件均构成合同文件组成部分。</w:t>
      </w:r>
    </w:p>
    <w:p w14:paraId="59799CD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上述各项合同文件包括合同当事人就该项合同文件所作出的补充和修改，属于同一类内容的文件，应以最新签署的为准。专用合同条款及其附件须经合同当事人签字或盖章。</w:t>
      </w:r>
    </w:p>
    <w:p w14:paraId="202BE11D">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7" w:name="_Toc351203487"/>
      <w:r>
        <w:rPr>
          <w:rFonts w:hint="eastAsia" w:ascii="宋体" w:hAnsi="宋体" w:cs="宋体"/>
          <w:bCs/>
          <w:sz w:val="24"/>
          <w:highlight w:val="none"/>
        </w:rPr>
        <w:t>七、承诺</w:t>
      </w:r>
      <w:bookmarkEnd w:id="67"/>
    </w:p>
    <w:p w14:paraId="0F9425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1.发包人承诺按照法律规定履行项目审批手续、筹集工程建设资金并按照合同约定的期限和方式支付合同价款。</w:t>
      </w:r>
    </w:p>
    <w:p w14:paraId="4B749E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2.承包人承诺按照法律规定及合同约定组织完成工程施工，确保工程质量和安全，不进行转包及违法分包，并在缺陷责任期及保修期内承担相应的工程维修责任。</w:t>
      </w:r>
    </w:p>
    <w:p w14:paraId="109B60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3.发包人和承包人通过招投标形式签订合同的，双方理解并承诺不再就同一工程另行签订与合同实质性内容相背离的协议。</w:t>
      </w:r>
    </w:p>
    <w:p w14:paraId="7C79808D">
      <w:pPr>
        <w:widowControl/>
        <w:spacing w:line="460" w:lineRule="exact"/>
        <w:jc w:val="left"/>
        <w:rPr>
          <w:rFonts w:hint="eastAsia" w:ascii="宋体" w:hAnsi="宋体" w:cs="宋体"/>
          <w:bCs/>
          <w:sz w:val="24"/>
          <w:highlight w:val="none"/>
        </w:rPr>
      </w:pPr>
      <w:bookmarkStart w:id="68" w:name="_Toc351203488"/>
      <w:r>
        <w:rPr>
          <w:rFonts w:hint="eastAsia" w:ascii="宋体" w:hAnsi="宋体" w:cs="宋体"/>
          <w:bCs/>
          <w:sz w:val="24"/>
          <w:highlight w:val="none"/>
        </w:rPr>
        <w:t xml:space="preserve">    八、词语含义</w:t>
      </w:r>
      <w:bookmarkEnd w:id="68"/>
    </w:p>
    <w:p w14:paraId="1EAF0C5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本协议书中词语含义与第二部分通用合同条款中赋予的含义相同。</w:t>
      </w:r>
    </w:p>
    <w:p w14:paraId="07FB6DFF">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69" w:name="_Toc351203489"/>
      <w:r>
        <w:rPr>
          <w:rFonts w:hint="eastAsia" w:ascii="宋体" w:hAnsi="宋体" w:cs="宋体"/>
          <w:bCs/>
          <w:sz w:val="24"/>
          <w:highlight w:val="none"/>
        </w:rPr>
        <w:t>九、签订时间</w:t>
      </w:r>
      <w:bookmarkEnd w:id="69"/>
    </w:p>
    <w:p w14:paraId="4C308F2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本合同于</w:t>
      </w:r>
      <w:r>
        <w:rPr>
          <w:rFonts w:hint="eastAsia" w:ascii="宋体" w:hAnsi="宋体" w:cs="宋体"/>
          <w:bCs/>
          <w:sz w:val="24"/>
          <w:highlight w:val="none"/>
          <w:u w:val="single"/>
        </w:rPr>
        <w:t xml:space="preserve">         </w:t>
      </w:r>
      <w:r>
        <w:rPr>
          <w:rFonts w:hint="eastAsia" w:ascii="宋体" w:hAnsi="宋体" w:cs="宋体"/>
          <w:bCs/>
          <w:sz w:val="24"/>
          <w:highlight w:val="none"/>
        </w:rPr>
        <w:t>年</w:t>
      </w:r>
      <w:r>
        <w:rPr>
          <w:rFonts w:hint="eastAsia" w:ascii="宋体" w:hAnsi="宋体" w:cs="宋体"/>
          <w:bCs/>
          <w:sz w:val="24"/>
          <w:highlight w:val="none"/>
          <w:u w:val="single"/>
        </w:rPr>
        <w:t xml:space="preserve">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rPr>
        <w:t>日签订。</w:t>
      </w:r>
    </w:p>
    <w:p w14:paraId="46B05805">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0" w:name="_Toc351203490"/>
      <w:r>
        <w:rPr>
          <w:rFonts w:hint="eastAsia" w:ascii="宋体" w:hAnsi="宋体" w:cs="宋体"/>
          <w:bCs/>
          <w:sz w:val="24"/>
          <w:highlight w:val="none"/>
        </w:rPr>
        <w:t>十、签订地点</w:t>
      </w:r>
      <w:bookmarkEnd w:id="70"/>
    </w:p>
    <w:p w14:paraId="6217C35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本合同在</w:t>
      </w:r>
      <w:r>
        <w:rPr>
          <w:rFonts w:hint="eastAsia" w:ascii="宋体" w:hAnsi="宋体" w:cs="宋体"/>
          <w:bCs/>
          <w:sz w:val="24"/>
          <w:highlight w:val="none"/>
          <w:u w:val="single"/>
        </w:rPr>
        <w:t xml:space="preserve">                                    </w:t>
      </w:r>
      <w:r>
        <w:rPr>
          <w:rFonts w:hint="eastAsia" w:ascii="宋体" w:hAnsi="宋体" w:cs="宋体"/>
          <w:bCs/>
          <w:sz w:val="24"/>
          <w:highlight w:val="none"/>
        </w:rPr>
        <w:t>签订。</w:t>
      </w:r>
    </w:p>
    <w:p w14:paraId="33EC2029">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1" w:name="_Toc351203491"/>
      <w:r>
        <w:rPr>
          <w:rFonts w:hint="eastAsia" w:ascii="宋体" w:hAnsi="宋体" w:cs="宋体"/>
          <w:bCs/>
          <w:sz w:val="24"/>
          <w:highlight w:val="none"/>
        </w:rPr>
        <w:t>十一、补充协议</w:t>
      </w:r>
      <w:bookmarkEnd w:id="71"/>
    </w:p>
    <w:p w14:paraId="64605C3B">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合同未尽事宜，合同当事人另行签订补充协议，补充协议是合同的组成部分。</w:t>
      </w:r>
    </w:p>
    <w:p w14:paraId="150CEF51">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2" w:name="_Toc351203492"/>
      <w:r>
        <w:rPr>
          <w:rFonts w:hint="eastAsia" w:ascii="宋体" w:hAnsi="宋体" w:cs="宋体"/>
          <w:bCs/>
          <w:sz w:val="24"/>
          <w:highlight w:val="none"/>
        </w:rPr>
        <w:t>十二、合同生效</w:t>
      </w:r>
      <w:bookmarkEnd w:id="72"/>
    </w:p>
    <w:p w14:paraId="0582591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本合同自</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发包方和承包方的法定代表人或其授权代理人在协议书上签字并盖单位章后本合同</w:t>
      </w:r>
      <w:r>
        <w:rPr>
          <w:rFonts w:hint="eastAsia" w:ascii="宋体" w:hAnsi="宋体" w:cs="宋体"/>
          <w:bCs/>
          <w:sz w:val="24"/>
          <w:highlight w:val="none"/>
          <w:u w:val="single"/>
        </w:rPr>
        <w:t xml:space="preserve">  </w:t>
      </w:r>
      <w:r>
        <w:rPr>
          <w:rFonts w:hint="eastAsia" w:ascii="宋体" w:hAnsi="宋体" w:cs="宋体"/>
          <w:bCs/>
          <w:sz w:val="24"/>
          <w:highlight w:val="none"/>
        </w:rPr>
        <w:t>生效。</w:t>
      </w:r>
    </w:p>
    <w:p w14:paraId="2E5A7FA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3" w:name="_Toc351203493"/>
      <w:r>
        <w:rPr>
          <w:rFonts w:hint="eastAsia" w:ascii="宋体" w:hAnsi="宋体" w:cs="宋体"/>
          <w:bCs/>
          <w:sz w:val="24"/>
          <w:highlight w:val="none"/>
        </w:rPr>
        <w:t>十三、合同份数</w:t>
      </w:r>
      <w:bookmarkEnd w:id="73"/>
    </w:p>
    <w:p w14:paraId="33344C5B">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本合同一式</w:t>
      </w:r>
      <w:r>
        <w:rPr>
          <w:rFonts w:hint="eastAsia" w:ascii="宋体" w:hAnsi="宋体" w:cs="宋体"/>
          <w:bCs/>
          <w:sz w:val="24"/>
          <w:highlight w:val="none"/>
          <w:u w:val="single"/>
        </w:rPr>
        <w:t>陆</w:t>
      </w:r>
      <w:r>
        <w:rPr>
          <w:rFonts w:hint="eastAsia" w:ascii="宋体" w:hAnsi="宋体" w:cs="宋体"/>
          <w:bCs/>
          <w:sz w:val="24"/>
          <w:highlight w:val="none"/>
        </w:rPr>
        <w:t>份，均具有同等法律效力，</w:t>
      </w:r>
      <w:r>
        <w:rPr>
          <w:rFonts w:hint="eastAsia" w:ascii="宋体" w:hAnsi="宋体" w:cs="宋体"/>
          <w:bCs/>
          <w:kern w:val="1"/>
          <w:sz w:val="24"/>
          <w:highlight w:val="none"/>
        </w:rPr>
        <w:t>双方各持正本一份、副本贰份</w:t>
      </w:r>
      <w:r>
        <w:rPr>
          <w:rFonts w:hint="eastAsia" w:ascii="宋体" w:hAnsi="宋体" w:cs="宋体"/>
          <w:bCs/>
          <w:sz w:val="24"/>
          <w:highlight w:val="none"/>
        </w:rPr>
        <w:t>。</w:t>
      </w:r>
    </w:p>
    <w:p w14:paraId="2CAA8E07">
      <w:pPr>
        <w:spacing w:line="360" w:lineRule="auto"/>
        <w:rPr>
          <w:rFonts w:hint="eastAsia" w:ascii="宋体" w:hAnsi="宋体" w:cs="宋体"/>
          <w:bCs/>
          <w:sz w:val="24"/>
          <w:highlight w:val="none"/>
        </w:rPr>
      </w:pPr>
    </w:p>
    <w:p w14:paraId="7D8E8B27">
      <w:pPr>
        <w:spacing w:line="360" w:lineRule="auto"/>
        <w:rPr>
          <w:rFonts w:hint="eastAsia" w:ascii="宋体" w:hAnsi="宋体" w:cs="宋体"/>
          <w:bCs/>
          <w:sz w:val="24"/>
          <w:highlight w:val="none"/>
        </w:rPr>
      </w:pPr>
    </w:p>
    <w:p w14:paraId="0091613B">
      <w:pPr>
        <w:spacing w:line="360" w:lineRule="auto"/>
        <w:rPr>
          <w:rFonts w:hint="eastAsia" w:ascii="宋体" w:hAnsi="宋体" w:cs="宋体"/>
          <w:bCs/>
          <w:sz w:val="24"/>
          <w:highlight w:val="none"/>
          <w:u w:val="single"/>
        </w:rPr>
      </w:pPr>
      <w:r>
        <w:rPr>
          <w:rFonts w:hint="eastAsia" w:ascii="宋体" w:hAnsi="宋体" w:cs="宋体"/>
          <w:bCs/>
          <w:sz w:val="24"/>
          <w:highlight w:val="none"/>
        </w:rPr>
        <w:t>发包人：  (公章)               承包人：  (公章)</w:t>
      </w:r>
    </w:p>
    <w:p w14:paraId="367B703A">
      <w:pPr>
        <w:spacing w:line="360" w:lineRule="auto"/>
        <w:rPr>
          <w:rFonts w:hint="eastAsia" w:ascii="宋体" w:hAnsi="宋体" w:cs="宋体"/>
          <w:bCs/>
          <w:sz w:val="24"/>
          <w:highlight w:val="none"/>
        </w:rPr>
      </w:pPr>
      <w:r>
        <w:rPr>
          <w:rFonts w:hint="eastAsia" w:ascii="宋体" w:hAnsi="宋体" w:cs="宋体"/>
          <w:bCs/>
          <w:sz w:val="24"/>
          <w:highlight w:val="none"/>
        </w:rPr>
        <w:t>法定代表人                    法定代表人</w:t>
      </w:r>
    </w:p>
    <w:p w14:paraId="7A6996B7">
      <w:pPr>
        <w:spacing w:line="360" w:lineRule="auto"/>
        <w:rPr>
          <w:rFonts w:hint="eastAsia" w:ascii="宋体" w:hAnsi="宋体" w:cs="宋体"/>
          <w:bCs/>
          <w:sz w:val="24"/>
          <w:highlight w:val="none"/>
        </w:rPr>
      </w:pPr>
      <w:r>
        <w:rPr>
          <w:rFonts w:hint="eastAsia" w:ascii="宋体" w:hAnsi="宋体" w:cs="宋体"/>
          <w:bCs/>
          <w:sz w:val="24"/>
          <w:highlight w:val="none"/>
        </w:rPr>
        <w:t>或其委托代理人（签字）：      或其委托代理人（签字）：</w:t>
      </w:r>
    </w:p>
    <w:p w14:paraId="16E51CFC">
      <w:pPr>
        <w:tabs>
          <w:tab w:val="left" w:pos="4410"/>
        </w:tabs>
        <w:spacing w:line="360" w:lineRule="auto"/>
        <w:rPr>
          <w:rFonts w:hint="eastAsia" w:ascii="宋体" w:hAnsi="宋体" w:cs="宋体"/>
          <w:bCs/>
          <w:sz w:val="24"/>
          <w:highlight w:val="none"/>
        </w:rPr>
      </w:pPr>
      <w:r>
        <w:rPr>
          <w:rFonts w:hint="eastAsia" w:ascii="宋体" w:hAnsi="宋体" w:cs="宋体"/>
          <w:bCs/>
          <w:sz w:val="24"/>
          <w:highlight w:val="none"/>
        </w:rPr>
        <w:t>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57F4B8B8">
      <w:pPr>
        <w:spacing w:line="360" w:lineRule="auto"/>
        <w:rPr>
          <w:rFonts w:hint="eastAsia" w:ascii="宋体" w:hAnsi="宋体" w:cs="宋体"/>
          <w:bCs/>
          <w:sz w:val="24"/>
          <w:highlight w:val="none"/>
        </w:rPr>
      </w:pPr>
      <w:r>
        <w:rPr>
          <w:rFonts w:hint="eastAsia" w:ascii="宋体" w:hAnsi="宋体" w:cs="宋体"/>
          <w:bCs/>
          <w:sz w:val="24"/>
          <w:highlight w:val="none"/>
        </w:rPr>
        <w:t>地  址：</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地  址：</w:t>
      </w:r>
      <w:r>
        <w:rPr>
          <w:rFonts w:hint="eastAsia" w:ascii="宋体" w:hAnsi="宋体" w:cs="宋体"/>
          <w:bCs/>
          <w:sz w:val="24"/>
          <w:highlight w:val="none"/>
          <w:u w:val="single"/>
        </w:rPr>
        <w:t xml:space="preserve">              </w:t>
      </w:r>
    </w:p>
    <w:p w14:paraId="6D03888C">
      <w:pPr>
        <w:spacing w:line="360" w:lineRule="auto"/>
        <w:rPr>
          <w:rFonts w:hint="eastAsia" w:ascii="宋体" w:hAnsi="宋体" w:cs="宋体"/>
          <w:bCs/>
          <w:sz w:val="24"/>
          <w:highlight w:val="none"/>
        </w:rPr>
      </w:pPr>
      <w:r>
        <w:rPr>
          <w:rFonts w:hint="eastAsia" w:ascii="宋体" w:hAnsi="宋体" w:cs="宋体"/>
          <w:bCs/>
          <w:sz w:val="24"/>
          <w:highlight w:val="none"/>
        </w:rPr>
        <w:t>邮政编码：</w:t>
      </w:r>
      <w:r>
        <w:rPr>
          <w:rFonts w:hint="eastAsia" w:ascii="宋体" w:hAnsi="宋体" w:cs="宋体"/>
          <w:bCs/>
          <w:sz w:val="24"/>
          <w:highlight w:val="none"/>
          <w:u w:val="single"/>
        </w:rPr>
        <w:t xml:space="preserve">      </w:t>
      </w:r>
      <w:r>
        <w:rPr>
          <w:rFonts w:hint="eastAsia" w:ascii="宋体" w:hAnsi="宋体" w:cs="宋体"/>
          <w:bCs/>
          <w:sz w:val="24"/>
          <w:highlight w:val="none"/>
        </w:rPr>
        <w:t xml:space="preserve">  邮政编码：</w:t>
      </w:r>
      <w:r>
        <w:rPr>
          <w:rFonts w:hint="eastAsia" w:ascii="宋体" w:hAnsi="宋体" w:cs="宋体"/>
          <w:bCs/>
          <w:sz w:val="24"/>
          <w:highlight w:val="none"/>
          <w:u w:val="single"/>
        </w:rPr>
        <w:t xml:space="preserve">       </w:t>
      </w:r>
    </w:p>
    <w:p w14:paraId="39023ED6">
      <w:pPr>
        <w:spacing w:line="360" w:lineRule="auto"/>
        <w:rPr>
          <w:rFonts w:hint="eastAsia" w:ascii="宋体" w:hAnsi="宋体" w:cs="宋体"/>
          <w:bCs/>
          <w:sz w:val="24"/>
          <w:highlight w:val="none"/>
        </w:rPr>
      </w:pPr>
      <w:r>
        <w:rPr>
          <w:rFonts w:hint="eastAsia" w:ascii="宋体" w:hAnsi="宋体" w:cs="宋体"/>
          <w:bCs/>
          <w:sz w:val="24"/>
          <w:highlight w:val="none"/>
        </w:rPr>
        <w:t>法定代表人：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法定代表人：</w:t>
      </w:r>
      <w:r>
        <w:rPr>
          <w:rFonts w:hint="eastAsia" w:ascii="宋体" w:hAnsi="宋体" w:cs="宋体"/>
          <w:bCs/>
          <w:sz w:val="24"/>
          <w:highlight w:val="none"/>
          <w:u w:val="single"/>
        </w:rPr>
        <w:t xml:space="preserve">                     </w:t>
      </w:r>
    </w:p>
    <w:p w14:paraId="4E550CB5">
      <w:pPr>
        <w:spacing w:line="360" w:lineRule="auto"/>
        <w:rPr>
          <w:rFonts w:hint="eastAsia" w:ascii="宋体" w:hAnsi="宋体" w:cs="宋体"/>
          <w:bCs/>
          <w:sz w:val="24"/>
          <w:highlight w:val="none"/>
        </w:rPr>
      </w:pPr>
      <w:r>
        <w:rPr>
          <w:rFonts w:hint="eastAsia" w:ascii="宋体" w:hAnsi="宋体" w:cs="宋体"/>
          <w:bCs/>
          <w:sz w:val="24"/>
          <w:highlight w:val="none"/>
        </w:rPr>
        <w:t>委托代理人：</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委托代理人：</w:t>
      </w:r>
      <w:r>
        <w:rPr>
          <w:rFonts w:hint="eastAsia" w:ascii="宋体" w:hAnsi="宋体" w:cs="宋体"/>
          <w:bCs/>
          <w:sz w:val="24"/>
          <w:highlight w:val="none"/>
          <w:u w:val="single"/>
        </w:rPr>
        <w:t xml:space="preserve">                           </w:t>
      </w:r>
    </w:p>
    <w:p w14:paraId="146F5383">
      <w:pPr>
        <w:spacing w:line="360" w:lineRule="auto"/>
        <w:rPr>
          <w:rFonts w:hint="eastAsia" w:ascii="宋体" w:hAnsi="宋体" w:cs="宋体"/>
          <w:bCs/>
          <w:sz w:val="24"/>
          <w:highlight w:val="none"/>
        </w:rPr>
      </w:pPr>
      <w:r>
        <w:rPr>
          <w:rFonts w:hint="eastAsia" w:ascii="宋体" w:hAnsi="宋体" w:cs="宋体"/>
          <w:bCs/>
          <w:sz w:val="24"/>
          <w:highlight w:val="none"/>
        </w:rPr>
        <w:t>电  话：</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  话：</w:t>
      </w:r>
      <w:r>
        <w:rPr>
          <w:rFonts w:hint="eastAsia" w:ascii="宋体" w:hAnsi="宋体" w:cs="宋体"/>
          <w:bCs/>
          <w:sz w:val="24"/>
          <w:highlight w:val="none"/>
          <w:u w:val="single"/>
        </w:rPr>
        <w:t xml:space="preserve">           </w:t>
      </w:r>
    </w:p>
    <w:p w14:paraId="161BC104">
      <w:pPr>
        <w:spacing w:line="360" w:lineRule="auto"/>
        <w:rPr>
          <w:rFonts w:hint="eastAsia" w:ascii="宋体" w:hAnsi="宋体" w:cs="宋体"/>
          <w:bCs/>
          <w:sz w:val="24"/>
          <w:highlight w:val="none"/>
        </w:rPr>
      </w:pPr>
      <w:r>
        <w:rPr>
          <w:rFonts w:hint="eastAsia" w:ascii="宋体" w:hAnsi="宋体" w:cs="宋体"/>
          <w:bCs/>
          <w:sz w:val="24"/>
          <w:highlight w:val="none"/>
        </w:rPr>
        <w:t>传  真：</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传  真：</w:t>
      </w:r>
      <w:r>
        <w:rPr>
          <w:rFonts w:hint="eastAsia" w:ascii="宋体" w:hAnsi="宋体" w:cs="宋体"/>
          <w:bCs/>
          <w:sz w:val="24"/>
          <w:highlight w:val="none"/>
          <w:u w:val="single"/>
        </w:rPr>
        <w:t xml:space="preserve">         </w:t>
      </w:r>
    </w:p>
    <w:p w14:paraId="260F9D34">
      <w:pPr>
        <w:spacing w:line="360" w:lineRule="auto"/>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电子信箱：</w:t>
      </w:r>
      <w:r>
        <w:rPr>
          <w:rFonts w:hint="eastAsia" w:ascii="宋体" w:hAnsi="宋体" w:cs="宋体"/>
          <w:bCs/>
          <w:sz w:val="24"/>
          <w:highlight w:val="none"/>
          <w:u w:val="single"/>
        </w:rPr>
        <w:t xml:space="preserve">       </w:t>
      </w:r>
    </w:p>
    <w:p w14:paraId="3972C808">
      <w:pPr>
        <w:spacing w:line="360" w:lineRule="auto"/>
        <w:rPr>
          <w:rFonts w:hint="eastAsia" w:ascii="宋体" w:hAnsi="宋体" w:cs="宋体"/>
          <w:bCs/>
          <w:sz w:val="24"/>
          <w:highlight w:val="none"/>
        </w:rPr>
      </w:pPr>
      <w:r>
        <w:rPr>
          <w:rFonts w:hint="eastAsia" w:ascii="宋体" w:hAnsi="宋体" w:cs="宋体"/>
          <w:bCs/>
          <w:sz w:val="24"/>
          <w:highlight w:val="none"/>
        </w:rPr>
        <w:t>开户银行：</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开户银行：</w:t>
      </w:r>
      <w:r>
        <w:rPr>
          <w:rFonts w:hint="eastAsia" w:ascii="宋体" w:hAnsi="宋体" w:cs="宋体"/>
          <w:bCs/>
          <w:sz w:val="24"/>
          <w:highlight w:val="none"/>
          <w:u w:val="single"/>
        </w:rPr>
        <w:t xml:space="preserve">       </w:t>
      </w:r>
    </w:p>
    <w:p w14:paraId="402A4045">
      <w:pPr>
        <w:spacing w:line="360" w:lineRule="auto"/>
        <w:rPr>
          <w:rFonts w:hint="eastAsia" w:ascii="宋体" w:hAnsi="宋体" w:cs="宋体"/>
          <w:bCs/>
          <w:sz w:val="24"/>
          <w:highlight w:val="none"/>
        </w:rPr>
      </w:pPr>
      <w:r>
        <w:rPr>
          <w:rFonts w:hint="eastAsia" w:ascii="宋体" w:hAnsi="宋体" w:cs="宋体"/>
          <w:bCs/>
          <w:sz w:val="24"/>
          <w:highlight w:val="none"/>
        </w:rPr>
        <w:t>账  号：</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账  号：</w:t>
      </w:r>
      <w:r>
        <w:rPr>
          <w:rFonts w:hint="eastAsia" w:ascii="宋体" w:hAnsi="宋体" w:cs="宋体"/>
          <w:bCs/>
          <w:sz w:val="24"/>
          <w:highlight w:val="none"/>
          <w:u w:val="single"/>
        </w:rPr>
        <w:t xml:space="preserve">           </w:t>
      </w:r>
    </w:p>
    <w:p w14:paraId="5B1D73C4">
      <w:pPr>
        <w:jc w:val="center"/>
        <w:rPr>
          <w:rFonts w:hint="eastAsia" w:ascii="宋体" w:hAnsi="宋体" w:cs="宋体"/>
          <w:bCs/>
          <w:sz w:val="24"/>
          <w:highlight w:val="none"/>
        </w:rPr>
      </w:pPr>
      <w:r>
        <w:rPr>
          <w:rFonts w:hint="eastAsia" w:ascii="宋体" w:hAnsi="宋体" w:cs="宋体"/>
          <w:bCs/>
          <w:sz w:val="24"/>
          <w:highlight w:val="none"/>
        </w:rPr>
        <w:br w:type="page"/>
      </w:r>
      <w:bookmarkStart w:id="74" w:name="_Toc351203494"/>
    </w:p>
    <w:p w14:paraId="48753A1C">
      <w:pPr>
        <w:jc w:val="center"/>
        <w:rPr>
          <w:rFonts w:hint="eastAsia" w:ascii="宋体" w:hAnsi="宋体" w:cs="宋体"/>
          <w:bCs/>
          <w:sz w:val="24"/>
          <w:highlight w:val="none"/>
        </w:rPr>
      </w:pPr>
      <w:r>
        <w:rPr>
          <w:rFonts w:hint="eastAsia" w:ascii="宋体" w:hAnsi="宋体" w:cs="宋体"/>
          <w:bCs/>
          <w:sz w:val="32"/>
          <w:szCs w:val="32"/>
          <w:highlight w:val="none"/>
        </w:rPr>
        <w:t>第二部分 通用合同条款</w:t>
      </w:r>
      <w:bookmarkEnd w:id="74"/>
      <w:bookmarkStart w:id="75" w:name="_Toc337558727"/>
    </w:p>
    <w:p w14:paraId="483ECFC8">
      <w:pPr>
        <w:ind w:firstLine="480" w:firstLineChars="200"/>
        <w:jc w:val="left"/>
        <w:rPr>
          <w:rFonts w:hint="eastAsia" w:ascii="宋体" w:hAnsi="宋体" w:cs="宋体"/>
          <w:bCs/>
          <w:sz w:val="24"/>
          <w:highlight w:val="none"/>
        </w:rPr>
      </w:pPr>
    </w:p>
    <w:p w14:paraId="5E688E6A">
      <w:pPr>
        <w:jc w:val="left"/>
        <w:rPr>
          <w:rFonts w:hint="eastAsia" w:ascii="宋体" w:hAnsi="宋体" w:eastAsia="宋体" w:cs="宋体"/>
          <w:bCs/>
          <w:sz w:val="24"/>
          <w:highlight w:val="none"/>
          <w:lang w:eastAsia="zh-CN"/>
        </w:rPr>
      </w:pPr>
    </w:p>
    <w:p w14:paraId="76CF4417">
      <w:pPr>
        <w:rPr>
          <w:rFonts w:hint="eastAsia" w:ascii="宋体" w:hAnsi="宋体" w:cs="宋体"/>
          <w:bCs/>
          <w:sz w:val="24"/>
          <w:highlight w:val="none"/>
        </w:rPr>
      </w:pPr>
    </w:p>
    <w:p w14:paraId="24A1B92D">
      <w:pPr>
        <w:rPr>
          <w:rFonts w:hint="eastAsia" w:ascii="宋体" w:hAnsi="宋体" w:cs="宋体"/>
          <w:bCs/>
          <w:sz w:val="24"/>
          <w:highlight w:val="none"/>
        </w:rPr>
      </w:pPr>
    </w:p>
    <w:p w14:paraId="4F5923E2">
      <w:pPr>
        <w:rPr>
          <w:rFonts w:hint="eastAsia" w:ascii="宋体" w:hAnsi="宋体" w:cs="宋体"/>
          <w:bCs/>
          <w:sz w:val="24"/>
          <w:highlight w:val="none"/>
        </w:rPr>
      </w:pPr>
    </w:p>
    <w:p w14:paraId="2A86BA68">
      <w:pPr>
        <w:rPr>
          <w:rFonts w:hint="eastAsia" w:ascii="宋体" w:hAnsi="宋体" w:cs="宋体"/>
          <w:bCs/>
          <w:sz w:val="24"/>
          <w:highlight w:val="none"/>
        </w:rPr>
      </w:pPr>
    </w:p>
    <w:p w14:paraId="7906F1C4">
      <w:pPr>
        <w:rPr>
          <w:rFonts w:hint="eastAsia" w:ascii="宋体" w:hAnsi="宋体" w:cs="宋体"/>
          <w:bCs/>
          <w:sz w:val="24"/>
          <w:highlight w:val="none"/>
        </w:rPr>
      </w:pPr>
    </w:p>
    <w:p w14:paraId="2CDF9774">
      <w:pPr>
        <w:rPr>
          <w:rFonts w:hint="eastAsia" w:ascii="宋体" w:hAnsi="宋体" w:cs="宋体"/>
          <w:bCs/>
          <w:sz w:val="24"/>
          <w:highlight w:val="none"/>
        </w:rPr>
      </w:pPr>
    </w:p>
    <w:p w14:paraId="2725FBE8">
      <w:pPr>
        <w:rPr>
          <w:rFonts w:hint="eastAsia" w:ascii="宋体" w:hAnsi="宋体" w:cs="宋体"/>
          <w:bCs/>
          <w:sz w:val="24"/>
          <w:highlight w:val="none"/>
        </w:rPr>
      </w:pPr>
    </w:p>
    <w:p w14:paraId="4A68F8BD">
      <w:pPr>
        <w:rPr>
          <w:rFonts w:hint="eastAsia" w:ascii="宋体" w:hAnsi="宋体" w:cs="宋体"/>
          <w:bCs/>
          <w:sz w:val="24"/>
          <w:highlight w:val="none"/>
        </w:rPr>
      </w:pPr>
    </w:p>
    <w:p w14:paraId="18047A65">
      <w:pPr>
        <w:rPr>
          <w:rFonts w:hint="eastAsia" w:ascii="宋体" w:hAnsi="宋体" w:cs="宋体"/>
          <w:bCs/>
          <w:sz w:val="24"/>
          <w:highlight w:val="none"/>
        </w:rPr>
      </w:pPr>
    </w:p>
    <w:p w14:paraId="40F3C5BC">
      <w:pPr>
        <w:rPr>
          <w:rFonts w:hint="eastAsia" w:ascii="宋体" w:hAnsi="宋体" w:cs="宋体"/>
          <w:bCs/>
          <w:sz w:val="24"/>
          <w:highlight w:val="none"/>
        </w:rPr>
      </w:pPr>
    </w:p>
    <w:p w14:paraId="7C7D045E">
      <w:pPr>
        <w:rPr>
          <w:rFonts w:hint="eastAsia" w:ascii="宋体" w:hAnsi="宋体" w:cs="宋体"/>
          <w:bCs/>
          <w:sz w:val="24"/>
          <w:highlight w:val="none"/>
        </w:rPr>
      </w:pPr>
    </w:p>
    <w:p w14:paraId="592DDF01">
      <w:pPr>
        <w:rPr>
          <w:rFonts w:hint="eastAsia" w:ascii="宋体" w:hAnsi="宋体" w:cs="宋体"/>
          <w:bCs/>
          <w:sz w:val="24"/>
          <w:highlight w:val="none"/>
        </w:rPr>
      </w:pPr>
    </w:p>
    <w:p w14:paraId="7B0809C2">
      <w:pPr>
        <w:rPr>
          <w:rFonts w:hint="eastAsia" w:ascii="宋体" w:hAnsi="宋体" w:cs="宋体"/>
          <w:bCs/>
          <w:sz w:val="24"/>
          <w:highlight w:val="none"/>
        </w:rPr>
      </w:pPr>
    </w:p>
    <w:p w14:paraId="49CCEF42">
      <w:pPr>
        <w:rPr>
          <w:rFonts w:hint="eastAsia" w:ascii="宋体" w:hAnsi="宋体" w:cs="宋体"/>
          <w:bCs/>
          <w:sz w:val="24"/>
          <w:highlight w:val="none"/>
        </w:rPr>
      </w:pPr>
    </w:p>
    <w:p w14:paraId="4B55BDCE">
      <w:pPr>
        <w:rPr>
          <w:rFonts w:hint="eastAsia" w:ascii="宋体" w:hAnsi="宋体" w:cs="宋体"/>
          <w:bCs/>
          <w:sz w:val="24"/>
          <w:highlight w:val="none"/>
        </w:rPr>
      </w:pPr>
    </w:p>
    <w:p w14:paraId="0ED1EE47">
      <w:pPr>
        <w:rPr>
          <w:rFonts w:hint="eastAsia" w:ascii="宋体" w:hAnsi="宋体" w:cs="宋体"/>
          <w:bCs/>
          <w:sz w:val="24"/>
          <w:highlight w:val="none"/>
        </w:rPr>
      </w:pPr>
    </w:p>
    <w:p w14:paraId="4BD7C631">
      <w:pPr>
        <w:rPr>
          <w:rFonts w:hint="eastAsia" w:ascii="宋体" w:hAnsi="宋体" w:cs="宋体"/>
          <w:bCs/>
          <w:sz w:val="24"/>
          <w:highlight w:val="none"/>
        </w:rPr>
      </w:pPr>
    </w:p>
    <w:p w14:paraId="30C070ED">
      <w:pPr>
        <w:rPr>
          <w:rFonts w:hint="eastAsia" w:ascii="宋体" w:hAnsi="宋体" w:cs="宋体"/>
          <w:bCs/>
          <w:sz w:val="24"/>
          <w:highlight w:val="none"/>
        </w:rPr>
      </w:pPr>
    </w:p>
    <w:p w14:paraId="7A24C5BF">
      <w:pPr>
        <w:rPr>
          <w:rFonts w:hint="eastAsia" w:ascii="宋体" w:hAnsi="宋体" w:cs="宋体"/>
          <w:bCs/>
          <w:sz w:val="24"/>
          <w:highlight w:val="none"/>
        </w:rPr>
      </w:pPr>
    </w:p>
    <w:p w14:paraId="4B2D22B7">
      <w:pPr>
        <w:rPr>
          <w:rFonts w:hint="eastAsia" w:ascii="宋体" w:hAnsi="宋体" w:cs="宋体"/>
          <w:bCs/>
          <w:sz w:val="24"/>
          <w:highlight w:val="none"/>
        </w:rPr>
      </w:pPr>
    </w:p>
    <w:p w14:paraId="4D32845B">
      <w:pPr>
        <w:rPr>
          <w:rFonts w:hint="eastAsia" w:ascii="宋体" w:hAnsi="宋体" w:cs="宋体"/>
          <w:bCs/>
          <w:sz w:val="24"/>
          <w:highlight w:val="none"/>
        </w:rPr>
      </w:pPr>
    </w:p>
    <w:p w14:paraId="47F402E7">
      <w:pPr>
        <w:rPr>
          <w:rFonts w:hint="eastAsia" w:ascii="宋体" w:hAnsi="宋体" w:cs="宋体"/>
          <w:bCs/>
          <w:sz w:val="24"/>
          <w:highlight w:val="none"/>
        </w:rPr>
      </w:pPr>
    </w:p>
    <w:p w14:paraId="7AB9ECDC">
      <w:pPr>
        <w:rPr>
          <w:rFonts w:hint="eastAsia" w:ascii="宋体" w:hAnsi="宋体" w:cs="宋体"/>
          <w:bCs/>
          <w:sz w:val="24"/>
          <w:highlight w:val="none"/>
        </w:rPr>
      </w:pPr>
    </w:p>
    <w:p w14:paraId="503B48FE">
      <w:pPr>
        <w:rPr>
          <w:rFonts w:hint="eastAsia" w:ascii="宋体" w:hAnsi="宋体" w:cs="宋体"/>
          <w:bCs/>
          <w:sz w:val="24"/>
          <w:highlight w:val="none"/>
        </w:rPr>
      </w:pPr>
    </w:p>
    <w:p w14:paraId="529E56EC">
      <w:pPr>
        <w:rPr>
          <w:rFonts w:hint="eastAsia" w:ascii="宋体" w:hAnsi="宋体" w:cs="宋体"/>
          <w:bCs/>
          <w:sz w:val="24"/>
          <w:highlight w:val="none"/>
        </w:rPr>
      </w:pPr>
    </w:p>
    <w:p w14:paraId="2680163F">
      <w:pPr>
        <w:rPr>
          <w:rFonts w:hint="eastAsia" w:ascii="宋体" w:hAnsi="宋体" w:cs="宋体"/>
          <w:bCs/>
          <w:sz w:val="24"/>
          <w:highlight w:val="none"/>
        </w:rPr>
      </w:pPr>
    </w:p>
    <w:p w14:paraId="68DB41C7">
      <w:pPr>
        <w:rPr>
          <w:rFonts w:hint="eastAsia" w:ascii="宋体" w:hAnsi="宋体" w:cs="宋体"/>
          <w:bCs/>
          <w:sz w:val="24"/>
          <w:highlight w:val="none"/>
        </w:rPr>
      </w:pPr>
    </w:p>
    <w:p w14:paraId="09C0576C">
      <w:pPr>
        <w:rPr>
          <w:rFonts w:hint="eastAsia" w:ascii="宋体" w:hAnsi="宋体" w:cs="宋体"/>
          <w:bCs/>
          <w:sz w:val="24"/>
          <w:highlight w:val="none"/>
        </w:rPr>
      </w:pPr>
    </w:p>
    <w:p w14:paraId="23CF45C2">
      <w:pPr>
        <w:rPr>
          <w:rFonts w:hint="eastAsia" w:ascii="宋体" w:hAnsi="宋体" w:cs="宋体"/>
          <w:bCs/>
          <w:sz w:val="24"/>
          <w:highlight w:val="none"/>
        </w:rPr>
      </w:pPr>
    </w:p>
    <w:p w14:paraId="603EFA78">
      <w:pPr>
        <w:rPr>
          <w:rFonts w:hint="eastAsia" w:ascii="宋体" w:hAnsi="宋体" w:cs="宋体"/>
          <w:bCs/>
          <w:sz w:val="24"/>
          <w:highlight w:val="none"/>
        </w:rPr>
      </w:pPr>
    </w:p>
    <w:p w14:paraId="60D698F5">
      <w:pPr>
        <w:rPr>
          <w:rFonts w:hint="eastAsia" w:ascii="宋体" w:hAnsi="宋体" w:cs="宋体"/>
          <w:bCs/>
          <w:sz w:val="24"/>
          <w:highlight w:val="none"/>
        </w:rPr>
      </w:pPr>
    </w:p>
    <w:p w14:paraId="54376543">
      <w:pPr>
        <w:rPr>
          <w:rFonts w:hint="eastAsia" w:ascii="宋体" w:hAnsi="宋体" w:cs="宋体"/>
          <w:bCs/>
          <w:sz w:val="24"/>
          <w:highlight w:val="none"/>
        </w:rPr>
      </w:pPr>
    </w:p>
    <w:p w14:paraId="5E79689C">
      <w:pPr>
        <w:rPr>
          <w:rFonts w:hint="eastAsia" w:ascii="宋体" w:hAnsi="宋体" w:cs="宋体"/>
          <w:bCs/>
          <w:sz w:val="24"/>
          <w:highlight w:val="none"/>
        </w:rPr>
      </w:pPr>
    </w:p>
    <w:p w14:paraId="64B4FACB">
      <w:pPr>
        <w:rPr>
          <w:rFonts w:hint="eastAsia" w:ascii="宋体" w:hAnsi="宋体" w:cs="宋体"/>
          <w:bCs/>
          <w:sz w:val="24"/>
          <w:highlight w:val="none"/>
        </w:rPr>
      </w:pPr>
    </w:p>
    <w:p w14:paraId="08CEA3DE">
      <w:pPr>
        <w:rPr>
          <w:rFonts w:hint="eastAsia" w:ascii="宋体" w:hAnsi="宋体" w:cs="宋体"/>
          <w:bCs/>
          <w:sz w:val="24"/>
          <w:highlight w:val="none"/>
        </w:rPr>
      </w:pPr>
    </w:p>
    <w:p w14:paraId="57E63B0B">
      <w:pPr>
        <w:rPr>
          <w:rFonts w:hint="eastAsia" w:ascii="宋体" w:hAnsi="宋体" w:cs="宋体"/>
          <w:bCs/>
          <w:sz w:val="24"/>
          <w:highlight w:val="none"/>
        </w:rPr>
      </w:pPr>
    </w:p>
    <w:p w14:paraId="2AFBF416">
      <w:pPr>
        <w:rPr>
          <w:rFonts w:hint="eastAsia" w:ascii="宋体" w:hAnsi="宋体" w:cs="宋体"/>
          <w:bCs/>
          <w:sz w:val="24"/>
          <w:highlight w:val="none"/>
        </w:rPr>
      </w:pPr>
    </w:p>
    <w:p w14:paraId="1DB84B64">
      <w:pPr>
        <w:rPr>
          <w:rFonts w:hint="eastAsia" w:ascii="宋体" w:hAnsi="宋体" w:cs="宋体"/>
          <w:bCs/>
          <w:sz w:val="24"/>
          <w:highlight w:val="none"/>
        </w:rPr>
      </w:pPr>
    </w:p>
    <w:p w14:paraId="0A5E40B4">
      <w:pPr>
        <w:rPr>
          <w:rFonts w:hint="eastAsia" w:ascii="宋体" w:hAnsi="宋体" w:cs="宋体"/>
          <w:bCs/>
          <w:sz w:val="24"/>
          <w:highlight w:val="none"/>
        </w:rPr>
      </w:pPr>
    </w:p>
    <w:bookmarkEnd w:id="75"/>
    <w:p w14:paraId="60B42135">
      <w:pPr>
        <w:rPr>
          <w:rFonts w:hint="eastAsia" w:ascii="宋体" w:hAnsi="宋体" w:cs="宋体"/>
          <w:bCs/>
          <w:sz w:val="32"/>
          <w:szCs w:val="32"/>
          <w:highlight w:val="none"/>
        </w:rPr>
      </w:pPr>
      <w:bookmarkStart w:id="76" w:name="_Toc351203632"/>
      <w:r>
        <w:rPr>
          <w:rFonts w:hint="eastAsia" w:ascii="宋体" w:hAnsi="宋体" w:cs="宋体"/>
          <w:bCs/>
          <w:sz w:val="32"/>
          <w:szCs w:val="32"/>
          <w:highlight w:val="none"/>
        </w:rPr>
        <w:br w:type="page"/>
      </w:r>
    </w:p>
    <w:p w14:paraId="0D446902">
      <w:pPr>
        <w:jc w:val="center"/>
        <w:rPr>
          <w:rFonts w:hint="eastAsia" w:ascii="宋体" w:hAnsi="宋体" w:cs="宋体"/>
          <w:bCs/>
          <w:sz w:val="32"/>
          <w:szCs w:val="32"/>
          <w:highlight w:val="none"/>
        </w:rPr>
      </w:pPr>
      <w:r>
        <w:rPr>
          <w:rFonts w:hint="eastAsia" w:ascii="宋体" w:hAnsi="宋体" w:cs="宋体"/>
          <w:bCs/>
          <w:sz w:val="32"/>
          <w:szCs w:val="32"/>
          <w:highlight w:val="none"/>
        </w:rPr>
        <w:t>第三部分 专用合同条款</w:t>
      </w:r>
      <w:bookmarkEnd w:id="76"/>
    </w:p>
    <w:p w14:paraId="2FB52F0D">
      <w:pPr>
        <w:spacing w:before="120" w:after="120" w:line="360" w:lineRule="auto"/>
        <w:jc w:val="left"/>
        <w:rPr>
          <w:rFonts w:hint="eastAsia" w:ascii="宋体" w:hAnsi="宋体" w:cs="宋体"/>
          <w:bCs/>
          <w:sz w:val="24"/>
          <w:highlight w:val="none"/>
        </w:rPr>
      </w:pPr>
      <w:bookmarkStart w:id="77" w:name="_Toc351203633"/>
      <w:r>
        <w:rPr>
          <w:rFonts w:hint="eastAsia" w:ascii="宋体" w:hAnsi="宋体" w:cs="宋体"/>
          <w:bCs/>
          <w:sz w:val="24"/>
          <w:highlight w:val="none"/>
        </w:rPr>
        <w:t>1</w:t>
      </w:r>
      <w:bookmarkStart w:id="78" w:name="_Toc296890984"/>
      <w:bookmarkStart w:id="79" w:name="_Toc296503156"/>
      <w:bookmarkStart w:id="80" w:name="_Toc292559866"/>
      <w:bookmarkStart w:id="81" w:name="_Toc297048342"/>
      <w:bookmarkStart w:id="82" w:name="_Toc296891196"/>
      <w:bookmarkStart w:id="83" w:name="_Toc296347155"/>
      <w:bookmarkStart w:id="84" w:name="_Toc292559361"/>
      <w:bookmarkStart w:id="85" w:name="_Toc297120456"/>
      <w:bookmarkStart w:id="86" w:name="_Toc296346657"/>
      <w:bookmarkStart w:id="87" w:name="_Toc296944495"/>
      <w:r>
        <w:rPr>
          <w:rFonts w:hint="eastAsia" w:ascii="宋体" w:hAnsi="宋体" w:cs="宋体"/>
          <w:bCs/>
          <w:sz w:val="24"/>
          <w:highlight w:val="none"/>
        </w:rPr>
        <w:t>. 一般约定</w:t>
      </w:r>
      <w:bookmarkEnd w:id="77"/>
    </w:p>
    <w:bookmarkEnd w:id="78"/>
    <w:bookmarkEnd w:id="79"/>
    <w:bookmarkEnd w:id="80"/>
    <w:bookmarkEnd w:id="81"/>
    <w:bookmarkEnd w:id="82"/>
    <w:bookmarkEnd w:id="83"/>
    <w:bookmarkEnd w:id="84"/>
    <w:bookmarkEnd w:id="85"/>
    <w:bookmarkEnd w:id="86"/>
    <w:bookmarkEnd w:id="87"/>
    <w:p w14:paraId="67618E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 词语定义</w:t>
      </w:r>
    </w:p>
    <w:p w14:paraId="699B4D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1.1.1合同</w:t>
      </w:r>
    </w:p>
    <w:p w14:paraId="6BA9D93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1.1.1.10其他合同文件包括：</w:t>
      </w:r>
      <w:r>
        <w:rPr>
          <w:rFonts w:hint="eastAsia" w:ascii="宋体" w:hAnsi="宋体" w:cs="宋体"/>
          <w:bCs/>
          <w:sz w:val="24"/>
          <w:highlight w:val="none"/>
          <w:u w:val="single"/>
        </w:rPr>
        <w:t>履行合同过程中双方总经理以上管理者（或双方工地代表人）书面确认的对合同内容有实质性影响的会议纪要、签证、设计变更等资料</w:t>
      </w:r>
      <w:r>
        <w:rPr>
          <w:rFonts w:hint="eastAsia" w:ascii="宋体" w:hAnsi="宋体" w:cs="宋体"/>
          <w:bCs/>
          <w:sz w:val="24"/>
          <w:highlight w:val="none"/>
        </w:rPr>
        <w:t>。</w:t>
      </w:r>
    </w:p>
    <w:p w14:paraId="06AF673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 合同当事人及其他相关方</w:t>
      </w:r>
    </w:p>
    <w:p w14:paraId="2EA0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1.1.2.4监理人：</w:t>
      </w:r>
    </w:p>
    <w:p w14:paraId="65713B1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1CD16A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669E4C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26B6598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w:t>
      </w:r>
      <w:r>
        <w:rPr>
          <w:rFonts w:hint="eastAsia" w:ascii="宋体" w:hAnsi="宋体" w:cs="宋体"/>
          <w:bCs/>
          <w:sz w:val="24"/>
          <w:highlight w:val="none"/>
        </w:rPr>
        <w:t>；</w:t>
      </w:r>
    </w:p>
    <w:p w14:paraId="76876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5C33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1.1.2.5 设计人：</w:t>
      </w:r>
    </w:p>
    <w:p w14:paraId="76968E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743DF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4BEFD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7C0BDDC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0A0F8D4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7B6A3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 工程和设备</w:t>
      </w:r>
    </w:p>
    <w:p w14:paraId="728AA1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1.1.3.7 作为施工现场组成部分的其他场所包括：</w:t>
      </w:r>
      <w:r>
        <w:rPr>
          <w:rFonts w:hint="eastAsia" w:ascii="宋体" w:hAnsi="宋体" w:cs="宋体"/>
          <w:bCs/>
          <w:sz w:val="24"/>
          <w:highlight w:val="none"/>
          <w:u w:val="single"/>
        </w:rPr>
        <w:t xml:space="preserve">  符合通用条款规定的发包方提供的施工场地。</w:t>
      </w:r>
    </w:p>
    <w:p w14:paraId="62BC9DB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1.1.3.9 永久占地包括：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7BEFE1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1.1.3.10 临时占地包括：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rPr>
        <w:t>。</w:t>
      </w:r>
    </w:p>
    <w:p w14:paraId="1B3066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1.3法律 </w:t>
      </w:r>
    </w:p>
    <w:p w14:paraId="33AB55D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适用于合同的其他规范性文件：</w:t>
      </w:r>
      <w:r>
        <w:rPr>
          <w:rFonts w:hint="eastAsia" w:ascii="宋体" w:hAnsi="宋体" w:cs="宋体"/>
          <w:bCs/>
          <w:sz w:val="24"/>
          <w:highlight w:val="none"/>
          <w:u w:val="single"/>
        </w:rPr>
        <w:t>包括但不限于：《建设工程质量管理条例》、</w:t>
      </w:r>
      <w:r>
        <w:rPr>
          <w:rFonts w:hint="eastAsia" w:ascii="宋体" w:hAnsi="宋体" w:cs="宋体"/>
          <w:bCs/>
          <w:spacing w:val="-4"/>
          <w:sz w:val="24"/>
          <w:highlight w:val="none"/>
          <w:u w:val="single"/>
        </w:rPr>
        <w:t>《中华人民共和国</w:t>
      </w:r>
      <w:r>
        <w:rPr>
          <w:rFonts w:hint="eastAsia" w:hAnsi="宋体" w:cs="宋体"/>
          <w:bCs/>
          <w:spacing w:val="-4"/>
          <w:sz w:val="24"/>
          <w:highlight w:val="none"/>
          <w:u w:val="single"/>
          <w:lang w:eastAsia="zh-CN"/>
        </w:rPr>
        <w:t>民法典</w:t>
      </w:r>
      <w:r>
        <w:rPr>
          <w:rFonts w:hint="eastAsia" w:ascii="宋体" w:hAnsi="宋体" w:cs="宋体"/>
          <w:bCs/>
          <w:spacing w:val="-4"/>
          <w:sz w:val="24"/>
          <w:highlight w:val="none"/>
          <w:u w:val="single"/>
        </w:rPr>
        <w:t>》、《中华人民共和国建筑法》</w:t>
      </w:r>
      <w:r>
        <w:rPr>
          <w:rFonts w:hint="eastAsia" w:hAnsi="宋体" w:cs="宋体"/>
          <w:bCs/>
          <w:spacing w:val="-4"/>
          <w:sz w:val="24"/>
          <w:highlight w:val="none"/>
          <w:u w:val="single"/>
          <w:lang w:eastAsia="zh-CN"/>
        </w:rPr>
        <w:t>、</w:t>
      </w:r>
      <w:r>
        <w:rPr>
          <w:rFonts w:hint="eastAsia" w:asciiTheme="minorEastAsia" w:hAnsiTheme="minorEastAsia" w:eastAsiaTheme="minorEastAsia" w:cstheme="minorEastAsia"/>
          <w:color w:val="000000"/>
          <w:sz w:val="24"/>
          <w:szCs w:val="24"/>
          <w:highlight w:val="none"/>
          <w:u w:val="single"/>
        </w:rPr>
        <w:t>《建设工程安全生产管理条例》</w:t>
      </w:r>
      <w:r>
        <w:rPr>
          <w:rFonts w:hint="eastAsia" w:ascii="宋体" w:hAnsi="宋体" w:cs="宋体"/>
          <w:bCs/>
          <w:spacing w:val="-4"/>
          <w:sz w:val="24"/>
          <w:highlight w:val="none"/>
          <w:u w:val="single"/>
        </w:rPr>
        <w:t>及地方当期强制执行文件等。</w:t>
      </w:r>
    </w:p>
    <w:p w14:paraId="48B1240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 标准和规范</w:t>
      </w:r>
    </w:p>
    <w:p w14:paraId="4AEF45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1.4.1适用于工程的标准规范包括：</w:t>
      </w:r>
      <w:r>
        <w:rPr>
          <w:rFonts w:hint="eastAsia" w:ascii="宋体" w:hAnsi="宋体" w:cs="宋体"/>
          <w:bCs/>
          <w:sz w:val="24"/>
          <w:highlight w:val="none"/>
          <w:u w:val="single"/>
        </w:rPr>
        <w:t xml:space="preserve">本合同适用国家、行业及工程所在地现行的标准和规范（执行设计和法规明确的标准、规范，未明确的由工程师明确或由承包人提出经工程师书面同意后执行）。 </w:t>
      </w:r>
    </w:p>
    <w:p w14:paraId="3DD07A8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ED854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发包人提供国外标准、规范的份数：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44EA57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15A778F">
      <w:pPr>
        <w:spacing w:line="360" w:lineRule="auto"/>
        <w:ind w:left="682" w:leftChars="284"/>
        <w:rPr>
          <w:rFonts w:hint="eastAsia" w:ascii="宋体" w:hAnsi="宋体" w:cs="宋体"/>
          <w:bCs/>
          <w:sz w:val="24"/>
          <w:highlight w:val="none"/>
        </w:rPr>
      </w:pPr>
      <w:r>
        <w:rPr>
          <w:rFonts w:hint="eastAsia" w:ascii="宋体" w:hAnsi="宋体" w:cs="宋体"/>
          <w:bCs/>
          <w:sz w:val="24"/>
          <w:highlight w:val="none"/>
        </w:rPr>
        <w:t>1.4.3发包人对工程的技术标准和功能要求的特殊要求：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17AB5E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 合同文件的优先顺序</w:t>
      </w:r>
    </w:p>
    <w:p w14:paraId="284C940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合同文件组成及优先顺序为：</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78E88D9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 图纸和承包人文件</w:t>
      </w:r>
      <w:r>
        <w:rPr>
          <w:rFonts w:hint="eastAsia" w:ascii="宋体" w:hAnsi="宋体" w:cs="宋体"/>
          <w:bCs/>
          <w:sz w:val="24"/>
          <w:highlight w:val="none"/>
        </w:rPr>
        <w:tab/>
      </w:r>
    </w:p>
    <w:p w14:paraId="2FD83F8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图纸的提供</w:t>
      </w:r>
    </w:p>
    <w:p w14:paraId="320FC8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发包人向承包人提供图纸的期限：</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71CB3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发包人向承包人提供图纸的数量：</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5816F7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54B95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1.6.4 承包人文件</w:t>
      </w:r>
    </w:p>
    <w:p w14:paraId="02B05845">
      <w:pPr>
        <w:spacing w:line="360" w:lineRule="auto"/>
        <w:ind w:left="682" w:leftChars="284"/>
        <w:jc w:val="left"/>
        <w:rPr>
          <w:rFonts w:hint="eastAsia" w:ascii="宋体" w:hAnsi="宋体" w:cs="宋体"/>
          <w:bCs/>
          <w:sz w:val="24"/>
          <w:highlight w:val="none"/>
        </w:rPr>
      </w:pPr>
      <w:r>
        <w:rPr>
          <w:rFonts w:hint="eastAsia" w:ascii="宋体" w:hAnsi="宋体" w:cs="宋体"/>
          <w:bCs/>
          <w:sz w:val="24"/>
          <w:highlight w:val="none"/>
        </w:rPr>
        <w:t>需要由承包人提供的文件，包括：</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C05E7B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承包人提供的文件的期限为：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D8374D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承包人提供的文件的数量为：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FF2D41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承包人提供的文件的形式为：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48A722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发包人审批承包人文件的期限：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C17D5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1.6.5 现场图纸准备</w:t>
      </w:r>
    </w:p>
    <w:p w14:paraId="1D730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关于现场图纸准备的约定：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6C4BBC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 联络</w:t>
      </w:r>
    </w:p>
    <w:p w14:paraId="778FF2E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1.7.1发包人和承包人应当在</w:t>
      </w:r>
      <w:r>
        <w:rPr>
          <w:rFonts w:hint="eastAsia" w:ascii="宋体" w:hAnsi="宋体" w:cs="宋体"/>
          <w:bCs/>
          <w:sz w:val="24"/>
          <w:highlight w:val="none"/>
          <w:u w:val="single"/>
        </w:rPr>
        <w:t>7</w:t>
      </w:r>
      <w:r>
        <w:rPr>
          <w:rFonts w:hint="eastAsia" w:ascii="宋体" w:hAnsi="宋体" w:cs="宋体"/>
          <w:bCs/>
          <w:sz w:val="24"/>
          <w:highlight w:val="none"/>
        </w:rPr>
        <w:t>天内将与合同有关的通知、批准、证明、证书、指示、指令、要求、请求、同意、意见、确定和决定等书面函件送达对方当事人。</w:t>
      </w:r>
    </w:p>
    <w:p w14:paraId="3B8ADD6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1.7.2 发包人接收文件的地点：</w:t>
      </w:r>
      <w:r>
        <w:rPr>
          <w:rFonts w:hint="eastAsia" w:ascii="宋体" w:hAnsi="宋体" w:cs="宋体"/>
          <w:bCs/>
          <w:sz w:val="24"/>
          <w:highlight w:val="none"/>
          <w:u w:val="single"/>
        </w:rPr>
        <w:t xml:space="preserve">         项目所在地发包人办公室        </w:t>
      </w:r>
      <w:r>
        <w:rPr>
          <w:rFonts w:hint="eastAsia" w:ascii="宋体" w:hAnsi="宋体" w:cs="宋体"/>
          <w:bCs/>
          <w:sz w:val="24"/>
          <w:highlight w:val="none"/>
        </w:rPr>
        <w:t>；</w:t>
      </w:r>
    </w:p>
    <w:p w14:paraId="0171DD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发包人指定的接收人为：</w:t>
      </w:r>
      <w:r>
        <w:rPr>
          <w:rFonts w:hint="eastAsia" w:ascii="宋体" w:hAnsi="宋体" w:cs="宋体"/>
          <w:bCs/>
          <w:sz w:val="24"/>
          <w:highlight w:val="none"/>
          <w:u w:val="single"/>
        </w:rPr>
        <w:t xml:space="preserve">             发包人驻工地代表            </w:t>
      </w:r>
      <w:r>
        <w:rPr>
          <w:rFonts w:hint="eastAsia" w:ascii="宋体" w:hAnsi="宋体" w:cs="宋体"/>
          <w:bCs/>
          <w:sz w:val="24"/>
          <w:highlight w:val="none"/>
        </w:rPr>
        <w:t>。</w:t>
      </w:r>
    </w:p>
    <w:p w14:paraId="605DA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承包人接收文件的地点：</w:t>
      </w:r>
      <w:r>
        <w:rPr>
          <w:rFonts w:hint="eastAsia" w:ascii="宋体" w:hAnsi="宋体" w:cs="宋体"/>
          <w:bCs/>
          <w:sz w:val="24"/>
          <w:highlight w:val="none"/>
          <w:u w:val="single"/>
        </w:rPr>
        <w:t xml:space="preserve">              项目所在地承包人办公室         </w:t>
      </w:r>
      <w:r>
        <w:rPr>
          <w:rFonts w:hint="eastAsia" w:ascii="宋体" w:hAnsi="宋体" w:cs="宋体"/>
          <w:bCs/>
          <w:sz w:val="24"/>
          <w:highlight w:val="none"/>
        </w:rPr>
        <w:t>；</w:t>
      </w:r>
    </w:p>
    <w:p w14:paraId="5C94105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承包人指定的接收人为：</w:t>
      </w:r>
      <w:r>
        <w:rPr>
          <w:rFonts w:hint="eastAsia" w:ascii="宋体" w:hAnsi="宋体" w:cs="宋体"/>
          <w:bCs/>
          <w:sz w:val="24"/>
          <w:highlight w:val="none"/>
          <w:u w:val="single"/>
        </w:rPr>
        <w:t xml:space="preserve">              承包方项目经理                </w:t>
      </w:r>
      <w:r>
        <w:rPr>
          <w:rFonts w:hint="eastAsia" w:ascii="宋体" w:hAnsi="宋体" w:cs="宋体"/>
          <w:bCs/>
          <w:sz w:val="24"/>
          <w:highlight w:val="none"/>
        </w:rPr>
        <w:t>。</w:t>
      </w:r>
    </w:p>
    <w:p w14:paraId="6B5867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监理人接收文件的地点：</w:t>
      </w:r>
      <w:r>
        <w:rPr>
          <w:rFonts w:hint="eastAsia" w:ascii="宋体" w:hAnsi="宋体" w:cs="宋体"/>
          <w:bCs/>
          <w:sz w:val="24"/>
          <w:highlight w:val="none"/>
          <w:u w:val="single"/>
        </w:rPr>
        <w:t xml:space="preserve">              项目所在地监理人办公室    </w:t>
      </w:r>
      <w:r>
        <w:rPr>
          <w:rFonts w:hint="eastAsia" w:ascii="宋体" w:hAnsi="宋体" w:cs="宋体"/>
          <w:bCs/>
          <w:sz w:val="24"/>
          <w:highlight w:val="none"/>
        </w:rPr>
        <w:t>；</w:t>
      </w:r>
    </w:p>
    <w:p w14:paraId="3E8A539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监理人指定的接收人为：</w:t>
      </w:r>
      <w:r>
        <w:rPr>
          <w:rFonts w:hint="eastAsia" w:ascii="宋体" w:hAnsi="宋体" w:cs="宋体"/>
          <w:bCs/>
          <w:sz w:val="24"/>
          <w:highlight w:val="none"/>
          <w:u w:val="single"/>
        </w:rPr>
        <w:t xml:space="preserve">              项目总监或总监代表        </w:t>
      </w:r>
      <w:r>
        <w:rPr>
          <w:rFonts w:hint="eastAsia" w:ascii="宋体" w:hAnsi="宋体" w:cs="宋体"/>
          <w:bCs/>
          <w:sz w:val="24"/>
          <w:highlight w:val="none"/>
        </w:rPr>
        <w:t>。</w:t>
      </w:r>
    </w:p>
    <w:p w14:paraId="496B6CE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1.10 交通运输</w:t>
      </w:r>
    </w:p>
    <w:p w14:paraId="44DD4D7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88" w:name="_Toc312677986"/>
      <w:bookmarkStart w:id="89" w:name="_Toc304295521"/>
      <w:bookmarkStart w:id="90" w:name="_Toc318581155"/>
      <w:bookmarkStart w:id="91" w:name="_Toc303539100"/>
      <w:bookmarkStart w:id="92" w:name="_Toc300934943"/>
      <w:r>
        <w:rPr>
          <w:rFonts w:hint="eastAsia" w:ascii="宋体" w:hAnsi="宋体" w:cs="宋体"/>
          <w:bCs/>
          <w:sz w:val="24"/>
          <w:highlight w:val="none"/>
        </w:rPr>
        <w:t>.10.1 出入现场的权利</w:t>
      </w:r>
    </w:p>
    <w:p w14:paraId="12FFA20D">
      <w:pPr>
        <w:spacing w:line="360" w:lineRule="auto"/>
        <w:ind w:firstLine="480" w:firstLineChars="200"/>
        <w:rPr>
          <w:rFonts w:hint="default" w:ascii="宋体" w:hAnsi="宋体" w:eastAsia="宋体" w:cs="宋体"/>
          <w:bCs/>
          <w:sz w:val="24"/>
          <w:highlight w:val="none"/>
          <w:u w:val="none"/>
          <w:lang w:val="en-US" w:eastAsia="zh-CN"/>
        </w:rPr>
      </w:pPr>
      <w:r>
        <w:rPr>
          <w:rFonts w:hint="eastAsia" w:ascii="宋体" w:hAnsi="宋体" w:cs="宋体"/>
          <w:bCs/>
          <w:sz w:val="24"/>
          <w:highlight w:val="none"/>
        </w:rPr>
        <w:t>关于出入现场的权利的约定：</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none"/>
          <w:lang w:val="en-US" w:eastAsia="zh-CN"/>
        </w:rPr>
        <w:t>。</w:t>
      </w:r>
    </w:p>
    <w:bookmarkEnd w:id="88"/>
    <w:bookmarkEnd w:id="89"/>
    <w:bookmarkEnd w:id="90"/>
    <w:bookmarkEnd w:id="91"/>
    <w:bookmarkEnd w:id="92"/>
    <w:p w14:paraId="73EC4AA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93" w:name="_Toc312677987"/>
      <w:bookmarkStart w:id="94" w:name="_Toc318581156"/>
      <w:bookmarkStart w:id="95" w:name="_Toc300934944"/>
      <w:bookmarkStart w:id="96" w:name="_Toc304295522"/>
      <w:bookmarkStart w:id="97" w:name="_Toc303539101"/>
      <w:r>
        <w:rPr>
          <w:rFonts w:hint="eastAsia" w:ascii="宋体" w:hAnsi="宋体" w:cs="宋体"/>
          <w:bCs/>
          <w:sz w:val="24"/>
          <w:highlight w:val="none"/>
        </w:rPr>
        <w:t>.10.3 场内交通</w:t>
      </w:r>
    </w:p>
    <w:p w14:paraId="3EAF97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关于场外交通和场内交通的边界的约定：</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46EB0F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关于发包人向承包人免费提供满足工程施工需要的场内道路和交通设施的约定：</w:t>
      </w:r>
      <w:r>
        <w:rPr>
          <w:rFonts w:hint="eastAsia" w:ascii="宋体" w:hAnsi="宋体" w:cs="宋体"/>
          <w:bCs/>
          <w:sz w:val="24"/>
          <w:highlight w:val="none"/>
          <w:u w:val="single"/>
        </w:rPr>
        <w:t xml:space="preserve"> </w:t>
      </w:r>
      <w:r>
        <w:rPr>
          <w:rFonts w:hint="eastAsia" w:ascii="宋体" w:hAnsi="宋体" w:cs="宋体"/>
          <w:bCs/>
          <w:spacing w:val="14"/>
          <w:sz w:val="24"/>
          <w:highlight w:val="none"/>
          <w:u w:val="single"/>
        </w:rPr>
        <w:t xml:space="preserve">       /      </w:t>
      </w:r>
      <w:r>
        <w:rPr>
          <w:rFonts w:hint="eastAsia" w:ascii="宋体" w:hAnsi="宋体" w:cs="宋体"/>
          <w:bCs/>
          <w:sz w:val="24"/>
          <w:highlight w:val="none"/>
          <w:u w:val="single"/>
        </w:rPr>
        <w:t></w:t>
      </w:r>
      <w:r>
        <w:rPr>
          <w:rFonts w:hint="eastAsia" w:ascii="宋体" w:hAnsi="宋体" w:cs="宋体"/>
          <w:bCs/>
          <w:sz w:val="24"/>
          <w:highlight w:val="none"/>
        </w:rPr>
        <w:t>。</w:t>
      </w:r>
      <w:bookmarkEnd w:id="93"/>
      <w:bookmarkEnd w:id="94"/>
      <w:bookmarkEnd w:id="95"/>
      <w:bookmarkEnd w:id="96"/>
      <w:bookmarkEnd w:id="97"/>
      <w:r>
        <w:rPr>
          <w:rFonts w:hint="eastAsia" w:ascii="宋体" w:hAnsi="宋体" w:cs="宋体"/>
          <w:bCs/>
          <w:sz w:val="24"/>
          <w:highlight w:val="none"/>
        </w:rPr>
        <w:t xml:space="preserve">  </w:t>
      </w:r>
      <w:bookmarkStart w:id="98" w:name="_Toc318581157"/>
    </w:p>
    <w:p w14:paraId="46B16D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1.10.4超大件和超重件的运输</w:t>
      </w:r>
    </w:p>
    <w:p w14:paraId="7BCDAF4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运输超大件或超重件所需的道路和桥梁临时加固改造费用和其他有关费用由</w:t>
      </w:r>
      <w:r>
        <w:rPr>
          <w:rFonts w:hint="eastAsia" w:ascii="宋体" w:hAnsi="宋体" w:cs="宋体"/>
          <w:bCs/>
          <w:sz w:val="24"/>
          <w:highlight w:val="none"/>
          <w:lang w:val="en-US" w:eastAsia="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承担。</w:t>
      </w:r>
    </w:p>
    <w:bookmarkEnd w:id="98"/>
    <w:p w14:paraId="4E4C94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 知识产权</w:t>
      </w:r>
    </w:p>
    <w:p w14:paraId="3203553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7B4AC1D">
      <w:pPr>
        <w:spacing w:line="360" w:lineRule="auto"/>
        <w:rPr>
          <w:rFonts w:hint="eastAsia" w:ascii="宋体" w:hAnsi="宋体" w:cs="宋体"/>
          <w:bCs/>
          <w:sz w:val="24"/>
          <w:highlight w:val="none"/>
        </w:rPr>
      </w:pPr>
      <w:r>
        <w:rPr>
          <w:rFonts w:hint="eastAsia" w:ascii="宋体" w:hAnsi="宋体" w:cs="宋体"/>
          <w:bCs/>
          <w:sz w:val="24"/>
          <w:highlight w:val="none"/>
        </w:rPr>
        <w:t>关于发包人提供的上述文件的使用限制的要求：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46A3E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1.11.2 关于承包人为实施工程所编制文件的著作权的归属：</w:t>
      </w:r>
      <w:r>
        <w:rPr>
          <w:rFonts w:hint="eastAsia" w:ascii="宋体" w:hAnsi="宋体" w:cs="宋体"/>
          <w:bCs/>
          <w:sz w:val="24"/>
          <w:highlight w:val="none"/>
          <w:u w:val="single"/>
        </w:rPr>
        <w:t xml:space="preserve">执行通用条款 </w:t>
      </w:r>
      <w:r>
        <w:rPr>
          <w:rFonts w:hint="eastAsia" w:ascii="宋体" w:hAnsi="宋体" w:cs="宋体"/>
          <w:bCs/>
          <w:sz w:val="24"/>
          <w:highlight w:val="none"/>
        </w:rPr>
        <w:t>。</w:t>
      </w:r>
    </w:p>
    <w:p w14:paraId="266126C8">
      <w:pPr>
        <w:spacing w:line="360" w:lineRule="auto"/>
        <w:rPr>
          <w:rFonts w:hint="eastAsia" w:ascii="宋体" w:hAnsi="宋体" w:cs="宋体"/>
          <w:bCs/>
          <w:sz w:val="24"/>
          <w:highlight w:val="none"/>
        </w:rPr>
      </w:pPr>
      <w:r>
        <w:rPr>
          <w:rFonts w:hint="eastAsia" w:ascii="宋体" w:hAnsi="宋体" w:cs="宋体"/>
          <w:bCs/>
          <w:sz w:val="24"/>
          <w:highlight w:val="none"/>
        </w:rPr>
        <w:t>关于承包人提供的上述文件的使用限制的要求：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5D45F95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1.11.4 承包人在施工过程中所采用的专利、专有技术、技术秘密的使用费的承担方式：</w:t>
      </w:r>
      <w:r>
        <w:rPr>
          <w:rFonts w:hint="eastAsia" w:ascii="宋体" w:hAnsi="宋体" w:cs="宋体"/>
          <w:bCs/>
          <w:sz w:val="24"/>
          <w:highlight w:val="none"/>
          <w:u w:val="single"/>
        </w:rPr>
        <w:t xml:space="preserve">                        执行通用条款                        </w:t>
      </w:r>
      <w:r>
        <w:rPr>
          <w:rFonts w:hint="eastAsia" w:ascii="宋体" w:hAnsi="宋体" w:cs="宋体"/>
          <w:bCs/>
          <w:sz w:val="24"/>
          <w:highlight w:val="none"/>
        </w:rPr>
        <w:t>。</w:t>
      </w:r>
    </w:p>
    <w:p w14:paraId="33F8AE4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1.13工程量清单错误的修正</w:t>
      </w:r>
    </w:p>
    <w:p w14:paraId="56A33A8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出现工程量清单错误时，是否调整合同价格：</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允许调整</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5C64D71">
      <w:pPr>
        <w:spacing w:line="360" w:lineRule="auto"/>
        <w:rPr>
          <w:rFonts w:hint="eastAsia" w:ascii="宋体" w:hAnsi="宋体" w:cs="宋体"/>
          <w:bCs/>
          <w:sz w:val="24"/>
          <w:highlight w:val="none"/>
        </w:rPr>
      </w:pPr>
      <w:r>
        <w:rPr>
          <w:rFonts w:hint="eastAsia" w:ascii="宋体" w:hAnsi="宋体" w:cs="宋体"/>
          <w:bCs/>
          <w:sz w:val="24"/>
          <w:highlight w:val="none"/>
        </w:rPr>
        <w:t>允许调整合同价格的工程量偏差范围：</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color w:val="000000"/>
          <w:sz w:val="24"/>
          <w:szCs w:val="24"/>
          <w:highlight w:val="none"/>
          <w:u w:val="single"/>
        </w:rPr>
        <w:t>因工程量增减导致合同价款增减超过中标价±5.00%的部分</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C890770">
      <w:pPr>
        <w:spacing w:before="120" w:after="120" w:line="360" w:lineRule="auto"/>
        <w:jc w:val="left"/>
        <w:rPr>
          <w:rFonts w:hint="eastAsia" w:ascii="宋体" w:hAnsi="宋体" w:cs="宋体"/>
          <w:bCs/>
          <w:sz w:val="24"/>
          <w:highlight w:val="none"/>
        </w:rPr>
      </w:pPr>
      <w:bookmarkStart w:id="99" w:name="_Toc351203634"/>
      <w:r>
        <w:rPr>
          <w:rFonts w:hint="eastAsia" w:ascii="宋体" w:hAnsi="宋体" w:cs="宋体"/>
          <w:bCs/>
          <w:sz w:val="24"/>
          <w:highlight w:val="none"/>
        </w:rPr>
        <w:t>2</w:t>
      </w:r>
      <w:bookmarkStart w:id="100" w:name="_Toc296890985"/>
      <w:bookmarkStart w:id="101" w:name="_Toc296503157"/>
      <w:bookmarkStart w:id="102" w:name="_Toc292559867"/>
      <w:bookmarkStart w:id="103" w:name="_Toc296944496"/>
      <w:bookmarkStart w:id="104" w:name="_Toc296891197"/>
      <w:bookmarkStart w:id="105" w:name="_Toc296346658"/>
      <w:bookmarkStart w:id="106" w:name="_Toc292559362"/>
      <w:bookmarkStart w:id="107" w:name="_Toc296347156"/>
      <w:bookmarkStart w:id="108" w:name="_Toc297048343"/>
      <w:bookmarkStart w:id="109" w:name="_Toc297120457"/>
      <w:r>
        <w:rPr>
          <w:rFonts w:hint="eastAsia" w:ascii="宋体" w:hAnsi="宋体" w:cs="宋体"/>
          <w:bCs/>
          <w:sz w:val="24"/>
          <w:highlight w:val="none"/>
        </w:rPr>
        <w:t>. 发包人</w:t>
      </w:r>
      <w:bookmarkEnd w:id="99"/>
    </w:p>
    <w:bookmarkEnd w:id="100"/>
    <w:bookmarkEnd w:id="101"/>
    <w:bookmarkEnd w:id="102"/>
    <w:bookmarkEnd w:id="103"/>
    <w:bookmarkEnd w:id="104"/>
    <w:bookmarkEnd w:id="105"/>
    <w:bookmarkEnd w:id="106"/>
    <w:bookmarkEnd w:id="107"/>
    <w:bookmarkEnd w:id="108"/>
    <w:bookmarkEnd w:id="109"/>
    <w:p w14:paraId="12136A9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2.2 发包人代表</w:t>
      </w:r>
    </w:p>
    <w:p w14:paraId="7F0A6E8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发包人代表：</w:t>
      </w:r>
    </w:p>
    <w:p w14:paraId="1C5118D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5A69CB1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56616A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BB7E20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 </w:t>
      </w:r>
      <w:r>
        <w:rPr>
          <w:rFonts w:hint="eastAsia" w:ascii="宋体" w:hAnsi="宋体" w:cs="宋体"/>
          <w:bCs/>
          <w:sz w:val="24"/>
          <w:highlight w:val="none"/>
        </w:rPr>
        <w:t>；</w:t>
      </w:r>
    </w:p>
    <w:p w14:paraId="043B1E6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  </w:t>
      </w:r>
      <w:r>
        <w:rPr>
          <w:rFonts w:hint="eastAsia" w:ascii="宋体" w:hAnsi="宋体" w:cs="宋体"/>
          <w:bCs/>
          <w:sz w:val="24"/>
          <w:highlight w:val="none"/>
        </w:rPr>
        <w:t>；</w:t>
      </w:r>
    </w:p>
    <w:p w14:paraId="367452F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135BC4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发包人对发包人代表的授权范围如下：</w:t>
      </w:r>
      <w:r>
        <w:rPr>
          <w:rFonts w:hint="eastAsia" w:ascii="宋体" w:hAnsi="宋体" w:cs="宋体"/>
          <w:bCs/>
          <w:sz w:val="24"/>
          <w:highlight w:val="none"/>
          <w:u w:val="single"/>
        </w:rPr>
        <w:t xml:space="preserve">督促指导监理工程师行使职权，协调施工现场各方面的关系，监督工程质量，进度和安全文明施工中存在的问题，解决有关设计和技术签证，办理、签认现场经济技术签证，审核工程进度报表  </w:t>
      </w:r>
      <w:r>
        <w:rPr>
          <w:rFonts w:hint="eastAsia" w:ascii="宋体" w:hAnsi="宋体" w:cs="宋体"/>
          <w:bCs/>
          <w:sz w:val="24"/>
          <w:highlight w:val="none"/>
        </w:rPr>
        <w:t>。</w:t>
      </w:r>
    </w:p>
    <w:p w14:paraId="357B78D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 施工现场、施工条件和基础资料的提供</w:t>
      </w:r>
    </w:p>
    <w:p w14:paraId="66D3EB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2.4.1 提供施工现场</w:t>
      </w:r>
    </w:p>
    <w:p w14:paraId="597D3C5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关于发包人移交施工现场的期限要求：</w:t>
      </w:r>
      <w:r>
        <w:rPr>
          <w:rFonts w:hint="eastAsia" w:ascii="宋体" w:hAnsi="宋体" w:cs="宋体"/>
          <w:bCs/>
          <w:sz w:val="24"/>
          <w:highlight w:val="none"/>
          <w:u w:val="single"/>
        </w:rPr>
        <w:t xml:space="preserve">   部分施工场地于合同签约日期以前完成，满足部分工程开工条件    </w:t>
      </w:r>
      <w:r>
        <w:rPr>
          <w:rFonts w:hint="eastAsia" w:ascii="宋体" w:hAnsi="宋体" w:cs="宋体"/>
          <w:bCs/>
          <w:sz w:val="24"/>
          <w:highlight w:val="none"/>
        </w:rPr>
        <w:t>。</w:t>
      </w:r>
    </w:p>
    <w:p w14:paraId="4D9753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2.4.2 提供施工条件</w:t>
      </w:r>
    </w:p>
    <w:p w14:paraId="43E3831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关于发包人应负责提供施工所需要的条件，包括：</w:t>
      </w:r>
      <w:r>
        <w:rPr>
          <w:rFonts w:hint="eastAsia" w:ascii="宋体" w:hAnsi="宋体" w:cs="宋体"/>
          <w:bCs/>
          <w:sz w:val="24"/>
          <w:highlight w:val="none"/>
          <w:u w:val="single"/>
        </w:rPr>
        <w:t xml:space="preserve">  施工用水、施工用电由发包方将指定接点，并满足施工要求，接点至施工现场段管道/管线、计量设备由承包人自行解决，承包人每月底向发包人缴纳水电费（价格执行施工当地价格）    </w:t>
      </w:r>
      <w:r>
        <w:rPr>
          <w:rFonts w:hint="eastAsia" w:ascii="宋体" w:hAnsi="宋体" w:cs="宋体"/>
          <w:bCs/>
          <w:sz w:val="24"/>
          <w:highlight w:val="none"/>
        </w:rPr>
        <w:t>。</w:t>
      </w:r>
    </w:p>
    <w:p w14:paraId="28C17C8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2.5 资金来源证明及支付担保</w:t>
      </w:r>
    </w:p>
    <w:p w14:paraId="47D497B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发包人提供资金来源证明的期限要求：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0AF78B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发包人是否提供支付担保：</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475B36E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发包人提供支付担保的形式：</w:t>
      </w:r>
      <w:r>
        <w:rPr>
          <w:rFonts w:hint="eastAsia" w:ascii="宋体" w:hAnsi="宋体" w:cs="宋体"/>
          <w:bCs/>
          <w:sz w:val="24"/>
          <w:highlight w:val="none"/>
          <w:u w:val="single"/>
        </w:rPr>
        <w:t>                 /                 </w:t>
      </w:r>
      <w:r>
        <w:rPr>
          <w:rFonts w:hint="eastAsia" w:ascii="宋体" w:hAnsi="宋体" w:cs="宋体"/>
          <w:bCs/>
          <w:sz w:val="24"/>
          <w:highlight w:val="none"/>
        </w:rPr>
        <w:t>。</w:t>
      </w:r>
    </w:p>
    <w:p w14:paraId="128E5308">
      <w:pPr>
        <w:spacing w:before="120" w:after="120" w:line="360" w:lineRule="auto"/>
        <w:jc w:val="left"/>
        <w:rPr>
          <w:rFonts w:hint="eastAsia" w:ascii="宋体" w:hAnsi="宋体" w:cs="宋体"/>
          <w:bCs/>
          <w:sz w:val="24"/>
          <w:highlight w:val="none"/>
        </w:rPr>
      </w:pPr>
      <w:bookmarkStart w:id="110" w:name="_Toc351203635"/>
      <w:r>
        <w:rPr>
          <w:rFonts w:hint="eastAsia" w:ascii="宋体" w:hAnsi="宋体" w:cs="宋体"/>
          <w:bCs/>
          <w:sz w:val="24"/>
          <w:highlight w:val="none"/>
        </w:rPr>
        <w:t>3</w:t>
      </w:r>
      <w:bookmarkStart w:id="111" w:name="_Toc296890986"/>
      <w:bookmarkStart w:id="112" w:name="_Toc296347157"/>
      <w:bookmarkStart w:id="113" w:name="_Toc296891198"/>
      <w:bookmarkStart w:id="114" w:name="_Toc297048344"/>
      <w:bookmarkStart w:id="115" w:name="_Toc296346659"/>
      <w:bookmarkStart w:id="116" w:name="_Toc297120458"/>
      <w:bookmarkStart w:id="117" w:name="_Toc296944497"/>
      <w:bookmarkStart w:id="118" w:name="_Toc296503158"/>
      <w:bookmarkStart w:id="119" w:name="_Toc292559363"/>
      <w:bookmarkStart w:id="120" w:name="_Toc292559868"/>
      <w:r>
        <w:rPr>
          <w:rFonts w:hint="eastAsia" w:ascii="宋体" w:hAnsi="宋体" w:cs="宋体"/>
          <w:bCs/>
          <w:sz w:val="24"/>
          <w:highlight w:val="none"/>
        </w:rPr>
        <w:t>. 承包人</w:t>
      </w:r>
      <w:bookmarkEnd w:id="110"/>
    </w:p>
    <w:bookmarkEnd w:id="111"/>
    <w:bookmarkEnd w:id="112"/>
    <w:bookmarkEnd w:id="113"/>
    <w:bookmarkEnd w:id="114"/>
    <w:bookmarkEnd w:id="115"/>
    <w:bookmarkEnd w:id="116"/>
    <w:bookmarkEnd w:id="117"/>
    <w:bookmarkEnd w:id="118"/>
    <w:bookmarkEnd w:id="119"/>
    <w:bookmarkEnd w:id="120"/>
    <w:p w14:paraId="0883B77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3.1 承包人的一般义务</w:t>
      </w:r>
    </w:p>
    <w:p w14:paraId="1D26D460">
      <w:pPr>
        <w:spacing w:line="360" w:lineRule="auto"/>
        <w:ind w:firstLine="240" w:firstLineChars="100"/>
        <w:jc w:val="left"/>
        <w:rPr>
          <w:rFonts w:hint="eastAsia" w:ascii="宋体" w:hAnsi="宋体" w:cs="宋体"/>
          <w:bCs/>
          <w:sz w:val="24"/>
          <w:highlight w:val="none"/>
        </w:rPr>
      </w:pPr>
      <w:r>
        <w:rPr>
          <w:rFonts w:hint="eastAsia" w:ascii="宋体" w:hAnsi="宋体" w:cs="宋体"/>
          <w:bCs/>
          <w:sz w:val="24"/>
          <w:highlight w:val="none"/>
        </w:rPr>
        <w:t>（9）承包人提交的竣工资料的内容：</w:t>
      </w:r>
      <w:r>
        <w:rPr>
          <w:rFonts w:hint="eastAsia" w:ascii="宋体" w:hAnsi="宋体" w:cs="宋体"/>
          <w:bCs/>
          <w:sz w:val="24"/>
          <w:highlight w:val="none"/>
          <w:u w:val="single"/>
        </w:rPr>
        <w:t xml:space="preserve">  承包人向发包人提交完整竣工图纸及竣工图电子文档  </w:t>
      </w:r>
      <w:r>
        <w:rPr>
          <w:rFonts w:hint="eastAsia" w:ascii="宋体" w:hAnsi="宋体" w:cs="宋体"/>
          <w:bCs/>
          <w:sz w:val="24"/>
          <w:highlight w:val="none"/>
        </w:rPr>
        <w:t>。</w:t>
      </w:r>
    </w:p>
    <w:p w14:paraId="3C6F655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承包人需要提交的竣工资料套数：</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套                </w:t>
      </w:r>
      <w:r>
        <w:rPr>
          <w:rFonts w:hint="eastAsia" w:ascii="宋体" w:hAnsi="宋体" w:cs="宋体"/>
          <w:bCs/>
          <w:sz w:val="24"/>
          <w:highlight w:val="none"/>
        </w:rPr>
        <w:t>。</w:t>
      </w:r>
    </w:p>
    <w:p w14:paraId="51DF7264">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承包人提交的竣工资料的费用承担：</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p w14:paraId="03E9F208">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承包人提交的竣工资料移交时间：</w:t>
      </w:r>
      <w:r>
        <w:rPr>
          <w:rFonts w:hint="eastAsia" w:ascii="宋体" w:hAnsi="宋体" w:cs="宋体"/>
          <w:bCs/>
          <w:sz w:val="24"/>
          <w:highlight w:val="none"/>
          <w:u w:val="single"/>
        </w:rPr>
        <w:t xml:space="preserve">  工程竣工验收合格后</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个月内        </w:t>
      </w:r>
      <w:r>
        <w:rPr>
          <w:rFonts w:hint="eastAsia" w:ascii="宋体" w:hAnsi="宋体" w:cs="宋体"/>
          <w:bCs/>
          <w:sz w:val="24"/>
          <w:highlight w:val="none"/>
        </w:rPr>
        <w:t>。</w:t>
      </w:r>
    </w:p>
    <w:p w14:paraId="58C0081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承包人提交的竣工资料形式要求：</w:t>
      </w:r>
      <w:r>
        <w:rPr>
          <w:rFonts w:hint="eastAsia" w:ascii="宋体" w:hAnsi="宋体" w:cs="宋体"/>
          <w:bCs/>
          <w:sz w:val="24"/>
          <w:highlight w:val="none"/>
          <w:u w:val="single"/>
        </w:rPr>
        <w:t xml:space="preserve">            书面及电子文档           </w:t>
      </w:r>
      <w:r>
        <w:rPr>
          <w:rFonts w:hint="eastAsia" w:ascii="宋体" w:hAnsi="宋体" w:cs="宋体"/>
          <w:bCs/>
          <w:sz w:val="24"/>
          <w:highlight w:val="none"/>
        </w:rPr>
        <w:t>。</w:t>
      </w:r>
    </w:p>
    <w:p w14:paraId="2EE88A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（10）承包人应履行的其他义务：</w:t>
      </w:r>
    </w:p>
    <w:p w14:paraId="01F05E5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t>①每月</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日前向监理人提供次月进度计划、本月工程量统计报表和已完工程累计统计报表。若监理人或发包人要求临时提供某些报表和资料，承包人应无条件按监理和发包人要求提供此类报表和资料。</w:t>
      </w:r>
    </w:p>
    <w:p w14:paraId="5F76ACB5">
      <w:pPr>
        <w:pStyle w:val="21"/>
        <w:spacing w:before="0" w:beforeAutospacing="0" w:after="0" w:afterAutospacing="0" w:line="420" w:lineRule="exact"/>
        <w:ind w:left="480" w:leftChars="200" w:firstLine="0" w:firstLineChars="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2 \* GB3 </w:instrText>
      </w:r>
      <w:r>
        <w:rPr>
          <w:rFonts w:hint="eastAsia" w:cs="宋体"/>
          <w:bCs/>
          <w:kern w:val="2"/>
          <w:highlight w:val="none"/>
        </w:rPr>
        <w:fldChar w:fldCharType="separate"/>
      </w:r>
      <w:r>
        <w:rPr>
          <w:rFonts w:hint="eastAsia" w:cs="宋体"/>
          <w:bCs/>
          <w:kern w:val="2"/>
          <w:highlight w:val="none"/>
        </w:rPr>
        <w:t>②</w:t>
      </w:r>
      <w:r>
        <w:rPr>
          <w:rFonts w:hint="eastAsia" w:cs="宋体"/>
          <w:bCs/>
          <w:kern w:val="2"/>
          <w:highlight w:val="none"/>
        </w:rPr>
        <w:fldChar w:fldCharType="end"/>
      </w:r>
      <w:r>
        <w:rPr>
          <w:rFonts w:hint="eastAsia" w:cs="宋体"/>
          <w:bCs/>
          <w:kern w:val="2"/>
          <w:highlight w:val="none"/>
        </w:rPr>
        <w:t>应提供计划、报表的名称及完成时间：</w:t>
      </w:r>
      <w:r>
        <w:rPr>
          <w:rFonts w:hint="eastAsia" w:cs="宋体"/>
          <w:bCs/>
          <w:kern w:val="2"/>
          <w:highlight w:val="none"/>
          <w:u w:val="single"/>
        </w:rPr>
        <w:t>开工日期前</w:t>
      </w:r>
      <w:r>
        <w:rPr>
          <w:rFonts w:hint="eastAsia" w:cs="宋体"/>
          <w:bCs/>
          <w:kern w:val="2"/>
          <w:highlight w:val="none"/>
          <w:u w:val="single"/>
          <w:lang w:val="en-US" w:eastAsia="zh-CN"/>
        </w:rPr>
        <w:t xml:space="preserve">  </w:t>
      </w:r>
      <w:r>
        <w:rPr>
          <w:rFonts w:hint="eastAsia" w:cs="宋体"/>
          <w:bCs/>
          <w:kern w:val="2"/>
          <w:highlight w:val="none"/>
          <w:u w:val="single"/>
        </w:rPr>
        <w:t>日内</w:t>
      </w:r>
      <w:r>
        <w:rPr>
          <w:rFonts w:hint="eastAsia" w:cs="宋体"/>
          <w:bCs/>
          <w:kern w:val="2"/>
          <w:highlight w:val="none"/>
        </w:rPr>
        <w:t>提供总体进度计划，</w:t>
      </w:r>
      <w:r>
        <w:rPr>
          <w:rFonts w:hint="eastAsia" w:cs="宋体"/>
          <w:bCs/>
          <w:kern w:val="2"/>
          <w:highlight w:val="none"/>
          <w:u w:val="single"/>
        </w:rPr>
        <w:t>每月日</w:t>
      </w:r>
      <w:r>
        <w:rPr>
          <w:rFonts w:hint="eastAsia" w:cs="宋体"/>
          <w:bCs/>
          <w:kern w:val="2"/>
          <w:highlight w:val="none"/>
        </w:rPr>
        <w:t>提供本月完成工程量及下月进度计划，且这些工程中的工作进度计划应经发包人签收并确认。</w:t>
      </w:r>
    </w:p>
    <w:p w14:paraId="1151344C">
      <w:pPr>
        <w:spacing w:line="420" w:lineRule="exact"/>
        <w:ind w:firstLine="480" w:firstLineChars="200"/>
        <w:rPr>
          <w:rFonts w:hint="eastAsia" w:ascii="宋体" w:hAnsi="宋体" w:cs="宋体"/>
          <w:bCs/>
          <w:sz w:val="24"/>
          <w:highlight w:val="none"/>
          <w:u w:val="singl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3 \* GB3 </w:instrText>
      </w:r>
      <w:r>
        <w:rPr>
          <w:rFonts w:hint="eastAsia" w:ascii="宋体" w:hAnsi="宋体" w:cs="宋体"/>
          <w:bCs/>
          <w:sz w:val="24"/>
          <w:highlight w:val="none"/>
        </w:rPr>
        <w:fldChar w:fldCharType="separate"/>
      </w:r>
      <w:r>
        <w:rPr>
          <w:rFonts w:hint="eastAsia" w:ascii="宋体" w:hAnsi="宋体" w:cs="宋体"/>
          <w:bCs/>
          <w:sz w:val="24"/>
          <w:highlight w:val="none"/>
        </w:rPr>
        <w:t>③</w:t>
      </w:r>
      <w:r>
        <w:rPr>
          <w:rFonts w:hint="eastAsia" w:ascii="宋体" w:hAnsi="宋体" w:cs="宋体"/>
          <w:bCs/>
          <w:sz w:val="24"/>
          <w:highlight w:val="none"/>
        </w:rPr>
        <w:fldChar w:fldCharType="end"/>
      </w:r>
      <w:r>
        <w:rPr>
          <w:rFonts w:hint="eastAsia" w:ascii="宋体" w:hAnsi="宋体" w:cs="宋体"/>
          <w:bCs/>
          <w:sz w:val="24"/>
          <w:highlight w:val="none"/>
        </w:rPr>
        <w:t xml:space="preserve">承担施工安全保卫工作及非夜间施工照明的责任和要求：遵守政府有关部门的相关管理规定，根据工程需要，提供和维修施工使用的照明、围栏设施，负责安全保卫工作，并承担全部责任和相关费用； </w:t>
      </w:r>
    </w:p>
    <w:p w14:paraId="0DC0F1EA">
      <w:pPr>
        <w:pStyle w:val="21"/>
        <w:spacing w:before="0" w:beforeAutospacing="0" w:after="0" w:afterAutospacing="0" w:line="420" w:lineRule="exact"/>
        <w:ind w:firstLine="480" w:firstLineChars="200"/>
        <w:jc w:val="both"/>
        <w:rPr>
          <w:rFonts w:hint="eastAsia" w:cs="宋体"/>
          <w:bCs/>
          <w:kern w:val="2"/>
          <w:highlight w:val="none"/>
        </w:rPr>
      </w:pPr>
      <w:r>
        <w:rPr>
          <w:rFonts w:hint="eastAsia" w:cs="宋体"/>
          <w:bCs/>
          <w:kern w:val="2"/>
          <w:highlight w:val="none"/>
        </w:rPr>
        <w:fldChar w:fldCharType="begin"/>
      </w:r>
      <w:r>
        <w:rPr>
          <w:rFonts w:hint="eastAsia" w:cs="宋体"/>
          <w:bCs/>
          <w:kern w:val="2"/>
          <w:highlight w:val="none"/>
        </w:rPr>
        <w:instrText xml:space="preserve"> = 4 \* GB3 </w:instrText>
      </w:r>
      <w:r>
        <w:rPr>
          <w:rFonts w:hint="eastAsia" w:cs="宋体"/>
          <w:bCs/>
          <w:kern w:val="2"/>
          <w:highlight w:val="none"/>
        </w:rPr>
        <w:fldChar w:fldCharType="separate"/>
      </w:r>
      <w:r>
        <w:rPr>
          <w:rFonts w:hint="eastAsia" w:cs="宋体"/>
          <w:bCs/>
          <w:kern w:val="2"/>
          <w:highlight w:val="none"/>
        </w:rPr>
        <w:t>④</w:t>
      </w:r>
      <w:r>
        <w:rPr>
          <w:rFonts w:hint="eastAsia" w:cs="宋体"/>
          <w:bCs/>
          <w:kern w:val="2"/>
          <w:highlight w:val="none"/>
        </w:rPr>
        <w:fldChar w:fldCharType="end"/>
      </w:r>
      <w:r>
        <w:rPr>
          <w:rFonts w:hint="eastAsia" w:cs="宋体"/>
          <w:bCs/>
          <w:kern w:val="2"/>
          <w:highlight w:val="none"/>
        </w:rPr>
        <w:t>需承包人办理的有关施工场地交通、环卫和施工噪音管理等手续： 承包人应按照政府有关部门对施工场地交通、施工噪音、环境保护、安全生产和文明施工等的管理规定，办理有关手续，采取有效措施做好相关工作并达到县级文明合格工地的标准，承担相应的全部费用；如承包人违反有关管理规定而造成工期及费用损失的，一切责任由承包人自行承担；</w:t>
      </w:r>
    </w:p>
    <w:p w14:paraId="5403FDDD">
      <w:pPr>
        <w:pStyle w:val="21"/>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5 \* GB3 </w:instrText>
      </w:r>
      <w:r>
        <w:rPr>
          <w:rFonts w:hint="eastAsia" w:cs="宋体"/>
          <w:bCs/>
          <w:kern w:val="2"/>
          <w:highlight w:val="none"/>
        </w:rPr>
        <w:fldChar w:fldCharType="separate"/>
      </w:r>
      <w:r>
        <w:rPr>
          <w:rFonts w:hint="eastAsia" w:cs="宋体"/>
          <w:bCs/>
          <w:kern w:val="2"/>
          <w:highlight w:val="none"/>
        </w:rPr>
        <w:t>⑤</w:t>
      </w:r>
      <w:r>
        <w:rPr>
          <w:rFonts w:hint="eastAsia" w:cs="宋体"/>
          <w:bCs/>
          <w:kern w:val="2"/>
          <w:highlight w:val="none"/>
        </w:rPr>
        <w:fldChar w:fldCharType="end"/>
      </w:r>
      <w:r>
        <w:rPr>
          <w:rFonts w:hint="eastAsia" w:cs="宋体"/>
          <w:bCs/>
          <w:kern w:val="2"/>
          <w:highlight w:val="none"/>
        </w:rPr>
        <w:t>已完工程成品保护的特殊要求及费用承担：承包人自行承建的在建工程或已完工程未交付发包人之前，承包人应负责工程的保护工作，并承担相应费用，如在保护期间发生损坏，承包人应自费予以修复（如损坏由其他承包人造成且有确凿证据时，承包人应先行自费修复，并向其他承包人索赔）；如承包人损坏其他承包人承建的工程，承包人应承担修复费用，修复费用将在当期付款中扣除；</w:t>
      </w:r>
    </w:p>
    <w:p w14:paraId="2CEE69AF">
      <w:pPr>
        <w:pStyle w:val="21"/>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6 \* GB3 </w:instrText>
      </w:r>
      <w:r>
        <w:rPr>
          <w:rFonts w:hint="eastAsia" w:cs="宋体"/>
          <w:bCs/>
          <w:kern w:val="2"/>
          <w:highlight w:val="none"/>
        </w:rPr>
        <w:fldChar w:fldCharType="separate"/>
      </w:r>
      <w:r>
        <w:rPr>
          <w:rFonts w:hint="eastAsia" w:cs="宋体"/>
          <w:bCs/>
          <w:kern w:val="2"/>
          <w:highlight w:val="none"/>
        </w:rPr>
        <w:t>⑥</w:t>
      </w:r>
      <w:r>
        <w:rPr>
          <w:rFonts w:hint="eastAsia" w:cs="宋体"/>
          <w:bCs/>
          <w:kern w:val="2"/>
          <w:highlight w:val="none"/>
        </w:rPr>
        <w:fldChar w:fldCharType="end"/>
      </w:r>
      <w:r>
        <w:rPr>
          <w:rFonts w:hint="eastAsia" w:cs="宋体"/>
          <w:bCs/>
          <w:kern w:val="2"/>
          <w:highlight w:val="none"/>
        </w:rPr>
        <w:t>施工场地周围底下管线和邻近建筑物、构筑物{含文物保护建筑}、古树名木的保护要求及费用承担：承包人应按政府有关部门的规定做好施工场地地下管线和邻近建筑物、构筑物（包括文物保护建筑）、古树名木的保护工作，并承担其费用；</w:t>
      </w:r>
    </w:p>
    <w:p w14:paraId="4CDBD93A">
      <w:pPr>
        <w:pStyle w:val="21"/>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7 \* GB3 </w:instrText>
      </w:r>
      <w:r>
        <w:rPr>
          <w:rFonts w:hint="eastAsia" w:cs="宋体"/>
          <w:bCs/>
          <w:kern w:val="2"/>
          <w:highlight w:val="none"/>
        </w:rPr>
        <w:fldChar w:fldCharType="separate"/>
      </w:r>
      <w:r>
        <w:rPr>
          <w:rFonts w:hint="eastAsia" w:cs="宋体"/>
          <w:bCs/>
          <w:kern w:val="2"/>
          <w:highlight w:val="none"/>
        </w:rPr>
        <w:t>⑦</w:t>
      </w:r>
      <w:r>
        <w:rPr>
          <w:rFonts w:hint="eastAsia" w:cs="宋体"/>
          <w:bCs/>
          <w:kern w:val="2"/>
          <w:highlight w:val="none"/>
        </w:rPr>
        <w:fldChar w:fldCharType="end"/>
      </w:r>
      <w:r>
        <w:rPr>
          <w:rFonts w:hint="eastAsia" w:cs="宋体"/>
          <w:bCs/>
          <w:kern w:val="2"/>
          <w:highlight w:val="none"/>
        </w:rPr>
        <w:t>施工场地清洁卫生的要求：承包人应按政府有关部门的规定保证施工场地内外的清洁符合环境卫生管理及文明施工的要求并达到县级文明合格工地的标准，承担相应费用及自身违反有关规定造成的损失和罚款；竣工验收7天前承包人应撤出全部施工设备材料及人员、拆除全部临时设施、清理完全部建筑垃圾并自行运出现场（建筑垃圾及弃土的堆场由承包人自行确定，建筑垃圾应包括其他承包人的建筑垃圾），做到工完场清，并承担相应费用；</w:t>
      </w:r>
    </w:p>
    <w:p w14:paraId="39DB23C0">
      <w:pPr>
        <w:pStyle w:val="21"/>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8 \* GB3 </w:instrText>
      </w:r>
      <w:r>
        <w:rPr>
          <w:rFonts w:hint="eastAsia" w:cs="宋体"/>
          <w:bCs/>
          <w:kern w:val="2"/>
          <w:highlight w:val="none"/>
        </w:rPr>
        <w:fldChar w:fldCharType="separate"/>
      </w:r>
      <w:r>
        <w:rPr>
          <w:rFonts w:hint="eastAsia" w:cs="宋体"/>
          <w:bCs/>
          <w:kern w:val="2"/>
          <w:highlight w:val="none"/>
        </w:rPr>
        <w:t>⑧</w:t>
      </w:r>
      <w:r>
        <w:rPr>
          <w:rFonts w:hint="eastAsia" w:cs="宋体"/>
          <w:bCs/>
          <w:kern w:val="2"/>
          <w:highlight w:val="none"/>
        </w:rPr>
        <w:fldChar w:fldCharType="end"/>
      </w:r>
      <w:r>
        <w:rPr>
          <w:rFonts w:hint="eastAsia" w:cs="宋体"/>
          <w:bCs/>
          <w:kern w:val="2"/>
          <w:highlight w:val="none"/>
        </w:rPr>
        <w:t>双方约定承包人应做的其他工作：将发包人提供的施工所需水源、电源接入点接至施工现场，保证施工期间用水用电的需要并承担其费用；建设施工场地红线范围内的临时道路并承担费用，以满足施工运输的需要，保证施工期间的畅通；</w:t>
      </w:r>
    </w:p>
    <w:p w14:paraId="5A88729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9 \* GB3 </w:instrText>
      </w:r>
      <w:r>
        <w:rPr>
          <w:rFonts w:hint="eastAsia" w:ascii="宋体" w:hAnsi="宋体" w:cs="宋体"/>
          <w:bCs/>
          <w:sz w:val="24"/>
          <w:highlight w:val="none"/>
        </w:rPr>
        <w:fldChar w:fldCharType="separate"/>
      </w:r>
      <w:r>
        <w:rPr>
          <w:rFonts w:hint="eastAsia" w:ascii="宋体" w:hAnsi="宋体" w:cs="宋体"/>
          <w:bCs/>
          <w:sz w:val="24"/>
          <w:highlight w:val="none"/>
        </w:rPr>
        <w:t>⑨</w:t>
      </w:r>
      <w:r>
        <w:rPr>
          <w:rFonts w:hint="eastAsia" w:ascii="宋体" w:hAnsi="宋体" w:cs="宋体"/>
          <w:bCs/>
          <w:sz w:val="24"/>
          <w:highlight w:val="none"/>
        </w:rPr>
        <w:fldChar w:fldCharType="end"/>
      </w:r>
      <w:r>
        <w:rPr>
          <w:rFonts w:hint="eastAsia" w:ascii="宋体" w:hAnsi="宋体" w:cs="宋体"/>
          <w:bCs/>
          <w:sz w:val="24"/>
          <w:highlight w:val="none"/>
        </w:rPr>
        <w:t>如因承包人原因导致发包人发生额外支出时，发包人将从工程款或履约保证金中扣除相应金额。</w:t>
      </w:r>
    </w:p>
    <w:p w14:paraId="7CCC3A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 项目经理</w:t>
      </w:r>
    </w:p>
    <w:p w14:paraId="5E7C3CA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3.2.1 项目经理：</w:t>
      </w:r>
    </w:p>
    <w:p w14:paraId="5E249D5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27733B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CE77E2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建造师执业资格等级：</w:t>
      </w:r>
      <w:r>
        <w:rPr>
          <w:rFonts w:hint="eastAsia" w:ascii="宋体" w:hAnsi="宋体" w:cs="宋体"/>
          <w:bCs/>
          <w:sz w:val="24"/>
          <w:highlight w:val="none"/>
          <w:u w:val="single"/>
        </w:rPr>
        <w:t>   </w:t>
      </w:r>
      <w:r>
        <w:rPr>
          <w:rFonts w:hint="eastAsia" w:ascii="宋体" w:hAnsi="宋体" w:cs="宋体"/>
          <w:bCs/>
          <w:sz w:val="24"/>
          <w:highlight w:val="none"/>
        </w:rPr>
        <w:t>；</w:t>
      </w:r>
    </w:p>
    <w:p w14:paraId="0EB4782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建造师注册证书号：</w:t>
      </w:r>
      <w:r>
        <w:rPr>
          <w:rFonts w:hint="eastAsia" w:ascii="宋体" w:hAnsi="宋体" w:cs="宋体"/>
          <w:bCs/>
          <w:sz w:val="24"/>
          <w:highlight w:val="none"/>
          <w:u w:val="single"/>
        </w:rPr>
        <w:t> </w:t>
      </w:r>
      <w:r>
        <w:rPr>
          <w:rFonts w:hint="eastAsia" w:ascii="宋体" w:hAnsi="宋体" w:cs="宋体"/>
          <w:bCs/>
          <w:sz w:val="24"/>
          <w:highlight w:val="none"/>
        </w:rPr>
        <w:t>；</w:t>
      </w:r>
    </w:p>
    <w:p w14:paraId="6C8C89E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建造师执业印章号：</w:t>
      </w:r>
      <w:r>
        <w:rPr>
          <w:rFonts w:hint="eastAsia" w:ascii="宋体" w:hAnsi="宋体" w:cs="宋体"/>
          <w:bCs/>
          <w:sz w:val="24"/>
          <w:highlight w:val="none"/>
          <w:u w:val="single"/>
        </w:rPr>
        <w:t> </w:t>
      </w:r>
      <w:r>
        <w:rPr>
          <w:rFonts w:hint="eastAsia" w:ascii="宋体" w:hAnsi="宋体" w:cs="宋体"/>
          <w:bCs/>
          <w:sz w:val="24"/>
          <w:highlight w:val="none"/>
        </w:rPr>
        <w:t>；</w:t>
      </w:r>
    </w:p>
    <w:p w14:paraId="2E29D4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安全生产考核合格证书号：</w:t>
      </w:r>
      <w:r>
        <w:rPr>
          <w:rFonts w:hint="eastAsia" w:ascii="宋体" w:hAnsi="宋体" w:cs="宋体"/>
          <w:bCs/>
          <w:sz w:val="24"/>
          <w:highlight w:val="none"/>
          <w:u w:val="single"/>
        </w:rPr>
        <w:t> </w:t>
      </w:r>
      <w:r>
        <w:rPr>
          <w:rFonts w:hint="eastAsia" w:ascii="宋体" w:hAnsi="宋体" w:cs="宋体"/>
          <w:bCs/>
          <w:sz w:val="24"/>
          <w:highlight w:val="none"/>
        </w:rPr>
        <w:t>；</w:t>
      </w:r>
    </w:p>
    <w:p w14:paraId="000F1C1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60FBC1E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11D19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0CD29D1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承包人对项目经理的授权范围如下：</w:t>
      </w:r>
      <w:r>
        <w:rPr>
          <w:rFonts w:hint="eastAsia" w:ascii="宋体" w:hAnsi="宋体" w:cs="宋体"/>
          <w:bCs/>
          <w:sz w:val="24"/>
          <w:highlight w:val="none"/>
          <w:u w:val="single"/>
        </w:rPr>
        <w:t xml:space="preserve">代表承包人负责合同履行，负责处理合同履行过程中与发包人有关的具体事宜，签署各种往来函件，其权利范围以承包人的任命文件或授权文件为准  </w:t>
      </w:r>
      <w:r>
        <w:rPr>
          <w:rFonts w:hint="eastAsia" w:ascii="宋体" w:hAnsi="宋体" w:cs="宋体"/>
          <w:bCs/>
          <w:sz w:val="24"/>
          <w:highlight w:val="none"/>
        </w:rPr>
        <w:t>。</w:t>
      </w:r>
    </w:p>
    <w:p w14:paraId="36C5B3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关于项目经理每月在施工现场的时间要求：</w:t>
      </w:r>
      <w:r>
        <w:rPr>
          <w:rFonts w:hint="eastAsia" w:ascii="宋体" w:hAnsi="宋体" w:cs="宋体"/>
          <w:bCs/>
          <w:sz w:val="24"/>
          <w:highlight w:val="none"/>
          <w:u w:val="single"/>
        </w:rPr>
        <w:t xml:space="preserve">  每月不少于</w:t>
      </w:r>
      <w:r>
        <w:rPr>
          <w:rFonts w:hint="eastAsia" w:hAnsi="宋体" w:cs="宋体"/>
          <w:bCs/>
          <w:sz w:val="24"/>
          <w:highlight w:val="none"/>
          <w:u w:val="single"/>
          <w:lang w:val="en-US" w:eastAsia="zh-CN"/>
        </w:rPr>
        <w:t>22</w:t>
      </w:r>
      <w:r>
        <w:rPr>
          <w:rFonts w:hint="eastAsia" w:ascii="宋体" w:hAnsi="宋体" w:cs="宋体"/>
          <w:bCs/>
          <w:sz w:val="24"/>
          <w:highlight w:val="none"/>
          <w:u w:val="single"/>
        </w:rPr>
        <w:t>天；</w:t>
      </w:r>
    </w:p>
    <w:p w14:paraId="18213318">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承包人未提交劳动合同，以及没有为项目经理缴纳社会保险证明的违约责任：</w:t>
      </w:r>
      <w:r>
        <w:rPr>
          <w:rFonts w:hint="eastAsia" w:ascii="宋体" w:hAnsi="宋体" w:cs="宋体"/>
          <w:bCs/>
          <w:sz w:val="24"/>
          <w:highlight w:val="none"/>
          <w:u w:val="single"/>
        </w:rPr>
        <w:t xml:space="preserve">  按本合同金额的3.00%向发包人支付违约金，责令限期提交劳动合同并补缴社会保险。发包人责任限期提交劳动合同并补缴社会保险届满仍不提交的，按本合同金额的6.00%向发包人支付违约金。</w:t>
      </w:r>
    </w:p>
    <w:p w14:paraId="377FB164">
      <w:pPr>
        <w:pageBreakBefore w:val="0"/>
        <w:widowControl w:val="0"/>
        <w:kinsoku/>
        <w:wordWrap/>
        <w:overflowPunct/>
        <w:topLinePunct w:val="0"/>
        <w:bidi w:val="0"/>
        <w:snapToGrid/>
        <w:spacing w:line="240" w:lineRule="auto"/>
        <w:ind w:left="0" w:leftChars="0" w:right="0" w:rightChars="0" w:firstLine="480" w:firstLineChars="200"/>
        <w:jc w:val="both"/>
        <w:textAlignment w:val="auto"/>
        <w:outlineLvl w:val="9"/>
        <w:rPr>
          <w:rFonts w:hint="eastAsia" w:ascii="宋体" w:hAnsi="宋体" w:cs="宋体"/>
          <w:bCs/>
          <w:sz w:val="24"/>
          <w:highlight w:val="none"/>
          <w:u w:val="single"/>
        </w:rPr>
      </w:pPr>
      <w:r>
        <w:rPr>
          <w:rFonts w:hint="eastAsia" w:ascii="宋体" w:hAnsi="宋体" w:cs="宋体"/>
          <w:bCs/>
          <w:sz w:val="24"/>
          <w:highlight w:val="none"/>
        </w:rPr>
        <w:t>项目经理未经批准，擅自离开施工现场的违约责任：</w:t>
      </w:r>
      <w:r>
        <w:rPr>
          <w:rFonts w:hint="eastAsia" w:ascii="宋体" w:hAnsi="宋体" w:cs="宋体"/>
          <w:bCs/>
          <w:sz w:val="24"/>
          <w:highlight w:val="none"/>
          <w:u w:val="single"/>
        </w:rPr>
        <w:t xml:space="preserve"> 每少一日按本合同金额的1.00‰向发包人支付违约金，承包人承担上述违约给发包人造成的一切损失。（发包人有权在当期的进度款中直接扣除）。</w:t>
      </w:r>
    </w:p>
    <w:p w14:paraId="086A4BF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3.2.3 承包人擅自更换项目经理的违约责任：</w:t>
      </w:r>
      <w:r>
        <w:rPr>
          <w:rFonts w:hint="eastAsia" w:ascii="宋体" w:hAnsi="宋体" w:cs="宋体"/>
          <w:bCs/>
          <w:sz w:val="24"/>
          <w:highlight w:val="none"/>
          <w:u w:val="single"/>
        </w:rPr>
        <w:t>处以1万元罚款，承包人承担上述违约给发包人造成的一切损失 （发包人有权在当期的进度款中直接扣除）</w:t>
      </w:r>
      <w:r>
        <w:rPr>
          <w:rFonts w:hint="eastAsia" w:ascii="宋体" w:hAnsi="宋体" w:cs="宋体"/>
          <w:bCs/>
          <w:sz w:val="24"/>
          <w:highlight w:val="none"/>
        </w:rPr>
        <w:t>。</w:t>
      </w:r>
    </w:p>
    <w:p w14:paraId="675D396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3.2.4 承包人无正当理由拒绝更换经甲方及监理总监认为不称职的项目经理的违约责任：  处以1万元罚款，承包人承担上述违约给发包人造成的一切损失。</w:t>
      </w:r>
    </w:p>
    <w:p w14:paraId="1DDF578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 承包人人员</w:t>
      </w:r>
    </w:p>
    <w:p w14:paraId="55F500F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3.3.1 承包人提交项目管理机构及施工现场管理人员安排报告的期限：</w:t>
      </w:r>
      <w:r>
        <w:rPr>
          <w:rFonts w:hint="eastAsia" w:ascii="宋体" w:hAnsi="宋体" w:cs="宋体"/>
          <w:bCs/>
          <w:sz w:val="24"/>
          <w:highlight w:val="none"/>
          <w:u w:val="single"/>
        </w:rPr>
        <w:t xml:space="preserve">  工程开工前2天   </w:t>
      </w:r>
      <w:r>
        <w:rPr>
          <w:rFonts w:hint="eastAsia" w:ascii="宋体" w:hAnsi="宋体" w:cs="宋体"/>
          <w:bCs/>
          <w:sz w:val="24"/>
          <w:highlight w:val="none"/>
        </w:rPr>
        <w:t>。</w:t>
      </w:r>
    </w:p>
    <w:p w14:paraId="1360F64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3.3.3 承包人无正当理由拒绝撤换经甲方及监理总监认为不称职的主要施工管理人员的违约责任：</w:t>
      </w:r>
      <w:r>
        <w:rPr>
          <w:rFonts w:hint="eastAsia" w:ascii="宋体" w:hAnsi="宋体" w:cs="宋体"/>
          <w:bCs/>
          <w:sz w:val="24"/>
          <w:highlight w:val="none"/>
          <w:u w:val="single"/>
        </w:rPr>
        <w:t xml:space="preserve">  处以3000元罚款，承包人承担上述违约给发包人造成的一切损失。 </w:t>
      </w:r>
    </w:p>
    <w:p w14:paraId="5B397A4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3.3.4 承包人主要施工管理人员离开施工现场的批准要求： </w:t>
      </w:r>
      <w:r>
        <w:rPr>
          <w:rFonts w:hint="eastAsia" w:ascii="宋体" w:hAnsi="宋体" w:cs="宋体"/>
          <w:bCs/>
          <w:sz w:val="24"/>
          <w:highlight w:val="none"/>
          <w:u w:val="single"/>
        </w:rPr>
        <w:t xml:space="preserve"> 由总监理工程师批准，发包人认可后方可离开  </w:t>
      </w:r>
      <w:r>
        <w:rPr>
          <w:rFonts w:hint="eastAsia" w:ascii="宋体" w:hAnsi="宋体" w:cs="宋体"/>
          <w:bCs/>
          <w:sz w:val="24"/>
          <w:highlight w:val="none"/>
        </w:rPr>
        <w:t>。</w:t>
      </w:r>
    </w:p>
    <w:p w14:paraId="2C59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3.3.5承包人擅自更换主要施工管理人员的违约责任：</w:t>
      </w:r>
      <w:r>
        <w:rPr>
          <w:rFonts w:hint="eastAsia" w:ascii="宋体" w:hAnsi="宋体" w:cs="宋体"/>
          <w:bCs/>
          <w:sz w:val="24"/>
          <w:highlight w:val="none"/>
          <w:u w:val="single"/>
        </w:rPr>
        <w:t xml:space="preserve">  处以3000元罚款，承包人承担上述违约给发包人造成的一切损失   </w:t>
      </w:r>
      <w:r>
        <w:rPr>
          <w:rFonts w:hint="eastAsia" w:ascii="宋体" w:hAnsi="宋体" w:cs="宋体"/>
          <w:bCs/>
          <w:sz w:val="24"/>
          <w:highlight w:val="none"/>
        </w:rPr>
        <w:t>。</w:t>
      </w:r>
    </w:p>
    <w:p w14:paraId="1BC4955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承包人主要施工管理人员擅自离开施工现场的违约责任：</w:t>
      </w:r>
      <w:r>
        <w:rPr>
          <w:rFonts w:hint="eastAsia" w:ascii="宋体" w:hAnsi="宋体" w:cs="宋体"/>
          <w:bCs/>
          <w:sz w:val="24"/>
          <w:highlight w:val="none"/>
          <w:u w:val="single"/>
        </w:rPr>
        <w:t xml:space="preserve"> 处以300元罚款，承包人承担上述违约给发包人造成的一切损失  </w:t>
      </w:r>
      <w:r>
        <w:rPr>
          <w:rFonts w:hint="eastAsia" w:ascii="宋体" w:hAnsi="宋体" w:cs="宋体"/>
          <w:bCs/>
          <w:sz w:val="24"/>
          <w:highlight w:val="none"/>
        </w:rPr>
        <w:t>。</w:t>
      </w:r>
    </w:p>
    <w:p w14:paraId="23A313D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21" w:name="_Toc304295523"/>
      <w:bookmarkStart w:id="122" w:name="_Toc296944498"/>
      <w:bookmarkStart w:id="123" w:name="_Toc312677988"/>
      <w:bookmarkStart w:id="124" w:name="_Toc296346660"/>
      <w:bookmarkStart w:id="125" w:name="_Toc296890987"/>
      <w:bookmarkStart w:id="126" w:name="_Toc303539102"/>
      <w:bookmarkStart w:id="127" w:name="_Toc297120459"/>
      <w:bookmarkStart w:id="128" w:name="_Toc296503159"/>
      <w:bookmarkStart w:id="129" w:name="_Toc296347158"/>
      <w:bookmarkStart w:id="130" w:name="_Toc297123492"/>
      <w:bookmarkStart w:id="131" w:name="_Toc297048345"/>
      <w:bookmarkStart w:id="132" w:name="_Toc292559364"/>
      <w:bookmarkStart w:id="133" w:name="_Toc292559869"/>
      <w:bookmarkStart w:id="134" w:name="_Toc297216151"/>
      <w:bookmarkStart w:id="135" w:name="_Toc300934945"/>
      <w:bookmarkStart w:id="136" w:name="_Toc296891199"/>
      <w:r>
        <w:rPr>
          <w:rFonts w:hint="eastAsia" w:ascii="宋体" w:hAnsi="宋体" w:cs="宋体"/>
          <w:bCs/>
          <w:sz w:val="24"/>
          <w:highlight w:val="none"/>
        </w:rPr>
        <w:t>.5 分包</w:t>
      </w:r>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14:paraId="5DEC5C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37" w:name="_Toc292559870"/>
      <w:bookmarkStart w:id="138" w:name="_Toc297216152"/>
      <w:bookmarkStart w:id="139" w:name="_Toc297048346"/>
      <w:bookmarkStart w:id="140" w:name="_Toc296944499"/>
      <w:bookmarkStart w:id="141" w:name="_Toc297123493"/>
      <w:bookmarkStart w:id="142" w:name="_Toc296891200"/>
      <w:bookmarkStart w:id="143" w:name="_Toc300934946"/>
      <w:bookmarkStart w:id="144" w:name="_Toc296503160"/>
      <w:bookmarkStart w:id="145" w:name="_Toc296347159"/>
      <w:bookmarkStart w:id="146" w:name="_Toc297120460"/>
      <w:bookmarkStart w:id="147" w:name="_Toc303539103"/>
      <w:bookmarkStart w:id="148" w:name="_Toc304295524"/>
      <w:bookmarkStart w:id="149" w:name="_Toc292559365"/>
      <w:bookmarkStart w:id="150" w:name="_Toc296890988"/>
      <w:bookmarkStart w:id="151" w:name="_Toc296346661"/>
      <w:bookmarkStart w:id="152" w:name="_Toc312677989"/>
      <w:bookmarkStart w:id="153" w:name="_Toc318581158"/>
      <w:r>
        <w:rPr>
          <w:rFonts w:hint="eastAsia" w:ascii="宋体" w:hAnsi="宋体" w:cs="宋体"/>
          <w:bCs/>
          <w:sz w:val="24"/>
          <w:highlight w:val="none"/>
        </w:rPr>
        <w:t>.5.1 分包的一般约定</w:t>
      </w:r>
    </w:p>
    <w:p w14:paraId="183ED33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禁止分包的工程包括：</w:t>
      </w:r>
      <w:r>
        <w:rPr>
          <w:rFonts w:hint="eastAsia" w:ascii="宋体" w:hAnsi="宋体" w:cs="宋体"/>
          <w:bCs/>
          <w:sz w:val="24"/>
          <w:highlight w:val="none"/>
          <w:u w:val="single"/>
        </w:rPr>
        <w:t xml:space="preserve">  本工程不允许分包（发包人划定的分包工程除外），确需分包的，须征得发包人同意  </w:t>
      </w:r>
      <w:r>
        <w:rPr>
          <w:rFonts w:hint="eastAsia" w:ascii="宋体" w:hAnsi="宋体" w:cs="宋体"/>
          <w:bCs/>
          <w:sz w:val="24"/>
          <w:highlight w:val="none"/>
        </w:rPr>
        <w:t>。</w:t>
      </w:r>
    </w:p>
    <w:p w14:paraId="581EF82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主体结构、关键性工作的范围：</w:t>
      </w:r>
      <w:r>
        <w:rPr>
          <w:rFonts w:hint="eastAsia" w:ascii="宋体" w:hAnsi="宋体" w:cs="宋体"/>
          <w:bCs/>
          <w:sz w:val="24"/>
          <w:highlight w:val="none"/>
          <w:u w:val="single"/>
        </w:rPr>
        <w:t xml:space="preserve">                   /                   </w:t>
      </w:r>
      <w:r>
        <w:rPr>
          <w:rFonts w:hint="eastAsia" w:ascii="宋体" w:hAnsi="宋体" w:cs="宋体"/>
          <w:bCs/>
          <w:sz w:val="24"/>
          <w:highlight w:val="none"/>
        </w:rPr>
        <w: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Start w:id="154" w:name="_Toc297123494"/>
      <w:bookmarkStart w:id="155" w:name="_Toc296891201"/>
      <w:bookmarkStart w:id="156" w:name="_Toc300934947"/>
      <w:bookmarkStart w:id="157" w:name="_Toc297048347"/>
      <w:bookmarkStart w:id="158" w:name="_Toc296503161"/>
      <w:bookmarkStart w:id="159" w:name="_Toc296890989"/>
      <w:bookmarkStart w:id="160" w:name="_Toc297216153"/>
      <w:bookmarkStart w:id="161" w:name="_Toc304295525"/>
      <w:bookmarkStart w:id="162" w:name="_Toc297120461"/>
      <w:bookmarkStart w:id="163" w:name="_Toc303539104"/>
      <w:bookmarkStart w:id="164" w:name="_Toc296944500"/>
      <w:bookmarkStart w:id="165" w:name="_Toc296346662"/>
      <w:bookmarkStart w:id="166" w:name="_Toc296347160"/>
    </w:p>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14:paraId="1D65A7D2">
      <w:pPr>
        <w:spacing w:line="360" w:lineRule="auto"/>
        <w:rPr>
          <w:rFonts w:hint="eastAsia" w:ascii="宋体" w:hAnsi="宋体" w:cs="宋体"/>
          <w:bCs/>
          <w:sz w:val="24"/>
          <w:highlight w:val="none"/>
        </w:rPr>
      </w:pPr>
      <w:r>
        <w:rPr>
          <w:rFonts w:hint="eastAsia" w:ascii="宋体" w:hAnsi="宋体" w:cs="宋体"/>
          <w:bCs/>
          <w:sz w:val="24"/>
          <w:highlight w:val="none"/>
        </w:rPr>
        <w:t xml:space="preserve">    3</w:t>
      </w:r>
      <w:bookmarkStart w:id="167" w:name="_Toc312677990"/>
      <w:bookmarkStart w:id="168" w:name="_Toc318581159"/>
      <w:r>
        <w:rPr>
          <w:rFonts w:hint="eastAsia" w:ascii="宋体" w:hAnsi="宋体" w:cs="宋体"/>
          <w:bCs/>
          <w:sz w:val="24"/>
          <w:highlight w:val="none"/>
        </w:rPr>
        <w:t>.5.2分包的确定</w:t>
      </w:r>
    </w:p>
    <w:p w14:paraId="13D9C24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允许分包的专业工程包括：</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A3CACE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其他关于分包的约定：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F5312B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3.5.4 分包合同价款</w:t>
      </w:r>
    </w:p>
    <w:p w14:paraId="14BC96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关于分包合同价款支付的约定：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167"/>
    <w:bookmarkEnd w:id="168"/>
    <w:p w14:paraId="74EDF88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3.6 工程照管与成品、半成品保护</w:t>
      </w:r>
    </w:p>
    <w:p w14:paraId="4E048545">
      <w:pPr>
        <w:spacing w:before="120" w:after="120"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承包人负责照管工程及工程相关的材料、工程设备的起始时间：</w:t>
      </w:r>
      <w:r>
        <w:rPr>
          <w:rFonts w:hint="eastAsia" w:ascii="宋体" w:hAnsi="宋体" w:cs="宋体"/>
          <w:bCs/>
          <w:sz w:val="24"/>
          <w:highlight w:val="none"/>
          <w:u w:val="single"/>
        </w:rPr>
        <w:t xml:space="preserve"> 设备、人员进场至验收交付使用前由承包人负责保修，无其它特殊要求的，费用由承包人承担 </w:t>
      </w:r>
      <w:r>
        <w:rPr>
          <w:rFonts w:hint="eastAsia" w:ascii="宋体" w:hAnsi="宋体" w:cs="宋体"/>
          <w:bCs/>
          <w:sz w:val="24"/>
          <w:highlight w:val="none"/>
        </w:rPr>
        <w:t>。</w:t>
      </w:r>
    </w:p>
    <w:p w14:paraId="558C4D2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3.7 履约担保</w:t>
      </w:r>
    </w:p>
    <w:p w14:paraId="40118D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承包人是否提供履约担保：</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0A3D50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承包人提供履约担保的形式、金额及期限的：</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DA74196">
      <w:pPr>
        <w:spacing w:before="120" w:after="120" w:line="360" w:lineRule="auto"/>
        <w:jc w:val="left"/>
        <w:rPr>
          <w:rFonts w:hint="eastAsia" w:ascii="宋体" w:hAnsi="宋体" w:cs="宋体"/>
          <w:bCs/>
          <w:sz w:val="24"/>
          <w:highlight w:val="none"/>
        </w:rPr>
      </w:pPr>
      <w:bookmarkStart w:id="169" w:name="_Toc351203636"/>
      <w:r>
        <w:rPr>
          <w:rFonts w:hint="eastAsia" w:ascii="宋体" w:hAnsi="宋体" w:cs="宋体"/>
          <w:bCs/>
          <w:sz w:val="24"/>
          <w:highlight w:val="none"/>
        </w:rPr>
        <w:t>4</w:t>
      </w:r>
      <w:bookmarkStart w:id="170" w:name="_Toc292559871"/>
      <w:bookmarkStart w:id="171" w:name="_Toc296890990"/>
      <w:bookmarkStart w:id="172" w:name="_Toc296346663"/>
      <w:bookmarkStart w:id="173" w:name="_Toc297120462"/>
      <w:bookmarkStart w:id="174" w:name="_Toc296503162"/>
      <w:bookmarkStart w:id="175" w:name="_Toc297048348"/>
      <w:bookmarkStart w:id="176" w:name="_Toc296347161"/>
      <w:bookmarkStart w:id="177" w:name="_Toc292559366"/>
      <w:bookmarkStart w:id="178" w:name="_Toc267251413"/>
      <w:bookmarkStart w:id="179" w:name="_Toc296944501"/>
      <w:bookmarkStart w:id="180" w:name="_Toc296891202"/>
      <w:r>
        <w:rPr>
          <w:rFonts w:hint="eastAsia" w:ascii="宋体" w:hAnsi="宋体" w:cs="宋体"/>
          <w:bCs/>
          <w:sz w:val="24"/>
          <w:highlight w:val="none"/>
        </w:rPr>
        <w:t>. 监</w:t>
      </w:r>
      <w:bookmarkEnd w:id="170"/>
      <w:bookmarkEnd w:id="171"/>
      <w:bookmarkEnd w:id="172"/>
      <w:bookmarkEnd w:id="173"/>
      <w:bookmarkEnd w:id="174"/>
      <w:bookmarkEnd w:id="175"/>
      <w:bookmarkEnd w:id="176"/>
      <w:bookmarkEnd w:id="177"/>
      <w:bookmarkEnd w:id="178"/>
      <w:bookmarkEnd w:id="179"/>
      <w:bookmarkEnd w:id="180"/>
      <w:r>
        <w:rPr>
          <w:rFonts w:hint="eastAsia" w:ascii="宋体" w:hAnsi="宋体" w:cs="宋体"/>
          <w:bCs/>
          <w:sz w:val="24"/>
          <w:highlight w:val="none"/>
        </w:rPr>
        <w:t>理人</w:t>
      </w:r>
      <w:bookmarkEnd w:id="169"/>
    </w:p>
    <w:p w14:paraId="0C63DD3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4.1监理人的一般规定</w:t>
      </w:r>
    </w:p>
    <w:p w14:paraId="578285A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关于监理人的监理内容：</w:t>
      </w:r>
      <w:r>
        <w:rPr>
          <w:rFonts w:hint="eastAsia" w:ascii="宋体" w:hAnsi="宋体" w:cs="宋体"/>
          <w:bCs/>
          <w:sz w:val="24"/>
          <w:highlight w:val="none"/>
          <w:u w:val="single"/>
        </w:rPr>
        <w:t xml:space="preserve">  质量、进度、安全、投资控制、合同管理、协调等，详见监理委托合同  </w:t>
      </w:r>
      <w:r>
        <w:rPr>
          <w:rFonts w:hint="eastAsia" w:ascii="宋体" w:hAnsi="宋体" w:cs="宋体"/>
          <w:bCs/>
          <w:sz w:val="24"/>
          <w:highlight w:val="none"/>
        </w:rPr>
        <w:t>。</w:t>
      </w:r>
    </w:p>
    <w:p w14:paraId="135C8EC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关于监理人的监理权限：</w:t>
      </w:r>
      <w:r>
        <w:rPr>
          <w:rFonts w:hint="eastAsia" w:ascii="宋体" w:hAnsi="宋体" w:cs="宋体"/>
          <w:bCs/>
          <w:sz w:val="24"/>
          <w:highlight w:val="none"/>
          <w:u w:val="single"/>
        </w:rPr>
        <w:t xml:space="preserve">               见监理合同                    </w:t>
      </w:r>
      <w:r>
        <w:rPr>
          <w:rFonts w:hint="eastAsia" w:ascii="宋体" w:hAnsi="宋体" w:cs="宋体"/>
          <w:bCs/>
          <w:sz w:val="24"/>
          <w:highlight w:val="none"/>
        </w:rPr>
        <w:t xml:space="preserve">。 </w:t>
      </w:r>
    </w:p>
    <w:p w14:paraId="2B59C03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关于监理人在施工现场的办公场所、生活场所的提供和费用承担的约定：</w:t>
      </w:r>
      <w:r>
        <w:rPr>
          <w:rFonts w:hint="eastAsia" w:ascii="宋体" w:hAnsi="宋体" w:cs="宋体"/>
          <w:bCs/>
          <w:sz w:val="24"/>
          <w:highlight w:val="none"/>
          <w:u w:val="single"/>
        </w:rPr>
        <w:t>见监理合同</w:t>
      </w:r>
      <w:r>
        <w:rPr>
          <w:rFonts w:hint="eastAsia" w:ascii="宋体" w:hAnsi="宋体" w:cs="宋体"/>
          <w:bCs/>
          <w:sz w:val="24"/>
          <w:highlight w:val="none"/>
        </w:rPr>
        <w:t>。</w:t>
      </w:r>
    </w:p>
    <w:p w14:paraId="61267C4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4.2 监理人员</w:t>
      </w:r>
    </w:p>
    <w:p w14:paraId="04EC75F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总监理工程师：</w:t>
      </w:r>
    </w:p>
    <w:p w14:paraId="5C6ACC4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w:t>
      </w:r>
      <w:r>
        <w:rPr>
          <w:rFonts w:hint="eastAsia" w:ascii="宋体" w:hAnsi="宋体" w:cs="宋体"/>
          <w:bCs/>
          <w:sz w:val="24"/>
          <w:highlight w:val="none"/>
        </w:rPr>
        <w:t>；</w:t>
      </w:r>
    </w:p>
    <w:p w14:paraId="22D3D67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3D72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监理工程师执业资格证书号：</w:t>
      </w:r>
      <w:r>
        <w:rPr>
          <w:rFonts w:hint="eastAsia" w:ascii="宋体" w:hAnsi="宋体" w:cs="宋体"/>
          <w:bCs/>
          <w:sz w:val="24"/>
          <w:highlight w:val="none"/>
          <w:u w:val="single"/>
        </w:rPr>
        <w:t> </w:t>
      </w:r>
      <w:r>
        <w:rPr>
          <w:rFonts w:hint="eastAsia" w:ascii="宋体" w:hAnsi="宋体" w:cs="宋体"/>
          <w:bCs/>
          <w:sz w:val="24"/>
          <w:highlight w:val="none"/>
        </w:rPr>
        <w:t>；</w:t>
      </w:r>
    </w:p>
    <w:p w14:paraId="229FC8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4BC01ED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2A5FE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7A2184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关于监理人的其他约定：</w:t>
      </w:r>
      <w:r>
        <w:rPr>
          <w:rFonts w:hint="eastAsia" w:ascii="宋体" w:hAnsi="宋体" w:cs="宋体"/>
          <w:bCs/>
          <w:sz w:val="24"/>
          <w:highlight w:val="none"/>
          <w:u w:val="single"/>
        </w:rPr>
        <w:t>   </w:t>
      </w:r>
      <w:r>
        <w:rPr>
          <w:rFonts w:hint="eastAsia" w:ascii="宋体" w:hAnsi="宋体" w:cs="宋体"/>
          <w:bCs/>
          <w:sz w:val="24"/>
          <w:highlight w:val="none"/>
        </w:rPr>
        <w:t>。</w:t>
      </w:r>
    </w:p>
    <w:p w14:paraId="0EAE2F3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4.4 商定或确定</w:t>
      </w:r>
    </w:p>
    <w:p w14:paraId="0D3262D9">
      <w:pPr>
        <w:spacing w:line="360" w:lineRule="auto"/>
        <w:ind w:firstLine="480" w:firstLineChars="200"/>
        <w:rPr>
          <w:rFonts w:hint="eastAsia" w:ascii="宋体" w:hAnsi="宋体" w:cs="宋体"/>
          <w:bCs/>
          <w:sz w:val="24"/>
          <w:highlight w:val="none"/>
        </w:rPr>
      </w:pPr>
      <w:bookmarkStart w:id="181" w:name="_Toc267251418"/>
      <w:r>
        <w:rPr>
          <w:rFonts w:hint="eastAsia" w:ascii="宋体" w:hAnsi="宋体" w:cs="宋体"/>
          <w:bCs/>
          <w:sz w:val="24"/>
          <w:highlight w:val="none"/>
        </w:rPr>
        <w:t>在发包人和承包人不能通过协商达成一致意见时，发包人授权监理人对以下事项进行确定：</w:t>
      </w:r>
    </w:p>
    <w:p w14:paraId="4159861D">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工程质量               </w:t>
      </w:r>
      <w:r>
        <w:rPr>
          <w:rFonts w:hint="eastAsia" w:ascii="宋体" w:hAnsi="宋体" w:cs="宋体"/>
          <w:bCs/>
          <w:sz w:val="24"/>
          <w:highlight w:val="none"/>
        </w:rPr>
        <w:t>；</w:t>
      </w:r>
    </w:p>
    <w:p w14:paraId="5EBF653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施工安全               </w:t>
      </w:r>
      <w:r>
        <w:rPr>
          <w:rFonts w:hint="eastAsia" w:ascii="宋体" w:hAnsi="宋体" w:cs="宋体"/>
          <w:bCs/>
          <w:sz w:val="24"/>
          <w:highlight w:val="none"/>
        </w:rPr>
        <w:t>；</w:t>
      </w:r>
    </w:p>
    <w:p w14:paraId="6747ABE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6F4528F">
      <w:pPr>
        <w:spacing w:before="120" w:after="120" w:line="360" w:lineRule="auto"/>
        <w:jc w:val="left"/>
        <w:rPr>
          <w:rFonts w:hint="eastAsia" w:ascii="宋体" w:hAnsi="宋体" w:cs="宋体"/>
          <w:bCs/>
          <w:sz w:val="24"/>
          <w:highlight w:val="none"/>
        </w:rPr>
      </w:pPr>
      <w:bookmarkStart w:id="182" w:name="_Toc351203637"/>
      <w:r>
        <w:rPr>
          <w:rFonts w:hint="eastAsia" w:ascii="宋体" w:hAnsi="宋体" w:cs="宋体"/>
          <w:bCs/>
          <w:sz w:val="24"/>
          <w:highlight w:val="none"/>
        </w:rPr>
        <w:t>5</w:t>
      </w:r>
      <w:bookmarkEnd w:id="181"/>
      <w:bookmarkStart w:id="183" w:name="_Toc292559872"/>
      <w:bookmarkStart w:id="184" w:name="_Toc296503163"/>
      <w:bookmarkStart w:id="185" w:name="_Toc297048349"/>
      <w:bookmarkStart w:id="186" w:name="_Toc296890991"/>
      <w:bookmarkStart w:id="187" w:name="_Toc292559367"/>
      <w:bookmarkStart w:id="188" w:name="_Toc296944502"/>
      <w:bookmarkStart w:id="189" w:name="_Toc296346664"/>
      <w:bookmarkStart w:id="190" w:name="_Toc296891203"/>
      <w:bookmarkStart w:id="191" w:name="_Toc297120463"/>
      <w:bookmarkStart w:id="192" w:name="_Toc296347162"/>
      <w:r>
        <w:rPr>
          <w:rFonts w:hint="eastAsia" w:ascii="宋体" w:hAnsi="宋体" w:cs="宋体"/>
          <w:bCs/>
          <w:sz w:val="24"/>
          <w:highlight w:val="none"/>
        </w:rPr>
        <w:t>. 工程质量</w:t>
      </w:r>
      <w:bookmarkEnd w:id="182"/>
    </w:p>
    <w:p w14:paraId="1B84E4C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5.1 质量要求</w:t>
      </w:r>
    </w:p>
    <w:p w14:paraId="3D07161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w:t>
      </w:r>
      <w:bookmarkStart w:id="193" w:name="_Toc297216155"/>
      <w:bookmarkStart w:id="194" w:name="_Toc318581164"/>
      <w:bookmarkStart w:id="195" w:name="_Toc312677997"/>
      <w:bookmarkStart w:id="196" w:name="_Toc303539106"/>
      <w:bookmarkStart w:id="197" w:name="_Toc300934949"/>
      <w:bookmarkStart w:id="198" w:name="_Toc304295527"/>
      <w:bookmarkStart w:id="199" w:name="_Toc297123496"/>
      <w:r>
        <w:rPr>
          <w:rFonts w:hint="eastAsia" w:ascii="宋体" w:hAnsi="宋体" w:cs="宋体"/>
          <w:bCs/>
          <w:sz w:val="24"/>
          <w:highlight w:val="none"/>
        </w:rPr>
        <w:t>.1.1 特殊质量标准和要求：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0B92A9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关于工程奖项的约定：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0181FA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5.3 隐蔽工程检查</w:t>
      </w:r>
    </w:p>
    <w:p w14:paraId="5E06B49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5.3.2承包人提前通知监理人隐蔽工程检查的期限的约定：</w:t>
      </w:r>
      <w:r>
        <w:rPr>
          <w:rFonts w:hint="eastAsia" w:ascii="宋体" w:hAnsi="宋体" w:cs="宋体"/>
          <w:bCs/>
          <w:sz w:val="24"/>
          <w:highlight w:val="none"/>
          <w:u w:val="single"/>
        </w:rPr>
        <w:t xml:space="preserve">  共同检查前48小时书面通知监理人  </w:t>
      </w:r>
      <w:r>
        <w:rPr>
          <w:rFonts w:hint="eastAsia" w:ascii="宋体" w:hAnsi="宋体" w:cs="宋体"/>
          <w:bCs/>
          <w:sz w:val="24"/>
          <w:highlight w:val="none"/>
        </w:rPr>
        <w:t>。</w:t>
      </w:r>
    </w:p>
    <w:p w14:paraId="12CAC7B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监理人不能按时进行检查时，应提前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49CC35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5A733A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双方约定中间验收部位：</w:t>
      </w:r>
      <w:r>
        <w:rPr>
          <w:rFonts w:hint="eastAsia" w:ascii="宋体" w:hAnsi="宋体" w:cs="宋体"/>
          <w:bCs/>
          <w:sz w:val="24"/>
          <w:highlight w:val="none"/>
          <w:u w:val="single"/>
        </w:rPr>
        <w:t>执行《通用条款》。除按规定进行正常隐蔽工程验收外，中间验收部分为：双方另行确定。</w:t>
      </w:r>
    </w:p>
    <w:p w14:paraId="3D1886EC">
      <w:pPr>
        <w:spacing w:before="120" w:after="120" w:line="360" w:lineRule="auto"/>
        <w:jc w:val="left"/>
        <w:rPr>
          <w:rFonts w:hint="eastAsia" w:ascii="宋体" w:hAnsi="宋体" w:cs="宋体"/>
          <w:bCs/>
          <w:sz w:val="24"/>
          <w:highlight w:val="none"/>
        </w:rPr>
      </w:pPr>
      <w:bookmarkStart w:id="200" w:name="_Toc351203638"/>
      <w:r>
        <w:rPr>
          <w:rFonts w:hint="eastAsia" w:ascii="宋体" w:hAnsi="宋体" w:cs="宋体"/>
          <w:bCs/>
          <w:sz w:val="24"/>
          <w:highlight w:val="none"/>
        </w:rPr>
        <w:t>6. 安全文明施工与环境保护</w:t>
      </w:r>
      <w:bookmarkEnd w:id="200"/>
    </w:p>
    <w:p w14:paraId="570AFA8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6.1安全文明施工</w:t>
      </w:r>
    </w:p>
    <w:p w14:paraId="56C32F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6.1.1 项目安全生产的达标目标及相应事项的约定：</w:t>
      </w:r>
      <w:r>
        <w:rPr>
          <w:rFonts w:hint="eastAsia" w:ascii="宋体" w:hAnsi="宋体" w:cs="宋体"/>
          <w:bCs/>
          <w:sz w:val="24"/>
          <w:highlight w:val="none"/>
          <w:u w:val="single"/>
        </w:rPr>
        <w:t xml:space="preserve">  要求达到《建筑施工安全检查标准》（JGJ59-2011）标准</w:t>
      </w:r>
      <w:r>
        <w:rPr>
          <w:rFonts w:hint="eastAsia" w:ascii="宋体" w:hAnsi="宋体" w:cs="宋体"/>
          <w:bCs/>
          <w:sz w:val="24"/>
          <w:highlight w:val="none"/>
        </w:rPr>
        <w:t>。</w:t>
      </w:r>
    </w:p>
    <w:p w14:paraId="57AD67A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6.1.4 关于治安保卫的特别约定：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F5244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关于编制施工场地治安管理计划的约定：</w:t>
      </w:r>
      <w:r>
        <w:rPr>
          <w:rFonts w:hint="eastAsia" w:ascii="宋体" w:hAnsi="宋体" w:cs="宋体"/>
          <w:bCs/>
          <w:sz w:val="24"/>
          <w:highlight w:val="none"/>
          <w:u w:val="single"/>
        </w:rPr>
        <w:t xml:space="preserve">  开工前提供施工场地治安管理计划   </w:t>
      </w:r>
      <w:r>
        <w:rPr>
          <w:rFonts w:hint="eastAsia" w:ascii="宋体" w:hAnsi="宋体" w:cs="宋体"/>
          <w:bCs/>
          <w:sz w:val="24"/>
          <w:highlight w:val="none"/>
        </w:rPr>
        <w:t>。</w:t>
      </w:r>
    </w:p>
    <w:p w14:paraId="4D5055D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6.1.5 文明施工</w:t>
      </w:r>
    </w:p>
    <w:p w14:paraId="6C8B70B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合同当事人对文明施工的要求：</w:t>
      </w:r>
      <w:r>
        <w:rPr>
          <w:rFonts w:hint="eastAsia" w:ascii="宋体" w:hAnsi="宋体" w:cs="宋体"/>
          <w:bCs/>
          <w:sz w:val="24"/>
          <w:highlight w:val="none"/>
          <w:u w:val="single"/>
        </w:rPr>
        <w:t xml:space="preserve"> 达到《建筑施工现场环境与卫生标准》（JGJ146-2004） </w:t>
      </w:r>
      <w:r>
        <w:rPr>
          <w:rFonts w:hint="eastAsia" w:ascii="宋体" w:hAnsi="宋体" w:cs="宋体"/>
          <w:bCs/>
          <w:sz w:val="24"/>
          <w:highlight w:val="none"/>
        </w:rPr>
        <w:t>。</w:t>
      </w:r>
    </w:p>
    <w:p w14:paraId="49B8C957">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6.1.6 关于安全文明施工费支付比例和支付期限的约定：</w:t>
      </w:r>
      <w:r>
        <w:rPr>
          <w:rFonts w:hint="eastAsia" w:ascii="宋体" w:hAnsi="宋体" w:cs="宋体"/>
          <w:bCs/>
          <w:sz w:val="24"/>
          <w:highlight w:val="none"/>
          <w:u w:val="single"/>
        </w:rPr>
        <w:t>纳入合同价格支付。</w:t>
      </w:r>
    </w:p>
    <w:bookmarkEnd w:id="193"/>
    <w:bookmarkEnd w:id="194"/>
    <w:bookmarkEnd w:id="195"/>
    <w:bookmarkEnd w:id="196"/>
    <w:bookmarkEnd w:id="197"/>
    <w:bookmarkEnd w:id="198"/>
    <w:bookmarkEnd w:id="199"/>
    <w:p w14:paraId="2879DE2F">
      <w:pPr>
        <w:spacing w:before="120" w:after="120" w:line="360" w:lineRule="auto"/>
        <w:ind w:firstLine="480" w:firstLineChars="200"/>
        <w:jc w:val="left"/>
        <w:rPr>
          <w:rFonts w:hint="eastAsia" w:ascii="宋体" w:hAnsi="宋体" w:cs="宋体"/>
          <w:bCs/>
          <w:sz w:val="24"/>
          <w:highlight w:val="none"/>
        </w:rPr>
      </w:pPr>
      <w:bookmarkStart w:id="201" w:name="_Toc351203639"/>
      <w:r>
        <w:rPr>
          <w:rFonts w:hint="eastAsia" w:ascii="宋体" w:hAnsi="宋体" w:cs="宋体"/>
          <w:bCs/>
          <w:sz w:val="24"/>
          <w:highlight w:val="none"/>
        </w:rPr>
        <w:t>7. 工期和进度</w:t>
      </w:r>
      <w:bookmarkEnd w:id="201"/>
    </w:p>
    <w:p w14:paraId="2630868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7.1 施工组织设计</w:t>
      </w:r>
    </w:p>
    <w:p w14:paraId="5B85BD27">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7.1.1 合同当事人约定的施工组织设计应包括的其他内容：</w:t>
      </w:r>
      <w:r>
        <w:rPr>
          <w:rFonts w:hint="eastAsia" w:ascii="宋体" w:hAnsi="宋体" w:cs="宋体"/>
          <w:bCs/>
          <w:sz w:val="24"/>
          <w:highlight w:val="none"/>
          <w:u w:val="single"/>
        </w:rPr>
        <w:t xml:space="preserve">  按磋商文件约定，磋商文件无约定的按通用条款或双方另行约定 </w:t>
      </w:r>
      <w:r>
        <w:rPr>
          <w:rFonts w:hint="eastAsia" w:ascii="宋体" w:hAnsi="宋体" w:cs="宋体"/>
          <w:bCs/>
          <w:sz w:val="24"/>
          <w:highlight w:val="none"/>
        </w:rPr>
        <w:t>。</w:t>
      </w:r>
    </w:p>
    <w:p w14:paraId="7B9191F2">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7.1.2 施工组织设计的提交和修改</w:t>
      </w:r>
    </w:p>
    <w:p w14:paraId="54FA2A8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承包人提交详细施工组织设计的期限的约定：</w:t>
      </w:r>
      <w:r>
        <w:rPr>
          <w:rFonts w:hint="eastAsia" w:ascii="宋体" w:hAnsi="宋体" w:cs="宋体"/>
          <w:bCs/>
          <w:sz w:val="24"/>
          <w:highlight w:val="none"/>
          <w:u w:val="single"/>
        </w:rPr>
        <w:t xml:space="preserve">    开工前    </w:t>
      </w:r>
      <w:r>
        <w:rPr>
          <w:rFonts w:hint="eastAsia" w:ascii="宋体" w:hAnsi="宋体" w:cs="宋体"/>
          <w:bCs/>
          <w:sz w:val="24"/>
          <w:highlight w:val="none"/>
        </w:rPr>
        <w:t>。</w:t>
      </w:r>
    </w:p>
    <w:p w14:paraId="0E903D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发包人和监理人在收到详细的施工组织设计后确认或提出修改意见的期限：</w:t>
      </w:r>
      <w:r>
        <w:rPr>
          <w:rFonts w:hint="eastAsia" w:ascii="宋体" w:hAnsi="宋体" w:cs="宋体"/>
          <w:bCs/>
          <w:sz w:val="24"/>
          <w:highlight w:val="none"/>
          <w:u w:val="single"/>
        </w:rPr>
        <w:t xml:space="preserve"> 收到后7天内  </w:t>
      </w:r>
      <w:r>
        <w:rPr>
          <w:rFonts w:hint="eastAsia" w:ascii="宋体" w:hAnsi="宋体" w:cs="宋体"/>
          <w:bCs/>
          <w:sz w:val="24"/>
          <w:highlight w:val="none"/>
        </w:rPr>
        <w:t>。</w:t>
      </w:r>
    </w:p>
    <w:p w14:paraId="13A5164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02" w:name="_Toc297216173"/>
      <w:bookmarkStart w:id="203" w:name="_Toc303539123"/>
      <w:bookmarkStart w:id="204" w:name="_Toc297123514"/>
      <w:bookmarkStart w:id="205" w:name="_Toc312677479"/>
      <w:bookmarkStart w:id="206" w:name="_Toc300934966"/>
      <w:bookmarkStart w:id="207" w:name="_Toc304295541"/>
      <w:bookmarkStart w:id="208" w:name="_Toc312678005"/>
      <w:r>
        <w:rPr>
          <w:rFonts w:hint="eastAsia" w:ascii="宋体" w:hAnsi="宋体" w:cs="宋体"/>
          <w:bCs/>
          <w:sz w:val="24"/>
          <w:highlight w:val="none"/>
        </w:rPr>
        <w:t>.2 施工进度计划</w:t>
      </w:r>
    </w:p>
    <w:p w14:paraId="6D2A1AD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7.2.2 施工进度计划的修订</w:t>
      </w:r>
    </w:p>
    <w:p w14:paraId="341FA5A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发包人和监理人在收到修订的施工进度计划后确认或提出修改意见的期限：</w:t>
      </w:r>
      <w:r>
        <w:rPr>
          <w:rFonts w:hint="eastAsia" w:ascii="宋体" w:hAnsi="宋体" w:cs="宋体"/>
          <w:bCs/>
          <w:sz w:val="24"/>
          <w:highlight w:val="none"/>
          <w:u w:val="single"/>
        </w:rPr>
        <w:t xml:space="preserve"> 收到后5天内  </w:t>
      </w:r>
      <w:r>
        <w:rPr>
          <w:rFonts w:hint="eastAsia" w:ascii="宋体" w:hAnsi="宋体" w:cs="宋体"/>
          <w:bCs/>
          <w:sz w:val="24"/>
          <w:highlight w:val="none"/>
        </w:rPr>
        <w:t>。</w:t>
      </w:r>
    </w:p>
    <w:p w14:paraId="6486784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7.3 开工</w:t>
      </w:r>
    </w:p>
    <w:p w14:paraId="60D765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7.3.1 开工准备</w:t>
      </w:r>
    </w:p>
    <w:p w14:paraId="55D659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关于承包人提交工程开工报审表的期限：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04B3EC4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178F0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关于承包人应完成的其他开工准备工作及期限：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D07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7.3.2开工通知</w:t>
      </w:r>
    </w:p>
    <w:p w14:paraId="5AB2CC1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因发包人原因造成监理人未能在计划开工日期之日起</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天内发出开工通知的，承包人有权提出价格调整要求，或者解除合同。</w:t>
      </w:r>
    </w:p>
    <w:bookmarkEnd w:id="202"/>
    <w:bookmarkEnd w:id="203"/>
    <w:bookmarkEnd w:id="204"/>
    <w:bookmarkEnd w:id="205"/>
    <w:bookmarkEnd w:id="206"/>
    <w:bookmarkEnd w:id="207"/>
    <w:bookmarkEnd w:id="208"/>
    <w:p w14:paraId="0297FF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7.4 测量放线</w:t>
      </w:r>
    </w:p>
    <w:p w14:paraId="6235C403">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7.4.1发包人通过监理人向承包人提供测量基准点、基准线和水准点及其书面资料的期限：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734C8F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09" w:name="_Toc297216175"/>
      <w:bookmarkStart w:id="210" w:name="_Toc304295546"/>
      <w:bookmarkStart w:id="211" w:name="_Toc312678010"/>
      <w:bookmarkStart w:id="212" w:name="_Toc297123516"/>
      <w:bookmarkStart w:id="213" w:name="_Toc300934968"/>
      <w:bookmarkStart w:id="214" w:name="_Toc312677484"/>
      <w:bookmarkStart w:id="215" w:name="_Toc303539125"/>
      <w:r>
        <w:rPr>
          <w:rFonts w:hint="eastAsia" w:ascii="宋体" w:hAnsi="宋体" w:cs="宋体"/>
          <w:bCs/>
          <w:sz w:val="24"/>
          <w:highlight w:val="none"/>
        </w:rPr>
        <w:t>.5 工期延误</w:t>
      </w:r>
    </w:p>
    <w:bookmarkEnd w:id="209"/>
    <w:bookmarkEnd w:id="210"/>
    <w:bookmarkEnd w:id="211"/>
    <w:bookmarkEnd w:id="212"/>
    <w:bookmarkEnd w:id="213"/>
    <w:bookmarkEnd w:id="214"/>
    <w:bookmarkEnd w:id="215"/>
    <w:p w14:paraId="3381FE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7.5.1 因发包人原因导致工期延误</w:t>
      </w:r>
    </w:p>
    <w:p w14:paraId="50D3BEB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（7）因发包人原因导致工期延误的其他情形：</w:t>
      </w:r>
      <w:r>
        <w:rPr>
          <w:rFonts w:hint="eastAsia" w:ascii="宋体" w:hAnsi="宋体" w:cs="宋体"/>
          <w:bCs/>
          <w:sz w:val="24"/>
          <w:highlight w:val="none"/>
          <w:u w:val="single"/>
        </w:rPr>
        <w:t xml:space="preserve"> ①发包人未按合同规定支付工程款并确实影响施工进度；②重大设计变更而影响施工进度；③政策处理问题影响施工进度；</w:t>
      </w:r>
      <w:r>
        <w:rPr>
          <w:rFonts w:hint="eastAsia" w:ascii="宋体" w:hAnsi="宋体" w:cs="宋体"/>
          <w:bCs/>
          <w:sz w:val="24"/>
          <w:highlight w:val="none"/>
          <w:u w:val="single"/>
        </w:rPr>
        <w:fldChar w:fldCharType="begin"/>
      </w:r>
      <w:r>
        <w:rPr>
          <w:rFonts w:hint="eastAsia" w:ascii="宋体" w:hAnsi="宋体" w:cs="宋体"/>
          <w:bCs/>
          <w:sz w:val="24"/>
          <w:highlight w:val="none"/>
          <w:u w:val="single"/>
        </w:rPr>
        <w:instrText xml:space="preserve"> = 4 \* GB3 </w:instrText>
      </w:r>
      <w:r>
        <w:rPr>
          <w:rFonts w:hint="eastAsia" w:ascii="宋体" w:hAnsi="宋体" w:cs="宋体"/>
          <w:bCs/>
          <w:sz w:val="24"/>
          <w:highlight w:val="none"/>
          <w:u w:val="single"/>
        </w:rPr>
        <w:fldChar w:fldCharType="separate"/>
      </w:r>
      <w:r>
        <w:rPr>
          <w:rFonts w:hint="eastAsia" w:ascii="宋体" w:hAnsi="宋体" w:cs="宋体"/>
          <w:bCs/>
          <w:sz w:val="24"/>
          <w:highlight w:val="none"/>
          <w:u w:val="single"/>
        </w:rPr>
        <w:t>④</w:t>
      </w:r>
      <w:r>
        <w:rPr>
          <w:rFonts w:hint="eastAsia" w:ascii="宋体" w:hAnsi="宋体" w:cs="宋体"/>
          <w:bCs/>
          <w:sz w:val="24"/>
          <w:highlight w:val="none"/>
          <w:u w:val="single"/>
        </w:rPr>
        <w:fldChar w:fldCharType="end"/>
      </w:r>
      <w:r>
        <w:rPr>
          <w:rFonts w:hint="eastAsia" w:ascii="宋体" w:hAnsi="宋体" w:cs="宋体"/>
          <w:bCs/>
          <w:sz w:val="24"/>
          <w:highlight w:val="none"/>
          <w:u w:val="single"/>
        </w:rPr>
        <w:t>不可抗力，此延误工期须在发现后七天内办理签证，逾期不予认可。</w:t>
      </w:r>
    </w:p>
    <w:p w14:paraId="7115981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w:t>
      </w:r>
      <w:bookmarkStart w:id="216" w:name="_Toc312678012"/>
      <w:bookmarkStart w:id="217" w:name="_Toc312677486"/>
      <w:bookmarkStart w:id="218" w:name="_Toc318581169"/>
      <w:bookmarkStart w:id="219" w:name="_Toc297216177"/>
      <w:bookmarkStart w:id="220" w:name="_Toc303539127"/>
      <w:bookmarkStart w:id="221" w:name="_Toc297123518"/>
      <w:bookmarkStart w:id="222" w:name="_Toc304295548"/>
      <w:bookmarkStart w:id="223" w:name="_Toc300934970"/>
      <w:r>
        <w:rPr>
          <w:rFonts w:hint="eastAsia" w:ascii="宋体" w:hAnsi="宋体" w:cs="宋体"/>
          <w:bCs/>
          <w:sz w:val="24"/>
          <w:highlight w:val="none"/>
        </w:rPr>
        <w:t>.5.2 因承包人原因导致工期延误</w:t>
      </w:r>
    </w:p>
    <w:bookmarkEnd w:id="216"/>
    <w:bookmarkEnd w:id="217"/>
    <w:bookmarkEnd w:id="218"/>
    <w:p w14:paraId="25568A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w:t>
      </w:r>
      <w:bookmarkStart w:id="224" w:name="_Toc312678013"/>
      <w:bookmarkStart w:id="225" w:name="_Toc312677487"/>
      <w:bookmarkStart w:id="226" w:name="_Toc318581170"/>
      <w:r>
        <w:rPr>
          <w:rFonts w:hint="eastAsia" w:ascii="宋体" w:hAnsi="宋体" w:cs="宋体"/>
          <w:bCs/>
          <w:sz w:val="24"/>
          <w:highlight w:val="none"/>
        </w:rPr>
        <w:t>承包人原因造成工期延误，逾期竣工违约金的计算方法为：</w:t>
      </w:r>
      <w:r>
        <w:rPr>
          <w:rFonts w:hint="eastAsia" w:ascii="宋体" w:hAnsi="宋体" w:cs="宋体"/>
          <w:bCs/>
          <w:sz w:val="24"/>
          <w:highlight w:val="none"/>
          <w:u w:val="single"/>
        </w:rPr>
        <w:t xml:space="preserve">双方另行约定 </w:t>
      </w:r>
      <w:r>
        <w:rPr>
          <w:rFonts w:hint="eastAsia" w:ascii="宋体" w:hAnsi="宋体" w:cs="宋体"/>
          <w:bCs/>
          <w:sz w:val="24"/>
          <w:highlight w:val="none"/>
        </w:rPr>
        <w:t>。</w:t>
      </w:r>
      <w:bookmarkEnd w:id="219"/>
      <w:bookmarkEnd w:id="220"/>
      <w:bookmarkEnd w:id="221"/>
      <w:bookmarkEnd w:id="222"/>
      <w:bookmarkEnd w:id="223"/>
      <w:bookmarkEnd w:id="224"/>
      <w:bookmarkEnd w:id="225"/>
    </w:p>
    <w:bookmarkEnd w:id="226"/>
    <w:p w14:paraId="12C5BE7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因承包人原因造成工期延误，逾</w:t>
      </w:r>
      <w:bookmarkStart w:id="227" w:name="_Toc312678014"/>
      <w:bookmarkStart w:id="228" w:name="_Toc318581171"/>
      <w:r>
        <w:rPr>
          <w:rFonts w:hint="eastAsia" w:ascii="宋体" w:hAnsi="宋体" w:cs="宋体"/>
          <w:bCs/>
          <w:sz w:val="24"/>
          <w:highlight w:val="none"/>
        </w:rPr>
        <w:t>期竣工违约金的上限：</w:t>
      </w:r>
      <w:r>
        <w:rPr>
          <w:rFonts w:hint="eastAsia" w:ascii="宋体" w:hAnsi="宋体" w:cs="宋体"/>
          <w:bCs/>
          <w:sz w:val="24"/>
          <w:highlight w:val="none"/>
          <w:u w:val="single"/>
        </w:rPr>
        <w:t xml:space="preserve">总额不超过合同价款的10%  </w:t>
      </w:r>
      <w:r>
        <w:rPr>
          <w:rFonts w:hint="eastAsia" w:ascii="宋体" w:hAnsi="宋体" w:cs="宋体"/>
          <w:bCs/>
          <w:sz w:val="24"/>
          <w:highlight w:val="none"/>
        </w:rPr>
        <w:t>。</w:t>
      </w:r>
    </w:p>
    <w:bookmarkEnd w:id="227"/>
    <w:bookmarkEnd w:id="228"/>
    <w:p w14:paraId="6CCEED9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29" w:name="_Toc303539128"/>
      <w:bookmarkStart w:id="230" w:name="_Toc304295549"/>
      <w:bookmarkStart w:id="231" w:name="_Toc297123519"/>
      <w:bookmarkStart w:id="232" w:name="_Toc300934971"/>
      <w:bookmarkStart w:id="233" w:name="_Toc312678015"/>
      <w:bookmarkStart w:id="234" w:name="_Toc297216178"/>
      <w:r>
        <w:rPr>
          <w:rFonts w:hint="eastAsia" w:ascii="宋体" w:hAnsi="宋体" w:cs="宋体"/>
          <w:bCs/>
          <w:sz w:val="24"/>
          <w:highlight w:val="none"/>
        </w:rPr>
        <w:t>.6 不</w:t>
      </w:r>
      <w:bookmarkEnd w:id="229"/>
      <w:bookmarkEnd w:id="230"/>
      <w:bookmarkEnd w:id="231"/>
      <w:bookmarkEnd w:id="232"/>
      <w:bookmarkEnd w:id="233"/>
      <w:bookmarkEnd w:id="234"/>
      <w:r>
        <w:rPr>
          <w:rFonts w:hint="eastAsia" w:ascii="宋体" w:hAnsi="宋体" w:cs="宋体"/>
          <w:bCs/>
          <w:sz w:val="24"/>
          <w:highlight w:val="none"/>
        </w:rPr>
        <w:t>利物质条件</w:t>
      </w:r>
    </w:p>
    <w:p w14:paraId="17E94223">
      <w:pPr>
        <w:spacing w:line="360" w:lineRule="auto"/>
        <w:ind w:firstLine="480" w:firstLineChars="200"/>
        <w:jc w:val="left"/>
        <w:rPr>
          <w:rFonts w:hint="eastAsia" w:ascii="宋体" w:hAnsi="宋体" w:cs="宋体"/>
          <w:bCs/>
          <w:sz w:val="24"/>
          <w:highlight w:val="none"/>
        </w:rPr>
      </w:pPr>
      <w:bookmarkStart w:id="235" w:name="_Toc297216179"/>
      <w:bookmarkStart w:id="236" w:name="_Toc304295550"/>
      <w:bookmarkStart w:id="237" w:name="_Toc300934972"/>
      <w:bookmarkStart w:id="238" w:name="_Toc297123520"/>
      <w:bookmarkStart w:id="239" w:name="_Toc303539129"/>
      <w:bookmarkStart w:id="240" w:name="_Toc312678016"/>
      <w:bookmarkStart w:id="241" w:name="_Toc318581172"/>
      <w:r>
        <w:rPr>
          <w:rFonts w:hint="eastAsia" w:ascii="宋体" w:hAnsi="宋体" w:cs="宋体"/>
          <w:bCs/>
          <w:sz w:val="24"/>
          <w:highlight w:val="none"/>
        </w:rPr>
        <w:t>不利物质条件的其他情形和有关约定：</w:t>
      </w:r>
      <w:r>
        <w:rPr>
          <w:rFonts w:hint="eastAsia" w:ascii="宋体" w:hAnsi="宋体" w:cs="宋体"/>
          <w:bCs/>
          <w:sz w:val="24"/>
          <w:highlight w:val="none"/>
          <w:u w:val="single"/>
        </w:rPr>
        <w:t xml:space="preserve">  施工区域内原建构物基础、建筑垃圾等由承包人负责清理及挖除（发生的费用由承包人承担），不属于不利物质条件 </w:t>
      </w:r>
      <w:r>
        <w:rPr>
          <w:rFonts w:hint="eastAsia" w:ascii="宋体" w:hAnsi="宋体" w:cs="宋体"/>
          <w:bCs/>
          <w:sz w:val="24"/>
          <w:highlight w:val="none"/>
        </w:rPr>
        <w:t>。</w:t>
      </w:r>
    </w:p>
    <w:bookmarkEnd w:id="235"/>
    <w:bookmarkEnd w:id="236"/>
    <w:bookmarkEnd w:id="237"/>
    <w:bookmarkEnd w:id="238"/>
    <w:bookmarkEnd w:id="239"/>
    <w:bookmarkEnd w:id="240"/>
    <w:bookmarkEnd w:id="241"/>
    <w:p w14:paraId="6BB6D08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42" w:name="_Toc300934973"/>
      <w:bookmarkStart w:id="243" w:name="_Toc303539130"/>
      <w:bookmarkStart w:id="244" w:name="_Toc297123521"/>
      <w:bookmarkStart w:id="245" w:name="_Toc312678017"/>
      <w:bookmarkStart w:id="246" w:name="_Toc297216180"/>
      <w:bookmarkStart w:id="247" w:name="_Toc304295551"/>
      <w:r>
        <w:rPr>
          <w:rFonts w:hint="eastAsia" w:ascii="宋体" w:hAnsi="宋体" w:cs="宋体"/>
          <w:bCs/>
          <w:sz w:val="24"/>
          <w:highlight w:val="none"/>
        </w:rPr>
        <w:t>.7异常恶劣的气候条件</w:t>
      </w:r>
    </w:p>
    <w:bookmarkEnd w:id="242"/>
    <w:bookmarkEnd w:id="243"/>
    <w:bookmarkEnd w:id="244"/>
    <w:bookmarkEnd w:id="245"/>
    <w:bookmarkEnd w:id="246"/>
    <w:bookmarkEnd w:id="247"/>
    <w:p w14:paraId="48C2574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发包人和承包人同意以下情形视为异常恶劣的气候条件：</w:t>
      </w:r>
    </w:p>
    <w:p w14:paraId="77646761">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风速达到8级以上10级以内的台风     </w:t>
      </w:r>
      <w:r>
        <w:rPr>
          <w:rFonts w:hint="eastAsia" w:ascii="宋体" w:hAnsi="宋体" w:cs="宋体"/>
          <w:bCs/>
          <w:sz w:val="24"/>
          <w:highlight w:val="none"/>
        </w:rPr>
        <w:t>；</w:t>
      </w:r>
    </w:p>
    <w:p w14:paraId="3828521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24小时内降雨量大于250mm的特大暴雨  </w:t>
      </w:r>
      <w:r>
        <w:rPr>
          <w:rFonts w:hint="eastAsia" w:ascii="宋体" w:hAnsi="宋体" w:cs="宋体"/>
          <w:bCs/>
          <w:sz w:val="24"/>
          <w:highlight w:val="none"/>
        </w:rPr>
        <w:t>；</w:t>
      </w:r>
    </w:p>
    <w:p w14:paraId="5107D4F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日气温超过42℃或低于-10℃           </w:t>
      </w:r>
      <w:r>
        <w:rPr>
          <w:rFonts w:hint="eastAsia" w:ascii="宋体" w:hAnsi="宋体" w:cs="宋体"/>
          <w:bCs/>
          <w:sz w:val="24"/>
          <w:highlight w:val="none"/>
        </w:rPr>
        <w:t>。</w:t>
      </w:r>
    </w:p>
    <w:p w14:paraId="38E7186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7.9 提前竣工的奖励</w:t>
      </w:r>
    </w:p>
    <w:p w14:paraId="173B332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7.9.2提前竣工的奖励：</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p>
    <w:p w14:paraId="6B5F5787">
      <w:pPr>
        <w:spacing w:before="120" w:after="120" w:line="360" w:lineRule="auto"/>
        <w:rPr>
          <w:rFonts w:hint="eastAsia" w:ascii="宋体" w:hAnsi="宋体" w:cs="宋体"/>
          <w:bCs/>
          <w:sz w:val="24"/>
          <w:highlight w:val="none"/>
        </w:rPr>
      </w:pPr>
      <w:bookmarkStart w:id="248" w:name="_Toc351203640"/>
      <w:r>
        <w:rPr>
          <w:rFonts w:hint="eastAsia" w:ascii="宋体" w:hAnsi="宋体" w:cs="宋体"/>
          <w:bCs/>
          <w:sz w:val="24"/>
          <w:highlight w:val="none"/>
        </w:rPr>
        <w:t>8. 材料与设备</w:t>
      </w:r>
      <w:bookmarkEnd w:id="248"/>
    </w:p>
    <w:bookmarkEnd w:id="183"/>
    <w:bookmarkEnd w:id="184"/>
    <w:bookmarkEnd w:id="185"/>
    <w:bookmarkEnd w:id="186"/>
    <w:bookmarkEnd w:id="187"/>
    <w:bookmarkEnd w:id="188"/>
    <w:bookmarkEnd w:id="189"/>
    <w:bookmarkEnd w:id="190"/>
    <w:bookmarkEnd w:id="191"/>
    <w:bookmarkEnd w:id="192"/>
    <w:p w14:paraId="0DCB51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w:t>
      </w:r>
      <w:bookmarkStart w:id="249" w:name="_Toc292559877"/>
      <w:bookmarkStart w:id="250" w:name="_Toc297048353"/>
      <w:bookmarkStart w:id="251" w:name="_Toc296890995"/>
      <w:bookmarkStart w:id="252" w:name="_Toc296944506"/>
      <w:bookmarkStart w:id="253" w:name="_Toc312677493"/>
      <w:bookmarkStart w:id="254" w:name="_Toc292559372"/>
      <w:bookmarkStart w:id="255" w:name="_Toc312678019"/>
      <w:bookmarkStart w:id="256" w:name="_Toc297216186"/>
      <w:bookmarkStart w:id="257" w:name="_Toc296503167"/>
      <w:bookmarkStart w:id="258" w:name="_Toc300934979"/>
      <w:bookmarkStart w:id="259" w:name="_Toc297120467"/>
      <w:bookmarkStart w:id="260" w:name="_Toc303539136"/>
      <w:bookmarkStart w:id="261" w:name="_Toc296347166"/>
      <w:bookmarkStart w:id="262" w:name="_Toc296891207"/>
      <w:bookmarkStart w:id="263" w:name="_Toc296346668"/>
      <w:bookmarkStart w:id="264" w:name="_Toc297123527"/>
      <w:bookmarkStart w:id="265" w:name="_Toc304295556"/>
      <w:bookmarkStart w:id="266" w:name="_Toc280868654"/>
      <w:bookmarkStart w:id="267" w:name="_Toc280868655"/>
      <w:bookmarkStart w:id="268" w:name="_Toc280868656"/>
      <w:bookmarkStart w:id="269" w:name="_Toc267251424"/>
      <w:r>
        <w:rPr>
          <w:rFonts w:hint="eastAsia" w:ascii="宋体" w:hAnsi="宋体" w:cs="宋体"/>
          <w:bCs/>
          <w:sz w:val="24"/>
          <w:highlight w:val="none"/>
        </w:rPr>
        <w:t>.4材料与工程设备的保管与使用</w:t>
      </w:r>
    </w:p>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14:paraId="6890DFD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w:t>
      </w:r>
      <w:bookmarkStart w:id="270" w:name="_Toc292559373"/>
      <w:bookmarkStart w:id="271" w:name="_Toc292559878"/>
      <w:bookmarkStart w:id="272" w:name="_Toc296347167"/>
      <w:bookmarkStart w:id="273" w:name="_Toc312678020"/>
      <w:bookmarkStart w:id="274" w:name="_Toc296503168"/>
      <w:bookmarkStart w:id="275" w:name="_Toc296944507"/>
      <w:bookmarkStart w:id="276" w:name="_Toc312677494"/>
      <w:bookmarkStart w:id="277" w:name="_Toc296891208"/>
      <w:bookmarkStart w:id="278" w:name="_Toc300934980"/>
      <w:bookmarkStart w:id="279" w:name="_Toc303539137"/>
      <w:bookmarkStart w:id="280" w:name="_Toc297120468"/>
      <w:bookmarkStart w:id="281" w:name="_Toc297216187"/>
      <w:bookmarkStart w:id="282" w:name="_Toc296346669"/>
      <w:bookmarkStart w:id="283" w:name="_Toc297123528"/>
      <w:bookmarkStart w:id="284" w:name="_Toc318581173"/>
      <w:bookmarkStart w:id="285" w:name="_Toc297048354"/>
      <w:bookmarkStart w:id="286" w:name="_Toc304295557"/>
      <w:bookmarkStart w:id="287" w:name="_Toc296890996"/>
      <w:r>
        <w:rPr>
          <w:rFonts w:hint="eastAsia" w:ascii="宋体" w:hAnsi="宋体" w:cs="宋体"/>
          <w:bCs/>
          <w:sz w:val="24"/>
          <w:highlight w:val="none"/>
        </w:rPr>
        <w:t>.4.1发包人供应的材料设备的保管费用的承担：</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bookmarkEnd w:id="270"/>
      <w:bookmarkEnd w:id="271"/>
    </w:p>
    <w:p w14:paraId="2CB93AC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8.6 样品</w:t>
      </w:r>
    </w:p>
    <w:p w14:paraId="5179B3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8.6.1</w:t>
      </w:r>
      <w:r>
        <w:rPr>
          <w:rFonts w:hint="eastAsia" w:ascii="宋体" w:hAnsi="宋体" w:cs="宋体"/>
          <w:bCs/>
          <w:sz w:val="24"/>
          <w:highlight w:val="none"/>
        </w:rPr>
        <w:tab/>
      </w:r>
      <w:r>
        <w:rPr>
          <w:rFonts w:hint="eastAsia" w:ascii="宋体" w:hAnsi="宋体" w:cs="宋体"/>
          <w:bCs/>
          <w:sz w:val="24"/>
          <w:highlight w:val="none"/>
        </w:rPr>
        <w:t>样品的报送与封存</w:t>
      </w:r>
    </w:p>
    <w:p w14:paraId="2E0D22E1">
      <w:pPr>
        <w:autoSpaceDE w:val="0"/>
        <w:autoSpaceDN w:val="0"/>
        <w:adjustRightInd w:val="0"/>
        <w:spacing w:line="360" w:lineRule="auto"/>
        <w:ind w:firstLine="456" w:firstLineChars="200"/>
        <w:jc w:val="left"/>
        <w:rPr>
          <w:rFonts w:hint="eastAsia" w:ascii="宋体" w:hAnsi="宋体" w:cs="宋体"/>
          <w:bCs/>
          <w:sz w:val="24"/>
          <w:highlight w:val="none"/>
          <w:u w:val="single"/>
        </w:rPr>
      </w:pPr>
      <w:r>
        <w:rPr>
          <w:rFonts w:hint="eastAsia" w:ascii="宋体" w:hAnsi="宋体" w:cs="宋体"/>
          <w:bCs/>
          <w:spacing w:val="-6"/>
          <w:sz w:val="24"/>
          <w:highlight w:val="none"/>
        </w:rPr>
        <w:t>需要承包人报送样品的材料或工程设备，样品的种类、名称、规格、数量要求</w:t>
      </w:r>
      <w:r>
        <w:rPr>
          <w:rFonts w:hint="eastAsia" w:ascii="宋体" w:hAnsi="宋体" w:cs="宋体"/>
          <w:bCs/>
          <w:sz w:val="24"/>
          <w:highlight w:val="none"/>
        </w:rPr>
        <w:t>：</w:t>
      </w:r>
      <w:r>
        <w:rPr>
          <w:rFonts w:hint="eastAsia" w:ascii="宋体" w:hAnsi="宋体" w:cs="宋体"/>
          <w:bCs/>
          <w:sz w:val="24"/>
          <w:highlight w:val="none"/>
          <w:u w:val="single"/>
        </w:rPr>
        <w:t xml:space="preserve">                                          </w:t>
      </w:r>
    </w:p>
    <w:p w14:paraId="44F80066">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u w:val="single"/>
        </w:rPr>
        <w:t xml:space="preserve">     按管理部门要求和发包人需求确定      </w:t>
      </w:r>
      <w:r>
        <w:rPr>
          <w:rFonts w:hint="eastAsia" w:ascii="宋体" w:hAnsi="宋体" w:cs="宋体"/>
          <w:bCs/>
          <w:sz w:val="24"/>
          <w:highlight w:val="none"/>
        </w:rPr>
        <w:t>。</w:t>
      </w:r>
    </w:p>
    <w:p w14:paraId="7B9D5C5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8.8 施工设备和临时设施</w:t>
      </w:r>
    </w:p>
    <w:p w14:paraId="590CEEA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8.8.1 承包人提供的施工设备和临时设施</w:t>
      </w:r>
    </w:p>
    <w:p w14:paraId="632806C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关于修建临时设施费用承担的约定：</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14:paraId="767DD7F3">
      <w:pPr>
        <w:spacing w:before="120" w:after="120" w:line="360" w:lineRule="auto"/>
        <w:jc w:val="left"/>
        <w:rPr>
          <w:rFonts w:hint="eastAsia" w:ascii="宋体" w:hAnsi="宋体" w:cs="宋体"/>
          <w:bCs/>
          <w:sz w:val="24"/>
          <w:highlight w:val="none"/>
        </w:rPr>
      </w:pPr>
      <w:bookmarkStart w:id="288" w:name="_Toc351203641"/>
      <w:r>
        <w:rPr>
          <w:rFonts w:hint="eastAsia" w:ascii="宋体" w:hAnsi="宋体" w:cs="宋体"/>
          <w:bCs/>
          <w:sz w:val="24"/>
          <w:highlight w:val="none"/>
        </w:rPr>
        <w:t>9</w:t>
      </w:r>
      <w:bookmarkEnd w:id="267"/>
      <w:bookmarkEnd w:id="268"/>
      <w:bookmarkEnd w:id="269"/>
      <w:bookmarkStart w:id="289" w:name="_Toc297216192"/>
      <w:bookmarkStart w:id="290" w:name="_Toc312677495"/>
      <w:bookmarkStart w:id="291" w:name="_Toc297123533"/>
      <w:bookmarkStart w:id="292" w:name="_Toc304295559"/>
      <w:bookmarkStart w:id="293" w:name="_Toc300934982"/>
      <w:bookmarkStart w:id="294" w:name="_Toc312678021"/>
      <w:bookmarkStart w:id="295" w:name="_Toc303539139"/>
      <w:bookmarkStart w:id="296" w:name="_Toc296346674"/>
      <w:bookmarkStart w:id="297" w:name="_Toc296944512"/>
      <w:bookmarkStart w:id="298" w:name="_Toc292559883"/>
      <w:bookmarkStart w:id="299" w:name="_Toc296891001"/>
      <w:bookmarkStart w:id="300" w:name="_Toc292559378"/>
      <w:bookmarkStart w:id="301" w:name="_Toc267251427"/>
      <w:bookmarkStart w:id="302" w:name="_Toc296503173"/>
      <w:bookmarkStart w:id="303" w:name="_Toc296347172"/>
      <w:bookmarkStart w:id="304" w:name="_Toc297048359"/>
      <w:bookmarkStart w:id="305" w:name="_Toc296891213"/>
      <w:bookmarkStart w:id="306" w:name="_Toc297120473"/>
      <w:bookmarkStart w:id="307" w:name="_Toc267251428"/>
      <w:r>
        <w:rPr>
          <w:rFonts w:hint="eastAsia" w:ascii="宋体" w:hAnsi="宋体" w:cs="宋体"/>
          <w:bCs/>
          <w:sz w:val="24"/>
          <w:highlight w:val="none"/>
        </w:rPr>
        <w:t>. 试验与检验</w:t>
      </w:r>
      <w:bookmarkEnd w:id="288"/>
    </w:p>
    <w:bookmarkEnd w:id="289"/>
    <w:bookmarkEnd w:id="290"/>
    <w:bookmarkEnd w:id="291"/>
    <w:bookmarkEnd w:id="292"/>
    <w:bookmarkEnd w:id="293"/>
    <w:bookmarkEnd w:id="294"/>
    <w:bookmarkEnd w:id="295"/>
    <w:p w14:paraId="2810F9C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9</w:t>
      </w:r>
      <w:bookmarkStart w:id="308" w:name="_Toc312677496"/>
      <w:bookmarkStart w:id="309" w:name="_Toc303539140"/>
      <w:bookmarkStart w:id="310" w:name="_Toc304295560"/>
      <w:bookmarkStart w:id="311" w:name="_Toc297123534"/>
      <w:bookmarkStart w:id="312" w:name="_Toc297216193"/>
      <w:bookmarkStart w:id="313" w:name="_Toc300934983"/>
      <w:bookmarkStart w:id="314" w:name="_Toc312678022"/>
      <w:r>
        <w:rPr>
          <w:rFonts w:hint="eastAsia" w:ascii="宋体" w:hAnsi="宋体" w:cs="宋体"/>
          <w:bCs/>
          <w:sz w:val="24"/>
          <w:highlight w:val="none"/>
        </w:rPr>
        <w:t>.1试验设备与试验人员</w:t>
      </w:r>
    </w:p>
    <w:bookmarkEnd w:id="308"/>
    <w:bookmarkEnd w:id="309"/>
    <w:bookmarkEnd w:id="310"/>
    <w:bookmarkEnd w:id="311"/>
    <w:bookmarkEnd w:id="312"/>
    <w:bookmarkEnd w:id="313"/>
    <w:bookmarkEnd w:id="314"/>
    <w:p w14:paraId="7622845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9</w:t>
      </w:r>
      <w:bookmarkStart w:id="315" w:name="_Toc304295561"/>
      <w:bookmarkStart w:id="316" w:name="_Toc300934984"/>
      <w:bookmarkStart w:id="317" w:name="_Toc312678023"/>
      <w:bookmarkStart w:id="318" w:name="_Toc312677497"/>
      <w:bookmarkStart w:id="319" w:name="_Toc297216194"/>
      <w:bookmarkStart w:id="320" w:name="_Toc303539141"/>
      <w:bookmarkStart w:id="321" w:name="_Toc297123535"/>
      <w:bookmarkStart w:id="322" w:name="_Toc318581174"/>
      <w:r>
        <w:rPr>
          <w:rFonts w:hint="eastAsia" w:ascii="宋体" w:hAnsi="宋体" w:cs="宋体"/>
          <w:bCs/>
          <w:sz w:val="24"/>
          <w:highlight w:val="none"/>
        </w:rPr>
        <w:t>.1.2 试验设备</w:t>
      </w:r>
    </w:p>
    <w:p w14:paraId="7B860C5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施工现场需要配置的试验场所：</w:t>
      </w:r>
      <w:bookmarkEnd w:id="315"/>
      <w:bookmarkEnd w:id="316"/>
      <w:bookmarkEnd w:id="317"/>
      <w:bookmarkEnd w:id="318"/>
      <w:bookmarkEnd w:id="319"/>
      <w:bookmarkEnd w:id="320"/>
      <w:bookmarkEnd w:id="321"/>
      <w:bookmarkStart w:id="323" w:name="_Toc297216195"/>
      <w:bookmarkStart w:id="324" w:name="_Toc312677498"/>
      <w:bookmarkStart w:id="325" w:name="_Toc297123536"/>
      <w:bookmarkStart w:id="326" w:name="_Toc304295562"/>
      <w:bookmarkStart w:id="327" w:name="_Toc300934985"/>
      <w:bookmarkStart w:id="328" w:name="_Toc303539142"/>
      <w:bookmarkStart w:id="329" w:name="_Toc312678024"/>
      <w:r>
        <w:rPr>
          <w:rFonts w:hint="eastAsia" w:ascii="宋体" w:hAnsi="宋体" w:cs="宋体"/>
          <w:bCs/>
          <w:sz w:val="24"/>
          <w:highlight w:val="none"/>
          <w:u w:val="single"/>
        </w:rPr>
        <w:t xml:space="preserve">         按有关规定执行           </w:t>
      </w:r>
      <w:r>
        <w:rPr>
          <w:rFonts w:hint="eastAsia" w:ascii="宋体" w:hAnsi="宋体" w:cs="宋体"/>
          <w:bCs/>
          <w:sz w:val="24"/>
          <w:highlight w:val="none"/>
        </w:rPr>
        <w:t xml:space="preserve">。 </w:t>
      </w:r>
    </w:p>
    <w:p w14:paraId="332BCBE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施工现场需要配备的试验设备：</w:t>
      </w:r>
      <w:r>
        <w:rPr>
          <w:rFonts w:hint="eastAsia" w:ascii="宋体" w:hAnsi="宋体" w:cs="宋体"/>
          <w:bCs/>
          <w:sz w:val="24"/>
          <w:highlight w:val="none"/>
          <w:u w:val="single"/>
        </w:rPr>
        <w:t xml:space="preserve">         按有关规定执行           </w:t>
      </w:r>
      <w:r>
        <w:rPr>
          <w:rFonts w:hint="eastAsia" w:ascii="宋体" w:hAnsi="宋体" w:cs="宋体"/>
          <w:bCs/>
          <w:sz w:val="24"/>
          <w:highlight w:val="none"/>
        </w:rPr>
        <w:t>。</w:t>
      </w:r>
    </w:p>
    <w:p w14:paraId="155197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施工现场需要具备的其他试验条件：</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950293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9.4 现场工艺试验 </w:t>
      </w:r>
    </w:p>
    <w:p w14:paraId="3DF9A3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现场工艺试验的有关约定：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22"/>
    <w:bookmarkEnd w:id="323"/>
    <w:bookmarkEnd w:id="324"/>
    <w:bookmarkEnd w:id="325"/>
    <w:bookmarkEnd w:id="326"/>
    <w:bookmarkEnd w:id="327"/>
    <w:bookmarkEnd w:id="328"/>
    <w:bookmarkEnd w:id="329"/>
    <w:p w14:paraId="221F72CD">
      <w:pPr>
        <w:spacing w:before="120" w:after="120" w:line="360" w:lineRule="auto"/>
        <w:jc w:val="left"/>
        <w:rPr>
          <w:rFonts w:hint="eastAsia" w:ascii="宋体" w:hAnsi="宋体" w:cs="宋体"/>
          <w:bCs/>
          <w:sz w:val="24"/>
          <w:highlight w:val="none"/>
        </w:rPr>
      </w:pPr>
      <w:bookmarkStart w:id="330" w:name="_Toc351203642"/>
      <w:r>
        <w:rPr>
          <w:rFonts w:hint="eastAsia" w:ascii="宋体" w:hAnsi="宋体" w:cs="宋体"/>
          <w:bCs/>
          <w:sz w:val="24"/>
          <w:highlight w:val="none"/>
        </w:rPr>
        <w:t>1</w:t>
      </w:r>
      <w:bookmarkEnd w:id="296"/>
      <w:bookmarkEnd w:id="297"/>
      <w:bookmarkEnd w:id="298"/>
      <w:bookmarkEnd w:id="299"/>
      <w:bookmarkEnd w:id="300"/>
      <w:bookmarkEnd w:id="301"/>
      <w:bookmarkEnd w:id="302"/>
      <w:bookmarkEnd w:id="303"/>
      <w:bookmarkEnd w:id="304"/>
      <w:bookmarkEnd w:id="305"/>
      <w:bookmarkEnd w:id="306"/>
      <w:bookmarkEnd w:id="307"/>
      <w:bookmarkStart w:id="331" w:name="_Toc297123540"/>
      <w:bookmarkStart w:id="332" w:name="_Toc300934989"/>
      <w:bookmarkStart w:id="333" w:name="_Toc296346694"/>
      <w:bookmarkStart w:id="334" w:name="_Toc297216199"/>
      <w:bookmarkStart w:id="335" w:name="_Toc292559398"/>
      <w:bookmarkStart w:id="336" w:name="_Toc296891233"/>
      <w:bookmarkStart w:id="337" w:name="_Toc296347192"/>
      <w:bookmarkStart w:id="338" w:name="_Toc296503193"/>
      <w:bookmarkStart w:id="339" w:name="_Toc296891021"/>
      <w:bookmarkStart w:id="340" w:name="_Toc297120493"/>
      <w:bookmarkStart w:id="341" w:name="_Toc296944532"/>
      <w:bookmarkStart w:id="342" w:name="_Toc304295566"/>
      <w:bookmarkStart w:id="343" w:name="_Toc297048379"/>
      <w:bookmarkStart w:id="344" w:name="_Toc292559903"/>
      <w:bookmarkStart w:id="345" w:name="_Toc303539146"/>
      <w:bookmarkStart w:id="346" w:name="_Toc312678025"/>
      <w:bookmarkStart w:id="347" w:name="_Toc312677499"/>
      <w:bookmarkStart w:id="348" w:name="_Toc267251439"/>
      <w:bookmarkStart w:id="349" w:name="_Toc267251435"/>
      <w:bookmarkStart w:id="350" w:name="_Toc267251437"/>
      <w:bookmarkStart w:id="351" w:name="_Toc267251433"/>
      <w:bookmarkStart w:id="352" w:name="_Toc267251441"/>
      <w:bookmarkStart w:id="353" w:name="_Toc267251440"/>
      <w:bookmarkStart w:id="354" w:name="_Toc267251442"/>
      <w:r>
        <w:rPr>
          <w:rFonts w:hint="eastAsia" w:ascii="宋体" w:hAnsi="宋体" w:cs="宋体"/>
          <w:bCs/>
          <w:sz w:val="24"/>
          <w:highlight w:val="none"/>
        </w:rPr>
        <w:t>0. 变更</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bookmarkEnd w:id="346"/>
    <w:bookmarkEnd w:id="347"/>
    <w:p w14:paraId="3350D0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355" w:name="_Toc312677500"/>
      <w:bookmarkStart w:id="356" w:name="_Toc312678026"/>
      <w:bookmarkStart w:id="357" w:name="_Toc300934990"/>
      <w:bookmarkStart w:id="358" w:name="_Toc303539147"/>
      <w:bookmarkStart w:id="359" w:name="_Toc296503194"/>
      <w:bookmarkStart w:id="360" w:name="_Toc296944533"/>
      <w:bookmarkStart w:id="361" w:name="_Toc297123541"/>
      <w:bookmarkStart w:id="362" w:name="_Toc296347193"/>
      <w:bookmarkStart w:id="363" w:name="_Toc296346695"/>
      <w:bookmarkStart w:id="364" w:name="_Toc304295567"/>
      <w:bookmarkStart w:id="365" w:name="_Toc297216200"/>
      <w:bookmarkStart w:id="366" w:name="_Toc292559904"/>
      <w:bookmarkStart w:id="367" w:name="_Toc296891234"/>
      <w:bookmarkStart w:id="368" w:name="_Toc296891022"/>
      <w:bookmarkStart w:id="369" w:name="_Toc297120494"/>
      <w:bookmarkStart w:id="370" w:name="_Toc297048380"/>
      <w:bookmarkStart w:id="371" w:name="_Toc292559399"/>
      <w:r>
        <w:rPr>
          <w:rFonts w:hint="eastAsia" w:ascii="宋体" w:hAnsi="宋体" w:cs="宋体"/>
          <w:bCs/>
          <w:sz w:val="24"/>
          <w:highlight w:val="none"/>
        </w:rPr>
        <w:t>0.1变更的范围</w:t>
      </w:r>
    </w:p>
    <w:p w14:paraId="589636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关于变更的范围的约定：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89CB8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10.4 变更估价</w:t>
      </w:r>
    </w:p>
    <w:p w14:paraId="0F5C1E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10.4.1 变更估价原则</w:t>
      </w:r>
    </w:p>
    <w:p w14:paraId="0817649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关于变更估价的约定: </w:t>
      </w:r>
      <w:r>
        <w:rPr>
          <w:rFonts w:hint="eastAsia" w:ascii="宋体" w:hAnsi="宋体" w:cs="宋体"/>
          <w:bCs/>
          <w:sz w:val="24"/>
          <w:highlight w:val="none"/>
          <w:u w:val="single"/>
        </w:rPr>
        <w:t xml:space="preserve"> ①合同中有相同或类似工程项目单价的，可以参照合同中相同或类似项目的综合单价计算确定。</w:t>
      </w:r>
    </w:p>
    <w:p w14:paraId="3EDD06AD">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②合同中没有类似工程项目综合单价的，由承包人根据合同中约定的组价原则或参考“计价依据”提出适当的单价，经发包人或其委托的工程造价咨询单位审定后，作为结算的依据。</w:t>
      </w:r>
    </w:p>
    <w:p w14:paraId="7CFBAAF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③由于清单项目中项目特征或工程内容发生部分变更的，应以原综合单价为基础，仅就变更部分相应定额子目调整综合单价。</w:t>
      </w:r>
    </w:p>
    <w:p w14:paraId="1EB06F9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Start w:id="372" w:name="_Toc297120497"/>
      <w:bookmarkStart w:id="373" w:name="_Toc296891237"/>
      <w:bookmarkStart w:id="374" w:name="_Toc296891025"/>
      <w:bookmarkStart w:id="375" w:name="_Toc292559402"/>
      <w:bookmarkStart w:id="376" w:name="_Toc297216203"/>
      <w:bookmarkStart w:id="377" w:name="_Toc296944536"/>
      <w:bookmarkStart w:id="378" w:name="_Toc303539150"/>
      <w:bookmarkStart w:id="379" w:name="_Toc292559907"/>
      <w:bookmarkStart w:id="380" w:name="_Toc296346698"/>
      <w:bookmarkStart w:id="381" w:name="_Toc297123544"/>
      <w:bookmarkStart w:id="382" w:name="_Toc296347196"/>
      <w:bookmarkStart w:id="383" w:name="_Toc297048383"/>
      <w:bookmarkStart w:id="384" w:name="_Toc296503197"/>
      <w:bookmarkStart w:id="385" w:name="_Toc300934993"/>
      <w:bookmarkStart w:id="386" w:name="_Toc312678029"/>
      <w:bookmarkStart w:id="387" w:name="_Toc304295570"/>
      <w:bookmarkStart w:id="388" w:name="_Toc312677503"/>
      <w:r>
        <w:rPr>
          <w:rFonts w:hint="eastAsia" w:ascii="宋体" w:hAnsi="宋体" w:cs="宋体"/>
          <w:bCs/>
          <w:sz w:val="24"/>
          <w:highlight w:val="none"/>
        </w:rPr>
        <w:t>0.5承</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Start w:id="389" w:name="_Toc292559408"/>
      <w:bookmarkStart w:id="390" w:name="_Toc297123545"/>
      <w:bookmarkStart w:id="391" w:name="_Toc296891031"/>
      <w:bookmarkStart w:id="392" w:name="_Toc297120503"/>
      <w:bookmarkStart w:id="393" w:name="_Toc296891243"/>
      <w:bookmarkStart w:id="394" w:name="_Toc296944542"/>
      <w:bookmarkStart w:id="395" w:name="_Toc296503203"/>
      <w:bookmarkStart w:id="396" w:name="_Toc297048389"/>
      <w:bookmarkStart w:id="397" w:name="_Toc296346704"/>
      <w:bookmarkStart w:id="398" w:name="_Toc296347202"/>
      <w:bookmarkStart w:id="399" w:name="_Toc303539151"/>
      <w:bookmarkStart w:id="400" w:name="_Toc292559913"/>
      <w:bookmarkStart w:id="401" w:name="_Toc300934994"/>
      <w:bookmarkStart w:id="402" w:name="_Toc297216204"/>
      <w:r>
        <w:rPr>
          <w:rFonts w:hint="eastAsia" w:ascii="宋体" w:hAnsi="宋体" w:cs="宋体"/>
          <w:bCs/>
          <w:sz w:val="24"/>
          <w:highlight w:val="none"/>
        </w:rPr>
        <w:t>包人的合理化建议</w:t>
      </w:r>
    </w:p>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14:paraId="17B54D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监理人审查承包人合理化建议的期限：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DDB6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AE749A7">
      <w:pPr>
        <w:spacing w:line="360" w:lineRule="auto"/>
        <w:jc w:val="left"/>
        <w:rPr>
          <w:rFonts w:hint="eastAsia" w:ascii="宋体" w:hAnsi="宋体" w:cs="宋体"/>
          <w:bCs/>
          <w:sz w:val="24"/>
          <w:highlight w:val="none"/>
          <w:u w:val="single"/>
        </w:rPr>
      </w:pPr>
      <w:r>
        <w:rPr>
          <w:rFonts w:hint="eastAsia" w:ascii="宋体" w:hAnsi="宋体" w:cs="宋体"/>
          <w:bCs/>
          <w:sz w:val="24"/>
          <w:highlight w:val="none"/>
        </w:rPr>
        <w:t>承</w:t>
      </w:r>
      <w:bookmarkStart w:id="403" w:name="_Toc296891244"/>
      <w:bookmarkStart w:id="404" w:name="_Toc312677504"/>
      <w:bookmarkStart w:id="405" w:name="_Toc292559914"/>
      <w:bookmarkStart w:id="406" w:name="_Toc312678030"/>
      <w:bookmarkStart w:id="407" w:name="_Toc297048390"/>
      <w:bookmarkStart w:id="408" w:name="_Toc297123546"/>
      <w:bookmarkStart w:id="409" w:name="_Toc292559409"/>
      <w:bookmarkStart w:id="410" w:name="_Toc297120504"/>
      <w:bookmarkStart w:id="411" w:name="_Toc304295571"/>
      <w:bookmarkStart w:id="412" w:name="_Toc296503204"/>
      <w:bookmarkStart w:id="413" w:name="_Toc296891032"/>
      <w:bookmarkStart w:id="414" w:name="_Toc296347203"/>
      <w:bookmarkStart w:id="415" w:name="_Toc296346705"/>
      <w:bookmarkStart w:id="416" w:name="_Toc296944543"/>
      <w:bookmarkStart w:id="417" w:name="_Toc300934995"/>
      <w:bookmarkStart w:id="418" w:name="_Toc297216205"/>
      <w:bookmarkStart w:id="419" w:name="_Toc303539152"/>
      <w:bookmarkStart w:id="420" w:name="_Toc318581175"/>
      <w:r>
        <w:rPr>
          <w:rFonts w:hint="eastAsia" w:ascii="宋体" w:hAnsi="宋体" w:cs="宋体"/>
          <w:bCs/>
          <w:sz w:val="24"/>
          <w:highlight w:val="none"/>
        </w:rPr>
        <w:t>包人提出的合理化建议降低了合同价格或者提高了工程经济效益的奖励的方法和金额为：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14:paraId="700BF97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421" w:name="_Toc312678033"/>
      <w:bookmarkStart w:id="422" w:name="_Toc297048385"/>
      <w:bookmarkStart w:id="423" w:name="_Toc297123548"/>
      <w:bookmarkStart w:id="424" w:name="_Toc296346700"/>
      <w:bookmarkStart w:id="425" w:name="_Toc304295574"/>
      <w:bookmarkStart w:id="426" w:name="_Toc292559404"/>
      <w:bookmarkStart w:id="427" w:name="_Toc303539154"/>
      <w:bookmarkStart w:id="428" w:name="_Toc296891239"/>
      <w:bookmarkStart w:id="429" w:name="_Toc296503199"/>
      <w:bookmarkStart w:id="430" w:name="_Toc297120499"/>
      <w:bookmarkStart w:id="431" w:name="_Toc312677507"/>
      <w:bookmarkStart w:id="432" w:name="_Toc296944538"/>
      <w:bookmarkStart w:id="433" w:name="_Toc296891027"/>
      <w:bookmarkStart w:id="434" w:name="_Toc296347198"/>
      <w:bookmarkStart w:id="435" w:name="_Toc297216207"/>
      <w:bookmarkStart w:id="436" w:name="_Toc292559909"/>
      <w:bookmarkStart w:id="437" w:name="_Toc300934997"/>
      <w:r>
        <w:rPr>
          <w:rFonts w:hint="eastAsia" w:ascii="宋体" w:hAnsi="宋体" w:cs="宋体"/>
          <w:bCs/>
          <w:sz w:val="24"/>
          <w:highlight w:val="none"/>
        </w:rPr>
        <w:t>0.7 暂估价</w:t>
      </w:r>
    </w:p>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14:paraId="6880CD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暂</w:t>
      </w:r>
      <w:bookmarkStart w:id="438" w:name="_Toc312677508"/>
      <w:bookmarkStart w:id="439" w:name="_Toc318581176"/>
      <w:bookmarkStart w:id="440" w:name="_Toc312678034"/>
      <w:r>
        <w:rPr>
          <w:rFonts w:hint="eastAsia" w:ascii="宋体" w:hAnsi="宋体" w:cs="宋体"/>
          <w:bCs/>
          <w:sz w:val="24"/>
          <w:highlight w:val="none"/>
        </w:rPr>
        <w:t>估价材料和工程设备的明细详见附件6：《暂估价一览表》。</w:t>
      </w:r>
    </w:p>
    <w:bookmarkEnd w:id="438"/>
    <w:bookmarkEnd w:id="439"/>
    <w:bookmarkEnd w:id="440"/>
    <w:p w14:paraId="6735E0F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441" w:name="_Toc318581177"/>
      <w:bookmarkStart w:id="442" w:name="_Toc312678035"/>
      <w:bookmarkStart w:id="443" w:name="_Toc312677509"/>
      <w:r>
        <w:rPr>
          <w:rFonts w:hint="eastAsia" w:ascii="宋体" w:hAnsi="宋体" w:cs="宋体"/>
          <w:bCs/>
          <w:sz w:val="24"/>
          <w:highlight w:val="none"/>
        </w:rPr>
        <w:t>0.7.1 依法必须招标的暂估价项目</w:t>
      </w:r>
    </w:p>
    <w:bookmarkEnd w:id="441"/>
    <w:bookmarkEnd w:id="442"/>
    <w:bookmarkEnd w:id="443"/>
    <w:p w14:paraId="388C2DA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对于依法必须招标的暂估价项目的确认和批准采取第</w:t>
      </w:r>
      <w:r>
        <w:rPr>
          <w:rFonts w:hint="eastAsia" w:ascii="宋体" w:hAnsi="宋体" w:cs="宋体"/>
          <w:bCs/>
          <w:sz w:val="24"/>
          <w:highlight w:val="none"/>
          <w:u w:val="single"/>
        </w:rPr>
        <w:t xml:space="preserve"> 2 </w:t>
      </w:r>
      <w:r>
        <w:rPr>
          <w:rFonts w:hint="eastAsia" w:ascii="宋体" w:hAnsi="宋体" w:cs="宋体"/>
          <w:bCs/>
          <w:sz w:val="24"/>
          <w:highlight w:val="none"/>
        </w:rPr>
        <w:t>种方式确定。</w:t>
      </w:r>
    </w:p>
    <w:p w14:paraId="28332EE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第1种方式：对于依法必须招标的暂估价项目，由承包人招标，对该暂估价项目的确认和批准按照以下约定执行：</w:t>
      </w:r>
    </w:p>
    <w:p w14:paraId="26FB90B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177C08E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应当根据施工进度计划，提前14天将磋商文件通过监理人报送发包人审批，发包人应当在收到承包人报送的相关文件后7天内完成审批或提出修改意见；发包人有权确定招标控制价并按照法律规定参加评标；</w:t>
      </w:r>
    </w:p>
    <w:p w14:paraId="3626614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（3）承包人与供应商、分包人在签订暂估价合同前，应当提前7天将确定的中标候选供应商或中标候选分包人的资料报送发包人，发包人应在收到资料后3天内与承包人</w:t>
      </w:r>
      <w:r>
        <w:rPr>
          <w:rFonts w:hint="eastAsia" w:ascii="宋体" w:hAnsi="宋体" w:cs="宋体"/>
          <w:bCs/>
          <w:spacing w:val="-10"/>
          <w:sz w:val="24"/>
          <w:highlight w:val="none"/>
        </w:rPr>
        <w:t>共同确定中标人；承包人应当在签订合同后7天内，将暂估价合同副本报送发包人留存。</w:t>
      </w:r>
    </w:p>
    <w:p w14:paraId="4EC5B337">
      <w:pPr>
        <w:spacing w:line="360" w:lineRule="auto"/>
        <w:ind w:firstLine="480" w:firstLineChars="200"/>
        <w:rPr>
          <w:rFonts w:hint="eastAsia" w:ascii="宋体" w:hAnsi="宋体" w:cs="宋体"/>
          <w:bCs/>
          <w:color w:val="FF0000"/>
          <w:sz w:val="24"/>
          <w:highlight w:val="none"/>
        </w:rPr>
      </w:pPr>
      <w:r>
        <w:rPr>
          <w:rFonts w:hint="eastAsia" w:ascii="宋体" w:hAnsi="宋体" w:cs="宋体"/>
          <w:bCs/>
          <w:sz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3F8B206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10.7.2 不属于依法必须招标的暂估价项目</w:t>
      </w:r>
    </w:p>
    <w:p w14:paraId="60BF355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对于不属于依法必须招标的暂估价项目的确认和批准采取第</w:t>
      </w:r>
      <w:r>
        <w:rPr>
          <w:rFonts w:hint="eastAsia" w:ascii="宋体" w:hAnsi="宋体" w:cs="宋体"/>
          <w:bCs/>
          <w:sz w:val="24"/>
          <w:highlight w:val="none"/>
          <w:u w:val="single"/>
        </w:rPr>
        <w:t xml:space="preserve"> 1 </w:t>
      </w:r>
      <w:r>
        <w:rPr>
          <w:rFonts w:hint="eastAsia" w:ascii="宋体" w:hAnsi="宋体" w:cs="宋体"/>
          <w:bCs/>
          <w:sz w:val="24"/>
          <w:highlight w:val="none"/>
        </w:rPr>
        <w:t xml:space="preserve"> 种方式确定。</w:t>
      </w:r>
    </w:p>
    <w:p w14:paraId="567CE08D">
      <w:pPr>
        <w:spacing w:line="360" w:lineRule="auto"/>
        <w:ind w:firstLine="464" w:firstLineChars="200"/>
        <w:rPr>
          <w:rFonts w:hint="eastAsia" w:ascii="宋体" w:hAnsi="宋体" w:cs="宋体"/>
          <w:bCs/>
          <w:spacing w:val="-4"/>
          <w:sz w:val="24"/>
          <w:highlight w:val="none"/>
        </w:rPr>
      </w:pPr>
      <w:r>
        <w:rPr>
          <w:rFonts w:hint="eastAsia" w:ascii="宋体" w:hAnsi="宋体" w:cs="宋体"/>
          <w:bCs/>
          <w:spacing w:val="-4"/>
          <w:sz w:val="24"/>
          <w:highlight w:val="none"/>
        </w:rPr>
        <w:t>第1种方式：对于不属于依法必须招标的暂估价项目，按本项约定确认和批准：</w:t>
      </w:r>
    </w:p>
    <w:p w14:paraId="28AC99B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040FD0A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（2）发包人认为承包人确定的供应商、分包人无法满足工程质量或合同要求的，发包人可以要求承包人重新确定暂估价项目的供应商、分包人;</w:t>
      </w:r>
    </w:p>
    <w:p w14:paraId="09A6DB2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pacing w:val="-8"/>
          <w:sz w:val="24"/>
          <w:highlight w:val="none"/>
        </w:rPr>
        <w:t>承包人应当在签订暂估价合同后7天内，将暂估价合同副本报送发包人留存。</w:t>
      </w:r>
    </w:p>
    <w:p w14:paraId="612F5B6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第2种方式：承包人按照第10.7.1项〔依法必须招标的暂估价项目〕约定的第1种方式确定暂估价项目。</w:t>
      </w:r>
    </w:p>
    <w:p w14:paraId="427CFC1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第3种方式：承包人直接实施的暂估价项目</w:t>
      </w:r>
    </w:p>
    <w:p w14:paraId="3F0B4CE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承包人直接实施的暂估价项目的约定：</w:t>
      </w:r>
      <w:r>
        <w:rPr>
          <w:rFonts w:hint="eastAsia" w:ascii="宋体" w:hAnsi="宋体" w:cs="宋体"/>
          <w:bCs/>
          <w:sz w:val="24"/>
          <w:highlight w:val="none"/>
          <w:u w:val="single"/>
        </w:rPr>
        <w:t xml:space="preserve">  暂估价（或者成活价）材料采购，项目实施期间承包人必须在采购前提出使用计划提请发包人进行认质认价，由承包人提出品牌和价格，报采购人审核同意后执行。 </w:t>
      </w:r>
    </w:p>
    <w:p w14:paraId="664AFC6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10.8 暂列金额</w:t>
      </w:r>
    </w:p>
    <w:p w14:paraId="225495F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合同当事人关于暂列金额使用的约定：</w:t>
      </w:r>
      <w:r>
        <w:rPr>
          <w:rFonts w:hint="eastAsia" w:ascii="宋体" w:hAnsi="宋体" w:cs="宋体"/>
          <w:bCs/>
          <w:sz w:val="24"/>
          <w:highlight w:val="none"/>
          <w:u w:val="single"/>
        </w:rPr>
        <w:t xml:space="preserve">         </w:t>
      </w:r>
      <w:r>
        <w:rPr>
          <w:rFonts w:ascii="宋体" w:hAnsi="宋体" w:cs="宋体"/>
          <w:bCs/>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202468D">
      <w:pPr>
        <w:spacing w:before="120" w:after="120" w:line="360" w:lineRule="auto"/>
        <w:jc w:val="left"/>
        <w:rPr>
          <w:rFonts w:hint="eastAsia" w:ascii="宋体" w:hAnsi="宋体" w:cs="宋体"/>
          <w:bCs/>
          <w:sz w:val="24"/>
          <w:highlight w:val="none"/>
        </w:rPr>
      </w:pPr>
      <w:bookmarkStart w:id="444" w:name="_Toc351203643"/>
      <w:r>
        <w:rPr>
          <w:rFonts w:hint="eastAsia" w:ascii="宋体" w:hAnsi="宋体" w:cs="宋体"/>
          <w:bCs/>
          <w:sz w:val="24"/>
          <w:highlight w:val="none"/>
        </w:rPr>
        <w:t>11. 价格调整</w:t>
      </w:r>
      <w:bookmarkEnd w:id="444"/>
    </w:p>
    <w:p w14:paraId="5BB2E714">
      <w:pPr>
        <w:spacing w:after="120" w:line="360" w:lineRule="auto"/>
        <w:ind w:firstLine="480" w:firstLineChars="200"/>
        <w:rPr>
          <w:rFonts w:hint="eastAsia" w:ascii="宋体" w:hAnsi="宋体" w:cs="宋体"/>
          <w:bCs/>
          <w:sz w:val="24"/>
          <w:highlight w:val="none"/>
        </w:rPr>
      </w:pPr>
      <w:bookmarkStart w:id="445" w:name="_Toc297216209"/>
      <w:bookmarkStart w:id="446" w:name="_Toc303539157"/>
      <w:bookmarkStart w:id="447" w:name="_Toc292559406"/>
      <w:bookmarkStart w:id="448" w:name="_Toc297048387"/>
      <w:bookmarkStart w:id="449" w:name="_Toc292559911"/>
      <w:bookmarkStart w:id="450" w:name="_Toc300935000"/>
      <w:bookmarkStart w:id="451" w:name="_Toc296891029"/>
      <w:bookmarkStart w:id="452" w:name="_Toc297120501"/>
      <w:bookmarkStart w:id="453" w:name="_Toc296346702"/>
      <w:bookmarkStart w:id="454" w:name="_Toc312678039"/>
      <w:bookmarkStart w:id="455" w:name="_Toc296347200"/>
      <w:bookmarkStart w:id="456" w:name="_Toc296503201"/>
      <w:bookmarkStart w:id="457" w:name="_Toc296944540"/>
      <w:bookmarkStart w:id="458" w:name="_Toc297123550"/>
      <w:bookmarkStart w:id="459" w:name="_Toc304295577"/>
      <w:bookmarkStart w:id="460" w:name="_Toc296891241"/>
      <w:r>
        <w:rPr>
          <w:rFonts w:hint="eastAsia" w:ascii="宋体" w:hAnsi="宋体" w:cs="宋体"/>
          <w:bCs/>
          <w:sz w:val="24"/>
          <w:highlight w:val="none"/>
        </w:rPr>
        <w:t>11.1 市场价格波动引起的调整</w:t>
      </w:r>
    </w:p>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14:paraId="63BD6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市场价格波动是否调整合同价格的约定：</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rPr>
        <w:t>。</w:t>
      </w:r>
    </w:p>
    <w:p w14:paraId="41FBFC2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因市场价格波动调整合同价格，采用以下第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种方式对合同价格进行调整：</w:t>
      </w:r>
    </w:p>
    <w:p w14:paraId="77E4C1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第1种方式：采用价格指数进行价格调整。</w:t>
      </w:r>
    </w:p>
    <w:p w14:paraId="641E98C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关于各可调因子、定值和变值权重，以及基本价格指数及其来源的约定：</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4279D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第2种方式：采用造价信息进行价格调整。（监理、发包人、承包人三方票据采购价）。</w:t>
      </w:r>
    </w:p>
    <w:p w14:paraId="769603B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（2）关于基准价格的约定：</w:t>
      </w:r>
      <w:r>
        <w:rPr>
          <w:rFonts w:hint="eastAsia" w:ascii="宋体" w:hAnsi="宋体" w:cs="宋体"/>
          <w:bCs/>
          <w:sz w:val="24"/>
          <w:highlight w:val="none"/>
          <w:u w:val="single"/>
        </w:rPr>
        <w:t xml:space="preserve"> 施工过程中，监理、发包人、承包人三方采购价（以票据为准） </w:t>
      </w:r>
      <w:r>
        <w:rPr>
          <w:rFonts w:hint="eastAsia" w:ascii="宋体" w:hAnsi="宋体" w:cs="宋体"/>
          <w:bCs/>
          <w:sz w:val="24"/>
          <w:highlight w:val="none"/>
        </w:rPr>
        <w:t>。</w:t>
      </w:r>
    </w:p>
    <w:p w14:paraId="1E4CF7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%时，或材料单价跌幅以已标价工程量清单或预算书中载明材料单价为基础超过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39766B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%时，材料单价涨幅以已标价工程量清单或预算书中载明材料单价为基础超过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17A69C43">
      <w:pPr>
        <w:spacing w:line="360" w:lineRule="auto"/>
        <w:ind w:firstLine="645"/>
        <w:jc w:val="left"/>
        <w:rPr>
          <w:rFonts w:hint="eastAsia" w:ascii="宋体" w:hAnsi="宋体" w:cs="宋体"/>
          <w:bCs/>
          <w:sz w:val="24"/>
          <w:highlight w:val="none"/>
        </w:rPr>
      </w:pPr>
      <w:r>
        <w:rPr>
          <w:rFonts w:hint="eastAsia" w:ascii="宋体" w:hAnsi="宋体" w:cs="宋体"/>
          <w:bCs/>
          <w:sz w:val="24"/>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6BC15F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第3种方式：其他价格调整方式：</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48"/>
    <w:bookmarkEnd w:id="349"/>
    <w:bookmarkEnd w:id="350"/>
    <w:bookmarkEnd w:id="351"/>
    <w:bookmarkEnd w:id="352"/>
    <w:bookmarkEnd w:id="353"/>
    <w:p w14:paraId="06BC8C9E">
      <w:pPr>
        <w:spacing w:before="120" w:after="120" w:line="360" w:lineRule="auto"/>
        <w:jc w:val="left"/>
        <w:rPr>
          <w:rFonts w:hint="eastAsia" w:ascii="宋体" w:hAnsi="宋体" w:cs="宋体"/>
          <w:bCs/>
          <w:sz w:val="24"/>
          <w:highlight w:val="none"/>
        </w:rPr>
      </w:pPr>
      <w:bookmarkStart w:id="461" w:name="_Toc296503205"/>
      <w:bookmarkStart w:id="462" w:name="_Toc297120505"/>
      <w:bookmarkStart w:id="463" w:name="_Toc292559915"/>
      <w:bookmarkStart w:id="464" w:name="_Toc297048391"/>
      <w:bookmarkStart w:id="465" w:name="_Toc296944544"/>
      <w:bookmarkStart w:id="466" w:name="_Toc296891033"/>
      <w:bookmarkStart w:id="467" w:name="_Toc296346706"/>
      <w:bookmarkStart w:id="468" w:name="_Toc296347204"/>
      <w:bookmarkStart w:id="469" w:name="_Toc296891245"/>
      <w:bookmarkStart w:id="470" w:name="_Toc292559410"/>
      <w:bookmarkStart w:id="471" w:name="_Toc351203644"/>
      <w:bookmarkStart w:id="472" w:name="_Toc297123552"/>
      <w:bookmarkStart w:id="473" w:name="_Toc303539159"/>
      <w:bookmarkStart w:id="474" w:name="_Toc304295579"/>
      <w:bookmarkStart w:id="475" w:name="_Toc297216211"/>
      <w:bookmarkStart w:id="476" w:name="_Toc300935002"/>
      <w:bookmarkStart w:id="477" w:name="_Toc312678040"/>
      <w:r>
        <w:rPr>
          <w:rFonts w:hint="eastAsia" w:ascii="宋体" w:hAnsi="宋体" w:cs="宋体"/>
          <w:bCs/>
          <w:sz w:val="24"/>
          <w:highlight w:val="none"/>
        </w:rPr>
        <w:t xml:space="preserve">12. </w:t>
      </w:r>
      <w:bookmarkEnd w:id="461"/>
      <w:bookmarkEnd w:id="462"/>
      <w:bookmarkEnd w:id="463"/>
      <w:bookmarkEnd w:id="464"/>
      <w:bookmarkEnd w:id="465"/>
      <w:bookmarkEnd w:id="466"/>
      <w:bookmarkEnd w:id="467"/>
      <w:bookmarkEnd w:id="468"/>
      <w:bookmarkEnd w:id="469"/>
      <w:bookmarkEnd w:id="470"/>
      <w:r>
        <w:rPr>
          <w:rFonts w:hint="eastAsia" w:ascii="宋体" w:hAnsi="宋体" w:cs="宋体"/>
          <w:bCs/>
          <w:sz w:val="24"/>
          <w:highlight w:val="none"/>
        </w:rPr>
        <w:t>合同价格、计量与支付</w:t>
      </w:r>
      <w:bookmarkEnd w:id="471"/>
    </w:p>
    <w:bookmarkEnd w:id="472"/>
    <w:bookmarkEnd w:id="473"/>
    <w:bookmarkEnd w:id="474"/>
    <w:bookmarkEnd w:id="475"/>
    <w:bookmarkEnd w:id="476"/>
    <w:bookmarkEnd w:id="477"/>
    <w:p w14:paraId="2F4F67B1">
      <w:pPr>
        <w:spacing w:after="120" w:line="360" w:lineRule="auto"/>
        <w:ind w:firstLine="480" w:firstLineChars="200"/>
        <w:rPr>
          <w:rFonts w:hint="eastAsia" w:ascii="宋体" w:hAnsi="宋体" w:cs="宋体"/>
          <w:bCs/>
          <w:sz w:val="24"/>
          <w:highlight w:val="none"/>
        </w:rPr>
      </w:pPr>
      <w:bookmarkStart w:id="478" w:name="_Toc292559916"/>
      <w:bookmarkStart w:id="479" w:name="_Toc267251461"/>
      <w:bookmarkStart w:id="480" w:name="_Toc292559411"/>
      <w:bookmarkStart w:id="481" w:name="_Toc297120506"/>
      <w:bookmarkStart w:id="482" w:name="_Toc296347205"/>
      <w:bookmarkStart w:id="483" w:name="_Toc296944545"/>
      <w:bookmarkStart w:id="484" w:name="_Toc296891246"/>
      <w:bookmarkStart w:id="485" w:name="_Toc296346707"/>
      <w:bookmarkStart w:id="486" w:name="_Toc296891034"/>
      <w:bookmarkStart w:id="487" w:name="_Toc297048392"/>
      <w:bookmarkStart w:id="488" w:name="_Toc296503206"/>
      <w:bookmarkStart w:id="489" w:name="_Toc312678041"/>
      <w:bookmarkStart w:id="490" w:name="_Toc297123553"/>
      <w:bookmarkStart w:id="491" w:name="_Toc303539160"/>
      <w:bookmarkStart w:id="492" w:name="_Toc300935003"/>
      <w:bookmarkStart w:id="493" w:name="_Toc297216212"/>
      <w:bookmarkStart w:id="494" w:name="_Toc304295580"/>
      <w:r>
        <w:rPr>
          <w:rFonts w:hint="eastAsia" w:ascii="宋体" w:hAnsi="宋体" w:cs="宋体"/>
          <w:bCs/>
          <w:sz w:val="24"/>
          <w:highlight w:val="none"/>
        </w:rPr>
        <w:t>12.1 合</w:t>
      </w:r>
      <w:bookmarkEnd w:id="478"/>
      <w:bookmarkEnd w:id="479"/>
      <w:bookmarkEnd w:id="480"/>
      <w:r>
        <w:rPr>
          <w:rFonts w:hint="eastAsia" w:ascii="宋体" w:hAnsi="宋体" w:cs="宋体"/>
          <w:bCs/>
          <w:sz w:val="24"/>
          <w:highlight w:val="none"/>
        </w:rPr>
        <w:t>同价</w:t>
      </w:r>
      <w:bookmarkEnd w:id="481"/>
      <w:bookmarkEnd w:id="482"/>
      <w:bookmarkEnd w:id="483"/>
      <w:bookmarkEnd w:id="484"/>
      <w:bookmarkEnd w:id="485"/>
      <w:bookmarkEnd w:id="486"/>
      <w:bookmarkEnd w:id="487"/>
      <w:bookmarkEnd w:id="488"/>
      <w:r>
        <w:rPr>
          <w:rFonts w:hint="eastAsia" w:ascii="宋体" w:hAnsi="宋体" w:cs="宋体"/>
          <w:bCs/>
          <w:sz w:val="24"/>
          <w:highlight w:val="none"/>
        </w:rPr>
        <w:t>格形式</w:t>
      </w:r>
    </w:p>
    <w:p w14:paraId="6BE34CB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本合同价款采用第</w:t>
      </w:r>
      <w:r>
        <w:rPr>
          <w:rFonts w:hint="eastAsia" w:ascii="宋体" w:hAnsi="宋体" w:cs="宋体"/>
          <w:bCs/>
          <w:sz w:val="24"/>
          <w:highlight w:val="none"/>
          <w:u w:val="single"/>
        </w:rPr>
        <w:t xml:space="preserve"> 1 </w:t>
      </w:r>
      <w:r>
        <w:rPr>
          <w:rFonts w:hint="eastAsia" w:ascii="宋体" w:hAnsi="宋体" w:cs="宋体"/>
          <w:bCs/>
          <w:sz w:val="24"/>
          <w:highlight w:val="none"/>
        </w:rPr>
        <w:t>种方式确定。</w:t>
      </w:r>
    </w:p>
    <w:bookmarkEnd w:id="489"/>
    <w:bookmarkEnd w:id="490"/>
    <w:bookmarkEnd w:id="491"/>
    <w:bookmarkEnd w:id="492"/>
    <w:bookmarkEnd w:id="493"/>
    <w:bookmarkEnd w:id="494"/>
    <w:p w14:paraId="163BB5C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w:t>
      </w:r>
    </w:p>
    <w:p w14:paraId="09B18E9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综合单价包含的风险范围：</w:t>
      </w:r>
      <w:r>
        <w:rPr>
          <w:rFonts w:hint="eastAsia" w:ascii="宋体" w:hAnsi="宋体" w:cs="宋体"/>
          <w:bCs/>
          <w:sz w:val="24"/>
          <w:highlight w:val="none"/>
          <w:u w:val="single"/>
        </w:rPr>
        <w:t xml:space="preserve"> 人工工资、材料费、施工机械使用费、管理费、利润等变化及风险因素。（施工期间国家及地方造价主管部门发布的相关调价文件除外，即双方按调价文件规定予以执行）。 </w:t>
      </w:r>
    </w:p>
    <w:p w14:paraId="7D826AF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4F5530">
      <w:pPr>
        <w:tabs>
          <w:tab w:val="left" w:pos="525"/>
          <w:tab w:val="left" w:pos="1200"/>
        </w:tabs>
        <w:snapToGrid w:val="0"/>
        <w:spacing w:line="360" w:lineRule="auto"/>
        <w:ind w:firstLine="460" w:firstLineChars="192"/>
        <w:rPr>
          <w:rFonts w:hint="eastAsia" w:ascii="宋体" w:hAnsi="宋体" w:cs="宋体"/>
          <w:bCs/>
          <w:sz w:val="24"/>
          <w:highlight w:val="none"/>
        </w:rPr>
      </w:pPr>
      <w:r>
        <w:rPr>
          <w:rFonts w:hint="eastAsia" w:ascii="宋体" w:hAnsi="宋体" w:cs="宋体"/>
          <w:bCs/>
          <w:sz w:val="24"/>
          <w:highlight w:val="none"/>
        </w:rPr>
        <w:t>风险范围以外合同价格的调整方法：</w:t>
      </w:r>
    </w:p>
    <w:p w14:paraId="09C7209F">
      <w:pPr>
        <w:tabs>
          <w:tab w:val="left" w:pos="525"/>
          <w:tab w:val="left" w:pos="1200"/>
        </w:tabs>
        <w:snapToGrid w:val="0"/>
        <w:spacing w:line="360" w:lineRule="auto"/>
        <w:ind w:firstLine="460" w:firstLineChars="192"/>
        <w:rPr>
          <w:rFonts w:hint="eastAsia" w:ascii="宋体" w:hAnsi="宋体" w:cs="宋体"/>
          <w:bCs/>
          <w:sz w:val="24"/>
          <w:highlight w:val="none"/>
          <w:u w:val="single"/>
        </w:rPr>
      </w:pPr>
      <w:r>
        <w:rPr>
          <w:rFonts w:hint="eastAsia" w:ascii="宋体" w:hAnsi="宋体" w:cs="宋体"/>
          <w:bCs/>
          <w:sz w:val="24"/>
          <w:highlight w:val="none"/>
          <w:u w:val="single"/>
        </w:rPr>
        <w:t>1）凡综合单价中涉及发包人在磋商文件及答疑纪要中规定的指定价项目，结算时按发包人确认的单价与上述指定价的差额，置于综合单价的风险范围外位置。</w:t>
      </w:r>
    </w:p>
    <w:p w14:paraId="78C1A8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u w:val="single"/>
        </w:rPr>
        <w:t xml:space="preserve">2）因工程量清单的工程量有误或设计变更引起的原有清单项目工程量的增减，其增加或减少的工程量，其适用的综合单价按（1）合同中已有适用综合单价的，执行已有综合单价。（2）合同中有类似综合单价的，可参照类似综合单价调整。 （3）合同中没有适用或类似综合单价的，由承包人提出综合单价，经发包人确认后执行。 </w:t>
      </w:r>
      <w:r>
        <w:rPr>
          <w:rFonts w:hint="eastAsia" w:ascii="宋体" w:hAnsi="宋体" w:cs="宋体"/>
          <w:bCs/>
          <w:sz w:val="24"/>
          <w:highlight w:val="none"/>
        </w:rPr>
        <w:t>。</w:t>
      </w:r>
    </w:p>
    <w:p w14:paraId="383C01A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w:t>
      </w:r>
    </w:p>
    <w:p w14:paraId="43DD61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总价包含的风险范围：</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C56216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AB3D21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风险范围以外合同价格的调整方法：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F390AD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871626">
      <w:pPr>
        <w:spacing w:after="120" w:line="360" w:lineRule="auto"/>
        <w:ind w:firstLine="480" w:firstLineChars="200"/>
        <w:rPr>
          <w:rFonts w:hint="eastAsia" w:ascii="宋体" w:hAnsi="宋体" w:cs="宋体"/>
          <w:bCs/>
          <w:sz w:val="24"/>
          <w:highlight w:val="none"/>
        </w:rPr>
      </w:pPr>
      <w:bookmarkStart w:id="495" w:name="_Toc303539161"/>
      <w:bookmarkStart w:id="496" w:name="_Toc304295581"/>
      <w:bookmarkStart w:id="497" w:name="_Toc312678042"/>
      <w:bookmarkStart w:id="498" w:name="_Toc297123554"/>
      <w:bookmarkStart w:id="499" w:name="_Toc297216213"/>
      <w:bookmarkStart w:id="500" w:name="_Toc300935004"/>
      <w:bookmarkStart w:id="501" w:name="_Toc296891247"/>
      <w:bookmarkStart w:id="502" w:name="_Toc297120507"/>
      <w:bookmarkStart w:id="503" w:name="_Toc292559412"/>
      <w:bookmarkStart w:id="504" w:name="_Toc296944546"/>
      <w:bookmarkStart w:id="505" w:name="_Toc296503207"/>
      <w:bookmarkStart w:id="506" w:name="_Toc297048393"/>
      <w:bookmarkStart w:id="507" w:name="_Toc292559917"/>
      <w:bookmarkStart w:id="508" w:name="_Toc296891035"/>
      <w:bookmarkStart w:id="509" w:name="_Toc296347206"/>
      <w:bookmarkStart w:id="510" w:name="_Toc296346708"/>
      <w:r>
        <w:rPr>
          <w:rFonts w:hint="eastAsia" w:ascii="宋体" w:hAnsi="宋体" w:cs="宋体"/>
          <w:bCs/>
          <w:sz w:val="24"/>
          <w:highlight w:val="none"/>
        </w:rPr>
        <w:t>12.2 预付款</w:t>
      </w:r>
    </w:p>
    <w:bookmarkEnd w:id="495"/>
    <w:bookmarkEnd w:id="496"/>
    <w:bookmarkEnd w:id="497"/>
    <w:bookmarkEnd w:id="498"/>
    <w:bookmarkEnd w:id="499"/>
    <w:bookmarkEnd w:id="500"/>
    <w:p w14:paraId="4ED27C0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12.2.1 预付款的支付</w:t>
      </w:r>
    </w:p>
    <w:p w14:paraId="61C9A5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预付款支付比例或金额：</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940D7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87BC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预付款扣回的方式：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CA5399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12.2.2 预付款担保</w:t>
      </w:r>
    </w:p>
    <w:p w14:paraId="37200B9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承包人提交预付款担保的期限：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0814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预付款担保的形式为：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01"/>
    <w:bookmarkEnd w:id="502"/>
    <w:bookmarkEnd w:id="503"/>
    <w:bookmarkEnd w:id="504"/>
    <w:bookmarkEnd w:id="505"/>
    <w:bookmarkEnd w:id="506"/>
    <w:bookmarkEnd w:id="507"/>
    <w:bookmarkEnd w:id="508"/>
    <w:bookmarkEnd w:id="509"/>
    <w:bookmarkEnd w:id="510"/>
    <w:p w14:paraId="0FFD14F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12.3 计量</w:t>
      </w:r>
    </w:p>
    <w:p w14:paraId="3F72BA5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12.3.1 计量原则</w:t>
      </w:r>
    </w:p>
    <w:p w14:paraId="0126C7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工程量计算规则：</w:t>
      </w:r>
      <w:r>
        <w:rPr>
          <w:rFonts w:hint="eastAsia" w:ascii="宋体" w:hAnsi="宋体" w:cs="宋体"/>
          <w:bCs/>
          <w:sz w:val="24"/>
          <w:highlight w:val="none"/>
          <w:u w:val="single"/>
        </w:rPr>
        <w:t xml:space="preserve">   陕西省建设工程工程量清单计价规则（2009）  </w:t>
      </w:r>
      <w:r>
        <w:rPr>
          <w:rFonts w:hint="eastAsia" w:ascii="宋体" w:hAnsi="宋体" w:cs="宋体"/>
          <w:bCs/>
          <w:sz w:val="24"/>
          <w:highlight w:val="none"/>
        </w:rPr>
        <w:t>。</w:t>
      </w:r>
    </w:p>
    <w:p w14:paraId="1A49F3B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12.3.2 计量周期</w:t>
      </w:r>
    </w:p>
    <w:p w14:paraId="39F8388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关于计量周期的约定：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7AA606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12.3.3 单价合同的计量</w:t>
      </w:r>
    </w:p>
    <w:p w14:paraId="1E8E4E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关于单价合同计量的约定：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0B49D29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12.3.4 总价合同的计量</w:t>
      </w:r>
    </w:p>
    <w:p w14:paraId="00CB8F2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关于总价合同计量的约定：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15DC220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12.3.5总价合同采用支付分解表计量支付的，是否适用第12.3.4 项〔总价合同的计量〕约定进行计量：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3683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12.3.6 其他价格形式合同的计量</w:t>
      </w:r>
    </w:p>
    <w:p w14:paraId="778C797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其他价格形式的计量方式和程序：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7A895F">
      <w:pPr>
        <w:spacing w:after="120" w:line="360" w:lineRule="auto"/>
        <w:ind w:firstLine="480" w:firstLineChars="200"/>
        <w:rPr>
          <w:rFonts w:hint="default" w:ascii="宋体" w:hAnsi="宋体" w:eastAsia="宋体" w:cs="宋体"/>
          <w:bCs/>
          <w:sz w:val="24"/>
          <w:highlight w:val="none"/>
          <w:lang w:val="en-US" w:eastAsia="zh-CN"/>
        </w:rPr>
      </w:pPr>
      <w:r>
        <w:rPr>
          <w:rFonts w:hint="eastAsia" w:ascii="宋体" w:hAnsi="宋体" w:cs="宋体"/>
          <w:bCs/>
          <w:sz w:val="24"/>
          <w:highlight w:val="none"/>
        </w:rPr>
        <w:t>12.4 工程进度款支付</w:t>
      </w:r>
      <w:r>
        <w:rPr>
          <w:rFonts w:hint="eastAsia" w:hAnsi="宋体" w:cs="宋体"/>
          <w:bCs/>
          <w:sz w:val="24"/>
          <w:highlight w:val="none"/>
          <w:lang w:eastAsia="zh-CN"/>
        </w:rPr>
        <w:t>：</w:t>
      </w:r>
      <w:r>
        <w:rPr>
          <w:rFonts w:hint="eastAsia" w:hAnsi="宋体" w:cs="宋体"/>
          <w:bCs/>
          <w:sz w:val="24"/>
          <w:highlight w:val="none"/>
          <w:lang w:val="en-US" w:eastAsia="zh-CN"/>
        </w:rPr>
        <w:t>以最终签订合同为准。</w:t>
      </w:r>
    </w:p>
    <w:p w14:paraId="2C7AA343">
      <w:pPr>
        <w:spacing w:line="360" w:lineRule="auto"/>
        <w:ind w:firstLine="480" w:firstLineChars="200"/>
        <w:jc w:val="left"/>
        <w:rPr>
          <w:rFonts w:hint="eastAsia" w:ascii="宋体" w:hAnsi="宋体" w:cs="宋体"/>
          <w:bCs/>
          <w:sz w:val="24"/>
          <w:highlight w:val="none"/>
        </w:rPr>
      </w:pPr>
      <w:bookmarkStart w:id="511" w:name="_Toc297123556"/>
      <w:bookmarkStart w:id="512" w:name="_Toc297048397"/>
      <w:bookmarkStart w:id="513" w:name="_Toc303539163"/>
      <w:bookmarkStart w:id="514" w:name="_Toc297120511"/>
      <w:bookmarkStart w:id="515" w:name="_Toc297216215"/>
      <w:bookmarkStart w:id="516" w:name="_Toc300935006"/>
      <w:bookmarkStart w:id="517" w:name="_Toc296503211"/>
      <w:bookmarkStart w:id="518" w:name="_Toc296347210"/>
      <w:bookmarkStart w:id="519" w:name="_Toc296346712"/>
      <w:bookmarkStart w:id="520" w:name="_Toc296891251"/>
      <w:bookmarkStart w:id="521" w:name="_Toc292559921"/>
      <w:bookmarkStart w:id="522" w:name="_Toc296944550"/>
      <w:bookmarkStart w:id="523" w:name="_Toc292559416"/>
      <w:bookmarkStart w:id="524" w:name="_Toc296891039"/>
      <w:r>
        <w:rPr>
          <w:rFonts w:hint="eastAsia" w:ascii="宋体" w:hAnsi="宋体" w:cs="宋体"/>
          <w:bCs/>
          <w:sz w:val="24"/>
          <w:highlight w:val="none"/>
        </w:rPr>
        <w:t>12.4.1 付款周期</w:t>
      </w:r>
    </w:p>
    <w:p w14:paraId="02922E0C">
      <w:pPr>
        <w:spacing w:line="360" w:lineRule="auto"/>
        <w:ind w:firstLine="480" w:firstLineChars="200"/>
        <w:jc w:val="left"/>
        <w:rPr>
          <w:rFonts w:hint="default"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根据签订合同的要求，</w:t>
      </w:r>
      <w:r>
        <w:rPr>
          <w:rFonts w:hint="eastAsia" w:hAnsi="宋体" w:eastAsia="宋体" w:cs="宋体"/>
          <w:color w:val="auto"/>
          <w:sz w:val="24"/>
          <w:szCs w:val="24"/>
          <w:highlight w:val="none"/>
          <w:lang w:val="en-US" w:eastAsia="zh-CN"/>
        </w:rPr>
        <w:t>根据工程形象进度付款</w:t>
      </w:r>
    </w:p>
    <w:p w14:paraId="624F383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12.4.2 进度付款申请单的编制</w:t>
      </w:r>
    </w:p>
    <w:p w14:paraId="592BD9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关于进度付款申请单编制的约定：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34912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Pr>
          <w:rFonts w:hint="eastAsia" w:ascii="宋体" w:hAnsi="宋体" w:cs="宋体"/>
          <w:bCs/>
          <w:sz w:val="24"/>
          <w:highlight w:val="none"/>
        </w:rPr>
        <w:t>2.4.3 进度付款申请单的提交</w:t>
      </w:r>
    </w:p>
    <w:p w14:paraId="5CCEFC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87628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C21ED9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（3）其他价格形式合同进度付款申请单提交的约定：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BC923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12.4.4 进度款审核和支付</w:t>
      </w:r>
    </w:p>
    <w:p w14:paraId="03179E8F">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（1）监理人审查并报送发包人的期限：</w:t>
      </w:r>
      <w:r>
        <w:rPr>
          <w:rFonts w:hint="eastAsia" w:ascii="宋体" w:hAnsi="宋体" w:cs="宋体"/>
          <w:bCs/>
          <w:sz w:val="24"/>
          <w:highlight w:val="none"/>
          <w:u w:val="single"/>
        </w:rPr>
        <w:t xml:space="preserve">       收到申请7天内    </w:t>
      </w:r>
      <w:r>
        <w:rPr>
          <w:rFonts w:hint="eastAsia" w:ascii="宋体" w:hAnsi="宋体" w:cs="宋体"/>
          <w:bCs/>
          <w:sz w:val="24"/>
          <w:highlight w:val="none"/>
        </w:rPr>
        <w:t>。</w:t>
      </w:r>
    </w:p>
    <w:p w14:paraId="44BBE4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发包人完成审批并签发进度款支付证书的期限：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6A646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（2）发包人支付进度款的期限：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3CB6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发包人逾期支付进度款的违约金的计算方式：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30469A8">
      <w:pPr>
        <w:spacing w:line="360" w:lineRule="auto"/>
        <w:ind w:firstLine="600" w:firstLineChars="250"/>
        <w:jc w:val="left"/>
        <w:rPr>
          <w:rFonts w:hint="eastAsia" w:ascii="宋体" w:hAnsi="宋体" w:cs="宋体"/>
          <w:bCs/>
          <w:sz w:val="24"/>
          <w:highlight w:val="none"/>
        </w:rPr>
      </w:pPr>
      <w:r>
        <w:rPr>
          <w:rFonts w:hint="eastAsia" w:ascii="宋体" w:hAnsi="宋体" w:cs="宋体"/>
          <w:bCs/>
          <w:sz w:val="24"/>
          <w:highlight w:val="none"/>
        </w:rPr>
        <w:t>12.4.6 支付分解表的编制</w:t>
      </w:r>
    </w:p>
    <w:p w14:paraId="3A2C1DCE">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2、总价合同支付分解表的编制与审批：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6381D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3、单价合同的总价项目支付分解表的编制与审批：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54"/>
    <w:p w14:paraId="279136F7">
      <w:pPr>
        <w:spacing w:before="120" w:after="120" w:line="360" w:lineRule="auto"/>
        <w:jc w:val="left"/>
        <w:rPr>
          <w:rFonts w:hint="eastAsia" w:ascii="宋体" w:hAnsi="宋体" w:cs="宋体"/>
          <w:bCs/>
          <w:sz w:val="24"/>
          <w:highlight w:val="none"/>
        </w:rPr>
      </w:pPr>
      <w:bookmarkStart w:id="525" w:name="_Toc351203645"/>
      <w:bookmarkStart w:id="526" w:name="_Toc300935015"/>
      <w:bookmarkStart w:id="527" w:name="_Toc296347218"/>
      <w:bookmarkStart w:id="528" w:name="_Toc296503219"/>
      <w:bookmarkStart w:id="529" w:name="_Toc312678053"/>
      <w:bookmarkStart w:id="530" w:name="_Toc303539172"/>
      <w:bookmarkStart w:id="531" w:name="_Toc297123564"/>
      <w:bookmarkStart w:id="532" w:name="_Toc296891259"/>
      <w:bookmarkStart w:id="533" w:name="_Toc297120519"/>
      <w:bookmarkStart w:id="534" w:name="_Toc297048405"/>
      <w:bookmarkStart w:id="535" w:name="_Toc296944558"/>
      <w:bookmarkStart w:id="536" w:name="_Toc304295593"/>
      <w:bookmarkStart w:id="537" w:name="_Toc296346720"/>
      <w:bookmarkStart w:id="538" w:name="_Toc297216223"/>
      <w:bookmarkStart w:id="539" w:name="_Toc296891047"/>
      <w:bookmarkStart w:id="540" w:name="_Toc292559929"/>
      <w:bookmarkStart w:id="541" w:name="_Toc292559424"/>
      <w:r>
        <w:rPr>
          <w:rFonts w:hint="eastAsia" w:ascii="宋体" w:hAnsi="宋体" w:cs="宋体"/>
          <w:bCs/>
          <w:sz w:val="24"/>
          <w:highlight w:val="none"/>
        </w:rPr>
        <w:t>13. 验收和工程试车</w:t>
      </w:r>
      <w:bookmarkEnd w:id="525"/>
    </w:p>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14:paraId="2C6DE58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13.1 分部分项工程验收</w:t>
      </w:r>
    </w:p>
    <w:p w14:paraId="1A87CB0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13.1.2监理人不能按时进行验收时，应提前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01D9E6E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6201DC66">
      <w:pPr>
        <w:spacing w:after="120" w:line="360" w:lineRule="auto"/>
        <w:ind w:firstLine="480" w:firstLineChars="200"/>
        <w:rPr>
          <w:rFonts w:hint="eastAsia" w:ascii="宋体" w:hAnsi="宋体" w:cs="宋体"/>
          <w:bCs/>
          <w:sz w:val="24"/>
          <w:highlight w:val="none"/>
        </w:rPr>
      </w:pPr>
      <w:bookmarkStart w:id="542" w:name="_Toc297120523"/>
      <w:bookmarkStart w:id="543" w:name="_Toc296347222"/>
      <w:bookmarkStart w:id="544" w:name="_Toc296346724"/>
      <w:bookmarkStart w:id="545" w:name="_Toc297123565"/>
      <w:bookmarkStart w:id="546" w:name="_Toc296891051"/>
      <w:bookmarkStart w:id="547" w:name="_Toc300935016"/>
      <w:bookmarkStart w:id="548" w:name="_Toc304295596"/>
      <w:bookmarkStart w:id="549" w:name="_Toc296503223"/>
      <w:bookmarkStart w:id="550" w:name="_Toc292559933"/>
      <w:bookmarkStart w:id="551" w:name="_Toc303539173"/>
      <w:bookmarkStart w:id="552" w:name="_Toc296891263"/>
      <w:bookmarkStart w:id="553" w:name="_Toc297216224"/>
      <w:bookmarkStart w:id="554" w:name="_Toc292559428"/>
      <w:bookmarkStart w:id="555" w:name="_Toc312678056"/>
      <w:bookmarkStart w:id="556" w:name="_Toc296944562"/>
      <w:bookmarkStart w:id="557" w:name="_Toc297048409"/>
      <w:bookmarkStart w:id="558" w:name="_Toc267251470"/>
      <w:bookmarkStart w:id="559" w:name="_Toc267251476"/>
      <w:bookmarkStart w:id="560" w:name="_Toc267251471"/>
      <w:bookmarkStart w:id="561" w:name="_Toc267251474"/>
      <w:bookmarkStart w:id="562" w:name="_Toc267251475"/>
      <w:bookmarkStart w:id="563" w:name="_Toc267251472"/>
      <w:bookmarkStart w:id="564" w:name="_Toc267251473"/>
      <w:r>
        <w:rPr>
          <w:rFonts w:hint="eastAsia" w:ascii="宋体" w:hAnsi="宋体" w:cs="宋体"/>
          <w:bCs/>
          <w:sz w:val="24"/>
          <w:highlight w:val="none"/>
        </w:rPr>
        <w:t>13.2 竣工验收</w:t>
      </w:r>
    </w:p>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14:paraId="06D440EA">
      <w:pPr>
        <w:spacing w:line="360" w:lineRule="auto"/>
        <w:ind w:firstLine="480" w:firstLineChars="200"/>
        <w:jc w:val="left"/>
        <w:rPr>
          <w:rFonts w:hint="eastAsia" w:ascii="宋体" w:hAnsi="宋体" w:cs="宋体"/>
          <w:bCs/>
          <w:sz w:val="24"/>
          <w:highlight w:val="none"/>
        </w:rPr>
      </w:pPr>
      <w:bookmarkStart w:id="565" w:name="_Toc280868704"/>
      <w:bookmarkStart w:id="566" w:name="_Toc280868705"/>
      <w:bookmarkStart w:id="567" w:name="_Toc280868706"/>
      <w:bookmarkStart w:id="568" w:name="_Toc280868707"/>
      <w:bookmarkStart w:id="569" w:name="_Toc280868708"/>
      <w:bookmarkStart w:id="570" w:name="_Toc280868709"/>
      <w:r>
        <w:rPr>
          <w:rFonts w:hint="eastAsia" w:ascii="宋体" w:hAnsi="宋体" w:cs="宋体"/>
          <w:bCs/>
          <w:sz w:val="24"/>
          <w:highlight w:val="none"/>
        </w:rPr>
        <w:t>13.2.2竣工验收程序</w:t>
      </w:r>
    </w:p>
    <w:bookmarkEnd w:id="565"/>
    <w:p w14:paraId="52A207B0">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关于竣工验收程序的约定：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68079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发包人不按照本项约定组织竣工验收、颁发工程接收证书的违约金的计算方法：</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66"/>
    <w:p w14:paraId="3AEB2C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13.2.5移交、接收全部与部分工程</w:t>
      </w:r>
    </w:p>
    <w:bookmarkEnd w:id="567"/>
    <w:p w14:paraId="754ACCE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承包人向发包人移交工程的期限：</w:t>
      </w:r>
      <w:r>
        <w:rPr>
          <w:rFonts w:hint="eastAsia" w:ascii="宋体" w:hAnsi="宋体" w:cs="宋体"/>
          <w:bCs/>
          <w:sz w:val="24"/>
          <w:highlight w:val="none"/>
          <w:u w:val="single"/>
        </w:rPr>
        <w:t xml:space="preserve">        颁发工程接收证书后7天内     </w:t>
      </w:r>
      <w:r>
        <w:rPr>
          <w:rFonts w:hint="eastAsia" w:ascii="宋体" w:hAnsi="宋体" w:cs="宋体"/>
          <w:bCs/>
          <w:sz w:val="24"/>
          <w:highlight w:val="none"/>
        </w:rPr>
        <w:t>。</w:t>
      </w:r>
    </w:p>
    <w:p w14:paraId="048723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发包人未按本合同约定接收全部或部分工程的，违约金的计算方法：</w:t>
      </w:r>
      <w:r>
        <w:rPr>
          <w:rFonts w:hint="eastAsia" w:ascii="宋体" w:hAnsi="宋体" w:cs="宋体"/>
          <w:bCs/>
          <w:sz w:val="24"/>
          <w:highlight w:val="none"/>
          <w:u w:val="single"/>
        </w:rPr>
        <w:t xml:space="preserve">  </w:t>
      </w:r>
      <w:r>
        <w:rPr>
          <w:rFonts w:hint="eastAsia" w:ascii="宋体" w:hAnsi="宋体" w:cs="宋体"/>
          <w:bCs/>
          <w:spacing w:val="-32"/>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bookmarkEnd w:id="568"/>
    <w:p w14:paraId="273B51C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承包人未按时移交工程的，违约金的计算方法为：</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34A2F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13.3 工程试车</w:t>
      </w:r>
    </w:p>
    <w:bookmarkEnd w:id="569"/>
    <w:p w14:paraId="19DC1A4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13.3.1 试车程序</w:t>
      </w:r>
    </w:p>
    <w:p w14:paraId="6772B9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工程试车内容：</w:t>
      </w:r>
      <w:r>
        <w:rPr>
          <w:rFonts w:hint="eastAsia" w:ascii="宋体" w:hAnsi="宋体" w:cs="宋体"/>
          <w:bCs/>
          <w:sz w:val="24"/>
          <w:highlight w:val="none"/>
          <w:u w:val="single"/>
        </w:rPr>
        <w:t xml:space="preserve">  若需试车，试车费用由承包人承担   </w:t>
      </w:r>
      <w:r>
        <w:rPr>
          <w:rFonts w:hint="eastAsia" w:ascii="宋体" w:hAnsi="宋体" w:cs="宋体"/>
          <w:bCs/>
          <w:sz w:val="24"/>
          <w:highlight w:val="none"/>
        </w:rPr>
        <w:t>。</w:t>
      </w:r>
    </w:p>
    <w:p w14:paraId="699CD3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（1）单机无负荷试车费用由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BC44AD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（2）无负荷联动试车费用由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846B5C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13.3.3 投料试车</w:t>
      </w:r>
    </w:p>
    <w:p w14:paraId="4ACDCB9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关于投料试车相关事项的约定：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08984E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13.6 竣工退场</w:t>
      </w:r>
    </w:p>
    <w:p w14:paraId="74F557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13.6.1 竣工退场</w:t>
      </w:r>
    </w:p>
    <w:p w14:paraId="0FB9FB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承包人完成竣工退场的期限：</w:t>
      </w:r>
      <w:r>
        <w:rPr>
          <w:rFonts w:hint="eastAsia" w:ascii="宋体" w:hAnsi="宋体" w:cs="宋体"/>
          <w:bCs/>
          <w:sz w:val="24"/>
          <w:highlight w:val="none"/>
          <w:u w:val="single"/>
        </w:rPr>
        <w:t xml:space="preserve">      颁发工程接收证书后3天内     </w:t>
      </w:r>
      <w:r>
        <w:rPr>
          <w:rFonts w:hint="eastAsia" w:ascii="宋体" w:hAnsi="宋体" w:cs="宋体"/>
          <w:bCs/>
          <w:sz w:val="24"/>
          <w:highlight w:val="none"/>
        </w:rPr>
        <w:t>。</w:t>
      </w:r>
    </w:p>
    <w:p w14:paraId="43801C51">
      <w:pPr>
        <w:spacing w:before="120" w:after="120" w:line="360" w:lineRule="auto"/>
        <w:jc w:val="left"/>
        <w:rPr>
          <w:rFonts w:hint="eastAsia" w:ascii="宋体" w:hAnsi="宋体" w:cs="宋体"/>
          <w:bCs/>
          <w:sz w:val="24"/>
          <w:highlight w:val="none"/>
        </w:rPr>
      </w:pPr>
      <w:bookmarkStart w:id="571" w:name="_Toc351203646"/>
      <w:r>
        <w:rPr>
          <w:rFonts w:hint="eastAsia" w:ascii="宋体" w:hAnsi="宋体" w:cs="宋体"/>
          <w:bCs/>
          <w:sz w:val="24"/>
          <w:highlight w:val="none"/>
        </w:rPr>
        <w:t>14. 竣工结算</w:t>
      </w:r>
      <w:bookmarkEnd w:id="571"/>
    </w:p>
    <w:p w14:paraId="5AC980A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 竣工结算申请</w:t>
      </w:r>
    </w:p>
    <w:p w14:paraId="6A6FA7E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承包人提交竣工结算申请单的期限：</w:t>
      </w:r>
      <w:r>
        <w:rPr>
          <w:rFonts w:hint="eastAsia" w:ascii="宋体" w:hAnsi="宋体" w:cs="宋体"/>
          <w:bCs/>
          <w:sz w:val="24"/>
          <w:highlight w:val="none"/>
          <w:u w:val="single"/>
        </w:rPr>
        <w:t xml:space="preserve">    工程竣工验收合格后28天内      </w:t>
      </w:r>
      <w:r>
        <w:rPr>
          <w:rFonts w:hint="eastAsia" w:ascii="宋体" w:hAnsi="宋体" w:cs="宋体"/>
          <w:bCs/>
          <w:sz w:val="24"/>
          <w:highlight w:val="none"/>
        </w:rPr>
        <w:t>。</w:t>
      </w:r>
    </w:p>
    <w:p w14:paraId="139B0A0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竣工结算申请单应包括的内容：</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E86DB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竣工结算审核</w:t>
      </w:r>
    </w:p>
    <w:p w14:paraId="013C6DB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发包人审批竣工付款申请单的期限：</w:t>
      </w:r>
      <w:r>
        <w:rPr>
          <w:rFonts w:hint="eastAsia" w:ascii="宋体" w:hAnsi="宋体" w:cs="宋体"/>
          <w:bCs/>
          <w:sz w:val="24"/>
          <w:highlight w:val="none"/>
          <w:u w:val="single"/>
        </w:rPr>
        <w:t xml:space="preserve">    收到竣工付款申请单28天内     </w:t>
      </w:r>
      <w:r>
        <w:rPr>
          <w:rFonts w:hint="eastAsia" w:ascii="宋体" w:hAnsi="宋体" w:cs="宋体"/>
          <w:bCs/>
          <w:sz w:val="24"/>
          <w:highlight w:val="none"/>
        </w:rPr>
        <w:t>。</w:t>
      </w:r>
    </w:p>
    <w:p w14:paraId="1DE8F3D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发包人完成竣工付款的期限：</w:t>
      </w:r>
      <w:r>
        <w:rPr>
          <w:rFonts w:hint="eastAsia" w:ascii="宋体" w:hAnsi="宋体" w:cs="宋体"/>
          <w:bCs/>
          <w:sz w:val="24"/>
          <w:highlight w:val="none"/>
          <w:u w:val="single"/>
        </w:rPr>
        <w:t xml:space="preserve">      签发竣工付款申请单28天内         </w:t>
      </w:r>
      <w:r>
        <w:rPr>
          <w:rFonts w:hint="eastAsia" w:ascii="宋体" w:hAnsi="宋体" w:cs="宋体"/>
          <w:bCs/>
          <w:sz w:val="24"/>
          <w:highlight w:val="none"/>
        </w:rPr>
        <w:t>。</w:t>
      </w:r>
    </w:p>
    <w:p w14:paraId="425FC849">
      <w:pPr>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关于竣工付款证书异议部分复核的方式和程序：</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BCA0811">
      <w:pPr>
        <w:spacing w:line="360" w:lineRule="auto"/>
        <w:ind w:firstLine="480" w:firstLineChars="200"/>
        <w:jc w:val="left"/>
        <w:rPr>
          <w:rFonts w:hint="eastAsia" w:ascii="宋体" w:hAnsi="宋体" w:cs="宋体"/>
          <w:bCs/>
          <w:sz w:val="24"/>
          <w:highlight w:val="none"/>
          <w:u w:val="single"/>
        </w:rPr>
      </w:pPr>
      <w:r>
        <w:rPr>
          <w:rFonts w:hint="eastAsia"/>
          <w:highlight w:val="none"/>
        </w:rPr>
        <w:t xml:space="preserve"> </w:t>
      </w:r>
      <w:r>
        <w:rPr>
          <w:rFonts w:ascii="宋体" w:hAnsi="宋体" w:cs="宋体"/>
          <w:bCs/>
          <w:sz w:val="24"/>
          <w:highlight w:val="none"/>
        </w:rPr>
        <w:t>14.3</w:t>
      </w:r>
      <w:r>
        <w:rPr>
          <w:rFonts w:hint="eastAsia" w:ascii="宋体" w:hAnsi="宋体" w:cs="宋体"/>
          <w:bCs/>
          <w:sz w:val="24"/>
          <w:highlight w:val="none"/>
        </w:rPr>
        <w:t>竣工结算</w:t>
      </w:r>
      <w:r>
        <w:rPr>
          <w:rFonts w:ascii="宋体" w:hAnsi="宋体" w:cs="宋体"/>
          <w:bCs/>
          <w:sz w:val="24"/>
          <w:highlight w:val="none"/>
        </w:rPr>
        <w:t>价款调整</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w:t>
      </w:r>
      <w:r>
        <w:rPr>
          <w:rFonts w:hint="eastAsia" w:ascii="宋体" w:hAnsi="宋体" w:cs="宋体"/>
          <w:bCs/>
          <w:sz w:val="24"/>
          <w:highlight w:val="none"/>
          <w:u w:val="single"/>
        </w:rPr>
        <w:t xml:space="preserve">   </w:t>
      </w:r>
    </w:p>
    <w:p w14:paraId="6EA0877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 最终结清</w:t>
      </w:r>
    </w:p>
    <w:p w14:paraId="023B83C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14.4.1 最终结清申请单</w:t>
      </w:r>
    </w:p>
    <w:p w14:paraId="449FBC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承包人提交最终结清申请单的份数：</w:t>
      </w:r>
      <w:r>
        <w:rPr>
          <w:rFonts w:hint="eastAsia" w:ascii="宋体" w:hAnsi="宋体" w:cs="宋体"/>
          <w:bCs/>
          <w:sz w:val="24"/>
          <w:highlight w:val="none"/>
          <w:u w:val="single"/>
        </w:rPr>
        <w:t xml:space="preserve">               四份               </w:t>
      </w:r>
      <w:r>
        <w:rPr>
          <w:rFonts w:hint="eastAsia" w:ascii="宋体" w:hAnsi="宋体" w:cs="宋体"/>
          <w:bCs/>
          <w:sz w:val="24"/>
          <w:highlight w:val="none"/>
        </w:rPr>
        <w:t>。</w:t>
      </w:r>
    </w:p>
    <w:p w14:paraId="7400557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承包人提交最终结算申请单的期限：</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b w:val="0"/>
          <w:bCs/>
          <w:sz w:val="24"/>
          <w:szCs w:val="24"/>
          <w:highlight w:val="none"/>
          <w:u w:val="single"/>
        </w:rPr>
        <w:t>在缺陷责任期终止证书颁发后7天内</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26967CF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14.4.2 最终结清证书和支付</w:t>
      </w:r>
    </w:p>
    <w:p w14:paraId="5AC083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（1）发包人完成最终结清申请单的审批并颁发最终结清证书的期限：</w:t>
      </w:r>
      <w:r>
        <w:rPr>
          <w:rFonts w:hint="eastAsia" w:ascii="宋体" w:hAnsi="宋体" w:cs="宋体"/>
          <w:bCs/>
          <w:sz w:val="24"/>
          <w:highlight w:val="none"/>
          <w:u w:val="single"/>
        </w:rPr>
        <w:t xml:space="preserve"> 收到申请28天内  </w:t>
      </w:r>
      <w:r>
        <w:rPr>
          <w:rFonts w:hint="eastAsia" w:ascii="宋体" w:hAnsi="宋体" w:cs="宋体"/>
          <w:bCs/>
          <w:sz w:val="24"/>
          <w:highlight w:val="none"/>
        </w:rPr>
        <w:t>。</w:t>
      </w:r>
    </w:p>
    <w:p w14:paraId="10D42D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（2）发包人完成支付的期限：</w:t>
      </w:r>
      <w:r>
        <w:rPr>
          <w:rFonts w:hint="eastAsia" w:ascii="宋体" w:hAnsi="宋体" w:cs="宋体"/>
          <w:bCs/>
          <w:sz w:val="24"/>
          <w:highlight w:val="none"/>
          <w:u w:val="single"/>
        </w:rPr>
        <w:t xml:space="preserve">     申请签发后14天内     </w:t>
      </w:r>
      <w:r>
        <w:rPr>
          <w:rFonts w:hint="eastAsia" w:ascii="宋体" w:hAnsi="宋体" w:cs="宋体"/>
          <w:bCs/>
          <w:sz w:val="24"/>
          <w:highlight w:val="none"/>
        </w:rPr>
        <w:t>。</w:t>
      </w:r>
    </w:p>
    <w:bookmarkEnd w:id="558"/>
    <w:bookmarkEnd w:id="559"/>
    <w:bookmarkEnd w:id="560"/>
    <w:bookmarkEnd w:id="561"/>
    <w:bookmarkEnd w:id="562"/>
    <w:bookmarkEnd w:id="563"/>
    <w:bookmarkEnd w:id="564"/>
    <w:bookmarkEnd w:id="570"/>
    <w:p w14:paraId="1487BFDB">
      <w:pPr>
        <w:spacing w:before="120" w:after="120" w:line="360" w:lineRule="auto"/>
        <w:jc w:val="left"/>
        <w:rPr>
          <w:rFonts w:hint="eastAsia" w:ascii="宋体" w:hAnsi="宋体" w:cs="宋体"/>
          <w:bCs/>
          <w:sz w:val="24"/>
          <w:highlight w:val="none"/>
        </w:rPr>
      </w:pPr>
      <w:bookmarkStart w:id="572" w:name="_Toc351203647"/>
      <w:bookmarkStart w:id="573" w:name="_Toc267251483"/>
      <w:bookmarkStart w:id="574" w:name="_Toc267251482"/>
      <w:bookmarkStart w:id="575" w:name="_Toc267251484"/>
      <w:bookmarkStart w:id="576" w:name="_Toc267251485"/>
      <w:bookmarkStart w:id="577" w:name="_Toc267251489"/>
      <w:bookmarkStart w:id="578" w:name="_Toc267251486"/>
      <w:bookmarkStart w:id="579" w:name="_Toc267251490"/>
      <w:bookmarkStart w:id="580" w:name="_Toc267251488"/>
      <w:bookmarkStart w:id="581" w:name="_Toc267251501"/>
      <w:bookmarkStart w:id="582" w:name="_Toc267251494"/>
      <w:bookmarkStart w:id="583" w:name="_Toc267251503"/>
      <w:bookmarkStart w:id="584" w:name="_Toc267251491"/>
      <w:bookmarkStart w:id="585" w:name="_Toc267251497"/>
      <w:bookmarkStart w:id="586" w:name="_Toc267251495"/>
      <w:bookmarkStart w:id="587" w:name="_Toc267251498"/>
      <w:bookmarkStart w:id="588" w:name="_Toc267251493"/>
      <w:bookmarkStart w:id="589" w:name="_Toc267251492"/>
      <w:bookmarkStart w:id="590" w:name="_Toc267251499"/>
      <w:bookmarkStart w:id="591" w:name="_Toc267251496"/>
      <w:bookmarkStart w:id="592" w:name="_Toc267251502"/>
      <w:bookmarkStart w:id="593" w:name="_Toc267251504"/>
      <w:bookmarkStart w:id="594" w:name="_Toc267251506"/>
      <w:bookmarkStart w:id="595" w:name="_Toc267251507"/>
      <w:bookmarkStart w:id="596" w:name="_Toc267251508"/>
      <w:bookmarkStart w:id="597" w:name="_Toc267251509"/>
      <w:bookmarkStart w:id="598" w:name="_Toc267251515"/>
      <w:bookmarkStart w:id="599" w:name="_Toc267251511"/>
      <w:bookmarkStart w:id="600" w:name="_Toc267251510"/>
      <w:bookmarkStart w:id="601" w:name="_Toc267251514"/>
      <w:bookmarkStart w:id="602" w:name="_Toc267251513"/>
      <w:r>
        <w:rPr>
          <w:rFonts w:hint="eastAsia" w:ascii="宋体" w:hAnsi="宋体" w:cs="宋体"/>
          <w:bCs/>
          <w:sz w:val="24"/>
          <w:highlight w:val="none"/>
        </w:rPr>
        <w:t>15. 缺陷责任期与保修</w:t>
      </w:r>
      <w:bookmarkEnd w:id="572"/>
    </w:p>
    <w:p w14:paraId="0DAB0ED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15.2缺陷责任期</w:t>
      </w:r>
      <w:bookmarkEnd w:id="573"/>
    </w:p>
    <w:p w14:paraId="7DA0326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缺陷责任期的具体期限：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12个月</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D3124C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15.3 质量保证金</w:t>
      </w:r>
    </w:p>
    <w:p w14:paraId="68AC8BF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关于是否扣留质量保证金的约定：</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扣留</w:t>
      </w:r>
      <w:r>
        <w:rPr>
          <w:rFonts w:hint="eastAsia" w:ascii="宋体" w:hAnsi="宋体" w:cs="宋体"/>
          <w:bCs/>
          <w:sz w:val="24"/>
          <w:highlight w:val="none"/>
          <w:u w:val="single"/>
        </w:rPr>
        <w:t xml:space="preserve">        </w:t>
      </w:r>
      <w:r>
        <w:rPr>
          <w:rFonts w:hint="eastAsia" w:ascii="宋体" w:hAnsi="宋体" w:cs="宋体"/>
          <w:bCs/>
          <w:sz w:val="24"/>
          <w:highlight w:val="none"/>
        </w:rPr>
        <w:t>。在工程项目竣工前，承包人按专用合同条款第3.7条提供履约担保的，发包人不得同时预留工程质量保证金。</w:t>
      </w:r>
    </w:p>
    <w:p w14:paraId="6BDD712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15.3.1 承包人提供质量保证金的方式</w:t>
      </w:r>
    </w:p>
    <w:p w14:paraId="2516188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质量保证金采用以下第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385CA2C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（1）质量保证金保函，保证金额为：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1D00DAE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3   </w:t>
      </w:r>
      <w:r>
        <w:rPr>
          <w:rFonts w:hint="eastAsia" w:ascii="宋体" w:hAnsi="宋体" w:cs="宋体"/>
          <w:bCs/>
          <w:sz w:val="24"/>
          <w:highlight w:val="none"/>
        </w:rPr>
        <w:t>%的工程款；</w:t>
      </w:r>
    </w:p>
    <w:p w14:paraId="6A1A7C2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BD82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15.3.2 质量保证金的扣留 </w:t>
      </w:r>
    </w:p>
    <w:p w14:paraId="70229C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质量保证金的扣留采取以下第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0B3CC03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（1）在支付工程进度款时逐次扣留，在此情形下，质量保证金的计算基数不包括预付款的支付、扣回以及价格调整的金额；</w:t>
      </w:r>
    </w:p>
    <w:p w14:paraId="73A8DCB3">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（2）工程竣工结算时一次性扣留质量保证金；</w:t>
      </w:r>
    </w:p>
    <w:p w14:paraId="1E493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（3）其他扣留方式: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4B601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关于质量保证金的补充约定：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74"/>
    <w:bookmarkEnd w:id="575"/>
    <w:p w14:paraId="1929DB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15.4保修</w:t>
      </w:r>
    </w:p>
    <w:bookmarkEnd w:id="576"/>
    <w:p w14:paraId="78DE9619">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15.4.1 保修责任</w:t>
      </w:r>
    </w:p>
    <w:p w14:paraId="1EB43F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工程保修期为：</w:t>
      </w:r>
      <w:r>
        <w:rPr>
          <w:rFonts w:hint="eastAsia" w:ascii="宋体" w:hAnsi="宋体" w:cs="宋体"/>
          <w:bCs/>
          <w:sz w:val="24"/>
          <w:highlight w:val="none"/>
          <w:u w:val="single"/>
        </w:rPr>
        <w:t xml:space="preserve">           见工程质量保修书              </w:t>
      </w:r>
      <w:r>
        <w:rPr>
          <w:rFonts w:hint="eastAsia" w:ascii="宋体" w:hAnsi="宋体" w:cs="宋体"/>
          <w:bCs/>
          <w:sz w:val="24"/>
          <w:highlight w:val="none"/>
        </w:rPr>
        <w:t>。</w:t>
      </w:r>
    </w:p>
    <w:p w14:paraId="3538B1FD">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15.4.3 修复通知</w:t>
      </w:r>
    </w:p>
    <w:p w14:paraId="11EC868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承包人收到保修通知并到达工程现场的合理时间：</w:t>
      </w:r>
      <w:r>
        <w:rPr>
          <w:rFonts w:hint="eastAsia" w:ascii="宋体" w:hAnsi="宋体" w:cs="宋体"/>
          <w:bCs/>
          <w:sz w:val="24"/>
          <w:highlight w:val="none"/>
          <w:u w:val="single"/>
        </w:rPr>
        <w:t xml:space="preserve">  24小时内  </w:t>
      </w:r>
      <w:r>
        <w:rPr>
          <w:rFonts w:hint="eastAsia" w:ascii="宋体" w:hAnsi="宋体" w:cs="宋体"/>
          <w:bCs/>
          <w:sz w:val="24"/>
          <w:highlight w:val="none"/>
        </w:rPr>
        <w:t>。</w:t>
      </w:r>
    </w:p>
    <w:bookmarkEnd w:id="577"/>
    <w:bookmarkEnd w:id="578"/>
    <w:bookmarkEnd w:id="579"/>
    <w:bookmarkEnd w:id="580"/>
    <w:p w14:paraId="353E3C91">
      <w:pPr>
        <w:spacing w:before="120" w:after="120" w:line="360" w:lineRule="auto"/>
        <w:jc w:val="left"/>
        <w:rPr>
          <w:rFonts w:hint="eastAsia" w:ascii="宋体" w:hAnsi="宋体" w:cs="宋体"/>
          <w:bCs/>
          <w:sz w:val="24"/>
          <w:highlight w:val="none"/>
        </w:rPr>
      </w:pPr>
      <w:bookmarkStart w:id="603" w:name="_Toc351203648"/>
      <w:bookmarkStart w:id="604" w:name="_Toc280868717"/>
      <w:bookmarkStart w:id="605" w:name="_Toc280868718"/>
      <w:r>
        <w:rPr>
          <w:rFonts w:hint="eastAsia" w:ascii="宋体" w:hAnsi="宋体" w:cs="宋体"/>
          <w:bCs/>
          <w:sz w:val="24"/>
          <w:highlight w:val="none"/>
        </w:rPr>
        <w:t>16. 违约</w:t>
      </w:r>
      <w:bookmarkEnd w:id="603"/>
    </w:p>
    <w:p w14:paraId="6A54737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发包人违约</w:t>
      </w:r>
    </w:p>
    <w:p w14:paraId="3C4F977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16.1.1发包人违约的情形</w:t>
      </w:r>
    </w:p>
    <w:p w14:paraId="1CCF6DF1">
      <w:pPr>
        <w:spacing w:line="360" w:lineRule="auto"/>
        <w:ind w:left="1267" w:leftChars="228" w:hanging="720" w:hangingChars="300"/>
        <w:jc w:val="left"/>
        <w:rPr>
          <w:rFonts w:hint="eastAsia" w:ascii="宋体" w:hAnsi="宋体" w:cs="宋体"/>
          <w:bCs/>
          <w:sz w:val="24"/>
          <w:highlight w:val="none"/>
        </w:rPr>
      </w:pPr>
      <w:r>
        <w:rPr>
          <w:rFonts w:hint="eastAsia" w:ascii="宋体" w:hAnsi="宋体" w:cs="宋体"/>
          <w:bCs/>
          <w:sz w:val="24"/>
          <w:highlight w:val="none"/>
        </w:rPr>
        <w:t>发包人违约的其他情形：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540DCF">
      <w:pPr>
        <w:spacing w:line="360" w:lineRule="auto"/>
        <w:ind w:left="1200" w:hanging="1200" w:hangingChars="500"/>
        <w:jc w:val="left"/>
        <w:rPr>
          <w:rFonts w:hint="eastAsia" w:ascii="宋体" w:hAnsi="宋体" w:cs="宋体"/>
          <w:bCs/>
          <w:sz w:val="24"/>
          <w:highlight w:val="none"/>
        </w:rPr>
      </w:pPr>
      <w:r>
        <w:rPr>
          <w:rFonts w:hint="eastAsia" w:ascii="宋体" w:hAnsi="宋体" w:cs="宋体"/>
          <w:bCs/>
          <w:sz w:val="24"/>
          <w:highlight w:val="none"/>
        </w:rPr>
        <w:t xml:space="preserve">    16.1.2 发包人违约的责任</w:t>
      </w:r>
    </w:p>
    <w:p w14:paraId="3AA312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发包人违约责任的承担方式和计算方法：</w:t>
      </w:r>
    </w:p>
    <w:p w14:paraId="1A40984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（1）因发包人原因未能在计划开工日期前7天内下达开工通知的违约责任：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B572C2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（2）因发包人原因未能按合同约定支付合同价款的违约责任：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4C5C83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（3）发包人违反第10.1款〔变更的范围〕第（2）项约定，自行实施被取消的工作或转由他人实施的违约责任：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769E98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（4）发包人提供的材料、工程设备的规格、数量或质量不符合合同约定，或因发包人原因导致交货日期延误或交货地点变更等情况的违约责任：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9FDEBD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（5）因发包人违反合同约定造成暂停施工的违约责任：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345009D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（6）发包人无正当理由没有在约定期限内发出复工指示，导致承包人无法复工的违约责任：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08854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（7）其他：</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28934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16.1.3 因发包人违约解除合同</w:t>
      </w:r>
    </w:p>
    <w:p w14:paraId="607859A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承包人按16.1.1项〔发包人违约的情形〕约定暂停施工满</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天后发包人仍不纠正其违约行为并致使合同目的不能实现的，承包人有权解除合同。</w:t>
      </w:r>
    </w:p>
    <w:p w14:paraId="72DD23C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 承包人违约</w:t>
      </w:r>
    </w:p>
    <w:p w14:paraId="5EDB30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16.2.1 承包人违约的情形</w:t>
      </w:r>
    </w:p>
    <w:p w14:paraId="7E35D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承包人违约的其他情形：</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319C16C2">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16.2.2承包人违约的责任</w:t>
      </w:r>
    </w:p>
    <w:p w14:paraId="01E1AA30">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承包人违约责任的承担方式和计算方法：</w:t>
      </w:r>
      <w:r>
        <w:rPr>
          <w:rFonts w:hint="eastAsia" w:ascii="宋体" w:hAnsi="宋体" w:cs="宋体"/>
          <w:bCs/>
          <w:sz w:val="24"/>
          <w:highlight w:val="none"/>
          <w:u w:val="single"/>
        </w:rPr>
        <w:t>由承包人承担全部费用并承担相关法律责任</w:t>
      </w:r>
      <w:r>
        <w:rPr>
          <w:rFonts w:hint="eastAsia" w:ascii="宋体" w:hAnsi="宋体" w:cs="宋体"/>
          <w:bCs/>
          <w:sz w:val="24"/>
          <w:highlight w:val="none"/>
        </w:rPr>
        <w:t xml:space="preserve">。    </w:t>
      </w:r>
    </w:p>
    <w:p w14:paraId="1BFEEF3D">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16.2.3 因承包人违约解除合同</w:t>
      </w:r>
    </w:p>
    <w:p w14:paraId="4CBE1646">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关于承包人违约解除合同的特别约定：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44730C33">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发包人继续使用承包人在施工现场的材料、设备、临时工程、承包人文件和由承包人或以其名义编制的其他文件的费用承担方式：</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5B2C7F21">
      <w:pPr>
        <w:spacing w:before="120" w:after="120" w:line="360" w:lineRule="auto"/>
        <w:jc w:val="left"/>
        <w:rPr>
          <w:rFonts w:hint="eastAsia" w:ascii="宋体" w:hAnsi="宋体" w:cs="宋体"/>
          <w:bCs/>
          <w:sz w:val="24"/>
          <w:highlight w:val="none"/>
        </w:rPr>
      </w:pPr>
      <w:bookmarkStart w:id="606" w:name="_Toc351203649"/>
      <w:r>
        <w:rPr>
          <w:rFonts w:hint="eastAsia" w:ascii="宋体" w:hAnsi="宋体" w:cs="宋体"/>
          <w:bCs/>
          <w:sz w:val="24"/>
          <w:highlight w:val="none"/>
        </w:rPr>
        <w:t>17. 不可抗力</w:t>
      </w:r>
      <w:bookmarkEnd w:id="606"/>
      <w:r>
        <w:rPr>
          <w:rFonts w:hint="eastAsia" w:ascii="宋体" w:hAnsi="宋体" w:cs="宋体"/>
          <w:bCs/>
          <w:sz w:val="24"/>
          <w:highlight w:val="none"/>
        </w:rPr>
        <w:t xml:space="preserve"> </w:t>
      </w:r>
      <w:bookmarkEnd w:id="604"/>
    </w:p>
    <w:p w14:paraId="509AA0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 不可抗力的确认</w:t>
      </w:r>
    </w:p>
    <w:p w14:paraId="0B61B270">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除通用合同条款约定的不可抗力事件之外，视为不可抗力的其他情形：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51A882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17.4 因不可抗力解除合同</w:t>
      </w:r>
    </w:p>
    <w:p w14:paraId="7EC2FD04">
      <w:pPr>
        <w:spacing w:line="360" w:lineRule="auto"/>
        <w:ind w:firstLine="456" w:firstLineChars="200"/>
        <w:jc w:val="left"/>
        <w:rPr>
          <w:rFonts w:hint="eastAsia" w:ascii="宋体" w:hAnsi="宋体" w:cs="宋体"/>
          <w:bCs/>
          <w:sz w:val="24"/>
          <w:highlight w:val="none"/>
        </w:rPr>
      </w:pPr>
      <w:r>
        <w:rPr>
          <w:rFonts w:hint="eastAsia" w:ascii="宋体" w:hAnsi="宋体" w:cs="宋体"/>
          <w:bCs/>
          <w:spacing w:val="-6"/>
          <w:sz w:val="24"/>
          <w:highlight w:val="none"/>
        </w:rPr>
        <w:t>合同解除后，发包人应在商定或确定发包人应支付款项后</w:t>
      </w:r>
      <w:r>
        <w:rPr>
          <w:rFonts w:hint="eastAsia" w:ascii="宋体" w:hAnsi="宋体" w:cs="宋体"/>
          <w:bCs/>
          <w:spacing w:val="-6"/>
          <w:sz w:val="24"/>
          <w:highlight w:val="none"/>
          <w:u w:val="single"/>
        </w:rPr>
        <w:t>60</w:t>
      </w:r>
      <w:r>
        <w:rPr>
          <w:rFonts w:hint="eastAsia" w:ascii="宋体" w:hAnsi="宋体" w:cs="宋体"/>
          <w:bCs/>
          <w:spacing w:val="-6"/>
          <w:sz w:val="24"/>
          <w:highlight w:val="none"/>
        </w:rPr>
        <w:t>天内完成款项的支付。</w:t>
      </w:r>
    </w:p>
    <w:p w14:paraId="70BC8234">
      <w:pPr>
        <w:spacing w:before="120" w:after="120" w:line="360" w:lineRule="auto"/>
        <w:jc w:val="left"/>
        <w:rPr>
          <w:rFonts w:hint="eastAsia" w:ascii="宋体" w:hAnsi="宋体" w:cs="宋体"/>
          <w:bCs/>
          <w:sz w:val="24"/>
          <w:highlight w:val="none"/>
        </w:rPr>
      </w:pPr>
      <w:bookmarkStart w:id="607" w:name="_Toc351203650"/>
      <w:r>
        <w:rPr>
          <w:rFonts w:hint="eastAsia" w:ascii="宋体" w:hAnsi="宋体" w:cs="宋体"/>
          <w:bCs/>
          <w:sz w:val="24"/>
          <w:highlight w:val="none"/>
        </w:rPr>
        <w:t>18. 保险</w:t>
      </w:r>
      <w:bookmarkEnd w:id="607"/>
    </w:p>
    <w:bookmarkEnd w:id="605"/>
    <w:p w14:paraId="5911E8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18.1 工程保险</w:t>
      </w:r>
    </w:p>
    <w:p w14:paraId="2B3B25D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关于工程保险的特别约定：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7AE90797">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18.3 其他保险</w:t>
      </w:r>
    </w:p>
    <w:p w14:paraId="2CBA93D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关于其他保险的约定：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CA316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承包人是否应为其施工设备等办理财产保险：</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70EDCC3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18.7 通知义务</w:t>
      </w:r>
    </w:p>
    <w:p w14:paraId="17252B73">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关于变更保险合同时的通知义务的约定：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81"/>
    <w:bookmarkEnd w:id="582"/>
    <w:bookmarkEnd w:id="583"/>
    <w:bookmarkEnd w:id="584"/>
    <w:bookmarkEnd w:id="585"/>
    <w:bookmarkEnd w:id="586"/>
    <w:bookmarkEnd w:id="587"/>
    <w:bookmarkEnd w:id="588"/>
    <w:bookmarkEnd w:id="589"/>
    <w:bookmarkEnd w:id="590"/>
    <w:bookmarkEnd w:id="591"/>
    <w:bookmarkEnd w:id="592"/>
    <w:p w14:paraId="582F3F0C">
      <w:pPr>
        <w:widowControl/>
        <w:spacing w:line="460" w:lineRule="exact"/>
        <w:jc w:val="left"/>
        <w:rPr>
          <w:rFonts w:hint="eastAsia" w:ascii="宋体" w:hAnsi="宋体" w:cs="宋体"/>
          <w:bCs/>
          <w:sz w:val="24"/>
          <w:highlight w:val="none"/>
        </w:rPr>
      </w:pPr>
      <w:bookmarkStart w:id="608" w:name="_Toc351203651"/>
      <w:r>
        <w:rPr>
          <w:rFonts w:hint="eastAsia" w:ascii="宋体" w:hAnsi="宋体" w:cs="宋体"/>
          <w:bCs/>
          <w:sz w:val="24"/>
          <w:highlight w:val="none"/>
        </w:rPr>
        <w:t>20. 争议解决</w:t>
      </w:r>
      <w:bookmarkEnd w:id="608"/>
    </w:p>
    <w:bookmarkEnd w:id="593"/>
    <w:bookmarkEnd w:id="594"/>
    <w:p w14:paraId="4DE8152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 争</w:t>
      </w:r>
      <w:bookmarkEnd w:id="595"/>
      <w:r>
        <w:rPr>
          <w:rFonts w:hint="eastAsia" w:ascii="宋体" w:hAnsi="宋体" w:cs="宋体"/>
          <w:bCs/>
          <w:sz w:val="24"/>
          <w:highlight w:val="none"/>
        </w:rPr>
        <w:t>议评审</w:t>
      </w:r>
    </w:p>
    <w:p w14:paraId="1A1EA43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合同当事人是否同意将工程争议提交争议评审小组决定：</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4A09A8A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20.3.1 争议评审小组的确定</w:t>
      </w:r>
    </w:p>
    <w:p w14:paraId="4F6E34FF">
      <w:pPr>
        <w:widowControl/>
        <w:spacing w:line="460" w:lineRule="exact"/>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争议评审小组成员的确定：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7640D1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选定争议评审员的期限：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B0C532F">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争议评审小组成员的报酬承担方式：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3900CB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其他事项的约定：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5FBD16">
      <w:pPr>
        <w:widowControl/>
        <w:autoSpaceDE w:val="0"/>
        <w:autoSpaceDN w:val="0"/>
        <w:adjustRightInd w:val="0"/>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20.3.2 争议评审小组的决定</w:t>
      </w:r>
    </w:p>
    <w:p w14:paraId="183675F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合同当事人关于本项的约定：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51640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20.4仲裁或诉讼</w:t>
      </w:r>
      <w:bookmarkEnd w:id="596"/>
    </w:p>
    <w:p w14:paraId="71BF937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因合同及合同有关事项发生的争议，按下列第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种方式解决：</w:t>
      </w:r>
    </w:p>
    <w:p w14:paraId="1E4D70F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（1）向</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仲裁委员会申请仲裁；</w:t>
      </w:r>
    </w:p>
    <w:p w14:paraId="6C948B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（2）向</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人民法院起诉。</w:t>
      </w:r>
      <w:bookmarkEnd w:id="597"/>
      <w:bookmarkEnd w:id="598"/>
      <w:bookmarkEnd w:id="599"/>
      <w:bookmarkEnd w:id="600"/>
      <w:bookmarkEnd w:id="601"/>
      <w:bookmarkEnd w:id="602"/>
    </w:p>
    <w:p w14:paraId="19A597D1">
      <w:pPr>
        <w:rPr>
          <w:rFonts w:hint="eastAsia" w:ascii="宋体" w:hAnsi="宋体" w:cs="宋体"/>
          <w:sz w:val="24"/>
          <w:szCs w:val="24"/>
          <w:highlight w:val="none"/>
        </w:rPr>
      </w:pPr>
    </w:p>
    <w:p w14:paraId="03FC2EB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w:t>
      </w:r>
    </w:p>
    <w:p w14:paraId="30BA05B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附件1：发包人供应材料设备一览表</w:t>
      </w:r>
    </w:p>
    <w:p w14:paraId="2D009A7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附件2：工程质量保修书</w:t>
      </w:r>
    </w:p>
    <w:p w14:paraId="1C79F22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附件3：主要建设工程文件目录</w:t>
      </w:r>
    </w:p>
    <w:p w14:paraId="4C682592">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附件4：承包人用于本工程施工的机械设备表</w:t>
      </w:r>
    </w:p>
    <w:p w14:paraId="5DF277AD">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附件5：承包人主要施工管理人员表</w:t>
      </w:r>
    </w:p>
    <w:p w14:paraId="6191E983">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附件6：暂估价一览表</w:t>
      </w:r>
    </w:p>
    <w:p w14:paraId="7B62812B">
      <w:pPr>
        <w:widowControl/>
        <w:spacing w:line="460" w:lineRule="exact"/>
        <w:jc w:val="left"/>
        <w:rPr>
          <w:rFonts w:ascii="宋体" w:hAnsi="宋体" w:cs="宋体"/>
          <w:bCs/>
          <w:sz w:val="24"/>
          <w:highlight w:val="none"/>
        </w:rPr>
      </w:pPr>
      <w:r>
        <w:rPr>
          <w:rFonts w:hint="eastAsia" w:ascii="宋体" w:hAnsi="宋体" w:cs="宋体"/>
          <w:bCs/>
          <w:sz w:val="24"/>
          <w:highlight w:val="none"/>
        </w:rPr>
        <w:t>（上述附件具体选用参见《建设工程施工合同》（示范文本）（GF-201</w:t>
      </w:r>
      <w:r>
        <w:rPr>
          <w:rFonts w:ascii="宋体" w:hAnsi="宋体" w:cs="宋体"/>
          <w:bCs/>
          <w:sz w:val="24"/>
          <w:highlight w:val="none"/>
        </w:rPr>
        <w:t>7</w:t>
      </w:r>
      <w:r>
        <w:rPr>
          <w:rFonts w:hint="eastAsia" w:ascii="宋体" w:hAnsi="宋体" w:cs="宋体"/>
          <w:bCs/>
          <w:sz w:val="24"/>
          <w:highlight w:val="none"/>
        </w:rPr>
        <w:t>-0201）中的格式）</w:t>
      </w:r>
    </w:p>
    <w:p w14:paraId="1F4D8FD0">
      <w:pPr>
        <w:adjustRightInd w:val="0"/>
        <w:snapToGrid w:val="0"/>
        <w:spacing w:before="60" w:after="60" w:line="360" w:lineRule="auto"/>
        <w:jc w:val="center"/>
        <w:rPr>
          <w:rFonts w:hAnsi="宋体" w:cs="宋体"/>
          <w:b/>
          <w:bCs/>
          <w:color w:val="auto"/>
          <w:spacing w:val="100"/>
          <w:kern w:val="16"/>
          <w:sz w:val="52"/>
          <w:szCs w:val="52"/>
          <w:highlight w:val="none"/>
        </w:rPr>
      </w:pPr>
    </w:p>
    <w:p w14:paraId="6ED77606">
      <w:pPr>
        <w:tabs>
          <w:tab w:val="left" w:pos="1175"/>
          <w:tab w:val="left" w:pos="2975"/>
          <w:tab w:val="left" w:pos="3455"/>
          <w:tab w:val="left" w:pos="3935"/>
          <w:tab w:val="left" w:pos="3995"/>
          <w:tab w:val="left" w:pos="4415"/>
          <w:tab w:val="left" w:pos="7475"/>
          <w:tab w:val="left" w:pos="7715"/>
        </w:tabs>
        <w:spacing w:line="360" w:lineRule="auto"/>
        <w:jc w:val="left"/>
        <w:rPr>
          <w:rFonts w:hAnsi="宋体" w:cs="宋体"/>
          <w:color w:val="auto"/>
          <w:kern w:val="2"/>
          <w:szCs w:val="24"/>
          <w:highlight w:val="none"/>
        </w:rPr>
        <w:sectPr>
          <w:footerReference r:id="rId8" w:type="default"/>
          <w:pgSz w:w="11911" w:h="16838"/>
          <w:pgMar w:top="1417" w:right="1417" w:bottom="1417" w:left="1417" w:header="771" w:footer="771" w:gutter="0"/>
          <w:pgNumType w:fmt="decimal"/>
          <w:cols w:space="720" w:num="1"/>
          <w:docGrid w:linePitch="1" w:charSpace="0"/>
        </w:sectPr>
      </w:pPr>
    </w:p>
    <w:bookmarkEnd w:id="43"/>
    <w:bookmarkEnd w:id="44"/>
    <w:bookmarkEnd w:id="45"/>
    <w:bookmarkEnd w:id="46"/>
    <w:bookmarkEnd w:id="47"/>
    <w:bookmarkEnd w:id="48"/>
    <w:bookmarkEnd w:id="49"/>
    <w:bookmarkEnd w:id="50"/>
    <w:bookmarkEnd w:id="51"/>
    <w:p w14:paraId="5BFA6A6D">
      <w:pPr>
        <w:pStyle w:val="2"/>
        <w:jc w:val="center"/>
        <w:rPr>
          <w:rFonts w:ascii="宋体" w:eastAsia="宋体" w:cs="宋体"/>
          <w:bCs/>
          <w:color w:val="auto"/>
          <w:szCs w:val="36"/>
          <w:highlight w:val="none"/>
        </w:rPr>
      </w:pPr>
      <w:bookmarkStart w:id="609" w:name="_Toc27319"/>
      <w:r>
        <w:rPr>
          <w:rFonts w:hint="eastAsia" w:ascii="宋体" w:eastAsia="宋体" w:cs="宋体"/>
          <w:bCs/>
          <w:color w:val="auto"/>
          <w:szCs w:val="36"/>
          <w:highlight w:val="none"/>
        </w:rPr>
        <w:t>第五章  磋商内容及技术要求</w:t>
      </w:r>
      <w:bookmarkEnd w:id="609"/>
      <w:bookmarkStart w:id="610" w:name="_Toc20481"/>
      <w:bookmarkStart w:id="611" w:name="_Toc23856"/>
      <w:bookmarkStart w:id="612" w:name="_Toc4053"/>
      <w:bookmarkStart w:id="613" w:name="_Toc389582038"/>
      <w:bookmarkStart w:id="614" w:name="_Toc2711"/>
      <w:bookmarkStart w:id="615" w:name="_Toc1025"/>
      <w:bookmarkStart w:id="616" w:name="_Toc11450"/>
    </w:p>
    <w:bookmarkEnd w:id="40"/>
    <w:bookmarkEnd w:id="610"/>
    <w:bookmarkEnd w:id="611"/>
    <w:bookmarkEnd w:id="612"/>
    <w:bookmarkEnd w:id="613"/>
    <w:bookmarkEnd w:id="614"/>
    <w:bookmarkEnd w:id="615"/>
    <w:bookmarkEnd w:id="616"/>
    <w:p w14:paraId="6073F6C6">
      <w:pPr>
        <w:spacing w:line="360" w:lineRule="auto"/>
        <w:ind w:firstLine="482" w:firstLineChars="200"/>
        <w:rPr>
          <w:rFonts w:hint="eastAsia" w:ascii="宋体" w:hAnsi="宋体" w:cs="宋体"/>
          <w:b/>
          <w:bCs/>
          <w:sz w:val="24"/>
          <w:szCs w:val="24"/>
          <w:highlight w:val="none"/>
        </w:rPr>
      </w:pPr>
      <w:bookmarkStart w:id="617" w:name="_Toc5084"/>
      <w:bookmarkStart w:id="618" w:name="_Toc8141"/>
      <w:bookmarkStart w:id="619" w:name="_Toc403077646"/>
      <w:bookmarkStart w:id="620" w:name="_Toc423973079"/>
      <w:bookmarkStart w:id="621" w:name="_Toc363474025"/>
      <w:r>
        <w:rPr>
          <w:rFonts w:hint="eastAsia" w:ascii="宋体" w:hAnsi="宋体" w:cs="宋体"/>
          <w:b/>
          <w:bCs/>
          <w:sz w:val="24"/>
          <w:szCs w:val="24"/>
          <w:highlight w:val="none"/>
        </w:rPr>
        <w:t>一、工程概况</w:t>
      </w:r>
    </w:p>
    <w:p w14:paraId="39434C9F">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1、工程名称：宝鸡市中医医院西院区手术室层流净化改造建设</w:t>
      </w:r>
    </w:p>
    <w:p w14:paraId="09C9F39A">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2、建设单位：宝鸡市中医医院</w:t>
      </w:r>
    </w:p>
    <w:p w14:paraId="18D4C286">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3、工程地点：陕西省宝鸡市中医医院西院区（宝鸡市金台区宝福路43号）</w:t>
      </w:r>
    </w:p>
    <w:p w14:paraId="27757451">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4、工程内容：</w:t>
      </w:r>
    </w:p>
    <w:p w14:paraId="3B55AD24">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本项目为宝鸡市中医医院手术室净化空调设备拆除、更换工程。本次设计改造内容主要为手术室组合式净化空调机组及室外模块式空调机组拆除、更换安装。组合式净化空调机组11台,模块式空调机组6台,空调水循环泵3台。</w:t>
      </w:r>
    </w:p>
    <w:p w14:paraId="3B6B5B6F">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2、总电源箱、及主电缆全部更换。新采购设备配电源及自控系统控制箱、桥架、电缆等。</w:t>
      </w:r>
    </w:p>
    <w:p w14:paraId="03E4E67C">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3、机房内所有送、排风管道系统不做改动。空调水系统主管道不做改动,接设备的支管及阀门全部拆除更换。</w:t>
      </w:r>
    </w:p>
    <w:p w14:paraId="47072B98">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4、室外空调水系统所有管道、阀门全部拆除更换,室外设备支架重新除锈做防腐处理。</w:t>
      </w:r>
    </w:p>
    <w:p w14:paraId="2E760F4E">
      <w:pPr>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二、编制依据</w:t>
      </w:r>
    </w:p>
    <w:p w14:paraId="363C6668">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1、本工程依据《宝鸡市中医医院西院区手术室层流净化改造建设》图纸及其他相关资料。</w:t>
      </w:r>
    </w:p>
    <w:p w14:paraId="4C50619F">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2、采用与建设项目相关的标准、规范及技术资料。</w:t>
      </w:r>
    </w:p>
    <w:p w14:paraId="3A644C40">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3、施工现场情况、工程特点及合理施工方案、合理工期。</w:t>
      </w:r>
    </w:p>
    <w:p w14:paraId="49093BEC">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4、《陕西省工程造价管理办法》（陕西省人民政府令第133号）。</w:t>
      </w:r>
    </w:p>
    <w:p w14:paraId="67C9E901">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5、陕西省《建设工程工程量清单计价标准》DB 61/T5126-2025。</w:t>
      </w:r>
    </w:p>
    <w:p w14:paraId="45E9F5D2">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6、工程暂列金0.00元，计入其他项目费，取费后为0.00元。</w:t>
      </w:r>
    </w:p>
    <w:p w14:paraId="1A94F2AC">
      <w:pPr>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三、其他说明</w:t>
      </w:r>
    </w:p>
    <w:p w14:paraId="4C11540B">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1、本工程工程量清单仅描述主要特征，如描述不完整以施工图纸及技术要求方案为准；</w:t>
      </w:r>
    </w:p>
    <w:p w14:paraId="62E5F74A">
      <w:pPr>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四、最高投标限价电子版本：</w:t>
      </w:r>
    </w:p>
    <w:p w14:paraId="5BD29A25">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广联达云计价平台GCCP7.0,版本：陕西地区7.5000.23.1。</w:t>
      </w:r>
    </w:p>
    <w:p w14:paraId="060BC933">
      <w:pPr>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br w:type="page"/>
      </w:r>
    </w:p>
    <w:p w14:paraId="4309EDF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eastAsia="宋体" w:cs="宋体"/>
          <w:b/>
          <w:bCs/>
          <w:sz w:val="24"/>
          <w:szCs w:val="24"/>
          <w:highlight w:val="none"/>
        </w:rPr>
      </w:pPr>
      <w:r>
        <w:rPr>
          <w:rFonts w:hint="eastAsia" w:ascii="宋体" w:hAnsi="宋体" w:eastAsia="宋体" w:cs="宋体"/>
          <w:b/>
          <w:bCs/>
          <w:color w:val="000000"/>
          <w:kern w:val="0"/>
          <w:sz w:val="24"/>
          <w:szCs w:val="24"/>
          <w:highlight w:val="none"/>
          <w:lang w:val="en-US" w:eastAsia="zh-CN" w:bidi="ar"/>
        </w:rPr>
        <w:t>五、采购范围</w:t>
      </w:r>
    </w:p>
    <w:p w14:paraId="71FBF51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2"/>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1、原有旧设备拆除</w:t>
      </w:r>
    </w:p>
    <w:p w14:paraId="6B1263F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7台</w:t>
      </w:r>
      <w:r>
        <w:rPr>
          <w:rFonts w:hint="eastAsia" w:ascii="宋体" w:hAnsi="宋体" w:eastAsia="宋体" w:cs="宋体"/>
          <w:sz w:val="24"/>
          <w:szCs w:val="24"/>
          <w:highlight w:val="none"/>
          <w:lang w:val="en-US" w:eastAsia="zh-CN"/>
        </w:rPr>
        <w:t>风冷热泵模块机组</w:t>
      </w:r>
      <w:r>
        <w:rPr>
          <w:rFonts w:hint="eastAsia" w:ascii="宋体" w:hAnsi="宋体" w:eastAsia="宋体" w:cs="宋体"/>
          <w:color w:val="000000"/>
          <w:kern w:val="0"/>
          <w:sz w:val="24"/>
          <w:szCs w:val="24"/>
          <w:highlight w:val="none"/>
          <w:lang w:val="en-US" w:eastAsia="zh-CN" w:bidi="ar"/>
        </w:rPr>
        <w:t>、11台净化设备、11套自动系统控制柜、1套软水设备、1套水循环系统、原管道及阀门组件等，详见清单。（</w:t>
      </w:r>
      <w:r>
        <w:rPr>
          <w:rFonts w:hint="eastAsia" w:ascii="宋体" w:hAnsi="宋体" w:eastAsia="宋体" w:cs="宋体"/>
          <w:color w:val="auto"/>
          <w:kern w:val="0"/>
          <w:sz w:val="24"/>
          <w:szCs w:val="24"/>
          <w:highlight w:val="none"/>
          <w:lang w:val="en-US" w:eastAsia="zh-CN" w:bidi="ar"/>
        </w:rPr>
        <w:t>注：原设备拆除后按采购人要求处置，不得擅自处置）</w:t>
      </w:r>
    </w:p>
    <w:tbl>
      <w:tblPr>
        <w:tblStyle w:val="2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0"/>
        <w:gridCol w:w="3816"/>
        <w:gridCol w:w="2610"/>
        <w:gridCol w:w="901"/>
        <w:gridCol w:w="1061"/>
      </w:tblGrid>
      <w:tr w14:paraId="6A676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000" w:type="pct"/>
            <w:gridSpan w:val="5"/>
            <w:tcBorders>
              <w:top w:val="single" w:color="000000" w:sz="4" w:space="0"/>
              <w:left w:val="single" w:color="000000" w:sz="4" w:space="0"/>
              <w:bottom w:val="single" w:color="000000" w:sz="4" w:space="0"/>
              <w:right w:val="nil"/>
            </w:tcBorders>
            <w:shd w:val="clear" w:color="auto" w:fill="auto"/>
            <w:noWrap/>
            <w:vAlign w:val="center"/>
          </w:tcPr>
          <w:p w14:paraId="1FCB7242">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宝鸡市中医医院西院区手术室净化空调机组及配套设备拆除清单</w:t>
            </w:r>
          </w:p>
        </w:tc>
      </w:tr>
      <w:tr w14:paraId="604A5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6E518">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室外机部分</w:t>
            </w:r>
          </w:p>
        </w:tc>
      </w:tr>
      <w:tr w14:paraId="27A90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BC16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序号</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A442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名称</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F0DC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规格</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3DE8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单位</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C1EA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数量</w:t>
            </w:r>
          </w:p>
        </w:tc>
      </w:tr>
      <w:tr w14:paraId="48909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2427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54" w:type="pct"/>
            <w:tcBorders>
              <w:top w:val="nil"/>
              <w:left w:val="single" w:color="000000" w:sz="4" w:space="0"/>
              <w:bottom w:val="single" w:color="000000" w:sz="4" w:space="0"/>
              <w:right w:val="single" w:color="000000" w:sz="4" w:space="0"/>
            </w:tcBorders>
            <w:shd w:val="clear" w:color="auto" w:fill="auto"/>
            <w:noWrap/>
            <w:vAlign w:val="center"/>
          </w:tcPr>
          <w:p w14:paraId="2976D5C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风冷热泵模块机</w:t>
            </w:r>
          </w:p>
        </w:tc>
        <w:tc>
          <w:tcPr>
            <w:tcW w:w="1405" w:type="pct"/>
            <w:tcBorders>
              <w:top w:val="nil"/>
              <w:left w:val="single" w:color="000000" w:sz="4" w:space="0"/>
              <w:bottom w:val="single" w:color="000000" w:sz="4" w:space="0"/>
              <w:right w:val="single" w:color="000000" w:sz="4" w:space="0"/>
            </w:tcBorders>
            <w:shd w:val="clear" w:color="auto" w:fill="auto"/>
            <w:noWrap/>
            <w:vAlign w:val="center"/>
          </w:tcPr>
          <w:p w14:paraId="480913FE">
            <w:pPr>
              <w:spacing w:line="360" w:lineRule="auto"/>
              <w:jc w:val="center"/>
              <w:rPr>
                <w:rFonts w:hint="eastAsia" w:ascii="宋体" w:hAnsi="宋体" w:eastAsia="宋体" w:cs="宋体"/>
                <w:i w:val="0"/>
                <w:iCs w:val="0"/>
                <w:color w:val="000000"/>
                <w:sz w:val="24"/>
                <w:szCs w:val="24"/>
                <w:highlight w:val="none"/>
                <w:u w:val="none"/>
              </w:rPr>
            </w:pPr>
          </w:p>
        </w:tc>
        <w:tc>
          <w:tcPr>
            <w:tcW w:w="485" w:type="pct"/>
            <w:tcBorders>
              <w:top w:val="nil"/>
              <w:left w:val="single" w:color="000000" w:sz="4" w:space="0"/>
              <w:bottom w:val="single" w:color="000000" w:sz="4" w:space="0"/>
              <w:right w:val="single" w:color="000000" w:sz="4" w:space="0"/>
            </w:tcBorders>
            <w:shd w:val="clear" w:color="auto" w:fill="auto"/>
            <w:noWrap/>
            <w:vAlign w:val="center"/>
          </w:tcPr>
          <w:p w14:paraId="6ACA40F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568" w:type="pct"/>
            <w:tcBorders>
              <w:top w:val="nil"/>
              <w:left w:val="single" w:color="000000" w:sz="4" w:space="0"/>
              <w:bottom w:val="single" w:color="000000" w:sz="4" w:space="0"/>
              <w:right w:val="single" w:color="000000" w:sz="4" w:space="0"/>
            </w:tcBorders>
            <w:shd w:val="clear" w:color="auto" w:fill="auto"/>
            <w:noWrap/>
            <w:vAlign w:val="center"/>
          </w:tcPr>
          <w:p w14:paraId="0FD93C0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r>
      <w:tr w14:paraId="1C04D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7075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8F38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模块机自控系统</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4A57D">
            <w:pPr>
              <w:spacing w:line="360" w:lineRule="auto"/>
              <w:jc w:val="center"/>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7FF4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项</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205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r>
      <w:tr w14:paraId="35CAF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C4AB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054" w:type="pct"/>
            <w:tcBorders>
              <w:top w:val="nil"/>
              <w:left w:val="single" w:color="000000" w:sz="4" w:space="0"/>
              <w:bottom w:val="single" w:color="000000" w:sz="4" w:space="0"/>
              <w:right w:val="single" w:color="000000" w:sz="4" w:space="0"/>
            </w:tcBorders>
            <w:shd w:val="clear" w:color="auto" w:fill="auto"/>
            <w:noWrap/>
            <w:vAlign w:val="center"/>
          </w:tcPr>
          <w:p w14:paraId="183F8E1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空调水循环泵</w:t>
            </w:r>
          </w:p>
        </w:tc>
        <w:tc>
          <w:tcPr>
            <w:tcW w:w="1405" w:type="pct"/>
            <w:tcBorders>
              <w:top w:val="nil"/>
              <w:left w:val="single" w:color="000000" w:sz="4" w:space="0"/>
              <w:bottom w:val="single" w:color="000000" w:sz="4" w:space="0"/>
              <w:right w:val="single" w:color="000000" w:sz="4" w:space="0"/>
            </w:tcBorders>
            <w:shd w:val="clear" w:color="auto" w:fill="auto"/>
            <w:vAlign w:val="center"/>
          </w:tcPr>
          <w:p w14:paraId="635761DA">
            <w:pPr>
              <w:spacing w:line="360" w:lineRule="auto"/>
              <w:jc w:val="center"/>
              <w:rPr>
                <w:rFonts w:hint="eastAsia" w:ascii="宋体" w:hAnsi="宋体" w:eastAsia="宋体" w:cs="宋体"/>
                <w:i w:val="0"/>
                <w:iCs w:val="0"/>
                <w:color w:val="000000"/>
                <w:sz w:val="24"/>
                <w:szCs w:val="24"/>
                <w:highlight w:val="none"/>
                <w:u w:val="none"/>
              </w:rPr>
            </w:pPr>
          </w:p>
        </w:tc>
        <w:tc>
          <w:tcPr>
            <w:tcW w:w="485" w:type="pct"/>
            <w:tcBorders>
              <w:top w:val="nil"/>
              <w:left w:val="single" w:color="000000" w:sz="4" w:space="0"/>
              <w:bottom w:val="single" w:color="000000" w:sz="4" w:space="0"/>
              <w:right w:val="single" w:color="000000" w:sz="4" w:space="0"/>
            </w:tcBorders>
            <w:shd w:val="clear" w:color="auto" w:fill="auto"/>
            <w:noWrap/>
            <w:vAlign w:val="center"/>
          </w:tcPr>
          <w:p w14:paraId="493588D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568" w:type="pct"/>
            <w:tcBorders>
              <w:top w:val="nil"/>
              <w:left w:val="single" w:color="000000" w:sz="4" w:space="0"/>
              <w:bottom w:val="single" w:color="000000" w:sz="4" w:space="0"/>
              <w:right w:val="single" w:color="000000" w:sz="4" w:space="0"/>
            </w:tcBorders>
            <w:shd w:val="clear" w:color="auto" w:fill="auto"/>
            <w:noWrap/>
            <w:vAlign w:val="center"/>
          </w:tcPr>
          <w:p w14:paraId="26C2A68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r>
      <w:tr w14:paraId="57B89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7E1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B864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水泵变频控制柜</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51AA4">
            <w:pPr>
              <w:spacing w:line="360" w:lineRule="auto"/>
              <w:jc w:val="center"/>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4470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DACD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r>
      <w:tr w14:paraId="21348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7DDB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3572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焊接钢管</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9829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DN65</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6FDF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米</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926B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46</w:t>
            </w:r>
          </w:p>
        </w:tc>
      </w:tr>
      <w:tr w14:paraId="1CD87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D789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14CD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螺旋焊管</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A444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DN250</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ED60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米</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6796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75</w:t>
            </w:r>
          </w:p>
        </w:tc>
      </w:tr>
      <w:tr w14:paraId="54400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0CB0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BBAB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弯头</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1967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DN65</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0CF7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BD27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14</w:t>
            </w:r>
          </w:p>
        </w:tc>
      </w:tr>
      <w:tr w14:paraId="28B1E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388E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E85E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堵头</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9CA4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DN65</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28BC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1514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r>
      <w:tr w14:paraId="6285A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B467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2022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弯头</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B383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DN250</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C70D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A7A1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r>
      <w:tr w14:paraId="15332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2365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A6DC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堵头</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A8A7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DN250</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B804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01D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r>
      <w:tr w14:paraId="276C1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8608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E7EE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Y型过滤器</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7368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DN65</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8569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2AEF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14</w:t>
            </w:r>
          </w:p>
        </w:tc>
      </w:tr>
      <w:tr w14:paraId="65DDC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DEC3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FDA4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涡轮蝶阀</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028A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DN65</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57D2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4C1F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14</w:t>
            </w:r>
          </w:p>
        </w:tc>
      </w:tr>
      <w:tr w14:paraId="37693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E289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13</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9265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橡胶软接</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0C9B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DN65</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C620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E162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14</w:t>
            </w:r>
          </w:p>
        </w:tc>
      </w:tr>
      <w:tr w14:paraId="19742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1A89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14</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6154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法兰</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6F82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DN65</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2713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69CA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72</w:t>
            </w:r>
          </w:p>
        </w:tc>
      </w:tr>
      <w:tr w14:paraId="376DC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8973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D27D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Y型过滤器</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FF14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DN250</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054D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B393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r>
      <w:tr w14:paraId="29D7C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1053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16</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747C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涡轮蝶阀</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8E3C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DN250</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954E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841A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r>
      <w:tr w14:paraId="47566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04F3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17</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A696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橡胶软接</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7B5F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DN250</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67EC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4364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r>
      <w:tr w14:paraId="3E83C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BB8D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7497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止回阀</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5179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DN250</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91CB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A941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r>
      <w:tr w14:paraId="1085C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5EB2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19</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8A66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法兰</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6993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DN250</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F870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个</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DA5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r>
      <w:tr w14:paraId="65BD2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A048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24AA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橡塑保温</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D2C7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25mm</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71E2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平米</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0BC7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135</w:t>
            </w:r>
          </w:p>
        </w:tc>
      </w:tr>
      <w:tr w14:paraId="6A4DB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DAF2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21</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6AEF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铝皮保护层</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4A5B8">
            <w:pPr>
              <w:spacing w:line="360" w:lineRule="auto"/>
              <w:jc w:val="center"/>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9373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平米</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41E3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135</w:t>
            </w:r>
          </w:p>
        </w:tc>
      </w:tr>
      <w:tr w14:paraId="708A9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B2A6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22</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A4B0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软水设备</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EAF8F">
            <w:pPr>
              <w:spacing w:line="360" w:lineRule="auto"/>
              <w:jc w:val="center"/>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D842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8EF8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r>
      <w:tr w14:paraId="37929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1B65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23</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9A86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桥架、线管</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04037">
            <w:pPr>
              <w:spacing w:line="360" w:lineRule="auto"/>
              <w:jc w:val="center"/>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B057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批</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EE25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r>
      <w:tr w14:paraId="19253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74C4D">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室内机部分</w:t>
            </w:r>
          </w:p>
        </w:tc>
      </w:tr>
      <w:tr w14:paraId="5E1CF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2D47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27E0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手术室内情报面板</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9E810">
            <w:pPr>
              <w:spacing w:line="360" w:lineRule="auto"/>
              <w:jc w:val="center"/>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629D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7266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10.00 </w:t>
            </w:r>
          </w:p>
        </w:tc>
      </w:tr>
      <w:tr w14:paraId="667BF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26AB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C527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净化机组（新风）PAU01/02</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E61D7">
            <w:pPr>
              <w:spacing w:line="360" w:lineRule="auto"/>
              <w:jc w:val="center"/>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C917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93E3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2.00 </w:t>
            </w:r>
          </w:p>
        </w:tc>
      </w:tr>
      <w:tr w14:paraId="542B5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97B6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71E9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净化机组 AHU1</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90999">
            <w:pPr>
              <w:spacing w:line="360" w:lineRule="auto"/>
              <w:jc w:val="center"/>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BCD91">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4908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1.00 </w:t>
            </w:r>
          </w:p>
        </w:tc>
      </w:tr>
      <w:tr w14:paraId="4E5A3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36A7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2074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净化机组 AHU2</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9DFAC">
            <w:pPr>
              <w:spacing w:line="360" w:lineRule="auto"/>
              <w:jc w:val="center"/>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FE31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2FD5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1.00 </w:t>
            </w:r>
          </w:p>
        </w:tc>
      </w:tr>
      <w:tr w14:paraId="11AD0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422C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1362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净化机组 AHU3/4</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B6E22">
            <w:pPr>
              <w:spacing w:line="360" w:lineRule="auto"/>
              <w:jc w:val="center"/>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D796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B345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2.00 </w:t>
            </w:r>
          </w:p>
        </w:tc>
      </w:tr>
      <w:tr w14:paraId="55F94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2246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2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5FE4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净化机组 AHU5/6</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AAAEE">
            <w:pPr>
              <w:spacing w:line="360" w:lineRule="auto"/>
              <w:jc w:val="center"/>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9D4E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8DE4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2.00 </w:t>
            </w:r>
          </w:p>
        </w:tc>
      </w:tr>
      <w:tr w14:paraId="4D646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7E1F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2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936B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净化机组 AHU7</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AEDBA">
            <w:pPr>
              <w:spacing w:line="360" w:lineRule="auto"/>
              <w:jc w:val="center"/>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B1AB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D98F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1.00 </w:t>
            </w:r>
          </w:p>
        </w:tc>
      </w:tr>
      <w:tr w14:paraId="683CB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6487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2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5328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净化机组 AHU8</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A68FB">
            <w:pPr>
              <w:spacing w:line="360" w:lineRule="auto"/>
              <w:jc w:val="center"/>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7FE9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CF6D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1.00 </w:t>
            </w:r>
          </w:p>
        </w:tc>
      </w:tr>
      <w:tr w14:paraId="69AB8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7437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2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8E9C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净化机组 AHU9</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9F1FC">
            <w:pPr>
              <w:spacing w:line="360" w:lineRule="auto"/>
              <w:jc w:val="center"/>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35B0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D21B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1.00 </w:t>
            </w:r>
          </w:p>
        </w:tc>
      </w:tr>
      <w:tr w14:paraId="0C90B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629A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8D71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净化机组自控柜</w:t>
            </w:r>
          </w:p>
        </w:tc>
        <w:tc>
          <w:tcPr>
            <w:tcW w:w="1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9EE3F">
            <w:pPr>
              <w:spacing w:line="360" w:lineRule="auto"/>
              <w:jc w:val="left"/>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93E7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台</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5812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11.00 </w:t>
            </w:r>
          </w:p>
        </w:tc>
      </w:tr>
      <w:tr w14:paraId="71393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BCC0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6017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远程控制系统</w:t>
            </w:r>
          </w:p>
        </w:tc>
        <w:tc>
          <w:tcPr>
            <w:tcW w:w="1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EF00A">
            <w:pPr>
              <w:spacing w:line="360" w:lineRule="auto"/>
              <w:jc w:val="left"/>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EAFB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1AEC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1.00 </w:t>
            </w:r>
          </w:p>
        </w:tc>
      </w:tr>
      <w:tr w14:paraId="3C3EF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0C78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20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BDD6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辅区、清洁、净化走廊、高效过滤器更换</w:t>
            </w:r>
          </w:p>
        </w:tc>
        <w:tc>
          <w:tcPr>
            <w:tcW w:w="1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953C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高效过滤器规格：484*484*220mm</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04EB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5AB4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39.00</w:t>
            </w:r>
          </w:p>
        </w:tc>
      </w:tr>
      <w:tr w14:paraId="5B21A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7BED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13</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2507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手术室内高效过滤器</w:t>
            </w:r>
          </w:p>
        </w:tc>
        <w:tc>
          <w:tcPr>
            <w:tcW w:w="1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45F1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高效过滤器规格：726*484*220mm</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0D73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1E4F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3.00</w:t>
            </w:r>
          </w:p>
        </w:tc>
      </w:tr>
      <w:tr w14:paraId="1A5F5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1970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14</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447A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手术室内高效过滤器</w:t>
            </w:r>
          </w:p>
        </w:tc>
        <w:tc>
          <w:tcPr>
            <w:tcW w:w="1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4F9F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高效过滤器规格：305*610*292mm</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E2E3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42BE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28.00</w:t>
            </w:r>
          </w:p>
        </w:tc>
      </w:tr>
      <w:tr w14:paraId="7907D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8848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2044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手术室内高效过滤器</w:t>
            </w:r>
          </w:p>
        </w:tc>
        <w:tc>
          <w:tcPr>
            <w:tcW w:w="1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821B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高效过滤器规格：850*610*70mm</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EDF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8D14A">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6.00</w:t>
            </w:r>
          </w:p>
        </w:tc>
      </w:tr>
      <w:tr w14:paraId="2255D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8CF8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16</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9430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手术室内高效过滤器</w:t>
            </w:r>
          </w:p>
        </w:tc>
        <w:tc>
          <w:tcPr>
            <w:tcW w:w="1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0311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高效过滤器规格：305*760*70mm</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F4E4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40C3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18.00</w:t>
            </w:r>
          </w:p>
        </w:tc>
      </w:tr>
      <w:tr w14:paraId="634DE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C121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17</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66BA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手术室内高效过滤器</w:t>
            </w:r>
          </w:p>
        </w:tc>
        <w:tc>
          <w:tcPr>
            <w:tcW w:w="1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DD2E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高效过滤器规格：760*610*70mm</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D568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套</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F413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18.00</w:t>
            </w:r>
          </w:p>
        </w:tc>
      </w:tr>
      <w:tr w14:paraId="7E6DB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AEB2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57A66">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桥架、线管、水管</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E3C96">
            <w:pPr>
              <w:spacing w:line="360" w:lineRule="auto"/>
              <w:jc w:val="center"/>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C0C9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批</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2208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r>
      <w:tr w14:paraId="3B637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30E9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19</w:t>
            </w:r>
          </w:p>
        </w:tc>
        <w:tc>
          <w:tcPr>
            <w:tcW w:w="2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480E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清理原机房内杂物</w:t>
            </w:r>
          </w:p>
        </w:tc>
        <w:tc>
          <w:tcPr>
            <w:tcW w:w="1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FEF20">
            <w:pPr>
              <w:spacing w:line="360" w:lineRule="auto"/>
              <w:rPr>
                <w:rFonts w:hint="eastAsia" w:ascii="宋体" w:hAnsi="宋体" w:eastAsia="宋体" w:cs="宋体"/>
                <w:i w:val="0"/>
                <w:iCs w:val="0"/>
                <w:color w:val="000000"/>
                <w:sz w:val="24"/>
                <w:szCs w:val="24"/>
                <w:highlight w:val="none"/>
                <w:u w:val="none"/>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9339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批</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3F178">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r>
    </w:tbl>
    <w:p w14:paraId="6FECCAE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lang w:val="en-US" w:eastAsia="zh-CN" w:bidi="ar"/>
        </w:rPr>
      </w:pPr>
    </w:p>
    <w:p w14:paraId="4300AF2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2"/>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2、采购安装</w:t>
      </w:r>
    </w:p>
    <w:p w14:paraId="7D75AE0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6台</w:t>
      </w:r>
      <w:r>
        <w:rPr>
          <w:rFonts w:hint="eastAsia" w:ascii="宋体" w:hAnsi="宋体" w:eastAsia="宋体" w:cs="宋体"/>
          <w:sz w:val="24"/>
          <w:szCs w:val="24"/>
          <w:highlight w:val="none"/>
          <w:lang w:val="en-US" w:eastAsia="zh-CN"/>
        </w:rPr>
        <w:t>风冷热泵模块机组</w:t>
      </w:r>
      <w:r>
        <w:rPr>
          <w:rFonts w:hint="eastAsia" w:ascii="宋体" w:hAnsi="宋体" w:eastAsia="宋体" w:cs="宋体"/>
          <w:color w:val="000000"/>
          <w:kern w:val="0"/>
          <w:sz w:val="24"/>
          <w:szCs w:val="24"/>
          <w:highlight w:val="none"/>
          <w:lang w:val="en-US" w:eastAsia="zh-CN" w:bidi="ar"/>
        </w:rPr>
        <w:t>、11台净化机组、11套自动系统控制柜（配备7寸触摸屏）、1套软水设备、1套水循环系统（水泵两用一备）、10套手术室情报面板、1套远程控制系统，</w:t>
      </w:r>
      <w:r>
        <w:rPr>
          <w:rFonts w:hint="eastAsia" w:ascii="宋体" w:hAnsi="宋体" w:eastAsia="宋体" w:cs="宋体"/>
          <w:color w:val="auto"/>
          <w:kern w:val="0"/>
          <w:sz w:val="24"/>
          <w:szCs w:val="24"/>
          <w:highlight w:val="none"/>
          <w:lang w:val="en-US" w:eastAsia="zh-CN" w:bidi="ar"/>
        </w:rPr>
        <w:t>2套配电柜（室内净化机组、室外机系统）及配套的电线电缆、</w:t>
      </w:r>
      <w:r>
        <w:rPr>
          <w:rFonts w:hint="eastAsia" w:ascii="宋体" w:hAnsi="宋体" w:eastAsia="宋体" w:cs="宋体"/>
          <w:color w:val="000000"/>
          <w:kern w:val="0"/>
          <w:sz w:val="24"/>
          <w:szCs w:val="24"/>
          <w:highlight w:val="none"/>
          <w:lang w:val="en-US" w:eastAsia="zh-CN" w:bidi="ar"/>
        </w:rPr>
        <w:t>无缝管、各规格阀门组件及配套配件、原风管清洗、更换高效过滤器）等，详见清单。</w:t>
      </w:r>
    </w:p>
    <w:tbl>
      <w:tblPr>
        <w:tblStyle w:val="2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6"/>
        <w:gridCol w:w="2792"/>
        <w:gridCol w:w="3635"/>
        <w:gridCol w:w="786"/>
        <w:gridCol w:w="1289"/>
      </w:tblGrid>
      <w:tr w14:paraId="11D7C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6A95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宝鸡中医医院手术室洁净空调机组及配套设备清单</w:t>
            </w:r>
          </w:p>
        </w:tc>
      </w:tr>
      <w:tr w14:paraId="30824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53E9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室内部分</w:t>
            </w:r>
          </w:p>
        </w:tc>
      </w:tr>
      <w:tr w14:paraId="7B244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E18A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序号</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65B9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名称</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2005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规格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A418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单位</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04FC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数量</w:t>
            </w:r>
          </w:p>
        </w:tc>
      </w:tr>
      <w:tr w14:paraId="612FC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5703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一</w:t>
            </w:r>
          </w:p>
        </w:tc>
        <w:tc>
          <w:tcPr>
            <w:tcW w:w="4576"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632E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设备部分</w:t>
            </w:r>
          </w:p>
        </w:tc>
      </w:tr>
      <w:tr w14:paraId="4DE4D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DEFB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813C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净化机组（新风）</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DB07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PAU01/02</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6178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台</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EC36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2.00 </w:t>
            </w:r>
          </w:p>
        </w:tc>
      </w:tr>
      <w:tr w14:paraId="0FBAB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AE57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6756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净化机组 </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239E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AHU1</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E607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台</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41E7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1.00 </w:t>
            </w:r>
          </w:p>
        </w:tc>
      </w:tr>
      <w:tr w14:paraId="6C2C4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216A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4773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净化机组 </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E7C7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AHU2</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79F7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台</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7E15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1.00 </w:t>
            </w:r>
          </w:p>
        </w:tc>
      </w:tr>
      <w:tr w14:paraId="2767B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00F6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D57A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净化机组 </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DFC1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AHU3/4</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1BE8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台</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7EDA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2.00 </w:t>
            </w:r>
          </w:p>
        </w:tc>
      </w:tr>
      <w:tr w14:paraId="0E6EE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FA21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C960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净化机组 </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E433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AHU5/6</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A829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台</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0144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2.00 </w:t>
            </w:r>
          </w:p>
        </w:tc>
      </w:tr>
      <w:tr w14:paraId="65609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2FF0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2766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净化机组 </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F6E6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AHU7</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2EE2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台</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CEA5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1.00 </w:t>
            </w:r>
          </w:p>
        </w:tc>
      </w:tr>
      <w:tr w14:paraId="3D255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71A6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7</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79EB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净化机组 </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814E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AHU8</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BDB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台</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0EEE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1.00 </w:t>
            </w:r>
          </w:p>
        </w:tc>
      </w:tr>
      <w:tr w14:paraId="2E870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D169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8</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857F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净化机组 </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F6B0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AHU9</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4112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台</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47EB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1.00 </w:t>
            </w:r>
          </w:p>
        </w:tc>
      </w:tr>
      <w:tr w14:paraId="79524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ECDB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9</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72E7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净化机组吊装</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F30D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11台</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192F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项</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56A1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1.00 </w:t>
            </w:r>
          </w:p>
        </w:tc>
      </w:tr>
      <w:tr w14:paraId="29B4F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211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10</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41CA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原有风管清洗（送、回、新风）</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DD32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11台</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E328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平米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1822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2300.00 </w:t>
            </w:r>
          </w:p>
        </w:tc>
      </w:tr>
      <w:tr w14:paraId="34325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53FB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11</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C500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手术室情报面板（六联）</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48A6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触摸式液晶显示屏</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2BF5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台</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C6F0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10.00 </w:t>
            </w:r>
          </w:p>
        </w:tc>
      </w:tr>
      <w:tr w14:paraId="61A34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B642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12</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D677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远程控制系统</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A29E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485接口通讯模块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9E78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套</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C19E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1.00 </w:t>
            </w:r>
          </w:p>
        </w:tc>
      </w:tr>
      <w:tr w14:paraId="41EA9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717D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13</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A9C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初中效过滤器</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EE7A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根据空调厂家具体规格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91D4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批</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14F9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11.00 </w:t>
            </w:r>
          </w:p>
        </w:tc>
      </w:tr>
      <w:tr w14:paraId="15EE1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7BAE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14</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FC6F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辅区、清洁、净化走廊、高效过滤器更换</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9977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高效过滤器规格：484*484*220mm</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9B65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套</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B27D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117.00</w:t>
            </w:r>
          </w:p>
        </w:tc>
      </w:tr>
      <w:tr w14:paraId="6E921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C856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15</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1374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手术室内高效过滤器</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F904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高效过滤器规格：726*484*220mm</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E35D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套</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8D8F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9.00</w:t>
            </w:r>
          </w:p>
        </w:tc>
      </w:tr>
      <w:tr w14:paraId="1FACB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FAEF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16</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F0FD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手术室内高效过滤器</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77A9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高效过滤器规格：305*610*292mm</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91FD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套</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75F7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84.00</w:t>
            </w:r>
          </w:p>
        </w:tc>
      </w:tr>
      <w:tr w14:paraId="73D02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A7E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17</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28E8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手术室内高效过滤器</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19F9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高效过滤器规格：850*610*70mm</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DCEE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套</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438A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18.00</w:t>
            </w:r>
          </w:p>
        </w:tc>
      </w:tr>
      <w:tr w14:paraId="4C330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1825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18</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9B5A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手术室内高效过滤器</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A12D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高效过滤器规格：305*760*70mm</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F258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套</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019E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54.00</w:t>
            </w:r>
          </w:p>
        </w:tc>
      </w:tr>
      <w:tr w14:paraId="467AB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8044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19</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C62F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手术室内高效过滤器</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8EA8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高效过滤器规格：760*610*70mm</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83DC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套</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3CED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54.00</w:t>
            </w:r>
          </w:p>
        </w:tc>
      </w:tr>
      <w:tr w14:paraId="7545C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8F6E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20</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C7C6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洁净度检测费</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5293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36A4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次</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47E7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3.00</w:t>
            </w:r>
          </w:p>
        </w:tc>
      </w:tr>
      <w:tr w14:paraId="2DBE4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B75C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二</w:t>
            </w:r>
          </w:p>
        </w:tc>
        <w:tc>
          <w:tcPr>
            <w:tcW w:w="4576"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5F83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安装部分</w:t>
            </w:r>
          </w:p>
        </w:tc>
      </w:tr>
      <w:tr w14:paraId="64859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8D02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DC75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洁净风管</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DC69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送、回、新风</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864F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m2</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3964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165</w:t>
            </w:r>
          </w:p>
        </w:tc>
      </w:tr>
      <w:tr w14:paraId="64C8E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3A5C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DF55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风阀</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AE91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调节阀、防火阀、电动阀</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EC88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4370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31</w:t>
            </w:r>
          </w:p>
        </w:tc>
      </w:tr>
      <w:tr w14:paraId="64AC7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4A33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AF76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防火软连接</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6568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防火布</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0CEE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A01C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31</w:t>
            </w:r>
          </w:p>
        </w:tc>
      </w:tr>
      <w:tr w14:paraId="332E3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5B8B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976D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风管橡塑保温</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A1CB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20mm</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DAF5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m2</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56C9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110</w:t>
            </w:r>
          </w:p>
        </w:tc>
      </w:tr>
      <w:tr w14:paraId="009B3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8EC5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A51E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无缝钢管</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F8C1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DN200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BC52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EBAC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41</w:t>
            </w:r>
          </w:p>
        </w:tc>
      </w:tr>
      <w:tr w14:paraId="2E238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379E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7201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无缝钢管</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122F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DN150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85CE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6456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15</w:t>
            </w:r>
          </w:p>
        </w:tc>
      </w:tr>
      <w:tr w14:paraId="6EFC7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0FAD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7</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CFEB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无缝钢管</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F8F4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DN80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C07A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4B32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26</w:t>
            </w:r>
          </w:p>
        </w:tc>
      </w:tr>
      <w:tr w14:paraId="215CA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8E5F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8</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505D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无缝钢管</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FB72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DN65</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9AAE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7FC0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24</w:t>
            </w:r>
          </w:p>
        </w:tc>
      </w:tr>
      <w:tr w14:paraId="484D6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0EB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9</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52DC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无缝钢管</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8E19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DN40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2874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C56A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111</w:t>
            </w:r>
          </w:p>
        </w:tc>
      </w:tr>
      <w:tr w14:paraId="41061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BFE5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10</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46A0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橡塑保温</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D982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30mm</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4D36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平米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0C81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70</w:t>
            </w:r>
          </w:p>
        </w:tc>
      </w:tr>
      <w:tr w14:paraId="22FAD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52CB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11</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BED7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涡轮法兰蝶阀</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284D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DN200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34E6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D0B1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w:t>
            </w:r>
          </w:p>
        </w:tc>
      </w:tr>
      <w:tr w14:paraId="42D91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A98E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12</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E998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闸阀</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B2BB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DN65</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78F5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B390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8</w:t>
            </w:r>
          </w:p>
        </w:tc>
      </w:tr>
      <w:tr w14:paraId="6FADE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528D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13</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1E76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闸阀</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D379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DN40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7234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CDAB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36</w:t>
            </w:r>
          </w:p>
        </w:tc>
      </w:tr>
      <w:tr w14:paraId="77871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BFE0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14</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9439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橡胶软接头</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79F3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DN65</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5CC0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60B3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w:t>
            </w:r>
          </w:p>
        </w:tc>
      </w:tr>
      <w:tr w14:paraId="73364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6C76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15</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0527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橡胶软接头</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9E34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DN40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7E0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CD4B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18</w:t>
            </w:r>
          </w:p>
        </w:tc>
      </w:tr>
      <w:tr w14:paraId="08473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4CE2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16</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8C08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电动两通阀（比例调节）</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5B91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DN65</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D922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5795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w:t>
            </w:r>
          </w:p>
        </w:tc>
      </w:tr>
      <w:tr w14:paraId="6221B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07D5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17</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0723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电动两通阀（比例调节）</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397F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DN40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8FB0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2FB6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9</w:t>
            </w:r>
          </w:p>
        </w:tc>
      </w:tr>
      <w:tr w14:paraId="5522A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CD7B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18</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3B81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配电柜、自控柜</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08F8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净化机组</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61FE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台</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9349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11</w:t>
            </w:r>
          </w:p>
        </w:tc>
      </w:tr>
      <w:tr w14:paraId="773E9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1EC4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19</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7EF4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手术室情报面板弱电线路</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79F8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09CC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台</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2C81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11</w:t>
            </w:r>
          </w:p>
        </w:tc>
      </w:tr>
      <w:tr w14:paraId="62A4D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245C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20</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9E30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上位机</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7D21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485接口通讯模块</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03AD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套</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EB9C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r>
      <w:tr w14:paraId="5AA89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52F4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21</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7187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强电桥架</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D040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300*100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056B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B16A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56</w:t>
            </w:r>
          </w:p>
        </w:tc>
      </w:tr>
      <w:tr w14:paraId="24716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C2BB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22</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4802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弱电桥架</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455A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150*100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275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B37E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56</w:t>
            </w:r>
          </w:p>
        </w:tc>
      </w:tr>
      <w:tr w14:paraId="01DEF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F67E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23</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20DD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穿线钢管</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174E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DN32</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43FB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204F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80</w:t>
            </w:r>
          </w:p>
        </w:tc>
      </w:tr>
      <w:tr w14:paraId="28760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8026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24</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EE3D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穿线钢管</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AE04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DN20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BAAB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D243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190</w:t>
            </w:r>
          </w:p>
        </w:tc>
      </w:tr>
      <w:tr w14:paraId="57583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0318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25</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D48D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YJV4*50+1*25</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CDD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AHU-01设备电缆</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EF78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355E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18</w:t>
            </w:r>
          </w:p>
        </w:tc>
      </w:tr>
      <w:tr w14:paraId="0B081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6ED9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26</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AC14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YJV4*70+1*35</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2F63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AHU-02设备电缆</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CD63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36AD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34</w:t>
            </w:r>
          </w:p>
        </w:tc>
      </w:tr>
      <w:tr w14:paraId="15879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BDA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27</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5F56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YJV4*35+1*16</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A830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AHU-03设备电缆</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CFCE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8B60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38</w:t>
            </w:r>
          </w:p>
        </w:tc>
      </w:tr>
      <w:tr w14:paraId="543CF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FC8A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28</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7E4F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YJV4*35+1*16</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575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AHU-04设备电缆</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F16D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A308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29</w:t>
            </w:r>
          </w:p>
        </w:tc>
      </w:tr>
      <w:tr w14:paraId="2E027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6A9F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29</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509C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YJV4*35+1*16</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14C7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AHU-05设备电缆</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D094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3739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19</w:t>
            </w:r>
          </w:p>
        </w:tc>
      </w:tr>
      <w:tr w14:paraId="2AD48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D14F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30</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39EC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YJV4*25+1*16</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68B7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AHU-06设备电缆</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A09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FBBF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21</w:t>
            </w:r>
          </w:p>
        </w:tc>
      </w:tr>
      <w:tr w14:paraId="1E1E2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C37E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31</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32B7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YJV4*25+1*16</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D271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AHU-07设备电缆</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6EEF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0C0E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31</w:t>
            </w:r>
          </w:p>
        </w:tc>
      </w:tr>
      <w:tr w14:paraId="7980E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DB15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32</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472D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YJV4*35+1*16</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0233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AHU-08设备电缆</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A1A0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672D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17</w:t>
            </w:r>
          </w:p>
        </w:tc>
      </w:tr>
      <w:tr w14:paraId="06623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1BD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33</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03DE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YJV4*16+1*10</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AEE7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AHU-09设备电缆</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B711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D8CD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13</w:t>
            </w:r>
          </w:p>
        </w:tc>
      </w:tr>
      <w:tr w14:paraId="179D4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C049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34</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0409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YJV5*6</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C62E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FAU-01设备电缆</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D29A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BE49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35</w:t>
            </w:r>
          </w:p>
        </w:tc>
      </w:tr>
      <w:tr w14:paraId="45E9B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A9BE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35</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714C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YJV5*6</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55D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FAU-02设备电缆</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A129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2DCD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32</w:t>
            </w:r>
          </w:p>
        </w:tc>
      </w:tr>
      <w:tr w14:paraId="7235A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D531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36</w:t>
            </w:r>
          </w:p>
        </w:tc>
        <w:tc>
          <w:tcPr>
            <w:tcW w:w="1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1453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YJV5*4</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E891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净化设备风机电缆</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6939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FE4B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33</w:t>
            </w:r>
          </w:p>
        </w:tc>
      </w:tr>
      <w:tr w14:paraId="3A1C1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6CBE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37</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22F4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设备、管道支架</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3CD2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净化设备、空调管道、电气</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C85A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KG</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C49D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1658</w:t>
            </w:r>
          </w:p>
        </w:tc>
      </w:tr>
      <w:tr w14:paraId="7AC33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CFC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38</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44A9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辅材</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0897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镀锌螺栓、油漆、保温胶等</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6A09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批</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EAC6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r>
      <w:tr w14:paraId="6D860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323B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室外部分</w:t>
            </w:r>
          </w:p>
        </w:tc>
      </w:tr>
      <w:tr w14:paraId="0775B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91E9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序号</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C1D8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名称</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8E1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规格</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CAD4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单位</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1862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数量</w:t>
            </w:r>
          </w:p>
        </w:tc>
      </w:tr>
      <w:tr w14:paraId="6CF66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B189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一</w:t>
            </w:r>
          </w:p>
        </w:tc>
        <w:tc>
          <w:tcPr>
            <w:tcW w:w="4576"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6737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设备部分</w:t>
            </w:r>
          </w:p>
        </w:tc>
      </w:tr>
      <w:tr w14:paraId="35BF8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9B15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CAD8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模块机130型</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658D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制冷量130KW</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EBA4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台</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D639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w:t>
            </w:r>
          </w:p>
        </w:tc>
      </w:tr>
      <w:tr w14:paraId="05856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0E01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E0BE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模块机控制包</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6C9D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AAC0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套</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57C6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r>
      <w:tr w14:paraId="5EC79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927E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2895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模块机自控系统</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616F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触摸控制屏、传感器、线管、线缆</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ADEA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项</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A14C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r>
      <w:tr w14:paraId="4E0E1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18E5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二</w:t>
            </w:r>
          </w:p>
        </w:tc>
        <w:tc>
          <w:tcPr>
            <w:tcW w:w="4576"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11BD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安装部分</w:t>
            </w:r>
          </w:p>
        </w:tc>
      </w:tr>
      <w:tr w14:paraId="5708D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E7D2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6213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空调水循环泵</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7116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两用一备</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FBE4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台</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DDE1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w:t>
            </w:r>
          </w:p>
        </w:tc>
      </w:tr>
      <w:tr w14:paraId="716B6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B636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E38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总配电柜</w:t>
            </w:r>
          </w:p>
        </w:tc>
        <w:tc>
          <w:tcPr>
            <w:tcW w:w="1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884E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室外设备</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7CE9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台</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0D23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r>
      <w:tr w14:paraId="751E2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020D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0032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水泵变频控制柜</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2135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两用一备</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1C7C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台</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F0CB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r>
      <w:tr w14:paraId="05ECF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1F1D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5D81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无缝钢管</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A114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DN65</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86CC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BA77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46</w:t>
            </w:r>
          </w:p>
        </w:tc>
      </w:tr>
      <w:tr w14:paraId="23ED0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E533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CD2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无缝钢管</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E480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DN250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4AAD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247A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75</w:t>
            </w:r>
          </w:p>
        </w:tc>
      </w:tr>
      <w:tr w14:paraId="79B08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36C8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5695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弯头</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9FF7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DN65</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23D8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2C37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14</w:t>
            </w:r>
          </w:p>
        </w:tc>
      </w:tr>
      <w:tr w14:paraId="60E7B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0142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7</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CBCE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堵头</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54C4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DN65</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11EB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18C1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w:t>
            </w:r>
          </w:p>
        </w:tc>
      </w:tr>
      <w:tr w14:paraId="384E3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B956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8</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C3B1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弯头</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E193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DN250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60C4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1AA2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10</w:t>
            </w:r>
          </w:p>
        </w:tc>
      </w:tr>
      <w:tr w14:paraId="412A9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F105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9</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61B2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堵头</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CC34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DN250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2B27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A56C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w:t>
            </w:r>
          </w:p>
        </w:tc>
      </w:tr>
      <w:tr w14:paraId="1C89A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4DE5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10</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28F2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Y型过滤器</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EB37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DN65</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6E2C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F03E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14</w:t>
            </w:r>
          </w:p>
        </w:tc>
      </w:tr>
      <w:tr w14:paraId="51109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028B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11</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CC7F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涡轮法兰蝶阀</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5B1B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DN65</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FC01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719C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14</w:t>
            </w:r>
          </w:p>
        </w:tc>
      </w:tr>
      <w:tr w14:paraId="72BAF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AFB3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12</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D492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橡胶软接头</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5ACF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DN65</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F76D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6494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14</w:t>
            </w:r>
          </w:p>
        </w:tc>
      </w:tr>
      <w:tr w14:paraId="2DFC9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7024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13</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0AB9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法兰</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104B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DN65</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C791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CE0B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72</w:t>
            </w:r>
          </w:p>
        </w:tc>
      </w:tr>
      <w:tr w14:paraId="2ED8A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050F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14</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8C20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Y型过滤器</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2AF2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DN250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0412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C037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w:t>
            </w:r>
          </w:p>
        </w:tc>
      </w:tr>
      <w:tr w14:paraId="49BB4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D6AC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15</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3DB6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涡轮法兰蝶阀</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4D3A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DN250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737E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322F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9</w:t>
            </w:r>
          </w:p>
        </w:tc>
      </w:tr>
      <w:tr w14:paraId="615FE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421E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16</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51BB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橡胶软接</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6486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DN250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C3DC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5E25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w:t>
            </w:r>
          </w:p>
        </w:tc>
      </w:tr>
      <w:tr w14:paraId="17D38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FE98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17</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EAEF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止回阀</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D27B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DN250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B658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ED5C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w:t>
            </w:r>
          </w:p>
        </w:tc>
      </w:tr>
      <w:tr w14:paraId="65275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9AA5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18</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333D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法兰</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DE25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DN250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8B80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个</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4D80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30</w:t>
            </w:r>
          </w:p>
        </w:tc>
      </w:tr>
      <w:tr w14:paraId="73ED6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5EE6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19</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CD16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橡塑保温</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974A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30mm</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73E7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平米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916C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135</w:t>
            </w:r>
          </w:p>
        </w:tc>
      </w:tr>
      <w:tr w14:paraId="3D1AC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1821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20</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DB7D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铝皮保护层</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7C7E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0.5</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C73D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平米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53BB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140</w:t>
            </w:r>
          </w:p>
        </w:tc>
      </w:tr>
      <w:tr w14:paraId="2D752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45B7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21</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D66E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软水设备</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8804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F3A9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套</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1AA7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r>
      <w:tr w14:paraId="76CDC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6610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22</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C68C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法兰压差旁通控制阀</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ECCB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DN250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A415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套</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E86A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r>
      <w:tr w14:paraId="173D4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4F10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23</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C265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温度计</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FFF3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表盘</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6521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套</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2376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w:t>
            </w:r>
          </w:p>
        </w:tc>
      </w:tr>
      <w:tr w14:paraId="6895C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6AFC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24</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C4DB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压力表</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EFFE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1.6MPA</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43AF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套</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E754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w:t>
            </w:r>
          </w:p>
        </w:tc>
      </w:tr>
      <w:tr w14:paraId="6F988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FA2A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25</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3A3F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强电桥架（镀锌）</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8754C">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300*100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4B28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D1BE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35</w:t>
            </w:r>
          </w:p>
        </w:tc>
      </w:tr>
      <w:tr w14:paraId="0D35B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78A4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26</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C3A0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弱电桥架（镀锌）</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AE06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150*100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88F8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D9A1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35</w:t>
            </w:r>
          </w:p>
        </w:tc>
      </w:tr>
      <w:tr w14:paraId="491B4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BA90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27</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6FBC2">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穿线钢管</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BDD7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DN32</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C491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49C7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9</w:t>
            </w:r>
          </w:p>
        </w:tc>
      </w:tr>
      <w:tr w14:paraId="5FFE2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D1CE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28</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6350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穿线钢管</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5173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DN20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780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3592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36</w:t>
            </w:r>
          </w:p>
        </w:tc>
      </w:tr>
      <w:tr w14:paraId="3EE48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8C4F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29</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45C01">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YJV3*35+2*16</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37860">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设备电缆</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2C26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BF6F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158</w:t>
            </w:r>
          </w:p>
        </w:tc>
      </w:tr>
      <w:tr w14:paraId="79A2A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145F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30</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1564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YJV3*185+2*95</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047EF">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主电缆</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B1E0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265A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30</w:t>
            </w:r>
          </w:p>
        </w:tc>
      </w:tr>
      <w:tr w14:paraId="6DC07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F8AC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31</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B7AA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YJV3*10+2*6</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6331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水泵电缆</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13488">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0135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49.5</w:t>
            </w:r>
          </w:p>
        </w:tc>
      </w:tr>
      <w:tr w14:paraId="5EC32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1D2AB">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32</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57FF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RVVP2*1.0</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61D8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控制电缆</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142B7">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米</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8C37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200</w:t>
            </w:r>
          </w:p>
        </w:tc>
      </w:tr>
      <w:tr w14:paraId="30A0A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A5FE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33</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5D0C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设备、管道支架</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A671A">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20#工字钢、槽钢</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87E3D">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KG</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FA8A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3350</w:t>
            </w:r>
          </w:p>
        </w:tc>
      </w:tr>
      <w:tr w14:paraId="6488F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18AF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34</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52586">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吊装费</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0203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拆除吊装、安装吊装</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B7339">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项</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42FA3">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r>
      <w:tr w14:paraId="42DC6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C655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35</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AAE85">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机械、辅材</w:t>
            </w:r>
          </w:p>
        </w:tc>
        <w:tc>
          <w:tcPr>
            <w:tcW w:w="1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5A4E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镀锌螺栓、油漆、保温胶等</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ABE34">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项</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B4E1E">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w:t>
            </w:r>
          </w:p>
        </w:tc>
      </w:tr>
    </w:tbl>
    <w:p w14:paraId="2B25E25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六、主要设备技术要求</w:t>
      </w:r>
    </w:p>
    <w:p w14:paraId="05CB701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2"/>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（一）风冷热泵模块机组技术要求</w:t>
      </w:r>
    </w:p>
    <w:p w14:paraId="5119519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1、压缩机要求</w:t>
      </w:r>
    </w:p>
    <w:p w14:paraId="72AD70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1</w:t>
      </w:r>
      <w:r>
        <w:rPr>
          <w:rFonts w:hint="eastAsia" w:ascii="宋体" w:hAnsi="宋体" w:eastAsia="宋体" w:cs="宋体"/>
          <w:sz w:val="24"/>
          <w:szCs w:val="24"/>
          <w:highlight w:val="none"/>
        </w:rPr>
        <w:tab/>
      </w:r>
      <w:r>
        <w:rPr>
          <w:rFonts w:hint="eastAsia" w:ascii="宋体" w:hAnsi="宋体" w:eastAsia="宋体" w:cs="宋体"/>
          <w:sz w:val="24"/>
          <w:szCs w:val="24"/>
          <w:highlight w:val="none"/>
        </w:rPr>
        <w:t>采用</w:t>
      </w:r>
      <w:r>
        <w:rPr>
          <w:rFonts w:hint="eastAsia" w:ascii="宋体" w:hAnsi="宋体" w:eastAsia="宋体" w:cs="宋体"/>
          <w:sz w:val="24"/>
          <w:szCs w:val="24"/>
          <w:highlight w:val="none"/>
          <w:lang w:val="en-US" w:eastAsia="zh-CN"/>
        </w:rPr>
        <w:t>涡旋式</w:t>
      </w:r>
      <w:r>
        <w:rPr>
          <w:rFonts w:hint="eastAsia" w:ascii="宋体" w:hAnsi="宋体" w:eastAsia="宋体" w:cs="宋体"/>
          <w:sz w:val="24"/>
          <w:szCs w:val="24"/>
          <w:highlight w:val="none"/>
        </w:rPr>
        <w:t>压缩机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单台模块机组制冷量≥130kw，制热量≥140kw，COP值≥3.2。</w:t>
      </w:r>
    </w:p>
    <w:p w14:paraId="791AAF1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2、冷凝器要求</w:t>
      </w:r>
    </w:p>
    <w:p w14:paraId="183284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1</w:t>
      </w:r>
      <w:r>
        <w:rPr>
          <w:rFonts w:hint="eastAsia" w:ascii="宋体" w:hAnsi="宋体" w:eastAsia="宋体" w:cs="宋体"/>
          <w:sz w:val="24"/>
          <w:szCs w:val="24"/>
          <w:highlight w:val="none"/>
        </w:rPr>
        <w:tab/>
      </w:r>
      <w:r>
        <w:rPr>
          <w:rFonts w:hint="eastAsia" w:ascii="宋体" w:hAnsi="宋体" w:eastAsia="宋体" w:cs="宋体"/>
          <w:sz w:val="24"/>
          <w:szCs w:val="24"/>
          <w:highlight w:val="none"/>
        </w:rPr>
        <w:t>机组冷凝器采用翅片式换热器，V型结构设计，风速均匀，热交面积利用充分</w:t>
      </w:r>
      <w:r>
        <w:rPr>
          <w:rFonts w:hint="eastAsia" w:ascii="宋体" w:hAnsi="宋体" w:eastAsia="宋体" w:cs="宋体"/>
          <w:sz w:val="24"/>
          <w:szCs w:val="24"/>
          <w:highlight w:val="none"/>
          <w:lang w:eastAsia="zh-CN"/>
        </w:rPr>
        <w:t>；</w:t>
      </w:r>
    </w:p>
    <w:p w14:paraId="162228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2</w:t>
      </w:r>
      <w:r>
        <w:rPr>
          <w:rFonts w:hint="eastAsia" w:ascii="宋体" w:hAnsi="宋体" w:eastAsia="宋体" w:cs="宋体"/>
          <w:sz w:val="24"/>
          <w:szCs w:val="24"/>
          <w:highlight w:val="none"/>
        </w:rPr>
        <w:tab/>
      </w:r>
      <w:r>
        <w:rPr>
          <w:rFonts w:hint="eastAsia" w:ascii="宋体" w:hAnsi="宋体" w:eastAsia="宋体" w:cs="宋体"/>
          <w:sz w:val="24"/>
          <w:szCs w:val="24"/>
          <w:highlight w:val="none"/>
        </w:rPr>
        <w:t>冷凝器采用内螺纹铜管</w:t>
      </w:r>
      <w:r>
        <w:rPr>
          <w:rFonts w:hint="eastAsia" w:ascii="宋体" w:hAnsi="宋体" w:eastAsia="宋体" w:cs="宋体"/>
          <w:sz w:val="24"/>
          <w:szCs w:val="24"/>
          <w:highlight w:val="none"/>
          <w:lang w:eastAsia="zh-CN"/>
        </w:rPr>
        <w:t>；</w:t>
      </w:r>
    </w:p>
    <w:p w14:paraId="767929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3</w:t>
      </w:r>
      <w:r>
        <w:rPr>
          <w:rFonts w:hint="eastAsia" w:ascii="宋体" w:hAnsi="宋体" w:eastAsia="宋体" w:cs="宋体"/>
          <w:sz w:val="24"/>
          <w:szCs w:val="24"/>
          <w:highlight w:val="none"/>
        </w:rPr>
        <w:tab/>
      </w:r>
      <w:r>
        <w:rPr>
          <w:rFonts w:hint="eastAsia" w:ascii="宋体" w:hAnsi="宋体" w:eastAsia="宋体" w:cs="宋体"/>
          <w:sz w:val="24"/>
          <w:szCs w:val="24"/>
          <w:highlight w:val="none"/>
        </w:rPr>
        <w:t>翅片式换热器采用亲水铝箔，缩短除霜时间,翅片间距≥1.69mm</w:t>
      </w:r>
      <w:r>
        <w:rPr>
          <w:rFonts w:hint="eastAsia" w:ascii="宋体" w:hAnsi="宋体" w:eastAsia="宋体" w:cs="宋体"/>
          <w:sz w:val="24"/>
          <w:szCs w:val="24"/>
          <w:highlight w:val="none"/>
          <w:lang w:eastAsia="zh-CN"/>
        </w:rPr>
        <w:t>；</w:t>
      </w:r>
    </w:p>
    <w:p w14:paraId="5E27BBD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3、蒸发器要求</w:t>
      </w:r>
    </w:p>
    <w:p w14:paraId="7BA14A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1</w:t>
      </w:r>
      <w:r>
        <w:rPr>
          <w:rFonts w:hint="eastAsia" w:ascii="宋体" w:hAnsi="宋体" w:eastAsia="宋体" w:cs="宋体"/>
          <w:sz w:val="24"/>
          <w:szCs w:val="24"/>
          <w:highlight w:val="none"/>
        </w:rPr>
        <w:tab/>
      </w:r>
      <w:r>
        <w:rPr>
          <w:rFonts w:hint="eastAsia" w:ascii="宋体" w:hAnsi="宋体" w:eastAsia="宋体" w:cs="宋体"/>
          <w:sz w:val="24"/>
          <w:szCs w:val="24"/>
          <w:highlight w:val="none"/>
        </w:rPr>
        <w:t>蒸发器水侧经1.0MPa、冷媒侧经4.4 MPa的压力试验</w:t>
      </w:r>
      <w:r>
        <w:rPr>
          <w:rFonts w:hint="eastAsia" w:ascii="宋体" w:hAnsi="宋体" w:eastAsia="宋体" w:cs="宋体"/>
          <w:sz w:val="24"/>
          <w:szCs w:val="24"/>
          <w:highlight w:val="none"/>
          <w:lang w:eastAsia="zh-CN"/>
        </w:rPr>
        <w:t>；</w:t>
      </w:r>
    </w:p>
    <w:p w14:paraId="427B91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2</w:t>
      </w:r>
      <w:r>
        <w:rPr>
          <w:rFonts w:hint="eastAsia" w:ascii="宋体" w:hAnsi="宋体" w:eastAsia="宋体" w:cs="宋体"/>
          <w:sz w:val="24"/>
          <w:szCs w:val="24"/>
          <w:highlight w:val="none"/>
        </w:rPr>
        <w:tab/>
      </w:r>
      <w:r>
        <w:rPr>
          <w:rFonts w:hint="eastAsia" w:ascii="宋体" w:hAnsi="宋体" w:eastAsia="宋体" w:cs="宋体"/>
          <w:sz w:val="24"/>
          <w:szCs w:val="24"/>
          <w:highlight w:val="none"/>
        </w:rPr>
        <w:t>蒸发器为管壳式换热器</w:t>
      </w:r>
      <w:r>
        <w:rPr>
          <w:rFonts w:hint="eastAsia" w:ascii="宋体" w:hAnsi="宋体" w:eastAsia="宋体" w:cs="宋体"/>
          <w:sz w:val="24"/>
          <w:szCs w:val="24"/>
          <w:highlight w:val="none"/>
          <w:lang w:eastAsia="zh-CN"/>
        </w:rPr>
        <w:t>；</w:t>
      </w:r>
    </w:p>
    <w:p w14:paraId="7883AE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3</w:t>
      </w:r>
      <w:r>
        <w:rPr>
          <w:rFonts w:hint="eastAsia" w:ascii="宋体" w:hAnsi="宋体" w:eastAsia="宋体" w:cs="宋体"/>
          <w:sz w:val="24"/>
          <w:szCs w:val="24"/>
          <w:highlight w:val="none"/>
        </w:rPr>
        <w:tab/>
      </w:r>
      <w:r>
        <w:rPr>
          <w:rFonts w:hint="eastAsia" w:ascii="宋体" w:hAnsi="宋体" w:eastAsia="宋体" w:cs="宋体"/>
          <w:sz w:val="24"/>
          <w:szCs w:val="24"/>
          <w:highlight w:val="none"/>
        </w:rPr>
        <w:t>蒸发器筒身采用≥20mm厚的PE保温材料</w:t>
      </w:r>
      <w:r>
        <w:rPr>
          <w:rFonts w:hint="eastAsia" w:ascii="宋体" w:hAnsi="宋体" w:eastAsia="宋体" w:cs="宋体"/>
          <w:sz w:val="24"/>
          <w:szCs w:val="24"/>
          <w:highlight w:val="none"/>
          <w:lang w:eastAsia="zh-CN"/>
        </w:rPr>
        <w:t>；</w:t>
      </w:r>
    </w:p>
    <w:p w14:paraId="0B1E76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4</w:t>
      </w:r>
      <w:r>
        <w:rPr>
          <w:rFonts w:hint="eastAsia" w:ascii="宋体" w:hAnsi="宋体" w:eastAsia="宋体" w:cs="宋体"/>
          <w:sz w:val="24"/>
          <w:szCs w:val="24"/>
          <w:highlight w:val="none"/>
        </w:rPr>
        <w:tab/>
      </w:r>
      <w:r>
        <w:rPr>
          <w:rFonts w:hint="eastAsia" w:ascii="宋体" w:hAnsi="宋体" w:eastAsia="宋体" w:cs="宋体"/>
          <w:sz w:val="24"/>
          <w:szCs w:val="24"/>
          <w:highlight w:val="none"/>
        </w:rPr>
        <w:t>蒸发器内采用内螺纹铜管</w:t>
      </w:r>
      <w:r>
        <w:rPr>
          <w:rFonts w:hint="eastAsia" w:ascii="宋体" w:hAnsi="宋体" w:eastAsia="宋体" w:cs="宋体"/>
          <w:sz w:val="24"/>
          <w:szCs w:val="24"/>
          <w:highlight w:val="none"/>
          <w:lang w:eastAsia="zh-CN"/>
        </w:rPr>
        <w:t>；</w:t>
      </w:r>
    </w:p>
    <w:p w14:paraId="15BE6C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5</w:t>
      </w:r>
      <w:r>
        <w:rPr>
          <w:rFonts w:hint="eastAsia" w:ascii="宋体" w:hAnsi="宋体" w:eastAsia="宋体" w:cs="宋体"/>
          <w:sz w:val="24"/>
          <w:szCs w:val="24"/>
          <w:highlight w:val="none"/>
        </w:rPr>
        <w:tab/>
      </w:r>
      <w:r>
        <w:rPr>
          <w:rFonts w:hint="eastAsia" w:ascii="宋体" w:hAnsi="宋体" w:eastAsia="宋体" w:cs="宋体"/>
          <w:sz w:val="24"/>
          <w:szCs w:val="24"/>
          <w:highlight w:val="none"/>
        </w:rPr>
        <w:t>管箱内有均流设计，确保每路换热管内冷媒流量均等，保证蒸发器的整体高效换热</w:t>
      </w:r>
      <w:r>
        <w:rPr>
          <w:rFonts w:hint="eastAsia" w:ascii="宋体" w:hAnsi="宋体" w:eastAsia="宋体" w:cs="宋体"/>
          <w:sz w:val="24"/>
          <w:szCs w:val="24"/>
          <w:highlight w:val="none"/>
          <w:lang w:eastAsia="zh-CN"/>
        </w:rPr>
        <w:t>；</w:t>
      </w:r>
    </w:p>
    <w:p w14:paraId="69CDE8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6</w:t>
      </w:r>
      <w:r>
        <w:rPr>
          <w:rFonts w:hint="eastAsia" w:ascii="宋体" w:hAnsi="宋体" w:eastAsia="宋体" w:cs="宋体"/>
          <w:sz w:val="24"/>
          <w:szCs w:val="24"/>
          <w:highlight w:val="none"/>
        </w:rPr>
        <w:tab/>
      </w:r>
      <w:r>
        <w:rPr>
          <w:rFonts w:hint="eastAsia" w:ascii="宋体" w:hAnsi="宋体" w:eastAsia="宋体" w:cs="宋体"/>
          <w:sz w:val="24"/>
          <w:szCs w:val="24"/>
          <w:highlight w:val="none"/>
        </w:rPr>
        <w:t>蒸发器自带水流开关，并与机组控制器连锁</w:t>
      </w:r>
      <w:r>
        <w:rPr>
          <w:rFonts w:hint="eastAsia" w:ascii="宋体" w:hAnsi="宋体" w:eastAsia="宋体" w:cs="宋体"/>
          <w:sz w:val="24"/>
          <w:szCs w:val="24"/>
          <w:highlight w:val="none"/>
          <w:lang w:eastAsia="zh-CN"/>
        </w:rPr>
        <w:t>；</w:t>
      </w:r>
    </w:p>
    <w:p w14:paraId="30C93D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7</w:t>
      </w:r>
      <w:r>
        <w:rPr>
          <w:rFonts w:hint="eastAsia" w:ascii="宋体" w:hAnsi="宋体" w:eastAsia="宋体" w:cs="宋体"/>
          <w:sz w:val="24"/>
          <w:szCs w:val="24"/>
          <w:highlight w:val="none"/>
        </w:rPr>
        <w:tab/>
      </w:r>
      <w:r>
        <w:rPr>
          <w:rFonts w:hint="eastAsia" w:ascii="宋体" w:hAnsi="宋体" w:eastAsia="宋体" w:cs="宋体"/>
          <w:sz w:val="24"/>
          <w:szCs w:val="24"/>
          <w:highlight w:val="none"/>
        </w:rPr>
        <w:t>壁面污垢热阻值系数按0.018m·℃/kW计算</w:t>
      </w:r>
      <w:r>
        <w:rPr>
          <w:rFonts w:hint="eastAsia" w:ascii="宋体" w:hAnsi="宋体" w:eastAsia="宋体" w:cs="宋体"/>
          <w:sz w:val="24"/>
          <w:szCs w:val="24"/>
          <w:highlight w:val="none"/>
          <w:lang w:eastAsia="zh-CN"/>
        </w:rPr>
        <w:t>；</w:t>
      </w:r>
    </w:p>
    <w:p w14:paraId="6B703F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8</w:t>
      </w:r>
      <w:r>
        <w:rPr>
          <w:rFonts w:hint="eastAsia" w:ascii="宋体" w:hAnsi="宋体" w:eastAsia="宋体" w:cs="宋体"/>
          <w:sz w:val="24"/>
          <w:szCs w:val="24"/>
          <w:highlight w:val="none"/>
        </w:rPr>
        <w:tab/>
      </w:r>
      <w:r>
        <w:rPr>
          <w:rFonts w:hint="eastAsia" w:ascii="宋体" w:hAnsi="宋体" w:eastAsia="宋体" w:cs="宋体"/>
          <w:sz w:val="24"/>
          <w:szCs w:val="24"/>
          <w:highlight w:val="none"/>
        </w:rPr>
        <w:t>蒸发器水侧压力损失在名义工况下≤0.08MPa</w:t>
      </w:r>
      <w:r>
        <w:rPr>
          <w:rFonts w:hint="eastAsia" w:ascii="宋体" w:hAnsi="宋体" w:eastAsia="宋体" w:cs="宋体"/>
          <w:sz w:val="24"/>
          <w:szCs w:val="24"/>
          <w:highlight w:val="none"/>
          <w:lang w:eastAsia="zh-CN"/>
        </w:rPr>
        <w:t>；</w:t>
      </w:r>
    </w:p>
    <w:p w14:paraId="04518A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9</w:t>
      </w:r>
      <w:r>
        <w:rPr>
          <w:rFonts w:hint="eastAsia" w:ascii="宋体" w:hAnsi="宋体" w:eastAsia="宋体" w:cs="宋体"/>
          <w:sz w:val="24"/>
          <w:szCs w:val="24"/>
          <w:highlight w:val="none"/>
        </w:rPr>
        <w:tab/>
      </w:r>
      <w:r>
        <w:rPr>
          <w:rFonts w:hint="eastAsia" w:ascii="宋体" w:hAnsi="宋体" w:eastAsia="宋体" w:cs="宋体"/>
          <w:sz w:val="24"/>
          <w:szCs w:val="24"/>
          <w:highlight w:val="none"/>
        </w:rPr>
        <w:t>蒸发器制冷剂入口设置流量分配器</w:t>
      </w:r>
      <w:r>
        <w:rPr>
          <w:rFonts w:hint="eastAsia" w:ascii="宋体" w:hAnsi="宋体" w:eastAsia="宋体" w:cs="宋体"/>
          <w:sz w:val="24"/>
          <w:szCs w:val="24"/>
          <w:highlight w:val="none"/>
          <w:lang w:eastAsia="zh-CN"/>
        </w:rPr>
        <w:t>；</w:t>
      </w:r>
    </w:p>
    <w:p w14:paraId="4FD557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10蒸发器表面应进行清洗、钝化，与制冷剂接触表面的杂质含量≤300mg/㎡</w:t>
      </w:r>
      <w:r>
        <w:rPr>
          <w:rFonts w:hint="eastAsia" w:ascii="宋体" w:hAnsi="宋体" w:eastAsia="宋体" w:cs="宋体"/>
          <w:sz w:val="24"/>
          <w:szCs w:val="24"/>
          <w:highlight w:val="none"/>
          <w:lang w:eastAsia="zh-CN"/>
        </w:rPr>
        <w:t>。</w:t>
      </w:r>
    </w:p>
    <w:p w14:paraId="3DA3B24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4、控制要求</w:t>
      </w:r>
    </w:p>
    <w:p w14:paraId="039995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1</w:t>
      </w:r>
      <w:r>
        <w:rPr>
          <w:rFonts w:hint="eastAsia" w:ascii="宋体" w:hAnsi="宋体" w:eastAsia="宋体" w:cs="宋体"/>
          <w:sz w:val="24"/>
          <w:szCs w:val="24"/>
          <w:highlight w:val="none"/>
        </w:rPr>
        <w:tab/>
      </w:r>
      <w:r>
        <w:rPr>
          <w:rFonts w:hint="eastAsia" w:ascii="宋体" w:hAnsi="宋体" w:eastAsia="宋体" w:cs="宋体"/>
          <w:sz w:val="24"/>
          <w:szCs w:val="24"/>
          <w:highlight w:val="none"/>
        </w:rPr>
        <w:t>控制器采用专用微电子中央处理器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配置液晶文本显示器</w:t>
      </w:r>
      <w:r>
        <w:rPr>
          <w:rFonts w:hint="eastAsia" w:ascii="宋体" w:hAnsi="宋体" w:eastAsia="宋体" w:cs="宋体"/>
          <w:sz w:val="24"/>
          <w:szCs w:val="24"/>
          <w:highlight w:val="none"/>
          <w:lang w:eastAsia="zh-CN"/>
        </w:rPr>
        <w:t>；</w:t>
      </w:r>
    </w:p>
    <w:p w14:paraId="42C460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2</w:t>
      </w:r>
      <w:r>
        <w:rPr>
          <w:rFonts w:hint="eastAsia" w:ascii="宋体" w:hAnsi="宋体" w:eastAsia="宋体" w:cs="宋体"/>
          <w:sz w:val="24"/>
          <w:szCs w:val="24"/>
          <w:highlight w:val="none"/>
        </w:rPr>
        <w:tab/>
      </w:r>
      <w:r>
        <w:rPr>
          <w:rFonts w:hint="eastAsia" w:ascii="宋体" w:hAnsi="宋体" w:eastAsia="宋体" w:cs="宋体"/>
          <w:sz w:val="24"/>
          <w:szCs w:val="24"/>
          <w:highlight w:val="none"/>
        </w:rPr>
        <w:t>运行环境温度范围：制冷：5~45℃，</w:t>
      </w:r>
      <w:r>
        <w:rPr>
          <w:rFonts w:hint="eastAsia" w:ascii="宋体" w:hAnsi="宋体" w:eastAsia="宋体" w:cs="宋体"/>
          <w:sz w:val="24"/>
          <w:szCs w:val="24"/>
          <w:highlight w:val="none"/>
          <w:lang w:val="en-US" w:eastAsia="zh-CN"/>
        </w:rPr>
        <w:t>制热</w:t>
      </w:r>
      <w:r>
        <w:rPr>
          <w:rFonts w:hint="eastAsia" w:ascii="宋体" w:hAnsi="宋体" w:eastAsia="宋体" w:cs="宋体"/>
          <w:sz w:val="24"/>
          <w:szCs w:val="24"/>
          <w:highlight w:val="none"/>
        </w:rPr>
        <w:t>-15~</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℃,在此温度范围内能连续稳定运行</w:t>
      </w:r>
      <w:r>
        <w:rPr>
          <w:rFonts w:hint="eastAsia" w:ascii="宋体" w:hAnsi="宋体" w:eastAsia="宋体" w:cs="宋体"/>
          <w:sz w:val="24"/>
          <w:szCs w:val="24"/>
          <w:highlight w:val="none"/>
          <w:lang w:eastAsia="zh-CN"/>
        </w:rPr>
        <w:t>；</w:t>
      </w:r>
    </w:p>
    <w:p w14:paraId="2FF04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w:t>
      </w:r>
      <w:r>
        <w:rPr>
          <w:rFonts w:hint="eastAsia" w:ascii="宋体" w:hAnsi="宋体" w:eastAsia="宋体" w:cs="宋体"/>
          <w:sz w:val="24"/>
          <w:szCs w:val="24"/>
          <w:highlight w:val="none"/>
        </w:rPr>
        <w:tab/>
      </w:r>
      <w:r>
        <w:rPr>
          <w:rFonts w:hint="eastAsia" w:ascii="宋体" w:hAnsi="宋体" w:eastAsia="宋体" w:cs="宋体"/>
          <w:sz w:val="24"/>
          <w:szCs w:val="24"/>
          <w:highlight w:val="none"/>
        </w:rPr>
        <w:t>多台机组组成并联系统时，主模块故障不影响其它模块运行</w:t>
      </w:r>
      <w:r>
        <w:rPr>
          <w:rFonts w:hint="eastAsia" w:ascii="宋体" w:hAnsi="宋体" w:eastAsia="宋体" w:cs="宋体"/>
          <w:sz w:val="24"/>
          <w:szCs w:val="24"/>
          <w:highlight w:val="none"/>
          <w:lang w:eastAsia="zh-CN"/>
        </w:rPr>
        <w:t>；</w:t>
      </w:r>
    </w:p>
    <w:p w14:paraId="0BE87A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w:t>
      </w:r>
      <w:r>
        <w:rPr>
          <w:rFonts w:hint="eastAsia" w:ascii="宋体" w:hAnsi="宋体" w:eastAsia="宋体" w:cs="宋体"/>
          <w:sz w:val="24"/>
          <w:szCs w:val="24"/>
          <w:highlight w:val="none"/>
        </w:rPr>
        <w:tab/>
      </w:r>
      <w:r>
        <w:rPr>
          <w:rFonts w:hint="eastAsia" w:ascii="宋体" w:hAnsi="宋体" w:eastAsia="宋体" w:cs="宋体"/>
          <w:sz w:val="24"/>
          <w:szCs w:val="24"/>
          <w:highlight w:val="none"/>
        </w:rPr>
        <w:t>机组有冷冻水侧进出</w:t>
      </w:r>
      <w:r>
        <w:rPr>
          <w:rFonts w:hint="eastAsia" w:ascii="宋体" w:hAnsi="宋体" w:eastAsia="宋体" w:cs="宋体"/>
          <w:sz w:val="24"/>
          <w:szCs w:val="24"/>
          <w:highlight w:val="none"/>
          <w:lang w:val="en-US" w:eastAsia="zh-CN"/>
        </w:rPr>
        <w:t>水</w:t>
      </w:r>
      <w:r>
        <w:rPr>
          <w:rFonts w:hint="eastAsia" w:ascii="宋体" w:hAnsi="宋体" w:eastAsia="宋体" w:cs="宋体"/>
          <w:sz w:val="24"/>
          <w:szCs w:val="24"/>
          <w:highlight w:val="none"/>
        </w:rPr>
        <w:t>温度传感器</w:t>
      </w:r>
      <w:r>
        <w:rPr>
          <w:rFonts w:hint="eastAsia" w:ascii="宋体" w:hAnsi="宋体" w:eastAsia="宋体" w:cs="宋体"/>
          <w:sz w:val="24"/>
          <w:szCs w:val="24"/>
          <w:highlight w:val="none"/>
          <w:lang w:eastAsia="zh-CN"/>
        </w:rPr>
        <w:t>；</w:t>
      </w:r>
    </w:p>
    <w:p w14:paraId="69444E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5</w:t>
      </w:r>
      <w:r>
        <w:rPr>
          <w:rFonts w:hint="eastAsia" w:ascii="宋体" w:hAnsi="宋体" w:eastAsia="宋体" w:cs="宋体"/>
          <w:sz w:val="24"/>
          <w:szCs w:val="24"/>
          <w:highlight w:val="none"/>
        </w:rPr>
        <w:tab/>
      </w:r>
      <w:r>
        <w:rPr>
          <w:rFonts w:hint="eastAsia" w:ascii="宋体" w:hAnsi="宋体" w:eastAsia="宋体" w:cs="宋体"/>
          <w:sz w:val="24"/>
          <w:szCs w:val="24"/>
          <w:highlight w:val="none"/>
        </w:rPr>
        <w:t>机组可提供用户选择出水/回水温度两种控制方案</w:t>
      </w:r>
      <w:r>
        <w:rPr>
          <w:rFonts w:hint="eastAsia" w:ascii="宋体" w:hAnsi="宋体" w:eastAsia="宋体" w:cs="宋体"/>
          <w:sz w:val="24"/>
          <w:szCs w:val="24"/>
          <w:highlight w:val="none"/>
          <w:lang w:eastAsia="zh-CN"/>
        </w:rPr>
        <w:t>；</w:t>
      </w:r>
    </w:p>
    <w:p w14:paraId="094A55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6</w:t>
      </w:r>
      <w:r>
        <w:rPr>
          <w:rFonts w:hint="eastAsia" w:ascii="宋体" w:hAnsi="宋体" w:eastAsia="宋体" w:cs="宋体"/>
          <w:sz w:val="24"/>
          <w:szCs w:val="24"/>
          <w:highlight w:val="none"/>
        </w:rPr>
        <w:tab/>
      </w:r>
      <w:r>
        <w:rPr>
          <w:rFonts w:hint="eastAsia" w:ascii="宋体" w:hAnsi="宋体" w:eastAsia="宋体" w:cs="宋体"/>
          <w:sz w:val="24"/>
          <w:szCs w:val="24"/>
          <w:highlight w:val="none"/>
        </w:rPr>
        <w:t>机组有同模块和异模块加卸载控制方式和制冷制热节能运行模式</w:t>
      </w:r>
      <w:r>
        <w:rPr>
          <w:rFonts w:hint="eastAsia" w:ascii="宋体" w:hAnsi="宋体" w:eastAsia="宋体" w:cs="宋体"/>
          <w:sz w:val="24"/>
          <w:szCs w:val="24"/>
          <w:highlight w:val="none"/>
          <w:lang w:eastAsia="zh-CN"/>
        </w:rPr>
        <w:t>；</w:t>
      </w:r>
    </w:p>
    <w:p w14:paraId="75761F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7</w:t>
      </w:r>
      <w:r>
        <w:rPr>
          <w:rFonts w:hint="eastAsia" w:ascii="宋体" w:hAnsi="宋体" w:eastAsia="宋体" w:cs="宋体"/>
          <w:sz w:val="24"/>
          <w:szCs w:val="24"/>
          <w:highlight w:val="none"/>
        </w:rPr>
        <w:tab/>
      </w:r>
      <w:r>
        <w:rPr>
          <w:rFonts w:hint="eastAsia" w:ascii="宋体" w:hAnsi="宋体" w:eastAsia="宋体" w:cs="宋体"/>
          <w:sz w:val="24"/>
          <w:szCs w:val="24"/>
          <w:highlight w:val="none"/>
        </w:rPr>
        <w:t>机组主控画面显示基本运行操作：包括机组报警查询、报警历史查询、运行参数设置、机组参数设置、操作参数设置。</w:t>
      </w:r>
    </w:p>
    <w:p w14:paraId="408BE8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进入相应界面可查看：机组状态（工作状态显示，设定参数显示，检测温度显示，故障显示，时间显示）</w:t>
      </w:r>
    </w:p>
    <w:p w14:paraId="395BCC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8</w:t>
      </w:r>
      <w:r>
        <w:rPr>
          <w:rFonts w:hint="eastAsia" w:ascii="宋体" w:hAnsi="宋体" w:eastAsia="宋体" w:cs="宋体"/>
          <w:sz w:val="24"/>
          <w:szCs w:val="24"/>
          <w:highlight w:val="none"/>
        </w:rPr>
        <w:tab/>
      </w:r>
      <w:r>
        <w:rPr>
          <w:rFonts w:hint="eastAsia" w:ascii="宋体" w:hAnsi="宋体" w:eastAsia="宋体" w:cs="宋体"/>
          <w:sz w:val="24"/>
          <w:szCs w:val="24"/>
          <w:highlight w:val="none"/>
        </w:rPr>
        <w:t>可以显示当前报警、记录历史报警</w:t>
      </w:r>
      <w:r>
        <w:rPr>
          <w:rFonts w:hint="eastAsia" w:ascii="宋体" w:hAnsi="宋体" w:eastAsia="宋体" w:cs="宋体"/>
          <w:sz w:val="24"/>
          <w:szCs w:val="24"/>
          <w:highlight w:val="none"/>
          <w:lang w:eastAsia="zh-CN"/>
        </w:rPr>
        <w:t>；</w:t>
      </w:r>
    </w:p>
    <w:p w14:paraId="7FA90C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9</w:t>
      </w:r>
      <w:r>
        <w:rPr>
          <w:rFonts w:hint="eastAsia" w:ascii="宋体" w:hAnsi="宋体" w:eastAsia="宋体" w:cs="宋体"/>
          <w:sz w:val="24"/>
          <w:szCs w:val="24"/>
          <w:highlight w:val="none"/>
        </w:rPr>
        <w:tab/>
      </w:r>
      <w:r>
        <w:rPr>
          <w:rFonts w:hint="eastAsia" w:ascii="宋体" w:hAnsi="宋体" w:eastAsia="宋体" w:cs="宋体"/>
          <w:sz w:val="24"/>
          <w:szCs w:val="24"/>
          <w:highlight w:val="none"/>
        </w:rPr>
        <w:t>机组控制器具备与上位机通信功能，通信协议为Modbus标准协议。单台或单个模组中主模块可同时接入两个线控器</w:t>
      </w:r>
      <w:r>
        <w:rPr>
          <w:rFonts w:hint="eastAsia" w:ascii="宋体" w:hAnsi="宋体" w:eastAsia="宋体" w:cs="宋体"/>
          <w:sz w:val="24"/>
          <w:szCs w:val="24"/>
          <w:highlight w:val="none"/>
          <w:lang w:eastAsia="zh-CN"/>
        </w:rPr>
        <w:t>。</w:t>
      </w:r>
    </w:p>
    <w:p w14:paraId="0CDCCA3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5、控制柜要求:内置的控制柜</w:t>
      </w:r>
    </w:p>
    <w:p w14:paraId="4201B5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1</w:t>
      </w:r>
      <w:r>
        <w:rPr>
          <w:rFonts w:hint="eastAsia" w:ascii="宋体" w:hAnsi="宋体" w:eastAsia="宋体" w:cs="宋体"/>
          <w:sz w:val="24"/>
          <w:szCs w:val="24"/>
          <w:highlight w:val="none"/>
        </w:rPr>
        <w:tab/>
      </w:r>
      <w:r>
        <w:rPr>
          <w:rFonts w:hint="eastAsia" w:ascii="宋体" w:hAnsi="宋体" w:eastAsia="宋体" w:cs="宋体"/>
          <w:sz w:val="24"/>
          <w:szCs w:val="24"/>
          <w:highlight w:val="none"/>
        </w:rPr>
        <w:t>控制箱内按照强弱电分离的原则设计，防止强电、弱电之间相互干扰</w:t>
      </w:r>
      <w:r>
        <w:rPr>
          <w:rFonts w:hint="eastAsia" w:ascii="宋体" w:hAnsi="宋体" w:eastAsia="宋体" w:cs="宋体"/>
          <w:sz w:val="24"/>
          <w:szCs w:val="24"/>
          <w:highlight w:val="none"/>
          <w:lang w:eastAsia="zh-CN"/>
        </w:rPr>
        <w:t>；</w:t>
      </w:r>
    </w:p>
    <w:p w14:paraId="730CC0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2</w:t>
      </w:r>
      <w:r>
        <w:rPr>
          <w:rFonts w:hint="eastAsia" w:ascii="宋体" w:hAnsi="宋体" w:eastAsia="宋体" w:cs="宋体"/>
          <w:sz w:val="24"/>
          <w:szCs w:val="24"/>
          <w:highlight w:val="none"/>
        </w:rPr>
        <w:tab/>
      </w:r>
      <w:r>
        <w:rPr>
          <w:rFonts w:hint="eastAsia" w:ascii="宋体" w:hAnsi="宋体" w:eastAsia="宋体" w:cs="宋体"/>
          <w:sz w:val="24"/>
          <w:szCs w:val="24"/>
          <w:highlight w:val="none"/>
        </w:rPr>
        <w:t>控制柜内零线和接地线应始终分开；接地线应用黄绿双色相间的铜心线，其截面积≥相线的1/2（≥4mm</w:t>
      </w:r>
      <w:r>
        <w:rPr>
          <w:rFonts w:hint="eastAsia" w:ascii="宋体" w:hAnsi="宋体" w:eastAsia="宋体" w:cs="宋体"/>
          <w:sz w:val="24"/>
          <w:szCs w:val="24"/>
          <w:highlight w:val="none"/>
          <w:vertAlign w:val="superscript"/>
        </w:rPr>
        <w:t>2</w:t>
      </w:r>
      <w:r>
        <w:rPr>
          <w:rFonts w:hint="eastAsia" w:ascii="宋体" w:hAnsi="宋体" w:eastAsia="宋体" w:cs="宋体"/>
          <w:sz w:val="24"/>
          <w:szCs w:val="24"/>
          <w:highlight w:val="none"/>
        </w:rPr>
        <w:t>）。风机的地线与动力线≥1mm</w:t>
      </w:r>
      <w:r>
        <w:rPr>
          <w:rFonts w:hint="eastAsia" w:ascii="宋体" w:hAnsi="宋体" w:eastAsia="宋体" w:cs="宋体"/>
          <w:sz w:val="24"/>
          <w:szCs w:val="24"/>
          <w:highlight w:val="none"/>
          <w:vertAlign w:val="superscript"/>
        </w:rPr>
        <w:t>2</w:t>
      </w:r>
      <w:r>
        <w:rPr>
          <w:rFonts w:hint="eastAsia" w:ascii="宋体" w:hAnsi="宋体" w:eastAsia="宋体" w:cs="宋体"/>
          <w:sz w:val="24"/>
          <w:szCs w:val="24"/>
          <w:highlight w:val="none"/>
          <w:lang w:eastAsia="zh-CN"/>
        </w:rPr>
        <w:t>。</w:t>
      </w:r>
    </w:p>
    <w:p w14:paraId="5CD210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3</w:t>
      </w:r>
      <w:r>
        <w:rPr>
          <w:rFonts w:hint="eastAsia" w:ascii="宋体" w:hAnsi="宋体" w:eastAsia="宋体" w:cs="宋体"/>
          <w:sz w:val="24"/>
          <w:szCs w:val="24"/>
          <w:highlight w:val="none"/>
        </w:rPr>
        <w:tab/>
      </w:r>
      <w:r>
        <w:rPr>
          <w:rFonts w:hint="eastAsia" w:ascii="宋体" w:hAnsi="宋体" w:eastAsia="宋体" w:cs="宋体"/>
          <w:sz w:val="24"/>
          <w:szCs w:val="24"/>
          <w:highlight w:val="none"/>
        </w:rPr>
        <w:t>电气安装的绝缘电阻≥2MΩ</w:t>
      </w:r>
      <w:r>
        <w:rPr>
          <w:rFonts w:hint="eastAsia" w:ascii="宋体" w:hAnsi="宋体" w:eastAsia="宋体" w:cs="宋体"/>
          <w:sz w:val="24"/>
          <w:szCs w:val="24"/>
          <w:highlight w:val="none"/>
          <w:lang w:eastAsia="zh-CN"/>
        </w:rPr>
        <w:t>；</w:t>
      </w:r>
    </w:p>
    <w:p w14:paraId="7558A0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4</w:t>
      </w:r>
      <w:r>
        <w:rPr>
          <w:rFonts w:hint="eastAsia" w:ascii="宋体" w:hAnsi="宋体" w:eastAsia="宋体" w:cs="宋体"/>
          <w:sz w:val="24"/>
          <w:szCs w:val="24"/>
          <w:highlight w:val="none"/>
        </w:rPr>
        <w:tab/>
      </w:r>
      <w:r>
        <w:rPr>
          <w:rFonts w:hint="eastAsia" w:ascii="宋体" w:hAnsi="宋体" w:eastAsia="宋体" w:cs="宋体"/>
          <w:sz w:val="24"/>
          <w:szCs w:val="24"/>
          <w:highlight w:val="none"/>
        </w:rPr>
        <w:t>内、外部电感或电容的作用不引起电气安全装置失灵</w:t>
      </w:r>
      <w:r>
        <w:rPr>
          <w:rFonts w:hint="eastAsia" w:ascii="宋体" w:hAnsi="宋体" w:eastAsia="宋体" w:cs="宋体"/>
          <w:sz w:val="24"/>
          <w:szCs w:val="24"/>
          <w:highlight w:val="none"/>
          <w:lang w:eastAsia="zh-CN"/>
        </w:rPr>
        <w:t>。</w:t>
      </w:r>
    </w:p>
    <w:p w14:paraId="4442C17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6、运行要求</w:t>
      </w:r>
    </w:p>
    <w:p w14:paraId="5F1D3D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1</w:t>
      </w:r>
      <w:r>
        <w:rPr>
          <w:rFonts w:hint="eastAsia" w:ascii="宋体" w:hAnsi="宋体" w:eastAsia="宋体" w:cs="宋体"/>
          <w:sz w:val="24"/>
          <w:szCs w:val="24"/>
          <w:highlight w:val="none"/>
        </w:rPr>
        <w:tab/>
      </w:r>
      <w:r>
        <w:rPr>
          <w:rFonts w:hint="eastAsia" w:ascii="宋体" w:hAnsi="宋体" w:eastAsia="宋体" w:cs="宋体"/>
          <w:sz w:val="24"/>
          <w:szCs w:val="24"/>
          <w:highlight w:val="none"/>
        </w:rPr>
        <w:t>制冷机组制冷量应≥名义规定值的95%</w:t>
      </w:r>
    </w:p>
    <w:p w14:paraId="733D06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2</w:t>
      </w:r>
      <w:r>
        <w:rPr>
          <w:rFonts w:hint="eastAsia" w:ascii="宋体" w:hAnsi="宋体" w:eastAsia="宋体" w:cs="宋体"/>
          <w:sz w:val="24"/>
          <w:szCs w:val="24"/>
          <w:highlight w:val="none"/>
        </w:rPr>
        <w:tab/>
      </w:r>
      <w:r>
        <w:rPr>
          <w:rFonts w:hint="eastAsia" w:ascii="宋体" w:hAnsi="宋体" w:eastAsia="宋体" w:cs="宋体"/>
          <w:sz w:val="24"/>
          <w:szCs w:val="24"/>
          <w:highlight w:val="none"/>
        </w:rPr>
        <w:t>机组运行范围：空调制热环境温度范围-15℃~25℃，空调制冷运行环境温度范围5℃~45℃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ab/>
      </w:r>
    </w:p>
    <w:p w14:paraId="6CDC6C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3</w:t>
      </w:r>
      <w:r>
        <w:rPr>
          <w:rFonts w:hint="eastAsia" w:ascii="宋体" w:hAnsi="宋体" w:eastAsia="宋体" w:cs="宋体"/>
          <w:sz w:val="24"/>
          <w:szCs w:val="24"/>
          <w:highlight w:val="none"/>
        </w:rPr>
        <w:tab/>
      </w:r>
      <w:r>
        <w:rPr>
          <w:rFonts w:hint="eastAsia" w:ascii="宋体" w:hAnsi="宋体" w:eastAsia="宋体" w:cs="宋体"/>
          <w:sz w:val="24"/>
          <w:szCs w:val="24"/>
          <w:highlight w:val="none"/>
        </w:rPr>
        <w:t>制冷机组总功率应≤机组名义消耗电功率的110%</w:t>
      </w:r>
      <w:r>
        <w:rPr>
          <w:rFonts w:hint="eastAsia" w:ascii="宋体" w:hAnsi="宋体" w:eastAsia="宋体" w:cs="宋体"/>
          <w:sz w:val="24"/>
          <w:szCs w:val="24"/>
          <w:highlight w:val="none"/>
          <w:lang w:eastAsia="zh-CN"/>
        </w:rPr>
        <w:t>；</w:t>
      </w:r>
    </w:p>
    <w:p w14:paraId="79A93B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4</w:t>
      </w:r>
      <w:r>
        <w:rPr>
          <w:rFonts w:hint="eastAsia" w:ascii="宋体" w:hAnsi="宋体" w:eastAsia="宋体" w:cs="宋体"/>
          <w:sz w:val="24"/>
          <w:szCs w:val="24"/>
          <w:highlight w:val="none"/>
        </w:rPr>
        <w:tab/>
      </w:r>
      <w:r>
        <w:rPr>
          <w:rFonts w:hint="eastAsia" w:ascii="宋体" w:hAnsi="宋体" w:eastAsia="宋体" w:cs="宋体"/>
          <w:sz w:val="24"/>
          <w:szCs w:val="24"/>
          <w:highlight w:val="none"/>
        </w:rPr>
        <w:t>机组具有智能除霜和手动除霜模式</w:t>
      </w:r>
      <w:r>
        <w:rPr>
          <w:rFonts w:hint="eastAsia" w:ascii="宋体" w:hAnsi="宋体" w:eastAsia="宋体" w:cs="宋体"/>
          <w:sz w:val="24"/>
          <w:szCs w:val="24"/>
          <w:highlight w:val="none"/>
          <w:lang w:eastAsia="zh-CN"/>
        </w:rPr>
        <w:t>；</w:t>
      </w:r>
    </w:p>
    <w:p w14:paraId="64519D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5</w:t>
      </w:r>
      <w:r>
        <w:rPr>
          <w:rFonts w:hint="eastAsia" w:ascii="宋体" w:hAnsi="宋体" w:eastAsia="宋体" w:cs="宋体"/>
          <w:sz w:val="24"/>
          <w:szCs w:val="24"/>
          <w:highlight w:val="none"/>
        </w:rPr>
        <w:tab/>
      </w:r>
      <w:r>
        <w:rPr>
          <w:rFonts w:hint="eastAsia" w:ascii="宋体" w:hAnsi="宋体" w:eastAsia="宋体" w:cs="宋体"/>
          <w:sz w:val="24"/>
          <w:szCs w:val="24"/>
          <w:highlight w:val="none"/>
        </w:rPr>
        <w:t>名义工况的性能系数COP应≥机组明示值的92%</w:t>
      </w:r>
      <w:r>
        <w:rPr>
          <w:rFonts w:hint="eastAsia" w:ascii="宋体" w:hAnsi="宋体" w:eastAsia="宋体" w:cs="宋体"/>
          <w:sz w:val="24"/>
          <w:szCs w:val="24"/>
          <w:highlight w:val="none"/>
          <w:lang w:eastAsia="zh-CN"/>
        </w:rPr>
        <w:t>；</w:t>
      </w:r>
    </w:p>
    <w:p w14:paraId="5BF833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6</w:t>
      </w:r>
      <w:r>
        <w:rPr>
          <w:rFonts w:hint="eastAsia" w:ascii="宋体" w:hAnsi="宋体" w:eastAsia="宋体" w:cs="宋体"/>
          <w:sz w:val="24"/>
          <w:szCs w:val="24"/>
          <w:highlight w:val="none"/>
        </w:rPr>
        <w:tab/>
      </w:r>
      <w:r>
        <w:rPr>
          <w:rFonts w:hint="eastAsia" w:ascii="宋体" w:hAnsi="宋体" w:eastAsia="宋体" w:cs="宋体"/>
          <w:sz w:val="24"/>
          <w:szCs w:val="24"/>
          <w:highlight w:val="none"/>
        </w:rPr>
        <w:t>冷冻水/冷却水的流量在65%~130%</w:t>
      </w:r>
      <w:r>
        <w:rPr>
          <w:rFonts w:hint="eastAsia" w:ascii="宋体" w:hAnsi="宋体" w:eastAsia="宋体" w:cs="宋体"/>
          <w:sz w:val="24"/>
          <w:szCs w:val="24"/>
          <w:highlight w:val="none"/>
          <w:lang w:val="en-US" w:eastAsia="zh-CN"/>
        </w:rPr>
        <w:t>范围内</w:t>
      </w:r>
      <w:r>
        <w:rPr>
          <w:rFonts w:hint="eastAsia" w:ascii="宋体" w:hAnsi="宋体" w:eastAsia="宋体" w:cs="宋体"/>
          <w:sz w:val="24"/>
          <w:szCs w:val="24"/>
          <w:highlight w:val="none"/>
        </w:rPr>
        <w:t>不报警</w:t>
      </w:r>
      <w:r>
        <w:rPr>
          <w:rFonts w:hint="eastAsia" w:ascii="宋体" w:hAnsi="宋体" w:eastAsia="宋体" w:cs="宋体"/>
          <w:sz w:val="24"/>
          <w:szCs w:val="24"/>
          <w:highlight w:val="none"/>
          <w:lang w:eastAsia="zh-CN"/>
        </w:rPr>
        <w:t>；</w:t>
      </w:r>
    </w:p>
    <w:p w14:paraId="6F74C9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7</w:t>
      </w:r>
      <w:r>
        <w:rPr>
          <w:rFonts w:hint="eastAsia" w:ascii="宋体" w:hAnsi="宋体" w:eastAsia="宋体" w:cs="宋体"/>
          <w:sz w:val="24"/>
          <w:szCs w:val="24"/>
          <w:highlight w:val="none"/>
        </w:rPr>
        <w:tab/>
      </w:r>
      <w:r>
        <w:rPr>
          <w:rFonts w:hint="eastAsia" w:ascii="宋体" w:hAnsi="宋体" w:eastAsia="宋体" w:cs="宋体"/>
          <w:sz w:val="24"/>
          <w:szCs w:val="24"/>
          <w:highlight w:val="none"/>
        </w:rPr>
        <w:t>制冷机组实际水温与测试水温偏差：≤±0.3℃</w:t>
      </w:r>
      <w:r>
        <w:rPr>
          <w:rFonts w:hint="eastAsia" w:ascii="宋体" w:hAnsi="宋体" w:eastAsia="宋体" w:cs="宋体"/>
          <w:sz w:val="24"/>
          <w:szCs w:val="24"/>
          <w:highlight w:val="none"/>
          <w:lang w:eastAsia="zh-CN"/>
        </w:rPr>
        <w:t>；</w:t>
      </w:r>
    </w:p>
    <w:p w14:paraId="45A031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6.8</w:t>
      </w:r>
      <w:r>
        <w:rPr>
          <w:rFonts w:hint="eastAsia" w:ascii="宋体" w:hAnsi="宋体" w:eastAsia="宋体" w:cs="宋体"/>
          <w:sz w:val="24"/>
          <w:szCs w:val="24"/>
          <w:highlight w:val="none"/>
        </w:rPr>
        <w:tab/>
      </w:r>
      <w:r>
        <w:rPr>
          <w:rFonts w:hint="eastAsia" w:ascii="宋体" w:hAnsi="宋体" w:eastAsia="宋体" w:cs="宋体"/>
          <w:sz w:val="24"/>
          <w:szCs w:val="24"/>
          <w:highlight w:val="none"/>
        </w:rPr>
        <w:t>应有完整的故障自动保护（包括：高低压保护、压缩机过热保护、压缩机，风机过载保护、断水保护、电源欠逆相保护、进出水温差保护、防冻保护、排气温度过高保护、传感器故障保护）</w:t>
      </w:r>
      <w:r>
        <w:rPr>
          <w:rFonts w:hint="eastAsia" w:ascii="宋体" w:hAnsi="宋体" w:eastAsia="宋体" w:cs="宋体"/>
          <w:sz w:val="24"/>
          <w:szCs w:val="24"/>
          <w:highlight w:val="none"/>
          <w:lang w:eastAsia="zh-CN"/>
        </w:rPr>
        <w:t>；</w:t>
      </w:r>
    </w:p>
    <w:p w14:paraId="2C9111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6.9</w:t>
      </w:r>
      <w:r>
        <w:rPr>
          <w:rFonts w:hint="eastAsia" w:ascii="宋体" w:hAnsi="宋体" w:eastAsia="宋体" w:cs="宋体"/>
          <w:sz w:val="24"/>
          <w:szCs w:val="24"/>
          <w:highlight w:val="none"/>
        </w:rPr>
        <w:tab/>
      </w:r>
      <w:r>
        <w:rPr>
          <w:rFonts w:hint="eastAsia" w:ascii="宋体" w:hAnsi="宋体" w:eastAsia="宋体" w:cs="宋体"/>
          <w:sz w:val="24"/>
          <w:szCs w:val="24"/>
          <w:highlight w:val="none"/>
        </w:rPr>
        <w:t>应有完整的报警和自动诊断功能，并能自动记录、存储并显示故障与报警信息</w:t>
      </w:r>
      <w:r>
        <w:rPr>
          <w:rFonts w:hint="eastAsia" w:ascii="宋体" w:hAnsi="宋体" w:eastAsia="宋体" w:cs="宋体"/>
          <w:sz w:val="24"/>
          <w:szCs w:val="24"/>
          <w:highlight w:val="none"/>
          <w:lang w:eastAsia="zh-CN"/>
        </w:rPr>
        <w:t>。</w:t>
      </w:r>
    </w:p>
    <w:p w14:paraId="2DA66F7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7、其他要求</w:t>
      </w:r>
    </w:p>
    <w:p w14:paraId="6F0DA1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1</w:t>
      </w:r>
      <w:r>
        <w:rPr>
          <w:rFonts w:hint="eastAsia" w:ascii="宋体" w:hAnsi="宋体" w:eastAsia="宋体" w:cs="宋体"/>
          <w:sz w:val="24"/>
          <w:szCs w:val="24"/>
          <w:highlight w:val="none"/>
        </w:rPr>
        <w:tab/>
      </w:r>
      <w:r>
        <w:rPr>
          <w:rFonts w:hint="eastAsia" w:ascii="宋体" w:hAnsi="宋体" w:eastAsia="宋体" w:cs="宋体"/>
          <w:sz w:val="24"/>
          <w:szCs w:val="24"/>
          <w:highlight w:val="none"/>
        </w:rPr>
        <w:t>机组采用电子膨胀阀控制流量</w:t>
      </w:r>
      <w:r>
        <w:rPr>
          <w:rFonts w:hint="eastAsia" w:ascii="宋体" w:hAnsi="宋体" w:eastAsia="宋体" w:cs="宋体"/>
          <w:sz w:val="24"/>
          <w:szCs w:val="24"/>
          <w:highlight w:val="none"/>
          <w:lang w:eastAsia="zh-CN"/>
        </w:rPr>
        <w:t>；</w:t>
      </w:r>
    </w:p>
    <w:p w14:paraId="6BB100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2</w:t>
      </w:r>
      <w:r>
        <w:rPr>
          <w:rFonts w:hint="eastAsia" w:ascii="宋体" w:hAnsi="宋体" w:eastAsia="宋体" w:cs="宋体"/>
          <w:sz w:val="24"/>
          <w:szCs w:val="24"/>
          <w:highlight w:val="none"/>
        </w:rPr>
        <w:tab/>
      </w:r>
      <w:r>
        <w:rPr>
          <w:rFonts w:hint="eastAsia" w:ascii="宋体" w:hAnsi="宋体" w:eastAsia="宋体" w:cs="宋体"/>
          <w:sz w:val="24"/>
          <w:szCs w:val="24"/>
          <w:highlight w:val="none"/>
        </w:rPr>
        <w:t>制冷剂R410A。投标产品的报价内应包含冷水机组按标准完成首次充注冷媒（含机油）的费用</w:t>
      </w:r>
      <w:r>
        <w:rPr>
          <w:rFonts w:hint="eastAsia" w:ascii="宋体" w:hAnsi="宋体" w:eastAsia="宋体" w:cs="宋体"/>
          <w:sz w:val="24"/>
          <w:szCs w:val="24"/>
          <w:highlight w:val="none"/>
          <w:lang w:eastAsia="zh-CN"/>
        </w:rPr>
        <w:t>；</w:t>
      </w:r>
    </w:p>
    <w:p w14:paraId="0EDEA3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3</w:t>
      </w:r>
      <w:r>
        <w:rPr>
          <w:rFonts w:hint="eastAsia" w:ascii="宋体" w:hAnsi="宋体" w:eastAsia="宋体" w:cs="宋体"/>
          <w:sz w:val="24"/>
          <w:szCs w:val="24"/>
          <w:highlight w:val="none"/>
        </w:rPr>
        <w:tab/>
      </w:r>
      <w:r>
        <w:rPr>
          <w:rFonts w:hint="eastAsia" w:ascii="宋体" w:hAnsi="宋体" w:eastAsia="宋体" w:cs="宋体"/>
          <w:sz w:val="24"/>
          <w:szCs w:val="24"/>
          <w:highlight w:val="none"/>
        </w:rPr>
        <w:t>机组自带水流开关</w:t>
      </w:r>
      <w:r>
        <w:rPr>
          <w:rFonts w:hint="eastAsia" w:ascii="宋体" w:hAnsi="宋体" w:eastAsia="宋体" w:cs="宋体"/>
          <w:sz w:val="24"/>
          <w:szCs w:val="24"/>
          <w:highlight w:val="none"/>
          <w:lang w:eastAsia="zh-CN"/>
        </w:rPr>
        <w:t>。</w:t>
      </w:r>
    </w:p>
    <w:p w14:paraId="1FF0B29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2"/>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（二）洁净空调机组技术规格要求</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
        <w:gridCol w:w="825"/>
        <w:gridCol w:w="420"/>
        <w:gridCol w:w="747"/>
        <w:gridCol w:w="595"/>
        <w:gridCol w:w="678"/>
        <w:gridCol w:w="586"/>
        <w:gridCol w:w="537"/>
        <w:gridCol w:w="538"/>
        <w:gridCol w:w="529"/>
        <w:gridCol w:w="630"/>
        <w:gridCol w:w="650"/>
        <w:gridCol w:w="968"/>
        <w:gridCol w:w="438"/>
      </w:tblGrid>
      <w:tr w14:paraId="060F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4" w:hRule="atLeast"/>
        </w:trPr>
        <w:tc>
          <w:tcPr>
            <w:tcW w:w="381" w:type="dxa"/>
            <w:vAlign w:val="center"/>
          </w:tcPr>
          <w:p w14:paraId="6E2FBD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eastAsia="zh-CN"/>
              </w:rPr>
            </w:pPr>
            <w:r>
              <w:rPr>
                <w:rFonts w:hint="eastAsia" w:ascii="宋体" w:hAnsi="宋体" w:eastAsia="宋体" w:cs="宋体"/>
                <w:sz w:val="16"/>
                <w:szCs w:val="16"/>
                <w:highlight w:val="none"/>
                <w:vertAlign w:val="baseline"/>
                <w:lang w:eastAsia="zh-CN"/>
              </w:rPr>
              <w:t>序号</w:t>
            </w:r>
          </w:p>
        </w:tc>
        <w:tc>
          <w:tcPr>
            <w:tcW w:w="825" w:type="dxa"/>
            <w:vAlign w:val="center"/>
          </w:tcPr>
          <w:p w14:paraId="4300327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eastAsia="zh-CN"/>
              </w:rPr>
            </w:pPr>
            <w:r>
              <w:rPr>
                <w:rFonts w:hint="eastAsia" w:ascii="宋体" w:hAnsi="宋体" w:eastAsia="宋体" w:cs="宋体"/>
                <w:sz w:val="16"/>
                <w:szCs w:val="16"/>
                <w:highlight w:val="none"/>
                <w:vertAlign w:val="baseline"/>
                <w:lang w:eastAsia="zh-CN"/>
              </w:rPr>
              <w:t>设备名称</w:t>
            </w:r>
          </w:p>
        </w:tc>
        <w:tc>
          <w:tcPr>
            <w:tcW w:w="420" w:type="dxa"/>
            <w:vAlign w:val="center"/>
          </w:tcPr>
          <w:p w14:paraId="688F97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eastAsia="zh-CN"/>
              </w:rPr>
            </w:pPr>
            <w:r>
              <w:rPr>
                <w:rFonts w:hint="eastAsia" w:ascii="宋体" w:hAnsi="宋体" w:eastAsia="宋体" w:cs="宋体"/>
                <w:sz w:val="16"/>
                <w:szCs w:val="16"/>
                <w:highlight w:val="none"/>
                <w:vertAlign w:val="baseline"/>
                <w:lang w:eastAsia="zh-CN"/>
              </w:rPr>
              <w:t>数量</w:t>
            </w:r>
          </w:p>
        </w:tc>
        <w:tc>
          <w:tcPr>
            <w:tcW w:w="747" w:type="dxa"/>
            <w:vAlign w:val="center"/>
          </w:tcPr>
          <w:p w14:paraId="3D48181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p>
          <w:p w14:paraId="354D4242">
            <w:pPr>
              <w:bidi w:val="0"/>
              <w:jc w:val="center"/>
              <w:rPr>
                <w:rFonts w:hint="eastAsia" w:ascii="宋体" w:hAnsi="宋体" w:eastAsia="宋体" w:cs="宋体"/>
                <w:kern w:val="2"/>
                <w:sz w:val="21"/>
                <w:szCs w:val="24"/>
                <w:highlight w:val="none"/>
                <w:lang w:val="en-US" w:eastAsia="zh-CN" w:bidi="ar-SA"/>
              </w:rPr>
            </w:pPr>
            <w:r>
              <w:rPr>
                <w:rFonts w:hint="eastAsia" w:ascii="宋体" w:hAnsi="宋体" w:eastAsia="宋体" w:cs="宋体"/>
                <w:sz w:val="16"/>
                <w:szCs w:val="16"/>
                <w:highlight w:val="none"/>
                <w:vertAlign w:val="baseline"/>
                <w:lang w:val="en-US" w:eastAsia="zh-CN"/>
              </w:rPr>
              <w:t>送风量m³</w:t>
            </w:r>
          </w:p>
        </w:tc>
        <w:tc>
          <w:tcPr>
            <w:tcW w:w="595" w:type="dxa"/>
            <w:vAlign w:val="center"/>
          </w:tcPr>
          <w:p w14:paraId="2B722B0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机外余压Pa</w:t>
            </w:r>
          </w:p>
        </w:tc>
        <w:tc>
          <w:tcPr>
            <w:tcW w:w="678" w:type="dxa"/>
            <w:vAlign w:val="center"/>
          </w:tcPr>
          <w:p w14:paraId="45458BE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新风量m³</w:t>
            </w:r>
          </w:p>
        </w:tc>
        <w:tc>
          <w:tcPr>
            <w:tcW w:w="586" w:type="dxa"/>
            <w:vAlign w:val="center"/>
          </w:tcPr>
          <w:p w14:paraId="6C969F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冷量kw</w:t>
            </w:r>
          </w:p>
        </w:tc>
        <w:tc>
          <w:tcPr>
            <w:tcW w:w="537" w:type="dxa"/>
            <w:vAlign w:val="center"/>
          </w:tcPr>
          <w:p w14:paraId="08905E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热量kw</w:t>
            </w:r>
          </w:p>
        </w:tc>
        <w:tc>
          <w:tcPr>
            <w:tcW w:w="538" w:type="dxa"/>
            <w:vAlign w:val="center"/>
          </w:tcPr>
          <w:p w14:paraId="2241049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电再热量kw</w:t>
            </w:r>
          </w:p>
        </w:tc>
        <w:tc>
          <w:tcPr>
            <w:tcW w:w="529" w:type="dxa"/>
            <w:vAlign w:val="center"/>
          </w:tcPr>
          <w:p w14:paraId="396AFE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加湿量kg/h</w:t>
            </w:r>
          </w:p>
        </w:tc>
        <w:tc>
          <w:tcPr>
            <w:tcW w:w="630" w:type="dxa"/>
            <w:vAlign w:val="center"/>
          </w:tcPr>
          <w:p w14:paraId="69AC856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电机功率kw</w:t>
            </w:r>
          </w:p>
        </w:tc>
        <w:tc>
          <w:tcPr>
            <w:tcW w:w="650" w:type="dxa"/>
            <w:vAlign w:val="center"/>
          </w:tcPr>
          <w:p w14:paraId="3039A6A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机组尺寸mm</w:t>
            </w:r>
          </w:p>
        </w:tc>
        <w:tc>
          <w:tcPr>
            <w:tcW w:w="968" w:type="dxa"/>
            <w:vAlign w:val="center"/>
          </w:tcPr>
          <w:p w14:paraId="61F2CF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功能段</w:t>
            </w:r>
          </w:p>
        </w:tc>
        <w:tc>
          <w:tcPr>
            <w:tcW w:w="438" w:type="dxa"/>
            <w:vAlign w:val="center"/>
          </w:tcPr>
          <w:p w14:paraId="310157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备注</w:t>
            </w:r>
          </w:p>
        </w:tc>
      </w:tr>
      <w:tr w14:paraId="4AAF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81" w:type="dxa"/>
            <w:vAlign w:val="center"/>
          </w:tcPr>
          <w:p w14:paraId="032F8AE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1</w:t>
            </w:r>
          </w:p>
        </w:tc>
        <w:tc>
          <w:tcPr>
            <w:tcW w:w="825" w:type="dxa"/>
            <w:vAlign w:val="center"/>
          </w:tcPr>
          <w:p w14:paraId="66735A1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洁净空调机组AHU-01</w:t>
            </w:r>
          </w:p>
        </w:tc>
        <w:tc>
          <w:tcPr>
            <w:tcW w:w="420" w:type="dxa"/>
            <w:vAlign w:val="center"/>
          </w:tcPr>
          <w:p w14:paraId="1B8593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1</w:t>
            </w:r>
          </w:p>
        </w:tc>
        <w:tc>
          <w:tcPr>
            <w:tcW w:w="747" w:type="dxa"/>
            <w:vAlign w:val="center"/>
          </w:tcPr>
          <w:p w14:paraId="56D19D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15100</w:t>
            </w:r>
          </w:p>
        </w:tc>
        <w:tc>
          <w:tcPr>
            <w:tcW w:w="595" w:type="dxa"/>
            <w:vAlign w:val="center"/>
          </w:tcPr>
          <w:p w14:paraId="48C0940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600</w:t>
            </w:r>
          </w:p>
        </w:tc>
        <w:tc>
          <w:tcPr>
            <w:tcW w:w="678" w:type="dxa"/>
            <w:vAlign w:val="center"/>
          </w:tcPr>
          <w:p w14:paraId="4976E31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3600</w:t>
            </w:r>
          </w:p>
        </w:tc>
        <w:tc>
          <w:tcPr>
            <w:tcW w:w="586" w:type="dxa"/>
            <w:vAlign w:val="center"/>
          </w:tcPr>
          <w:p w14:paraId="278D4CC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87</w:t>
            </w:r>
          </w:p>
        </w:tc>
        <w:tc>
          <w:tcPr>
            <w:tcW w:w="537" w:type="dxa"/>
            <w:vAlign w:val="center"/>
          </w:tcPr>
          <w:p w14:paraId="46FEEBC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110</w:t>
            </w:r>
          </w:p>
        </w:tc>
        <w:tc>
          <w:tcPr>
            <w:tcW w:w="538" w:type="dxa"/>
            <w:vAlign w:val="center"/>
          </w:tcPr>
          <w:p w14:paraId="004CEC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32</w:t>
            </w:r>
          </w:p>
        </w:tc>
        <w:tc>
          <w:tcPr>
            <w:tcW w:w="529" w:type="dxa"/>
            <w:vAlign w:val="center"/>
          </w:tcPr>
          <w:p w14:paraId="2F32CC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30</w:t>
            </w:r>
          </w:p>
        </w:tc>
        <w:tc>
          <w:tcPr>
            <w:tcW w:w="630" w:type="dxa"/>
            <w:vAlign w:val="center"/>
          </w:tcPr>
          <w:p w14:paraId="2EC3096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11</w:t>
            </w:r>
          </w:p>
        </w:tc>
        <w:tc>
          <w:tcPr>
            <w:tcW w:w="650" w:type="dxa"/>
            <w:vAlign w:val="center"/>
          </w:tcPr>
          <w:p w14:paraId="5FBC6C7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4600*1850*1450</w:t>
            </w:r>
          </w:p>
        </w:tc>
        <w:tc>
          <w:tcPr>
            <w:tcW w:w="968" w:type="dxa"/>
            <w:vAlign w:val="center"/>
          </w:tcPr>
          <w:p w14:paraId="708BB2C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r>
              <w:rPr>
                <w:rFonts w:hint="eastAsia" w:ascii="宋体" w:hAnsi="宋体" w:eastAsia="宋体" w:cs="宋体"/>
                <w:sz w:val="16"/>
                <w:szCs w:val="16"/>
                <w:highlight w:val="none"/>
                <w:vertAlign w:val="baseline"/>
              </w:rPr>
              <w:t>混合段,送风机段,均流段,初中效过滤段,表冷段,电加热段,加湿段,送风段,</w:t>
            </w:r>
          </w:p>
        </w:tc>
        <w:tc>
          <w:tcPr>
            <w:tcW w:w="438" w:type="dxa"/>
            <w:vAlign w:val="center"/>
          </w:tcPr>
          <w:p w14:paraId="67E8D81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p>
        </w:tc>
      </w:tr>
      <w:tr w14:paraId="5961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81" w:type="dxa"/>
            <w:vAlign w:val="center"/>
          </w:tcPr>
          <w:p w14:paraId="244B49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2</w:t>
            </w:r>
          </w:p>
        </w:tc>
        <w:tc>
          <w:tcPr>
            <w:tcW w:w="825" w:type="dxa"/>
            <w:vAlign w:val="center"/>
          </w:tcPr>
          <w:p w14:paraId="5053ABE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eastAsia="zh-CN"/>
              </w:rPr>
            </w:pPr>
            <w:r>
              <w:rPr>
                <w:rFonts w:hint="eastAsia" w:ascii="宋体" w:hAnsi="宋体" w:eastAsia="宋体" w:cs="宋体"/>
                <w:sz w:val="16"/>
                <w:szCs w:val="16"/>
                <w:highlight w:val="none"/>
                <w:vertAlign w:val="baseline"/>
                <w:lang w:val="en-US" w:eastAsia="zh-CN"/>
              </w:rPr>
              <w:t>洁净空调机组AHU-02</w:t>
            </w:r>
          </w:p>
        </w:tc>
        <w:tc>
          <w:tcPr>
            <w:tcW w:w="420" w:type="dxa"/>
            <w:vAlign w:val="center"/>
          </w:tcPr>
          <w:p w14:paraId="1B09C82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1</w:t>
            </w:r>
          </w:p>
        </w:tc>
        <w:tc>
          <w:tcPr>
            <w:tcW w:w="747" w:type="dxa"/>
            <w:vAlign w:val="center"/>
          </w:tcPr>
          <w:p w14:paraId="33789A5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21800</w:t>
            </w:r>
          </w:p>
        </w:tc>
        <w:tc>
          <w:tcPr>
            <w:tcW w:w="595" w:type="dxa"/>
            <w:vAlign w:val="center"/>
          </w:tcPr>
          <w:p w14:paraId="199A10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600</w:t>
            </w:r>
          </w:p>
        </w:tc>
        <w:tc>
          <w:tcPr>
            <w:tcW w:w="678" w:type="dxa"/>
            <w:vAlign w:val="center"/>
          </w:tcPr>
          <w:p w14:paraId="38FB47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4400</w:t>
            </w:r>
          </w:p>
        </w:tc>
        <w:tc>
          <w:tcPr>
            <w:tcW w:w="586" w:type="dxa"/>
            <w:vAlign w:val="center"/>
          </w:tcPr>
          <w:p w14:paraId="63A523F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167</w:t>
            </w:r>
          </w:p>
        </w:tc>
        <w:tc>
          <w:tcPr>
            <w:tcW w:w="537" w:type="dxa"/>
            <w:vAlign w:val="center"/>
          </w:tcPr>
          <w:p w14:paraId="299FB42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197</w:t>
            </w:r>
          </w:p>
        </w:tc>
        <w:tc>
          <w:tcPr>
            <w:tcW w:w="538" w:type="dxa"/>
            <w:vAlign w:val="center"/>
          </w:tcPr>
          <w:p w14:paraId="5D0E798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42</w:t>
            </w:r>
          </w:p>
        </w:tc>
        <w:tc>
          <w:tcPr>
            <w:tcW w:w="529" w:type="dxa"/>
            <w:vAlign w:val="center"/>
          </w:tcPr>
          <w:p w14:paraId="070A3F2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45</w:t>
            </w:r>
          </w:p>
        </w:tc>
        <w:tc>
          <w:tcPr>
            <w:tcW w:w="630" w:type="dxa"/>
            <w:vAlign w:val="center"/>
          </w:tcPr>
          <w:p w14:paraId="7E48EC0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11</w:t>
            </w:r>
          </w:p>
        </w:tc>
        <w:tc>
          <w:tcPr>
            <w:tcW w:w="650" w:type="dxa"/>
            <w:vAlign w:val="center"/>
          </w:tcPr>
          <w:p w14:paraId="6E01D4E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r>
              <w:rPr>
                <w:rFonts w:hint="eastAsia" w:ascii="宋体" w:hAnsi="宋体" w:eastAsia="宋体" w:cs="宋体"/>
                <w:sz w:val="16"/>
                <w:szCs w:val="16"/>
                <w:highlight w:val="none"/>
                <w:vertAlign w:val="baseline"/>
              </w:rPr>
              <w:t>4700*2000*1800</w:t>
            </w:r>
          </w:p>
        </w:tc>
        <w:tc>
          <w:tcPr>
            <w:tcW w:w="968" w:type="dxa"/>
            <w:vAlign w:val="center"/>
          </w:tcPr>
          <w:p w14:paraId="7192C29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r>
              <w:rPr>
                <w:rFonts w:hint="eastAsia" w:ascii="宋体" w:hAnsi="宋体" w:eastAsia="宋体" w:cs="宋体"/>
                <w:sz w:val="16"/>
                <w:szCs w:val="16"/>
                <w:highlight w:val="none"/>
                <w:vertAlign w:val="baseline"/>
              </w:rPr>
              <w:t>混合段,送风机段,均流段,初中效过滤段,表冷段,电加热段,加湿段,送风段,</w:t>
            </w:r>
          </w:p>
        </w:tc>
        <w:tc>
          <w:tcPr>
            <w:tcW w:w="438" w:type="dxa"/>
            <w:vAlign w:val="center"/>
          </w:tcPr>
          <w:p w14:paraId="155273E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p>
        </w:tc>
      </w:tr>
      <w:tr w14:paraId="16A9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381" w:type="dxa"/>
            <w:vAlign w:val="center"/>
          </w:tcPr>
          <w:p w14:paraId="0DFD9C6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3</w:t>
            </w:r>
          </w:p>
        </w:tc>
        <w:tc>
          <w:tcPr>
            <w:tcW w:w="825" w:type="dxa"/>
            <w:vAlign w:val="center"/>
          </w:tcPr>
          <w:p w14:paraId="67CE6E3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洁净空调机组AHU-03/04</w:t>
            </w:r>
          </w:p>
        </w:tc>
        <w:tc>
          <w:tcPr>
            <w:tcW w:w="420" w:type="dxa"/>
            <w:vAlign w:val="center"/>
          </w:tcPr>
          <w:p w14:paraId="7C0B1F7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2</w:t>
            </w:r>
          </w:p>
        </w:tc>
        <w:tc>
          <w:tcPr>
            <w:tcW w:w="747" w:type="dxa"/>
            <w:vAlign w:val="center"/>
          </w:tcPr>
          <w:p w14:paraId="7CCF46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10000</w:t>
            </w:r>
          </w:p>
        </w:tc>
        <w:tc>
          <w:tcPr>
            <w:tcW w:w="595" w:type="dxa"/>
            <w:vAlign w:val="center"/>
          </w:tcPr>
          <w:p w14:paraId="1D5D6A9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600</w:t>
            </w:r>
          </w:p>
        </w:tc>
        <w:tc>
          <w:tcPr>
            <w:tcW w:w="678" w:type="dxa"/>
            <w:vAlign w:val="center"/>
          </w:tcPr>
          <w:p w14:paraId="371B430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2000</w:t>
            </w:r>
          </w:p>
        </w:tc>
        <w:tc>
          <w:tcPr>
            <w:tcW w:w="586" w:type="dxa"/>
            <w:vAlign w:val="center"/>
          </w:tcPr>
          <w:p w14:paraId="49F9255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42</w:t>
            </w:r>
          </w:p>
        </w:tc>
        <w:tc>
          <w:tcPr>
            <w:tcW w:w="537" w:type="dxa"/>
            <w:vAlign w:val="center"/>
          </w:tcPr>
          <w:p w14:paraId="4F59B49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62</w:t>
            </w:r>
          </w:p>
        </w:tc>
        <w:tc>
          <w:tcPr>
            <w:tcW w:w="538" w:type="dxa"/>
            <w:vAlign w:val="center"/>
          </w:tcPr>
          <w:p w14:paraId="20CB1D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20</w:t>
            </w:r>
          </w:p>
        </w:tc>
        <w:tc>
          <w:tcPr>
            <w:tcW w:w="529" w:type="dxa"/>
            <w:vAlign w:val="center"/>
          </w:tcPr>
          <w:p w14:paraId="69648A4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20</w:t>
            </w:r>
          </w:p>
        </w:tc>
        <w:tc>
          <w:tcPr>
            <w:tcW w:w="630" w:type="dxa"/>
            <w:vAlign w:val="center"/>
          </w:tcPr>
          <w:p w14:paraId="29141D3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7.5</w:t>
            </w:r>
          </w:p>
        </w:tc>
        <w:tc>
          <w:tcPr>
            <w:tcW w:w="650" w:type="dxa"/>
            <w:vAlign w:val="center"/>
          </w:tcPr>
          <w:p w14:paraId="334E1E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r>
              <w:rPr>
                <w:rFonts w:hint="eastAsia" w:ascii="宋体" w:hAnsi="宋体" w:eastAsia="宋体" w:cs="宋体"/>
                <w:sz w:val="16"/>
                <w:szCs w:val="16"/>
                <w:highlight w:val="none"/>
                <w:vertAlign w:val="baseline"/>
              </w:rPr>
              <w:t>4400*1550*1150</w:t>
            </w:r>
          </w:p>
        </w:tc>
        <w:tc>
          <w:tcPr>
            <w:tcW w:w="968" w:type="dxa"/>
            <w:vAlign w:val="center"/>
          </w:tcPr>
          <w:p w14:paraId="662D8E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r>
              <w:rPr>
                <w:rFonts w:hint="eastAsia" w:ascii="宋体" w:hAnsi="宋体" w:eastAsia="宋体" w:cs="宋体"/>
                <w:sz w:val="16"/>
                <w:szCs w:val="16"/>
                <w:highlight w:val="none"/>
                <w:vertAlign w:val="baseline"/>
              </w:rPr>
              <w:t>混合段,送风机段,均流段,初中效过滤段,表冷段,电加热段,加湿段,送风段,</w:t>
            </w:r>
          </w:p>
        </w:tc>
        <w:tc>
          <w:tcPr>
            <w:tcW w:w="438" w:type="dxa"/>
            <w:vAlign w:val="center"/>
          </w:tcPr>
          <w:p w14:paraId="77E351C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p>
        </w:tc>
      </w:tr>
      <w:tr w14:paraId="16A9A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81" w:type="dxa"/>
            <w:vAlign w:val="center"/>
          </w:tcPr>
          <w:p w14:paraId="3C8375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4</w:t>
            </w:r>
          </w:p>
        </w:tc>
        <w:tc>
          <w:tcPr>
            <w:tcW w:w="825" w:type="dxa"/>
            <w:vAlign w:val="center"/>
          </w:tcPr>
          <w:p w14:paraId="71011F3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eastAsia="zh-CN"/>
              </w:rPr>
            </w:pPr>
            <w:r>
              <w:rPr>
                <w:rFonts w:hint="eastAsia" w:ascii="宋体" w:hAnsi="宋体" w:eastAsia="宋体" w:cs="宋体"/>
                <w:sz w:val="16"/>
                <w:szCs w:val="16"/>
                <w:highlight w:val="none"/>
                <w:vertAlign w:val="baseline"/>
                <w:lang w:val="en-US" w:eastAsia="zh-CN"/>
              </w:rPr>
              <w:t>洁净空调机组AHU-05</w:t>
            </w:r>
          </w:p>
        </w:tc>
        <w:tc>
          <w:tcPr>
            <w:tcW w:w="420" w:type="dxa"/>
            <w:vAlign w:val="center"/>
          </w:tcPr>
          <w:p w14:paraId="6C6BA6D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1</w:t>
            </w:r>
          </w:p>
        </w:tc>
        <w:tc>
          <w:tcPr>
            <w:tcW w:w="747" w:type="dxa"/>
            <w:vAlign w:val="center"/>
          </w:tcPr>
          <w:p w14:paraId="194E019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11000</w:t>
            </w:r>
          </w:p>
        </w:tc>
        <w:tc>
          <w:tcPr>
            <w:tcW w:w="595" w:type="dxa"/>
            <w:vAlign w:val="center"/>
          </w:tcPr>
          <w:p w14:paraId="517C347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600</w:t>
            </w:r>
          </w:p>
        </w:tc>
        <w:tc>
          <w:tcPr>
            <w:tcW w:w="678" w:type="dxa"/>
            <w:vAlign w:val="center"/>
          </w:tcPr>
          <w:p w14:paraId="3B4EFDF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2800</w:t>
            </w:r>
          </w:p>
        </w:tc>
        <w:tc>
          <w:tcPr>
            <w:tcW w:w="586" w:type="dxa"/>
            <w:vAlign w:val="center"/>
          </w:tcPr>
          <w:p w14:paraId="5E3EA5D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82</w:t>
            </w:r>
          </w:p>
        </w:tc>
        <w:tc>
          <w:tcPr>
            <w:tcW w:w="537" w:type="dxa"/>
            <w:vAlign w:val="center"/>
          </w:tcPr>
          <w:p w14:paraId="36D0977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97</w:t>
            </w:r>
          </w:p>
        </w:tc>
        <w:tc>
          <w:tcPr>
            <w:tcW w:w="538" w:type="dxa"/>
            <w:vAlign w:val="center"/>
          </w:tcPr>
          <w:p w14:paraId="411DA0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16</w:t>
            </w:r>
          </w:p>
        </w:tc>
        <w:tc>
          <w:tcPr>
            <w:tcW w:w="529" w:type="dxa"/>
            <w:vAlign w:val="center"/>
          </w:tcPr>
          <w:p w14:paraId="5397757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22</w:t>
            </w:r>
          </w:p>
        </w:tc>
        <w:tc>
          <w:tcPr>
            <w:tcW w:w="630" w:type="dxa"/>
            <w:vAlign w:val="center"/>
          </w:tcPr>
          <w:p w14:paraId="675449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7.5</w:t>
            </w:r>
          </w:p>
        </w:tc>
        <w:tc>
          <w:tcPr>
            <w:tcW w:w="650" w:type="dxa"/>
            <w:vAlign w:val="center"/>
          </w:tcPr>
          <w:p w14:paraId="529A55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r>
              <w:rPr>
                <w:rFonts w:hint="eastAsia" w:ascii="宋体" w:hAnsi="宋体" w:eastAsia="宋体" w:cs="宋体"/>
                <w:sz w:val="16"/>
                <w:szCs w:val="16"/>
                <w:highlight w:val="none"/>
                <w:vertAlign w:val="baseline"/>
              </w:rPr>
              <w:t>4500*1550*1350</w:t>
            </w:r>
          </w:p>
        </w:tc>
        <w:tc>
          <w:tcPr>
            <w:tcW w:w="968" w:type="dxa"/>
            <w:vAlign w:val="center"/>
          </w:tcPr>
          <w:p w14:paraId="5A972BB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r>
              <w:rPr>
                <w:rFonts w:hint="eastAsia" w:ascii="宋体" w:hAnsi="宋体" w:eastAsia="宋体" w:cs="宋体"/>
                <w:sz w:val="16"/>
                <w:szCs w:val="16"/>
                <w:highlight w:val="none"/>
                <w:vertAlign w:val="baseline"/>
              </w:rPr>
              <w:t>混合段,送风机段,均流段,初中效过滤段,表冷段,电加热段,加湿段,送风段,</w:t>
            </w:r>
          </w:p>
        </w:tc>
        <w:tc>
          <w:tcPr>
            <w:tcW w:w="438" w:type="dxa"/>
            <w:vAlign w:val="center"/>
          </w:tcPr>
          <w:p w14:paraId="22FC276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p>
        </w:tc>
      </w:tr>
      <w:tr w14:paraId="55629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81" w:type="dxa"/>
            <w:vAlign w:val="center"/>
          </w:tcPr>
          <w:p w14:paraId="76F0DC6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5</w:t>
            </w:r>
          </w:p>
        </w:tc>
        <w:tc>
          <w:tcPr>
            <w:tcW w:w="825" w:type="dxa"/>
            <w:vAlign w:val="center"/>
          </w:tcPr>
          <w:p w14:paraId="456A319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洁净空调机组AHU-06/07</w:t>
            </w:r>
          </w:p>
        </w:tc>
        <w:tc>
          <w:tcPr>
            <w:tcW w:w="420" w:type="dxa"/>
            <w:vAlign w:val="center"/>
          </w:tcPr>
          <w:p w14:paraId="76CF91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2</w:t>
            </w:r>
          </w:p>
        </w:tc>
        <w:tc>
          <w:tcPr>
            <w:tcW w:w="747" w:type="dxa"/>
            <w:vAlign w:val="center"/>
          </w:tcPr>
          <w:p w14:paraId="0785541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5200</w:t>
            </w:r>
          </w:p>
        </w:tc>
        <w:tc>
          <w:tcPr>
            <w:tcW w:w="595" w:type="dxa"/>
            <w:vAlign w:val="center"/>
          </w:tcPr>
          <w:p w14:paraId="552975E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750</w:t>
            </w:r>
          </w:p>
        </w:tc>
        <w:tc>
          <w:tcPr>
            <w:tcW w:w="678" w:type="dxa"/>
            <w:vAlign w:val="center"/>
          </w:tcPr>
          <w:p w14:paraId="45A2E89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1800</w:t>
            </w:r>
          </w:p>
        </w:tc>
        <w:tc>
          <w:tcPr>
            <w:tcW w:w="586" w:type="dxa"/>
            <w:vAlign w:val="center"/>
          </w:tcPr>
          <w:p w14:paraId="66969D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26</w:t>
            </w:r>
          </w:p>
        </w:tc>
        <w:tc>
          <w:tcPr>
            <w:tcW w:w="537" w:type="dxa"/>
            <w:vAlign w:val="center"/>
          </w:tcPr>
          <w:p w14:paraId="23E3DD2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39</w:t>
            </w:r>
          </w:p>
        </w:tc>
        <w:tc>
          <w:tcPr>
            <w:tcW w:w="538" w:type="dxa"/>
            <w:vAlign w:val="center"/>
          </w:tcPr>
          <w:p w14:paraId="0C8B33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12</w:t>
            </w:r>
          </w:p>
        </w:tc>
        <w:tc>
          <w:tcPr>
            <w:tcW w:w="529" w:type="dxa"/>
            <w:vAlign w:val="center"/>
          </w:tcPr>
          <w:p w14:paraId="6B71323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12</w:t>
            </w:r>
          </w:p>
        </w:tc>
        <w:tc>
          <w:tcPr>
            <w:tcW w:w="630" w:type="dxa"/>
            <w:vAlign w:val="center"/>
          </w:tcPr>
          <w:p w14:paraId="1A471AD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5.5</w:t>
            </w:r>
          </w:p>
        </w:tc>
        <w:tc>
          <w:tcPr>
            <w:tcW w:w="650" w:type="dxa"/>
            <w:vAlign w:val="center"/>
          </w:tcPr>
          <w:p w14:paraId="2102503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r>
              <w:rPr>
                <w:rFonts w:hint="eastAsia" w:ascii="宋体" w:hAnsi="宋体" w:eastAsia="宋体" w:cs="宋体"/>
                <w:sz w:val="16"/>
                <w:szCs w:val="16"/>
                <w:highlight w:val="none"/>
                <w:vertAlign w:val="baseline"/>
              </w:rPr>
              <w:t>4200*1250*950</w:t>
            </w:r>
          </w:p>
        </w:tc>
        <w:tc>
          <w:tcPr>
            <w:tcW w:w="968" w:type="dxa"/>
            <w:vAlign w:val="center"/>
          </w:tcPr>
          <w:p w14:paraId="025321D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r>
              <w:rPr>
                <w:rFonts w:hint="eastAsia" w:ascii="宋体" w:hAnsi="宋体" w:eastAsia="宋体" w:cs="宋体"/>
                <w:sz w:val="13"/>
                <w:szCs w:val="13"/>
                <w:highlight w:val="none"/>
                <w:vertAlign w:val="baseline"/>
              </w:rPr>
              <w:t>混合段,送风机段,均流段,初中效过滤段,表冷段,电加热段,加湿段,送风段,</w:t>
            </w:r>
          </w:p>
        </w:tc>
        <w:tc>
          <w:tcPr>
            <w:tcW w:w="438" w:type="dxa"/>
            <w:vAlign w:val="center"/>
          </w:tcPr>
          <w:p w14:paraId="6C69E45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p>
        </w:tc>
      </w:tr>
      <w:tr w14:paraId="3B67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81" w:type="dxa"/>
            <w:vAlign w:val="center"/>
          </w:tcPr>
          <w:p w14:paraId="033E015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6</w:t>
            </w:r>
          </w:p>
        </w:tc>
        <w:tc>
          <w:tcPr>
            <w:tcW w:w="825" w:type="dxa"/>
            <w:vAlign w:val="center"/>
          </w:tcPr>
          <w:p w14:paraId="27B3CB9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eastAsia="zh-CN"/>
              </w:rPr>
            </w:pPr>
            <w:r>
              <w:rPr>
                <w:rFonts w:hint="eastAsia" w:ascii="宋体" w:hAnsi="宋体" w:eastAsia="宋体" w:cs="宋体"/>
                <w:sz w:val="16"/>
                <w:szCs w:val="16"/>
                <w:highlight w:val="none"/>
                <w:vertAlign w:val="baseline"/>
                <w:lang w:val="en-US" w:eastAsia="zh-CN"/>
              </w:rPr>
              <w:t>洁净空调机组AHU-08</w:t>
            </w:r>
          </w:p>
        </w:tc>
        <w:tc>
          <w:tcPr>
            <w:tcW w:w="420" w:type="dxa"/>
            <w:vAlign w:val="center"/>
          </w:tcPr>
          <w:p w14:paraId="3BB7437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1</w:t>
            </w:r>
          </w:p>
        </w:tc>
        <w:tc>
          <w:tcPr>
            <w:tcW w:w="747" w:type="dxa"/>
            <w:vAlign w:val="center"/>
          </w:tcPr>
          <w:p w14:paraId="410702F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6000</w:t>
            </w:r>
          </w:p>
        </w:tc>
        <w:tc>
          <w:tcPr>
            <w:tcW w:w="595" w:type="dxa"/>
            <w:vAlign w:val="center"/>
          </w:tcPr>
          <w:p w14:paraId="1F0D3F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600</w:t>
            </w:r>
          </w:p>
        </w:tc>
        <w:tc>
          <w:tcPr>
            <w:tcW w:w="678" w:type="dxa"/>
            <w:vAlign w:val="center"/>
          </w:tcPr>
          <w:p w14:paraId="45020EF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2500</w:t>
            </w:r>
          </w:p>
        </w:tc>
        <w:tc>
          <w:tcPr>
            <w:tcW w:w="586" w:type="dxa"/>
            <w:vAlign w:val="center"/>
          </w:tcPr>
          <w:p w14:paraId="2EB23D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30</w:t>
            </w:r>
          </w:p>
        </w:tc>
        <w:tc>
          <w:tcPr>
            <w:tcW w:w="537" w:type="dxa"/>
            <w:vAlign w:val="center"/>
          </w:tcPr>
          <w:p w14:paraId="42A6E05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42</w:t>
            </w:r>
          </w:p>
        </w:tc>
        <w:tc>
          <w:tcPr>
            <w:tcW w:w="538" w:type="dxa"/>
            <w:vAlign w:val="center"/>
          </w:tcPr>
          <w:p w14:paraId="514F75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16</w:t>
            </w:r>
          </w:p>
        </w:tc>
        <w:tc>
          <w:tcPr>
            <w:tcW w:w="529" w:type="dxa"/>
            <w:vAlign w:val="center"/>
          </w:tcPr>
          <w:p w14:paraId="18CAC12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12</w:t>
            </w:r>
          </w:p>
        </w:tc>
        <w:tc>
          <w:tcPr>
            <w:tcW w:w="630" w:type="dxa"/>
            <w:vAlign w:val="center"/>
          </w:tcPr>
          <w:p w14:paraId="6DBD54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5.5</w:t>
            </w:r>
          </w:p>
        </w:tc>
        <w:tc>
          <w:tcPr>
            <w:tcW w:w="650" w:type="dxa"/>
            <w:vAlign w:val="center"/>
          </w:tcPr>
          <w:p w14:paraId="344A414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r>
              <w:rPr>
                <w:rFonts w:hint="eastAsia" w:ascii="宋体" w:hAnsi="宋体" w:eastAsia="宋体" w:cs="宋体"/>
                <w:sz w:val="16"/>
                <w:szCs w:val="16"/>
                <w:highlight w:val="none"/>
                <w:vertAlign w:val="baseline"/>
              </w:rPr>
              <w:t>4200*1350*950</w:t>
            </w:r>
          </w:p>
        </w:tc>
        <w:tc>
          <w:tcPr>
            <w:tcW w:w="968" w:type="dxa"/>
            <w:vAlign w:val="center"/>
          </w:tcPr>
          <w:p w14:paraId="0CDAAB7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r>
              <w:rPr>
                <w:rFonts w:hint="eastAsia" w:ascii="宋体" w:hAnsi="宋体" w:eastAsia="宋体" w:cs="宋体"/>
                <w:sz w:val="16"/>
                <w:szCs w:val="16"/>
                <w:highlight w:val="none"/>
                <w:vertAlign w:val="baseline"/>
              </w:rPr>
              <w:t>混合段,送风机段,均流段,初中效过滤段,表冷段,电加热段,加湿段,送风段,</w:t>
            </w:r>
          </w:p>
        </w:tc>
        <w:tc>
          <w:tcPr>
            <w:tcW w:w="438" w:type="dxa"/>
            <w:vAlign w:val="center"/>
          </w:tcPr>
          <w:p w14:paraId="65A394F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p>
        </w:tc>
      </w:tr>
      <w:tr w14:paraId="7DCF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81" w:type="dxa"/>
            <w:vAlign w:val="center"/>
          </w:tcPr>
          <w:p w14:paraId="34EC3C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7</w:t>
            </w:r>
          </w:p>
        </w:tc>
        <w:tc>
          <w:tcPr>
            <w:tcW w:w="825" w:type="dxa"/>
            <w:vAlign w:val="center"/>
          </w:tcPr>
          <w:p w14:paraId="2005D3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eastAsia="zh-CN"/>
              </w:rPr>
            </w:pPr>
            <w:r>
              <w:rPr>
                <w:rFonts w:hint="eastAsia" w:ascii="宋体" w:hAnsi="宋体" w:eastAsia="宋体" w:cs="宋体"/>
                <w:sz w:val="16"/>
                <w:szCs w:val="16"/>
                <w:highlight w:val="none"/>
                <w:vertAlign w:val="baseline"/>
                <w:lang w:val="en-US" w:eastAsia="zh-CN"/>
              </w:rPr>
              <w:t>洁净空调机组AHU-00</w:t>
            </w:r>
          </w:p>
        </w:tc>
        <w:tc>
          <w:tcPr>
            <w:tcW w:w="420" w:type="dxa"/>
            <w:vAlign w:val="center"/>
          </w:tcPr>
          <w:p w14:paraId="0D96C6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1</w:t>
            </w:r>
          </w:p>
        </w:tc>
        <w:tc>
          <w:tcPr>
            <w:tcW w:w="747" w:type="dxa"/>
            <w:vAlign w:val="center"/>
          </w:tcPr>
          <w:p w14:paraId="668A9D0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4200</w:t>
            </w:r>
          </w:p>
        </w:tc>
        <w:tc>
          <w:tcPr>
            <w:tcW w:w="595" w:type="dxa"/>
            <w:vAlign w:val="center"/>
          </w:tcPr>
          <w:p w14:paraId="49471C2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600</w:t>
            </w:r>
          </w:p>
        </w:tc>
        <w:tc>
          <w:tcPr>
            <w:tcW w:w="678" w:type="dxa"/>
            <w:vAlign w:val="center"/>
          </w:tcPr>
          <w:p w14:paraId="20635E3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1500</w:t>
            </w:r>
          </w:p>
        </w:tc>
        <w:tc>
          <w:tcPr>
            <w:tcW w:w="586" w:type="dxa"/>
            <w:vAlign w:val="center"/>
          </w:tcPr>
          <w:p w14:paraId="6EC72B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21</w:t>
            </w:r>
          </w:p>
        </w:tc>
        <w:tc>
          <w:tcPr>
            <w:tcW w:w="537" w:type="dxa"/>
            <w:vAlign w:val="center"/>
          </w:tcPr>
          <w:p w14:paraId="79917E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29</w:t>
            </w:r>
          </w:p>
        </w:tc>
        <w:tc>
          <w:tcPr>
            <w:tcW w:w="538" w:type="dxa"/>
            <w:vAlign w:val="center"/>
          </w:tcPr>
          <w:p w14:paraId="5762D6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10</w:t>
            </w:r>
          </w:p>
        </w:tc>
        <w:tc>
          <w:tcPr>
            <w:tcW w:w="529" w:type="dxa"/>
            <w:vAlign w:val="center"/>
          </w:tcPr>
          <w:p w14:paraId="7D62A96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9</w:t>
            </w:r>
          </w:p>
        </w:tc>
        <w:tc>
          <w:tcPr>
            <w:tcW w:w="630" w:type="dxa"/>
            <w:vAlign w:val="center"/>
          </w:tcPr>
          <w:p w14:paraId="37C0157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4</w:t>
            </w:r>
          </w:p>
        </w:tc>
        <w:tc>
          <w:tcPr>
            <w:tcW w:w="650" w:type="dxa"/>
            <w:vAlign w:val="center"/>
          </w:tcPr>
          <w:p w14:paraId="011C25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r>
              <w:rPr>
                <w:rFonts w:hint="eastAsia" w:ascii="宋体" w:hAnsi="宋体" w:eastAsia="宋体" w:cs="宋体"/>
                <w:sz w:val="16"/>
                <w:szCs w:val="16"/>
                <w:highlight w:val="none"/>
                <w:vertAlign w:val="baseline"/>
              </w:rPr>
              <w:t>4200*1250*850</w:t>
            </w:r>
          </w:p>
        </w:tc>
        <w:tc>
          <w:tcPr>
            <w:tcW w:w="968" w:type="dxa"/>
            <w:vAlign w:val="center"/>
          </w:tcPr>
          <w:p w14:paraId="4F5D083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r>
              <w:rPr>
                <w:rFonts w:hint="eastAsia" w:ascii="宋体" w:hAnsi="宋体" w:eastAsia="宋体" w:cs="宋体"/>
                <w:sz w:val="16"/>
                <w:szCs w:val="16"/>
                <w:highlight w:val="none"/>
                <w:vertAlign w:val="baseline"/>
              </w:rPr>
              <w:t>混合段,送风机段,均流段,初中效过滤段,表冷段,电加热段,加湿段,送风段,</w:t>
            </w:r>
          </w:p>
        </w:tc>
        <w:tc>
          <w:tcPr>
            <w:tcW w:w="438" w:type="dxa"/>
            <w:vAlign w:val="center"/>
          </w:tcPr>
          <w:p w14:paraId="27C59D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p>
        </w:tc>
      </w:tr>
      <w:tr w14:paraId="5850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381" w:type="dxa"/>
            <w:vAlign w:val="center"/>
          </w:tcPr>
          <w:p w14:paraId="0BD858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8</w:t>
            </w:r>
          </w:p>
        </w:tc>
        <w:tc>
          <w:tcPr>
            <w:tcW w:w="825" w:type="dxa"/>
            <w:vAlign w:val="center"/>
          </w:tcPr>
          <w:p w14:paraId="0AFF392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新风处理机组PAU-01/02</w:t>
            </w:r>
          </w:p>
        </w:tc>
        <w:tc>
          <w:tcPr>
            <w:tcW w:w="420" w:type="dxa"/>
            <w:vAlign w:val="center"/>
          </w:tcPr>
          <w:p w14:paraId="20178ED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2</w:t>
            </w:r>
          </w:p>
        </w:tc>
        <w:tc>
          <w:tcPr>
            <w:tcW w:w="747" w:type="dxa"/>
            <w:vAlign w:val="center"/>
          </w:tcPr>
          <w:p w14:paraId="666EE8F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9000</w:t>
            </w:r>
          </w:p>
        </w:tc>
        <w:tc>
          <w:tcPr>
            <w:tcW w:w="595" w:type="dxa"/>
            <w:vAlign w:val="center"/>
          </w:tcPr>
          <w:p w14:paraId="6331B85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600</w:t>
            </w:r>
          </w:p>
        </w:tc>
        <w:tc>
          <w:tcPr>
            <w:tcW w:w="678" w:type="dxa"/>
            <w:vAlign w:val="center"/>
          </w:tcPr>
          <w:p w14:paraId="1A93D8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9000</w:t>
            </w:r>
          </w:p>
        </w:tc>
        <w:tc>
          <w:tcPr>
            <w:tcW w:w="586" w:type="dxa"/>
            <w:vAlign w:val="center"/>
          </w:tcPr>
          <w:p w14:paraId="64A5E0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102</w:t>
            </w:r>
          </w:p>
        </w:tc>
        <w:tc>
          <w:tcPr>
            <w:tcW w:w="537" w:type="dxa"/>
            <w:vAlign w:val="center"/>
          </w:tcPr>
          <w:p w14:paraId="0AF180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127</w:t>
            </w:r>
          </w:p>
        </w:tc>
        <w:tc>
          <w:tcPr>
            <w:tcW w:w="538" w:type="dxa"/>
            <w:vAlign w:val="center"/>
          </w:tcPr>
          <w:p w14:paraId="3A4E89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w:t>
            </w:r>
          </w:p>
        </w:tc>
        <w:tc>
          <w:tcPr>
            <w:tcW w:w="529" w:type="dxa"/>
            <w:vAlign w:val="center"/>
          </w:tcPr>
          <w:p w14:paraId="33559D2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sz w:val="16"/>
                <w:szCs w:val="16"/>
                <w:highlight w:val="none"/>
                <w:vertAlign w:val="baseline"/>
                <w:lang w:val="en-US" w:eastAsia="zh-CN"/>
              </w:rPr>
              <w:t>-</w:t>
            </w:r>
          </w:p>
        </w:tc>
        <w:tc>
          <w:tcPr>
            <w:tcW w:w="630" w:type="dxa"/>
            <w:vAlign w:val="center"/>
          </w:tcPr>
          <w:p w14:paraId="2C6B0F9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lang w:val="en-US" w:eastAsia="zh-CN"/>
              </w:rPr>
            </w:pPr>
            <w:r>
              <w:rPr>
                <w:rFonts w:hint="eastAsia" w:ascii="宋体" w:hAnsi="宋体" w:eastAsia="宋体" w:cs="宋体"/>
                <w:highlight w:val="none"/>
              </w:rPr>
              <w:t>≥</w:t>
            </w:r>
            <w:r>
              <w:rPr>
                <w:rFonts w:hint="eastAsia" w:ascii="宋体" w:hAnsi="宋体" w:eastAsia="宋体" w:cs="宋体"/>
                <w:sz w:val="16"/>
                <w:szCs w:val="16"/>
                <w:highlight w:val="none"/>
                <w:vertAlign w:val="baseline"/>
                <w:lang w:val="en-US" w:eastAsia="zh-CN"/>
              </w:rPr>
              <w:t>7.5</w:t>
            </w:r>
          </w:p>
        </w:tc>
        <w:tc>
          <w:tcPr>
            <w:tcW w:w="650" w:type="dxa"/>
            <w:vAlign w:val="center"/>
          </w:tcPr>
          <w:p w14:paraId="1589356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r>
              <w:rPr>
                <w:rFonts w:hint="eastAsia" w:ascii="宋体" w:hAnsi="宋体" w:eastAsia="宋体" w:cs="宋体"/>
                <w:sz w:val="16"/>
                <w:szCs w:val="16"/>
                <w:highlight w:val="none"/>
                <w:vertAlign w:val="baseline"/>
              </w:rPr>
              <w:t>3800*1450*1150</w:t>
            </w:r>
          </w:p>
        </w:tc>
        <w:tc>
          <w:tcPr>
            <w:tcW w:w="968" w:type="dxa"/>
            <w:vAlign w:val="center"/>
          </w:tcPr>
          <w:p w14:paraId="66C0D74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r>
              <w:rPr>
                <w:rFonts w:hint="eastAsia" w:ascii="宋体" w:hAnsi="宋体" w:eastAsia="宋体" w:cs="宋体"/>
                <w:sz w:val="16"/>
                <w:szCs w:val="16"/>
                <w:highlight w:val="none"/>
                <w:vertAlign w:val="baseline"/>
              </w:rPr>
              <w:t>新风段,初效过滤段,送风机段,均流段,中效过滤段,表冷段,送风段,</w:t>
            </w:r>
          </w:p>
        </w:tc>
        <w:tc>
          <w:tcPr>
            <w:tcW w:w="438" w:type="dxa"/>
            <w:vAlign w:val="center"/>
          </w:tcPr>
          <w:p w14:paraId="611D611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16"/>
                <w:szCs w:val="16"/>
                <w:highlight w:val="none"/>
                <w:vertAlign w:val="baseline"/>
              </w:rPr>
            </w:pPr>
          </w:p>
        </w:tc>
      </w:tr>
    </w:tbl>
    <w:p w14:paraId="0650B5B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2"/>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（三）洁净空调机组技术要求</w:t>
      </w:r>
    </w:p>
    <w:p w14:paraId="25EE47A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1、空调箱体要求</w:t>
      </w:r>
    </w:p>
    <w:p w14:paraId="7FD464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1</w:t>
      </w:r>
      <w:r>
        <w:rPr>
          <w:rFonts w:hint="eastAsia" w:ascii="宋体" w:hAnsi="宋体" w:eastAsia="宋体" w:cs="宋体"/>
          <w:sz w:val="24"/>
          <w:szCs w:val="24"/>
          <w:highlight w:val="none"/>
        </w:rPr>
        <w:tab/>
      </w:r>
      <w:r>
        <w:rPr>
          <w:rFonts w:hint="eastAsia" w:ascii="宋体" w:hAnsi="宋体" w:eastAsia="宋体" w:cs="宋体"/>
          <w:sz w:val="24"/>
          <w:szCs w:val="24"/>
          <w:highlight w:val="none"/>
        </w:rPr>
        <w:t>箱板采用双层面板中间高压聚氨脂发泡保温，外壁板采用厚度≥0.5mm厚的辊涂新工艺彩钢板，内壁板为≥0.5mm厚无锌花镀锌钢板，其中内底板为≥0.7mm厚无锌花镀锌钢板。</w:t>
      </w:r>
      <w:r>
        <w:rPr>
          <w:rFonts w:hint="eastAsia" w:ascii="宋体" w:hAnsi="宋体" w:eastAsia="宋体" w:cs="宋体"/>
          <w:sz w:val="24"/>
          <w:szCs w:val="24"/>
          <w:highlight w:val="none"/>
          <w:lang w:eastAsia="zh-CN"/>
        </w:rPr>
        <w:t>无</w:t>
      </w:r>
      <w:r>
        <w:rPr>
          <w:rFonts w:hint="eastAsia" w:ascii="宋体" w:hAnsi="宋体" w:eastAsia="宋体" w:cs="宋体"/>
          <w:sz w:val="24"/>
          <w:szCs w:val="24"/>
          <w:highlight w:val="none"/>
        </w:rPr>
        <w:t>内部突出结构。发泡材料密度≥5</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Kg/m³。</w:t>
      </w:r>
      <w:r>
        <w:rPr>
          <w:rFonts w:hint="eastAsia" w:ascii="宋体" w:hAnsi="宋体" w:eastAsia="宋体" w:cs="宋体"/>
          <w:b/>
          <w:bCs/>
          <w:sz w:val="24"/>
          <w:szCs w:val="24"/>
          <w:highlight w:val="none"/>
        </w:rPr>
        <w:t>需提供机组内部结构对接示意图，高压聚氨脂发泡经国家检测，并提供相关检测报告</w:t>
      </w:r>
      <w:r>
        <w:rPr>
          <w:rFonts w:hint="eastAsia" w:ascii="宋体" w:hAnsi="宋体" w:eastAsia="宋体" w:cs="宋体"/>
          <w:b/>
          <w:bCs/>
          <w:sz w:val="24"/>
          <w:szCs w:val="24"/>
          <w:highlight w:val="none"/>
          <w:lang w:eastAsia="zh-CN"/>
        </w:rPr>
        <w:t>。</w:t>
      </w:r>
    </w:p>
    <w:p w14:paraId="3BDFD5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机组面板采用嵌入式无缝隙对接技术，外表面</w:t>
      </w:r>
      <w:r>
        <w:rPr>
          <w:rFonts w:hint="eastAsia" w:ascii="宋体" w:hAnsi="宋体" w:eastAsia="宋体" w:cs="宋体"/>
          <w:sz w:val="24"/>
          <w:szCs w:val="24"/>
          <w:highlight w:val="none"/>
          <w:lang w:eastAsia="zh-CN"/>
        </w:rPr>
        <w:t>非</w:t>
      </w:r>
      <w:r>
        <w:rPr>
          <w:rFonts w:hint="eastAsia" w:ascii="宋体" w:hAnsi="宋体" w:eastAsia="宋体" w:cs="宋体"/>
          <w:sz w:val="24"/>
          <w:szCs w:val="24"/>
          <w:highlight w:val="none"/>
        </w:rPr>
        <w:t>自攻钉连接</w:t>
      </w:r>
      <w:r>
        <w:rPr>
          <w:rFonts w:hint="eastAsia" w:ascii="宋体" w:hAnsi="宋体" w:eastAsia="宋体" w:cs="宋体"/>
          <w:sz w:val="24"/>
          <w:szCs w:val="24"/>
          <w:highlight w:val="none"/>
          <w:lang w:eastAsia="zh-CN"/>
        </w:rPr>
        <w:t>，</w:t>
      </w:r>
      <w:r>
        <w:rPr>
          <w:rFonts w:hint="eastAsia" w:ascii="宋体" w:hAnsi="宋体" w:eastAsia="宋体" w:cs="宋体"/>
          <w:b/>
          <w:bCs/>
          <w:sz w:val="24"/>
          <w:szCs w:val="24"/>
          <w:highlight w:val="none"/>
        </w:rPr>
        <w:t>提供有效证书</w:t>
      </w:r>
      <w:r>
        <w:rPr>
          <w:rFonts w:hint="eastAsia" w:ascii="宋体" w:hAnsi="宋体" w:eastAsia="宋体" w:cs="宋体"/>
          <w:sz w:val="24"/>
          <w:szCs w:val="24"/>
          <w:highlight w:val="none"/>
        </w:rPr>
        <w:t>；</w:t>
      </w:r>
    </w:p>
    <w:p w14:paraId="493A6E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1.2.2</w:t>
      </w:r>
      <w:r>
        <w:rPr>
          <w:rFonts w:hint="eastAsia" w:ascii="宋体" w:hAnsi="宋体" w:eastAsia="宋体" w:cs="宋体"/>
          <w:sz w:val="24"/>
          <w:szCs w:val="24"/>
          <w:highlight w:val="none"/>
        </w:rPr>
        <w:t>机组现场配备≥20#槽钢基础支撑</w:t>
      </w:r>
      <w:r>
        <w:rPr>
          <w:rFonts w:hint="eastAsia" w:ascii="宋体" w:hAnsi="宋体" w:eastAsia="宋体" w:cs="宋体"/>
          <w:sz w:val="24"/>
          <w:szCs w:val="24"/>
          <w:highlight w:val="none"/>
          <w:lang w:eastAsia="zh-CN"/>
        </w:rPr>
        <w:t>，可</w:t>
      </w:r>
      <w:r>
        <w:rPr>
          <w:rFonts w:hint="eastAsia" w:ascii="宋体" w:hAnsi="宋体" w:eastAsia="宋体" w:cs="宋体"/>
          <w:sz w:val="24"/>
          <w:szCs w:val="24"/>
          <w:highlight w:val="none"/>
        </w:rPr>
        <w:t>满足空调箱水封后的排水要求。</w:t>
      </w:r>
    </w:p>
    <w:p w14:paraId="38255B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1.2.3</w:t>
      </w:r>
      <w:r>
        <w:rPr>
          <w:rFonts w:hint="eastAsia" w:ascii="宋体" w:hAnsi="宋体" w:eastAsia="宋体" w:cs="宋体"/>
          <w:sz w:val="24"/>
          <w:szCs w:val="24"/>
          <w:highlight w:val="none"/>
        </w:rPr>
        <w:t>机组底座采用≥100mm高表面热镀锌防腐处理的钣金折弯底座，并每段底座自带调水平装置。</w:t>
      </w:r>
    </w:p>
    <w:p w14:paraId="223D5A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3</w:t>
      </w:r>
      <w:r>
        <w:rPr>
          <w:rFonts w:hint="eastAsia" w:ascii="宋体" w:hAnsi="宋体" w:eastAsia="宋体" w:cs="宋体"/>
          <w:sz w:val="24"/>
          <w:szCs w:val="24"/>
          <w:highlight w:val="none"/>
        </w:rPr>
        <w:tab/>
      </w:r>
      <w:r>
        <w:rPr>
          <w:rFonts w:hint="eastAsia" w:ascii="宋体" w:hAnsi="宋体" w:eastAsia="宋体" w:cs="宋体"/>
          <w:sz w:val="24"/>
          <w:szCs w:val="24"/>
          <w:highlight w:val="none"/>
        </w:rPr>
        <w:t>框梁（骨架）</w:t>
      </w:r>
      <w:r>
        <w:rPr>
          <w:rFonts w:hint="eastAsia" w:ascii="宋体" w:hAnsi="宋体" w:eastAsia="宋体" w:cs="宋体"/>
          <w:sz w:val="24"/>
          <w:szCs w:val="24"/>
          <w:highlight w:val="none"/>
          <w:lang w:eastAsia="zh-CN"/>
        </w:rPr>
        <w:t>或</w:t>
      </w:r>
      <w:r>
        <w:rPr>
          <w:rFonts w:hint="eastAsia" w:ascii="宋体" w:hAnsi="宋体" w:eastAsia="宋体" w:cs="宋体"/>
          <w:sz w:val="24"/>
          <w:szCs w:val="24"/>
          <w:highlight w:val="none"/>
        </w:rPr>
        <w:t>保温护板，只要同时接触机组内外空气的连接处均应采取绝对“断冷桥”结构。</w:t>
      </w:r>
      <w:r>
        <w:rPr>
          <w:rFonts w:hint="eastAsia" w:ascii="宋体" w:hAnsi="宋体" w:eastAsia="宋体" w:cs="宋体"/>
          <w:b/>
          <w:bCs/>
          <w:sz w:val="24"/>
          <w:szCs w:val="24"/>
          <w:highlight w:val="none"/>
        </w:rPr>
        <w:t>投标书须详细说明具体的“断冷桥”措施、并提供详细说明及结构示意图</w:t>
      </w:r>
      <w:r>
        <w:rPr>
          <w:rFonts w:hint="eastAsia" w:ascii="宋体" w:hAnsi="宋体" w:eastAsia="宋体" w:cs="宋体"/>
          <w:sz w:val="24"/>
          <w:szCs w:val="24"/>
          <w:highlight w:val="none"/>
          <w:lang w:val="en-US" w:eastAsia="zh-CN"/>
        </w:rPr>
        <w:t>；</w:t>
      </w:r>
    </w:p>
    <w:p w14:paraId="14BDA2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4</w:t>
      </w:r>
      <w:r>
        <w:rPr>
          <w:rFonts w:hint="eastAsia" w:ascii="宋体" w:hAnsi="宋体" w:eastAsia="宋体" w:cs="宋体"/>
          <w:sz w:val="24"/>
          <w:szCs w:val="24"/>
          <w:highlight w:val="none"/>
        </w:rPr>
        <w:tab/>
      </w:r>
      <w:r>
        <w:rPr>
          <w:rFonts w:hint="eastAsia" w:ascii="宋体" w:hAnsi="宋体" w:eastAsia="宋体" w:cs="宋体"/>
          <w:sz w:val="24"/>
          <w:szCs w:val="24"/>
          <w:highlight w:val="none"/>
        </w:rPr>
        <w:t>机组的漏风率要符合箱体内静压为1000pa时，漏风率不大于0.15%；漏风率达到欧洲空气处理机组EN1886:2007  L1（M）级以上指标</w:t>
      </w:r>
      <w:r>
        <w:rPr>
          <w:rFonts w:hint="eastAsia" w:ascii="宋体" w:hAnsi="宋体" w:eastAsia="宋体" w:cs="宋体"/>
          <w:sz w:val="24"/>
          <w:szCs w:val="24"/>
          <w:highlight w:val="none"/>
          <w:lang w:eastAsia="zh-CN"/>
        </w:rPr>
        <w:t>，</w:t>
      </w:r>
      <w:r>
        <w:rPr>
          <w:rFonts w:hint="eastAsia" w:ascii="宋体" w:hAnsi="宋体" w:eastAsia="宋体" w:cs="宋体"/>
          <w:b/>
          <w:bCs/>
          <w:sz w:val="24"/>
          <w:szCs w:val="24"/>
          <w:highlight w:val="none"/>
        </w:rPr>
        <w:t>并提供相关检测报告。</w:t>
      </w:r>
    </w:p>
    <w:p w14:paraId="40FA61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5</w:t>
      </w:r>
      <w:r>
        <w:rPr>
          <w:rFonts w:hint="eastAsia" w:ascii="宋体" w:hAnsi="宋体" w:eastAsia="宋体" w:cs="宋体"/>
          <w:sz w:val="24"/>
          <w:szCs w:val="24"/>
          <w:highlight w:val="none"/>
        </w:rPr>
        <w:tab/>
      </w:r>
      <w:r>
        <w:rPr>
          <w:rFonts w:hint="eastAsia" w:ascii="宋体" w:hAnsi="宋体" w:eastAsia="宋体" w:cs="宋体"/>
          <w:sz w:val="24"/>
          <w:szCs w:val="24"/>
          <w:highlight w:val="none"/>
        </w:rPr>
        <w:t>机组有防冷桥措施，机组在运行时，不得出现冷桥和凝露现象，整个面板的隔热性能达到EN1886:2007 T2级保温等级，整个箱体的冷桥系数达到EN1886:2007 TB1级冷桥等级</w:t>
      </w:r>
      <w:r>
        <w:rPr>
          <w:rFonts w:hint="eastAsia" w:ascii="宋体" w:hAnsi="宋体" w:eastAsia="宋体" w:cs="宋体"/>
          <w:sz w:val="24"/>
          <w:szCs w:val="24"/>
          <w:highlight w:val="none"/>
          <w:lang w:eastAsia="zh-CN"/>
        </w:rPr>
        <w:t>，</w:t>
      </w:r>
      <w:r>
        <w:rPr>
          <w:rFonts w:hint="eastAsia" w:ascii="宋体" w:hAnsi="宋体" w:eastAsia="宋体" w:cs="宋体"/>
          <w:b/>
          <w:bCs/>
          <w:sz w:val="24"/>
          <w:szCs w:val="24"/>
          <w:highlight w:val="none"/>
        </w:rPr>
        <w:t>并提供相关检测报告</w:t>
      </w:r>
      <w:r>
        <w:rPr>
          <w:rFonts w:hint="eastAsia" w:ascii="宋体" w:hAnsi="宋体" w:eastAsia="宋体" w:cs="宋体"/>
          <w:b/>
          <w:bCs/>
          <w:sz w:val="24"/>
          <w:szCs w:val="24"/>
          <w:highlight w:val="none"/>
          <w:lang w:eastAsia="zh-CN"/>
        </w:rPr>
        <w:t>；</w:t>
      </w:r>
    </w:p>
    <w:p w14:paraId="1FF029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6</w:t>
      </w:r>
      <w:r>
        <w:rPr>
          <w:rFonts w:hint="eastAsia" w:ascii="宋体" w:hAnsi="宋体" w:eastAsia="宋体" w:cs="宋体"/>
          <w:sz w:val="24"/>
          <w:szCs w:val="24"/>
          <w:highlight w:val="none"/>
        </w:rPr>
        <w:tab/>
      </w:r>
      <w:r>
        <w:rPr>
          <w:rFonts w:hint="eastAsia" w:ascii="宋体" w:hAnsi="宋体" w:eastAsia="宋体" w:cs="宋体"/>
          <w:sz w:val="24"/>
          <w:szCs w:val="24"/>
          <w:highlight w:val="none"/>
        </w:rPr>
        <w:t>箱体机械强度符合EN1886 D1（M）级标准（在设计工况下，变形率不大于4mm/m）</w:t>
      </w:r>
      <w:r>
        <w:rPr>
          <w:rFonts w:hint="eastAsia" w:ascii="宋体" w:hAnsi="宋体" w:eastAsia="宋体" w:cs="宋体"/>
          <w:sz w:val="24"/>
          <w:szCs w:val="24"/>
          <w:highlight w:val="none"/>
          <w:lang w:eastAsia="zh-CN"/>
        </w:rPr>
        <w:t>，</w:t>
      </w:r>
      <w:r>
        <w:rPr>
          <w:rFonts w:hint="eastAsia" w:ascii="宋体" w:hAnsi="宋体" w:eastAsia="宋体" w:cs="宋体"/>
          <w:b/>
          <w:bCs/>
          <w:sz w:val="24"/>
          <w:szCs w:val="24"/>
          <w:highlight w:val="none"/>
        </w:rPr>
        <w:t>提供相关检测报告</w:t>
      </w:r>
      <w:r>
        <w:rPr>
          <w:rFonts w:hint="eastAsia" w:ascii="宋体" w:hAnsi="宋体" w:eastAsia="宋体" w:cs="宋体"/>
          <w:b/>
          <w:bCs/>
          <w:sz w:val="24"/>
          <w:szCs w:val="24"/>
          <w:highlight w:val="none"/>
          <w:lang w:eastAsia="zh-CN"/>
        </w:rPr>
        <w:t>；</w:t>
      </w:r>
    </w:p>
    <w:p w14:paraId="1C397F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7</w:t>
      </w:r>
      <w:r>
        <w:rPr>
          <w:rFonts w:hint="eastAsia" w:ascii="宋体" w:hAnsi="宋体" w:eastAsia="宋体" w:cs="宋体"/>
          <w:sz w:val="24"/>
          <w:szCs w:val="24"/>
          <w:highlight w:val="none"/>
        </w:rPr>
        <w:tab/>
      </w:r>
      <w:r>
        <w:rPr>
          <w:rFonts w:hint="eastAsia" w:ascii="宋体" w:hAnsi="宋体" w:eastAsia="宋体" w:cs="宋体"/>
          <w:sz w:val="24"/>
          <w:szCs w:val="24"/>
          <w:highlight w:val="none"/>
        </w:rPr>
        <w:t>机组出厂时，外面板表面应覆保护膜，以防现场组装时表面被划伤。内采用金属制作的构件表面应作除锈和防腐处理。空调机组内表面应平整、光滑、无积灰死角，满足医疗净化行业使用要求</w:t>
      </w:r>
    </w:p>
    <w:p w14:paraId="646237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8</w:t>
      </w:r>
      <w:r>
        <w:rPr>
          <w:rFonts w:hint="eastAsia" w:ascii="宋体" w:hAnsi="宋体" w:eastAsia="宋体" w:cs="宋体"/>
          <w:sz w:val="24"/>
          <w:szCs w:val="24"/>
          <w:highlight w:val="none"/>
        </w:rPr>
        <w:tab/>
      </w:r>
      <w:r>
        <w:rPr>
          <w:rFonts w:hint="eastAsia" w:ascii="宋体" w:hAnsi="宋体" w:eastAsia="宋体" w:cs="宋体"/>
          <w:sz w:val="24"/>
          <w:szCs w:val="24"/>
          <w:highlight w:val="none"/>
        </w:rPr>
        <w:t>空调机组的箱体按功能段进行工厂生产，易于现场组装</w:t>
      </w:r>
      <w:r>
        <w:rPr>
          <w:rFonts w:hint="eastAsia" w:ascii="宋体" w:hAnsi="宋体" w:eastAsia="宋体" w:cs="宋体"/>
          <w:sz w:val="24"/>
          <w:szCs w:val="24"/>
          <w:highlight w:val="none"/>
          <w:lang w:eastAsia="zh-CN"/>
        </w:rPr>
        <w:t>；</w:t>
      </w:r>
    </w:p>
    <w:p w14:paraId="6129E1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所有机组内部连接处的密封都要采用无硅的橡胶密封条，不得使用密封胶</w:t>
      </w:r>
      <w:r>
        <w:rPr>
          <w:rFonts w:hint="eastAsia" w:ascii="宋体" w:hAnsi="宋体" w:eastAsia="宋体" w:cs="宋体"/>
          <w:sz w:val="24"/>
          <w:szCs w:val="24"/>
          <w:highlight w:val="none"/>
          <w:lang w:eastAsia="zh-CN"/>
        </w:rPr>
        <w:t>；</w:t>
      </w:r>
    </w:p>
    <w:p w14:paraId="0B7CD72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2、风机段要求</w:t>
      </w:r>
    </w:p>
    <w:p w14:paraId="3C6492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1</w:t>
      </w:r>
      <w:r>
        <w:rPr>
          <w:rFonts w:hint="eastAsia" w:ascii="宋体" w:hAnsi="宋体" w:eastAsia="宋体" w:cs="宋体"/>
          <w:sz w:val="24"/>
          <w:szCs w:val="24"/>
          <w:highlight w:val="none"/>
        </w:rPr>
        <w:tab/>
      </w:r>
      <w:r>
        <w:rPr>
          <w:rFonts w:hint="eastAsia" w:ascii="宋体" w:hAnsi="宋体" w:eastAsia="宋体" w:cs="宋体"/>
          <w:sz w:val="24"/>
          <w:szCs w:val="24"/>
          <w:highlight w:val="none"/>
        </w:rPr>
        <w:t>组合式空调机组电机采用三相异步电动机，电机生产厂家通过ISO9000质量体系认证，并符合CE标准，绝缘等级</w:t>
      </w:r>
      <w:r>
        <w:rPr>
          <w:rFonts w:hint="eastAsia" w:ascii="宋体" w:hAnsi="宋体" w:eastAsia="宋体" w:cs="宋体"/>
          <w:sz w:val="24"/>
          <w:szCs w:val="24"/>
          <w:highlight w:val="none"/>
          <w:lang w:eastAsia="zh-CN"/>
        </w:rPr>
        <w:t>达到</w:t>
      </w:r>
      <w:r>
        <w:rPr>
          <w:rFonts w:hint="eastAsia" w:ascii="宋体" w:hAnsi="宋体" w:eastAsia="宋体" w:cs="宋体"/>
          <w:sz w:val="24"/>
          <w:szCs w:val="24"/>
          <w:highlight w:val="none"/>
        </w:rPr>
        <w:t>F级，防护等级</w:t>
      </w:r>
      <w:r>
        <w:rPr>
          <w:rFonts w:hint="eastAsia" w:ascii="宋体" w:hAnsi="宋体" w:eastAsia="宋体" w:cs="宋体"/>
          <w:sz w:val="24"/>
          <w:szCs w:val="24"/>
          <w:highlight w:val="none"/>
          <w:lang w:eastAsia="zh-CN"/>
        </w:rPr>
        <w:t>达到</w:t>
      </w:r>
      <w:r>
        <w:rPr>
          <w:rFonts w:hint="eastAsia" w:ascii="宋体" w:hAnsi="宋体" w:eastAsia="宋体" w:cs="宋体"/>
          <w:sz w:val="24"/>
          <w:szCs w:val="24"/>
          <w:highlight w:val="none"/>
        </w:rPr>
        <w:t>IP55。电机需采用满足国家GB18613-2020要求的IE3高能效电机</w:t>
      </w:r>
      <w:r>
        <w:rPr>
          <w:rFonts w:hint="eastAsia" w:ascii="宋体" w:hAnsi="宋体" w:eastAsia="宋体" w:cs="宋体"/>
          <w:sz w:val="24"/>
          <w:szCs w:val="24"/>
          <w:highlight w:val="none"/>
          <w:lang w:eastAsia="zh-CN"/>
        </w:rPr>
        <w:t>；</w:t>
      </w:r>
    </w:p>
    <w:p w14:paraId="04B935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2</w:t>
      </w:r>
      <w:r>
        <w:rPr>
          <w:rFonts w:hint="eastAsia" w:ascii="宋体" w:hAnsi="宋体" w:eastAsia="宋体" w:cs="宋体"/>
          <w:sz w:val="24"/>
          <w:szCs w:val="24"/>
          <w:highlight w:val="none"/>
        </w:rPr>
        <w:tab/>
      </w:r>
      <w:r>
        <w:rPr>
          <w:rFonts w:hint="eastAsia" w:ascii="宋体" w:hAnsi="宋体" w:eastAsia="宋体" w:cs="宋体"/>
          <w:sz w:val="24"/>
          <w:szCs w:val="24"/>
          <w:highlight w:val="none"/>
        </w:rPr>
        <w:t>风机</w:t>
      </w:r>
      <w:r>
        <w:rPr>
          <w:rFonts w:hint="eastAsia" w:ascii="宋体" w:hAnsi="宋体" w:eastAsia="宋体" w:cs="宋体"/>
          <w:sz w:val="24"/>
          <w:szCs w:val="24"/>
          <w:highlight w:val="none"/>
          <w:lang w:val="en-US" w:eastAsia="zh-CN"/>
        </w:rPr>
        <w:t>采用</w:t>
      </w:r>
      <w:r>
        <w:rPr>
          <w:rFonts w:hint="eastAsia" w:ascii="宋体" w:hAnsi="宋体" w:eastAsia="宋体" w:cs="宋体"/>
          <w:sz w:val="24"/>
          <w:szCs w:val="24"/>
          <w:highlight w:val="none"/>
        </w:rPr>
        <w:t>双进风离心风机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内外表面叶轮表面、风机支架表面均应有可靠的防锈蚀保护涂层，固定用的螺栓、螺母、垫圈均应有镀锌防锈处理，风机轴采用阶梯轴</w:t>
      </w:r>
      <w:r>
        <w:rPr>
          <w:rFonts w:hint="eastAsia" w:ascii="宋体" w:hAnsi="宋体" w:eastAsia="宋体" w:cs="宋体"/>
          <w:sz w:val="24"/>
          <w:szCs w:val="24"/>
          <w:highlight w:val="none"/>
          <w:lang w:eastAsia="zh-CN"/>
        </w:rPr>
        <w:t>；</w:t>
      </w:r>
    </w:p>
    <w:p w14:paraId="7403AF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3</w:t>
      </w:r>
      <w:r>
        <w:rPr>
          <w:rFonts w:hint="eastAsia" w:ascii="宋体" w:hAnsi="宋体" w:eastAsia="宋体" w:cs="宋体"/>
          <w:sz w:val="24"/>
          <w:szCs w:val="24"/>
          <w:highlight w:val="none"/>
        </w:rPr>
        <w:tab/>
      </w:r>
      <w:r>
        <w:rPr>
          <w:rFonts w:hint="eastAsia" w:ascii="宋体" w:hAnsi="宋体" w:eastAsia="宋体" w:cs="宋体"/>
          <w:sz w:val="24"/>
          <w:szCs w:val="24"/>
          <w:highlight w:val="none"/>
        </w:rPr>
        <w:t>风机出口设置软接管，降低机组振动及系统振动</w:t>
      </w:r>
      <w:r>
        <w:rPr>
          <w:rFonts w:hint="eastAsia" w:ascii="宋体" w:hAnsi="宋体" w:eastAsia="宋体" w:cs="宋体"/>
          <w:sz w:val="24"/>
          <w:szCs w:val="24"/>
          <w:highlight w:val="none"/>
          <w:lang w:eastAsia="zh-CN"/>
        </w:rPr>
        <w:t>的噪音</w:t>
      </w:r>
      <w:r>
        <w:rPr>
          <w:rFonts w:hint="eastAsia" w:ascii="宋体" w:hAnsi="宋体" w:eastAsia="宋体" w:cs="宋体"/>
          <w:sz w:val="24"/>
          <w:szCs w:val="24"/>
          <w:highlight w:val="none"/>
        </w:rPr>
        <w:t>。软连接帆布需满足防火、防霉、防水的“三防”要求</w:t>
      </w:r>
      <w:r>
        <w:rPr>
          <w:rFonts w:hint="eastAsia" w:ascii="宋体" w:hAnsi="宋体" w:eastAsia="宋体" w:cs="宋体"/>
          <w:sz w:val="24"/>
          <w:szCs w:val="24"/>
          <w:highlight w:val="none"/>
          <w:lang w:eastAsia="zh-CN"/>
        </w:rPr>
        <w:t>；</w:t>
      </w:r>
    </w:p>
    <w:p w14:paraId="02CC7F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4</w:t>
      </w:r>
      <w:r>
        <w:rPr>
          <w:rFonts w:hint="eastAsia" w:ascii="宋体" w:hAnsi="宋体" w:eastAsia="宋体" w:cs="宋体"/>
          <w:sz w:val="24"/>
          <w:szCs w:val="24"/>
          <w:highlight w:val="none"/>
        </w:rPr>
        <w:tab/>
      </w:r>
      <w:r>
        <w:rPr>
          <w:rFonts w:hint="eastAsia" w:ascii="宋体" w:hAnsi="宋体" w:eastAsia="宋体" w:cs="宋体"/>
          <w:sz w:val="24"/>
          <w:szCs w:val="24"/>
          <w:highlight w:val="none"/>
        </w:rPr>
        <w:t>风机和电机轴承均采用自润滑密封免维护型滚珠或滚柱轴承，轴承的最短寿命≥4万小时。小风机的轴承为密封型，无须加油</w:t>
      </w:r>
      <w:r>
        <w:rPr>
          <w:rFonts w:hint="eastAsia" w:ascii="宋体" w:hAnsi="宋体" w:eastAsia="宋体" w:cs="宋体"/>
          <w:sz w:val="24"/>
          <w:szCs w:val="24"/>
          <w:highlight w:val="none"/>
          <w:lang w:eastAsia="zh-CN"/>
        </w:rPr>
        <w:t>；</w:t>
      </w:r>
    </w:p>
    <w:p w14:paraId="66DD48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5</w:t>
      </w:r>
      <w:r>
        <w:rPr>
          <w:rFonts w:hint="eastAsia" w:ascii="宋体" w:hAnsi="宋体" w:eastAsia="宋体" w:cs="宋体"/>
          <w:sz w:val="24"/>
          <w:szCs w:val="24"/>
          <w:highlight w:val="none"/>
        </w:rPr>
        <w:tab/>
      </w:r>
      <w:r>
        <w:rPr>
          <w:rFonts w:hint="eastAsia" w:ascii="宋体" w:hAnsi="宋体" w:eastAsia="宋体" w:cs="宋体"/>
          <w:sz w:val="24"/>
          <w:szCs w:val="24"/>
          <w:highlight w:val="none"/>
        </w:rPr>
        <w:t>空调机组的风机选用离心风机，其机组出风口的风速≤14</w:t>
      </w:r>
      <w:r>
        <w:rPr>
          <w:rFonts w:hint="eastAsia" w:ascii="宋体" w:hAnsi="宋体" w:eastAsia="宋体" w:cs="宋体"/>
          <w:sz w:val="24"/>
          <w:szCs w:val="24"/>
          <w:highlight w:val="none"/>
          <w:lang w:val="en-US" w:eastAsia="zh-CN"/>
        </w:rPr>
        <w:t>m/s；</w:t>
      </w:r>
    </w:p>
    <w:p w14:paraId="1E4D06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6</w:t>
      </w:r>
      <w:r>
        <w:rPr>
          <w:rFonts w:hint="eastAsia" w:ascii="宋体" w:hAnsi="宋体" w:eastAsia="宋体" w:cs="宋体"/>
          <w:sz w:val="24"/>
          <w:szCs w:val="24"/>
          <w:highlight w:val="none"/>
        </w:rPr>
        <w:tab/>
      </w:r>
      <w:r>
        <w:rPr>
          <w:rFonts w:hint="eastAsia" w:ascii="宋体" w:hAnsi="宋体" w:eastAsia="宋体" w:cs="宋体"/>
          <w:sz w:val="24"/>
          <w:szCs w:val="24"/>
          <w:highlight w:val="none"/>
        </w:rPr>
        <w:t>风机电机采用皮带轮传动，传动皮带采用无尘三角带，皮带轮和传动轴通过自锁衬套连接</w:t>
      </w:r>
      <w:r>
        <w:rPr>
          <w:rFonts w:hint="eastAsia" w:ascii="宋体" w:hAnsi="宋体" w:eastAsia="宋体" w:cs="宋体"/>
          <w:sz w:val="24"/>
          <w:szCs w:val="24"/>
          <w:highlight w:val="none"/>
          <w:lang w:eastAsia="zh-CN"/>
        </w:rPr>
        <w:t>。</w:t>
      </w:r>
    </w:p>
    <w:p w14:paraId="0C46549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3、表冷段要求</w:t>
      </w:r>
    </w:p>
    <w:p w14:paraId="59F116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1</w:t>
      </w:r>
      <w:r>
        <w:rPr>
          <w:rFonts w:hint="eastAsia" w:ascii="宋体" w:hAnsi="宋体" w:eastAsia="宋体" w:cs="宋体"/>
          <w:sz w:val="24"/>
          <w:szCs w:val="24"/>
          <w:highlight w:val="none"/>
        </w:rPr>
        <w:tab/>
      </w:r>
      <w:r>
        <w:rPr>
          <w:rFonts w:hint="eastAsia" w:ascii="宋体" w:hAnsi="宋体" w:eastAsia="宋体" w:cs="宋体"/>
          <w:sz w:val="24"/>
          <w:szCs w:val="24"/>
          <w:highlight w:val="none"/>
        </w:rPr>
        <w:t>盘管采用铜管铝翅片，盘管性能应符合 GB/T 14296《空气冷却器和空气加热器》的规定</w:t>
      </w:r>
    </w:p>
    <w:p w14:paraId="54ECC5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2</w:t>
      </w:r>
      <w:r>
        <w:rPr>
          <w:rFonts w:hint="eastAsia" w:ascii="宋体" w:hAnsi="宋体" w:eastAsia="宋体" w:cs="宋体"/>
          <w:sz w:val="24"/>
          <w:szCs w:val="24"/>
          <w:highlight w:val="none"/>
        </w:rPr>
        <w:tab/>
      </w:r>
      <w:r>
        <w:rPr>
          <w:rFonts w:hint="eastAsia" w:ascii="宋体" w:hAnsi="宋体" w:eastAsia="宋体" w:cs="宋体"/>
          <w:sz w:val="24"/>
          <w:szCs w:val="24"/>
          <w:highlight w:val="none"/>
        </w:rPr>
        <w:t>表冷段盘管须采用外径≥12.7mm，厚度≥0.3</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mm优质磷脱氧无缝紫铜管，穿</w:t>
      </w:r>
      <w:r>
        <w:rPr>
          <w:rFonts w:hint="eastAsia" w:ascii="宋体" w:hAnsi="宋体" w:eastAsia="宋体" w:cs="宋体"/>
          <w:sz w:val="24"/>
          <w:szCs w:val="24"/>
          <w:highlight w:val="none"/>
          <w:lang w:val="en-US" w:eastAsia="zh-CN"/>
        </w:rPr>
        <w:t>孔</w:t>
      </w:r>
      <w:r>
        <w:rPr>
          <w:rFonts w:hint="eastAsia" w:ascii="宋体" w:hAnsi="宋体" w:eastAsia="宋体" w:cs="宋体"/>
          <w:sz w:val="24"/>
          <w:szCs w:val="24"/>
          <w:highlight w:val="none"/>
        </w:rPr>
        <w:t>厚度≥0.1mm铝翅片结构，采用收缩式机械胀管技术成型，保证铜管厚度不变</w:t>
      </w:r>
      <w:r>
        <w:rPr>
          <w:rFonts w:hint="eastAsia" w:ascii="宋体" w:hAnsi="宋体" w:eastAsia="宋体" w:cs="宋体"/>
          <w:sz w:val="24"/>
          <w:szCs w:val="24"/>
          <w:highlight w:val="none"/>
          <w:lang w:eastAsia="zh-CN"/>
        </w:rPr>
        <w:t>；</w:t>
      </w:r>
    </w:p>
    <w:p w14:paraId="5BB8E0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3</w:t>
      </w:r>
      <w:r>
        <w:rPr>
          <w:rFonts w:hint="eastAsia" w:ascii="宋体" w:hAnsi="宋体" w:eastAsia="宋体" w:cs="宋体"/>
          <w:sz w:val="24"/>
          <w:szCs w:val="24"/>
          <w:highlight w:val="none"/>
        </w:rPr>
        <w:tab/>
      </w:r>
      <w:r>
        <w:rPr>
          <w:rFonts w:hint="eastAsia" w:ascii="宋体" w:hAnsi="宋体" w:eastAsia="宋体" w:cs="宋体"/>
          <w:sz w:val="24"/>
          <w:szCs w:val="24"/>
          <w:highlight w:val="none"/>
        </w:rPr>
        <w:t>盘管进出水管用无缝钢管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有防腐要求场合可采用铜集管。盘管集管最高处设置有放气阀，排除换热器的空气，确保换热性能不受影响；在盘管集管最低处设置排水口，避免换热器冻裂等</w:t>
      </w:r>
      <w:r>
        <w:rPr>
          <w:rFonts w:hint="eastAsia" w:ascii="宋体" w:hAnsi="宋体" w:eastAsia="宋体" w:cs="宋体"/>
          <w:sz w:val="24"/>
          <w:szCs w:val="24"/>
          <w:highlight w:val="none"/>
          <w:lang w:eastAsia="zh-CN"/>
        </w:rPr>
        <w:t>。</w:t>
      </w:r>
    </w:p>
    <w:p w14:paraId="5C9BED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4</w:t>
      </w:r>
      <w:r>
        <w:rPr>
          <w:rFonts w:hint="eastAsia" w:ascii="宋体" w:hAnsi="宋体" w:eastAsia="宋体" w:cs="宋体"/>
          <w:sz w:val="24"/>
          <w:szCs w:val="24"/>
          <w:highlight w:val="none"/>
        </w:rPr>
        <w:tab/>
      </w:r>
      <w:r>
        <w:rPr>
          <w:rFonts w:hint="eastAsia" w:ascii="宋体" w:hAnsi="宋体" w:eastAsia="宋体" w:cs="宋体"/>
          <w:sz w:val="24"/>
          <w:szCs w:val="24"/>
          <w:highlight w:val="none"/>
        </w:rPr>
        <w:t>表冷器盘管具备专业的盘管选型软件，</w:t>
      </w:r>
      <w:r>
        <w:rPr>
          <w:rFonts w:hint="eastAsia" w:ascii="宋体" w:hAnsi="宋体" w:eastAsia="宋体" w:cs="宋体"/>
          <w:b/>
          <w:bCs/>
          <w:sz w:val="24"/>
          <w:szCs w:val="24"/>
          <w:highlight w:val="none"/>
        </w:rPr>
        <w:t>提供计算选型报告（包括片距、片型、盘管排数、换热面积、冷热水流量、盘管压力降、换热量等）</w:t>
      </w:r>
      <w:r>
        <w:rPr>
          <w:rFonts w:hint="eastAsia" w:ascii="宋体" w:hAnsi="宋体" w:eastAsia="宋体" w:cs="宋体"/>
          <w:b/>
          <w:bCs/>
          <w:sz w:val="24"/>
          <w:szCs w:val="24"/>
          <w:highlight w:val="none"/>
          <w:lang w:eastAsia="zh-CN"/>
        </w:rPr>
        <w:t>；</w:t>
      </w:r>
    </w:p>
    <w:p w14:paraId="7784B5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5</w:t>
      </w:r>
      <w:r>
        <w:rPr>
          <w:rFonts w:hint="eastAsia" w:ascii="宋体" w:hAnsi="宋体" w:eastAsia="宋体" w:cs="宋体"/>
          <w:sz w:val="24"/>
          <w:szCs w:val="24"/>
          <w:highlight w:val="none"/>
        </w:rPr>
        <w:tab/>
      </w:r>
      <w:r>
        <w:rPr>
          <w:rFonts w:hint="eastAsia" w:ascii="宋体" w:hAnsi="宋体" w:eastAsia="宋体" w:cs="宋体"/>
          <w:sz w:val="24"/>
          <w:szCs w:val="24"/>
          <w:highlight w:val="none"/>
        </w:rPr>
        <w:t>空调机组选型截面风速≤2.5 m/s</w:t>
      </w:r>
      <w:r>
        <w:rPr>
          <w:rFonts w:hint="eastAsia" w:ascii="宋体" w:hAnsi="宋体" w:eastAsia="宋体" w:cs="宋体"/>
          <w:sz w:val="24"/>
          <w:szCs w:val="24"/>
          <w:highlight w:val="none"/>
          <w:lang w:eastAsia="zh-CN"/>
        </w:rPr>
        <w:t>；</w:t>
      </w:r>
    </w:p>
    <w:p w14:paraId="175992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6</w:t>
      </w:r>
      <w:r>
        <w:rPr>
          <w:rFonts w:hint="eastAsia" w:ascii="宋体" w:hAnsi="宋体" w:eastAsia="宋体" w:cs="宋体"/>
          <w:sz w:val="24"/>
          <w:szCs w:val="24"/>
          <w:highlight w:val="none"/>
        </w:rPr>
        <w:tab/>
      </w:r>
      <w:r>
        <w:rPr>
          <w:rFonts w:hint="eastAsia" w:ascii="宋体" w:hAnsi="宋体" w:eastAsia="宋体" w:cs="宋体"/>
          <w:sz w:val="24"/>
          <w:szCs w:val="24"/>
          <w:highlight w:val="none"/>
        </w:rPr>
        <w:t>空气处理机组冷却盘管迎面风速应合理设计，以防止夹带冷凝水。盘管迎面风速≤2.5m/s，若超过2.5m/s，需加挡水板或其它盘管防漂水处理措施，挡水板采用铝合金或不锈钢材质</w:t>
      </w:r>
      <w:r>
        <w:rPr>
          <w:rFonts w:hint="eastAsia" w:ascii="宋体" w:hAnsi="宋体" w:eastAsia="宋体" w:cs="宋体"/>
          <w:sz w:val="24"/>
          <w:szCs w:val="24"/>
          <w:highlight w:val="none"/>
          <w:lang w:eastAsia="zh-CN"/>
        </w:rPr>
        <w:t>；</w:t>
      </w:r>
    </w:p>
    <w:p w14:paraId="530416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7</w:t>
      </w:r>
      <w:r>
        <w:rPr>
          <w:rFonts w:hint="eastAsia" w:ascii="宋体" w:hAnsi="宋体" w:eastAsia="宋体" w:cs="宋体"/>
          <w:sz w:val="24"/>
          <w:szCs w:val="24"/>
          <w:highlight w:val="none"/>
        </w:rPr>
        <w:tab/>
      </w:r>
      <w:r>
        <w:rPr>
          <w:rFonts w:hint="eastAsia" w:ascii="宋体" w:hAnsi="宋体" w:eastAsia="宋体" w:cs="宋体"/>
          <w:sz w:val="24"/>
          <w:szCs w:val="24"/>
          <w:highlight w:val="none"/>
        </w:rPr>
        <w:t>采用合理结构，确保冷却盘管与挡风板之间、挡风板与机组内框的密封性，以保证换热效果</w:t>
      </w:r>
      <w:r>
        <w:rPr>
          <w:rFonts w:hint="eastAsia" w:ascii="宋体" w:hAnsi="宋体" w:eastAsia="宋体" w:cs="宋体"/>
          <w:sz w:val="24"/>
          <w:szCs w:val="24"/>
          <w:highlight w:val="none"/>
          <w:lang w:eastAsia="zh-CN"/>
        </w:rPr>
        <w:t>；</w:t>
      </w:r>
    </w:p>
    <w:p w14:paraId="094330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8</w:t>
      </w:r>
      <w:r>
        <w:rPr>
          <w:rFonts w:hint="eastAsia" w:ascii="宋体" w:hAnsi="宋体" w:eastAsia="宋体" w:cs="宋体"/>
          <w:sz w:val="24"/>
          <w:szCs w:val="24"/>
          <w:highlight w:val="none"/>
        </w:rPr>
        <w:tab/>
      </w:r>
      <w:r>
        <w:rPr>
          <w:rFonts w:hint="eastAsia" w:ascii="宋体" w:hAnsi="宋体" w:eastAsia="宋体" w:cs="宋体"/>
          <w:sz w:val="24"/>
          <w:szCs w:val="24"/>
          <w:highlight w:val="none"/>
        </w:rPr>
        <w:t>盘管的进风截面风速均匀度≥80%，盘管于工厂内以2.8Mpa试压，并适应于1.6Mpa的工作压力</w:t>
      </w:r>
      <w:r>
        <w:rPr>
          <w:rFonts w:hint="eastAsia" w:ascii="宋体" w:hAnsi="宋体" w:eastAsia="宋体" w:cs="宋体"/>
          <w:sz w:val="24"/>
          <w:szCs w:val="24"/>
          <w:highlight w:val="none"/>
          <w:lang w:eastAsia="zh-CN"/>
        </w:rPr>
        <w:t>。</w:t>
      </w:r>
    </w:p>
    <w:p w14:paraId="5B8E1BC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4、电加热段要求</w:t>
      </w:r>
    </w:p>
    <w:p w14:paraId="1C37C3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1</w:t>
      </w:r>
      <w:r>
        <w:rPr>
          <w:rFonts w:hint="eastAsia" w:ascii="宋体" w:hAnsi="宋体" w:eastAsia="宋体" w:cs="宋体"/>
          <w:sz w:val="24"/>
          <w:szCs w:val="24"/>
          <w:highlight w:val="none"/>
        </w:rPr>
        <w:tab/>
      </w:r>
      <w:r>
        <w:rPr>
          <w:rFonts w:hint="eastAsia" w:ascii="宋体" w:hAnsi="宋体" w:eastAsia="宋体" w:cs="宋体"/>
          <w:sz w:val="24"/>
          <w:szCs w:val="24"/>
          <w:highlight w:val="none"/>
        </w:rPr>
        <w:t>采用翅片式PTC电加热器，表面温度低，无明火，无火灾隐患</w:t>
      </w:r>
      <w:r>
        <w:rPr>
          <w:rFonts w:hint="eastAsia" w:ascii="宋体" w:hAnsi="宋体" w:eastAsia="宋体" w:cs="宋体"/>
          <w:sz w:val="24"/>
          <w:szCs w:val="24"/>
          <w:highlight w:val="none"/>
          <w:lang w:eastAsia="zh-CN"/>
        </w:rPr>
        <w:t>；</w:t>
      </w:r>
    </w:p>
    <w:p w14:paraId="292030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4.2</w:t>
      </w:r>
      <w:r>
        <w:rPr>
          <w:rFonts w:hint="eastAsia" w:ascii="宋体" w:hAnsi="宋体" w:eastAsia="宋体" w:cs="宋体"/>
          <w:sz w:val="24"/>
          <w:szCs w:val="24"/>
          <w:highlight w:val="none"/>
        </w:rPr>
        <w:tab/>
      </w:r>
      <w:r>
        <w:rPr>
          <w:rFonts w:hint="eastAsia" w:ascii="宋体" w:hAnsi="宋体" w:eastAsia="宋体" w:cs="宋体"/>
          <w:sz w:val="24"/>
          <w:szCs w:val="24"/>
          <w:highlight w:val="none"/>
        </w:rPr>
        <w:t>热容小，散热快，节能效果明显</w:t>
      </w:r>
      <w:r>
        <w:rPr>
          <w:rFonts w:hint="eastAsia" w:ascii="宋体" w:hAnsi="宋体" w:eastAsia="宋体" w:cs="宋体"/>
          <w:sz w:val="24"/>
          <w:szCs w:val="24"/>
          <w:highlight w:val="none"/>
          <w:lang w:eastAsia="zh-CN"/>
        </w:rPr>
        <w:t>；</w:t>
      </w:r>
    </w:p>
    <w:p w14:paraId="08F513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4.3</w:t>
      </w:r>
      <w:r>
        <w:rPr>
          <w:rFonts w:hint="eastAsia" w:ascii="宋体" w:hAnsi="宋体" w:eastAsia="宋体" w:cs="宋体"/>
          <w:sz w:val="24"/>
          <w:szCs w:val="24"/>
          <w:highlight w:val="none"/>
        </w:rPr>
        <w:tab/>
      </w:r>
      <w:r>
        <w:rPr>
          <w:rFonts w:hint="eastAsia" w:ascii="宋体" w:hAnsi="宋体" w:eastAsia="宋体" w:cs="宋体"/>
          <w:sz w:val="24"/>
          <w:szCs w:val="24"/>
          <w:highlight w:val="none"/>
        </w:rPr>
        <w:t>采用铝翅片，防腐蚀，散热好</w:t>
      </w:r>
      <w:r>
        <w:rPr>
          <w:rFonts w:hint="eastAsia" w:ascii="宋体" w:hAnsi="宋体" w:eastAsia="宋体" w:cs="宋体"/>
          <w:sz w:val="24"/>
          <w:szCs w:val="24"/>
          <w:highlight w:val="none"/>
          <w:lang w:eastAsia="zh-CN"/>
        </w:rPr>
        <w:t>；</w:t>
      </w:r>
    </w:p>
    <w:p w14:paraId="7579CD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4.4</w:t>
      </w:r>
      <w:r>
        <w:rPr>
          <w:rFonts w:hint="eastAsia" w:ascii="宋体" w:hAnsi="宋体" w:eastAsia="宋体" w:cs="宋体"/>
          <w:sz w:val="24"/>
          <w:szCs w:val="24"/>
          <w:highlight w:val="none"/>
        </w:rPr>
        <w:tab/>
      </w:r>
      <w:r>
        <w:rPr>
          <w:rFonts w:hint="eastAsia" w:ascii="宋体" w:hAnsi="宋体" w:eastAsia="宋体" w:cs="宋体"/>
          <w:sz w:val="24"/>
          <w:szCs w:val="24"/>
          <w:highlight w:val="none"/>
        </w:rPr>
        <w:t>配有高温保护开关，可与自控系统连接</w:t>
      </w:r>
      <w:r>
        <w:rPr>
          <w:rFonts w:hint="eastAsia" w:ascii="宋体" w:hAnsi="宋体" w:eastAsia="宋体" w:cs="宋体"/>
          <w:sz w:val="24"/>
          <w:szCs w:val="24"/>
          <w:highlight w:val="none"/>
          <w:lang w:eastAsia="zh-CN"/>
        </w:rPr>
        <w:t>。</w:t>
      </w:r>
    </w:p>
    <w:p w14:paraId="2DFD39E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5、电极加湿段要求</w:t>
      </w:r>
    </w:p>
    <w:p w14:paraId="127A18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1</w:t>
      </w:r>
      <w:r>
        <w:rPr>
          <w:rFonts w:hint="eastAsia" w:ascii="宋体" w:hAnsi="宋体" w:eastAsia="宋体" w:cs="宋体"/>
          <w:sz w:val="24"/>
          <w:szCs w:val="24"/>
          <w:highlight w:val="none"/>
        </w:rPr>
        <w:tab/>
      </w:r>
      <w:r>
        <w:rPr>
          <w:rFonts w:hint="eastAsia" w:ascii="宋体" w:hAnsi="宋体" w:eastAsia="宋体" w:cs="宋体"/>
          <w:sz w:val="24"/>
          <w:szCs w:val="24"/>
          <w:highlight w:val="none"/>
        </w:rPr>
        <w:t>加湿器喷杆要求采用不锈钢材质</w:t>
      </w:r>
      <w:r>
        <w:rPr>
          <w:rFonts w:hint="eastAsia" w:ascii="宋体" w:hAnsi="宋体" w:eastAsia="宋体" w:cs="宋体"/>
          <w:sz w:val="24"/>
          <w:szCs w:val="24"/>
          <w:highlight w:val="none"/>
          <w:lang w:eastAsia="zh-CN"/>
        </w:rPr>
        <w:t>；</w:t>
      </w:r>
    </w:p>
    <w:p w14:paraId="4B803F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5.2</w:t>
      </w:r>
      <w:r>
        <w:rPr>
          <w:rFonts w:hint="eastAsia" w:ascii="宋体" w:hAnsi="宋体" w:eastAsia="宋体" w:cs="宋体"/>
          <w:sz w:val="24"/>
          <w:szCs w:val="24"/>
          <w:highlight w:val="none"/>
        </w:rPr>
        <w:tab/>
      </w:r>
      <w:r>
        <w:rPr>
          <w:rFonts w:hint="eastAsia" w:ascii="宋体" w:hAnsi="宋体" w:eastAsia="宋体" w:cs="宋体"/>
          <w:sz w:val="24"/>
          <w:szCs w:val="24"/>
          <w:highlight w:val="none"/>
        </w:rPr>
        <w:t>加湿器水盘要求采用不锈钢材质，最低点设有带螺纹的不锈钢钢管接口，满足凝结水排出流畅</w:t>
      </w:r>
      <w:r>
        <w:rPr>
          <w:rFonts w:hint="eastAsia" w:ascii="宋体" w:hAnsi="宋体" w:eastAsia="宋体" w:cs="宋体"/>
          <w:sz w:val="24"/>
          <w:szCs w:val="24"/>
          <w:highlight w:val="none"/>
          <w:lang w:eastAsia="zh-CN"/>
        </w:rPr>
        <w:t>；</w:t>
      </w:r>
    </w:p>
    <w:p w14:paraId="74969A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5.3</w:t>
      </w:r>
      <w:r>
        <w:rPr>
          <w:rFonts w:hint="eastAsia" w:ascii="宋体" w:hAnsi="宋体" w:eastAsia="宋体" w:cs="宋体"/>
          <w:sz w:val="24"/>
          <w:szCs w:val="24"/>
          <w:highlight w:val="none"/>
        </w:rPr>
        <w:tab/>
      </w:r>
      <w:r>
        <w:rPr>
          <w:rFonts w:hint="eastAsia" w:ascii="宋体" w:hAnsi="宋体" w:eastAsia="宋体" w:cs="宋体"/>
          <w:sz w:val="24"/>
          <w:szCs w:val="24"/>
          <w:highlight w:val="none"/>
        </w:rPr>
        <w:t>加湿器能做到蒸汽输出量在0~100%内线性调节</w:t>
      </w:r>
      <w:r>
        <w:rPr>
          <w:rFonts w:hint="eastAsia" w:ascii="宋体" w:hAnsi="宋体" w:eastAsia="宋体" w:cs="宋体"/>
          <w:sz w:val="24"/>
          <w:szCs w:val="24"/>
          <w:highlight w:val="none"/>
          <w:lang w:eastAsia="zh-CN"/>
        </w:rPr>
        <w:t>。</w:t>
      </w:r>
    </w:p>
    <w:p w14:paraId="4FED9C3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6、机组自控部分</w:t>
      </w:r>
    </w:p>
    <w:p w14:paraId="090B17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1</w:t>
      </w:r>
      <w:r>
        <w:rPr>
          <w:rFonts w:hint="eastAsia" w:ascii="宋体" w:hAnsi="宋体" w:eastAsia="宋体" w:cs="宋体"/>
          <w:sz w:val="24"/>
          <w:szCs w:val="24"/>
          <w:highlight w:val="none"/>
        </w:rPr>
        <w:tab/>
      </w:r>
      <w:r>
        <w:rPr>
          <w:rFonts w:hint="eastAsia" w:ascii="宋体" w:hAnsi="宋体" w:eastAsia="宋体" w:cs="宋体"/>
          <w:sz w:val="24"/>
          <w:szCs w:val="24"/>
          <w:highlight w:val="none"/>
        </w:rPr>
        <w:t>每台机组由空调厂家配套提供独立的控制柜，采用PLC控制器，≥7寸彩色触摸屏，控制器预留通讯接口，开放MODBUS协议，空调自控系统包括上下位机、控制器、传感器、电动阀、执行器、变频器、机组启动柜等实时显示单元</w:t>
      </w:r>
      <w:r>
        <w:rPr>
          <w:rFonts w:hint="eastAsia" w:ascii="宋体" w:hAnsi="宋体" w:eastAsia="宋体" w:cs="宋体"/>
          <w:sz w:val="24"/>
          <w:szCs w:val="24"/>
          <w:highlight w:val="none"/>
          <w:lang w:eastAsia="zh-CN"/>
        </w:rPr>
        <w:t>；</w:t>
      </w:r>
    </w:p>
    <w:p w14:paraId="05B10A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2</w:t>
      </w:r>
      <w:r>
        <w:rPr>
          <w:rFonts w:hint="eastAsia" w:ascii="宋体" w:hAnsi="宋体" w:eastAsia="宋体" w:cs="宋体"/>
          <w:sz w:val="24"/>
          <w:szCs w:val="24"/>
          <w:highlight w:val="none"/>
        </w:rPr>
        <w:tab/>
      </w:r>
      <w:r>
        <w:rPr>
          <w:rFonts w:hint="eastAsia" w:ascii="宋体" w:hAnsi="宋体" w:eastAsia="宋体" w:cs="宋体"/>
          <w:sz w:val="24"/>
          <w:szCs w:val="24"/>
          <w:highlight w:val="none"/>
        </w:rPr>
        <w:t>电动水阀驱动器应为AC/DC 24V供电的安全产品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默认带有手动调节功能。根据所在位置及控制需要配置比例调节型或浮点控制型产品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但严禁在比例调节场合使用浮点阀+软件替代。 比例调节型驱动器除满足以上要求外，应为数字式控制。线性、等百分比可设定、输入方式0~10V/4~20mA可设定，且必须带有自适应功能</w:t>
      </w:r>
      <w:r>
        <w:rPr>
          <w:rFonts w:hint="eastAsia" w:ascii="宋体" w:hAnsi="宋体" w:eastAsia="宋体" w:cs="宋体"/>
          <w:sz w:val="24"/>
          <w:szCs w:val="24"/>
          <w:highlight w:val="none"/>
          <w:lang w:eastAsia="zh-CN"/>
        </w:rPr>
        <w:t>，</w:t>
      </w:r>
    </w:p>
    <w:p w14:paraId="0756FA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3</w:t>
      </w:r>
      <w:r>
        <w:rPr>
          <w:rFonts w:hint="eastAsia" w:ascii="宋体" w:hAnsi="宋体" w:eastAsia="宋体" w:cs="宋体"/>
          <w:sz w:val="24"/>
          <w:szCs w:val="24"/>
          <w:highlight w:val="none"/>
        </w:rPr>
        <w:tab/>
      </w:r>
      <w:r>
        <w:rPr>
          <w:rFonts w:hint="eastAsia" w:ascii="宋体" w:hAnsi="宋体" w:eastAsia="宋体" w:cs="宋体"/>
          <w:sz w:val="24"/>
          <w:szCs w:val="24"/>
          <w:highlight w:val="none"/>
        </w:rPr>
        <w:t>机组自控应给出控制方案、自控附件清单及控制原理图</w:t>
      </w:r>
      <w:r>
        <w:rPr>
          <w:rFonts w:hint="eastAsia" w:ascii="宋体" w:hAnsi="宋体" w:eastAsia="宋体" w:cs="宋体"/>
          <w:sz w:val="24"/>
          <w:szCs w:val="24"/>
          <w:highlight w:val="none"/>
          <w:lang w:eastAsia="zh-CN"/>
        </w:rPr>
        <w:t>；</w:t>
      </w:r>
    </w:p>
    <w:p w14:paraId="7FEDB60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2"/>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（四）情报面板</w:t>
      </w:r>
    </w:p>
    <w:p w14:paraId="2D6B35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1.尺寸：≥27英寸液晶屏情报面板</w:t>
      </w:r>
    </w:p>
    <w:p w14:paraId="196383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2.主要功能：</w:t>
      </w:r>
    </w:p>
    <w:p w14:paraId="2B2FFE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手术计时/麻醉计时/北京时间/日历、空调系统监测控制、医疗气体报警、控制屏、电话/呼叫、背景音乐（本地音乐/功放/蓝牙播放）、IT报警/消防报警、可以在设置里面自主选择多款主题界面颜色、可连接WIFI</w:t>
      </w:r>
    </w:p>
    <w:p w14:paraId="5AD16B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3.质量认证：</w:t>
      </w:r>
    </w:p>
    <w:p w14:paraId="6CC6F8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第三方质量认证，3C质量认证</w:t>
      </w:r>
    </w:p>
    <w:p w14:paraId="325DB6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液晶屏配置：钢化玻璃膜屏（电容式多点多膜屏），安卓系统：（不低于）RK3288-CORTEX-A17四核1.6G处理器.</w:t>
      </w:r>
    </w:p>
    <w:p w14:paraId="2748A09D">
      <w:pPr>
        <w:numPr>
          <w:ilvl w:val="0"/>
          <w:numId w:val="0"/>
        </w:numPr>
        <w:spacing w:line="360" w:lineRule="auto"/>
        <w:rPr>
          <w:rFonts w:hint="eastAsia" w:ascii="宋体" w:hAnsi="宋体" w:eastAsia="宋体" w:cs="宋体"/>
          <w:kern w:val="0"/>
          <w:sz w:val="24"/>
          <w:szCs w:val="24"/>
          <w:highlight w:val="none"/>
        </w:rPr>
      </w:pPr>
    </w:p>
    <w:p w14:paraId="33DBC0E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2"/>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（五）软水器</w:t>
      </w:r>
    </w:p>
    <w:p w14:paraId="7541D8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1.产水量：2-4m³/h</w:t>
      </w:r>
    </w:p>
    <w:p w14:paraId="7F0E40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2.罐体材质：玻璃钢</w:t>
      </w:r>
    </w:p>
    <w:p w14:paraId="4333CF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3.配套管道：不锈钢/upvc</w:t>
      </w:r>
    </w:p>
    <w:p w14:paraId="589ED3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4.控制：变频控制</w:t>
      </w:r>
    </w:p>
    <w:p w14:paraId="6060F914">
      <w:pPr>
        <w:numPr>
          <w:ilvl w:val="0"/>
          <w:numId w:val="0"/>
        </w:numPr>
        <w:spacing w:line="360" w:lineRule="auto"/>
        <w:rPr>
          <w:rFonts w:hint="eastAsia" w:ascii="宋体" w:hAnsi="宋体" w:eastAsia="宋体" w:cs="宋体"/>
          <w:kern w:val="0"/>
          <w:sz w:val="24"/>
          <w:szCs w:val="24"/>
          <w:highlight w:val="none"/>
        </w:rPr>
      </w:pPr>
    </w:p>
    <w:p w14:paraId="126D0B1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2"/>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（六）空调水循环水泵</w:t>
      </w:r>
    </w:p>
    <w:p w14:paraId="0B0BE3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1.功率：≥11KW ，变频控制</w:t>
      </w:r>
    </w:p>
    <w:p w14:paraId="3E35D2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2.扬程：≥26m </w:t>
      </w:r>
    </w:p>
    <w:p w14:paraId="415E1D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3.流量：≥80m</w:t>
      </w:r>
      <w:r>
        <w:rPr>
          <w:rFonts w:hint="eastAsia" w:ascii="宋体" w:hAnsi="宋体" w:eastAsia="宋体" w:cs="宋体"/>
          <w:sz w:val="24"/>
          <w:szCs w:val="24"/>
          <w:highlight w:val="none"/>
          <w:vertAlign w:val="superscript"/>
          <w:lang w:val="en-US" w:eastAsia="zh-CN"/>
        </w:rPr>
        <w:t>3</w:t>
      </w:r>
      <w:r>
        <w:rPr>
          <w:rFonts w:hint="eastAsia" w:ascii="宋体" w:hAnsi="宋体" w:eastAsia="宋体" w:cs="宋体"/>
          <w:sz w:val="24"/>
          <w:szCs w:val="24"/>
          <w:highlight w:val="none"/>
          <w:lang w:val="en-US" w:eastAsia="zh-CN"/>
        </w:rPr>
        <w:t>/h</w:t>
      </w:r>
    </w:p>
    <w:p w14:paraId="163DD3F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2"/>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（七）远程控制系统</w:t>
      </w:r>
    </w:p>
    <w:p w14:paraId="5D5441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1.硬件：显示器≥23英寸，处理器不低于：i5-12500F，存储器：≥8G+≥1T，操作系统：WIN10及以上</w:t>
      </w:r>
    </w:p>
    <w:p w14:paraId="0C678A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2.软件：包含系统运行监控、数据管理、系统告预警功能，操作界面简洁清晰，使用方便易操作。</w:t>
      </w:r>
    </w:p>
    <w:p w14:paraId="0BF0531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2"/>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（八）过滤器技术要求</w:t>
      </w:r>
    </w:p>
    <w:p w14:paraId="682F00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1.过滤效率：99.995%@MPPS；</w:t>
      </w:r>
    </w:p>
    <w:p w14:paraId="462474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2.滤纸：超低阻力、抗张强度≥200N、打褶滤块≥160N（结果以测试标准DIN EN29073-3为基础）、爆破压力≥5kg/cm²（结果以测试标准DIN EN13938-2为基础）、耐磨性&gt;10000（结果以测试标准DIN EN12947-2为基础）、超强耐化学性、无化学元素释放、防水的滤纸（</w:t>
      </w:r>
      <w:r>
        <w:rPr>
          <w:rFonts w:hint="eastAsia" w:ascii="宋体" w:hAnsi="宋体" w:eastAsia="宋体" w:cs="宋体"/>
          <w:b/>
          <w:bCs/>
          <w:sz w:val="24"/>
          <w:szCs w:val="24"/>
          <w:highlight w:val="none"/>
          <w:lang w:val="en-US" w:eastAsia="zh-CN"/>
        </w:rPr>
        <w:t>提供滤纸批次检测报告、厂商滤纸产品介绍彩页等证明</w:t>
      </w:r>
      <w:r>
        <w:rPr>
          <w:rFonts w:hint="eastAsia" w:ascii="宋体" w:hAnsi="宋体" w:eastAsia="宋体" w:cs="宋体"/>
          <w:sz w:val="24"/>
          <w:szCs w:val="24"/>
          <w:highlight w:val="none"/>
          <w:lang w:val="en-US" w:eastAsia="zh-CN"/>
        </w:rPr>
        <w:t>）。</w:t>
      </w:r>
    </w:p>
    <w:p w14:paraId="2FD9E4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3.密封垫：过滤器垫片为一体注成的PU垫片，无接缝。（需提供垫片第三方MSDS报告）</w:t>
      </w:r>
    </w:p>
    <w:p w14:paraId="7584F7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4.保护网：每片过滤器需有双面护面网，护面网材质为烤漆网。</w:t>
      </w:r>
    </w:p>
    <w:p w14:paraId="05B063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5.每个产品标签上除有产品的基本信息外，还需有可追溯的编码、条形码等信息，以便对出现问题的过滤器快速追溯问题原因。</w:t>
      </w:r>
    </w:p>
    <w:p w14:paraId="1D738E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高效过滤器出厂必须对每一片过滤器依照粒子计数方法进行检测，每片过滤器需有对应的编号和测试报告，报告内容具有实际测试风量下过滤器的初阻力、粒子总穿透率和最低穿透率等信息，并需要以彩色3D透视图的形式体现出每个扫描点的粒子穿透情况，以便使用方直观的评估单点穿透的风险性，另3D透视图还需与产品标签同时贴至产品外框上。</w:t>
      </w:r>
    </w:p>
    <w:p w14:paraId="5A404FB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eastAsia="宋体" w:cs="宋体"/>
          <w:b/>
          <w:bCs/>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七、施工质量要求 </w:t>
      </w:r>
    </w:p>
    <w:p w14:paraId="24515B4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 xml:space="preserve">1、适用技术规范和规范性文件 </w:t>
      </w:r>
    </w:p>
    <w:p w14:paraId="52FCFA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执行国家或行业管理部门颁发的相关规范、规程和标准，标准、规范等不一致的，以要求高者为准。</w:t>
      </w:r>
    </w:p>
    <w:p w14:paraId="34D1911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2、总体要求</w:t>
      </w:r>
    </w:p>
    <w:p w14:paraId="317FA3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2.1本次采购设备参照现有设备的洁净等级及配置，满足各级手术间手术开展需要；</w:t>
      </w:r>
    </w:p>
    <w:p w14:paraId="660CA3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2.2所有设备及配套配件必须符合要求国家安全生产认证及净化设备的设计、制造、安装、使用、检测、维修、改造和报废，应当符合国家标准或者行业标准。 </w:t>
      </w:r>
    </w:p>
    <w:p w14:paraId="1C61D2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为保障采购人日常业务的不间断性，新购设备需要与现场场地、空间环境相匹配，部分需要定制产品（风冷热泵模块机组、净化机组、自动系统控制柜等）总体重量不得超过原设备重量以保证原建筑不受损，中标单位应在中标之日起10个日历日内提供总体设备的重量。</w:t>
      </w:r>
    </w:p>
    <w:p w14:paraId="419073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2.4施工中应保证采购单位手术正常进行，需派一名以上现场负责人常驻现场，并随时与采购负责人进行沟通，施工中如果有拆改等特殊工作需在工程结束后恢复原貌，再进场前应给甲方提供施工方案。</w:t>
      </w:r>
    </w:p>
    <w:p w14:paraId="1B4832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2.5施工现场安全由中标人全权负责，因施工所产生的任何事故与损失均由中标人负责，严格按照安全施工和文明施工，听从采购人的安排。</w:t>
      </w:r>
    </w:p>
    <w:p w14:paraId="731FE8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2.6工期在60个日历日内完成，因采购方或不可抗力因素导致工期延误，需提前向采购方进行书面申请和报备。 </w:t>
      </w:r>
    </w:p>
    <w:p w14:paraId="0E17BAF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 xml:space="preserve">3、通风管道安装要求： </w:t>
      </w:r>
    </w:p>
    <w:p w14:paraId="06EFA2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3.1 风管的安装需要在建筑基础结构均完成施工后进行，并且在施工前需安排人员对现场墙面、地面、梁、柱、楼板等部位进行清洗，确定现场无浮尘后将风管转移到现场，过程中风管封堵的端口不能出现破损，而且在进场前也需要做好表面清洁工作，避免附着的灰尘影响到现场施工环境。 </w:t>
      </w:r>
    </w:p>
    <w:p w14:paraId="1502BB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3.2 参与安装的施工人员，需要在门外按要求更换无尘衣、佩戴好口罩，所有用于施工的工具都需要使用酒精等符合要求的消毒剂和无尘布进行擦拭，满足要求后才可以进入到现场进行施工。 </w:t>
      </w:r>
    </w:p>
    <w:p w14:paraId="3274F2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3.3 在对风管进行安装时，需要先从主管结构的根部开始依次完成所有风管的安装。风管结构的端口拆开后需要立即与风管结构关联在一起，减少敞口时间过长带来的灰尘侵染问题。其他风管配件也需要处于一边打开一边连接的状态，等待结构完成处理后也需要对其质量进行检查，待达到洁净要求后才可以进行封口处理。 </w:t>
      </w:r>
    </w:p>
    <w:p w14:paraId="0DA0AA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3.4 风管结构完成安装后，需要对其进行漏风检查，处理完遗漏点之后进行风管保温处理，过程中使用到的防火阀、调节阀都需要进行明确标记，而且保温材料的接缝应保持错开状态，搭接口需要利用胶水进行涂抹，以提高整个保温结构的密封性。 </w:t>
      </w:r>
    </w:p>
    <w:p w14:paraId="3CBC85F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 xml:space="preserve">4、风冷热泵模块机组、空调净化机组及排风机机组安装要求 </w:t>
      </w:r>
    </w:p>
    <w:p w14:paraId="593C6A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 机组设备在进入施工现场前需对其质量进行再次校核，合规后对结构进行清洁处理，而设备中的孔洞也会在清洁处理后进行暂时封堵，防止灰尘进入影响到空调机组设备的运行质量。</w:t>
      </w:r>
    </w:p>
    <w:p w14:paraId="39942D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4.2 在设备安装前，需要提前准备好与设备尺寸相匹配的连接管，在经过洁净处理后对连接管的两端进行暂时封堵，在现场安装时也需要处于一边打开一边连接的状态，缩减端口暴露在外界环境中的时间，避免污染物进入影响到设备的洁净度。等待设备完成安装后也需要对其质量进行检查，待该机组各连接位置均达到洁净要求后可以进行下一组设备的安装。</w:t>
      </w:r>
    </w:p>
    <w:p w14:paraId="18129E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4.3 在设备安装过程中如果出现了较长时间的暂停作业，再重启作业时需要重新清洁管道、设备表面，避免灰尘混入影响到设备的安装质量。 </w:t>
      </w:r>
    </w:p>
    <w:p w14:paraId="59A3CB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4.4 系统连接：各个管路的连接部位都贴有进出水标志，根据标志上的说明进行工作。连管时，机组中冷冻水进出水管接头应采用柔性的接头，以使机器工作时产生的振动不会传递至水管系统。在水管出口管上应装排水阀，进口管上应装排气阀。</w:t>
      </w:r>
    </w:p>
    <w:p w14:paraId="604DB06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5、自动控制的安装要求</w:t>
      </w:r>
    </w:p>
    <w:p w14:paraId="624CD2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5.1设备安装条件：确认室外表面安装的元件、设备的协调作业方案。确保地面、墙面的预留孔洞、地槽和预埋件与合同一致，并经过业主方验收。保证施工区域内有稳定的施工用电，清除所有影响施工的障碍物，并确保与系统相关的设备已安装完毕或可配合安装。 </w:t>
      </w:r>
    </w:p>
    <w:p w14:paraId="42B561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5.2系统设备的安装：中央控制器及网络通讯设备应在净化设备工程完工后安装。设备及设备各构件间应连接紧密、牢固，安装用的坚固件应有防锈层。检查设备的外形是否完整，内外表面漆层是否完好，设备内主板及接线端口的型号、规格是否符合设计规定。 </w:t>
      </w:r>
    </w:p>
    <w:p w14:paraId="483F50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5.3传感器的安装：温、湿度传感器的安装位置应避免直射和振动、电磁干扰区域，出风口的距离不应小于2m。并列安装的传感器距地高度应一致，高度差不应大于1mm，同一区域内高度差不应大于5mm。</w:t>
      </w:r>
    </w:p>
    <w:p w14:paraId="6195DF7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 xml:space="preserve">6、水管阀门组件的安装要求 </w:t>
      </w:r>
    </w:p>
    <w:p w14:paraId="7EE327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6.1 阀门检查与安装前准备 </w:t>
      </w:r>
    </w:p>
    <w:p w14:paraId="5E8B53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在安装前，应仔细检查阀门的型号、规格是否符合设计要求。根据阀门的型号和出厂说明书，检查它们是否可以在所要求的条件下应用，并且按设计和规范规定进行试压，试压合格后应填写试验记录。</w:t>
      </w:r>
    </w:p>
    <w:p w14:paraId="33D4EF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6.2 阀门安装位置</w:t>
      </w:r>
    </w:p>
    <w:p w14:paraId="7CEA26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阀门的安装位置应以便于操作、维修，一般以阀门操作柄距地面 1-1.2m为宜。安装高度应考虑到操作维修的方便，例如，操作较多的阀门，当必须安装在距操作面 1.8m以上时，应设置固定的操作平台。</w:t>
      </w:r>
    </w:p>
    <w:p w14:paraId="658495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6.3 水平管道上的阀门安装 </w:t>
      </w:r>
    </w:p>
    <w:p w14:paraId="1C8528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水平管道上的阀门尽量保证手轮朝上或倾斜 45°或水平安装，不得朝下安装。 </w:t>
      </w:r>
    </w:p>
    <w:p w14:paraId="5E4A36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6.4 法兰阀门安装 </w:t>
      </w:r>
    </w:p>
    <w:p w14:paraId="4EE703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法兰阀门与管道一起安装时，可将一端管道上的法兰焊好，并将阀门紧固好，一起吊装；另一端法兰为活口，待两边管道法兰调整好，再将法兰盘与管道点焊定位，并取下焊好再将管道法兰与阀门进行连接。 </w:t>
      </w:r>
    </w:p>
    <w:p w14:paraId="2A5255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6.5 阀门连接 </w:t>
      </w:r>
    </w:p>
    <w:p w14:paraId="0DCDA9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阀门法兰盘与钢管法兰平行，一般误差应小于2mm，法兰螺栓应对称上紧，选择适合介质参数的垫片至于两法兰盘的中心密合面上，注意放正，然后沿对角先上紧螺栓，最后全面上紧所有螺栓。 </w:t>
      </w:r>
    </w:p>
    <w:p w14:paraId="703E394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7、系统测试控制要求</w:t>
      </w:r>
    </w:p>
    <w:p w14:paraId="711D77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7.1 洁净度测试，利用光学粒子计数器在作业区合适位置布置取样点，采样内容为每立方米粒径超过0.5μm 的尘埃数量，每个采样点需连续获取3-5组有效数据，计算平均值得到洁净度数值。 </w:t>
      </w:r>
    </w:p>
    <w:p w14:paraId="1076AD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7.2 温湿度测试，利用温湿度传感器进行温度与湿度数据采集，为确保采集数据质量，所有传感器应均匀布置在作业区附近，并利用计算机软件来处理获取数据，以提高数据处理结果的可靠性。 </w:t>
      </w:r>
    </w:p>
    <w:p w14:paraId="18DF19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7.3 室内压力测试，按要求布置压力传感器，布置位置、布置数量、采集时间等内容均按相应规范执行，以提高数据整理结果的科学性。 </w:t>
      </w:r>
    </w:p>
    <w:p w14:paraId="1C61EF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7.4 气流速度测试，内容包括断面风速和风量两部分内容，测量方法包括比托管、微压差计等，按要求做好参数整理，提高所整理数据的合理性。 </w:t>
      </w:r>
    </w:p>
    <w:p w14:paraId="0123866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 xml:space="preserve">8、项目验收要求： </w:t>
      </w:r>
    </w:p>
    <w:p w14:paraId="6F37B1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8.1 设备验收： </w:t>
      </w:r>
    </w:p>
    <w:p w14:paraId="0D4000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确保所有传感器、变送器、执行机构等符合产品许可证和安全认证要求。检查设备的铭牌、附件是否齐全，电气接线端子是否完好，设备表面无缺损，涂层是否完整。 </w:t>
      </w:r>
    </w:p>
    <w:p w14:paraId="0BB741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8.2 本项目完成安装后，需通过外请的获得计量认证合格证书的第三方检测机构出具的封面带有 CMA 标志的医院洁净手术部检测，并出具合格的检测报告，检测费用包含在投标报价中。 </w:t>
      </w:r>
    </w:p>
    <w:p w14:paraId="458631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8.3 需按照《洁净室施工及验收规范》(GB50591-2010)标准的净化空调系统的机组，这些标准确保了净化机组在设计和安装时的密封性和效率，从而维持必要的空气洁净度，防止微生物污染。</w:t>
      </w:r>
    </w:p>
    <w:p w14:paraId="3E0C544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八、售后服务</w:t>
      </w:r>
    </w:p>
    <w:p w14:paraId="24DC14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1、项目整体自验收合格之日起质保期≥3年，包含所有设备以及安装的线路管路等。</w:t>
      </w:r>
    </w:p>
    <w:p w14:paraId="3BC7CA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2、质保期内所有维修的人工费以及更换的耗材包括初、中、高效费用均包含在投标报价中。</w:t>
      </w:r>
    </w:p>
    <w:p w14:paraId="4E465F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3、在接到采购方报修之时起4个小时之内要到现场，8个小时之内需解决故障，如需更换配件需在24小时之内更换解决完成。</w:t>
      </w:r>
    </w:p>
    <w:p w14:paraId="009545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4、需配合采购方对手术室内进行维护和维修，如手术室内需更换零配件需和采购方进行沟通，免人工费。</w:t>
      </w:r>
    </w:p>
    <w:p w14:paraId="607437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5、在质保期内需保证每3个月对净化机组内部进行一次清理消毒，每3个月对初中效进行更换，每年对高效进行更换（更换完高效后需外请的获得计量认证合格证书的第三方检测机构出具的封面带有 CMA 标志的医院洁净手术部检测，并出具合格的检测报告，检测费用包含在投标报价中）。</w:t>
      </w:r>
    </w:p>
    <w:p w14:paraId="5C96A0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6、质保期内需要保持机房的环境卫生以及机组表面的卫生。</w:t>
      </w:r>
    </w:p>
    <w:p w14:paraId="4FB3641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sz w:val="24"/>
          <w:szCs w:val="24"/>
          <w:highlight w:val="none"/>
          <w:lang w:val="en-US" w:eastAsia="zh-CN"/>
        </w:rPr>
        <w:t>7、配备专业工程师，并保持与采购方的联系，提供每月巡检记录。</w:t>
      </w:r>
    </w:p>
    <w:p w14:paraId="23DE1D96">
      <w:pPr>
        <w:rPr>
          <w:rFonts w:hint="eastAsia" w:ascii="宋体" w:eastAsia="宋体" w:cs="宋体"/>
          <w:color w:val="auto"/>
          <w:kern w:val="0"/>
          <w:szCs w:val="32"/>
          <w:highlight w:val="none"/>
        </w:rPr>
      </w:pPr>
      <w:r>
        <w:rPr>
          <w:rFonts w:hint="eastAsia" w:ascii="宋体" w:eastAsia="宋体" w:cs="宋体"/>
          <w:color w:val="auto"/>
          <w:kern w:val="0"/>
          <w:szCs w:val="32"/>
          <w:highlight w:val="none"/>
        </w:rPr>
        <w:br w:type="page"/>
      </w:r>
    </w:p>
    <w:p w14:paraId="4EC0F8D3">
      <w:pPr>
        <w:pStyle w:val="2"/>
        <w:jc w:val="center"/>
        <w:rPr>
          <w:rFonts w:hint="eastAsia" w:ascii="宋体" w:hAnsi="宋体" w:eastAsia="宋体" w:cs="宋体"/>
          <w:b/>
          <w:bCs w:val="0"/>
          <w:sz w:val="36"/>
          <w:szCs w:val="21"/>
          <w:highlight w:val="none"/>
          <w:lang w:val="en-US" w:eastAsia="zh-CN"/>
        </w:rPr>
      </w:pPr>
      <w:r>
        <w:rPr>
          <w:rFonts w:hint="eastAsia" w:ascii="宋体" w:hAnsi="宋体" w:eastAsia="宋体" w:cs="宋体"/>
          <w:b/>
          <w:bCs w:val="0"/>
          <w:sz w:val="36"/>
          <w:szCs w:val="21"/>
          <w:highlight w:val="none"/>
          <w:lang w:val="en-US" w:eastAsia="zh-CN"/>
        </w:rPr>
        <w:t>工程量清单</w:t>
      </w:r>
    </w:p>
    <w:p w14:paraId="2780FB38">
      <w:pPr>
        <w:rPr>
          <w:rFonts w:hint="eastAsia" w:ascii="宋体" w:eastAsia="宋体" w:cs="宋体"/>
          <w:color w:val="auto"/>
          <w:kern w:val="0"/>
          <w:szCs w:val="32"/>
          <w:highlight w:val="none"/>
        </w:rPr>
      </w:pPr>
      <w:r>
        <w:rPr>
          <w:rFonts w:hint="eastAsia" w:ascii="宋体" w:eastAsia="宋体" w:cs="宋体"/>
          <w:color w:val="auto"/>
          <w:kern w:val="0"/>
          <w:szCs w:val="32"/>
          <w:highlight w:val="none"/>
        </w:rPr>
        <w:drawing>
          <wp:inline distT="0" distB="0" distL="114300" distR="114300">
            <wp:extent cx="5757545" cy="8148955"/>
            <wp:effectExtent l="0" t="0" r="14605" b="4445"/>
            <wp:docPr id="1" name="图片 1" descr="清单-宝鸡市中医医院西院区手术室层流净化改造建设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清单-宝鸡市中医医院西院区手术室层流净化改造建设_03"/>
                    <pic:cNvPicPr>
                      <a:picLocks noChangeAspect="1"/>
                    </pic:cNvPicPr>
                  </pic:nvPicPr>
                  <pic:blipFill>
                    <a:blip r:embed="rId15"/>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4" name="图片 4" descr="清单-宝鸡市中医医院西院区手术室层流净化改造建设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清单-宝鸡市中医医院西院区手术室层流净化改造建设_04"/>
                    <pic:cNvPicPr>
                      <a:picLocks noChangeAspect="1"/>
                    </pic:cNvPicPr>
                  </pic:nvPicPr>
                  <pic:blipFill>
                    <a:blip r:embed="rId16"/>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9" name="图片 9" descr="清单-宝鸡市中医医院西院区手术室层流净化改造建设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宝鸡市中医医院西院区手术室层流净化改造建设_05"/>
                    <pic:cNvPicPr>
                      <a:picLocks noChangeAspect="1"/>
                    </pic:cNvPicPr>
                  </pic:nvPicPr>
                  <pic:blipFill>
                    <a:blip r:embed="rId17"/>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1" name="图片 11" descr="清单-宝鸡市中医医院西院区手术室层流净化改造建设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宝鸡市中医医院西院区手术室层流净化改造建设_06"/>
                    <pic:cNvPicPr>
                      <a:picLocks noChangeAspect="1"/>
                    </pic:cNvPicPr>
                  </pic:nvPicPr>
                  <pic:blipFill>
                    <a:blip r:embed="rId18"/>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2" name="图片 12" descr="清单-宝鸡市中医医院西院区手术室层流净化改造建设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宝鸡市中医医院西院区手术室层流净化改造建设_07"/>
                    <pic:cNvPicPr>
                      <a:picLocks noChangeAspect="1"/>
                    </pic:cNvPicPr>
                  </pic:nvPicPr>
                  <pic:blipFill>
                    <a:blip r:embed="rId19"/>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3" name="图片 13" descr="清单-宝鸡市中医医院西院区手术室层流净化改造建设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清单-宝鸡市中医医院西院区手术室层流净化改造建设_08"/>
                    <pic:cNvPicPr>
                      <a:picLocks noChangeAspect="1"/>
                    </pic:cNvPicPr>
                  </pic:nvPicPr>
                  <pic:blipFill>
                    <a:blip r:embed="rId20"/>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4" name="图片 14" descr="清单-宝鸡市中医医院西院区手术室层流净化改造建设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单-宝鸡市中医医院西院区手术室层流净化改造建设_09"/>
                    <pic:cNvPicPr>
                      <a:picLocks noChangeAspect="1"/>
                    </pic:cNvPicPr>
                  </pic:nvPicPr>
                  <pic:blipFill>
                    <a:blip r:embed="rId21"/>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5" name="图片 15" descr="清单-宝鸡市中医医院西院区手术室层流净化改造建设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清单-宝鸡市中医医院西院区手术室层流净化改造建设_10"/>
                    <pic:cNvPicPr>
                      <a:picLocks noChangeAspect="1"/>
                    </pic:cNvPicPr>
                  </pic:nvPicPr>
                  <pic:blipFill>
                    <a:blip r:embed="rId22"/>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6" name="图片 16" descr="清单-宝鸡市中医医院西院区手术室层流净化改造建设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清单-宝鸡市中医医院西院区手术室层流净化改造建设_11"/>
                    <pic:cNvPicPr>
                      <a:picLocks noChangeAspect="1"/>
                    </pic:cNvPicPr>
                  </pic:nvPicPr>
                  <pic:blipFill>
                    <a:blip r:embed="rId23"/>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7" name="图片 17" descr="清单-宝鸡市中医医院西院区手术室层流净化改造建设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清单-宝鸡市中医医院西院区手术室层流净化改造建设_12"/>
                    <pic:cNvPicPr>
                      <a:picLocks noChangeAspect="1"/>
                    </pic:cNvPicPr>
                  </pic:nvPicPr>
                  <pic:blipFill>
                    <a:blip r:embed="rId24"/>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8" name="图片 18" descr="清单-宝鸡市中医医院西院区手术室层流净化改造建设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清单-宝鸡市中医医院西院区手术室层流净化改造建设_13"/>
                    <pic:cNvPicPr>
                      <a:picLocks noChangeAspect="1"/>
                    </pic:cNvPicPr>
                  </pic:nvPicPr>
                  <pic:blipFill>
                    <a:blip r:embed="rId25"/>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19" name="图片 19" descr="清单-宝鸡市中医医院西院区手术室层流净化改造建设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清单-宝鸡市中医医院西院区手术室层流净化改造建设_14"/>
                    <pic:cNvPicPr>
                      <a:picLocks noChangeAspect="1"/>
                    </pic:cNvPicPr>
                  </pic:nvPicPr>
                  <pic:blipFill>
                    <a:blip r:embed="rId26"/>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20" name="图片 20" descr="清单-宝鸡市中医医院西院区手术室层流净化改造建设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清单-宝鸡市中医医院西院区手术室层流净化改造建设_15"/>
                    <pic:cNvPicPr>
                      <a:picLocks noChangeAspect="1"/>
                    </pic:cNvPicPr>
                  </pic:nvPicPr>
                  <pic:blipFill>
                    <a:blip r:embed="rId27"/>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21" name="图片 21" descr="清单-宝鸡市中医医院西院区手术室层流净化改造建设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清单-宝鸡市中医医院西院区手术室层流净化改造建设_16"/>
                    <pic:cNvPicPr>
                      <a:picLocks noChangeAspect="1"/>
                    </pic:cNvPicPr>
                  </pic:nvPicPr>
                  <pic:blipFill>
                    <a:blip r:embed="rId28"/>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22" name="图片 22" descr="清单-宝鸡市中医医院西院区手术室层流净化改造建设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清单-宝鸡市中医医院西院区手术室层流净化改造建设_17"/>
                    <pic:cNvPicPr>
                      <a:picLocks noChangeAspect="1"/>
                    </pic:cNvPicPr>
                  </pic:nvPicPr>
                  <pic:blipFill>
                    <a:blip r:embed="rId29"/>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23" name="图片 23" descr="清单-宝鸡市中医医院西院区手术室层流净化改造建设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清单-宝鸡市中医医院西院区手术室层流净化改造建设_18"/>
                    <pic:cNvPicPr>
                      <a:picLocks noChangeAspect="1"/>
                    </pic:cNvPicPr>
                  </pic:nvPicPr>
                  <pic:blipFill>
                    <a:blip r:embed="rId30"/>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24" name="图片 24" descr="清单-宝鸡市中医医院西院区手术室层流净化改造建设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清单-宝鸡市中医医院西院区手术室层流净化改造建设_19"/>
                    <pic:cNvPicPr>
                      <a:picLocks noChangeAspect="1"/>
                    </pic:cNvPicPr>
                  </pic:nvPicPr>
                  <pic:blipFill>
                    <a:blip r:embed="rId31"/>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25" name="图片 25" descr="清单-宝鸡市中医医院西院区手术室层流净化改造建设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清单-宝鸡市中医医院西院区手术室层流净化改造建设_20"/>
                    <pic:cNvPicPr>
                      <a:picLocks noChangeAspect="1"/>
                    </pic:cNvPicPr>
                  </pic:nvPicPr>
                  <pic:blipFill>
                    <a:blip r:embed="rId32"/>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26" name="图片 26" descr="清单-宝鸡市中医医院西院区手术室层流净化改造建设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清单-宝鸡市中医医院西院区手术室层流净化改造建设_21"/>
                    <pic:cNvPicPr>
                      <a:picLocks noChangeAspect="1"/>
                    </pic:cNvPicPr>
                  </pic:nvPicPr>
                  <pic:blipFill>
                    <a:blip r:embed="rId33"/>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27" name="图片 27" descr="清单-宝鸡市中医医院西院区手术室层流净化改造建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清单-宝鸡市中医医院西院区手术室层流净化改造建设_22"/>
                    <pic:cNvPicPr>
                      <a:picLocks noChangeAspect="1"/>
                    </pic:cNvPicPr>
                  </pic:nvPicPr>
                  <pic:blipFill>
                    <a:blip r:embed="rId34"/>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28" name="图片 28" descr="清单-宝鸡市中医医院西院区手术室层流净化改造建设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清单-宝鸡市中医医院西院区手术室层流净化改造建设_23"/>
                    <pic:cNvPicPr>
                      <a:picLocks noChangeAspect="1"/>
                    </pic:cNvPicPr>
                  </pic:nvPicPr>
                  <pic:blipFill>
                    <a:blip r:embed="rId35"/>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29" name="图片 29" descr="清单-宝鸡市中医医院西院区手术室层流净化改造建设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清单-宝鸡市中医医院西院区手术室层流净化改造建设_24"/>
                    <pic:cNvPicPr>
                      <a:picLocks noChangeAspect="1"/>
                    </pic:cNvPicPr>
                  </pic:nvPicPr>
                  <pic:blipFill>
                    <a:blip r:embed="rId36"/>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30" name="图片 30" descr="清单-宝鸡市中医医院西院区手术室层流净化改造建设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清单-宝鸡市中医医院西院区手术室层流净化改造建设_25"/>
                    <pic:cNvPicPr>
                      <a:picLocks noChangeAspect="1"/>
                    </pic:cNvPicPr>
                  </pic:nvPicPr>
                  <pic:blipFill>
                    <a:blip r:embed="rId37"/>
                    <a:stretch>
                      <a:fillRect/>
                    </a:stretch>
                  </pic:blipFill>
                  <pic:spPr>
                    <a:xfrm>
                      <a:off x="0" y="0"/>
                      <a:ext cx="5757545" cy="81489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7545" cy="8148955"/>
            <wp:effectExtent l="0" t="0" r="14605" b="4445"/>
            <wp:docPr id="31" name="图片 31" descr="清单-宝鸡市中医医院西院区手术室层流净化改造建设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清单-宝鸡市中医医院西院区手术室层流净化改造建设_26"/>
                    <pic:cNvPicPr>
                      <a:picLocks noChangeAspect="1"/>
                    </pic:cNvPicPr>
                  </pic:nvPicPr>
                  <pic:blipFill>
                    <a:blip r:embed="rId38"/>
                    <a:stretch>
                      <a:fillRect/>
                    </a:stretch>
                  </pic:blipFill>
                  <pic:spPr>
                    <a:xfrm>
                      <a:off x="0" y="0"/>
                      <a:ext cx="5757545" cy="8148955"/>
                    </a:xfrm>
                    <a:prstGeom prst="rect">
                      <a:avLst/>
                    </a:prstGeom>
                  </pic:spPr>
                </pic:pic>
              </a:graphicData>
            </a:graphic>
          </wp:inline>
        </w:drawing>
      </w:r>
      <w:r>
        <w:rPr>
          <w:rFonts w:hint="eastAsia" w:cs="宋体"/>
          <w:color w:val="auto"/>
          <w:kern w:val="0"/>
          <w:szCs w:val="32"/>
          <w:highlight w:val="none"/>
          <w:lang w:val="en-US" w:eastAsia="zh-CN"/>
        </w:rPr>
        <w:drawing>
          <wp:inline distT="0" distB="0" distL="114300" distR="114300">
            <wp:extent cx="5757545" cy="8148955"/>
            <wp:effectExtent l="0" t="0" r="14605" b="4445"/>
            <wp:docPr id="32" name="图片 32" descr="清单-宝鸡市中医医院西院区手术室层流净化改造建设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清单-宝鸡市中医医院西院区手术室层流净化改造建设_27"/>
                    <pic:cNvPicPr>
                      <a:picLocks noChangeAspect="1"/>
                    </pic:cNvPicPr>
                  </pic:nvPicPr>
                  <pic:blipFill>
                    <a:blip r:embed="rId39"/>
                    <a:stretch>
                      <a:fillRect/>
                    </a:stretch>
                  </pic:blipFill>
                  <pic:spPr>
                    <a:xfrm>
                      <a:off x="0" y="0"/>
                      <a:ext cx="5757545" cy="8148955"/>
                    </a:xfrm>
                    <a:prstGeom prst="rect">
                      <a:avLst/>
                    </a:prstGeom>
                  </pic:spPr>
                </pic:pic>
              </a:graphicData>
            </a:graphic>
          </wp:inline>
        </w:drawing>
      </w:r>
      <w:r>
        <w:rPr>
          <w:rFonts w:hint="eastAsia" w:cs="宋体"/>
          <w:color w:val="auto"/>
          <w:kern w:val="0"/>
          <w:szCs w:val="32"/>
          <w:highlight w:val="none"/>
          <w:lang w:val="en-US" w:eastAsia="zh-CN"/>
        </w:rPr>
        <w:drawing>
          <wp:inline distT="0" distB="0" distL="114300" distR="114300">
            <wp:extent cx="5757545" cy="8148955"/>
            <wp:effectExtent l="0" t="0" r="14605" b="4445"/>
            <wp:docPr id="33" name="图片 33" descr="清单-宝鸡市中医医院西院区手术室层流净化改造建设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清单-宝鸡市中医医院西院区手术室层流净化改造建设_28"/>
                    <pic:cNvPicPr>
                      <a:picLocks noChangeAspect="1"/>
                    </pic:cNvPicPr>
                  </pic:nvPicPr>
                  <pic:blipFill>
                    <a:blip r:embed="rId40"/>
                    <a:stretch>
                      <a:fillRect/>
                    </a:stretch>
                  </pic:blipFill>
                  <pic:spPr>
                    <a:xfrm>
                      <a:off x="0" y="0"/>
                      <a:ext cx="5757545" cy="8148955"/>
                    </a:xfrm>
                    <a:prstGeom prst="rect">
                      <a:avLst/>
                    </a:prstGeom>
                  </pic:spPr>
                </pic:pic>
              </a:graphicData>
            </a:graphic>
          </wp:inline>
        </w:drawing>
      </w:r>
      <w:r>
        <w:rPr>
          <w:rFonts w:hint="eastAsia" w:cs="宋体"/>
          <w:color w:val="auto"/>
          <w:kern w:val="0"/>
          <w:szCs w:val="32"/>
          <w:highlight w:val="none"/>
          <w:lang w:val="en-US" w:eastAsia="zh-CN"/>
        </w:rPr>
        <w:drawing>
          <wp:inline distT="0" distB="0" distL="114300" distR="114300">
            <wp:extent cx="5757545" cy="8148955"/>
            <wp:effectExtent l="0" t="0" r="14605" b="4445"/>
            <wp:docPr id="34" name="图片 34" descr="清单-宝鸡市中医医院西院区手术室层流净化改造建设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清单-宝鸡市中医医院西院区手术室层流净化改造建设_29"/>
                    <pic:cNvPicPr>
                      <a:picLocks noChangeAspect="1"/>
                    </pic:cNvPicPr>
                  </pic:nvPicPr>
                  <pic:blipFill>
                    <a:blip r:embed="rId41"/>
                    <a:stretch>
                      <a:fillRect/>
                    </a:stretch>
                  </pic:blipFill>
                  <pic:spPr>
                    <a:xfrm>
                      <a:off x="0" y="0"/>
                      <a:ext cx="5757545" cy="8148955"/>
                    </a:xfrm>
                    <a:prstGeom prst="rect">
                      <a:avLst/>
                    </a:prstGeom>
                  </pic:spPr>
                </pic:pic>
              </a:graphicData>
            </a:graphic>
          </wp:inline>
        </w:drawing>
      </w:r>
      <w:r>
        <w:rPr>
          <w:rFonts w:hint="eastAsia" w:cs="宋体"/>
          <w:color w:val="auto"/>
          <w:kern w:val="0"/>
          <w:szCs w:val="32"/>
          <w:highlight w:val="none"/>
          <w:lang w:val="en-US" w:eastAsia="zh-CN"/>
        </w:rPr>
        <w:drawing>
          <wp:inline distT="0" distB="0" distL="114300" distR="114300">
            <wp:extent cx="5757545" cy="8148955"/>
            <wp:effectExtent l="0" t="0" r="14605" b="4445"/>
            <wp:docPr id="35" name="图片 35" descr="清单-宝鸡市中医医院西院区手术室层流净化改造建设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清单-宝鸡市中医医院西院区手术室层流净化改造建设_30"/>
                    <pic:cNvPicPr>
                      <a:picLocks noChangeAspect="1"/>
                    </pic:cNvPicPr>
                  </pic:nvPicPr>
                  <pic:blipFill>
                    <a:blip r:embed="rId42"/>
                    <a:stretch>
                      <a:fillRect/>
                    </a:stretch>
                  </pic:blipFill>
                  <pic:spPr>
                    <a:xfrm>
                      <a:off x="0" y="0"/>
                      <a:ext cx="5757545" cy="8148955"/>
                    </a:xfrm>
                    <a:prstGeom prst="rect">
                      <a:avLst/>
                    </a:prstGeom>
                  </pic:spPr>
                </pic:pic>
              </a:graphicData>
            </a:graphic>
          </wp:inline>
        </w:drawing>
      </w:r>
      <w:r>
        <w:rPr>
          <w:rFonts w:hint="eastAsia" w:cs="宋体"/>
          <w:color w:val="auto"/>
          <w:kern w:val="0"/>
          <w:szCs w:val="32"/>
          <w:highlight w:val="none"/>
          <w:lang w:val="en-US" w:eastAsia="zh-CN"/>
        </w:rPr>
        <w:drawing>
          <wp:inline distT="0" distB="0" distL="114300" distR="114300">
            <wp:extent cx="5757545" cy="8148955"/>
            <wp:effectExtent l="0" t="0" r="14605" b="4445"/>
            <wp:docPr id="36" name="图片 36" descr="清单-宝鸡市中医医院西院区手术室层流净化改造建设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清单-宝鸡市中医医院西院区手术室层流净化改造建设_31"/>
                    <pic:cNvPicPr>
                      <a:picLocks noChangeAspect="1"/>
                    </pic:cNvPicPr>
                  </pic:nvPicPr>
                  <pic:blipFill>
                    <a:blip r:embed="rId43"/>
                    <a:stretch>
                      <a:fillRect/>
                    </a:stretch>
                  </pic:blipFill>
                  <pic:spPr>
                    <a:xfrm>
                      <a:off x="0" y="0"/>
                      <a:ext cx="5757545" cy="8148955"/>
                    </a:xfrm>
                    <a:prstGeom prst="rect">
                      <a:avLst/>
                    </a:prstGeom>
                  </pic:spPr>
                </pic:pic>
              </a:graphicData>
            </a:graphic>
          </wp:inline>
        </w:drawing>
      </w:r>
      <w:r>
        <w:rPr>
          <w:rFonts w:hint="eastAsia" w:cs="宋体"/>
          <w:color w:val="auto"/>
          <w:kern w:val="0"/>
          <w:szCs w:val="32"/>
          <w:highlight w:val="none"/>
          <w:lang w:val="en-US" w:eastAsia="zh-CN"/>
        </w:rPr>
        <w:tab/>
      </w:r>
      <w:r>
        <w:rPr>
          <w:rFonts w:hint="eastAsia" w:ascii="宋体" w:eastAsia="宋体" w:cs="宋体"/>
          <w:color w:val="auto"/>
          <w:kern w:val="0"/>
          <w:szCs w:val="32"/>
          <w:highlight w:val="none"/>
        </w:rPr>
        <w:br w:type="page"/>
      </w:r>
    </w:p>
    <w:p w14:paraId="1F29375C">
      <w:pPr>
        <w:pStyle w:val="2"/>
        <w:jc w:val="center"/>
        <w:rPr>
          <w:rFonts w:ascii="宋体" w:eastAsia="宋体" w:cs="宋体"/>
          <w:color w:val="auto"/>
          <w:kern w:val="0"/>
          <w:szCs w:val="32"/>
          <w:highlight w:val="none"/>
        </w:rPr>
      </w:pPr>
      <w:r>
        <w:rPr>
          <w:rFonts w:hint="eastAsia" w:ascii="宋体" w:eastAsia="宋体" w:cs="宋体"/>
          <w:color w:val="auto"/>
          <w:kern w:val="0"/>
          <w:szCs w:val="32"/>
          <w:highlight w:val="none"/>
        </w:rPr>
        <w:t>第六章  竞争性磋商响应文件格式</w:t>
      </w:r>
      <w:bookmarkEnd w:id="617"/>
      <w:bookmarkEnd w:id="618"/>
      <w:bookmarkEnd w:id="619"/>
      <w:bookmarkEnd w:id="620"/>
      <w:bookmarkEnd w:id="621"/>
    </w:p>
    <w:p w14:paraId="5B3D7EB9">
      <w:pPr>
        <w:rPr>
          <w:rFonts w:hAnsi="宋体" w:cs="宋体"/>
          <w:color w:val="auto"/>
          <w:highlight w:val="none"/>
        </w:rPr>
      </w:pPr>
    </w:p>
    <w:p w14:paraId="10828CEE">
      <w:pPr>
        <w:rPr>
          <w:rFonts w:hAnsi="宋体" w:cs="宋体"/>
          <w:color w:val="auto"/>
          <w:highlight w:val="none"/>
        </w:rPr>
      </w:pPr>
    </w:p>
    <w:p w14:paraId="46CE8EE1">
      <w:pPr>
        <w:framePr w:w="5311" w:hSpace="180" w:wrap="around" w:vAnchor="text" w:hAnchor="page" w:x="1473" w:y="19"/>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SXZCZB2025-ZCCS-0736</w:t>
      </w:r>
    </w:p>
    <w:p w14:paraId="4B12F36E">
      <w:pPr>
        <w:jc w:val="right"/>
        <w:rPr>
          <w:rFonts w:hAnsi="宋体" w:cs="宋体"/>
          <w:b/>
          <w:color w:val="auto"/>
          <w:sz w:val="32"/>
          <w:szCs w:val="32"/>
          <w:highlight w:val="none"/>
        </w:rPr>
      </w:pPr>
      <w:r>
        <w:rPr>
          <w:rFonts w:hint="eastAsia" w:hAnsi="宋体" w:cs="宋体"/>
          <w:b/>
          <w:color w:val="auto"/>
          <w:sz w:val="32"/>
          <w:szCs w:val="32"/>
          <w:highlight w:val="none"/>
        </w:rPr>
        <w:t>（正本或副本）</w:t>
      </w:r>
    </w:p>
    <w:p w14:paraId="04A18780">
      <w:pPr>
        <w:jc w:val="right"/>
        <w:rPr>
          <w:rFonts w:hAnsi="宋体" w:cs="宋体"/>
          <w:b/>
          <w:color w:val="auto"/>
          <w:sz w:val="32"/>
          <w:szCs w:val="32"/>
          <w:highlight w:val="none"/>
        </w:rPr>
      </w:pPr>
    </w:p>
    <w:p w14:paraId="115019B4">
      <w:pPr>
        <w:jc w:val="center"/>
        <w:rPr>
          <w:rFonts w:hAnsi="宋体" w:cs="宋体"/>
          <w:b/>
          <w:color w:val="auto"/>
          <w:sz w:val="72"/>
          <w:szCs w:val="72"/>
          <w:highlight w:val="none"/>
        </w:rPr>
      </w:pPr>
    </w:p>
    <w:p w14:paraId="668C9C53">
      <w:pPr>
        <w:jc w:val="center"/>
        <w:rPr>
          <w:rFonts w:hAnsi="宋体" w:cs="宋体"/>
          <w:b/>
          <w:color w:val="auto"/>
          <w:sz w:val="56"/>
          <w:szCs w:val="56"/>
          <w:highlight w:val="none"/>
        </w:rPr>
      </w:pPr>
    </w:p>
    <w:p w14:paraId="24DF227E">
      <w:pPr>
        <w:jc w:val="center"/>
        <w:rPr>
          <w:rFonts w:hAnsi="宋体" w:cs="宋体"/>
          <w:b/>
          <w:color w:val="auto"/>
          <w:sz w:val="56"/>
          <w:szCs w:val="56"/>
          <w:highlight w:val="none"/>
        </w:rPr>
      </w:pPr>
    </w:p>
    <w:p w14:paraId="50375FF8">
      <w:pPr>
        <w:jc w:val="center"/>
        <w:rPr>
          <w:rFonts w:hint="eastAsia" w:eastAsia="宋体" w:cs="宋体"/>
          <w:b/>
          <w:color w:val="auto"/>
          <w:sz w:val="60"/>
          <w:szCs w:val="60"/>
          <w:highlight w:val="none"/>
          <w:shd w:val="clear" w:color="auto" w:fill="FFFFFF"/>
          <w:lang w:eastAsia="zh-CN"/>
        </w:rPr>
      </w:pPr>
      <w:r>
        <w:rPr>
          <w:rFonts w:hint="eastAsia" w:cs="宋体"/>
          <w:b/>
          <w:color w:val="auto"/>
          <w:sz w:val="60"/>
          <w:szCs w:val="60"/>
          <w:highlight w:val="none"/>
          <w:shd w:val="clear" w:color="auto" w:fill="FFFFFF"/>
          <w:lang w:eastAsia="zh-CN"/>
        </w:rPr>
        <w:t>西院区手术室层流净化改造建设</w:t>
      </w:r>
    </w:p>
    <w:p w14:paraId="56E474D8">
      <w:pPr>
        <w:pStyle w:val="9"/>
        <w:rPr>
          <w:color w:val="auto"/>
          <w:highlight w:val="none"/>
        </w:rPr>
      </w:pPr>
    </w:p>
    <w:p w14:paraId="262715FA">
      <w:pPr>
        <w:rPr>
          <w:color w:val="auto"/>
          <w:highlight w:val="none"/>
        </w:rPr>
      </w:pPr>
    </w:p>
    <w:p w14:paraId="37C002A7">
      <w:pPr>
        <w:jc w:val="center"/>
        <w:rPr>
          <w:rFonts w:hAnsi="宋体" w:cs="宋体"/>
          <w:b/>
          <w:color w:val="auto"/>
          <w:sz w:val="62"/>
          <w:szCs w:val="72"/>
          <w:highlight w:val="none"/>
        </w:rPr>
      </w:pPr>
    </w:p>
    <w:p w14:paraId="7DDAE1B5">
      <w:pPr>
        <w:jc w:val="center"/>
        <w:rPr>
          <w:rFonts w:hAnsi="宋体" w:cs="宋体"/>
          <w:b/>
          <w:color w:val="auto"/>
          <w:sz w:val="56"/>
          <w:szCs w:val="56"/>
          <w:highlight w:val="none"/>
        </w:rPr>
      </w:pPr>
      <w:r>
        <w:rPr>
          <w:rFonts w:hint="eastAsia" w:hAnsi="宋体" w:cs="宋体"/>
          <w:b/>
          <w:color w:val="auto"/>
          <w:sz w:val="56"/>
          <w:szCs w:val="56"/>
          <w:highlight w:val="none"/>
        </w:rPr>
        <w:t>竞争性磋商响应文件</w:t>
      </w:r>
    </w:p>
    <w:p w14:paraId="194022A5">
      <w:pPr>
        <w:jc w:val="center"/>
        <w:rPr>
          <w:rFonts w:hAnsi="宋体" w:cs="宋体"/>
          <w:b/>
          <w:color w:val="auto"/>
          <w:sz w:val="36"/>
          <w:szCs w:val="36"/>
          <w:highlight w:val="none"/>
        </w:rPr>
      </w:pPr>
    </w:p>
    <w:p w14:paraId="524A4D0B">
      <w:pPr>
        <w:rPr>
          <w:rFonts w:hAnsi="宋体" w:cs="宋体"/>
          <w:b/>
          <w:color w:val="auto"/>
          <w:sz w:val="36"/>
          <w:szCs w:val="36"/>
          <w:highlight w:val="none"/>
        </w:rPr>
      </w:pPr>
    </w:p>
    <w:p w14:paraId="0B09B551">
      <w:pPr>
        <w:rPr>
          <w:rFonts w:hAnsi="宋体" w:cs="宋体"/>
          <w:b/>
          <w:color w:val="auto"/>
          <w:sz w:val="36"/>
          <w:szCs w:val="36"/>
          <w:highlight w:val="none"/>
        </w:rPr>
      </w:pPr>
    </w:p>
    <w:p w14:paraId="7B236A1C">
      <w:pPr>
        <w:tabs>
          <w:tab w:val="center" w:pos="5346"/>
        </w:tabs>
        <w:spacing w:line="480" w:lineRule="auto"/>
        <w:jc w:val="center"/>
        <w:rPr>
          <w:rFonts w:hAnsi="宋体" w:cs="宋体"/>
          <w:b/>
          <w:color w:val="auto"/>
          <w:sz w:val="32"/>
          <w:szCs w:val="32"/>
          <w:highlight w:val="none"/>
        </w:rPr>
      </w:pPr>
      <w:r>
        <w:rPr>
          <w:rFonts w:hint="eastAsia" w:hAnsi="宋体" w:cs="宋体"/>
          <w:b/>
          <w:color w:val="auto"/>
          <w:sz w:val="32"/>
          <w:szCs w:val="32"/>
          <w:highlight w:val="none"/>
        </w:rPr>
        <w:t>供应商名称（公章）</w:t>
      </w:r>
    </w:p>
    <w:p w14:paraId="03BDD08F">
      <w:pPr>
        <w:jc w:val="center"/>
        <w:rPr>
          <w:rFonts w:hAnsi="宋体" w:cs="宋体"/>
          <w:b/>
          <w:color w:val="auto"/>
          <w:sz w:val="44"/>
          <w:highlight w:val="none"/>
        </w:rPr>
      </w:pPr>
      <w:r>
        <w:rPr>
          <w:rFonts w:hint="eastAsia" w:hAnsi="宋体" w:cs="宋体"/>
          <w:b/>
          <w:color w:val="auto"/>
          <w:sz w:val="32"/>
          <w:szCs w:val="32"/>
          <w:highlight w:val="none"/>
        </w:rPr>
        <w:t xml:space="preserve"> 年   月</w:t>
      </w:r>
      <w:r>
        <w:rPr>
          <w:rFonts w:hint="eastAsia" w:hAnsi="宋体" w:cs="宋体"/>
          <w:b/>
          <w:color w:val="auto"/>
          <w:sz w:val="36"/>
          <w:szCs w:val="36"/>
          <w:highlight w:val="none"/>
        </w:rPr>
        <w:br w:type="page"/>
      </w:r>
      <w:bookmarkStart w:id="622" w:name="_Toc344572156"/>
    </w:p>
    <w:p w14:paraId="4C3A239B">
      <w:pPr>
        <w:jc w:val="center"/>
        <w:rPr>
          <w:rFonts w:hAnsi="宋体" w:cs="宋体"/>
          <w:b/>
          <w:color w:val="auto"/>
          <w:sz w:val="44"/>
          <w:highlight w:val="none"/>
        </w:rPr>
      </w:pPr>
      <w:r>
        <w:rPr>
          <w:rFonts w:hint="eastAsia" w:hAnsi="宋体" w:cs="宋体"/>
          <w:b/>
          <w:color w:val="auto"/>
          <w:sz w:val="44"/>
          <w:highlight w:val="none"/>
        </w:rPr>
        <w:t>目  录</w:t>
      </w:r>
    </w:p>
    <w:p w14:paraId="73B682EE">
      <w:pPr>
        <w:pStyle w:val="9"/>
        <w:rPr>
          <w:rFonts w:ascii="宋体" w:hAnsi="宋体" w:cs="宋体"/>
          <w:color w:val="auto"/>
          <w:highlight w:val="none"/>
        </w:rPr>
      </w:pPr>
    </w:p>
    <w:p w14:paraId="2CB62406">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一、磋商响应函</w:t>
      </w:r>
    </w:p>
    <w:p w14:paraId="46503E4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二、磋商报价表</w:t>
      </w:r>
    </w:p>
    <w:p w14:paraId="0904EB81">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三、磋商方案说明书</w:t>
      </w:r>
    </w:p>
    <w:p w14:paraId="6D3152C2">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四、商务条款偏离表</w:t>
      </w:r>
    </w:p>
    <w:p w14:paraId="09832798">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五、陕西省政府采购供应商拒绝政府采购领域商业贿赂承诺书</w:t>
      </w:r>
    </w:p>
    <w:p w14:paraId="3CE4BB45">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六、特定资格证明文件</w:t>
      </w:r>
    </w:p>
    <w:p w14:paraId="60E8232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七、其他</w:t>
      </w:r>
    </w:p>
    <w:p w14:paraId="55E1A4C4">
      <w:pPr>
        <w:pStyle w:val="6"/>
        <w:spacing w:line="360" w:lineRule="auto"/>
        <w:rPr>
          <w:rFonts w:ascii="宋体" w:hAnsi="宋体" w:cs="宋体"/>
          <w:color w:val="auto"/>
          <w:highlight w:val="none"/>
        </w:rPr>
      </w:pPr>
    </w:p>
    <w:p w14:paraId="594C1CBC">
      <w:pPr>
        <w:pStyle w:val="6"/>
        <w:spacing w:line="360" w:lineRule="auto"/>
        <w:rPr>
          <w:rFonts w:ascii="宋体" w:hAnsi="宋体" w:cs="宋体"/>
          <w:color w:val="auto"/>
          <w:highlight w:val="none"/>
        </w:rPr>
      </w:pPr>
    </w:p>
    <w:p w14:paraId="18E9FFB9">
      <w:pPr>
        <w:pStyle w:val="6"/>
        <w:ind w:firstLine="880"/>
        <w:rPr>
          <w:rFonts w:ascii="宋体" w:hAnsi="宋体" w:cs="宋体"/>
          <w:bCs/>
          <w:color w:val="auto"/>
          <w:sz w:val="44"/>
          <w:highlight w:val="none"/>
        </w:rPr>
      </w:pPr>
    </w:p>
    <w:p w14:paraId="2AC4D770">
      <w:pPr>
        <w:pStyle w:val="6"/>
        <w:ind w:firstLine="880"/>
        <w:rPr>
          <w:rFonts w:ascii="宋体" w:hAnsi="宋体" w:cs="宋体"/>
          <w:bCs/>
          <w:color w:val="auto"/>
          <w:sz w:val="44"/>
          <w:highlight w:val="none"/>
        </w:rPr>
      </w:pPr>
    </w:p>
    <w:bookmarkEnd w:id="622"/>
    <w:p w14:paraId="0781C66D">
      <w:pPr>
        <w:pStyle w:val="9"/>
        <w:rPr>
          <w:rFonts w:ascii="宋体" w:hAnsi="宋体" w:cs="宋体"/>
          <w:b/>
          <w:color w:val="auto"/>
          <w:sz w:val="32"/>
          <w:szCs w:val="32"/>
          <w:highlight w:val="none"/>
        </w:rPr>
      </w:pPr>
      <w:bookmarkStart w:id="623" w:name="_Toc403077648"/>
      <w:bookmarkStart w:id="624" w:name="_Toc363474027"/>
      <w:bookmarkStart w:id="625" w:name="_Toc204524343"/>
    </w:p>
    <w:p w14:paraId="2F2A9611">
      <w:pPr>
        <w:pStyle w:val="9"/>
        <w:rPr>
          <w:rFonts w:ascii="宋体" w:hAnsi="宋体" w:cs="宋体"/>
          <w:b/>
          <w:color w:val="auto"/>
          <w:sz w:val="32"/>
          <w:szCs w:val="32"/>
          <w:highlight w:val="none"/>
        </w:rPr>
      </w:pPr>
    </w:p>
    <w:p w14:paraId="3557011E">
      <w:pPr>
        <w:pStyle w:val="9"/>
        <w:rPr>
          <w:rFonts w:ascii="宋体" w:hAnsi="宋体" w:cs="宋体"/>
          <w:b/>
          <w:color w:val="auto"/>
          <w:sz w:val="32"/>
          <w:szCs w:val="32"/>
          <w:highlight w:val="none"/>
        </w:rPr>
      </w:pPr>
    </w:p>
    <w:p w14:paraId="572739D3">
      <w:pPr>
        <w:spacing w:line="520" w:lineRule="exact"/>
        <w:jc w:val="center"/>
        <w:outlineLvl w:val="2"/>
        <w:rPr>
          <w:rFonts w:hAnsi="宋体" w:cs="宋体"/>
          <w:b/>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一、磋商</w:t>
      </w:r>
      <w:bookmarkEnd w:id="623"/>
      <w:bookmarkEnd w:id="624"/>
      <w:r>
        <w:rPr>
          <w:rFonts w:hint="eastAsia" w:hAnsi="宋体" w:cs="宋体"/>
          <w:b/>
          <w:color w:val="auto"/>
          <w:sz w:val="32"/>
          <w:szCs w:val="32"/>
          <w:highlight w:val="none"/>
        </w:rPr>
        <w:t>响应函</w:t>
      </w:r>
    </w:p>
    <w:p w14:paraId="0A577596">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rPr>
        <w:t>陕西至诚项目管理集团有限公司</w:t>
      </w:r>
    </w:p>
    <w:p w14:paraId="1983A10B">
      <w:pPr>
        <w:spacing w:line="360" w:lineRule="auto"/>
        <w:ind w:firstLine="496" w:firstLineChars="200"/>
        <w:rPr>
          <w:rFonts w:hAnsi="宋体" w:cs="宋体"/>
          <w:color w:val="auto"/>
          <w:spacing w:val="4"/>
          <w:szCs w:val="24"/>
          <w:highlight w:val="none"/>
        </w:rPr>
      </w:pPr>
      <w:r>
        <w:rPr>
          <w:rFonts w:hint="eastAsia" w:hAnsi="宋体" w:cs="宋体"/>
          <w:color w:val="auto"/>
          <w:spacing w:val="4"/>
          <w:szCs w:val="24"/>
          <w:highlight w:val="none"/>
        </w:rPr>
        <w:t>根据贵方“</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”项目的磋商邀请</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，签字代表</w:t>
      </w:r>
      <w:r>
        <w:rPr>
          <w:rFonts w:hint="eastAsia" w:hAnsi="宋体" w:cs="宋体"/>
          <w:color w:val="auto"/>
          <w:spacing w:val="4"/>
          <w:szCs w:val="24"/>
          <w:highlight w:val="none"/>
          <w:u w:val="single"/>
        </w:rPr>
        <w:t>（全名、职务）</w:t>
      </w:r>
      <w:r>
        <w:rPr>
          <w:rFonts w:hint="eastAsia" w:hAnsi="宋体" w:cs="宋体"/>
          <w:color w:val="auto"/>
          <w:spacing w:val="4"/>
          <w:szCs w:val="24"/>
          <w:highlight w:val="none"/>
        </w:rPr>
        <w:t>经正式授权并代表供应商</w:t>
      </w:r>
      <w:r>
        <w:rPr>
          <w:rFonts w:hint="eastAsia" w:hAnsi="宋体" w:cs="宋体"/>
          <w:color w:val="auto"/>
          <w:spacing w:val="4"/>
          <w:szCs w:val="24"/>
          <w:highlight w:val="none"/>
          <w:u w:val="single"/>
        </w:rPr>
        <w:t>(供应商名称、地址)</w:t>
      </w:r>
      <w:r>
        <w:rPr>
          <w:rFonts w:hint="eastAsia" w:hAnsi="宋体" w:cs="宋体"/>
          <w:color w:val="auto"/>
          <w:spacing w:val="4"/>
          <w:szCs w:val="24"/>
          <w:highlight w:val="none"/>
        </w:rPr>
        <w:t xml:space="preserve"> 提交竞争性磋商响应文件正本壹份、副本一式</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份、报价一览表</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份、电子版</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w:t>
      </w:r>
    </w:p>
    <w:p w14:paraId="19887A3A">
      <w:pPr>
        <w:spacing w:line="360" w:lineRule="auto"/>
        <w:ind w:left="624" w:leftChars="251" w:hanging="22" w:hangingChars="9"/>
        <w:jc w:val="left"/>
        <w:rPr>
          <w:rFonts w:hAnsi="宋体" w:cs="宋体"/>
          <w:color w:val="auto"/>
          <w:spacing w:val="4"/>
          <w:szCs w:val="24"/>
          <w:highlight w:val="none"/>
        </w:rPr>
      </w:pPr>
      <w:r>
        <w:rPr>
          <w:rFonts w:hint="eastAsia" w:hAnsi="宋体" w:cs="宋体"/>
          <w:color w:val="auto"/>
          <w:spacing w:val="4"/>
          <w:szCs w:val="24"/>
          <w:highlight w:val="none"/>
        </w:rPr>
        <w:t>我方承诺如下：</w:t>
      </w:r>
    </w:p>
    <w:p w14:paraId="3CBC5713">
      <w:pPr>
        <w:numPr>
          <w:ilvl w:val="0"/>
          <w:numId w:val="7"/>
        </w:numPr>
        <w:tabs>
          <w:tab w:val="left" w:pos="2160"/>
        </w:tabs>
        <w:spacing w:line="360" w:lineRule="auto"/>
        <w:ind w:firstLine="496" w:firstLineChars="200"/>
        <w:jc w:val="left"/>
        <w:rPr>
          <w:rFonts w:hAnsi="宋体" w:cs="宋体"/>
          <w:color w:val="auto"/>
          <w:spacing w:val="4"/>
          <w:highlight w:val="none"/>
        </w:rPr>
      </w:pPr>
      <w:r>
        <w:rPr>
          <w:rFonts w:hint="eastAsia" w:hAnsi="宋体" w:cs="宋体"/>
          <w:color w:val="auto"/>
          <w:spacing w:val="4"/>
          <w:szCs w:val="24"/>
          <w:highlight w:val="none"/>
        </w:rPr>
        <w:t>磋商报价</w:t>
      </w:r>
      <w:r>
        <w:rPr>
          <w:rFonts w:hint="eastAsia" w:hAnsi="宋体" w:cs="宋体"/>
          <w:color w:val="auto"/>
          <w:spacing w:val="4"/>
          <w:highlight w:val="none"/>
        </w:rPr>
        <w:t>为小写：</w:t>
      </w:r>
      <w:r>
        <w:rPr>
          <w:rFonts w:hint="eastAsia" w:hAnsi="宋体" w:cs="宋体"/>
          <w:color w:val="auto"/>
          <w:spacing w:val="4"/>
          <w:highlight w:val="none"/>
          <w:u w:val="single"/>
        </w:rPr>
        <w:t xml:space="preserve">         </w:t>
      </w:r>
      <w:r>
        <w:rPr>
          <w:rFonts w:hint="eastAsia" w:hAnsi="宋体" w:cs="宋体"/>
          <w:color w:val="auto"/>
          <w:spacing w:val="4"/>
          <w:highlight w:val="none"/>
        </w:rPr>
        <w:t>（大写：</w:t>
      </w:r>
      <w:r>
        <w:rPr>
          <w:rFonts w:hint="eastAsia" w:hAnsi="宋体" w:cs="宋体"/>
          <w:color w:val="auto"/>
          <w:spacing w:val="4"/>
          <w:highlight w:val="none"/>
          <w:u w:val="single"/>
        </w:rPr>
        <w:t xml:space="preserve">         </w:t>
      </w:r>
      <w:r>
        <w:rPr>
          <w:rFonts w:hint="eastAsia" w:hAnsi="宋体" w:cs="宋体"/>
          <w:color w:val="auto"/>
          <w:spacing w:val="4"/>
          <w:highlight w:val="none"/>
        </w:rPr>
        <w:t>）。</w:t>
      </w:r>
    </w:p>
    <w:p w14:paraId="38264EA5">
      <w:pPr>
        <w:numPr>
          <w:ilvl w:val="0"/>
          <w:numId w:val="7"/>
        </w:num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如果成交，我们根据竞争性磋商文件的规定，履行合同的责任和义务。</w:t>
      </w:r>
    </w:p>
    <w:p w14:paraId="2D8D9EF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3）我们已详细阅读和审核全部竞争性磋商文件（含修改部分，如有的话），及有关附件，我们知道必须放弃提出含糊不清或误解的问题的权利。</w:t>
      </w:r>
    </w:p>
    <w:p w14:paraId="48AF7AAE">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4）我们同意在磋商有效期内（</w:t>
      </w:r>
      <w:r>
        <w:rPr>
          <w:rFonts w:hint="eastAsia" w:hAnsi="宋体" w:cs="宋体"/>
          <w:color w:val="auto"/>
          <w:spacing w:val="4"/>
          <w:szCs w:val="24"/>
          <w:highlight w:val="none"/>
          <w:u w:val="single"/>
        </w:rPr>
        <w:t>自磋商之日起   天</w:t>
      </w:r>
      <w:r>
        <w:rPr>
          <w:rFonts w:hint="eastAsia" w:hAnsi="宋体" w:cs="宋体"/>
          <w:color w:val="auto"/>
          <w:spacing w:val="4"/>
          <w:szCs w:val="24"/>
          <w:highlight w:val="none"/>
        </w:rPr>
        <w:t>），本磋商响应函对我方具有约束力。</w:t>
      </w:r>
    </w:p>
    <w:p w14:paraId="0C194888">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 xml:space="preserve">5）同意提供贵方可能另外要求的与本磋商有关的任何证据和资料。 </w:t>
      </w:r>
    </w:p>
    <w:p w14:paraId="2B89178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6）我们同意，如果成交，向陕西至诚项目管理集团有限公司交纳招标代理服务费。</w:t>
      </w:r>
    </w:p>
    <w:p w14:paraId="3CDC46BD">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7）与本磋商有关的一切正式往来通讯为：</w:t>
      </w:r>
    </w:p>
    <w:p w14:paraId="2D20D2FB">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联系地址：</w:t>
      </w:r>
    </w:p>
    <w:p w14:paraId="6C75C837">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邮政编码：</w:t>
      </w:r>
    </w:p>
    <w:p w14:paraId="6612D35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电    话：</w:t>
      </w:r>
    </w:p>
    <w:p w14:paraId="1183B11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传    真：</w:t>
      </w:r>
    </w:p>
    <w:p w14:paraId="7CC55CC6">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供应商名称（盖章）：</w:t>
      </w:r>
    </w:p>
    <w:p w14:paraId="3B98AF73">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供应商法定代表人</w:t>
      </w:r>
      <w:r>
        <w:rPr>
          <w:rFonts w:hint="eastAsia" w:hAnsi="宋体" w:cs="宋体"/>
          <w:color w:val="auto"/>
          <w:spacing w:val="4"/>
          <w:highlight w:val="none"/>
        </w:rPr>
        <w:t>/被授权人</w:t>
      </w:r>
      <w:r>
        <w:rPr>
          <w:rFonts w:hint="eastAsia" w:hAnsi="宋体" w:cs="宋体"/>
          <w:color w:val="auto"/>
          <w:spacing w:val="4"/>
          <w:szCs w:val="24"/>
          <w:highlight w:val="none"/>
        </w:rPr>
        <w:t>签字</w:t>
      </w:r>
      <w:r>
        <w:rPr>
          <w:rFonts w:hint="eastAsia" w:hAnsi="宋体" w:cs="宋体"/>
          <w:color w:val="auto"/>
          <w:spacing w:val="4"/>
          <w:highlight w:val="none"/>
        </w:rPr>
        <w:t>或盖章</w:t>
      </w:r>
      <w:r>
        <w:rPr>
          <w:rFonts w:hint="eastAsia" w:hAnsi="宋体" w:cs="宋体"/>
          <w:color w:val="auto"/>
          <w:szCs w:val="24"/>
          <w:highlight w:val="none"/>
        </w:rPr>
        <w:t>：</w:t>
      </w:r>
    </w:p>
    <w:p w14:paraId="2D8449C9">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日    期：</w:t>
      </w:r>
    </w:p>
    <w:p w14:paraId="56A2082A">
      <w:pPr>
        <w:pStyle w:val="4"/>
        <w:spacing w:before="312" w:beforeLines="100" w:line="360" w:lineRule="auto"/>
        <w:rPr>
          <w:rFonts w:ascii="宋体" w:hAnsi="宋体" w:cs="宋体"/>
          <w:color w:val="auto"/>
          <w:sz w:val="32"/>
          <w:szCs w:val="32"/>
          <w:highlight w:val="none"/>
        </w:rPr>
      </w:pPr>
      <w:r>
        <w:rPr>
          <w:rFonts w:hint="eastAsia" w:ascii="宋体" w:hAnsi="宋体" w:cs="宋体"/>
          <w:color w:val="auto"/>
          <w:highlight w:val="none"/>
        </w:rPr>
        <w:br w:type="page"/>
      </w:r>
      <w:bookmarkStart w:id="626" w:name="_Toc403077651"/>
      <w:bookmarkStart w:id="627" w:name="_Toc363474030"/>
      <w:r>
        <w:rPr>
          <w:rFonts w:hint="eastAsia" w:ascii="宋体" w:hAnsi="宋体" w:cs="宋体"/>
          <w:color w:val="auto"/>
          <w:sz w:val="32"/>
          <w:szCs w:val="32"/>
          <w:highlight w:val="none"/>
        </w:rPr>
        <w:t>二、磋商报价表</w:t>
      </w:r>
      <w:bookmarkEnd w:id="626"/>
      <w:bookmarkEnd w:id="627"/>
    </w:p>
    <w:p w14:paraId="6CADA73B">
      <w:pPr>
        <w:spacing w:line="360" w:lineRule="auto"/>
        <w:jc w:val="center"/>
        <w:rPr>
          <w:rFonts w:hAnsi="宋体" w:cs="宋体"/>
          <w:color w:val="auto"/>
          <w:szCs w:val="24"/>
          <w:highlight w:val="none"/>
        </w:rPr>
      </w:pPr>
      <w:r>
        <w:rPr>
          <w:rFonts w:hint="eastAsia" w:hAnsi="宋体" w:cs="宋体"/>
          <w:color w:val="auto"/>
          <w:szCs w:val="24"/>
          <w:highlight w:val="none"/>
        </w:rPr>
        <w:t>2.1报价一览表</w:t>
      </w:r>
    </w:p>
    <w:p w14:paraId="5C87ABD7">
      <w:pPr>
        <w:spacing w:line="360" w:lineRule="auto"/>
        <w:jc w:val="center"/>
        <w:rPr>
          <w:rFonts w:hAnsi="宋体" w:cs="宋体"/>
          <w:color w:val="auto"/>
          <w:szCs w:val="24"/>
          <w:highlight w:val="none"/>
        </w:rPr>
      </w:pPr>
    </w:p>
    <w:p w14:paraId="0FC8A484">
      <w:pPr>
        <w:jc w:val="left"/>
        <w:rPr>
          <w:rFonts w:hAnsi="宋体" w:cs="宋体"/>
          <w:color w:val="auto"/>
          <w:highlight w:val="none"/>
        </w:rPr>
      </w:pPr>
      <w:r>
        <w:rPr>
          <w:rFonts w:hint="eastAsia" w:hAnsi="宋体" w:cs="宋体"/>
          <w:color w:val="auto"/>
          <w:highlight w:val="none"/>
        </w:rPr>
        <w:t xml:space="preserve">项目名称：                                                 </w:t>
      </w:r>
    </w:p>
    <w:p w14:paraId="12973737">
      <w:pPr>
        <w:jc w:val="left"/>
        <w:rPr>
          <w:rFonts w:hAnsi="宋体" w:cs="宋体"/>
          <w:color w:val="auto"/>
          <w:highlight w:val="none"/>
        </w:rPr>
      </w:pPr>
      <w:r>
        <w:rPr>
          <w:rFonts w:hint="eastAsia" w:hAnsi="宋体" w:cs="宋体"/>
          <w:color w:val="auto"/>
          <w:highlight w:val="none"/>
        </w:rPr>
        <w:t xml:space="preserve">项目编号：                                               </w:t>
      </w:r>
    </w:p>
    <w:p w14:paraId="1CC6210B">
      <w:pPr>
        <w:rPr>
          <w:color w:val="auto"/>
          <w:highlight w:val="none"/>
        </w:rPr>
      </w:pPr>
    </w:p>
    <w:tbl>
      <w:tblPr>
        <w:tblStyle w:val="25"/>
        <w:tblpPr w:leftFromText="180" w:rightFromText="180" w:vertAnchor="page" w:horzAnchor="margin" w:tblpXSpec="center" w:tblpY="478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3"/>
        <w:gridCol w:w="6491"/>
        <w:gridCol w:w="7"/>
      </w:tblGrid>
      <w:tr w14:paraId="4AE5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restart"/>
            <w:vAlign w:val="center"/>
          </w:tcPr>
          <w:p w14:paraId="0CAA94CD">
            <w:pPr>
              <w:jc w:val="center"/>
              <w:rPr>
                <w:rFonts w:hAnsi="宋体"/>
                <w:color w:val="auto"/>
                <w:highlight w:val="none"/>
              </w:rPr>
            </w:pPr>
            <w:r>
              <w:rPr>
                <w:rFonts w:hint="eastAsia" w:hAnsi="宋体"/>
                <w:color w:val="auto"/>
                <w:highlight w:val="none"/>
              </w:rPr>
              <w:t>磋商总报价（元）</w:t>
            </w:r>
          </w:p>
        </w:tc>
        <w:tc>
          <w:tcPr>
            <w:tcW w:w="3496" w:type="pct"/>
            <w:vAlign w:val="center"/>
          </w:tcPr>
          <w:p w14:paraId="08FDE0B5">
            <w:pPr>
              <w:rPr>
                <w:rFonts w:hAnsi="宋体"/>
                <w:color w:val="auto"/>
                <w:highlight w:val="none"/>
              </w:rPr>
            </w:pPr>
            <w:r>
              <w:rPr>
                <w:rFonts w:hint="eastAsia" w:hAnsi="宋体"/>
                <w:color w:val="auto"/>
                <w:highlight w:val="none"/>
              </w:rPr>
              <w:t>小写：</w:t>
            </w:r>
          </w:p>
        </w:tc>
      </w:tr>
      <w:tr w14:paraId="2911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continue"/>
            <w:vAlign w:val="center"/>
          </w:tcPr>
          <w:p w14:paraId="09257670">
            <w:pPr>
              <w:jc w:val="center"/>
              <w:rPr>
                <w:rFonts w:hAnsi="宋体"/>
                <w:color w:val="auto"/>
                <w:highlight w:val="none"/>
              </w:rPr>
            </w:pPr>
          </w:p>
        </w:tc>
        <w:tc>
          <w:tcPr>
            <w:tcW w:w="3496" w:type="pct"/>
            <w:vAlign w:val="center"/>
          </w:tcPr>
          <w:p w14:paraId="55CB9FDF">
            <w:pPr>
              <w:rPr>
                <w:rFonts w:hAnsi="宋体"/>
                <w:color w:val="auto"/>
                <w:highlight w:val="none"/>
              </w:rPr>
            </w:pPr>
            <w:r>
              <w:rPr>
                <w:rFonts w:hint="eastAsia" w:hAnsi="宋体"/>
                <w:color w:val="auto"/>
                <w:highlight w:val="none"/>
              </w:rPr>
              <w:t>大写：</w:t>
            </w:r>
          </w:p>
        </w:tc>
      </w:tr>
      <w:tr w14:paraId="685E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B1C3076">
            <w:pPr>
              <w:jc w:val="center"/>
              <w:rPr>
                <w:rFonts w:hAnsi="宋体"/>
                <w:color w:val="auto"/>
                <w:highlight w:val="none"/>
              </w:rPr>
            </w:pPr>
            <w:r>
              <w:rPr>
                <w:rFonts w:hint="eastAsia" w:hAnsi="宋体"/>
                <w:color w:val="auto"/>
                <w:highlight w:val="none"/>
              </w:rPr>
              <w:t>项目经理</w:t>
            </w:r>
          </w:p>
        </w:tc>
        <w:tc>
          <w:tcPr>
            <w:tcW w:w="3500" w:type="pct"/>
            <w:gridSpan w:val="2"/>
            <w:vAlign w:val="center"/>
          </w:tcPr>
          <w:p w14:paraId="55E0500D">
            <w:pPr>
              <w:rPr>
                <w:rFonts w:hAnsi="宋体"/>
                <w:color w:val="auto"/>
                <w:highlight w:val="none"/>
              </w:rPr>
            </w:pPr>
          </w:p>
        </w:tc>
      </w:tr>
      <w:tr w14:paraId="1F3F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4A97AE14">
            <w:pPr>
              <w:jc w:val="center"/>
              <w:rPr>
                <w:rFonts w:hAnsi="宋体"/>
                <w:color w:val="auto"/>
                <w:highlight w:val="none"/>
              </w:rPr>
            </w:pPr>
            <w:r>
              <w:rPr>
                <w:rFonts w:hint="eastAsia" w:hAnsi="宋体"/>
                <w:color w:val="auto"/>
                <w:highlight w:val="none"/>
              </w:rPr>
              <w:t>工期</w:t>
            </w:r>
          </w:p>
        </w:tc>
        <w:tc>
          <w:tcPr>
            <w:tcW w:w="3500" w:type="pct"/>
            <w:gridSpan w:val="2"/>
            <w:vAlign w:val="center"/>
          </w:tcPr>
          <w:p w14:paraId="1E6C545D">
            <w:pPr>
              <w:rPr>
                <w:rFonts w:hAnsi="宋体"/>
                <w:color w:val="auto"/>
                <w:highlight w:val="none"/>
              </w:rPr>
            </w:pPr>
          </w:p>
        </w:tc>
      </w:tr>
      <w:tr w14:paraId="3666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CE93B93">
            <w:pPr>
              <w:jc w:val="center"/>
              <w:rPr>
                <w:rFonts w:hAnsi="宋体"/>
                <w:color w:val="auto"/>
                <w:highlight w:val="none"/>
              </w:rPr>
            </w:pPr>
            <w:r>
              <w:rPr>
                <w:rFonts w:hint="eastAsia" w:hAnsi="宋体"/>
                <w:color w:val="auto"/>
                <w:highlight w:val="none"/>
              </w:rPr>
              <w:t>质量标准</w:t>
            </w:r>
          </w:p>
        </w:tc>
        <w:tc>
          <w:tcPr>
            <w:tcW w:w="3500" w:type="pct"/>
            <w:gridSpan w:val="2"/>
            <w:vAlign w:val="center"/>
          </w:tcPr>
          <w:p w14:paraId="04C62721">
            <w:pPr>
              <w:rPr>
                <w:rFonts w:hAnsi="宋体"/>
                <w:color w:val="auto"/>
                <w:highlight w:val="none"/>
              </w:rPr>
            </w:pPr>
          </w:p>
        </w:tc>
      </w:tr>
      <w:tr w14:paraId="7342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32A2E58F">
            <w:pPr>
              <w:jc w:val="center"/>
              <w:rPr>
                <w:rFonts w:hAnsi="宋体"/>
                <w:color w:val="auto"/>
                <w:highlight w:val="none"/>
              </w:rPr>
            </w:pPr>
            <w:r>
              <w:rPr>
                <w:rFonts w:hint="eastAsia" w:hAnsi="宋体"/>
                <w:color w:val="auto"/>
                <w:highlight w:val="none"/>
              </w:rPr>
              <w:t>备注</w:t>
            </w:r>
          </w:p>
        </w:tc>
        <w:tc>
          <w:tcPr>
            <w:tcW w:w="3500" w:type="pct"/>
            <w:gridSpan w:val="2"/>
            <w:vAlign w:val="center"/>
          </w:tcPr>
          <w:p w14:paraId="6C910F36">
            <w:pPr>
              <w:rPr>
                <w:rFonts w:hAnsi="宋体"/>
                <w:color w:val="auto"/>
                <w:highlight w:val="none"/>
              </w:rPr>
            </w:pPr>
          </w:p>
        </w:tc>
      </w:tr>
    </w:tbl>
    <w:p w14:paraId="5CA6271A">
      <w:pPr>
        <w:rPr>
          <w:rFonts w:hAnsi="宋体" w:cs="宋体"/>
          <w:color w:val="auto"/>
          <w:szCs w:val="24"/>
          <w:highlight w:val="none"/>
        </w:rPr>
      </w:pPr>
    </w:p>
    <w:p w14:paraId="2F802C89">
      <w:pPr>
        <w:spacing w:line="280" w:lineRule="exact"/>
        <w:ind w:right="617" w:rightChars="257"/>
        <w:jc w:val="left"/>
        <w:rPr>
          <w:rFonts w:hAnsi="宋体" w:cs="宋体"/>
          <w:color w:val="auto"/>
          <w:szCs w:val="24"/>
          <w:highlight w:val="none"/>
        </w:rPr>
      </w:pPr>
    </w:p>
    <w:p w14:paraId="7E702E84">
      <w:pPr>
        <w:spacing w:line="280" w:lineRule="exact"/>
        <w:ind w:right="617" w:rightChars="257"/>
        <w:jc w:val="left"/>
        <w:rPr>
          <w:rFonts w:hAnsi="宋体" w:cs="宋体"/>
          <w:color w:val="auto"/>
          <w:szCs w:val="24"/>
          <w:highlight w:val="none"/>
        </w:rPr>
      </w:pPr>
    </w:p>
    <w:p w14:paraId="15547717">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供应商名称：</w:t>
      </w:r>
      <w:r>
        <w:rPr>
          <w:rFonts w:hint="eastAsia" w:hAnsi="宋体" w:cs="宋体"/>
          <w:color w:val="auto"/>
          <w:szCs w:val="24"/>
          <w:highlight w:val="none"/>
          <w:u w:val="single"/>
        </w:rPr>
        <w:t xml:space="preserve">      （加盖单位公章）      </w:t>
      </w:r>
    </w:p>
    <w:p w14:paraId="00C9258D">
      <w:pPr>
        <w:spacing w:line="280" w:lineRule="exact"/>
        <w:ind w:right="617" w:rightChars="257"/>
        <w:jc w:val="left"/>
        <w:rPr>
          <w:rFonts w:hAnsi="宋体" w:cs="宋体"/>
          <w:color w:val="auto"/>
          <w:szCs w:val="24"/>
          <w:highlight w:val="none"/>
        </w:rPr>
      </w:pPr>
    </w:p>
    <w:p w14:paraId="4536E98D">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法定代表人/授权代表签字</w:t>
      </w:r>
      <w:r>
        <w:rPr>
          <w:rFonts w:hint="eastAsia" w:hAnsi="宋体" w:cs="宋体"/>
          <w:color w:val="auto"/>
          <w:spacing w:val="4"/>
          <w:highlight w:val="none"/>
        </w:rPr>
        <w:t>或盖章</w:t>
      </w:r>
      <w:r>
        <w:rPr>
          <w:rFonts w:hint="eastAsia" w:hAnsi="宋体" w:cs="宋体"/>
          <w:color w:val="auto"/>
          <w:szCs w:val="24"/>
          <w:highlight w:val="none"/>
        </w:rPr>
        <w:t>：</w:t>
      </w:r>
    </w:p>
    <w:p w14:paraId="01E9C016">
      <w:pPr>
        <w:spacing w:line="280" w:lineRule="exact"/>
        <w:ind w:right="617" w:rightChars="257"/>
        <w:jc w:val="left"/>
        <w:rPr>
          <w:rFonts w:hAnsi="宋体" w:cs="宋体"/>
          <w:color w:val="auto"/>
          <w:szCs w:val="24"/>
          <w:highlight w:val="none"/>
        </w:rPr>
      </w:pPr>
    </w:p>
    <w:p w14:paraId="3AF4FE6F">
      <w:pPr>
        <w:spacing w:line="280" w:lineRule="exact"/>
        <w:ind w:right="617" w:rightChars="257"/>
        <w:rPr>
          <w:rFonts w:hAnsi="宋体" w:cs="宋体"/>
          <w:color w:val="auto"/>
          <w:szCs w:val="24"/>
          <w:highlight w:val="none"/>
        </w:rPr>
      </w:pPr>
      <w:r>
        <w:rPr>
          <w:rFonts w:hint="eastAsia" w:hAnsi="宋体" w:cs="宋体"/>
          <w:color w:val="auto"/>
          <w:szCs w:val="24"/>
          <w:highlight w:val="none"/>
        </w:rPr>
        <w:t>日    期：</w:t>
      </w:r>
    </w:p>
    <w:p w14:paraId="2F00B399">
      <w:pPr>
        <w:jc w:val="center"/>
        <w:rPr>
          <w:rFonts w:hAnsi="宋体" w:cs="宋体"/>
          <w:color w:val="auto"/>
          <w:szCs w:val="24"/>
          <w:highlight w:val="none"/>
        </w:rPr>
      </w:pPr>
    </w:p>
    <w:p w14:paraId="2ADCEE3A">
      <w:pPr>
        <w:spacing w:before="156" w:beforeLines="50" w:after="156" w:afterLines="50" w:line="400" w:lineRule="atLeast"/>
        <w:rPr>
          <w:rFonts w:hAnsi="宋体" w:cs="宋体"/>
          <w:b/>
          <w:color w:val="auto"/>
          <w:sz w:val="30"/>
          <w:szCs w:val="30"/>
          <w:highlight w:val="none"/>
        </w:rPr>
      </w:pPr>
      <w:r>
        <w:rPr>
          <w:rFonts w:hint="eastAsia" w:hAnsi="宋体" w:cs="宋体"/>
          <w:color w:val="auto"/>
          <w:szCs w:val="24"/>
          <w:highlight w:val="none"/>
        </w:rPr>
        <w:t>注：本表应按“供应商须知”的规定密封单独提交。若有折扣声明，请与本表一并装订和密封。严格按照表格格式报价。</w:t>
      </w:r>
    </w:p>
    <w:p w14:paraId="16B84304">
      <w:pPr>
        <w:jc w:val="center"/>
        <w:rPr>
          <w:rFonts w:hAnsi="宋体" w:cs="宋体"/>
          <w:b/>
          <w:color w:val="auto"/>
          <w:sz w:val="30"/>
          <w:szCs w:val="30"/>
          <w:highlight w:val="none"/>
        </w:rPr>
      </w:pPr>
      <w:r>
        <w:rPr>
          <w:rFonts w:hint="eastAsia" w:hAnsi="宋体" w:cs="宋体"/>
          <w:b/>
          <w:color w:val="auto"/>
          <w:sz w:val="30"/>
          <w:szCs w:val="30"/>
          <w:highlight w:val="none"/>
        </w:rPr>
        <w:br w:type="page"/>
      </w:r>
      <w:r>
        <w:rPr>
          <w:rFonts w:hint="eastAsia" w:hAnsi="宋体" w:cs="宋体"/>
          <w:b/>
          <w:color w:val="auto"/>
          <w:sz w:val="30"/>
          <w:szCs w:val="30"/>
          <w:highlight w:val="none"/>
        </w:rPr>
        <w:t>2.2分项报价表</w:t>
      </w:r>
    </w:p>
    <w:p w14:paraId="3905C2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s="宋体"/>
          <w:b/>
          <w:bCs/>
          <w:color w:val="auto"/>
          <w:highlight w:val="none"/>
          <w:lang w:val="en-US" w:eastAsia="zh-CN"/>
        </w:rPr>
      </w:pPr>
      <w:r>
        <w:rPr>
          <w:rFonts w:hint="eastAsia" w:hAnsi="宋体" w:cs="宋体"/>
          <w:b/>
          <w:bCs/>
          <w:color w:val="auto"/>
          <w:highlight w:val="none"/>
          <w:lang w:val="en-US" w:eastAsia="zh-CN"/>
        </w:rPr>
        <w:t>已标价的工程量清单</w:t>
      </w:r>
    </w:p>
    <w:p w14:paraId="2E6E32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hAnsi="宋体" w:eastAsia="宋体" w:cs="宋体"/>
          <w:b/>
          <w:bCs/>
          <w:color w:val="auto"/>
          <w:highlight w:val="none"/>
          <w:lang w:val="en-US" w:eastAsia="zh-CN"/>
        </w:rPr>
      </w:pPr>
      <w:r>
        <w:rPr>
          <w:rFonts w:hint="eastAsia" w:hAnsi="宋体" w:cs="宋体"/>
          <w:b/>
          <w:bCs/>
          <w:color w:val="auto"/>
          <w:highlight w:val="none"/>
          <w:lang w:val="en-US" w:eastAsia="zh-CN"/>
        </w:rPr>
        <w:t>（报价须加盖专业造价人员章）</w:t>
      </w:r>
    </w:p>
    <w:p w14:paraId="723B9737">
      <w:pPr>
        <w:jc w:val="center"/>
        <w:outlineLvl w:val="2"/>
        <w:rPr>
          <w:rFonts w:hAnsi="宋体" w:cs="宋体"/>
          <w:color w:val="auto"/>
          <w:sz w:val="32"/>
          <w:szCs w:val="32"/>
          <w:highlight w:val="none"/>
        </w:rPr>
      </w:pPr>
      <w:r>
        <w:rPr>
          <w:rFonts w:hint="eastAsia" w:hAnsi="宋体" w:cs="宋体"/>
          <w:b/>
          <w:color w:val="auto"/>
          <w:sz w:val="30"/>
          <w:szCs w:val="30"/>
          <w:highlight w:val="none"/>
        </w:rPr>
        <w:br w:type="page"/>
      </w:r>
      <w:bookmarkEnd w:id="625"/>
      <w:bookmarkStart w:id="628" w:name="_Toc344572163"/>
      <w:r>
        <w:rPr>
          <w:rFonts w:hint="eastAsia" w:hAnsi="宋体" w:cs="宋体"/>
          <w:b/>
          <w:bCs/>
          <w:color w:val="auto"/>
          <w:sz w:val="32"/>
          <w:szCs w:val="32"/>
          <w:highlight w:val="none"/>
        </w:rPr>
        <w:t>三、磋商方案说明书</w:t>
      </w:r>
    </w:p>
    <w:p w14:paraId="70A784AA">
      <w:pPr>
        <w:spacing w:line="580" w:lineRule="exact"/>
        <w:rPr>
          <w:color w:val="auto"/>
          <w:highlight w:val="none"/>
        </w:rPr>
      </w:pPr>
      <w:r>
        <w:rPr>
          <w:rFonts w:hint="eastAsia" w:hAnsi="宋体" w:cs="宋体"/>
          <w:color w:val="auto"/>
          <w:szCs w:val="24"/>
          <w:highlight w:val="none"/>
        </w:rPr>
        <w:t>1、按照磋商文件第三章评审办法的要求编制的磋商方案说明书：</w:t>
      </w:r>
    </w:p>
    <w:p w14:paraId="77670C05">
      <w:pPr>
        <w:spacing w:line="440" w:lineRule="exact"/>
        <w:ind w:left="3725" w:leftChars="1552"/>
        <w:rPr>
          <w:rFonts w:hAnsi="宋体" w:cs="宋体"/>
          <w:color w:val="auto"/>
          <w:szCs w:val="24"/>
          <w:highlight w:val="none"/>
        </w:rPr>
      </w:pPr>
    </w:p>
    <w:p w14:paraId="2203E5B0">
      <w:pPr>
        <w:spacing w:line="440" w:lineRule="exact"/>
        <w:ind w:left="3725" w:leftChars="1552"/>
        <w:rPr>
          <w:rFonts w:hAnsi="宋体" w:cs="宋体"/>
          <w:color w:val="auto"/>
          <w:szCs w:val="24"/>
          <w:highlight w:val="none"/>
        </w:rPr>
      </w:pPr>
    </w:p>
    <w:p w14:paraId="62E9AB1E">
      <w:pPr>
        <w:spacing w:line="440" w:lineRule="exact"/>
        <w:ind w:left="3725" w:leftChars="1552"/>
        <w:rPr>
          <w:rFonts w:hAnsi="宋体" w:cs="宋体"/>
          <w:color w:val="auto"/>
          <w:szCs w:val="24"/>
          <w:highlight w:val="none"/>
        </w:rPr>
      </w:pPr>
    </w:p>
    <w:p w14:paraId="14EC0C95">
      <w:pPr>
        <w:rPr>
          <w:color w:val="auto"/>
          <w:highlight w:val="none"/>
        </w:rPr>
        <w:sectPr>
          <w:headerReference r:id="rId9" w:type="default"/>
          <w:footerReference r:id="rId11" w:type="default"/>
          <w:headerReference r:id="rId10" w:type="even"/>
          <w:pgSz w:w="11906" w:h="16838"/>
          <w:pgMar w:top="1417" w:right="1417" w:bottom="1417" w:left="1417" w:header="851" w:footer="992" w:gutter="0"/>
          <w:pgNumType w:fmt="decimal"/>
          <w:cols w:space="720" w:num="1"/>
          <w:docGrid w:type="lines" w:linePitch="312" w:charSpace="0"/>
        </w:sectPr>
      </w:pPr>
      <w:r>
        <w:rPr>
          <w:rFonts w:hint="eastAsia"/>
          <w:color w:val="auto"/>
          <w:highlight w:val="none"/>
        </w:rPr>
        <w:t xml:space="preserve"> </w:t>
      </w:r>
    </w:p>
    <w:p w14:paraId="62FC11E4">
      <w:pPr>
        <w:spacing w:line="440" w:lineRule="exact"/>
        <w:rPr>
          <w:rFonts w:hAnsi="宋体" w:cs="宋体"/>
          <w:color w:val="auto"/>
          <w:szCs w:val="24"/>
          <w:highlight w:val="none"/>
        </w:rPr>
      </w:pPr>
    </w:p>
    <w:p w14:paraId="35069F33">
      <w:pPr>
        <w:spacing w:line="440" w:lineRule="exact"/>
        <w:jc w:val="center"/>
        <w:outlineLvl w:val="2"/>
        <w:rPr>
          <w:rFonts w:hAnsi="宋体" w:cs="宋体"/>
          <w:color w:val="auto"/>
          <w:sz w:val="32"/>
          <w:szCs w:val="32"/>
          <w:highlight w:val="none"/>
        </w:rPr>
      </w:pPr>
      <w:bookmarkStart w:id="629" w:name="_Toc9218"/>
      <w:bookmarkStart w:id="630" w:name="_Toc23455"/>
      <w:bookmarkStart w:id="631" w:name="_Toc1379"/>
      <w:bookmarkStart w:id="632" w:name="_Toc21284"/>
      <w:bookmarkStart w:id="633" w:name="_Toc2621"/>
      <w:r>
        <w:rPr>
          <w:rFonts w:hint="eastAsia" w:hAnsi="宋体" w:cs="宋体"/>
          <w:b/>
          <w:bCs/>
          <w:color w:val="auto"/>
          <w:sz w:val="32"/>
          <w:szCs w:val="32"/>
          <w:highlight w:val="none"/>
        </w:rPr>
        <w:t>四、</w:t>
      </w:r>
      <w:bookmarkEnd w:id="629"/>
      <w:bookmarkEnd w:id="630"/>
      <w:bookmarkEnd w:id="631"/>
      <w:bookmarkEnd w:id="632"/>
      <w:bookmarkEnd w:id="633"/>
      <w:r>
        <w:rPr>
          <w:rFonts w:hint="eastAsia" w:hAnsi="宋体" w:cs="宋体"/>
          <w:b/>
          <w:bCs/>
          <w:color w:val="auto"/>
          <w:sz w:val="32"/>
          <w:szCs w:val="32"/>
          <w:highlight w:val="none"/>
        </w:rPr>
        <w:t>商务条款偏离表</w:t>
      </w:r>
    </w:p>
    <w:p w14:paraId="5EAD6D24">
      <w:pPr>
        <w:pStyle w:val="21"/>
        <w:widowControl w:val="0"/>
        <w:spacing w:before="0" w:beforeAutospacing="0" w:after="0" w:afterAutospacing="0"/>
        <w:jc w:val="both"/>
        <w:rPr>
          <w:rFonts w:cs="宋体"/>
          <w:color w:val="auto"/>
          <w:highlight w:val="none"/>
        </w:rPr>
      </w:pPr>
    </w:p>
    <w:p w14:paraId="13B66C49">
      <w:pPr>
        <w:pStyle w:val="21"/>
        <w:widowControl w:val="0"/>
        <w:spacing w:before="156" w:beforeLines="50" w:beforeAutospacing="0" w:after="156" w:afterLines="50" w:afterAutospacing="0"/>
        <w:rPr>
          <w:rFonts w:cs="宋体"/>
          <w:color w:val="auto"/>
          <w:highlight w:val="none"/>
        </w:rPr>
      </w:pPr>
      <w:r>
        <w:rPr>
          <w:rFonts w:hint="eastAsia" w:cs="宋体"/>
          <w:color w:val="auto"/>
          <w:highlight w:val="none"/>
        </w:rPr>
        <w:t>项目名称：</w:t>
      </w:r>
    </w:p>
    <w:p w14:paraId="535B5BF5">
      <w:pPr>
        <w:pStyle w:val="21"/>
        <w:widowControl w:val="0"/>
        <w:spacing w:before="156" w:beforeLines="50" w:beforeAutospacing="0" w:after="156" w:afterLines="50" w:afterAutospacing="0"/>
        <w:rPr>
          <w:rFonts w:cs="宋体"/>
          <w:color w:val="auto"/>
          <w:highlight w:val="none"/>
          <w:u w:val="single"/>
        </w:rPr>
      </w:pPr>
      <w:r>
        <w:rPr>
          <w:rFonts w:hint="eastAsia" w:cs="宋体"/>
          <w:color w:val="auto"/>
          <w:highlight w:val="none"/>
        </w:rPr>
        <w:t>项目编号：</w:t>
      </w:r>
    </w:p>
    <w:p w14:paraId="233AF640">
      <w:pPr>
        <w:pStyle w:val="21"/>
        <w:widowControl w:val="0"/>
        <w:spacing w:before="0" w:beforeAutospacing="0" w:after="0" w:afterAutospacing="0"/>
        <w:ind w:firstLine="480" w:firstLineChars="200"/>
        <w:jc w:val="center"/>
        <w:rPr>
          <w:rFonts w:cs="宋体"/>
          <w:color w:val="auto"/>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649"/>
        <w:gridCol w:w="3013"/>
        <w:gridCol w:w="1428"/>
        <w:gridCol w:w="1253"/>
      </w:tblGrid>
      <w:tr w14:paraId="2659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33AF4B42">
            <w:pPr>
              <w:pStyle w:val="21"/>
              <w:widowControl w:val="0"/>
              <w:spacing w:before="0" w:beforeAutospacing="0" w:after="0" w:afterAutospacing="0"/>
              <w:jc w:val="center"/>
              <w:rPr>
                <w:rFonts w:cs="宋体"/>
                <w:color w:val="auto"/>
                <w:highlight w:val="none"/>
              </w:rPr>
            </w:pPr>
            <w:r>
              <w:rPr>
                <w:rFonts w:hint="eastAsia" w:cs="宋体"/>
                <w:color w:val="auto"/>
                <w:highlight w:val="none"/>
              </w:rPr>
              <w:t>序号</w:t>
            </w:r>
          </w:p>
        </w:tc>
        <w:tc>
          <w:tcPr>
            <w:tcW w:w="2649" w:type="dxa"/>
            <w:tcBorders>
              <w:top w:val="single" w:color="auto" w:sz="4" w:space="0"/>
              <w:left w:val="single" w:color="auto" w:sz="4" w:space="0"/>
              <w:bottom w:val="single" w:color="auto" w:sz="4" w:space="0"/>
              <w:right w:val="single" w:color="auto" w:sz="4" w:space="0"/>
            </w:tcBorders>
            <w:vAlign w:val="center"/>
          </w:tcPr>
          <w:p w14:paraId="32FF1796">
            <w:pPr>
              <w:pStyle w:val="21"/>
              <w:widowControl w:val="0"/>
              <w:spacing w:before="0" w:beforeAutospacing="0" w:after="0" w:afterAutospacing="0"/>
              <w:jc w:val="center"/>
              <w:rPr>
                <w:rFonts w:cs="宋体"/>
                <w:color w:val="auto"/>
                <w:highlight w:val="none"/>
              </w:rPr>
            </w:pPr>
            <w:r>
              <w:rPr>
                <w:rFonts w:hint="eastAsia" w:cs="宋体"/>
                <w:color w:val="auto"/>
                <w:highlight w:val="none"/>
              </w:rPr>
              <w:t>磋商文件的商务条款</w:t>
            </w:r>
          </w:p>
        </w:tc>
        <w:tc>
          <w:tcPr>
            <w:tcW w:w="3013" w:type="dxa"/>
            <w:tcBorders>
              <w:top w:val="single" w:color="auto" w:sz="4" w:space="0"/>
              <w:left w:val="single" w:color="auto" w:sz="4" w:space="0"/>
              <w:bottom w:val="single" w:color="auto" w:sz="4" w:space="0"/>
              <w:right w:val="single" w:color="auto" w:sz="4" w:space="0"/>
            </w:tcBorders>
            <w:vAlign w:val="center"/>
          </w:tcPr>
          <w:p w14:paraId="12B44222">
            <w:pPr>
              <w:pStyle w:val="21"/>
              <w:widowControl w:val="0"/>
              <w:spacing w:before="0" w:beforeAutospacing="0" w:after="0" w:afterAutospacing="0"/>
              <w:jc w:val="center"/>
              <w:rPr>
                <w:rFonts w:cs="宋体"/>
                <w:color w:val="auto"/>
                <w:highlight w:val="none"/>
              </w:rPr>
            </w:pPr>
            <w:r>
              <w:rPr>
                <w:rFonts w:hint="eastAsia" w:cs="宋体"/>
                <w:color w:val="auto"/>
                <w:highlight w:val="none"/>
              </w:rPr>
              <w:t>磋商响应文件的商务条款</w:t>
            </w:r>
          </w:p>
        </w:tc>
        <w:tc>
          <w:tcPr>
            <w:tcW w:w="1428" w:type="dxa"/>
            <w:tcBorders>
              <w:top w:val="single" w:color="auto" w:sz="4" w:space="0"/>
              <w:left w:val="single" w:color="auto" w:sz="4" w:space="0"/>
              <w:bottom w:val="single" w:color="auto" w:sz="4" w:space="0"/>
              <w:right w:val="single" w:color="auto" w:sz="4" w:space="0"/>
            </w:tcBorders>
            <w:vAlign w:val="center"/>
          </w:tcPr>
          <w:p w14:paraId="39E20BC7">
            <w:pPr>
              <w:pStyle w:val="21"/>
              <w:widowControl w:val="0"/>
              <w:spacing w:before="0" w:beforeAutospacing="0" w:after="0" w:afterAutospacing="0"/>
              <w:jc w:val="center"/>
              <w:rPr>
                <w:rFonts w:cs="宋体"/>
                <w:color w:val="auto"/>
                <w:highlight w:val="none"/>
              </w:rPr>
            </w:pPr>
            <w:r>
              <w:rPr>
                <w:rFonts w:hint="eastAsia" w:cs="宋体"/>
                <w:color w:val="auto"/>
                <w:highlight w:val="none"/>
              </w:rPr>
              <w:t>偏离</w:t>
            </w:r>
          </w:p>
        </w:tc>
        <w:tc>
          <w:tcPr>
            <w:tcW w:w="1253" w:type="dxa"/>
            <w:tcBorders>
              <w:top w:val="single" w:color="auto" w:sz="4" w:space="0"/>
              <w:left w:val="single" w:color="auto" w:sz="4" w:space="0"/>
              <w:bottom w:val="single" w:color="auto" w:sz="4" w:space="0"/>
              <w:right w:val="single" w:color="auto" w:sz="4" w:space="0"/>
            </w:tcBorders>
            <w:vAlign w:val="center"/>
          </w:tcPr>
          <w:p w14:paraId="01BEDF91">
            <w:pPr>
              <w:pStyle w:val="21"/>
              <w:widowControl w:val="0"/>
              <w:spacing w:before="0" w:beforeAutospacing="0" w:after="0" w:afterAutospacing="0"/>
              <w:jc w:val="center"/>
              <w:rPr>
                <w:rFonts w:cs="宋体"/>
                <w:color w:val="auto"/>
                <w:highlight w:val="none"/>
              </w:rPr>
            </w:pPr>
            <w:r>
              <w:rPr>
                <w:rFonts w:hint="eastAsia" w:cs="宋体"/>
                <w:color w:val="auto"/>
                <w:highlight w:val="none"/>
              </w:rPr>
              <w:t>说明</w:t>
            </w:r>
          </w:p>
        </w:tc>
      </w:tr>
      <w:tr w14:paraId="6CB2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8B80A62">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23541B7">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15530F1">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B754B27">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7EE77F8">
            <w:pPr>
              <w:pStyle w:val="21"/>
              <w:widowControl w:val="0"/>
              <w:spacing w:before="0" w:beforeAutospacing="0" w:after="0" w:afterAutospacing="0"/>
              <w:ind w:firstLine="480" w:firstLineChars="200"/>
              <w:jc w:val="center"/>
              <w:rPr>
                <w:rFonts w:cs="宋体"/>
                <w:color w:val="auto"/>
                <w:highlight w:val="none"/>
              </w:rPr>
            </w:pPr>
          </w:p>
        </w:tc>
      </w:tr>
      <w:tr w14:paraId="219D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DE807A3">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3770C9D9">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49A49C7">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C294275">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C1C3E28">
            <w:pPr>
              <w:pStyle w:val="21"/>
              <w:widowControl w:val="0"/>
              <w:spacing w:before="0" w:beforeAutospacing="0" w:after="0" w:afterAutospacing="0"/>
              <w:ind w:firstLine="480" w:firstLineChars="200"/>
              <w:jc w:val="center"/>
              <w:rPr>
                <w:rFonts w:cs="宋体"/>
                <w:color w:val="auto"/>
                <w:highlight w:val="none"/>
              </w:rPr>
            </w:pPr>
          </w:p>
        </w:tc>
      </w:tr>
      <w:tr w14:paraId="761B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18DFFFB3">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193D902">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7AC75B7D">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17B0ACA">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C633BC7">
            <w:pPr>
              <w:pStyle w:val="21"/>
              <w:widowControl w:val="0"/>
              <w:spacing w:before="0" w:beforeAutospacing="0" w:after="0" w:afterAutospacing="0"/>
              <w:ind w:firstLine="480" w:firstLineChars="200"/>
              <w:jc w:val="center"/>
              <w:rPr>
                <w:rFonts w:cs="宋体"/>
                <w:color w:val="auto"/>
                <w:highlight w:val="none"/>
              </w:rPr>
            </w:pPr>
          </w:p>
        </w:tc>
      </w:tr>
      <w:tr w14:paraId="1F0B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6D033507">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6201E670">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27493906">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52ABFAAC">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7360DB4C">
            <w:pPr>
              <w:pStyle w:val="21"/>
              <w:widowControl w:val="0"/>
              <w:spacing w:before="0" w:beforeAutospacing="0" w:after="0" w:afterAutospacing="0"/>
              <w:ind w:firstLine="480" w:firstLineChars="200"/>
              <w:jc w:val="center"/>
              <w:rPr>
                <w:rFonts w:cs="宋体"/>
                <w:color w:val="auto"/>
                <w:highlight w:val="none"/>
              </w:rPr>
            </w:pPr>
          </w:p>
        </w:tc>
      </w:tr>
      <w:tr w14:paraId="4AF7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E670C27">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5169111">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9925034">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259C6C99">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4FD39BCD">
            <w:pPr>
              <w:pStyle w:val="21"/>
              <w:widowControl w:val="0"/>
              <w:spacing w:before="0" w:beforeAutospacing="0" w:after="0" w:afterAutospacing="0"/>
              <w:ind w:firstLine="480" w:firstLineChars="200"/>
              <w:jc w:val="center"/>
              <w:rPr>
                <w:rFonts w:cs="宋体"/>
                <w:color w:val="auto"/>
                <w:highlight w:val="none"/>
              </w:rPr>
            </w:pPr>
          </w:p>
        </w:tc>
      </w:tr>
      <w:tr w14:paraId="3F5A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29FBB2B2">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554E2BE3">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1BABA00D">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3053BC9">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A9D7E37">
            <w:pPr>
              <w:pStyle w:val="21"/>
              <w:widowControl w:val="0"/>
              <w:spacing w:before="0" w:beforeAutospacing="0" w:after="0" w:afterAutospacing="0"/>
              <w:ind w:firstLine="480" w:firstLineChars="200"/>
              <w:jc w:val="center"/>
              <w:rPr>
                <w:rFonts w:cs="宋体"/>
                <w:color w:val="auto"/>
                <w:highlight w:val="none"/>
              </w:rPr>
            </w:pPr>
          </w:p>
        </w:tc>
      </w:tr>
      <w:tr w14:paraId="4205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05C02FD9">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357A4C8">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38474FDB">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4228D3ED">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106A0E90">
            <w:pPr>
              <w:pStyle w:val="21"/>
              <w:widowControl w:val="0"/>
              <w:spacing w:before="0" w:beforeAutospacing="0" w:after="0" w:afterAutospacing="0"/>
              <w:ind w:firstLine="480" w:firstLineChars="200"/>
              <w:jc w:val="center"/>
              <w:rPr>
                <w:rFonts w:cs="宋体"/>
                <w:color w:val="auto"/>
                <w:highlight w:val="none"/>
              </w:rPr>
            </w:pPr>
          </w:p>
        </w:tc>
      </w:tr>
    </w:tbl>
    <w:p w14:paraId="1619C529">
      <w:pPr>
        <w:pStyle w:val="21"/>
        <w:widowControl w:val="0"/>
        <w:spacing w:before="0" w:beforeAutospacing="0" w:after="0" w:afterAutospacing="0"/>
        <w:rPr>
          <w:rFonts w:cs="宋体"/>
          <w:color w:val="auto"/>
          <w:highlight w:val="none"/>
        </w:rPr>
      </w:pPr>
      <w:r>
        <w:rPr>
          <w:rFonts w:hint="eastAsia" w:cs="宋体"/>
          <w:color w:val="auto"/>
          <w:highlight w:val="none"/>
        </w:rPr>
        <w:t>说明：</w:t>
      </w:r>
    </w:p>
    <w:p w14:paraId="186095AE">
      <w:pPr>
        <w:pStyle w:val="21"/>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1.参照第四章合同条款要求内容进行响应。</w:t>
      </w:r>
    </w:p>
    <w:p w14:paraId="1A2C14D9">
      <w:pPr>
        <w:pStyle w:val="21"/>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2.本表只填写磋商响应文件中与磋商文件有偏离（包括正偏离和负偏离）的内容，磋商响应文件中商务响应与磋商文件要求完全一致的，不用在此表中列出，但必须提交空白表。</w:t>
      </w:r>
    </w:p>
    <w:p w14:paraId="4CEC4692">
      <w:pPr>
        <w:pStyle w:val="21"/>
        <w:widowControl w:val="0"/>
        <w:spacing w:before="0" w:beforeAutospacing="0" w:after="0" w:afterAutospacing="0"/>
        <w:ind w:firstLine="480" w:firstLineChars="200"/>
        <w:rPr>
          <w:rFonts w:cs="宋体"/>
          <w:color w:val="auto"/>
          <w:highlight w:val="none"/>
        </w:rPr>
      </w:pPr>
      <w:r>
        <w:rPr>
          <w:rFonts w:hint="eastAsia" w:cs="宋体"/>
          <w:color w:val="auto"/>
          <w:highlight w:val="none"/>
        </w:rPr>
        <w:t>2.供应商必须据实填写，不得虚假响应，否则将取消其磋商或成交资格，并按有关规定进处罚。</w:t>
      </w:r>
    </w:p>
    <w:p w14:paraId="522B829D">
      <w:pPr>
        <w:pStyle w:val="21"/>
        <w:widowControl w:val="0"/>
        <w:spacing w:before="0" w:beforeAutospacing="0" w:after="0" w:afterAutospacing="0"/>
        <w:ind w:firstLine="480" w:firstLineChars="200"/>
        <w:jc w:val="center"/>
        <w:rPr>
          <w:rFonts w:cs="宋体"/>
          <w:color w:val="auto"/>
          <w:highlight w:val="none"/>
        </w:rPr>
      </w:pPr>
    </w:p>
    <w:p w14:paraId="2687CFFE">
      <w:pPr>
        <w:pStyle w:val="21"/>
        <w:widowControl w:val="0"/>
        <w:spacing w:before="0" w:beforeAutospacing="0" w:after="0" w:afterAutospacing="0"/>
        <w:ind w:firstLine="480" w:firstLineChars="200"/>
        <w:rPr>
          <w:rFonts w:cs="宋体"/>
          <w:color w:val="auto"/>
          <w:highlight w:val="none"/>
        </w:rPr>
      </w:pPr>
      <w:r>
        <w:rPr>
          <w:rFonts w:hint="eastAsia" w:cs="宋体"/>
          <w:color w:val="auto"/>
          <w:highlight w:val="none"/>
        </w:rPr>
        <w:t>供应商名称：                         （单位公章）</w:t>
      </w:r>
    </w:p>
    <w:p w14:paraId="6F20FE32">
      <w:pPr>
        <w:pStyle w:val="21"/>
        <w:widowControl w:val="0"/>
        <w:spacing w:before="0" w:beforeAutospacing="0" w:after="0" w:afterAutospacing="0"/>
        <w:ind w:firstLine="480" w:firstLineChars="200"/>
        <w:jc w:val="center"/>
        <w:rPr>
          <w:rFonts w:cs="宋体"/>
          <w:color w:val="auto"/>
          <w:highlight w:val="none"/>
        </w:rPr>
      </w:pPr>
    </w:p>
    <w:p w14:paraId="67CF3910">
      <w:pPr>
        <w:spacing w:line="400" w:lineRule="exact"/>
        <w:ind w:firstLine="480" w:firstLineChars="200"/>
        <w:rPr>
          <w:rFonts w:hAnsi="宋体" w:cs="宋体"/>
          <w:color w:val="auto"/>
          <w:szCs w:val="24"/>
          <w:highlight w:val="none"/>
        </w:rPr>
      </w:pPr>
      <w:r>
        <w:rPr>
          <w:rFonts w:hint="eastAsia" w:hAnsi="宋体" w:cs="宋体"/>
          <w:color w:val="auto"/>
          <w:highlight w:val="none"/>
        </w:rPr>
        <w:t xml:space="preserve">法定代表人或委托代理人：              （签字或盖章） </w:t>
      </w:r>
    </w:p>
    <w:p w14:paraId="733C2F80">
      <w:pPr>
        <w:spacing w:line="360" w:lineRule="auto"/>
        <w:ind w:left="600" w:leftChars="250"/>
        <w:rPr>
          <w:rFonts w:hAnsi="宋体" w:cs="宋体"/>
          <w:b/>
          <w:bCs/>
          <w:color w:val="auto"/>
          <w:sz w:val="28"/>
          <w:szCs w:val="28"/>
          <w:highlight w:val="none"/>
        </w:rPr>
      </w:pPr>
    </w:p>
    <w:p w14:paraId="3405D1E8">
      <w:pPr>
        <w:spacing w:line="440" w:lineRule="exact"/>
        <w:ind w:left="3725" w:leftChars="1552"/>
        <w:rPr>
          <w:rFonts w:hAnsi="宋体" w:cs="宋体"/>
          <w:color w:val="auto"/>
          <w:szCs w:val="24"/>
          <w:highlight w:val="none"/>
        </w:rPr>
      </w:pPr>
    </w:p>
    <w:p w14:paraId="1134555D">
      <w:pPr>
        <w:spacing w:line="440" w:lineRule="exact"/>
        <w:ind w:left="3725" w:leftChars="1552"/>
        <w:rPr>
          <w:rFonts w:hAnsi="宋体" w:cs="宋体"/>
          <w:color w:val="auto"/>
          <w:szCs w:val="24"/>
          <w:highlight w:val="none"/>
        </w:rPr>
      </w:pPr>
    </w:p>
    <w:p w14:paraId="00CEA7AB">
      <w:pPr>
        <w:spacing w:line="440" w:lineRule="exact"/>
        <w:ind w:left="3725" w:leftChars="1552"/>
        <w:rPr>
          <w:rFonts w:hAnsi="宋体" w:cs="宋体"/>
          <w:color w:val="auto"/>
          <w:szCs w:val="24"/>
          <w:highlight w:val="none"/>
        </w:rPr>
      </w:pPr>
    </w:p>
    <w:bookmarkEnd w:id="628"/>
    <w:p w14:paraId="5AB88864">
      <w:pPr>
        <w:spacing w:line="360" w:lineRule="auto"/>
        <w:jc w:val="center"/>
        <w:outlineLvl w:val="2"/>
        <w:rPr>
          <w:rFonts w:hAnsi="宋体" w:cs="宋体"/>
          <w:b/>
          <w:bCs/>
          <w:color w:val="auto"/>
          <w:sz w:val="30"/>
          <w:szCs w:val="30"/>
          <w:highlight w:val="none"/>
        </w:rPr>
      </w:pPr>
      <w:bookmarkStart w:id="634" w:name="_Toc363474033"/>
      <w:bookmarkStart w:id="635" w:name="_Toc403077656"/>
      <w:r>
        <w:rPr>
          <w:rFonts w:hint="eastAsia" w:hAnsi="宋体" w:cs="宋体"/>
          <w:b/>
          <w:bCs/>
          <w:color w:val="auto"/>
          <w:sz w:val="30"/>
          <w:szCs w:val="30"/>
          <w:highlight w:val="none"/>
        </w:rPr>
        <w:br w:type="page"/>
      </w:r>
      <w:r>
        <w:rPr>
          <w:rFonts w:hint="eastAsia" w:hAnsi="宋体" w:cs="宋体"/>
          <w:b/>
          <w:bCs/>
          <w:color w:val="auto"/>
          <w:sz w:val="30"/>
          <w:szCs w:val="30"/>
          <w:highlight w:val="none"/>
        </w:rPr>
        <w:t>五、陕西省政府采购供应商拒绝政府采购领域商业贿赂承诺书</w:t>
      </w:r>
      <w:bookmarkEnd w:id="634"/>
      <w:bookmarkEnd w:id="635"/>
    </w:p>
    <w:p w14:paraId="4FD9D14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为响应党中央、国务院关于治理政府采购领域商业贿赂行为的号召，我公司在此庄严承诺：</w:t>
      </w:r>
    </w:p>
    <w:p w14:paraId="76A1E019">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1、在参与政府采购活动中遵纪守法、诚信经营、公平竞标。</w:t>
      </w:r>
    </w:p>
    <w:p w14:paraId="0B6076AA">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2、不向政府采购人、采购代理机构和政府采购评审专家进行任何形式的商业贿赂以谋取交易机会。</w:t>
      </w:r>
    </w:p>
    <w:p w14:paraId="0BF38FD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3、不向政府采购代理机构和采购人提供虚假资质文件或采用虚假应标方式参与政府采购市场竞争并谋取中标、成交。</w:t>
      </w:r>
    </w:p>
    <w:p w14:paraId="07CBDC17">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4、不采取“围标、陪标”等商业欺诈手段获得政府采购定单。</w:t>
      </w:r>
    </w:p>
    <w:p w14:paraId="77450F2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5、不采取不正当手段诋毁、排挤其他供应商。</w:t>
      </w:r>
    </w:p>
    <w:p w14:paraId="447CC91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6、不在提供商品和服务时“偷梁换柱、以次充好”损害采购人的合法权益。</w:t>
      </w:r>
    </w:p>
    <w:p w14:paraId="1B80A508">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7、不与采购人、采购代理机构政府采购评审专家或其它供应商恶意串通，进行质疑和投诉，维护政府采购市场秩序。</w:t>
      </w:r>
    </w:p>
    <w:p w14:paraId="3D59A91D">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8、尊重和接受政府采购监督管理部门的监督和政府采购代理机构招标采购要求，承担因违约行为给采购人造成的损失。</w:t>
      </w:r>
    </w:p>
    <w:p w14:paraId="257CC6C2">
      <w:pPr>
        <w:spacing w:line="600" w:lineRule="exact"/>
        <w:ind w:left="761" w:leftChars="267" w:hanging="120" w:hangingChars="50"/>
        <w:jc w:val="left"/>
        <w:rPr>
          <w:rFonts w:hAnsi="宋体" w:cs="宋体"/>
          <w:color w:val="auto"/>
          <w:szCs w:val="24"/>
          <w:highlight w:val="none"/>
        </w:rPr>
      </w:pPr>
      <w:r>
        <w:rPr>
          <w:rFonts w:hint="eastAsia" w:hAnsi="宋体" w:cs="宋体"/>
          <w:color w:val="auto"/>
          <w:szCs w:val="24"/>
          <w:highlight w:val="none"/>
        </w:rPr>
        <w:t>9、不发生其他有悖于政府采购公开、公平、公正和诚信原则的行为。</w:t>
      </w:r>
    </w:p>
    <w:p w14:paraId="48D1D791">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承诺单位（盖章）：</w:t>
      </w:r>
    </w:p>
    <w:p w14:paraId="3FA840DD">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全权代表（签字）：</w:t>
      </w:r>
    </w:p>
    <w:p w14:paraId="31B0C87D">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地    址：                                                       </w:t>
      </w:r>
    </w:p>
    <w:p w14:paraId="208FFD40">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邮    编：                                                       </w:t>
      </w:r>
    </w:p>
    <w:p w14:paraId="38D4767C">
      <w:pPr>
        <w:spacing w:line="600" w:lineRule="exact"/>
        <w:ind w:left="240" w:leftChars="100" w:firstLine="480" w:firstLineChars="200"/>
        <w:rPr>
          <w:rFonts w:hAnsi="宋体" w:cs="宋体"/>
          <w:color w:val="auto"/>
          <w:szCs w:val="24"/>
          <w:highlight w:val="none"/>
        </w:rPr>
      </w:pPr>
      <w:r>
        <w:rPr>
          <w:rFonts w:hint="eastAsia" w:hAnsi="宋体" w:cs="宋体"/>
          <w:color w:val="auto"/>
          <w:szCs w:val="24"/>
          <w:highlight w:val="none"/>
        </w:rPr>
        <w:t xml:space="preserve">电    话：                                                       </w:t>
      </w:r>
    </w:p>
    <w:p w14:paraId="52E8991F">
      <w:pPr>
        <w:spacing w:line="600" w:lineRule="exact"/>
        <w:ind w:left="754" w:leftChars="314" w:firstLine="5280" w:firstLineChars="2200"/>
        <w:jc w:val="left"/>
        <w:rPr>
          <w:rFonts w:hAnsi="宋体" w:cs="宋体"/>
          <w:color w:val="auto"/>
          <w:szCs w:val="24"/>
          <w:highlight w:val="none"/>
        </w:rPr>
      </w:pPr>
      <w:r>
        <w:rPr>
          <w:rFonts w:hint="eastAsia" w:hAnsi="宋体" w:cs="宋体"/>
          <w:color w:val="auto"/>
          <w:szCs w:val="24"/>
          <w:highlight w:val="none"/>
        </w:rPr>
        <w:t>年    月    日</w:t>
      </w:r>
    </w:p>
    <w:p w14:paraId="3C24C35C">
      <w:pPr>
        <w:jc w:val="center"/>
        <w:outlineLvl w:val="2"/>
        <w:rPr>
          <w:rFonts w:hAnsi="宋体" w:cs="宋体"/>
          <w:b/>
          <w:bCs/>
          <w:color w:val="auto"/>
          <w:sz w:val="30"/>
          <w:szCs w:val="30"/>
          <w:highlight w:val="none"/>
        </w:rPr>
      </w:pPr>
      <w:bookmarkStart w:id="636" w:name="_Toc363474034"/>
      <w:bookmarkStart w:id="637" w:name="_Toc403077657"/>
      <w:r>
        <w:rPr>
          <w:rFonts w:hint="eastAsia" w:hAnsi="宋体" w:cs="宋体"/>
          <w:b/>
          <w:bCs/>
          <w:color w:val="auto"/>
          <w:sz w:val="30"/>
          <w:szCs w:val="30"/>
          <w:highlight w:val="none"/>
        </w:rPr>
        <w:br w:type="page"/>
      </w:r>
      <w:r>
        <w:rPr>
          <w:rFonts w:hint="eastAsia" w:hAnsi="宋体" w:cs="宋体"/>
          <w:b/>
          <w:bCs/>
          <w:color w:val="auto"/>
          <w:sz w:val="30"/>
          <w:szCs w:val="30"/>
          <w:highlight w:val="none"/>
        </w:rPr>
        <w:t>六、特定资格证明文件</w:t>
      </w:r>
      <w:bookmarkEnd w:id="636"/>
      <w:bookmarkEnd w:id="637"/>
    </w:p>
    <w:p w14:paraId="27FDAD0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1、提供合格有效的法人或者其他组织的营业执照等证明文件，自然人的身份证明。</w:t>
      </w:r>
    </w:p>
    <w:p w14:paraId="78DE099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2、提供法定代表人授权书（附法定代表人、被授权人身份证复印件），（法定代表人直接参加磋商，须提供法定代表人身份证明）；</w:t>
      </w:r>
    </w:p>
    <w:p w14:paraId="42A3E651">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3、财务状况报告：提供2024年度的财务审计报告（成立时间至提交磋商响应文件截止时间不足一年的可提供成立后任意时段的资产负债表）需附审计报告二维码，或开标时间前六个月内银行出具的资信证明；</w:t>
      </w:r>
    </w:p>
    <w:p w14:paraId="24143D6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4、税收缴纳证明：提供磋商截止日前一年内已缴纳的至少一个月的纳税证明或完税证明（任意税种），依法免税的单位应提供相关证明材料；</w:t>
      </w:r>
    </w:p>
    <w:p w14:paraId="376D87E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5、社会保障资金缴纳证明：提供磋商截止日前一年内已缴存的至少一个月的社会保障资金缴存单据或社保机构开具的社会保险参保缴费情况证明，依法不需要缴纳社会保障资金的单位应提供相关证明材料；</w:t>
      </w:r>
    </w:p>
    <w:p w14:paraId="383505A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6、供应商须具备【机电施工总承包三级】及以上资质或【建筑机电安装工程专业承包三级】及以上资质，具有有效的安全生产许可证；；</w:t>
      </w:r>
    </w:p>
    <w:p w14:paraId="3092DF7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7、拟派项目经理具备【机电二级注册建造师】及以上执业资格，具备有效的安全生产考核合格证书，在本单位注册，且未担任其他在建工程项目的项目经理；</w:t>
      </w:r>
    </w:p>
    <w:p w14:paraId="6780DD9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8、提供具有履行本合同所必需的设备和专业技术能力的说明及承诺书；</w:t>
      </w:r>
    </w:p>
    <w:p w14:paraId="698901D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9、供应商应通过“信用中国”网站(www.creditchina.gov.cn)、中国政府采购网(www.ccgp.gov.cn)查询相关主体信用记录；</w:t>
      </w:r>
    </w:p>
    <w:p w14:paraId="4E6EFD8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10、参加政府采购活动前3年内，在经营活动中没有重大违法记录的书面声明；</w:t>
      </w:r>
    </w:p>
    <w:p w14:paraId="48FA9F91">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11、本项目不接受联合体磋商。</w:t>
      </w:r>
    </w:p>
    <w:p w14:paraId="2D78186C">
      <w:pPr>
        <w:jc w:val="center"/>
        <w:outlineLvl w:val="2"/>
        <w:rPr>
          <w:rFonts w:hAnsi="宋体" w:cs="宋体"/>
          <w:b/>
          <w:bCs/>
          <w:color w:val="auto"/>
          <w:sz w:val="30"/>
          <w:szCs w:val="30"/>
          <w:highlight w:val="none"/>
        </w:rPr>
      </w:pPr>
      <w:r>
        <w:rPr>
          <w:rFonts w:hint="eastAsia" w:hAnsi="宋体" w:cs="宋体"/>
          <w:color w:val="auto"/>
          <w:szCs w:val="24"/>
          <w:highlight w:val="none"/>
        </w:rPr>
        <w:br w:type="page"/>
      </w:r>
      <w:r>
        <w:rPr>
          <w:rFonts w:hint="eastAsia" w:hAnsi="宋体" w:cs="宋体"/>
          <w:b/>
          <w:bCs/>
          <w:color w:val="auto"/>
          <w:sz w:val="30"/>
          <w:szCs w:val="30"/>
          <w:highlight w:val="none"/>
        </w:rPr>
        <w:t>七、其它</w:t>
      </w:r>
    </w:p>
    <w:p w14:paraId="0F4837F7">
      <w:pPr>
        <w:pStyle w:val="9"/>
        <w:rPr>
          <w:rFonts w:ascii="宋体" w:hAnsi="宋体" w:cs="宋体"/>
          <w:color w:val="auto"/>
          <w:sz w:val="24"/>
          <w:szCs w:val="24"/>
          <w:highlight w:val="none"/>
        </w:rPr>
      </w:pPr>
      <w:r>
        <w:rPr>
          <w:rFonts w:hint="eastAsia" w:ascii="宋体" w:hAnsi="宋体" w:cs="宋体"/>
          <w:color w:val="auto"/>
          <w:sz w:val="24"/>
          <w:szCs w:val="24"/>
          <w:highlight w:val="none"/>
        </w:rPr>
        <w:t>1、依据竞争性磋商文件要求，供应商认为有必要说明的其他内容</w:t>
      </w:r>
    </w:p>
    <w:p w14:paraId="24F1D23B">
      <w:pPr>
        <w:pStyle w:val="9"/>
        <w:rPr>
          <w:rFonts w:ascii="宋体" w:hAnsi="宋体" w:cs="宋体"/>
          <w:color w:val="auto"/>
          <w:sz w:val="24"/>
          <w:szCs w:val="24"/>
          <w:highlight w:val="none"/>
        </w:rPr>
      </w:pPr>
      <w:r>
        <w:rPr>
          <w:rFonts w:hint="eastAsia" w:ascii="宋体" w:hAnsi="宋体" w:cs="宋体"/>
          <w:color w:val="auto"/>
          <w:sz w:val="24"/>
          <w:szCs w:val="24"/>
          <w:highlight w:val="none"/>
        </w:rPr>
        <w:t>2、其他可以证明供应商实力的文件。</w:t>
      </w:r>
    </w:p>
    <w:p w14:paraId="16D9D20C">
      <w:pPr>
        <w:spacing w:before="156" w:beforeLines="50" w:after="156" w:afterLines="50" w:line="500" w:lineRule="exact"/>
        <w:rPr>
          <w:rFonts w:hAnsi="宋体" w:cs="宋体"/>
          <w:b/>
          <w:color w:val="auto"/>
          <w:sz w:val="28"/>
          <w:szCs w:val="28"/>
          <w:highlight w:val="none"/>
        </w:rPr>
      </w:pPr>
      <w:r>
        <w:rPr>
          <w:rFonts w:hint="eastAsia" w:hAnsi="宋体" w:cs="宋体"/>
          <w:color w:val="auto"/>
          <w:szCs w:val="24"/>
          <w:highlight w:val="none"/>
        </w:rPr>
        <w:br w:type="page"/>
      </w:r>
      <w:r>
        <w:rPr>
          <w:rFonts w:hint="eastAsia" w:hAnsi="宋体" w:cs="宋体"/>
          <w:b/>
          <w:color w:val="auto"/>
          <w:sz w:val="28"/>
          <w:szCs w:val="28"/>
          <w:highlight w:val="none"/>
        </w:rPr>
        <w:t>附件1：</w:t>
      </w:r>
    </w:p>
    <w:p w14:paraId="3CCC6A54">
      <w:pPr>
        <w:keepNext/>
        <w:spacing w:before="312" w:beforeLines="100" w:line="360" w:lineRule="auto"/>
        <w:jc w:val="center"/>
        <w:rPr>
          <w:rFonts w:hAnsi="宋体" w:cs="宋体"/>
          <w:color w:val="auto"/>
          <w:sz w:val="32"/>
          <w:szCs w:val="32"/>
          <w:highlight w:val="none"/>
        </w:rPr>
      </w:pPr>
      <w:bookmarkStart w:id="638" w:name="_Toc363474028"/>
      <w:bookmarkStart w:id="639" w:name="_Toc403077649"/>
      <w:r>
        <w:rPr>
          <w:rFonts w:hint="eastAsia" w:hAnsi="宋体" w:cs="宋体"/>
          <w:color w:val="auto"/>
          <w:sz w:val="32"/>
          <w:szCs w:val="32"/>
          <w:highlight w:val="none"/>
        </w:rPr>
        <w:t>法定代表人身份证明/法定代表人授权书</w:t>
      </w:r>
      <w:bookmarkEnd w:id="638"/>
      <w:bookmarkEnd w:id="639"/>
    </w:p>
    <w:p w14:paraId="641B3E74">
      <w:pPr>
        <w:rPr>
          <w:rFonts w:hAnsi="宋体" w:cs="宋体"/>
          <w:b/>
          <w:bCs/>
          <w:color w:val="auto"/>
          <w:szCs w:val="32"/>
          <w:highlight w:val="none"/>
        </w:rPr>
      </w:pPr>
      <w:r>
        <w:rPr>
          <w:rFonts w:hint="eastAsia" w:hAnsi="宋体" w:cs="宋体"/>
          <w:color w:val="auto"/>
          <w:highlight w:val="none"/>
        </w:rPr>
        <w:t xml:space="preserve">      </w:t>
      </w:r>
      <w:r>
        <w:rPr>
          <w:rFonts w:hint="eastAsia" w:hAnsi="宋体" w:cs="宋体"/>
          <w:color w:val="auto"/>
          <w:szCs w:val="32"/>
          <w:highlight w:val="none"/>
        </w:rPr>
        <w:t xml:space="preserve"> </w:t>
      </w:r>
    </w:p>
    <w:p w14:paraId="5A8C9607">
      <w:pPr>
        <w:pStyle w:val="9"/>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法定代表人身份证明</w:t>
      </w:r>
    </w:p>
    <w:p w14:paraId="0088EB9F">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p>
    <w:p w14:paraId="4A97873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统一社会信用代码：</w:t>
      </w:r>
      <w:r>
        <w:rPr>
          <w:rFonts w:hint="eastAsia" w:hAnsi="宋体" w:cs="宋体"/>
          <w:color w:val="auto"/>
          <w:highlight w:val="none"/>
          <w:u w:val="single"/>
        </w:rPr>
        <w:t xml:space="preserve">                </w:t>
      </w:r>
    </w:p>
    <w:p w14:paraId="3D5479E7">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注册地址：</w:t>
      </w:r>
      <w:r>
        <w:rPr>
          <w:rFonts w:hint="eastAsia" w:hAnsi="宋体" w:cs="宋体"/>
          <w:color w:val="auto"/>
          <w:highlight w:val="none"/>
          <w:u w:val="single"/>
        </w:rPr>
        <w:t xml:space="preserve">                        </w:t>
      </w:r>
    </w:p>
    <w:p w14:paraId="211DDBAD">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成立时间：</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1D4896F4">
      <w:pPr>
        <w:autoSpaceDE w:val="0"/>
        <w:autoSpaceDN w:val="0"/>
        <w:adjustRightInd w:val="0"/>
        <w:snapToGrid w:val="0"/>
        <w:spacing w:before="156" w:beforeLines="50" w:line="360" w:lineRule="auto"/>
        <w:jc w:val="left"/>
        <w:rPr>
          <w:rFonts w:hAnsi="宋体" w:cs="宋体"/>
          <w:color w:val="auto"/>
          <w:highlight w:val="none"/>
          <w:u w:val="single"/>
        </w:rPr>
      </w:pPr>
      <w:r>
        <w:rPr>
          <w:rFonts w:hint="eastAsia" w:hAnsi="宋体" w:cs="宋体"/>
          <w:color w:val="auto"/>
          <w:highlight w:val="none"/>
        </w:rPr>
        <w:t>经营期限：</w:t>
      </w:r>
      <w:r>
        <w:rPr>
          <w:rFonts w:hint="eastAsia" w:hAnsi="宋体" w:cs="宋体"/>
          <w:color w:val="auto"/>
          <w:highlight w:val="none"/>
          <w:u w:val="single"/>
        </w:rPr>
        <w:t xml:space="preserve">                  </w:t>
      </w:r>
    </w:p>
    <w:p w14:paraId="2D35110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姓名：</w:t>
      </w:r>
      <w:r>
        <w:rPr>
          <w:rFonts w:hint="eastAsia" w:hAnsi="宋体" w:cs="宋体"/>
          <w:color w:val="auto"/>
          <w:highlight w:val="none"/>
          <w:u w:val="single"/>
        </w:rPr>
        <w:t xml:space="preserve">      </w:t>
      </w:r>
      <w:r>
        <w:rPr>
          <w:rFonts w:hint="eastAsia" w:hAnsi="宋体" w:cs="宋体"/>
          <w:color w:val="auto"/>
          <w:highlight w:val="none"/>
        </w:rPr>
        <w:t xml:space="preserve"> 性别：</w:t>
      </w:r>
      <w:r>
        <w:rPr>
          <w:rFonts w:hint="eastAsia" w:hAnsi="宋体" w:cs="宋体"/>
          <w:color w:val="auto"/>
          <w:highlight w:val="none"/>
          <w:u w:val="single"/>
        </w:rPr>
        <w:t xml:space="preserve">   </w:t>
      </w:r>
      <w:r>
        <w:rPr>
          <w:rFonts w:hint="eastAsia" w:hAnsi="宋体" w:cs="宋体"/>
          <w:color w:val="auto"/>
          <w:highlight w:val="none"/>
        </w:rPr>
        <w:t>年龄：</w:t>
      </w:r>
      <w:r>
        <w:rPr>
          <w:rFonts w:hint="eastAsia" w:hAnsi="宋体" w:cs="宋体"/>
          <w:color w:val="auto"/>
          <w:highlight w:val="none"/>
          <w:u w:val="single"/>
        </w:rPr>
        <w:t xml:space="preserve">   </w:t>
      </w:r>
      <w:r>
        <w:rPr>
          <w:rFonts w:hint="eastAsia" w:hAnsi="宋体" w:cs="宋体"/>
          <w:color w:val="auto"/>
          <w:highlight w:val="none"/>
        </w:rPr>
        <w:t>系</w:t>
      </w:r>
      <w:r>
        <w:rPr>
          <w:rFonts w:hint="eastAsia" w:hAnsi="宋体" w:cs="宋体"/>
          <w:color w:val="auto"/>
          <w:highlight w:val="none"/>
          <w:u w:val="single"/>
        </w:rPr>
        <w:t xml:space="preserve">            </w:t>
      </w:r>
      <w:r>
        <w:rPr>
          <w:rFonts w:hint="eastAsia" w:hAnsi="宋体" w:cs="宋体"/>
          <w:color w:val="auto"/>
          <w:highlight w:val="none"/>
        </w:rPr>
        <w:t>（供应商名称）的法定代表人。</w:t>
      </w:r>
    </w:p>
    <w:p w14:paraId="2336E77E">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特此证明。</w:t>
      </w:r>
    </w:p>
    <w:p w14:paraId="675FEC15">
      <w:pPr>
        <w:autoSpaceDE w:val="0"/>
        <w:autoSpaceDN w:val="0"/>
        <w:adjustRightInd w:val="0"/>
        <w:snapToGrid w:val="0"/>
        <w:spacing w:before="156" w:beforeLines="50" w:line="360" w:lineRule="auto"/>
        <w:jc w:val="left"/>
        <w:rPr>
          <w:rFonts w:hAnsi="宋体" w:cs="宋体"/>
          <w:color w:val="auto"/>
          <w:szCs w:val="21"/>
          <w:highlight w:val="none"/>
        </w:rPr>
      </w:pPr>
      <w:r>
        <w:rPr>
          <w:rFonts w:hint="eastAsia" w:hAnsi="宋体" w:cs="宋体"/>
          <w:color w:val="auto"/>
          <w:szCs w:val="21"/>
          <w:highlight w:val="none"/>
        </w:rPr>
        <w:t>附：法定代表人身份证复印件</w:t>
      </w:r>
    </w:p>
    <w:tbl>
      <w:tblPr>
        <w:tblStyle w:val="25"/>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3804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071DA80F">
            <w:pPr>
              <w:snapToGrid w:val="0"/>
              <w:spacing w:line="480" w:lineRule="auto"/>
              <w:jc w:val="center"/>
              <w:rPr>
                <w:rFonts w:hAnsi="宋体" w:cs="宋体"/>
                <w:color w:val="auto"/>
                <w:szCs w:val="21"/>
                <w:highlight w:val="none"/>
              </w:rPr>
            </w:pPr>
          </w:p>
          <w:p w14:paraId="201C020F">
            <w:pPr>
              <w:snapToGrid w:val="0"/>
              <w:spacing w:line="480" w:lineRule="auto"/>
              <w:jc w:val="center"/>
              <w:rPr>
                <w:rFonts w:hAnsi="宋体" w:cs="宋体"/>
                <w:color w:val="auto"/>
                <w:szCs w:val="21"/>
                <w:highlight w:val="none"/>
              </w:rPr>
            </w:pPr>
          </w:p>
          <w:p w14:paraId="4BF619B7">
            <w:pPr>
              <w:autoSpaceDE w:val="0"/>
              <w:autoSpaceDN w:val="0"/>
              <w:adjustRightInd w:val="0"/>
              <w:snapToGrid w:val="0"/>
              <w:spacing w:before="156" w:beforeLines="50" w:line="360" w:lineRule="auto"/>
              <w:jc w:val="center"/>
              <w:rPr>
                <w:rFonts w:hAnsi="宋体" w:cs="宋体"/>
                <w:color w:val="auto"/>
                <w:szCs w:val="21"/>
                <w:highlight w:val="none"/>
              </w:rPr>
            </w:pPr>
            <w:r>
              <w:rPr>
                <w:rFonts w:hint="eastAsia" w:hAnsi="宋体" w:cs="宋体"/>
                <w:color w:val="auto"/>
                <w:szCs w:val="21"/>
                <w:highlight w:val="none"/>
              </w:rPr>
              <w:t>法定代表人身份证复印件粘贴处</w:t>
            </w:r>
          </w:p>
          <w:p w14:paraId="68F87E99">
            <w:pPr>
              <w:pStyle w:val="9"/>
              <w:jc w:val="center"/>
              <w:rPr>
                <w:rFonts w:ascii="宋体" w:hAnsi="宋体" w:cs="宋体"/>
                <w:color w:val="auto"/>
                <w:highlight w:val="none"/>
              </w:rPr>
            </w:pPr>
            <w:r>
              <w:rPr>
                <w:rFonts w:hint="eastAsia" w:ascii="宋体" w:hAnsi="宋体" w:cs="宋体"/>
                <w:color w:val="auto"/>
                <w:szCs w:val="21"/>
                <w:highlight w:val="none"/>
              </w:rPr>
              <w:t>（正反面）</w:t>
            </w:r>
          </w:p>
          <w:p w14:paraId="6157AB31">
            <w:pPr>
              <w:snapToGrid w:val="0"/>
              <w:spacing w:line="480" w:lineRule="auto"/>
              <w:jc w:val="center"/>
              <w:rPr>
                <w:rFonts w:hAnsi="宋体" w:cs="宋体"/>
                <w:color w:val="auto"/>
                <w:szCs w:val="21"/>
                <w:highlight w:val="none"/>
              </w:rPr>
            </w:pPr>
          </w:p>
          <w:p w14:paraId="2394CE61">
            <w:pPr>
              <w:snapToGrid w:val="0"/>
              <w:spacing w:line="480" w:lineRule="auto"/>
              <w:jc w:val="center"/>
              <w:rPr>
                <w:rFonts w:hAnsi="宋体" w:cs="宋体"/>
                <w:color w:val="auto"/>
                <w:szCs w:val="21"/>
                <w:highlight w:val="none"/>
              </w:rPr>
            </w:pPr>
          </w:p>
        </w:tc>
      </w:tr>
    </w:tbl>
    <w:p w14:paraId="5487CE4C">
      <w:pPr>
        <w:snapToGrid w:val="0"/>
        <w:spacing w:line="480" w:lineRule="auto"/>
        <w:rPr>
          <w:rFonts w:hAnsi="宋体" w:cs="宋体"/>
          <w:color w:val="auto"/>
          <w:szCs w:val="21"/>
          <w:highlight w:val="none"/>
        </w:rPr>
      </w:pPr>
    </w:p>
    <w:p w14:paraId="6B6DE3C6">
      <w:pPr>
        <w:snapToGrid w:val="0"/>
        <w:rPr>
          <w:rFonts w:hAnsi="宋体" w:cs="宋体"/>
          <w:color w:val="auto"/>
          <w:szCs w:val="21"/>
          <w:highlight w:val="none"/>
        </w:rPr>
      </w:pPr>
    </w:p>
    <w:p w14:paraId="38B0CEF7">
      <w:pPr>
        <w:snapToGrid w:val="0"/>
        <w:rPr>
          <w:rFonts w:hAnsi="宋体" w:cs="宋体"/>
          <w:color w:val="auto"/>
          <w:szCs w:val="21"/>
          <w:highlight w:val="none"/>
        </w:rPr>
      </w:pPr>
    </w:p>
    <w:p w14:paraId="2F3CFE3A">
      <w:pPr>
        <w:snapToGrid w:val="0"/>
        <w:rPr>
          <w:rFonts w:hAnsi="宋体" w:cs="宋体"/>
          <w:color w:val="auto"/>
          <w:szCs w:val="21"/>
          <w:highlight w:val="none"/>
        </w:rPr>
      </w:pPr>
    </w:p>
    <w:p w14:paraId="444EFFE5">
      <w:pPr>
        <w:snapToGrid w:val="0"/>
        <w:rPr>
          <w:rFonts w:hAnsi="宋体" w:cs="宋体"/>
          <w:color w:val="auto"/>
          <w:szCs w:val="21"/>
          <w:highlight w:val="none"/>
        </w:rPr>
      </w:pPr>
    </w:p>
    <w:p w14:paraId="330D86EF">
      <w:pPr>
        <w:adjustRightInd w:val="0"/>
        <w:snapToGrid w:val="0"/>
        <w:spacing w:line="360" w:lineRule="auto"/>
        <w:rPr>
          <w:rFonts w:hAnsi="宋体" w:cs="宋体"/>
          <w:color w:val="auto"/>
          <w:highlight w:val="none"/>
        </w:rPr>
      </w:pPr>
    </w:p>
    <w:p w14:paraId="4492D0C9">
      <w:pPr>
        <w:adjustRightInd w:val="0"/>
        <w:snapToGrid w:val="0"/>
        <w:spacing w:line="360" w:lineRule="auto"/>
        <w:ind w:right="420"/>
        <w:rPr>
          <w:rFonts w:hAnsi="宋体" w:cs="宋体"/>
          <w:color w:val="auto"/>
          <w:highlight w:val="none"/>
        </w:rPr>
      </w:pPr>
    </w:p>
    <w:p w14:paraId="1D778B64">
      <w:pPr>
        <w:adjustRightInd w:val="0"/>
        <w:snapToGrid w:val="0"/>
        <w:spacing w:line="360" w:lineRule="auto"/>
        <w:ind w:right="420"/>
        <w:rPr>
          <w:rFonts w:hAnsi="宋体" w:cs="宋体"/>
          <w:color w:val="auto"/>
          <w:highlight w:val="none"/>
        </w:rPr>
      </w:pPr>
    </w:p>
    <w:p w14:paraId="1985AE7B">
      <w:pPr>
        <w:adjustRightInd w:val="0"/>
        <w:snapToGrid w:val="0"/>
        <w:spacing w:line="360" w:lineRule="auto"/>
        <w:ind w:right="420"/>
        <w:rPr>
          <w:rFonts w:hAnsi="宋体" w:cs="宋体"/>
          <w:color w:val="auto"/>
          <w:highlight w:val="none"/>
        </w:rPr>
      </w:pPr>
    </w:p>
    <w:p w14:paraId="4A335CAA">
      <w:pPr>
        <w:adjustRightInd w:val="0"/>
        <w:snapToGrid w:val="0"/>
        <w:spacing w:line="360" w:lineRule="auto"/>
        <w:ind w:right="420"/>
        <w:rPr>
          <w:rFonts w:hAnsi="宋体" w:cs="宋体"/>
          <w:color w:val="auto"/>
          <w:highlight w:val="none"/>
        </w:rPr>
      </w:pPr>
    </w:p>
    <w:p w14:paraId="325D47C7">
      <w:pPr>
        <w:adjustRightInd w:val="0"/>
        <w:snapToGrid w:val="0"/>
        <w:spacing w:line="360" w:lineRule="auto"/>
        <w:ind w:right="420"/>
        <w:rPr>
          <w:rFonts w:hAnsi="宋体" w:cs="宋体"/>
          <w:color w:val="auto"/>
          <w:highlight w:val="none"/>
        </w:rPr>
      </w:pPr>
      <w:r>
        <w:rPr>
          <w:rFonts w:hint="eastAsia" w:hAnsi="宋体" w:cs="宋体"/>
          <w:color w:val="auto"/>
          <w:highlight w:val="none"/>
        </w:rPr>
        <w:t>供应商名称（公章）：</w:t>
      </w:r>
    </w:p>
    <w:p w14:paraId="28DE523C">
      <w:pPr>
        <w:adjustRightInd w:val="0"/>
        <w:snapToGrid w:val="0"/>
        <w:spacing w:line="360" w:lineRule="auto"/>
        <w:ind w:right="420"/>
        <w:rPr>
          <w:rFonts w:hAnsi="宋体" w:cs="宋体"/>
          <w:color w:val="auto"/>
          <w:highlight w:val="none"/>
        </w:rPr>
      </w:pPr>
      <w:r>
        <w:rPr>
          <w:rFonts w:hint="eastAsia" w:hAnsi="宋体" w:cs="宋体"/>
          <w:color w:val="auto"/>
          <w:highlight w:val="none"/>
        </w:rPr>
        <w:t>日期：    年  月  日</w:t>
      </w:r>
    </w:p>
    <w:p w14:paraId="35859F8C">
      <w:pPr>
        <w:pStyle w:val="9"/>
        <w:rPr>
          <w:rFonts w:ascii="宋体" w:hAnsi="宋体" w:cs="宋体"/>
          <w:color w:val="auto"/>
          <w:highlight w:val="none"/>
        </w:rPr>
      </w:pPr>
    </w:p>
    <w:p w14:paraId="1A6856B2">
      <w:pPr>
        <w:spacing w:line="360" w:lineRule="auto"/>
        <w:jc w:val="left"/>
        <w:rPr>
          <w:rFonts w:hAnsi="宋体" w:cs="宋体"/>
          <w:color w:val="auto"/>
          <w:spacing w:val="4"/>
          <w:szCs w:val="24"/>
          <w:highlight w:val="none"/>
        </w:rPr>
      </w:pPr>
    </w:p>
    <w:p w14:paraId="78AFBF6F">
      <w:pPr>
        <w:keepNext/>
        <w:spacing w:before="312" w:beforeLines="100"/>
        <w:jc w:val="center"/>
        <w:rPr>
          <w:rFonts w:hAnsi="宋体" w:cs="宋体"/>
          <w:b/>
          <w:bCs/>
          <w:color w:val="auto"/>
          <w:sz w:val="32"/>
          <w:szCs w:val="32"/>
          <w:highlight w:val="none"/>
        </w:rPr>
      </w:pPr>
      <w:r>
        <w:rPr>
          <w:rFonts w:hint="eastAsia" w:hAnsi="宋体" w:cs="宋体"/>
          <w:b/>
          <w:bCs/>
          <w:color w:val="auto"/>
          <w:sz w:val="32"/>
          <w:szCs w:val="32"/>
          <w:highlight w:val="none"/>
        </w:rPr>
        <w:t>法定代表人授权书</w:t>
      </w:r>
    </w:p>
    <w:p w14:paraId="63D90DCF">
      <w:pPr>
        <w:spacing w:line="500" w:lineRule="exact"/>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rPr>
        <w:t xml:space="preserve">陕西至诚项目管理集团有限公司 </w:t>
      </w:r>
    </w:p>
    <w:p w14:paraId="7C9977FF">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u w:val="single"/>
        </w:rPr>
        <w:t>(供应商名称)</w:t>
      </w:r>
      <w:r>
        <w:rPr>
          <w:rFonts w:hint="eastAsia" w:hAnsi="宋体" w:cs="宋体"/>
          <w:color w:val="auto"/>
          <w:spacing w:val="4"/>
          <w:szCs w:val="24"/>
          <w:highlight w:val="none"/>
        </w:rPr>
        <w:t>按中华人民共和国法律于</w:t>
      </w:r>
      <w:r>
        <w:rPr>
          <w:rFonts w:hint="eastAsia" w:hAnsi="宋体" w:cs="宋体"/>
          <w:color w:val="auto"/>
          <w:spacing w:val="4"/>
          <w:szCs w:val="24"/>
          <w:highlight w:val="none"/>
          <w:u w:val="single"/>
        </w:rPr>
        <w:t>（  年  月  日 ）</w:t>
      </w:r>
      <w:r>
        <w:rPr>
          <w:rFonts w:hint="eastAsia" w:hAnsi="宋体" w:cs="宋体"/>
          <w:color w:val="auto"/>
          <w:spacing w:val="4"/>
          <w:szCs w:val="24"/>
          <w:highlight w:val="none"/>
        </w:rPr>
        <w:t>成立。</w:t>
      </w:r>
      <w:r>
        <w:rPr>
          <w:rFonts w:hint="eastAsia" w:hAnsi="宋体" w:cs="宋体"/>
          <w:color w:val="auto"/>
          <w:spacing w:val="4"/>
          <w:szCs w:val="24"/>
          <w:highlight w:val="none"/>
          <w:u w:val="single"/>
        </w:rPr>
        <w:t>(法定代表人姓名)</w:t>
      </w:r>
      <w:r>
        <w:rPr>
          <w:rFonts w:hint="eastAsia" w:hAnsi="宋体" w:cs="宋体"/>
          <w:color w:val="auto"/>
          <w:spacing w:val="4"/>
          <w:szCs w:val="24"/>
          <w:highlight w:val="none"/>
        </w:rPr>
        <w:t>特授权</w:t>
      </w:r>
      <w:r>
        <w:rPr>
          <w:rFonts w:hint="eastAsia" w:hAnsi="宋体" w:cs="宋体"/>
          <w:color w:val="auto"/>
          <w:spacing w:val="4"/>
          <w:szCs w:val="24"/>
          <w:highlight w:val="none"/>
          <w:u w:val="single"/>
        </w:rPr>
        <w:t xml:space="preserve">（ </w:t>
      </w:r>
      <w:r>
        <w:rPr>
          <w:rFonts w:hint="eastAsia" w:hAnsi="宋体" w:cs="宋体"/>
          <w:color w:val="auto"/>
          <w:szCs w:val="24"/>
          <w:highlight w:val="none"/>
          <w:u w:val="single"/>
        </w:rPr>
        <w:t>授权代表</w:t>
      </w:r>
      <w:r>
        <w:rPr>
          <w:rFonts w:hint="eastAsia" w:hAnsi="宋体" w:cs="宋体"/>
          <w:color w:val="auto"/>
          <w:spacing w:val="4"/>
          <w:szCs w:val="24"/>
          <w:highlight w:val="none"/>
          <w:u w:val="single"/>
        </w:rPr>
        <w:t>姓名 ）</w:t>
      </w:r>
      <w:r>
        <w:rPr>
          <w:rFonts w:hint="eastAsia" w:hAnsi="宋体" w:cs="宋体"/>
          <w:color w:val="auto"/>
          <w:spacing w:val="4"/>
          <w:szCs w:val="24"/>
          <w:highlight w:val="none"/>
        </w:rPr>
        <w:t xml:space="preserve">代表我公司全权办理针对本次 </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项目的磋商、签约等具体工作，并签署全部有关的文件、协议及合同。</w:t>
      </w:r>
    </w:p>
    <w:p w14:paraId="5C1554EB">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我公司对</w:t>
      </w:r>
      <w:r>
        <w:rPr>
          <w:rFonts w:hint="eastAsia" w:hAnsi="宋体" w:cs="宋体"/>
          <w:color w:val="auto"/>
          <w:szCs w:val="24"/>
          <w:highlight w:val="none"/>
        </w:rPr>
        <w:t>授权代表</w:t>
      </w:r>
      <w:r>
        <w:rPr>
          <w:rFonts w:hint="eastAsia" w:hAnsi="宋体" w:cs="宋体"/>
          <w:color w:val="auto"/>
          <w:spacing w:val="4"/>
          <w:szCs w:val="24"/>
          <w:highlight w:val="none"/>
        </w:rPr>
        <w:t>的签名负全部责任。</w:t>
      </w:r>
    </w:p>
    <w:p w14:paraId="06708542">
      <w:pPr>
        <w:spacing w:line="500" w:lineRule="exact"/>
        <w:ind w:right="617" w:rightChars="257" w:firstLine="480" w:firstLineChars="200"/>
        <w:jc w:val="left"/>
        <w:rPr>
          <w:rFonts w:hAnsi="宋体" w:cs="宋体"/>
          <w:color w:val="auto"/>
          <w:szCs w:val="24"/>
          <w:highlight w:val="none"/>
        </w:rPr>
      </w:pPr>
      <w:r>
        <w:rPr>
          <w:rFonts w:hint="eastAsia" w:hAnsi="宋体" w:cs="宋体"/>
          <w:color w:val="auto"/>
          <w:szCs w:val="24"/>
          <w:highlight w:val="none"/>
        </w:rPr>
        <w:t>委托期限：</w:t>
      </w:r>
      <w:r>
        <w:rPr>
          <w:rFonts w:hint="eastAsia" w:hAnsi="宋体" w:cs="宋体"/>
          <w:color w:val="auto"/>
          <w:szCs w:val="24"/>
          <w:highlight w:val="none"/>
          <w:lang w:val="zh-CN"/>
        </w:rPr>
        <w:t>自磋商之日起</w:t>
      </w:r>
      <w:r>
        <w:rPr>
          <w:rFonts w:hint="eastAsia" w:hAnsi="宋体" w:cs="宋体"/>
          <w:color w:val="auto"/>
          <w:szCs w:val="24"/>
          <w:highlight w:val="none"/>
          <w:u w:val="single"/>
        </w:rPr>
        <w:t>90</w:t>
      </w:r>
      <w:r>
        <w:rPr>
          <w:rFonts w:hint="eastAsia" w:hAnsi="宋体" w:cs="宋体"/>
          <w:color w:val="auto"/>
          <w:szCs w:val="24"/>
          <w:highlight w:val="none"/>
          <w:lang w:val="zh-CN"/>
        </w:rPr>
        <w:t>天。</w:t>
      </w:r>
    </w:p>
    <w:p w14:paraId="014B1504">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本授权书于</w:t>
      </w:r>
      <w:r>
        <w:rPr>
          <w:rFonts w:hint="eastAsia" w:hAnsi="宋体" w:cs="宋体"/>
          <w:color w:val="auto"/>
          <w:spacing w:val="4"/>
          <w:szCs w:val="24"/>
          <w:highlight w:val="none"/>
          <w:u w:val="single"/>
        </w:rPr>
        <w:t xml:space="preserve">      年   月   日</w:t>
      </w:r>
      <w:r>
        <w:rPr>
          <w:rFonts w:hint="eastAsia" w:hAnsi="宋体" w:cs="宋体"/>
          <w:color w:val="auto"/>
          <w:spacing w:val="4"/>
          <w:szCs w:val="24"/>
          <w:highlight w:val="none"/>
        </w:rPr>
        <w:t>签字生效，特此证明。</w:t>
      </w:r>
    </w:p>
    <w:p w14:paraId="6C2BAD31">
      <w:pPr>
        <w:spacing w:line="360" w:lineRule="auto"/>
        <w:ind w:firstLine="496" w:firstLineChars="200"/>
        <w:jc w:val="left"/>
        <w:rPr>
          <w:rFonts w:hAnsi="宋体" w:cs="宋体"/>
          <w:color w:val="auto"/>
          <w:spacing w:val="4"/>
          <w:szCs w:val="24"/>
          <w:highlight w:val="none"/>
        </w:rPr>
      </w:pPr>
    </w:p>
    <w:tbl>
      <w:tblPr>
        <w:tblStyle w:val="25"/>
        <w:tblW w:w="0" w:type="auto"/>
        <w:tblInd w:w="633" w:type="dxa"/>
        <w:tblLayout w:type="fixed"/>
        <w:tblCellMar>
          <w:top w:w="0" w:type="dxa"/>
          <w:left w:w="108" w:type="dxa"/>
          <w:bottom w:w="0" w:type="dxa"/>
          <w:right w:w="108" w:type="dxa"/>
        </w:tblCellMar>
      </w:tblPr>
      <w:tblGrid>
        <w:gridCol w:w="4200"/>
        <w:gridCol w:w="3990"/>
      </w:tblGrid>
      <w:tr w14:paraId="20034DFE">
        <w:tblPrEx>
          <w:tblCellMar>
            <w:top w:w="0" w:type="dxa"/>
            <w:left w:w="108" w:type="dxa"/>
            <w:bottom w:w="0" w:type="dxa"/>
            <w:right w:w="108" w:type="dxa"/>
          </w:tblCellMar>
        </w:tblPrEx>
        <w:trPr>
          <w:trHeight w:val="600" w:hRule="atLeast"/>
        </w:trPr>
        <w:tc>
          <w:tcPr>
            <w:tcW w:w="4200" w:type="dxa"/>
          </w:tcPr>
          <w:p w14:paraId="5081CDB9">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被授权人签字或盖章：</w:t>
            </w:r>
          </w:p>
        </w:tc>
        <w:tc>
          <w:tcPr>
            <w:tcW w:w="3990" w:type="dxa"/>
          </w:tcPr>
          <w:p w14:paraId="5524B154">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法定代表人签字或盖章：</w:t>
            </w:r>
          </w:p>
        </w:tc>
      </w:tr>
      <w:tr w14:paraId="001429DF">
        <w:tblPrEx>
          <w:tblCellMar>
            <w:top w:w="0" w:type="dxa"/>
            <w:left w:w="108" w:type="dxa"/>
            <w:bottom w:w="0" w:type="dxa"/>
            <w:right w:w="108" w:type="dxa"/>
          </w:tblCellMar>
        </w:tblPrEx>
        <w:trPr>
          <w:trHeight w:val="600" w:hRule="atLeast"/>
        </w:trPr>
        <w:tc>
          <w:tcPr>
            <w:tcW w:w="4200" w:type="dxa"/>
          </w:tcPr>
          <w:p w14:paraId="3D7CF7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c>
          <w:tcPr>
            <w:tcW w:w="3990" w:type="dxa"/>
          </w:tcPr>
          <w:p w14:paraId="7364A1A1">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r>
      <w:tr w14:paraId="2CD51C7C">
        <w:tblPrEx>
          <w:tblCellMar>
            <w:top w:w="0" w:type="dxa"/>
            <w:left w:w="108" w:type="dxa"/>
            <w:bottom w:w="0" w:type="dxa"/>
            <w:right w:w="108" w:type="dxa"/>
          </w:tblCellMar>
        </w:tblPrEx>
        <w:trPr>
          <w:trHeight w:val="600" w:hRule="atLeast"/>
        </w:trPr>
        <w:tc>
          <w:tcPr>
            <w:tcW w:w="4200" w:type="dxa"/>
          </w:tcPr>
          <w:p w14:paraId="51ADA7CD">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c>
          <w:tcPr>
            <w:tcW w:w="3990" w:type="dxa"/>
          </w:tcPr>
          <w:p w14:paraId="432D35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r>
      <w:tr w14:paraId="35A8519B">
        <w:tblPrEx>
          <w:tblCellMar>
            <w:top w:w="0" w:type="dxa"/>
            <w:left w:w="108" w:type="dxa"/>
            <w:bottom w:w="0" w:type="dxa"/>
            <w:right w:w="108" w:type="dxa"/>
          </w:tblCellMar>
        </w:tblPrEx>
        <w:trPr>
          <w:trHeight w:val="600" w:hRule="atLeast"/>
        </w:trPr>
        <w:tc>
          <w:tcPr>
            <w:tcW w:w="4200" w:type="dxa"/>
          </w:tcPr>
          <w:p w14:paraId="2869A3BE">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所在部门：</w:t>
            </w:r>
          </w:p>
        </w:tc>
        <w:tc>
          <w:tcPr>
            <w:tcW w:w="3990" w:type="dxa"/>
          </w:tcPr>
          <w:p w14:paraId="08E09C37">
            <w:pPr>
              <w:spacing w:line="360" w:lineRule="auto"/>
              <w:jc w:val="left"/>
              <w:rPr>
                <w:rFonts w:hAnsi="宋体" w:cs="宋体"/>
                <w:color w:val="auto"/>
                <w:spacing w:val="4"/>
                <w:szCs w:val="24"/>
                <w:highlight w:val="none"/>
              </w:rPr>
            </w:pPr>
          </w:p>
        </w:tc>
      </w:tr>
    </w:tbl>
    <w:p w14:paraId="7B211534">
      <w:pPr>
        <w:spacing w:line="360" w:lineRule="auto"/>
        <w:ind w:firstLine="505" w:firstLineChars="204"/>
        <w:rPr>
          <w:rFonts w:hAnsi="宋体" w:cs="宋体"/>
          <w:color w:val="auto"/>
          <w:spacing w:val="4"/>
          <w:szCs w:val="24"/>
          <w:highlight w:val="none"/>
        </w:rPr>
      </w:pPr>
      <w:r>
        <w:rPr>
          <w:rFonts w:hint="eastAsia" w:hAnsi="宋体" w:cs="宋体"/>
          <w:color w:val="auto"/>
          <w:spacing w:val="4"/>
          <w:szCs w:val="24"/>
          <w:highlight w:val="none"/>
        </w:rPr>
        <w:t>附：法定代表人、被授权人身份证复印件</w:t>
      </w:r>
    </w:p>
    <w:p w14:paraId="502A0811">
      <w:pPr>
        <w:spacing w:line="360" w:lineRule="auto"/>
        <w:rPr>
          <w:rFonts w:hAnsi="宋体" w:cs="宋体"/>
          <w:color w:val="auto"/>
          <w:spacing w:val="4"/>
          <w:szCs w:val="24"/>
          <w:highlight w:val="none"/>
        </w:rPr>
      </w:pPr>
    </w:p>
    <w:tbl>
      <w:tblPr>
        <w:tblStyle w:val="25"/>
        <w:tblW w:w="0" w:type="auto"/>
        <w:tblInd w:w="540" w:type="dxa"/>
        <w:tblLayout w:type="fixed"/>
        <w:tblCellMar>
          <w:top w:w="0" w:type="dxa"/>
          <w:left w:w="108" w:type="dxa"/>
          <w:bottom w:w="0" w:type="dxa"/>
          <w:right w:w="108" w:type="dxa"/>
        </w:tblCellMar>
      </w:tblPr>
      <w:tblGrid>
        <w:gridCol w:w="4246"/>
        <w:gridCol w:w="4111"/>
      </w:tblGrid>
      <w:tr w14:paraId="535CFC68">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75F28E2B">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法定代表人身份证复印件粘贴处</w:t>
            </w:r>
          </w:p>
          <w:p w14:paraId="7087A737">
            <w:pPr>
              <w:spacing w:line="360" w:lineRule="auto"/>
              <w:jc w:val="center"/>
              <w:rPr>
                <w:rFonts w:hAnsi="宋体" w:cs="宋体"/>
                <w:color w:val="auto"/>
                <w:szCs w:val="21"/>
                <w:highlight w:val="none"/>
                <w:u w:val="single"/>
              </w:rPr>
            </w:pPr>
            <w:r>
              <w:rPr>
                <w:rFonts w:hint="eastAsia" w:hAnsi="宋体" w:cs="宋体"/>
                <w:color w:val="auto"/>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3A14C080">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授权代表身份证复印件粘贴处</w:t>
            </w:r>
          </w:p>
          <w:p w14:paraId="76D78A9F">
            <w:pPr>
              <w:spacing w:line="360" w:lineRule="auto"/>
              <w:jc w:val="center"/>
              <w:rPr>
                <w:rFonts w:hAnsi="宋体" w:cs="宋体"/>
                <w:color w:val="auto"/>
                <w:highlight w:val="none"/>
                <w:u w:val="single"/>
              </w:rPr>
            </w:pPr>
            <w:r>
              <w:rPr>
                <w:rFonts w:hint="eastAsia" w:hAnsi="宋体" w:cs="宋体"/>
                <w:color w:val="auto"/>
                <w:szCs w:val="21"/>
                <w:highlight w:val="none"/>
                <w:lang w:val="zh-CN"/>
              </w:rPr>
              <w:t>（正反面）</w:t>
            </w:r>
          </w:p>
        </w:tc>
      </w:tr>
    </w:tbl>
    <w:p w14:paraId="26EE8986">
      <w:pPr>
        <w:spacing w:line="360" w:lineRule="auto"/>
        <w:ind w:firstLine="510"/>
        <w:rPr>
          <w:rFonts w:hAnsi="宋体" w:cs="宋体"/>
          <w:color w:val="auto"/>
          <w:spacing w:val="4"/>
          <w:szCs w:val="24"/>
          <w:highlight w:val="none"/>
        </w:rPr>
      </w:pPr>
    </w:p>
    <w:p w14:paraId="7B3A9680">
      <w:pPr>
        <w:spacing w:before="156" w:beforeLines="50" w:after="156" w:afterLines="50" w:line="360" w:lineRule="auto"/>
        <w:rPr>
          <w:rFonts w:hAnsi="宋体" w:cs="宋体"/>
          <w:color w:val="auto"/>
          <w:spacing w:val="4"/>
          <w:szCs w:val="24"/>
          <w:highlight w:val="none"/>
        </w:rPr>
      </w:pPr>
      <w:r>
        <w:rPr>
          <w:rFonts w:hint="eastAsia" w:hAnsi="宋体" w:cs="宋体"/>
          <w:color w:val="auto"/>
          <w:spacing w:val="4"/>
          <w:szCs w:val="24"/>
          <w:highlight w:val="none"/>
        </w:rPr>
        <w:t>供应商名称：</w:t>
      </w:r>
      <w:r>
        <w:rPr>
          <w:rFonts w:hint="eastAsia" w:hAnsi="宋体" w:cs="宋体"/>
          <w:color w:val="auto"/>
          <w:highlight w:val="none"/>
          <w:u w:val="single"/>
        </w:rPr>
        <w:t xml:space="preserve">      （加盖单位公章）       </w:t>
      </w:r>
    </w:p>
    <w:p w14:paraId="57EB3C29">
      <w:pPr>
        <w:spacing w:before="156" w:beforeLines="50" w:after="156" w:afterLines="50" w:line="360" w:lineRule="auto"/>
        <w:rPr>
          <w:rFonts w:hAnsi="宋体" w:cs="宋体"/>
          <w:color w:val="auto"/>
          <w:highlight w:val="none"/>
        </w:rPr>
      </w:pPr>
      <w:r>
        <w:rPr>
          <w:rFonts w:hint="eastAsia" w:hAnsi="宋体" w:cs="宋体"/>
          <w:color w:val="auto"/>
          <w:spacing w:val="4"/>
          <w:szCs w:val="24"/>
          <w:highlight w:val="none"/>
        </w:rPr>
        <w:t>日期：</w:t>
      </w:r>
    </w:p>
    <w:p w14:paraId="074C7392">
      <w:pPr>
        <w:rPr>
          <w:rFonts w:hAnsi="宋体" w:cs="宋体"/>
          <w:color w:val="auto"/>
          <w:spacing w:val="4"/>
          <w:szCs w:val="30"/>
          <w:highlight w:val="none"/>
        </w:rPr>
      </w:pPr>
      <w:r>
        <w:rPr>
          <w:rFonts w:hint="eastAsia" w:hAnsi="宋体" w:cs="宋体"/>
          <w:color w:val="auto"/>
          <w:sz w:val="28"/>
          <w:szCs w:val="28"/>
          <w:highlight w:val="none"/>
          <w:u w:val="single"/>
        </w:rPr>
        <w:br w:type="page"/>
      </w:r>
    </w:p>
    <w:p w14:paraId="7DA78EFB">
      <w:pPr>
        <w:widowControl/>
        <w:spacing w:line="360" w:lineRule="auto"/>
        <w:ind w:left="1" w:firstLine="281" w:firstLineChars="100"/>
        <w:rPr>
          <w:rFonts w:hAnsi="宋体" w:cs="宋体"/>
          <w:b/>
          <w:color w:val="auto"/>
          <w:sz w:val="28"/>
          <w:szCs w:val="28"/>
          <w:highlight w:val="none"/>
        </w:rPr>
      </w:pPr>
    </w:p>
    <w:p w14:paraId="0A2A07C5">
      <w:pPr>
        <w:widowControl/>
        <w:spacing w:line="360" w:lineRule="auto"/>
        <w:ind w:left="1" w:firstLine="321" w:firstLineChars="100"/>
        <w:jc w:val="center"/>
        <w:rPr>
          <w:rFonts w:hAnsi="宋体" w:cs="宋体"/>
          <w:b/>
          <w:color w:val="auto"/>
          <w:sz w:val="32"/>
          <w:szCs w:val="32"/>
          <w:highlight w:val="none"/>
        </w:rPr>
      </w:pPr>
      <w:r>
        <w:rPr>
          <w:rFonts w:hint="eastAsia" w:hAnsi="宋体" w:cs="宋体"/>
          <w:b/>
          <w:color w:val="auto"/>
          <w:sz w:val="32"/>
          <w:szCs w:val="32"/>
          <w:highlight w:val="none"/>
        </w:rPr>
        <w:t>参加政府采购活动前3年内在经营活动中没有重大违法纪录的书面声明</w:t>
      </w:r>
    </w:p>
    <w:p w14:paraId="54CC5279">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019D9129">
      <w:pPr>
        <w:pStyle w:val="21"/>
        <w:wordWrap w:val="0"/>
        <w:spacing w:beforeAutospacing="0" w:afterAutospacing="0" w:line="560" w:lineRule="exact"/>
        <w:rPr>
          <w:rFonts w:cs="宋体"/>
          <w:color w:val="auto"/>
          <w:highlight w:val="none"/>
          <w:u w:val="single"/>
          <w:shd w:val="clear" w:color="auto" w:fill="FFFFFF"/>
        </w:rPr>
      </w:pPr>
      <w:r>
        <w:rPr>
          <w:rFonts w:hint="eastAsia" w:cs="宋体"/>
          <w:color w:val="auto"/>
          <w:highlight w:val="none"/>
          <w:u w:val="single"/>
          <w:shd w:val="clear" w:color="auto" w:fill="FFFFFF"/>
        </w:rPr>
        <w:t xml:space="preserve">      （采购人）           ：</w:t>
      </w:r>
    </w:p>
    <w:p w14:paraId="1B4E463B">
      <w:pPr>
        <w:pStyle w:val="21"/>
        <w:wordWrap w:val="0"/>
        <w:spacing w:beforeAutospacing="0" w:afterAutospacing="0" w:line="560" w:lineRule="exact"/>
        <w:ind w:firstLine="640"/>
        <w:rPr>
          <w:rFonts w:cs="宋体"/>
          <w:color w:val="auto"/>
          <w:highlight w:val="none"/>
        </w:rPr>
      </w:pPr>
      <w:r>
        <w:rPr>
          <w:rFonts w:hint="eastAsia" w:cs="宋体"/>
          <w:color w:val="auto"/>
          <w:highlight w:val="none"/>
          <w:shd w:val="clear" w:color="auto" w:fill="FFFFFF"/>
        </w:rPr>
        <w:t>我方作为项目名称</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（项目编号：</w:t>
      </w:r>
      <w:r>
        <w:rPr>
          <w:rFonts w:hint="eastAsia" w:cs="宋体"/>
          <w:i/>
          <w:iCs/>
          <w:color w:val="auto"/>
          <w:highlight w:val="none"/>
          <w:u w:val="single"/>
          <w:shd w:val="clear" w:color="auto" w:fill="FFFFFF"/>
        </w:rPr>
        <w:t xml:space="preserve">          </w:t>
      </w:r>
      <w:r>
        <w:rPr>
          <w:rFonts w:hint="eastAsia" w:cs="宋体"/>
          <w:color w:val="auto"/>
          <w:highlight w:val="none"/>
          <w:shd w:val="clear" w:color="auto" w:fill="FFFFFF"/>
        </w:rPr>
        <w:t xml:space="preserve">）的供应商，在此郑重声明： </w:t>
      </w:r>
    </w:p>
    <w:p w14:paraId="3DC8E92D">
      <w:pPr>
        <w:pStyle w:val="21"/>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在参加本次政府采购活动前3年内的经营活动中</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 xml:space="preserve">（填“没有”或“有”）重大违法记录。供应商在参加政府采购活动前3年内因违法经营被禁止在一定期限内参加政府采购活动，期限届满的，可以参加政府采购活动，但应提供期限届满的证明材料。 </w:t>
      </w:r>
    </w:p>
    <w:p w14:paraId="087593AD">
      <w:pPr>
        <w:pStyle w:val="21"/>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如有不实，我方将无条件地退出本项目的采购活动，并遵照《</w:t>
      </w:r>
      <w:r>
        <w:rPr>
          <w:rFonts w:hint="eastAsia" w:hAnsi="宋体" w:cs="宋体"/>
          <w:color w:val="auto"/>
          <w:szCs w:val="24"/>
          <w:highlight w:val="none"/>
          <w:lang w:val="en-US" w:eastAsia="zh-CN"/>
        </w:rPr>
        <w:t>中华人民共和国</w:t>
      </w:r>
      <w:r>
        <w:rPr>
          <w:rFonts w:hint="eastAsia" w:cs="宋体"/>
          <w:color w:val="auto"/>
          <w:highlight w:val="none"/>
          <w:shd w:val="clear" w:color="auto" w:fill="FFFFFF"/>
        </w:rPr>
        <w:t xml:space="preserve">政府采购法》有关“提供虚假材料的规定”接受处罚。 </w:t>
      </w:r>
    </w:p>
    <w:p w14:paraId="09A79C77">
      <w:pPr>
        <w:pStyle w:val="21"/>
        <w:wordWrap w:val="0"/>
        <w:spacing w:beforeAutospacing="0" w:afterAutospacing="0" w:line="560" w:lineRule="exact"/>
        <w:ind w:firstLine="420"/>
        <w:rPr>
          <w:rFonts w:cs="宋体"/>
          <w:color w:val="auto"/>
          <w:highlight w:val="none"/>
          <w:shd w:val="clear" w:color="auto" w:fill="FFFFFF"/>
        </w:rPr>
      </w:pPr>
      <w:r>
        <w:rPr>
          <w:rFonts w:hint="eastAsia" w:cs="宋体"/>
          <w:color w:val="auto"/>
          <w:highlight w:val="none"/>
          <w:shd w:val="clear" w:color="auto" w:fill="FFFFFF"/>
        </w:rPr>
        <w:t>特此声明！</w:t>
      </w:r>
    </w:p>
    <w:p w14:paraId="0BD3AE34">
      <w:pPr>
        <w:pStyle w:val="21"/>
        <w:wordWrap w:val="0"/>
        <w:spacing w:beforeAutospacing="0" w:afterAutospacing="0" w:line="560" w:lineRule="exact"/>
        <w:ind w:firstLine="420"/>
        <w:rPr>
          <w:rFonts w:cs="宋体"/>
          <w:color w:val="auto"/>
          <w:highlight w:val="none"/>
          <w:shd w:val="clear" w:color="auto" w:fill="FFFFFF"/>
        </w:rPr>
      </w:pPr>
    </w:p>
    <w:p w14:paraId="7E405ACA">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76A5FBF0">
      <w:pPr>
        <w:pStyle w:val="39"/>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416FABC7">
      <w:pPr>
        <w:adjustRightInd w:val="0"/>
        <w:snapToGrid w:val="0"/>
        <w:spacing w:line="360" w:lineRule="auto"/>
        <w:jc w:val="center"/>
        <w:rPr>
          <w:rFonts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p>
    <w:p w14:paraId="2F3C4186">
      <w:pPr>
        <w:adjustRightInd w:val="0"/>
        <w:snapToGrid w:val="0"/>
        <w:spacing w:line="360" w:lineRule="auto"/>
        <w:jc w:val="center"/>
        <w:rPr>
          <w:rFonts w:asciiTheme="minorEastAsia" w:hAnsiTheme="minorEastAsia" w:eastAsiaTheme="minorEastAsia" w:cstheme="minorEastAsia"/>
          <w:b/>
          <w:color w:val="auto"/>
          <w:sz w:val="28"/>
          <w:szCs w:val="28"/>
          <w:highlight w:val="none"/>
        </w:rPr>
      </w:pPr>
    </w:p>
    <w:p w14:paraId="67C2C24E">
      <w:pPr>
        <w:adjustRightInd w:val="0"/>
        <w:snapToGrid w:val="0"/>
        <w:spacing w:line="360" w:lineRule="auto"/>
        <w:jc w:val="center"/>
        <w:rPr>
          <w:rFonts w:hAnsi="宋体" w:cs="宋体"/>
          <w:b/>
          <w:color w:val="auto"/>
          <w:sz w:val="32"/>
          <w:szCs w:val="32"/>
          <w:highlight w:val="none"/>
        </w:rPr>
      </w:pPr>
    </w:p>
    <w:p w14:paraId="71914EEB">
      <w:pPr>
        <w:adjustRightInd w:val="0"/>
        <w:snapToGrid w:val="0"/>
        <w:spacing w:line="360" w:lineRule="auto"/>
        <w:jc w:val="center"/>
        <w:rPr>
          <w:rFonts w:hAnsi="宋体" w:cs="宋体"/>
          <w:b/>
          <w:color w:val="auto"/>
          <w:sz w:val="28"/>
          <w:szCs w:val="28"/>
          <w:highlight w:val="none"/>
        </w:rPr>
      </w:pPr>
      <w:r>
        <w:rPr>
          <w:rFonts w:hint="eastAsia" w:hAnsi="宋体" w:cs="宋体"/>
          <w:b/>
          <w:color w:val="auto"/>
          <w:sz w:val="32"/>
          <w:szCs w:val="32"/>
          <w:highlight w:val="none"/>
        </w:rPr>
        <w:t>具有履行本合同所必需的设备和专业技术能力的书面声明</w:t>
      </w:r>
    </w:p>
    <w:p w14:paraId="244E5B5D">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46FDE4F4">
      <w:pPr>
        <w:rPr>
          <w:color w:val="auto"/>
          <w:highlight w:val="none"/>
        </w:rPr>
      </w:pPr>
    </w:p>
    <w:p w14:paraId="3F51C7AC">
      <w:pPr>
        <w:pStyle w:val="12"/>
        <w:adjustRightInd w:val="0"/>
        <w:snapToGrid w:val="0"/>
        <w:spacing w:line="720" w:lineRule="exact"/>
        <w:jc w:val="center"/>
        <w:rPr>
          <w:rFonts w:hAnsi="宋体" w:cs="宋体"/>
          <w:b/>
          <w:color w:val="auto"/>
          <w:sz w:val="28"/>
          <w:szCs w:val="28"/>
          <w:highlight w:val="none"/>
        </w:rPr>
      </w:pPr>
    </w:p>
    <w:p w14:paraId="65CD5B52">
      <w:pPr>
        <w:spacing w:line="720" w:lineRule="exact"/>
        <w:rPr>
          <w:rFonts w:hAnsi="宋体" w:cs="宋体"/>
          <w:color w:val="auto"/>
          <w:spacing w:val="4"/>
          <w:highlight w:val="none"/>
          <w:u w:val="single"/>
        </w:rPr>
      </w:pPr>
      <w:r>
        <w:rPr>
          <w:rFonts w:hint="eastAsia" w:hAnsi="宋体" w:cs="宋体"/>
          <w:color w:val="auto"/>
          <w:spacing w:val="4"/>
          <w:highlight w:val="none"/>
          <w:u w:val="single"/>
        </w:rPr>
        <w:t xml:space="preserve">     （采购人）    ：</w:t>
      </w:r>
    </w:p>
    <w:p w14:paraId="57A4334E">
      <w:pPr>
        <w:pStyle w:val="12"/>
        <w:adjustRightInd w:val="0"/>
        <w:snapToGrid w:val="0"/>
        <w:spacing w:line="720" w:lineRule="exact"/>
        <w:rPr>
          <w:rFonts w:hAnsi="宋体" w:cs="宋体"/>
          <w:color w:val="auto"/>
          <w:spacing w:val="4"/>
          <w:sz w:val="24"/>
          <w:szCs w:val="24"/>
          <w:highlight w:val="none"/>
        </w:rPr>
      </w:pPr>
      <w:r>
        <w:rPr>
          <w:rFonts w:hint="eastAsia" w:hAnsi="宋体" w:cs="宋体"/>
          <w:color w:val="auto"/>
          <w:spacing w:val="4"/>
          <w:sz w:val="24"/>
          <w:szCs w:val="24"/>
          <w:highlight w:val="none"/>
        </w:rPr>
        <w:t xml:space="preserve">   </w:t>
      </w:r>
      <w:r>
        <w:rPr>
          <w:rFonts w:hint="eastAsia" w:hAnsi="宋体" w:cs="宋体"/>
          <w:color w:val="auto"/>
          <w:spacing w:val="4"/>
          <w:sz w:val="24"/>
          <w:szCs w:val="24"/>
          <w:highlight w:val="none"/>
          <w:u w:val="single"/>
        </w:rPr>
        <w:t xml:space="preserve">      （供应商名称）    </w:t>
      </w:r>
      <w:r>
        <w:rPr>
          <w:rFonts w:hint="eastAsia" w:hAnsi="宋体" w:cs="宋体"/>
          <w:color w:val="auto"/>
          <w:spacing w:val="4"/>
          <w:sz w:val="24"/>
          <w:szCs w:val="24"/>
          <w:highlight w:val="none"/>
        </w:rPr>
        <w:t xml:space="preserve"> 于</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年</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月</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日在中华人民共和国境内</w:t>
      </w:r>
      <w:r>
        <w:rPr>
          <w:rFonts w:hint="eastAsia" w:hAnsi="宋体" w:cs="宋体"/>
          <w:color w:val="auto"/>
          <w:spacing w:val="4"/>
          <w:sz w:val="24"/>
          <w:szCs w:val="24"/>
          <w:highlight w:val="none"/>
          <w:u w:val="single"/>
        </w:rPr>
        <w:t xml:space="preserve">               （详细注册地址）     </w:t>
      </w:r>
      <w:r>
        <w:rPr>
          <w:rFonts w:hint="eastAsia" w:hAnsi="宋体" w:cs="宋体"/>
          <w:color w:val="auto"/>
          <w:spacing w:val="4"/>
          <w:sz w:val="24"/>
          <w:szCs w:val="24"/>
          <w:highlight w:val="none"/>
        </w:rPr>
        <w:t>合法注册并经营，公司主营业务为</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w:t>
      </w:r>
    </w:p>
    <w:p w14:paraId="07B3A453">
      <w:pPr>
        <w:pStyle w:val="12"/>
        <w:adjustRightInd w:val="0"/>
        <w:snapToGrid w:val="0"/>
        <w:spacing w:line="720" w:lineRule="exact"/>
        <w:ind w:firstLine="550" w:firstLineChars="222"/>
        <w:rPr>
          <w:rFonts w:hAnsi="宋体" w:cs="宋体"/>
          <w:color w:val="auto"/>
          <w:spacing w:val="4"/>
          <w:sz w:val="24"/>
          <w:szCs w:val="24"/>
          <w:highlight w:val="none"/>
        </w:rPr>
      </w:pPr>
      <w:r>
        <w:rPr>
          <w:rFonts w:hint="eastAsia" w:hAnsi="宋体" w:cs="宋体"/>
          <w:color w:val="auto"/>
          <w:spacing w:val="4"/>
          <w:sz w:val="24"/>
          <w:szCs w:val="24"/>
          <w:highlight w:val="none"/>
        </w:rPr>
        <w:t>我公司郑重承诺，我公司具有履行本合同所必需的设备和专业技术能力，合同履约中将无条件增加相关设备、人员，直至满足项目需求。</w:t>
      </w:r>
    </w:p>
    <w:p w14:paraId="2E019069">
      <w:pPr>
        <w:pStyle w:val="12"/>
        <w:adjustRightInd w:val="0"/>
        <w:snapToGrid w:val="0"/>
        <w:spacing w:line="720" w:lineRule="exact"/>
        <w:rPr>
          <w:rFonts w:hAnsi="宋体" w:cs="宋体"/>
          <w:color w:val="auto"/>
          <w:spacing w:val="4"/>
          <w:sz w:val="24"/>
          <w:szCs w:val="24"/>
          <w:highlight w:val="none"/>
        </w:rPr>
      </w:pPr>
    </w:p>
    <w:p w14:paraId="4EFF3582">
      <w:pPr>
        <w:pStyle w:val="12"/>
        <w:adjustRightInd w:val="0"/>
        <w:snapToGrid w:val="0"/>
        <w:spacing w:line="720" w:lineRule="exact"/>
        <w:rPr>
          <w:rFonts w:hAnsi="宋体" w:cs="宋体"/>
          <w:color w:val="auto"/>
          <w:spacing w:val="4"/>
          <w:sz w:val="24"/>
          <w:szCs w:val="24"/>
          <w:highlight w:val="none"/>
        </w:rPr>
      </w:pPr>
    </w:p>
    <w:p w14:paraId="1E2D7BB0">
      <w:pPr>
        <w:pStyle w:val="12"/>
        <w:adjustRightInd w:val="0"/>
        <w:snapToGrid w:val="0"/>
        <w:spacing w:line="720" w:lineRule="exact"/>
        <w:rPr>
          <w:rFonts w:hAnsi="宋体" w:cs="宋体"/>
          <w:color w:val="auto"/>
          <w:spacing w:val="4"/>
          <w:sz w:val="24"/>
          <w:szCs w:val="24"/>
          <w:highlight w:val="none"/>
        </w:rPr>
      </w:pPr>
    </w:p>
    <w:p w14:paraId="60CBCAD1">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0FDA1AD2">
      <w:pPr>
        <w:pStyle w:val="39"/>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6C5DCB0C">
      <w:pPr>
        <w:rPr>
          <w:color w:val="auto"/>
          <w:highlight w:val="none"/>
        </w:rPr>
      </w:pPr>
    </w:p>
    <w:p w14:paraId="675D828B">
      <w:pPr>
        <w:rPr>
          <w:rFonts w:hAnsi="宋体" w:cs="宋体"/>
          <w:color w:val="auto"/>
          <w:szCs w:val="24"/>
          <w:highlight w:val="none"/>
        </w:rPr>
      </w:pPr>
      <w:r>
        <w:rPr>
          <w:rFonts w:hAnsi="宋体" w:cs="宋体"/>
          <w:color w:val="auto"/>
          <w:szCs w:val="24"/>
          <w:highlight w:val="none"/>
        </w:rPr>
        <w:br w:type="page"/>
      </w:r>
    </w:p>
    <w:p w14:paraId="25383DC0">
      <w:pPr>
        <w:spacing w:before="312" w:beforeLines="100" w:after="312" w:afterLines="100"/>
        <w:jc w:val="center"/>
        <w:rPr>
          <w:rFonts w:hAnsi="宋体"/>
          <w:b/>
          <w:color w:val="auto"/>
          <w:szCs w:val="24"/>
          <w:highlight w:val="none"/>
        </w:rPr>
      </w:pPr>
    </w:p>
    <w:p w14:paraId="66691FC9">
      <w:pPr>
        <w:spacing w:before="312" w:beforeLines="100" w:after="312" w:afterLines="100"/>
        <w:jc w:val="center"/>
        <w:rPr>
          <w:rFonts w:hAnsi="宋体"/>
          <w:b/>
          <w:color w:val="auto"/>
          <w:szCs w:val="24"/>
          <w:highlight w:val="none"/>
        </w:rPr>
      </w:pPr>
    </w:p>
    <w:p w14:paraId="2FA21FB2">
      <w:pPr>
        <w:spacing w:before="312" w:beforeLines="100" w:after="312" w:afterLines="100"/>
        <w:jc w:val="center"/>
        <w:rPr>
          <w:rFonts w:hAnsi="宋体"/>
          <w:b/>
          <w:color w:val="auto"/>
          <w:szCs w:val="24"/>
          <w:highlight w:val="none"/>
        </w:rPr>
      </w:pPr>
    </w:p>
    <w:p w14:paraId="7A9B41F4">
      <w:pPr>
        <w:spacing w:before="312" w:beforeLines="100" w:after="312" w:afterLines="100"/>
        <w:jc w:val="center"/>
        <w:rPr>
          <w:rFonts w:hAnsi="宋体"/>
          <w:b/>
          <w:color w:val="auto"/>
          <w:szCs w:val="24"/>
          <w:highlight w:val="none"/>
        </w:rPr>
      </w:pPr>
      <w:r>
        <w:rPr>
          <w:rFonts w:hint="eastAsia" w:hAnsi="宋体"/>
          <w:b/>
          <w:color w:val="auto"/>
          <w:szCs w:val="24"/>
          <w:highlight w:val="none"/>
        </w:rPr>
        <w:t>项目经理无在建承诺书</w:t>
      </w:r>
    </w:p>
    <w:p w14:paraId="1FA8CFC9">
      <w:pPr>
        <w:spacing w:after="312" w:afterLines="100" w:line="440" w:lineRule="exact"/>
        <w:rPr>
          <w:rFonts w:hAnsi="宋体"/>
          <w:color w:val="auto"/>
          <w:szCs w:val="24"/>
          <w:highlight w:val="none"/>
        </w:rPr>
      </w:pPr>
      <w:r>
        <w:rPr>
          <w:rFonts w:hint="eastAsia" w:hAnsi="宋体"/>
          <w:color w:val="auto"/>
          <w:szCs w:val="24"/>
          <w:highlight w:val="none"/>
          <w:u w:val="single"/>
        </w:rPr>
        <w:t xml:space="preserve">          </w:t>
      </w:r>
      <w:r>
        <w:rPr>
          <w:rFonts w:hint="eastAsia" w:hAnsi="宋体"/>
          <w:color w:val="auto"/>
          <w:szCs w:val="24"/>
          <w:highlight w:val="none"/>
        </w:rPr>
        <w:t>（采购人名称）：</w:t>
      </w:r>
    </w:p>
    <w:p w14:paraId="326990CE">
      <w:pPr>
        <w:spacing w:line="440" w:lineRule="exact"/>
        <w:ind w:firstLine="480" w:firstLineChars="200"/>
        <w:rPr>
          <w:rFonts w:hAnsi="宋体"/>
          <w:color w:val="auto"/>
          <w:szCs w:val="24"/>
          <w:highlight w:val="none"/>
        </w:rPr>
      </w:pPr>
      <w:r>
        <w:rPr>
          <w:rFonts w:hint="eastAsia" w:hAnsi="宋体"/>
          <w:color w:val="auto"/>
          <w:szCs w:val="24"/>
          <w:highlight w:val="none"/>
        </w:rPr>
        <w:t>我方在此声明，我方拟派往</w:t>
      </w:r>
      <w:r>
        <w:rPr>
          <w:rFonts w:hint="eastAsia" w:hAnsi="宋体"/>
          <w:color w:val="auto"/>
          <w:szCs w:val="24"/>
          <w:highlight w:val="none"/>
          <w:u w:val="single"/>
        </w:rPr>
        <w:t xml:space="preserve">        </w:t>
      </w:r>
      <w:r>
        <w:rPr>
          <w:rFonts w:hint="eastAsia" w:hAnsi="宋体"/>
          <w:color w:val="auto"/>
          <w:szCs w:val="24"/>
          <w:highlight w:val="none"/>
        </w:rPr>
        <w:t>（项目名称）（以下简称“本工程”）的项目经理</w:t>
      </w:r>
      <w:r>
        <w:rPr>
          <w:rFonts w:hint="eastAsia" w:hAnsi="宋体"/>
          <w:color w:val="auto"/>
          <w:szCs w:val="24"/>
          <w:highlight w:val="none"/>
          <w:u w:val="single"/>
        </w:rPr>
        <w:t xml:space="preserve">           </w:t>
      </w:r>
      <w:r>
        <w:rPr>
          <w:rFonts w:hint="eastAsia" w:hAnsi="宋体"/>
          <w:color w:val="auto"/>
          <w:szCs w:val="24"/>
          <w:highlight w:val="none"/>
        </w:rPr>
        <w:t>（项目经理姓名）现阶段没有担任任何在施建设工程项目的项目经理。</w:t>
      </w:r>
    </w:p>
    <w:p w14:paraId="6072FD9A">
      <w:pPr>
        <w:spacing w:line="440" w:lineRule="exact"/>
        <w:ind w:firstLine="480" w:firstLineChars="200"/>
        <w:rPr>
          <w:rFonts w:hAnsi="宋体"/>
          <w:color w:val="auto"/>
          <w:szCs w:val="24"/>
          <w:highlight w:val="none"/>
        </w:rPr>
      </w:pPr>
      <w:r>
        <w:rPr>
          <w:rFonts w:hint="eastAsia" w:hAnsi="宋体"/>
          <w:color w:val="auto"/>
          <w:szCs w:val="24"/>
          <w:highlight w:val="none"/>
        </w:rPr>
        <w:t>我方保证上述信息的真实和准确，并愿意承担因我方就此弄虚作假所引起的一切法律后果。</w:t>
      </w:r>
    </w:p>
    <w:p w14:paraId="0D0BED40">
      <w:pPr>
        <w:spacing w:line="440" w:lineRule="exact"/>
        <w:ind w:firstLine="480" w:firstLineChars="200"/>
        <w:rPr>
          <w:rFonts w:hAnsi="宋体"/>
          <w:color w:val="auto"/>
          <w:szCs w:val="24"/>
          <w:highlight w:val="none"/>
        </w:rPr>
      </w:pPr>
    </w:p>
    <w:p w14:paraId="785EE559">
      <w:pPr>
        <w:spacing w:line="440" w:lineRule="exact"/>
        <w:ind w:firstLine="480" w:firstLineChars="200"/>
        <w:rPr>
          <w:rFonts w:hAnsi="宋体"/>
          <w:color w:val="auto"/>
          <w:szCs w:val="24"/>
          <w:highlight w:val="none"/>
        </w:rPr>
      </w:pPr>
    </w:p>
    <w:p w14:paraId="25CB9FA4">
      <w:pPr>
        <w:spacing w:line="440" w:lineRule="exact"/>
        <w:ind w:firstLine="480" w:firstLineChars="200"/>
        <w:rPr>
          <w:rFonts w:hAnsi="宋体"/>
          <w:color w:val="auto"/>
          <w:szCs w:val="24"/>
          <w:highlight w:val="none"/>
        </w:rPr>
      </w:pPr>
      <w:r>
        <w:rPr>
          <w:rFonts w:hint="eastAsia" w:hAnsi="宋体"/>
          <w:color w:val="auto"/>
          <w:szCs w:val="24"/>
          <w:highlight w:val="none"/>
        </w:rPr>
        <w:t>特此承诺</w:t>
      </w:r>
    </w:p>
    <w:p w14:paraId="59BBC3A8">
      <w:pPr>
        <w:spacing w:line="440" w:lineRule="exact"/>
        <w:ind w:firstLine="480" w:firstLineChars="200"/>
        <w:rPr>
          <w:rFonts w:hAnsi="宋体"/>
          <w:color w:val="auto"/>
          <w:szCs w:val="24"/>
          <w:highlight w:val="none"/>
        </w:rPr>
      </w:pPr>
    </w:p>
    <w:p w14:paraId="0EFDDC35">
      <w:pPr>
        <w:spacing w:line="440" w:lineRule="exact"/>
        <w:ind w:firstLine="480" w:firstLineChars="200"/>
        <w:rPr>
          <w:rFonts w:hAnsi="宋体"/>
          <w:color w:val="auto"/>
          <w:szCs w:val="24"/>
          <w:highlight w:val="none"/>
        </w:rPr>
      </w:pPr>
    </w:p>
    <w:p w14:paraId="25406B19">
      <w:pPr>
        <w:spacing w:line="440" w:lineRule="exact"/>
        <w:ind w:firstLine="480" w:firstLineChars="200"/>
        <w:rPr>
          <w:rFonts w:hAnsi="宋体"/>
          <w:color w:val="auto"/>
          <w:szCs w:val="24"/>
          <w:highlight w:val="none"/>
        </w:rPr>
      </w:pPr>
    </w:p>
    <w:p w14:paraId="28078307">
      <w:pPr>
        <w:spacing w:line="440" w:lineRule="exact"/>
        <w:ind w:firstLine="480" w:firstLineChars="200"/>
        <w:rPr>
          <w:rFonts w:hAnsi="宋体"/>
          <w:color w:val="auto"/>
          <w:szCs w:val="24"/>
          <w:highlight w:val="none"/>
        </w:rPr>
      </w:pPr>
    </w:p>
    <w:p w14:paraId="511048F5">
      <w:pPr>
        <w:spacing w:line="440" w:lineRule="exact"/>
        <w:ind w:firstLine="480" w:firstLineChars="200"/>
        <w:rPr>
          <w:rFonts w:hAnsi="宋体"/>
          <w:color w:val="auto"/>
          <w:szCs w:val="24"/>
          <w:highlight w:val="none"/>
        </w:rPr>
      </w:pPr>
    </w:p>
    <w:p w14:paraId="0F8CBA07">
      <w:pPr>
        <w:spacing w:line="440" w:lineRule="exact"/>
        <w:ind w:firstLine="480" w:firstLineChars="200"/>
        <w:rPr>
          <w:rFonts w:hAnsi="宋体"/>
          <w:color w:val="auto"/>
          <w:szCs w:val="24"/>
          <w:highlight w:val="none"/>
        </w:rPr>
      </w:pPr>
    </w:p>
    <w:p w14:paraId="4417EC95">
      <w:pPr>
        <w:spacing w:line="440" w:lineRule="exact"/>
        <w:jc w:val="right"/>
        <w:rPr>
          <w:rFonts w:hAnsi="宋体"/>
          <w:color w:val="auto"/>
          <w:szCs w:val="24"/>
          <w:highlight w:val="none"/>
        </w:rPr>
      </w:pPr>
      <w:r>
        <w:rPr>
          <w:rFonts w:hint="eastAsia" w:hAnsi="宋体"/>
          <w:color w:val="auto"/>
          <w:szCs w:val="24"/>
          <w:highlight w:val="none"/>
        </w:rPr>
        <w:t>供应商：</w:t>
      </w:r>
      <w:r>
        <w:rPr>
          <w:rFonts w:hint="eastAsia" w:hAnsi="宋体"/>
          <w:color w:val="auto"/>
          <w:szCs w:val="24"/>
          <w:highlight w:val="none"/>
          <w:u w:val="single"/>
        </w:rPr>
        <w:t xml:space="preserve">                             </w:t>
      </w:r>
      <w:r>
        <w:rPr>
          <w:rFonts w:hint="eastAsia" w:hAnsi="宋体"/>
          <w:color w:val="auto"/>
          <w:szCs w:val="24"/>
          <w:highlight w:val="none"/>
        </w:rPr>
        <w:t>（盖单位章）</w:t>
      </w:r>
    </w:p>
    <w:p w14:paraId="757A0039">
      <w:pPr>
        <w:spacing w:line="440" w:lineRule="exact"/>
        <w:jc w:val="right"/>
        <w:rPr>
          <w:rFonts w:hAnsi="宋体"/>
          <w:color w:val="auto"/>
          <w:szCs w:val="24"/>
          <w:highlight w:val="none"/>
        </w:rPr>
      </w:pPr>
    </w:p>
    <w:p w14:paraId="53CF1582">
      <w:pPr>
        <w:spacing w:line="440" w:lineRule="exact"/>
        <w:jc w:val="right"/>
        <w:rPr>
          <w:rFonts w:hAnsi="宋体"/>
          <w:color w:val="auto"/>
          <w:szCs w:val="24"/>
          <w:highlight w:val="none"/>
        </w:rPr>
      </w:pPr>
    </w:p>
    <w:p w14:paraId="726CAFB2">
      <w:pPr>
        <w:jc w:val="right"/>
        <w:rPr>
          <w:rFonts w:hAnsi="宋体" w:cs="宋体"/>
          <w:color w:val="auto"/>
          <w:sz w:val="28"/>
          <w:szCs w:val="28"/>
          <w:highlight w:val="none"/>
          <w:u w:val="single"/>
        </w:rPr>
      </w:pPr>
      <w:r>
        <w:rPr>
          <w:rFonts w:hint="eastAsia" w:hAnsi="宋体"/>
          <w:color w:val="auto"/>
          <w:szCs w:val="24"/>
          <w:highlight w:val="none"/>
          <w:u w:val="single"/>
        </w:rPr>
        <w:t xml:space="preserve">          </w:t>
      </w:r>
      <w:r>
        <w:rPr>
          <w:rFonts w:hint="eastAsia" w:hAnsi="宋体"/>
          <w:color w:val="auto"/>
          <w:szCs w:val="24"/>
          <w:highlight w:val="none"/>
        </w:rPr>
        <w:t>年</w:t>
      </w:r>
      <w:r>
        <w:rPr>
          <w:rFonts w:hint="eastAsia" w:hAnsi="宋体"/>
          <w:color w:val="auto"/>
          <w:szCs w:val="24"/>
          <w:highlight w:val="none"/>
          <w:u w:val="single"/>
        </w:rPr>
        <w:t xml:space="preserve">       </w:t>
      </w:r>
      <w:r>
        <w:rPr>
          <w:rFonts w:hint="eastAsia" w:hAnsi="宋体"/>
          <w:color w:val="auto"/>
          <w:szCs w:val="24"/>
          <w:highlight w:val="none"/>
        </w:rPr>
        <w:t>月</w:t>
      </w:r>
      <w:r>
        <w:rPr>
          <w:rFonts w:hint="eastAsia" w:hAnsi="宋体"/>
          <w:color w:val="auto"/>
          <w:szCs w:val="24"/>
          <w:highlight w:val="none"/>
          <w:u w:val="single"/>
        </w:rPr>
        <w:t xml:space="preserve">       </w:t>
      </w:r>
      <w:r>
        <w:rPr>
          <w:rFonts w:hint="eastAsia" w:hAnsi="宋体"/>
          <w:color w:val="auto"/>
          <w:szCs w:val="24"/>
          <w:highlight w:val="none"/>
        </w:rPr>
        <w:t>日</w:t>
      </w:r>
    </w:p>
    <w:p w14:paraId="0ECBDA51">
      <w:pPr>
        <w:rPr>
          <w:color w:val="auto"/>
          <w:highlight w:val="none"/>
        </w:rPr>
      </w:pPr>
      <w:r>
        <w:rPr>
          <w:color w:val="auto"/>
          <w:highlight w:val="none"/>
        </w:rPr>
        <w:br w:type="page"/>
      </w:r>
    </w:p>
    <w:p w14:paraId="6FDCDA62">
      <w:pPr>
        <w:spacing w:before="156" w:beforeLines="50" w:after="156" w:afterLines="50"/>
        <w:rPr>
          <w:color w:val="auto"/>
          <w:highlight w:val="none"/>
        </w:rPr>
      </w:pPr>
      <w:r>
        <w:rPr>
          <w:rFonts w:hint="eastAsia" w:hAnsi="宋体"/>
          <w:b/>
          <w:bCs/>
          <w:color w:val="auto"/>
          <w:sz w:val="28"/>
          <w:szCs w:val="28"/>
          <w:highlight w:val="none"/>
        </w:rPr>
        <w:t>附件2（如有）：</w:t>
      </w:r>
    </w:p>
    <w:p w14:paraId="41DDA637">
      <w:pPr>
        <w:spacing w:before="156" w:beforeLines="50" w:after="156" w:afterLines="50" w:line="360" w:lineRule="auto"/>
        <w:jc w:val="center"/>
        <w:rPr>
          <w:rFonts w:hAnsi="宋体" w:cs="宋体"/>
          <w:b/>
          <w:color w:val="auto"/>
          <w:sz w:val="28"/>
          <w:szCs w:val="28"/>
          <w:highlight w:val="none"/>
        </w:rPr>
      </w:pPr>
      <w:bookmarkStart w:id="640" w:name="_Toc13836"/>
    </w:p>
    <w:p w14:paraId="6A6774E0">
      <w:pPr>
        <w:spacing w:before="156" w:beforeLines="50" w:after="156" w:afterLines="50" w:line="360" w:lineRule="auto"/>
        <w:jc w:val="center"/>
        <w:rPr>
          <w:rFonts w:hAnsi="宋体" w:cs="宋体"/>
          <w:color w:val="auto"/>
          <w:szCs w:val="24"/>
          <w:highlight w:val="none"/>
        </w:rPr>
      </w:pPr>
      <w:r>
        <w:rPr>
          <w:rFonts w:hint="eastAsia" w:hAnsi="宋体" w:cs="宋体"/>
          <w:b/>
          <w:color w:val="auto"/>
          <w:sz w:val="28"/>
          <w:szCs w:val="28"/>
          <w:highlight w:val="none"/>
        </w:rPr>
        <w:t>中小企业声明函</w:t>
      </w:r>
    </w:p>
    <w:p w14:paraId="534A31F2">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本公司郑重声明，根据《政府采购促进中小企业发展管理办法》（财库﹝2020﹞46 号）的规定，本公司参加</w:t>
      </w:r>
      <w:r>
        <w:rPr>
          <w:rFonts w:hint="eastAsia" w:hAnsi="宋体" w:cs="宋体"/>
          <w:color w:val="auto"/>
          <w:szCs w:val="24"/>
          <w:highlight w:val="none"/>
          <w:u w:val="single"/>
        </w:rPr>
        <w:t>（单位名称）</w:t>
      </w:r>
      <w:r>
        <w:rPr>
          <w:rFonts w:hint="eastAsia" w:hAnsi="宋体" w:cs="宋体"/>
          <w:color w:val="auto"/>
          <w:szCs w:val="24"/>
          <w:highlight w:val="none"/>
        </w:rPr>
        <w:t>的</w:t>
      </w:r>
      <w:r>
        <w:rPr>
          <w:rFonts w:hint="eastAsia" w:hAnsi="宋体" w:cs="宋体"/>
          <w:color w:val="auto"/>
          <w:szCs w:val="24"/>
          <w:highlight w:val="none"/>
          <w:u w:val="single"/>
        </w:rPr>
        <w:t>（项目名称）</w:t>
      </w:r>
      <w:r>
        <w:rPr>
          <w:rFonts w:hint="eastAsia" w:hAnsi="宋体" w:cs="宋体"/>
          <w:color w:val="auto"/>
          <w:szCs w:val="24"/>
          <w:highlight w:val="none"/>
        </w:rPr>
        <w:t>采购活动，工程的施工单位全部为符合政策要求的中小企业（或者：服务全部由符合政策要求的中小企业承接）。相关企业的具体情况如下：</w:t>
      </w:r>
    </w:p>
    <w:p w14:paraId="2B4F2C9A">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1.</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w:t>
      </w:r>
      <w:r>
        <w:rPr>
          <w:rFonts w:hint="eastAsia" w:hAnsi="宋体" w:cs="宋体"/>
          <w:color w:val="auto"/>
          <w:szCs w:val="24"/>
          <w:highlight w:val="none"/>
          <w:u w:val="single"/>
        </w:rPr>
        <w:t xml:space="preserve">为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379BBB01">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2.</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0AB1F3EB">
      <w:pPr>
        <w:tabs>
          <w:tab w:val="left" w:pos="1620"/>
          <w:tab w:val="left" w:pos="1800"/>
        </w:tabs>
        <w:spacing w:line="500" w:lineRule="exact"/>
        <w:rPr>
          <w:rFonts w:hAnsi="宋体" w:cs="宋体"/>
          <w:color w:val="auto"/>
          <w:szCs w:val="24"/>
          <w:highlight w:val="none"/>
        </w:rPr>
      </w:pPr>
      <w:r>
        <w:rPr>
          <w:rFonts w:hint="eastAsia" w:hAnsi="宋体" w:cs="宋体"/>
          <w:color w:val="auto"/>
          <w:szCs w:val="24"/>
          <w:highlight w:val="none"/>
        </w:rPr>
        <w:t>……</w:t>
      </w:r>
    </w:p>
    <w:p w14:paraId="5A637FCB">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以上企业，不属于大企业的分支机构，不存在控股股东为大企业的情形，也不存在与大企业的负责人为同一人的情形。</w:t>
      </w:r>
    </w:p>
    <w:p w14:paraId="738576D6">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本企业对上述声明内容的真实性负责。如有虚假，将依法承担相应责任。</w:t>
      </w:r>
    </w:p>
    <w:p w14:paraId="78F67D4F">
      <w:pPr>
        <w:tabs>
          <w:tab w:val="left" w:pos="1620"/>
          <w:tab w:val="left" w:pos="1800"/>
        </w:tabs>
        <w:spacing w:line="500" w:lineRule="exact"/>
        <w:rPr>
          <w:rFonts w:hAnsi="宋体" w:cs="宋体"/>
          <w:color w:val="auto"/>
          <w:szCs w:val="24"/>
          <w:highlight w:val="none"/>
        </w:rPr>
      </w:pPr>
    </w:p>
    <w:p w14:paraId="51749F0D">
      <w:pPr>
        <w:tabs>
          <w:tab w:val="left" w:pos="1620"/>
          <w:tab w:val="left" w:pos="1800"/>
        </w:tabs>
        <w:spacing w:line="500" w:lineRule="exact"/>
        <w:rPr>
          <w:rFonts w:hAnsi="宋体" w:cs="宋体"/>
          <w:color w:val="auto"/>
          <w:szCs w:val="24"/>
          <w:highlight w:val="none"/>
        </w:rPr>
      </w:pPr>
    </w:p>
    <w:p w14:paraId="0E7D717D">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企业名称（盖章）：</w:t>
      </w:r>
    </w:p>
    <w:p w14:paraId="7ADE0099">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日期：</w:t>
      </w:r>
    </w:p>
    <w:bookmarkEnd w:id="640"/>
    <w:p w14:paraId="2CD961E8">
      <w:pPr>
        <w:rPr>
          <w:color w:val="auto"/>
          <w:highlight w:val="none"/>
        </w:rPr>
      </w:pPr>
      <w:r>
        <w:rPr>
          <w:color w:val="auto"/>
          <w:highlight w:val="none"/>
        </w:rPr>
        <w:br w:type="page"/>
      </w:r>
    </w:p>
    <w:p w14:paraId="4E86C49A">
      <w:pPr>
        <w:spacing w:before="100" w:beforeAutospacing="1" w:after="156" w:afterLines="50" w:line="360" w:lineRule="auto"/>
        <w:rPr>
          <w:rFonts w:hAnsi="宋体" w:cs="宋体"/>
          <w:b/>
          <w:bCs/>
          <w:color w:val="auto"/>
          <w:spacing w:val="6"/>
          <w:sz w:val="30"/>
          <w:szCs w:val="30"/>
          <w:highlight w:val="none"/>
        </w:rPr>
      </w:pPr>
      <w:r>
        <w:rPr>
          <w:rFonts w:hint="eastAsia" w:hAnsi="宋体" w:cs="宋体"/>
          <w:b/>
          <w:bCs/>
          <w:color w:val="auto"/>
          <w:spacing w:val="6"/>
          <w:sz w:val="30"/>
          <w:szCs w:val="30"/>
          <w:highlight w:val="none"/>
        </w:rPr>
        <w:t>附件3（如有）：</w:t>
      </w:r>
    </w:p>
    <w:p w14:paraId="501C6497">
      <w:pPr>
        <w:spacing w:line="588" w:lineRule="exact"/>
        <w:jc w:val="center"/>
        <w:rPr>
          <w:rFonts w:hAnsi="宋体" w:cs="宋体"/>
          <w:b/>
          <w:color w:val="auto"/>
          <w:spacing w:val="6"/>
          <w:sz w:val="32"/>
          <w:szCs w:val="32"/>
          <w:highlight w:val="none"/>
        </w:rPr>
      </w:pPr>
      <w:bookmarkStart w:id="641" w:name="OLE_LINK14"/>
      <w:bookmarkStart w:id="642" w:name="OLE_LINK13"/>
      <w:r>
        <w:rPr>
          <w:rFonts w:hint="eastAsia" w:hAnsi="宋体" w:cs="宋体"/>
          <w:b/>
          <w:color w:val="auto"/>
          <w:spacing w:val="6"/>
          <w:sz w:val="32"/>
          <w:szCs w:val="32"/>
          <w:highlight w:val="none"/>
        </w:rPr>
        <w:t>残疾人福利性单位声明函</w:t>
      </w:r>
    </w:p>
    <w:bookmarkEnd w:id="641"/>
    <w:bookmarkEnd w:id="642"/>
    <w:p w14:paraId="6CA6F291">
      <w:pPr>
        <w:spacing w:line="588" w:lineRule="exact"/>
        <w:rPr>
          <w:rFonts w:hAnsi="宋体" w:cs="宋体"/>
          <w:b/>
          <w:color w:val="auto"/>
          <w:spacing w:val="6"/>
          <w:sz w:val="30"/>
          <w:szCs w:val="30"/>
          <w:highlight w:val="none"/>
        </w:rPr>
      </w:pPr>
    </w:p>
    <w:p w14:paraId="5A2E802C">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本单位郑重声明，根据《财政部 民政部 中国残疾人联合会关于促进残疾人就业政府采购政策的通知》（财库</w:t>
      </w:r>
      <w:r>
        <w:rPr>
          <w:rFonts w:hint="eastAsia" w:hAnsi="宋体" w:cs="宋体"/>
          <w:color w:val="auto"/>
          <w:szCs w:val="24"/>
          <w:highlight w:val="none"/>
        </w:rPr>
        <w:t>〔2017〕 141</w:t>
      </w:r>
      <w:r>
        <w:rPr>
          <w:rFonts w:hint="eastAsia" w:hAnsi="宋体" w:cs="宋体"/>
          <w:color w:val="auto"/>
          <w:spacing w:val="6"/>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CFF325D">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本单位对上述声明的真实性负责。如有虚假，将依法承担相应责任。</w:t>
      </w:r>
    </w:p>
    <w:p w14:paraId="23295838">
      <w:pPr>
        <w:spacing w:line="588" w:lineRule="exact"/>
        <w:ind w:firstLine="504" w:firstLineChars="200"/>
        <w:rPr>
          <w:rFonts w:hAnsi="宋体" w:cs="宋体"/>
          <w:color w:val="auto"/>
          <w:spacing w:val="6"/>
          <w:szCs w:val="24"/>
          <w:highlight w:val="none"/>
        </w:rPr>
      </w:pPr>
    </w:p>
    <w:p w14:paraId="5B8333D8">
      <w:pPr>
        <w:spacing w:line="588" w:lineRule="exact"/>
        <w:ind w:firstLine="504" w:firstLineChars="200"/>
        <w:rPr>
          <w:rFonts w:hAnsi="宋体" w:cs="宋体"/>
          <w:color w:val="auto"/>
          <w:spacing w:val="6"/>
          <w:szCs w:val="24"/>
          <w:highlight w:val="none"/>
        </w:rPr>
      </w:pPr>
    </w:p>
    <w:p w14:paraId="75FF74F6">
      <w:pPr>
        <w:spacing w:line="588" w:lineRule="exact"/>
        <w:ind w:firstLine="504" w:firstLineChars="200"/>
        <w:rPr>
          <w:rFonts w:hAnsi="宋体" w:cs="宋体"/>
          <w:color w:val="auto"/>
          <w:spacing w:val="6"/>
          <w:szCs w:val="24"/>
          <w:highlight w:val="none"/>
        </w:rPr>
      </w:pPr>
    </w:p>
    <w:p w14:paraId="6683852D">
      <w:pPr>
        <w:spacing w:line="588" w:lineRule="exact"/>
        <w:ind w:firstLine="504" w:firstLineChars="200"/>
        <w:rPr>
          <w:rFonts w:hAnsi="宋体" w:cs="宋体"/>
          <w:color w:val="auto"/>
          <w:spacing w:val="6"/>
          <w:szCs w:val="24"/>
          <w:highlight w:val="none"/>
        </w:rPr>
      </w:pPr>
    </w:p>
    <w:p w14:paraId="105C8B8B">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单位名称（盖章）：</w:t>
      </w:r>
    </w:p>
    <w:p w14:paraId="683AA40E">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日    期：</w:t>
      </w:r>
    </w:p>
    <w:p w14:paraId="6B58E72E">
      <w:pPr>
        <w:rPr>
          <w:color w:val="auto"/>
          <w:sz w:val="18"/>
          <w:highlight w:val="none"/>
        </w:rPr>
      </w:pPr>
      <w:r>
        <w:rPr>
          <w:rFonts w:hint="eastAsia"/>
          <w:color w:val="auto"/>
          <w:sz w:val="18"/>
          <w:highlight w:val="none"/>
        </w:rPr>
        <w:br w:type="page"/>
      </w:r>
    </w:p>
    <w:p w14:paraId="77C6253D">
      <w:pPr>
        <w:spacing w:before="312" w:beforeLines="100" w:after="156" w:afterLines="50"/>
        <w:rPr>
          <w:rFonts w:hAnsi="宋体" w:cs="宋体"/>
          <w:b/>
          <w:color w:val="auto"/>
          <w:sz w:val="28"/>
          <w:szCs w:val="28"/>
          <w:highlight w:val="none"/>
        </w:rPr>
      </w:pPr>
      <w:r>
        <w:rPr>
          <w:rFonts w:hint="eastAsia" w:hAnsi="宋体" w:cs="宋体"/>
          <w:b/>
          <w:color w:val="auto"/>
          <w:sz w:val="28"/>
          <w:szCs w:val="28"/>
          <w:highlight w:val="none"/>
        </w:rPr>
        <w:t>附件4（如有）：</w:t>
      </w:r>
    </w:p>
    <w:p w14:paraId="419DCD38">
      <w:pPr>
        <w:spacing w:before="312" w:beforeLines="100" w:after="156" w:afterLines="50"/>
        <w:jc w:val="center"/>
        <w:rPr>
          <w:rFonts w:hAnsi="宋体" w:cs="宋体"/>
          <w:b/>
          <w:color w:val="auto"/>
          <w:sz w:val="28"/>
          <w:szCs w:val="28"/>
          <w:highlight w:val="none"/>
        </w:rPr>
      </w:pPr>
      <w:r>
        <w:rPr>
          <w:rFonts w:hint="eastAsia" w:hAnsi="宋体" w:cs="宋体"/>
          <w:b/>
          <w:color w:val="auto"/>
          <w:sz w:val="28"/>
          <w:szCs w:val="28"/>
          <w:highlight w:val="none"/>
        </w:rPr>
        <w:t>磋商产品属节能、环境标志产品列表</w:t>
      </w:r>
    </w:p>
    <w:p w14:paraId="4DD7EBC1">
      <w:pPr>
        <w:spacing w:line="360" w:lineRule="auto"/>
        <w:rPr>
          <w:rFonts w:hAnsi="宋体" w:cs="宋体"/>
          <w:bCs/>
          <w:color w:val="auto"/>
          <w:szCs w:val="24"/>
          <w:highlight w:val="none"/>
        </w:rPr>
      </w:pPr>
      <w:r>
        <w:rPr>
          <w:rFonts w:hint="eastAsia" w:hAnsi="宋体" w:cs="宋体"/>
          <w:bCs/>
          <w:color w:val="auto"/>
          <w:szCs w:val="24"/>
          <w:highlight w:val="none"/>
        </w:rPr>
        <w:t>项目名称：</w:t>
      </w:r>
    </w:p>
    <w:p w14:paraId="0871D1C7">
      <w:pPr>
        <w:spacing w:line="360" w:lineRule="auto"/>
        <w:rPr>
          <w:rFonts w:hAnsi="宋体" w:cs="宋体"/>
          <w:bCs/>
          <w:color w:val="auto"/>
          <w:szCs w:val="24"/>
          <w:highlight w:val="none"/>
        </w:rPr>
      </w:pPr>
      <w:r>
        <w:rPr>
          <w:rFonts w:hint="eastAsia" w:hAnsi="宋体" w:cs="宋体"/>
          <w:bCs/>
          <w:color w:val="auto"/>
          <w:szCs w:val="24"/>
          <w:highlight w:val="none"/>
        </w:rPr>
        <w:t>项目编号：</w:t>
      </w:r>
    </w:p>
    <w:tbl>
      <w:tblPr>
        <w:tblStyle w:val="25"/>
        <w:tblW w:w="0" w:type="auto"/>
        <w:tblInd w:w="0" w:type="dxa"/>
        <w:tblLayout w:type="fixed"/>
        <w:tblCellMar>
          <w:top w:w="0" w:type="dxa"/>
          <w:left w:w="28" w:type="dxa"/>
          <w:bottom w:w="0" w:type="dxa"/>
          <w:right w:w="28" w:type="dxa"/>
        </w:tblCellMar>
      </w:tblPr>
      <w:tblGrid>
        <w:gridCol w:w="886"/>
        <w:gridCol w:w="1863"/>
        <w:gridCol w:w="2250"/>
        <w:gridCol w:w="1311"/>
        <w:gridCol w:w="1307"/>
        <w:gridCol w:w="1313"/>
      </w:tblGrid>
      <w:tr w14:paraId="09F5F082">
        <w:tblPrEx>
          <w:tblCellMar>
            <w:top w:w="0" w:type="dxa"/>
            <w:left w:w="28" w:type="dxa"/>
            <w:bottom w:w="0" w:type="dxa"/>
            <w:right w:w="28" w:type="dxa"/>
          </w:tblCellMar>
        </w:tblPrEx>
        <w:trPr>
          <w:trHeight w:val="911" w:hRule="atLeast"/>
        </w:trPr>
        <w:tc>
          <w:tcPr>
            <w:tcW w:w="886" w:type="dxa"/>
            <w:tcBorders>
              <w:top w:val="single" w:color="auto" w:sz="6" w:space="0"/>
              <w:left w:val="single" w:color="auto" w:sz="4" w:space="0"/>
              <w:bottom w:val="single" w:color="auto" w:sz="6" w:space="0"/>
            </w:tcBorders>
            <w:vAlign w:val="center"/>
          </w:tcPr>
          <w:p w14:paraId="763A0748">
            <w:pPr>
              <w:spacing w:after="120"/>
              <w:jc w:val="center"/>
              <w:rPr>
                <w:rFonts w:hAnsi="宋体" w:cs="宋体"/>
                <w:color w:val="auto"/>
                <w:highlight w:val="none"/>
              </w:rPr>
            </w:pPr>
            <w:r>
              <w:rPr>
                <w:rFonts w:hint="eastAsia" w:hAnsi="宋体" w:cs="宋体"/>
                <w:color w:val="auto"/>
                <w:highlight w:val="none"/>
              </w:rPr>
              <w:t>序号</w:t>
            </w:r>
          </w:p>
        </w:tc>
        <w:tc>
          <w:tcPr>
            <w:tcW w:w="1863" w:type="dxa"/>
            <w:tcBorders>
              <w:top w:val="single" w:color="auto" w:sz="6" w:space="0"/>
              <w:left w:val="single" w:color="auto" w:sz="6" w:space="0"/>
              <w:bottom w:val="single" w:color="auto" w:sz="6" w:space="0"/>
              <w:right w:val="single" w:color="auto" w:sz="6" w:space="0"/>
            </w:tcBorders>
            <w:vAlign w:val="center"/>
          </w:tcPr>
          <w:p w14:paraId="1B78CC2D">
            <w:pPr>
              <w:spacing w:after="120"/>
              <w:jc w:val="center"/>
              <w:rPr>
                <w:rFonts w:hAnsi="宋体" w:cs="宋体"/>
                <w:color w:val="auto"/>
                <w:highlight w:val="none"/>
              </w:rPr>
            </w:pPr>
            <w:r>
              <w:rPr>
                <w:rFonts w:hint="eastAsia" w:hAnsi="宋体" w:cs="宋体"/>
                <w:color w:val="auto"/>
                <w:highlight w:val="none"/>
              </w:rPr>
              <w:t>名称</w:t>
            </w:r>
          </w:p>
        </w:tc>
        <w:tc>
          <w:tcPr>
            <w:tcW w:w="2250" w:type="dxa"/>
            <w:tcBorders>
              <w:top w:val="single" w:color="auto" w:sz="6" w:space="0"/>
              <w:left w:val="single" w:color="auto" w:sz="6" w:space="0"/>
              <w:bottom w:val="single" w:color="auto" w:sz="6" w:space="0"/>
              <w:right w:val="single" w:color="auto" w:sz="6" w:space="0"/>
            </w:tcBorders>
            <w:vAlign w:val="center"/>
          </w:tcPr>
          <w:p w14:paraId="51D904BF">
            <w:pPr>
              <w:spacing w:before="156" w:beforeLines="50" w:after="120"/>
              <w:jc w:val="center"/>
              <w:rPr>
                <w:rFonts w:hAnsi="宋体" w:cs="宋体"/>
                <w:color w:val="auto"/>
                <w:highlight w:val="none"/>
              </w:rPr>
            </w:pPr>
            <w:r>
              <w:rPr>
                <w:rFonts w:hint="eastAsia" w:hAnsi="宋体" w:cs="宋体"/>
                <w:color w:val="auto"/>
                <w:highlight w:val="none"/>
              </w:rPr>
              <w:t>型号和规格</w:t>
            </w:r>
          </w:p>
        </w:tc>
        <w:tc>
          <w:tcPr>
            <w:tcW w:w="1311" w:type="dxa"/>
            <w:tcBorders>
              <w:top w:val="single" w:color="auto" w:sz="6" w:space="0"/>
              <w:left w:val="single" w:color="auto" w:sz="6" w:space="0"/>
              <w:bottom w:val="single" w:color="auto" w:sz="6" w:space="0"/>
              <w:right w:val="single" w:color="auto" w:sz="6" w:space="0"/>
            </w:tcBorders>
            <w:vAlign w:val="center"/>
          </w:tcPr>
          <w:p w14:paraId="23222265">
            <w:pPr>
              <w:spacing w:after="120"/>
              <w:jc w:val="center"/>
              <w:rPr>
                <w:rFonts w:hAnsi="宋体" w:cs="宋体"/>
                <w:color w:val="auto"/>
                <w:highlight w:val="none"/>
              </w:rPr>
            </w:pPr>
            <w:r>
              <w:rPr>
                <w:rFonts w:hint="eastAsia" w:hAnsi="宋体" w:cs="宋体"/>
                <w:color w:val="auto"/>
                <w:highlight w:val="none"/>
              </w:rPr>
              <w:t>数量</w:t>
            </w:r>
          </w:p>
        </w:tc>
        <w:tc>
          <w:tcPr>
            <w:tcW w:w="1307" w:type="dxa"/>
            <w:tcBorders>
              <w:top w:val="single" w:color="auto" w:sz="6" w:space="0"/>
              <w:left w:val="single" w:color="auto" w:sz="6" w:space="0"/>
              <w:bottom w:val="single" w:color="auto" w:sz="6" w:space="0"/>
              <w:right w:val="single" w:color="auto" w:sz="6" w:space="0"/>
            </w:tcBorders>
            <w:vAlign w:val="center"/>
          </w:tcPr>
          <w:p w14:paraId="523406F8">
            <w:pPr>
              <w:spacing w:after="120"/>
              <w:jc w:val="center"/>
              <w:rPr>
                <w:rFonts w:hAnsi="宋体" w:cs="宋体"/>
                <w:color w:val="auto"/>
                <w:highlight w:val="none"/>
              </w:rPr>
            </w:pPr>
            <w:r>
              <w:rPr>
                <w:rFonts w:hint="eastAsia" w:hAnsi="宋体" w:cs="宋体"/>
                <w:color w:val="auto"/>
                <w:highlight w:val="none"/>
              </w:rPr>
              <w:t>单价</w:t>
            </w:r>
          </w:p>
          <w:p w14:paraId="412DC0C6">
            <w:pPr>
              <w:spacing w:after="120"/>
              <w:jc w:val="center"/>
              <w:rPr>
                <w:rFonts w:hAnsi="宋体" w:cs="宋体"/>
                <w:bCs/>
                <w:color w:val="auto"/>
                <w:highlight w:val="none"/>
              </w:rPr>
            </w:pPr>
            <w:r>
              <w:rPr>
                <w:rFonts w:hint="eastAsia" w:hAnsi="宋体" w:cs="宋体"/>
                <w:color w:val="auto"/>
                <w:highlight w:val="none"/>
              </w:rPr>
              <w:t>（元）</w:t>
            </w:r>
          </w:p>
        </w:tc>
        <w:tc>
          <w:tcPr>
            <w:tcW w:w="1313" w:type="dxa"/>
            <w:tcBorders>
              <w:top w:val="single" w:color="auto" w:sz="6" w:space="0"/>
              <w:left w:val="single" w:color="auto" w:sz="6" w:space="0"/>
              <w:bottom w:val="single" w:color="auto" w:sz="6" w:space="0"/>
              <w:right w:val="single" w:color="auto" w:sz="6" w:space="0"/>
            </w:tcBorders>
            <w:vAlign w:val="center"/>
          </w:tcPr>
          <w:p w14:paraId="3E25A164">
            <w:pPr>
              <w:spacing w:after="120"/>
              <w:jc w:val="center"/>
              <w:rPr>
                <w:rFonts w:hAnsi="宋体" w:cs="宋体"/>
                <w:bCs/>
                <w:color w:val="auto"/>
                <w:highlight w:val="none"/>
              </w:rPr>
            </w:pPr>
            <w:r>
              <w:rPr>
                <w:rFonts w:hint="eastAsia" w:hAnsi="宋体" w:cs="宋体"/>
                <w:bCs/>
                <w:color w:val="auto"/>
                <w:highlight w:val="none"/>
              </w:rPr>
              <w:t>总价</w:t>
            </w:r>
          </w:p>
          <w:p w14:paraId="607BA77A">
            <w:pPr>
              <w:spacing w:after="120"/>
              <w:jc w:val="center"/>
              <w:rPr>
                <w:rFonts w:hAnsi="宋体" w:cs="宋体"/>
                <w:bCs/>
                <w:color w:val="auto"/>
                <w:highlight w:val="none"/>
              </w:rPr>
            </w:pPr>
            <w:r>
              <w:rPr>
                <w:rFonts w:hint="eastAsia" w:hAnsi="宋体" w:cs="宋体"/>
                <w:bCs/>
                <w:color w:val="auto"/>
                <w:highlight w:val="none"/>
              </w:rPr>
              <w:t>（元）</w:t>
            </w:r>
          </w:p>
        </w:tc>
      </w:tr>
      <w:tr w14:paraId="1D72CD2A">
        <w:tblPrEx>
          <w:tblCellMar>
            <w:top w:w="0" w:type="dxa"/>
            <w:left w:w="28" w:type="dxa"/>
            <w:bottom w:w="0" w:type="dxa"/>
            <w:right w:w="28" w:type="dxa"/>
          </w:tblCellMar>
        </w:tblPrEx>
        <w:trPr>
          <w:trHeight w:val="808" w:hRule="atLeast"/>
        </w:trPr>
        <w:tc>
          <w:tcPr>
            <w:tcW w:w="886" w:type="dxa"/>
            <w:tcBorders>
              <w:top w:val="single" w:color="auto" w:sz="6" w:space="0"/>
              <w:left w:val="single" w:color="auto" w:sz="4" w:space="0"/>
              <w:bottom w:val="single" w:color="auto" w:sz="4" w:space="0"/>
            </w:tcBorders>
            <w:vAlign w:val="center"/>
          </w:tcPr>
          <w:p w14:paraId="149BD52F">
            <w:pPr>
              <w:spacing w:before="312" w:beforeLines="100"/>
              <w:jc w:val="center"/>
              <w:rPr>
                <w:rFonts w:hAnsi="宋体" w:cs="宋体"/>
                <w:color w:val="auto"/>
                <w:highlight w:val="none"/>
              </w:rPr>
            </w:pPr>
            <w:r>
              <w:rPr>
                <w:rFonts w:hint="eastAsia" w:hAnsi="宋体" w:cs="宋体"/>
                <w:color w:val="auto"/>
                <w:highlight w:val="none"/>
              </w:rPr>
              <w:t>1</w:t>
            </w:r>
          </w:p>
        </w:tc>
        <w:tc>
          <w:tcPr>
            <w:tcW w:w="1863" w:type="dxa"/>
            <w:tcBorders>
              <w:top w:val="single" w:color="auto" w:sz="6" w:space="0"/>
              <w:left w:val="single" w:color="auto" w:sz="6" w:space="0"/>
              <w:bottom w:val="single" w:color="auto" w:sz="4" w:space="0"/>
              <w:right w:val="single" w:color="auto" w:sz="6" w:space="0"/>
            </w:tcBorders>
            <w:vAlign w:val="center"/>
          </w:tcPr>
          <w:p w14:paraId="3D510609">
            <w:pPr>
              <w:spacing w:before="156" w:beforeLines="50"/>
              <w:jc w:val="center"/>
              <w:rPr>
                <w:rFonts w:hAnsi="宋体" w:cs="宋体"/>
                <w:color w:val="auto"/>
                <w:highlight w:val="none"/>
              </w:rPr>
            </w:pPr>
          </w:p>
        </w:tc>
        <w:tc>
          <w:tcPr>
            <w:tcW w:w="2250" w:type="dxa"/>
            <w:tcBorders>
              <w:top w:val="single" w:color="auto" w:sz="6" w:space="0"/>
              <w:left w:val="single" w:color="auto" w:sz="6" w:space="0"/>
              <w:bottom w:val="single" w:color="auto" w:sz="4" w:space="0"/>
              <w:right w:val="single" w:color="auto" w:sz="6" w:space="0"/>
            </w:tcBorders>
            <w:vAlign w:val="center"/>
          </w:tcPr>
          <w:p w14:paraId="237DB03B">
            <w:pPr>
              <w:spacing w:before="156" w:beforeLines="50"/>
              <w:jc w:val="center"/>
              <w:rPr>
                <w:rFonts w:hAnsi="宋体" w:cs="宋体"/>
                <w:color w:val="auto"/>
                <w:highlight w:val="none"/>
              </w:rPr>
            </w:pPr>
          </w:p>
        </w:tc>
        <w:tc>
          <w:tcPr>
            <w:tcW w:w="1311" w:type="dxa"/>
            <w:tcBorders>
              <w:top w:val="single" w:color="auto" w:sz="6" w:space="0"/>
              <w:left w:val="single" w:color="auto" w:sz="6" w:space="0"/>
              <w:bottom w:val="single" w:color="auto" w:sz="4" w:space="0"/>
              <w:right w:val="single" w:color="auto" w:sz="6" w:space="0"/>
            </w:tcBorders>
            <w:vAlign w:val="center"/>
          </w:tcPr>
          <w:p w14:paraId="79627B27">
            <w:pPr>
              <w:spacing w:before="156" w:beforeLines="50"/>
              <w:jc w:val="center"/>
              <w:rPr>
                <w:rFonts w:hAnsi="宋体" w:cs="宋体"/>
                <w:color w:val="auto"/>
                <w:highlight w:val="none"/>
              </w:rPr>
            </w:pPr>
          </w:p>
        </w:tc>
        <w:tc>
          <w:tcPr>
            <w:tcW w:w="1307" w:type="dxa"/>
            <w:tcBorders>
              <w:top w:val="single" w:color="auto" w:sz="6" w:space="0"/>
              <w:left w:val="single" w:color="auto" w:sz="6" w:space="0"/>
              <w:bottom w:val="single" w:color="auto" w:sz="4" w:space="0"/>
              <w:right w:val="single" w:color="auto" w:sz="6" w:space="0"/>
            </w:tcBorders>
            <w:vAlign w:val="center"/>
          </w:tcPr>
          <w:p w14:paraId="5210CC94">
            <w:pPr>
              <w:spacing w:before="156" w:beforeLines="50"/>
              <w:jc w:val="center"/>
              <w:rPr>
                <w:rFonts w:hAnsi="宋体" w:cs="宋体"/>
                <w:color w:val="auto"/>
                <w:highlight w:val="none"/>
              </w:rPr>
            </w:pPr>
          </w:p>
        </w:tc>
        <w:tc>
          <w:tcPr>
            <w:tcW w:w="1313" w:type="dxa"/>
            <w:tcBorders>
              <w:top w:val="single" w:color="auto" w:sz="6" w:space="0"/>
              <w:left w:val="single" w:color="auto" w:sz="6" w:space="0"/>
              <w:bottom w:val="single" w:color="auto" w:sz="4" w:space="0"/>
              <w:right w:val="single" w:color="auto" w:sz="6" w:space="0"/>
            </w:tcBorders>
            <w:vAlign w:val="center"/>
          </w:tcPr>
          <w:p w14:paraId="0E2694EB">
            <w:pPr>
              <w:spacing w:before="156" w:beforeLines="50"/>
              <w:jc w:val="center"/>
              <w:rPr>
                <w:rFonts w:hAnsi="宋体" w:cs="宋体"/>
                <w:color w:val="auto"/>
                <w:highlight w:val="none"/>
              </w:rPr>
            </w:pPr>
          </w:p>
        </w:tc>
      </w:tr>
      <w:tr w14:paraId="7FEA08E1">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CC6C92B">
            <w:pPr>
              <w:spacing w:before="312" w:beforeLines="100"/>
              <w:jc w:val="center"/>
              <w:rPr>
                <w:rFonts w:hAnsi="宋体" w:cs="宋体"/>
                <w:color w:val="auto"/>
                <w:highlight w:val="none"/>
              </w:rPr>
            </w:pPr>
            <w:r>
              <w:rPr>
                <w:rFonts w:hint="eastAsia" w:hAnsi="宋体" w:cs="宋体"/>
                <w:color w:val="auto"/>
                <w:highlight w:val="none"/>
              </w:rPr>
              <w:t>2</w:t>
            </w:r>
          </w:p>
        </w:tc>
        <w:tc>
          <w:tcPr>
            <w:tcW w:w="1863" w:type="dxa"/>
            <w:tcBorders>
              <w:top w:val="single" w:color="auto" w:sz="4" w:space="0"/>
              <w:left w:val="single" w:color="auto" w:sz="6" w:space="0"/>
              <w:bottom w:val="single" w:color="auto" w:sz="6" w:space="0"/>
              <w:right w:val="single" w:color="auto" w:sz="6" w:space="0"/>
            </w:tcBorders>
            <w:vAlign w:val="center"/>
          </w:tcPr>
          <w:p w14:paraId="3A813906">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69EE4F41">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6A15E5A3">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3DB8C532">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2980E66F">
            <w:pPr>
              <w:spacing w:before="156" w:beforeLines="50"/>
              <w:jc w:val="center"/>
              <w:rPr>
                <w:rFonts w:hAnsi="宋体" w:cs="宋体"/>
                <w:color w:val="auto"/>
                <w:highlight w:val="none"/>
              </w:rPr>
            </w:pPr>
          </w:p>
        </w:tc>
      </w:tr>
      <w:tr w14:paraId="11650613">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3145695">
            <w:pPr>
              <w:spacing w:before="312" w:beforeLines="100"/>
              <w:jc w:val="center"/>
              <w:rPr>
                <w:rFonts w:hAnsi="宋体" w:cs="宋体"/>
                <w:color w:val="auto"/>
                <w:highlight w:val="none"/>
              </w:rPr>
            </w:pPr>
            <w:r>
              <w:rPr>
                <w:rFonts w:hint="eastAsia" w:hAnsi="宋体" w:cs="宋体"/>
                <w:color w:val="auto"/>
                <w:highlight w:val="none"/>
              </w:rPr>
              <w:t>3</w:t>
            </w:r>
          </w:p>
        </w:tc>
        <w:tc>
          <w:tcPr>
            <w:tcW w:w="1863" w:type="dxa"/>
            <w:tcBorders>
              <w:top w:val="single" w:color="auto" w:sz="4" w:space="0"/>
              <w:left w:val="single" w:color="auto" w:sz="6" w:space="0"/>
              <w:bottom w:val="single" w:color="auto" w:sz="6" w:space="0"/>
              <w:right w:val="single" w:color="auto" w:sz="6" w:space="0"/>
            </w:tcBorders>
            <w:vAlign w:val="center"/>
          </w:tcPr>
          <w:p w14:paraId="69AF9509">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39D3A136">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2D23181D">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11950B10">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354D5C2C">
            <w:pPr>
              <w:spacing w:before="156" w:beforeLines="50"/>
              <w:jc w:val="center"/>
              <w:rPr>
                <w:rFonts w:hAnsi="宋体" w:cs="宋体"/>
                <w:color w:val="auto"/>
                <w:highlight w:val="none"/>
              </w:rPr>
            </w:pPr>
          </w:p>
        </w:tc>
      </w:tr>
      <w:tr w14:paraId="316CA0CF">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6A043D9">
            <w:pPr>
              <w:spacing w:before="312" w:beforeLines="100"/>
              <w:jc w:val="center"/>
              <w:rPr>
                <w:rFonts w:hAnsi="宋体" w:cs="宋体"/>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459E144">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261CD135">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40467FD9">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00C193E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7194DD84">
            <w:pPr>
              <w:spacing w:before="156" w:beforeLines="50"/>
              <w:jc w:val="center"/>
              <w:rPr>
                <w:rFonts w:hAnsi="宋体" w:cs="宋体"/>
                <w:color w:val="auto"/>
                <w:highlight w:val="none"/>
              </w:rPr>
            </w:pPr>
          </w:p>
        </w:tc>
      </w:tr>
      <w:tr w14:paraId="5DE2FD88">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71EE1C3">
            <w:pPr>
              <w:spacing w:before="312" w:beforeLines="100"/>
              <w:jc w:val="center"/>
              <w:rPr>
                <w:rFonts w:hAnsi="宋体" w:cs="宋体"/>
                <w:b/>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3895B88">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46BF47DC">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309F54D6">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73A95B4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6194BD44">
            <w:pPr>
              <w:spacing w:before="156" w:beforeLines="50"/>
              <w:jc w:val="center"/>
              <w:rPr>
                <w:rFonts w:hAnsi="宋体" w:cs="宋体"/>
                <w:color w:val="auto"/>
                <w:highlight w:val="none"/>
              </w:rPr>
            </w:pPr>
          </w:p>
        </w:tc>
      </w:tr>
      <w:tr w14:paraId="5CEFEE7D">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13A7B2A7">
            <w:pPr>
              <w:jc w:val="center"/>
              <w:rPr>
                <w:rFonts w:hAnsi="宋体" w:cs="宋体"/>
                <w:color w:val="auto"/>
                <w:highlight w:val="none"/>
              </w:rPr>
            </w:pPr>
            <w:r>
              <w:rPr>
                <w:rFonts w:hint="eastAsia" w:hAnsi="宋体" w:cs="宋体"/>
                <w:color w:val="auto"/>
                <w:highlight w:val="none"/>
              </w:rPr>
              <w:t>合计：</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3D6108DE">
            <w:pPr>
              <w:spacing w:before="156" w:beforeLines="50"/>
              <w:jc w:val="left"/>
              <w:rPr>
                <w:rFonts w:hAnsi="宋体" w:cs="宋体"/>
                <w:color w:val="auto"/>
                <w:highlight w:val="none"/>
              </w:rPr>
            </w:pPr>
            <w:r>
              <w:rPr>
                <w:rFonts w:hint="eastAsia" w:hAnsi="宋体" w:cs="宋体"/>
                <w:color w:val="auto"/>
                <w:highlight w:val="none"/>
              </w:rPr>
              <w:t>大写：                                小写：</w:t>
            </w:r>
          </w:p>
        </w:tc>
      </w:tr>
      <w:tr w14:paraId="39E7FB39">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6DBC2862">
            <w:pPr>
              <w:jc w:val="center"/>
              <w:rPr>
                <w:rFonts w:hAnsi="宋体" w:cs="宋体"/>
                <w:color w:val="auto"/>
                <w:highlight w:val="none"/>
              </w:rPr>
            </w:pPr>
            <w:r>
              <w:rPr>
                <w:rFonts w:hint="eastAsia" w:hAnsi="宋体" w:cs="宋体"/>
                <w:color w:val="auto"/>
                <w:highlight w:val="none"/>
              </w:rPr>
              <w:t>备注</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025C5B5B">
            <w:pPr>
              <w:spacing w:before="156" w:beforeLines="50"/>
              <w:jc w:val="center"/>
              <w:rPr>
                <w:rFonts w:hAnsi="宋体" w:cs="宋体"/>
                <w:color w:val="auto"/>
                <w:highlight w:val="none"/>
              </w:rPr>
            </w:pPr>
            <w:r>
              <w:rPr>
                <w:rFonts w:hint="eastAsia" w:hAnsi="宋体" w:cs="宋体"/>
                <w:color w:val="auto"/>
                <w:spacing w:val="-6"/>
                <w:highlight w:val="none"/>
              </w:rPr>
              <w:t>保留小数点后两位。</w:t>
            </w:r>
          </w:p>
        </w:tc>
      </w:tr>
    </w:tbl>
    <w:p w14:paraId="57D9E4FE">
      <w:pPr>
        <w:adjustRightInd w:val="0"/>
        <w:snapToGrid w:val="0"/>
        <w:spacing w:line="360" w:lineRule="auto"/>
        <w:rPr>
          <w:rFonts w:hAnsi="宋体" w:cs="宋体"/>
          <w:color w:val="auto"/>
          <w:szCs w:val="21"/>
          <w:highlight w:val="none"/>
        </w:rPr>
      </w:pPr>
    </w:p>
    <w:p w14:paraId="7A6B2C83">
      <w:pPr>
        <w:adjustRightInd w:val="0"/>
        <w:snapToGrid w:val="0"/>
        <w:spacing w:line="360" w:lineRule="auto"/>
        <w:rPr>
          <w:rFonts w:hAnsi="宋体" w:cs="宋体"/>
          <w:bCs/>
          <w:color w:val="auto"/>
          <w:szCs w:val="21"/>
          <w:highlight w:val="none"/>
        </w:rPr>
      </w:pPr>
      <w:r>
        <w:rPr>
          <w:rFonts w:hint="eastAsia" w:hAnsi="宋体" w:cs="宋体"/>
          <w:color w:val="auto"/>
          <w:szCs w:val="21"/>
          <w:highlight w:val="none"/>
        </w:rPr>
        <w:t>说明：</w:t>
      </w:r>
      <w:r>
        <w:rPr>
          <w:rFonts w:hint="eastAsia" w:hAnsi="宋体" w:cs="宋体"/>
          <w:bCs/>
          <w:color w:val="auto"/>
          <w:szCs w:val="21"/>
          <w:highlight w:val="none"/>
        </w:rPr>
        <w:t>1、</w:t>
      </w:r>
      <w:r>
        <w:rPr>
          <w:rFonts w:hint="eastAsia" w:hAnsi="宋体" w:cs="宋体"/>
          <w:color w:val="auto"/>
          <w:szCs w:val="21"/>
          <w:highlight w:val="none"/>
        </w:rPr>
        <w:t>供应商提供的属于节能、环境标志产品品目清单中优先采购的产品，须按磋商文件要求提供相关证明材料。</w:t>
      </w:r>
    </w:p>
    <w:p w14:paraId="5B8C252B">
      <w:pPr>
        <w:rPr>
          <w:rFonts w:hAnsi="宋体" w:cs="宋体"/>
          <w:bCs/>
          <w:color w:val="auto"/>
          <w:highlight w:val="none"/>
        </w:rPr>
      </w:pPr>
      <w:r>
        <w:rPr>
          <w:rFonts w:hint="eastAsia" w:hAnsi="宋体" w:cs="宋体"/>
          <w:bCs/>
          <w:color w:val="auto"/>
          <w:highlight w:val="none"/>
        </w:rPr>
        <w:t>2、未按上述要求提供、</w:t>
      </w:r>
      <w:r>
        <w:rPr>
          <w:rFonts w:hint="eastAsia" w:hAnsi="宋体" w:cs="宋体"/>
          <w:color w:val="auto"/>
          <w:highlight w:val="none"/>
        </w:rPr>
        <w:t>填写</w:t>
      </w:r>
      <w:r>
        <w:rPr>
          <w:rFonts w:hint="eastAsia" w:hAnsi="宋体" w:cs="宋体"/>
          <w:bCs/>
          <w:color w:val="auto"/>
          <w:highlight w:val="none"/>
        </w:rPr>
        <w:t>的，评审时不予以考虑。</w:t>
      </w:r>
    </w:p>
    <w:p w14:paraId="75747F79">
      <w:pPr>
        <w:rPr>
          <w:rFonts w:hAnsi="宋体" w:cs="宋体"/>
          <w:bCs/>
          <w:color w:val="auto"/>
          <w:highlight w:val="none"/>
        </w:rPr>
      </w:pPr>
      <w:r>
        <w:rPr>
          <w:rFonts w:hint="eastAsia" w:hAnsi="宋体" w:cs="宋体"/>
          <w:bCs/>
          <w:color w:val="auto"/>
          <w:highlight w:val="none"/>
        </w:rPr>
        <w:br w:type="page"/>
      </w:r>
    </w:p>
    <w:p w14:paraId="5AC67E53">
      <w:pPr>
        <w:spacing w:line="360" w:lineRule="auto"/>
        <w:rPr>
          <w:rFonts w:hAnsi="宋体" w:cs="宋体"/>
          <w:b/>
          <w:color w:val="auto"/>
          <w:sz w:val="28"/>
          <w:szCs w:val="28"/>
          <w:highlight w:val="none"/>
        </w:rPr>
      </w:pPr>
      <w:r>
        <w:rPr>
          <w:rFonts w:hint="eastAsia" w:hAnsi="宋体" w:cs="宋体"/>
          <w:b/>
          <w:color w:val="auto"/>
          <w:sz w:val="28"/>
          <w:szCs w:val="28"/>
          <w:highlight w:val="none"/>
        </w:rPr>
        <w:t>附件5：</w:t>
      </w:r>
    </w:p>
    <w:p w14:paraId="475371F0">
      <w:pPr>
        <w:jc w:val="center"/>
        <w:rPr>
          <w:rFonts w:hAnsi="宋体" w:cs="宋体"/>
          <w:b/>
          <w:bCs/>
          <w:color w:val="auto"/>
          <w:sz w:val="44"/>
          <w:szCs w:val="44"/>
          <w:highlight w:val="none"/>
        </w:rPr>
      </w:pPr>
      <w:r>
        <w:rPr>
          <w:rFonts w:hint="eastAsia" w:hAnsi="宋体" w:cs="宋体"/>
          <w:b/>
          <w:bCs/>
          <w:color w:val="auto"/>
          <w:sz w:val="44"/>
          <w:szCs w:val="44"/>
          <w:highlight w:val="none"/>
        </w:rPr>
        <w:t>质疑函范本</w:t>
      </w:r>
    </w:p>
    <w:p w14:paraId="4B553C03">
      <w:pPr>
        <w:adjustRightInd w:val="0"/>
        <w:snapToGrid w:val="0"/>
        <w:spacing w:before="312" w:beforeLines="100" w:line="360" w:lineRule="auto"/>
        <w:rPr>
          <w:rFonts w:hAnsi="宋体" w:cs="宋体"/>
          <w:bCs/>
          <w:color w:val="auto"/>
          <w:szCs w:val="24"/>
          <w:highlight w:val="none"/>
        </w:rPr>
      </w:pPr>
      <w:r>
        <w:rPr>
          <w:rFonts w:hint="eastAsia" w:hAnsi="宋体" w:cs="宋体"/>
          <w:bCs/>
          <w:color w:val="auto"/>
          <w:szCs w:val="24"/>
          <w:highlight w:val="none"/>
        </w:rPr>
        <w:t>一、质疑供应商基本信息</w:t>
      </w:r>
    </w:p>
    <w:p w14:paraId="0E954624">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质疑供应商：</w:t>
      </w:r>
      <w:r>
        <w:rPr>
          <w:rFonts w:hint="eastAsia" w:hAnsi="宋体" w:cs="宋体"/>
          <w:color w:val="auto"/>
          <w:szCs w:val="24"/>
          <w:highlight w:val="none"/>
          <w:u w:val="dotted"/>
        </w:rPr>
        <w:t xml:space="preserve">                                        </w:t>
      </w:r>
    </w:p>
    <w:p w14:paraId="46728D9D">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地址：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2DB6125E">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72A177D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p>
    <w:p w14:paraId="3DABDE61">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757B4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 xml:space="preserve">地址： </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3217AB55">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二、质疑项目基本情况</w:t>
      </w:r>
    </w:p>
    <w:p w14:paraId="7695F5B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质疑项目的名称：</w:t>
      </w:r>
      <w:r>
        <w:rPr>
          <w:rFonts w:hint="eastAsia" w:hAnsi="宋体" w:cs="宋体"/>
          <w:color w:val="auto"/>
          <w:szCs w:val="24"/>
          <w:highlight w:val="none"/>
          <w:u w:val="dotted"/>
        </w:rPr>
        <w:t xml:space="preserve">                                      </w:t>
      </w:r>
    </w:p>
    <w:p w14:paraId="292243F6">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1CA8EC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p>
    <w:p w14:paraId="35052D25">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采购文件获取日期：</w:t>
      </w:r>
      <w:r>
        <w:rPr>
          <w:rFonts w:hint="eastAsia" w:hAnsi="宋体" w:cs="宋体"/>
          <w:color w:val="auto"/>
          <w:szCs w:val="24"/>
          <w:highlight w:val="none"/>
          <w:u w:val="dotted"/>
        </w:rPr>
        <w:t xml:space="preserve">                                           </w:t>
      </w:r>
    </w:p>
    <w:p w14:paraId="4ABA203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三、质疑事项具体内容</w:t>
      </w:r>
    </w:p>
    <w:p w14:paraId="7102BC9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质疑事项1：</w:t>
      </w:r>
      <w:r>
        <w:rPr>
          <w:rFonts w:hint="eastAsia" w:hAnsi="宋体" w:cs="宋体"/>
          <w:color w:val="auto"/>
          <w:szCs w:val="24"/>
          <w:highlight w:val="none"/>
          <w:u w:val="dotted"/>
        </w:rPr>
        <w:t xml:space="preserve">                                         </w:t>
      </w:r>
    </w:p>
    <w:p w14:paraId="4F3BEB92">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2E1A00C1">
      <w:pPr>
        <w:adjustRightInd w:val="0"/>
        <w:snapToGrid w:val="0"/>
        <w:spacing w:line="360" w:lineRule="auto"/>
        <w:rPr>
          <w:rFonts w:hAnsi="宋体" w:cs="宋体"/>
          <w:color w:val="auto"/>
          <w:szCs w:val="24"/>
          <w:highlight w:val="none"/>
        </w:rPr>
      </w:pPr>
      <w:r>
        <w:rPr>
          <w:rFonts w:hint="eastAsia" w:hAnsi="宋体" w:cs="宋体"/>
          <w:color w:val="auto"/>
          <w:szCs w:val="24"/>
          <w:highlight w:val="none"/>
          <w:u w:val="dotted"/>
        </w:rPr>
        <w:t xml:space="preserve">                                                       </w:t>
      </w:r>
    </w:p>
    <w:p w14:paraId="04E839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0566D95">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u w:val="dotted"/>
        </w:rPr>
        <w:t xml:space="preserve">                                                     </w:t>
      </w:r>
    </w:p>
    <w:p w14:paraId="65EB5350">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质疑事项2</w:t>
      </w:r>
    </w:p>
    <w:p w14:paraId="37609F49">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w:t>
      </w:r>
    </w:p>
    <w:p w14:paraId="1D27537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四、与质疑事项相关的质疑请求</w:t>
      </w:r>
    </w:p>
    <w:p w14:paraId="0E1D98DD">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p>
    <w:p w14:paraId="0C52A26E">
      <w:pPr>
        <w:rPr>
          <w:rFonts w:hAnsi="宋体" w:cs="宋体"/>
          <w:color w:val="auto"/>
          <w:szCs w:val="24"/>
          <w:highlight w:val="none"/>
        </w:rPr>
      </w:pPr>
      <w:r>
        <w:rPr>
          <w:rFonts w:hint="eastAsia" w:hAnsi="宋体" w:cs="宋体"/>
          <w:color w:val="auto"/>
          <w:szCs w:val="24"/>
          <w:highlight w:val="none"/>
        </w:rPr>
        <w:t xml:space="preserve">签字(签章)：                   公章：                      </w:t>
      </w:r>
    </w:p>
    <w:p w14:paraId="0C5A8163">
      <w:pPr>
        <w:rPr>
          <w:rFonts w:hAnsi="宋体" w:cs="宋体"/>
          <w:color w:val="auto"/>
          <w:szCs w:val="24"/>
          <w:highlight w:val="none"/>
        </w:rPr>
      </w:pPr>
      <w:r>
        <w:rPr>
          <w:rFonts w:hint="eastAsia" w:hAnsi="宋体" w:cs="宋体"/>
          <w:color w:val="auto"/>
          <w:szCs w:val="24"/>
          <w:highlight w:val="none"/>
        </w:rPr>
        <w:t xml:space="preserve">日期：    </w:t>
      </w:r>
    </w:p>
    <w:p w14:paraId="187F7B78">
      <w:pPr>
        <w:rPr>
          <w:rFonts w:hAnsi="宋体" w:cs="宋体"/>
          <w:b/>
          <w:color w:val="auto"/>
          <w:sz w:val="44"/>
          <w:szCs w:val="44"/>
          <w:highlight w:val="none"/>
        </w:rPr>
      </w:pPr>
      <w:r>
        <w:rPr>
          <w:rFonts w:hint="eastAsia" w:hAnsi="宋体" w:cs="宋体"/>
          <w:b/>
          <w:color w:val="auto"/>
          <w:sz w:val="44"/>
          <w:szCs w:val="44"/>
          <w:highlight w:val="none"/>
        </w:rPr>
        <w:br w:type="page"/>
      </w:r>
    </w:p>
    <w:p w14:paraId="5D99B35B">
      <w:pPr>
        <w:jc w:val="center"/>
        <w:rPr>
          <w:rFonts w:hAnsi="宋体" w:cs="宋体"/>
          <w:b/>
          <w:color w:val="auto"/>
          <w:sz w:val="44"/>
          <w:szCs w:val="44"/>
          <w:highlight w:val="none"/>
        </w:rPr>
      </w:pPr>
      <w:r>
        <w:rPr>
          <w:rFonts w:hint="eastAsia" w:hAnsi="宋体" w:cs="宋体"/>
          <w:b/>
          <w:color w:val="auto"/>
          <w:sz w:val="44"/>
          <w:szCs w:val="44"/>
          <w:highlight w:val="none"/>
        </w:rPr>
        <w:t>投诉书范本</w:t>
      </w:r>
    </w:p>
    <w:p w14:paraId="1FCDC8DB">
      <w:pPr>
        <w:rPr>
          <w:rFonts w:hAnsi="宋体" w:cs="宋体"/>
          <w:color w:val="auto"/>
          <w:szCs w:val="24"/>
          <w:highlight w:val="none"/>
        </w:rPr>
      </w:pPr>
      <w:r>
        <w:rPr>
          <w:rFonts w:hint="eastAsia" w:hAnsi="宋体" w:cs="宋体"/>
          <w:color w:val="auto"/>
          <w:szCs w:val="24"/>
          <w:highlight w:val="none"/>
        </w:rPr>
        <w:t>一、投诉相关主体基本情况</w:t>
      </w:r>
    </w:p>
    <w:p w14:paraId="177E148D">
      <w:pPr>
        <w:rPr>
          <w:rFonts w:hAnsi="宋体" w:cs="宋体"/>
          <w:color w:val="auto"/>
          <w:szCs w:val="24"/>
          <w:highlight w:val="none"/>
          <w:u w:val="dotted"/>
        </w:rPr>
      </w:pPr>
      <w:r>
        <w:rPr>
          <w:rFonts w:hint="eastAsia" w:hAnsi="宋体" w:cs="宋体"/>
          <w:color w:val="auto"/>
          <w:szCs w:val="24"/>
          <w:highlight w:val="none"/>
        </w:rPr>
        <w:t>投诉人：</w:t>
      </w:r>
      <w:r>
        <w:rPr>
          <w:rFonts w:hint="eastAsia" w:hAnsi="宋体" w:cs="宋体"/>
          <w:color w:val="auto"/>
          <w:szCs w:val="24"/>
          <w:highlight w:val="none"/>
          <w:u w:val="dotted"/>
        </w:rPr>
        <w:t xml:space="preserve">                                               </w:t>
      </w:r>
    </w:p>
    <w:p w14:paraId="573E0C33">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AF4069D">
      <w:pPr>
        <w:tabs>
          <w:tab w:val="left" w:pos="6510"/>
        </w:tabs>
        <w:jc w:val="left"/>
        <w:rPr>
          <w:rFonts w:hAnsi="宋体" w:cs="宋体"/>
          <w:color w:val="auto"/>
          <w:szCs w:val="24"/>
          <w:highlight w:val="none"/>
        </w:rPr>
      </w:pPr>
      <w:r>
        <w:rPr>
          <w:rFonts w:hint="eastAsia" w:hAnsi="宋体" w:cs="宋体"/>
          <w:color w:val="auto"/>
          <w:szCs w:val="24"/>
          <w:highlight w:val="none"/>
        </w:rPr>
        <w:t>法定代表人/主要负责人：</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3CEB76">
      <w:pPr>
        <w:tabs>
          <w:tab w:val="left" w:pos="6510"/>
        </w:tabs>
        <w:rPr>
          <w:rFonts w:hAnsi="宋体" w:cs="宋体"/>
          <w:color w:val="auto"/>
          <w:szCs w:val="24"/>
          <w:highlight w:val="none"/>
          <w:u w:val="dotted"/>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62B4F35E">
      <w:pPr>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476D1444">
      <w:pPr>
        <w:rPr>
          <w:rFonts w:hAnsi="宋体" w:cs="宋体"/>
          <w:color w:val="auto"/>
          <w:szCs w:val="24"/>
          <w:highlight w:val="none"/>
          <w:u w:val="dotted"/>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r>
        <w:rPr>
          <w:rFonts w:hint="eastAsia" w:hAnsi="宋体" w:cs="宋体"/>
          <w:color w:val="auto"/>
          <w:szCs w:val="24"/>
          <w:highlight w:val="none"/>
          <w:u w:val="dotted"/>
        </w:rPr>
        <w:t xml:space="preserve">                   </w:t>
      </w:r>
    </w:p>
    <w:p w14:paraId="282DE5AC">
      <w:pPr>
        <w:rPr>
          <w:rFonts w:hAnsi="宋体" w:cs="宋体"/>
          <w:color w:val="auto"/>
          <w:szCs w:val="24"/>
          <w:highlight w:val="none"/>
          <w:u w:val="single"/>
        </w:rPr>
      </w:pPr>
      <w:r>
        <w:rPr>
          <w:rFonts w:hint="eastAsia" w:hAnsi="宋体" w:cs="宋体"/>
          <w:color w:val="auto"/>
          <w:szCs w:val="24"/>
          <w:highlight w:val="none"/>
        </w:rPr>
        <w:t>被投诉人1：</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B8E28EF">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5C5E9A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2CC7EDB8">
      <w:pPr>
        <w:rPr>
          <w:rFonts w:hAnsi="宋体" w:cs="宋体"/>
          <w:color w:val="auto"/>
          <w:szCs w:val="24"/>
          <w:highlight w:val="none"/>
        </w:rPr>
      </w:pPr>
      <w:r>
        <w:rPr>
          <w:rFonts w:hint="eastAsia" w:hAnsi="宋体" w:cs="宋体"/>
          <w:color w:val="auto"/>
          <w:szCs w:val="24"/>
          <w:highlight w:val="none"/>
        </w:rPr>
        <w:t>被投诉人2</w:t>
      </w:r>
    </w:p>
    <w:p w14:paraId="47398C9D">
      <w:pPr>
        <w:rPr>
          <w:rFonts w:hAnsi="宋体" w:cs="宋体"/>
          <w:color w:val="auto"/>
          <w:szCs w:val="24"/>
          <w:highlight w:val="none"/>
          <w:u w:val="dotted"/>
        </w:rPr>
      </w:pPr>
      <w:r>
        <w:rPr>
          <w:rFonts w:hint="eastAsia" w:hAnsi="宋体" w:cs="宋体"/>
          <w:color w:val="auto"/>
          <w:szCs w:val="24"/>
          <w:highlight w:val="none"/>
        </w:rPr>
        <w:t>……</w:t>
      </w:r>
    </w:p>
    <w:p w14:paraId="4382356E">
      <w:pPr>
        <w:rPr>
          <w:rFonts w:hAnsi="宋体" w:cs="宋体"/>
          <w:color w:val="auto"/>
          <w:szCs w:val="24"/>
          <w:highlight w:val="none"/>
          <w:u w:val="single"/>
        </w:rPr>
      </w:pPr>
      <w:r>
        <w:rPr>
          <w:rFonts w:hint="eastAsia" w:hAnsi="宋体" w:cs="宋体"/>
          <w:color w:val="auto"/>
          <w:szCs w:val="24"/>
          <w:highlight w:val="none"/>
        </w:rPr>
        <w:t>相关供应商：</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544F31DD">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7E77E83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4050F66">
      <w:pPr>
        <w:rPr>
          <w:rFonts w:hAnsi="宋体" w:cs="宋体"/>
          <w:color w:val="auto"/>
          <w:szCs w:val="24"/>
          <w:highlight w:val="none"/>
        </w:rPr>
      </w:pPr>
      <w:r>
        <w:rPr>
          <w:rFonts w:hint="eastAsia" w:hAnsi="宋体" w:cs="宋体"/>
          <w:color w:val="auto"/>
          <w:szCs w:val="24"/>
          <w:highlight w:val="none"/>
        </w:rPr>
        <w:t>二、投诉项目基本情况</w:t>
      </w:r>
    </w:p>
    <w:p w14:paraId="675ACDC7">
      <w:pPr>
        <w:rPr>
          <w:rFonts w:hAnsi="宋体" w:cs="宋体"/>
          <w:color w:val="auto"/>
          <w:szCs w:val="24"/>
          <w:highlight w:val="none"/>
          <w:u w:val="dotted"/>
        </w:rPr>
      </w:pPr>
      <w:r>
        <w:rPr>
          <w:rFonts w:hint="eastAsia" w:hAnsi="宋体" w:cs="宋体"/>
          <w:color w:val="auto"/>
          <w:szCs w:val="24"/>
          <w:highlight w:val="none"/>
        </w:rPr>
        <w:t>采购项目名称：</w:t>
      </w:r>
      <w:r>
        <w:rPr>
          <w:rFonts w:hint="eastAsia" w:hAnsi="宋体" w:cs="宋体"/>
          <w:color w:val="auto"/>
          <w:szCs w:val="24"/>
          <w:highlight w:val="none"/>
          <w:u w:val="dotted"/>
        </w:rPr>
        <w:t xml:space="preserve">                                        </w:t>
      </w:r>
    </w:p>
    <w:p w14:paraId="79184CD7">
      <w:pPr>
        <w:rPr>
          <w:rFonts w:hAnsi="宋体" w:cs="宋体"/>
          <w:color w:val="auto"/>
          <w:szCs w:val="24"/>
          <w:highlight w:val="none"/>
          <w:u w:val="single"/>
        </w:rPr>
      </w:pPr>
      <w:r>
        <w:rPr>
          <w:rFonts w:hint="eastAsia" w:hAnsi="宋体" w:cs="宋体"/>
          <w:color w:val="auto"/>
          <w:szCs w:val="24"/>
          <w:highlight w:val="none"/>
        </w:rPr>
        <w:t>采购项目编号：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62B6286E">
      <w:pPr>
        <w:rPr>
          <w:rFonts w:hAnsi="宋体" w:cs="宋体"/>
          <w:color w:val="auto"/>
          <w:szCs w:val="24"/>
          <w:highlight w:val="none"/>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3E6F8B5C">
      <w:pPr>
        <w:rPr>
          <w:rFonts w:hAnsi="宋体" w:cs="宋体"/>
          <w:color w:val="auto"/>
          <w:szCs w:val="24"/>
          <w:highlight w:val="none"/>
          <w:u w:val="single"/>
        </w:rPr>
      </w:pPr>
      <w:r>
        <w:rPr>
          <w:rFonts w:hint="eastAsia" w:hAnsi="宋体" w:cs="宋体"/>
          <w:color w:val="auto"/>
          <w:szCs w:val="24"/>
          <w:highlight w:val="none"/>
        </w:rPr>
        <w:t>代理机构名称：</w:t>
      </w:r>
      <w:r>
        <w:rPr>
          <w:rFonts w:hint="eastAsia" w:hAnsi="宋体" w:cs="宋体"/>
          <w:color w:val="auto"/>
          <w:szCs w:val="24"/>
          <w:highlight w:val="none"/>
          <w:u w:val="dotted"/>
        </w:rPr>
        <w:t xml:space="preserve">                                         </w:t>
      </w:r>
    </w:p>
    <w:p w14:paraId="2E18A3F7">
      <w:pPr>
        <w:rPr>
          <w:rFonts w:hAnsi="宋体" w:cs="宋体"/>
          <w:color w:val="auto"/>
          <w:szCs w:val="24"/>
          <w:highlight w:val="none"/>
          <w:u w:val="dotted"/>
        </w:rPr>
      </w:pPr>
      <w:r>
        <w:rPr>
          <w:rFonts w:hint="eastAsia" w:hAnsi="宋体" w:cs="宋体"/>
          <w:color w:val="auto"/>
          <w:szCs w:val="24"/>
          <w:highlight w:val="none"/>
        </w:rPr>
        <w:t>采购文件公告: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26A53333">
      <w:pPr>
        <w:rPr>
          <w:rFonts w:hAnsi="宋体" w:cs="宋体"/>
          <w:color w:val="auto"/>
          <w:szCs w:val="24"/>
          <w:highlight w:val="none"/>
          <w:u w:val="single"/>
        </w:rPr>
      </w:pPr>
      <w:r>
        <w:rPr>
          <w:rFonts w:hint="eastAsia" w:hAnsi="宋体" w:cs="宋体"/>
          <w:color w:val="auto"/>
          <w:szCs w:val="24"/>
          <w:highlight w:val="none"/>
        </w:rPr>
        <w:t>采购结果公告: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67D06090">
      <w:pPr>
        <w:rPr>
          <w:rFonts w:hAnsi="宋体" w:cs="宋体"/>
          <w:color w:val="auto"/>
          <w:szCs w:val="24"/>
          <w:highlight w:val="none"/>
        </w:rPr>
      </w:pPr>
      <w:r>
        <w:rPr>
          <w:rFonts w:hint="eastAsia" w:hAnsi="宋体" w:cs="宋体"/>
          <w:color w:val="auto"/>
          <w:szCs w:val="24"/>
          <w:highlight w:val="none"/>
        </w:rPr>
        <w:t>三、质疑基本情况</w:t>
      </w:r>
    </w:p>
    <w:p w14:paraId="0B06CE2E">
      <w:pPr>
        <w:ind w:firstLine="480" w:firstLineChars="200"/>
        <w:rPr>
          <w:rFonts w:hAnsi="宋体" w:cs="宋体"/>
          <w:color w:val="auto"/>
          <w:szCs w:val="24"/>
          <w:highlight w:val="none"/>
          <w:u w:val="dotted"/>
        </w:rPr>
      </w:pPr>
      <w:r>
        <w:rPr>
          <w:rFonts w:hint="eastAsia" w:hAnsi="宋体" w:cs="宋体"/>
          <w:color w:val="auto"/>
          <w:szCs w:val="24"/>
          <w:highlight w:val="none"/>
        </w:rPr>
        <w:t>投诉人于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日,向</w:t>
      </w:r>
      <w:r>
        <w:rPr>
          <w:rFonts w:hint="eastAsia" w:hAnsi="宋体" w:cs="宋体"/>
          <w:color w:val="auto"/>
          <w:szCs w:val="24"/>
          <w:highlight w:val="none"/>
          <w:u w:val="dotted"/>
        </w:rPr>
        <w:t xml:space="preserve">                   </w:t>
      </w:r>
      <w:r>
        <w:rPr>
          <w:rFonts w:hint="eastAsia" w:hAnsi="宋体" w:cs="宋体"/>
          <w:color w:val="auto"/>
          <w:szCs w:val="24"/>
          <w:highlight w:val="none"/>
        </w:rPr>
        <w:t>提出质疑，质疑事项为：</w:t>
      </w:r>
      <w:r>
        <w:rPr>
          <w:rFonts w:hint="eastAsia" w:hAnsi="宋体" w:cs="宋体"/>
          <w:color w:val="auto"/>
          <w:szCs w:val="24"/>
          <w:highlight w:val="none"/>
          <w:u w:val="dotted"/>
        </w:rPr>
        <w:t xml:space="preserve">                                </w:t>
      </w:r>
    </w:p>
    <w:p w14:paraId="2438535C">
      <w:pPr>
        <w:rPr>
          <w:rFonts w:hAnsi="宋体" w:cs="宋体"/>
          <w:color w:val="auto"/>
          <w:szCs w:val="24"/>
          <w:highlight w:val="none"/>
          <w:u w:val="dotted"/>
        </w:rPr>
      </w:pP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5222CCED">
      <w:pPr>
        <w:ind w:firstLine="360" w:firstLineChars="150"/>
        <w:rPr>
          <w:rFonts w:hAnsi="宋体" w:cs="宋体"/>
          <w:color w:val="auto"/>
          <w:szCs w:val="24"/>
          <w:highlight w:val="none"/>
        </w:rPr>
      </w:pPr>
      <w:r>
        <w:rPr>
          <w:rFonts w:hint="eastAsia" w:hAnsi="宋体" w:cs="宋体"/>
          <w:color w:val="auto"/>
          <w:szCs w:val="24"/>
          <w:highlight w:val="none"/>
          <w:u w:val="dotted"/>
        </w:rPr>
        <w:t>采购人/代理机构</w:t>
      </w:r>
      <w:r>
        <w:rPr>
          <w:rFonts w:hint="eastAsia" w:hAnsi="宋体" w:cs="宋体"/>
          <w:color w:val="auto"/>
          <w:szCs w:val="24"/>
          <w:highlight w:val="none"/>
        </w:rPr>
        <w:t>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日,就质疑事项作出了答复/没有在法定期限内作出答复。</w:t>
      </w:r>
    </w:p>
    <w:p w14:paraId="09D78992">
      <w:pPr>
        <w:rPr>
          <w:rFonts w:hAnsi="宋体" w:cs="宋体"/>
          <w:color w:val="auto"/>
          <w:szCs w:val="24"/>
          <w:highlight w:val="none"/>
        </w:rPr>
      </w:pPr>
      <w:r>
        <w:rPr>
          <w:rFonts w:hint="eastAsia" w:hAnsi="宋体" w:cs="宋体"/>
          <w:color w:val="auto"/>
          <w:szCs w:val="24"/>
          <w:highlight w:val="none"/>
        </w:rPr>
        <w:t>四、投诉事项具体内容</w:t>
      </w:r>
    </w:p>
    <w:p w14:paraId="7B759856">
      <w:pPr>
        <w:rPr>
          <w:rFonts w:hAnsi="宋体" w:cs="宋体"/>
          <w:color w:val="auto"/>
          <w:szCs w:val="24"/>
          <w:highlight w:val="none"/>
          <w:u w:val="single"/>
        </w:rPr>
      </w:pPr>
      <w:r>
        <w:rPr>
          <w:rFonts w:hint="eastAsia" w:hAnsi="宋体" w:cs="宋体"/>
          <w:color w:val="auto"/>
          <w:szCs w:val="24"/>
          <w:highlight w:val="none"/>
        </w:rPr>
        <w:t>投诉事项 1：</w:t>
      </w:r>
      <w:r>
        <w:rPr>
          <w:rFonts w:hint="eastAsia" w:hAnsi="宋体" w:cs="宋体"/>
          <w:color w:val="auto"/>
          <w:szCs w:val="24"/>
          <w:highlight w:val="none"/>
          <w:u w:val="dotted"/>
        </w:rPr>
        <w:t xml:space="preserve">                                       </w:t>
      </w:r>
    </w:p>
    <w:p w14:paraId="7752E877">
      <w:pPr>
        <w:rPr>
          <w:rFonts w:hAnsi="宋体" w:cs="宋体"/>
          <w:color w:val="auto"/>
          <w:szCs w:val="24"/>
          <w:highlight w:val="none"/>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3D9987E2">
      <w:pPr>
        <w:rPr>
          <w:rFonts w:hAnsi="宋体" w:cs="宋体"/>
          <w:color w:val="auto"/>
          <w:szCs w:val="24"/>
          <w:highlight w:val="none"/>
          <w:u w:val="dotted"/>
        </w:rPr>
      </w:pPr>
      <w:r>
        <w:rPr>
          <w:rFonts w:hint="eastAsia" w:hAnsi="宋体" w:cs="宋体"/>
          <w:color w:val="auto"/>
          <w:szCs w:val="24"/>
          <w:highlight w:val="none"/>
          <w:u w:val="dotted"/>
        </w:rPr>
        <w:t xml:space="preserve">                                                      </w:t>
      </w:r>
    </w:p>
    <w:p w14:paraId="1C1017DF">
      <w:pPr>
        <w:rPr>
          <w:rFonts w:hAnsi="宋体" w:cs="宋体"/>
          <w:color w:val="auto"/>
          <w:szCs w:val="24"/>
          <w:highlight w:val="none"/>
          <w:u w:val="single"/>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5381C29">
      <w:pPr>
        <w:rPr>
          <w:rFonts w:hAnsi="宋体" w:cs="宋体"/>
          <w:color w:val="auto"/>
          <w:szCs w:val="24"/>
          <w:highlight w:val="none"/>
          <w:u w:val="dotted"/>
        </w:rPr>
      </w:pPr>
      <w:r>
        <w:rPr>
          <w:rFonts w:hint="eastAsia" w:hAnsi="宋体" w:cs="宋体"/>
          <w:color w:val="auto"/>
          <w:szCs w:val="24"/>
          <w:highlight w:val="none"/>
          <w:u w:val="dotted"/>
        </w:rPr>
        <w:t xml:space="preserve">                                                      </w:t>
      </w:r>
    </w:p>
    <w:p w14:paraId="13D98B11">
      <w:pPr>
        <w:rPr>
          <w:rFonts w:hAnsi="宋体" w:cs="宋体"/>
          <w:color w:val="auto"/>
          <w:szCs w:val="24"/>
          <w:highlight w:val="none"/>
        </w:rPr>
      </w:pPr>
      <w:r>
        <w:rPr>
          <w:rFonts w:hint="eastAsia" w:hAnsi="宋体" w:cs="宋体"/>
          <w:color w:val="auto"/>
          <w:szCs w:val="24"/>
          <w:highlight w:val="none"/>
        </w:rPr>
        <w:t>投诉事项2</w:t>
      </w:r>
    </w:p>
    <w:p w14:paraId="1DE8C819">
      <w:pPr>
        <w:rPr>
          <w:rFonts w:hAnsi="宋体" w:cs="宋体"/>
          <w:color w:val="auto"/>
          <w:szCs w:val="24"/>
          <w:highlight w:val="none"/>
          <w:u w:val="dotted"/>
        </w:rPr>
      </w:pPr>
      <w:r>
        <w:rPr>
          <w:rFonts w:hint="eastAsia" w:hAnsi="宋体" w:cs="宋体"/>
          <w:color w:val="auto"/>
          <w:szCs w:val="24"/>
          <w:highlight w:val="none"/>
        </w:rPr>
        <w:t>……</w:t>
      </w:r>
    </w:p>
    <w:p w14:paraId="7EBA16E9">
      <w:pPr>
        <w:rPr>
          <w:rFonts w:hAnsi="宋体" w:cs="宋体"/>
          <w:color w:val="auto"/>
          <w:szCs w:val="24"/>
          <w:highlight w:val="none"/>
        </w:rPr>
      </w:pPr>
      <w:r>
        <w:rPr>
          <w:rFonts w:hint="eastAsia" w:hAnsi="宋体" w:cs="宋体"/>
          <w:color w:val="auto"/>
          <w:szCs w:val="24"/>
          <w:highlight w:val="none"/>
        </w:rPr>
        <w:t>五、与投诉事项相关的投诉请求</w:t>
      </w:r>
    </w:p>
    <w:p w14:paraId="45E3568A">
      <w:pPr>
        <w:rPr>
          <w:rFonts w:hAnsi="宋体" w:cs="宋体"/>
          <w:color w:val="auto"/>
          <w:szCs w:val="24"/>
          <w:highlight w:val="none"/>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43FF313F">
      <w:pPr>
        <w:rPr>
          <w:rFonts w:hAnsi="宋体" w:cs="宋体"/>
          <w:color w:val="auto"/>
          <w:szCs w:val="24"/>
          <w:highlight w:val="none"/>
          <w:u w:val="single"/>
        </w:rPr>
      </w:pPr>
      <w:r>
        <w:rPr>
          <w:rFonts w:hint="eastAsia" w:hAnsi="宋体" w:cs="宋体"/>
          <w:color w:val="auto"/>
          <w:szCs w:val="24"/>
          <w:highlight w:val="none"/>
        </w:rPr>
        <w:t xml:space="preserve">                                                                                                    </w:t>
      </w:r>
    </w:p>
    <w:p w14:paraId="013F516F">
      <w:pPr>
        <w:rPr>
          <w:rFonts w:hAnsi="宋体" w:cs="宋体"/>
          <w:color w:val="auto"/>
          <w:szCs w:val="24"/>
          <w:highlight w:val="none"/>
        </w:rPr>
      </w:pPr>
      <w:r>
        <w:rPr>
          <w:rFonts w:hint="eastAsia" w:hAnsi="宋体" w:cs="宋体"/>
          <w:color w:val="auto"/>
          <w:szCs w:val="24"/>
          <w:highlight w:val="none"/>
        </w:rPr>
        <w:t xml:space="preserve">签字(签章)：                   公章：                      </w:t>
      </w:r>
    </w:p>
    <w:p w14:paraId="1EB66C63">
      <w:pPr>
        <w:rPr>
          <w:rFonts w:hAnsi="宋体" w:cs="宋体"/>
          <w:color w:val="auto"/>
          <w:szCs w:val="24"/>
          <w:highlight w:val="none"/>
        </w:rPr>
      </w:pPr>
      <w:r>
        <w:rPr>
          <w:rFonts w:hint="eastAsia" w:hAnsi="宋体" w:cs="宋体"/>
          <w:color w:val="auto"/>
          <w:szCs w:val="24"/>
          <w:highlight w:val="none"/>
        </w:rPr>
        <w:t xml:space="preserve">日期：                      </w:t>
      </w:r>
    </w:p>
    <w:p w14:paraId="07C72E91">
      <w:pPr>
        <w:rPr>
          <w:color w:val="auto"/>
          <w:highlight w:val="none"/>
        </w:rPr>
      </w:pPr>
    </w:p>
    <w:p w14:paraId="32567627">
      <w:pPr>
        <w:rPr>
          <w:rFonts w:hAnsi="宋体" w:cs="宋体"/>
          <w:bCs/>
          <w:color w:val="auto"/>
          <w:highlight w:val="none"/>
        </w:rPr>
      </w:pPr>
    </w:p>
    <w:sectPr>
      <w:footerReference r:id="rId13" w:type="first"/>
      <w:footerReference r:id="rId12" w:type="default"/>
      <w:pgSz w:w="11906" w:h="16838"/>
      <w:pgMar w:top="1417" w:right="1417" w:bottom="1417"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FD904">
    <w:pPr>
      <w:pStyle w:val="16"/>
    </w:pPr>
    <w:r>
      <w:rPr>
        <w:rFonts w:hint="eastAsia"/>
      </w:rPr>
      <w:t xml:space="preserve">陕西至诚项目管理集团有限公司                         </w:t>
    </w:r>
    <w:r>
      <w:rPr>
        <w:rFonts w:hint="eastAsia"/>
      </w:rPr>
      <w:tab/>
    </w:r>
    <w:r>
      <w:rPr>
        <w:rFonts w:hint="eastAsia"/>
      </w:rPr>
      <w:t>地址：西安市陕西省西安市经济技术开发区未央路 171-1 号银池道拉斯财富中心 21 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69F49">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803F5">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13803F5">
                    <w:pPr>
                      <w:pStyle w:val="1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陕西至诚项目管理集团有限公司                         </w:t>
    </w:r>
    <w:r>
      <w:rPr>
        <w:rFonts w:hint="eastAsia"/>
      </w:rPr>
      <w:tab/>
    </w:r>
    <w:r>
      <w:rPr>
        <w:rFonts w:hint="eastAsia"/>
      </w:rPr>
      <w:t xml:space="preserve">         西安市陕西省西安市经济技术开发区未央路 171-1 号银池道拉斯财富中心 21 楼</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C7664">
    <w:pPr>
      <w:pStyle w:val="16"/>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C8B31">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ECC8B31">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F4FA3">
    <w:pPr>
      <w:pStyle w:val="16"/>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939DE">
                          <w:pPr>
                            <w:pStyle w:val="16"/>
                          </w:pPr>
                          <w:r>
                            <w:t xml:space="preserve">第 </w:t>
                          </w:r>
                          <w:r>
                            <w:fldChar w:fldCharType="begin"/>
                          </w:r>
                          <w:r>
                            <w:instrText xml:space="preserve"> PAGE  \* MERGEFORMAT </w:instrText>
                          </w:r>
                          <w:r>
                            <w:fldChar w:fldCharType="separate"/>
                          </w:r>
                          <w:r>
                            <w:t>67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C939DE">
                    <w:pPr>
                      <w:pStyle w:val="16"/>
                    </w:pPr>
                    <w:r>
                      <w:t xml:space="preserve">第 </w:t>
                    </w:r>
                    <w:r>
                      <w:fldChar w:fldCharType="begin"/>
                    </w:r>
                    <w:r>
                      <w:instrText xml:space="preserve"> PAGE  \* MERGEFORMAT </w:instrText>
                    </w:r>
                    <w:r>
                      <w:fldChar w:fldCharType="separate"/>
                    </w:r>
                    <w:r>
                      <w:t>67</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41556">
    <w:pPr>
      <w:pStyle w:val="1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7BFB1">
                          <w:pPr>
                            <w:pStyle w:val="16"/>
                          </w:pPr>
                          <w:r>
                            <w:t xml:space="preserve">第 </w:t>
                          </w:r>
                          <w:r>
                            <w:fldChar w:fldCharType="begin"/>
                          </w:r>
                          <w:r>
                            <w:instrText xml:space="preserve"> PAGE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C47BFB1">
                    <w:pPr>
                      <w:pStyle w:val="16"/>
                    </w:pPr>
                    <w:r>
                      <w:t xml:space="preserve">第 </w:t>
                    </w:r>
                    <w:r>
                      <w:fldChar w:fldCharType="begin"/>
                    </w:r>
                    <w:r>
                      <w:instrText xml:space="preserve"> PAGE  \* MERGEFORMAT </w:instrText>
                    </w:r>
                    <w:r>
                      <w:fldChar w:fldCharType="separate"/>
                    </w:r>
                    <w:r>
                      <w:t>68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91A17">
    <w:pPr>
      <w:tabs>
        <w:tab w:val="left" w:pos="5646"/>
      </w:tabs>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1BF74">
                          <w:pPr>
                            <w:pStyle w:val="16"/>
                          </w:pPr>
                          <w:r>
                            <w:t xml:space="preserve">第 </w:t>
                          </w:r>
                          <w:r>
                            <w:fldChar w:fldCharType="begin"/>
                          </w:r>
                          <w:r>
                            <w:instrText xml:space="preserve"> PAGE  \* MERGEFORMAT </w:instrText>
                          </w:r>
                          <w:r>
                            <w:fldChar w:fldCharType="separate"/>
                          </w:r>
                          <w:r>
                            <w:t>76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021BF74">
                    <w:pPr>
                      <w:pStyle w:val="16"/>
                    </w:pPr>
                    <w:r>
                      <w:t xml:space="preserve">第 </w:t>
                    </w:r>
                    <w:r>
                      <w:fldChar w:fldCharType="begin"/>
                    </w:r>
                    <w:r>
                      <w:instrText xml:space="preserve"> PAGE  \* MERGEFORMAT </w:instrText>
                    </w:r>
                    <w:r>
                      <w:fldChar w:fldCharType="separate"/>
                    </w:r>
                    <w:r>
                      <w:t>76</w:t>
                    </w:r>
                    <w:r>
                      <w:fldChar w:fldCharType="end"/>
                    </w:r>
                    <w:r>
                      <w:t xml:space="preserve"> 页</w:t>
                    </w:r>
                  </w:p>
                </w:txbxContent>
              </v:textbox>
            </v:shape>
          </w:pict>
        </mc:Fallback>
      </mc:AlternateContent>
    </w:r>
  </w:p>
  <w:p w14:paraId="3F4ED1A5">
    <w:pPr>
      <w:pStyle w:val="16"/>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2EDB4">
    <w:pPr>
      <w:pStyle w:val="16"/>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CC17A">
    <w:pPr>
      <w:spacing w:line="500" w:lineRule="exact"/>
      <w:ind w:left="1530" w:hanging="1530" w:hangingChars="850"/>
      <w:jc w:val="left"/>
      <w:rPr>
        <w:rFonts w:hAnsi="宋体"/>
        <w:bCs/>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3BEC">
    <w:pPr>
      <w:pStyle w:val="17"/>
      <w:pBdr>
        <w:bottom w:val="none" w:color="auto" w:sz="0" w:space="1"/>
      </w:pBdr>
      <w:jc w:val="both"/>
    </w:pPr>
  </w:p>
  <w:p w14:paraId="3CD0F681">
    <w:pPr>
      <w:pStyle w:val="17"/>
      <w:pBdr>
        <w:bottom w:val="none" w:color="auto" w:sz="0" w:space="1"/>
      </w:pBdr>
      <w:jc w:val="both"/>
      <w:rPr>
        <w:rFonts w:hAnsi="宋体"/>
        <w:bCs/>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24C7F">
    <w:pPr>
      <w:pStyle w:val="17"/>
      <w:pBdr>
        <w:bottom w:val="none" w:color="auto" w:sz="0" w:space="1"/>
      </w:pBdr>
      <w:jc w:val="left"/>
      <w:rPr>
        <w:rFonts w:cs="宋体"/>
        <w:bCs/>
        <w:shd w:val="clear" w:color="auto" w:fill="FFFFFF"/>
      </w:rPr>
    </w:pPr>
  </w:p>
  <w:p w14:paraId="70D86DBC">
    <w:pPr>
      <w:pStyle w:val="17"/>
      <w:pBdr>
        <w:bottom w:val="none" w:color="auto" w:sz="0" w:space="1"/>
      </w:pBdr>
      <w:jc w:val="left"/>
      <w:rPr>
        <w:rFonts w:ascii="宋体" w:hAnsi="宋体" w:cs="宋体"/>
        <w:b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01BDB">
    <w:pPr>
      <w:pStyle w:val="17"/>
      <w:jc w:val="left"/>
      <w:rPr>
        <w:rFonts w:ascii="宋体" w:hAnsi="宋体"/>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D4F4A2"/>
    <w:multiLevelType w:val="singleLevel"/>
    <w:tmpl w:val="A6D4F4A2"/>
    <w:lvl w:ilvl="0" w:tentative="0">
      <w:start w:val="1"/>
      <w:numFmt w:val="chineseCounting"/>
      <w:suff w:val="nothing"/>
      <w:lvlText w:val="%1、"/>
      <w:lvlJc w:val="left"/>
      <w:rPr>
        <w:rFonts w:hint="eastAsia"/>
      </w:rPr>
    </w:lvl>
  </w:abstractNum>
  <w:abstractNum w:abstractNumId="1">
    <w:nsid w:val="00000001"/>
    <w:multiLevelType w:val="multilevel"/>
    <w:tmpl w:val="00000001"/>
    <w:lvl w:ilvl="0" w:tentative="0">
      <w:start w:val="1"/>
      <w:numFmt w:val="lowerLetter"/>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3345DCC0"/>
    <w:multiLevelType w:val="singleLevel"/>
    <w:tmpl w:val="3345DCC0"/>
    <w:lvl w:ilvl="0" w:tentative="0">
      <w:start w:val="1"/>
      <w:numFmt w:val="decimal"/>
      <w:suff w:val="nothing"/>
      <w:lvlText w:val="%1）"/>
      <w:lvlJc w:val="left"/>
    </w:lvl>
  </w:abstractNum>
  <w:abstractNum w:abstractNumId="3">
    <w:nsid w:val="5354ECB6"/>
    <w:multiLevelType w:val="singleLevel"/>
    <w:tmpl w:val="5354ECB6"/>
    <w:lvl w:ilvl="0" w:tentative="0">
      <w:start w:val="1"/>
      <w:numFmt w:val="decimal"/>
      <w:suff w:val="nothing"/>
      <w:lvlText w:val="%1、"/>
      <w:lvlJc w:val="left"/>
    </w:lvl>
  </w:abstractNum>
  <w:abstractNum w:abstractNumId="4">
    <w:nsid w:val="590049E8"/>
    <w:multiLevelType w:val="singleLevel"/>
    <w:tmpl w:val="590049E8"/>
    <w:lvl w:ilvl="0" w:tentative="0">
      <w:start w:val="30"/>
      <w:numFmt w:val="decimal"/>
      <w:suff w:val="nothing"/>
      <w:lvlText w:val="%1."/>
      <w:lvlJc w:val="left"/>
    </w:lvl>
  </w:abstractNum>
  <w:abstractNum w:abstractNumId="5">
    <w:nsid w:val="59B2460E"/>
    <w:multiLevelType w:val="singleLevel"/>
    <w:tmpl w:val="59B2460E"/>
    <w:lvl w:ilvl="0" w:tentative="0">
      <w:start w:val="2"/>
      <w:numFmt w:val="decimal"/>
      <w:suff w:val="nothing"/>
      <w:lvlText w:val="%1."/>
      <w:lvlJc w:val="left"/>
    </w:lvl>
  </w:abstractNum>
  <w:abstractNum w:abstractNumId="6">
    <w:nsid w:val="59CF0981"/>
    <w:multiLevelType w:val="singleLevel"/>
    <w:tmpl w:val="59CF0981"/>
    <w:lvl w:ilvl="0" w:tentative="0">
      <w:start w:val="1"/>
      <w:numFmt w:val="decimal"/>
      <w:suff w:val="nothing"/>
      <w:lvlText w:val="%1、"/>
      <w:lvlJc w:val="left"/>
    </w:lvl>
  </w:abstractNum>
  <w:num w:numId="1">
    <w:abstractNumId w:val="3"/>
  </w:num>
  <w:num w:numId="2">
    <w:abstractNumId w:val="5"/>
  </w:num>
  <w:num w:numId="3">
    <w:abstractNumId w:val="4"/>
  </w:num>
  <w:num w:numId="4">
    <w:abstractNumId w:val="6"/>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I2NmEzNGY4ZTYwMmM3NWNlZWM2YjM1YjRkNjg0MjEifQ=="/>
  </w:docVars>
  <w:rsids>
    <w:rsidRoot w:val="004139B6"/>
    <w:rsid w:val="00025EAC"/>
    <w:rsid w:val="00030C04"/>
    <w:rsid w:val="001564DA"/>
    <w:rsid w:val="00266952"/>
    <w:rsid w:val="002C09D8"/>
    <w:rsid w:val="004139B6"/>
    <w:rsid w:val="00495893"/>
    <w:rsid w:val="00517D1D"/>
    <w:rsid w:val="008674E5"/>
    <w:rsid w:val="0089159C"/>
    <w:rsid w:val="00C8092C"/>
    <w:rsid w:val="00C8642A"/>
    <w:rsid w:val="00E20FEB"/>
    <w:rsid w:val="00F5367B"/>
    <w:rsid w:val="00F9066B"/>
    <w:rsid w:val="01555A9A"/>
    <w:rsid w:val="0183453D"/>
    <w:rsid w:val="0193039D"/>
    <w:rsid w:val="0270686F"/>
    <w:rsid w:val="030407EA"/>
    <w:rsid w:val="030A201D"/>
    <w:rsid w:val="03446B8F"/>
    <w:rsid w:val="03677648"/>
    <w:rsid w:val="03C33443"/>
    <w:rsid w:val="04441D61"/>
    <w:rsid w:val="044B49A4"/>
    <w:rsid w:val="045301F6"/>
    <w:rsid w:val="04564D84"/>
    <w:rsid w:val="04702B56"/>
    <w:rsid w:val="04F2372E"/>
    <w:rsid w:val="05946029"/>
    <w:rsid w:val="05D75CDB"/>
    <w:rsid w:val="05F17CC7"/>
    <w:rsid w:val="065D6E81"/>
    <w:rsid w:val="06CA6B1C"/>
    <w:rsid w:val="07906CD7"/>
    <w:rsid w:val="07F774FD"/>
    <w:rsid w:val="08123EB3"/>
    <w:rsid w:val="08A928D1"/>
    <w:rsid w:val="08D21FF8"/>
    <w:rsid w:val="09167A09"/>
    <w:rsid w:val="09930954"/>
    <w:rsid w:val="09DC2A3C"/>
    <w:rsid w:val="0B7B588D"/>
    <w:rsid w:val="0BBB613F"/>
    <w:rsid w:val="0C080095"/>
    <w:rsid w:val="0C646FEE"/>
    <w:rsid w:val="0C851169"/>
    <w:rsid w:val="0C8A2C23"/>
    <w:rsid w:val="0CC63772"/>
    <w:rsid w:val="0CCD033F"/>
    <w:rsid w:val="0CF14A50"/>
    <w:rsid w:val="0EB54E8A"/>
    <w:rsid w:val="0EFF5BF9"/>
    <w:rsid w:val="0F0C5B71"/>
    <w:rsid w:val="0F4F1D25"/>
    <w:rsid w:val="0F997A1F"/>
    <w:rsid w:val="10043C73"/>
    <w:rsid w:val="1095499B"/>
    <w:rsid w:val="111840B1"/>
    <w:rsid w:val="11596073"/>
    <w:rsid w:val="116715DD"/>
    <w:rsid w:val="11903BFC"/>
    <w:rsid w:val="11D44776"/>
    <w:rsid w:val="12C617E6"/>
    <w:rsid w:val="13023513"/>
    <w:rsid w:val="130B35CF"/>
    <w:rsid w:val="132E0DAF"/>
    <w:rsid w:val="137F34A0"/>
    <w:rsid w:val="13864C2A"/>
    <w:rsid w:val="143F42F3"/>
    <w:rsid w:val="145872ED"/>
    <w:rsid w:val="15837EBD"/>
    <w:rsid w:val="15CC022F"/>
    <w:rsid w:val="16474784"/>
    <w:rsid w:val="17824C23"/>
    <w:rsid w:val="17DB7ABD"/>
    <w:rsid w:val="181B284E"/>
    <w:rsid w:val="1832167D"/>
    <w:rsid w:val="188F55AE"/>
    <w:rsid w:val="18AD56E9"/>
    <w:rsid w:val="18BD7413"/>
    <w:rsid w:val="191114F7"/>
    <w:rsid w:val="19213842"/>
    <w:rsid w:val="1A367F46"/>
    <w:rsid w:val="1A4C1518"/>
    <w:rsid w:val="1A4C7CE8"/>
    <w:rsid w:val="1A9C0E5B"/>
    <w:rsid w:val="1AD6795F"/>
    <w:rsid w:val="1B0974F8"/>
    <w:rsid w:val="1B2D1349"/>
    <w:rsid w:val="1B5229E9"/>
    <w:rsid w:val="1B610B9F"/>
    <w:rsid w:val="1BC27142"/>
    <w:rsid w:val="1BDE6CFA"/>
    <w:rsid w:val="1CEE68B6"/>
    <w:rsid w:val="1D484219"/>
    <w:rsid w:val="1DD506BA"/>
    <w:rsid w:val="1E353FC5"/>
    <w:rsid w:val="1EED73BF"/>
    <w:rsid w:val="1F1A166D"/>
    <w:rsid w:val="1F3708D8"/>
    <w:rsid w:val="1F374288"/>
    <w:rsid w:val="1F735D22"/>
    <w:rsid w:val="20E04C24"/>
    <w:rsid w:val="21090163"/>
    <w:rsid w:val="211C1D3B"/>
    <w:rsid w:val="21B93AA7"/>
    <w:rsid w:val="22E17783"/>
    <w:rsid w:val="238910E7"/>
    <w:rsid w:val="24AE6EB4"/>
    <w:rsid w:val="24DD1172"/>
    <w:rsid w:val="24F44C86"/>
    <w:rsid w:val="250C0090"/>
    <w:rsid w:val="254F2BF5"/>
    <w:rsid w:val="25D53DF3"/>
    <w:rsid w:val="25E22D30"/>
    <w:rsid w:val="26077449"/>
    <w:rsid w:val="260869F8"/>
    <w:rsid w:val="261A071C"/>
    <w:rsid w:val="26451C3D"/>
    <w:rsid w:val="26597F9E"/>
    <w:rsid w:val="26D7660D"/>
    <w:rsid w:val="270C62B7"/>
    <w:rsid w:val="27132728"/>
    <w:rsid w:val="2764572C"/>
    <w:rsid w:val="277D689B"/>
    <w:rsid w:val="27FA6F59"/>
    <w:rsid w:val="285679E7"/>
    <w:rsid w:val="28936D4C"/>
    <w:rsid w:val="28957F83"/>
    <w:rsid w:val="28EF66C3"/>
    <w:rsid w:val="292024ED"/>
    <w:rsid w:val="29AA0009"/>
    <w:rsid w:val="29F924F7"/>
    <w:rsid w:val="2A0F2E6D"/>
    <w:rsid w:val="2A8B6E31"/>
    <w:rsid w:val="2B60299C"/>
    <w:rsid w:val="2BA1380F"/>
    <w:rsid w:val="2BB46F1D"/>
    <w:rsid w:val="2C363381"/>
    <w:rsid w:val="2D122B4E"/>
    <w:rsid w:val="2D194BD8"/>
    <w:rsid w:val="2D9044BD"/>
    <w:rsid w:val="2DD63386"/>
    <w:rsid w:val="2DD926FC"/>
    <w:rsid w:val="2E0028ED"/>
    <w:rsid w:val="2E265AE2"/>
    <w:rsid w:val="2E746297"/>
    <w:rsid w:val="2EBB3F8C"/>
    <w:rsid w:val="2EED1018"/>
    <w:rsid w:val="2F2533C6"/>
    <w:rsid w:val="2F6D7B0F"/>
    <w:rsid w:val="305024AA"/>
    <w:rsid w:val="306A6183"/>
    <w:rsid w:val="30B96A80"/>
    <w:rsid w:val="31A27A28"/>
    <w:rsid w:val="31C66EC5"/>
    <w:rsid w:val="32271056"/>
    <w:rsid w:val="322E1761"/>
    <w:rsid w:val="32F55B7E"/>
    <w:rsid w:val="330469DC"/>
    <w:rsid w:val="33881EEB"/>
    <w:rsid w:val="33FA289F"/>
    <w:rsid w:val="34681F9A"/>
    <w:rsid w:val="35D00DF7"/>
    <w:rsid w:val="36C9283B"/>
    <w:rsid w:val="372704C2"/>
    <w:rsid w:val="37C06C6F"/>
    <w:rsid w:val="3825367C"/>
    <w:rsid w:val="3840494C"/>
    <w:rsid w:val="384369FD"/>
    <w:rsid w:val="38972D7F"/>
    <w:rsid w:val="38C20ECB"/>
    <w:rsid w:val="39853A08"/>
    <w:rsid w:val="39DB5E8B"/>
    <w:rsid w:val="39FC21BB"/>
    <w:rsid w:val="3A2B3BD2"/>
    <w:rsid w:val="3A570783"/>
    <w:rsid w:val="3A82707E"/>
    <w:rsid w:val="3AB17101"/>
    <w:rsid w:val="3B1D3741"/>
    <w:rsid w:val="3B2319C9"/>
    <w:rsid w:val="3BFA15F2"/>
    <w:rsid w:val="3C4D31A2"/>
    <w:rsid w:val="3C756255"/>
    <w:rsid w:val="3CB46D7D"/>
    <w:rsid w:val="3D1617E6"/>
    <w:rsid w:val="3D1630B0"/>
    <w:rsid w:val="3DE4387D"/>
    <w:rsid w:val="3E98235C"/>
    <w:rsid w:val="3EC6260F"/>
    <w:rsid w:val="3EE13F16"/>
    <w:rsid w:val="3EF679E5"/>
    <w:rsid w:val="3F76250C"/>
    <w:rsid w:val="3F93160A"/>
    <w:rsid w:val="3FBE7F13"/>
    <w:rsid w:val="3FD324F1"/>
    <w:rsid w:val="400D7F7B"/>
    <w:rsid w:val="40154F8C"/>
    <w:rsid w:val="40B91AE2"/>
    <w:rsid w:val="40D047EA"/>
    <w:rsid w:val="40F72913"/>
    <w:rsid w:val="414501B7"/>
    <w:rsid w:val="42350551"/>
    <w:rsid w:val="42454848"/>
    <w:rsid w:val="4250579A"/>
    <w:rsid w:val="426E2B33"/>
    <w:rsid w:val="429C29ED"/>
    <w:rsid w:val="42AC4237"/>
    <w:rsid w:val="42B72D90"/>
    <w:rsid w:val="42EA3D57"/>
    <w:rsid w:val="43A56600"/>
    <w:rsid w:val="43BD799C"/>
    <w:rsid w:val="43E80065"/>
    <w:rsid w:val="43FF654F"/>
    <w:rsid w:val="4440544D"/>
    <w:rsid w:val="44414863"/>
    <w:rsid w:val="448432E2"/>
    <w:rsid w:val="44D4651B"/>
    <w:rsid w:val="44E150AC"/>
    <w:rsid w:val="44E84FB1"/>
    <w:rsid w:val="450E5A3D"/>
    <w:rsid w:val="451F6722"/>
    <w:rsid w:val="45221A31"/>
    <w:rsid w:val="4591538C"/>
    <w:rsid w:val="459D033F"/>
    <w:rsid w:val="45A060A7"/>
    <w:rsid w:val="45A25BB2"/>
    <w:rsid w:val="45E71F71"/>
    <w:rsid w:val="46A23069"/>
    <w:rsid w:val="46B10F69"/>
    <w:rsid w:val="475B18D2"/>
    <w:rsid w:val="4763404B"/>
    <w:rsid w:val="486852FA"/>
    <w:rsid w:val="48AF5C8A"/>
    <w:rsid w:val="49045422"/>
    <w:rsid w:val="496A6B29"/>
    <w:rsid w:val="49D66AE4"/>
    <w:rsid w:val="49F15A4F"/>
    <w:rsid w:val="4A3104EE"/>
    <w:rsid w:val="4A6312D1"/>
    <w:rsid w:val="4A9B2152"/>
    <w:rsid w:val="4B101917"/>
    <w:rsid w:val="4B8D0E2D"/>
    <w:rsid w:val="4BB46130"/>
    <w:rsid w:val="4C3D0B62"/>
    <w:rsid w:val="4CB7264B"/>
    <w:rsid w:val="4CEF5BAF"/>
    <w:rsid w:val="4D7D3A4A"/>
    <w:rsid w:val="4D850ADA"/>
    <w:rsid w:val="4D9C5FC5"/>
    <w:rsid w:val="4E930995"/>
    <w:rsid w:val="4F8F2829"/>
    <w:rsid w:val="4FB93093"/>
    <w:rsid w:val="51360454"/>
    <w:rsid w:val="51FD4E19"/>
    <w:rsid w:val="523D1183"/>
    <w:rsid w:val="53033E94"/>
    <w:rsid w:val="53351E16"/>
    <w:rsid w:val="5385704A"/>
    <w:rsid w:val="53987183"/>
    <w:rsid w:val="54160EF8"/>
    <w:rsid w:val="543D36A4"/>
    <w:rsid w:val="5448127D"/>
    <w:rsid w:val="548F1912"/>
    <w:rsid w:val="54B823BA"/>
    <w:rsid w:val="55303AEA"/>
    <w:rsid w:val="55657708"/>
    <w:rsid w:val="55B47996"/>
    <w:rsid w:val="561D139E"/>
    <w:rsid w:val="56D227CA"/>
    <w:rsid w:val="570C6233"/>
    <w:rsid w:val="57F42634"/>
    <w:rsid w:val="58620795"/>
    <w:rsid w:val="5864641D"/>
    <w:rsid w:val="5995344C"/>
    <w:rsid w:val="5A5627B7"/>
    <w:rsid w:val="5A691DBF"/>
    <w:rsid w:val="5A752E0B"/>
    <w:rsid w:val="5B4D072D"/>
    <w:rsid w:val="5B547321"/>
    <w:rsid w:val="5B581A90"/>
    <w:rsid w:val="5B8B2BF4"/>
    <w:rsid w:val="5C8A33AB"/>
    <w:rsid w:val="5C8A7A34"/>
    <w:rsid w:val="5C96174C"/>
    <w:rsid w:val="5DA54D35"/>
    <w:rsid w:val="5E4D4776"/>
    <w:rsid w:val="5F555D46"/>
    <w:rsid w:val="5FA60862"/>
    <w:rsid w:val="6090130A"/>
    <w:rsid w:val="60B23606"/>
    <w:rsid w:val="60DA29A7"/>
    <w:rsid w:val="60F577E0"/>
    <w:rsid w:val="610B7306"/>
    <w:rsid w:val="614C44B8"/>
    <w:rsid w:val="62C220C3"/>
    <w:rsid w:val="64C74F27"/>
    <w:rsid w:val="65622F6B"/>
    <w:rsid w:val="65E507C2"/>
    <w:rsid w:val="66055487"/>
    <w:rsid w:val="66265A06"/>
    <w:rsid w:val="665969A9"/>
    <w:rsid w:val="6750787A"/>
    <w:rsid w:val="67553EFC"/>
    <w:rsid w:val="67A92CBE"/>
    <w:rsid w:val="67F5319A"/>
    <w:rsid w:val="6837248C"/>
    <w:rsid w:val="685F19E3"/>
    <w:rsid w:val="687156D7"/>
    <w:rsid w:val="68F04190"/>
    <w:rsid w:val="69016BAE"/>
    <w:rsid w:val="698C108B"/>
    <w:rsid w:val="6A0236F7"/>
    <w:rsid w:val="6A227E13"/>
    <w:rsid w:val="6A256AD2"/>
    <w:rsid w:val="6A49148C"/>
    <w:rsid w:val="6A7A1ED3"/>
    <w:rsid w:val="6A82638A"/>
    <w:rsid w:val="6ACD532A"/>
    <w:rsid w:val="6BAC7F04"/>
    <w:rsid w:val="6BD91AAD"/>
    <w:rsid w:val="6C4222EE"/>
    <w:rsid w:val="6CB56076"/>
    <w:rsid w:val="6D2C1D2E"/>
    <w:rsid w:val="6D741A8D"/>
    <w:rsid w:val="6D8124F7"/>
    <w:rsid w:val="6E434E64"/>
    <w:rsid w:val="6E606344"/>
    <w:rsid w:val="6F5000CE"/>
    <w:rsid w:val="6F834808"/>
    <w:rsid w:val="6FDA32FF"/>
    <w:rsid w:val="6FE442E3"/>
    <w:rsid w:val="6FF934E4"/>
    <w:rsid w:val="70E22485"/>
    <w:rsid w:val="713C6B66"/>
    <w:rsid w:val="71655048"/>
    <w:rsid w:val="71E62861"/>
    <w:rsid w:val="72007C89"/>
    <w:rsid w:val="72DB3D94"/>
    <w:rsid w:val="741A501A"/>
    <w:rsid w:val="745F66AB"/>
    <w:rsid w:val="74A00127"/>
    <w:rsid w:val="74C11DBF"/>
    <w:rsid w:val="75050630"/>
    <w:rsid w:val="75455AC7"/>
    <w:rsid w:val="764650CA"/>
    <w:rsid w:val="768865A9"/>
    <w:rsid w:val="76B949B4"/>
    <w:rsid w:val="76D96E05"/>
    <w:rsid w:val="76F91D77"/>
    <w:rsid w:val="77351123"/>
    <w:rsid w:val="773B116D"/>
    <w:rsid w:val="77D00208"/>
    <w:rsid w:val="7880434D"/>
    <w:rsid w:val="7967434B"/>
    <w:rsid w:val="7AD16771"/>
    <w:rsid w:val="7B53073C"/>
    <w:rsid w:val="7B754FDD"/>
    <w:rsid w:val="7BE544EC"/>
    <w:rsid w:val="7CF2547A"/>
    <w:rsid w:val="7D4A23E3"/>
    <w:rsid w:val="7DAC3A9C"/>
    <w:rsid w:val="7E597CD7"/>
    <w:rsid w:val="7E805F67"/>
    <w:rsid w:val="7E9C0485"/>
    <w:rsid w:val="7ECA375E"/>
    <w:rsid w:val="7FE42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autoRedefine/>
    <w:qFormat/>
    <w:uiPriority w:val="0"/>
    <w:pPr>
      <w:keepNext/>
      <w:outlineLvl w:val="0"/>
    </w:pPr>
    <w:rPr>
      <w:rFonts w:ascii="仿宋_GB2312" w:hAnsi="宋体" w:eastAsia="仿宋_GB2312"/>
      <w:b/>
      <w:kern w:val="2"/>
      <w:sz w:val="32"/>
    </w:rPr>
  </w:style>
  <w:style w:type="paragraph" w:styleId="3">
    <w:name w:val="heading 2"/>
    <w:basedOn w:val="1"/>
    <w:next w:val="1"/>
    <w:autoRedefine/>
    <w:qFormat/>
    <w:uiPriority w:val="0"/>
    <w:pPr>
      <w:keepNext/>
      <w:keepLines/>
      <w:widowControl/>
      <w:spacing w:before="260" w:after="260"/>
      <w:ind w:left="284"/>
      <w:jc w:val="left"/>
      <w:outlineLvl w:val="1"/>
    </w:pPr>
    <w:rPr>
      <w:rFonts w:ascii="Arial" w:hAnsi="Arial"/>
      <w:b/>
      <w:bCs/>
      <w:sz w:val="28"/>
      <w:szCs w:val="32"/>
    </w:rPr>
  </w:style>
  <w:style w:type="paragraph" w:styleId="4">
    <w:name w:val="heading 3"/>
    <w:basedOn w:val="1"/>
    <w:next w:val="1"/>
    <w:autoRedefine/>
    <w:qFormat/>
    <w:uiPriority w:val="0"/>
    <w:pPr>
      <w:keepNext/>
      <w:spacing w:before="624" w:beforeLines="200" w:line="400" w:lineRule="exact"/>
      <w:jc w:val="center"/>
      <w:outlineLvl w:val="2"/>
    </w:pPr>
    <w:rPr>
      <w:rFonts w:ascii="Times New Roman"/>
      <w:b/>
      <w:bCs/>
      <w:kern w:val="2"/>
      <w:szCs w:val="24"/>
    </w:rPr>
  </w:style>
  <w:style w:type="paragraph" w:styleId="5">
    <w:name w:val="heading 4"/>
    <w:basedOn w:val="1"/>
    <w:next w:val="1"/>
    <w:autoRedefine/>
    <w:qFormat/>
    <w:uiPriority w:val="0"/>
    <w:pPr>
      <w:keepNext/>
      <w:keepLines/>
      <w:tabs>
        <w:tab w:val="left" w:pos="864"/>
      </w:tabs>
      <w:spacing w:before="120" w:line="360" w:lineRule="auto"/>
      <w:ind w:left="864" w:hanging="864"/>
      <w:outlineLvl w:val="3"/>
    </w:pPr>
    <w:rPr>
      <w:rFonts w:ascii="Arial" w:hAnsi="Arial"/>
      <w:bCs/>
      <w:kern w:val="2"/>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42"/>
    <w:autoRedefine/>
    <w:qFormat/>
    <w:uiPriority w:val="0"/>
    <w:pPr>
      <w:spacing w:line="300" w:lineRule="auto"/>
      <w:ind w:firstLine="420" w:firstLineChars="200"/>
    </w:pPr>
    <w:rPr>
      <w:rFonts w:ascii="Times New Roman"/>
      <w:kern w:val="2"/>
      <w:sz w:val="21"/>
      <w:szCs w:val="24"/>
    </w:rPr>
  </w:style>
  <w:style w:type="paragraph" w:styleId="7">
    <w:name w:val="annotation text"/>
    <w:basedOn w:val="1"/>
    <w:link w:val="44"/>
    <w:qFormat/>
    <w:uiPriority w:val="0"/>
    <w:pPr>
      <w:jc w:val="left"/>
    </w:pPr>
  </w:style>
  <w:style w:type="paragraph" w:styleId="8">
    <w:name w:val="Body Text 3"/>
    <w:basedOn w:val="1"/>
    <w:autoRedefine/>
    <w:qFormat/>
    <w:uiPriority w:val="0"/>
    <w:pPr>
      <w:jc w:val="center"/>
    </w:pPr>
    <w:rPr>
      <w:rFonts w:ascii="Times New Roman"/>
      <w:b/>
      <w:spacing w:val="-20"/>
      <w:w w:val="110"/>
      <w:kern w:val="2"/>
      <w:sz w:val="52"/>
    </w:rPr>
  </w:style>
  <w:style w:type="paragraph" w:styleId="9">
    <w:name w:val="Body Text"/>
    <w:basedOn w:val="1"/>
    <w:next w:val="1"/>
    <w:autoRedefine/>
    <w:qFormat/>
    <w:uiPriority w:val="0"/>
    <w:pPr>
      <w:spacing w:after="120"/>
    </w:pPr>
    <w:rPr>
      <w:rFonts w:ascii="Times New Roman"/>
      <w:kern w:val="2"/>
      <w:sz w:val="21"/>
    </w:rPr>
  </w:style>
  <w:style w:type="paragraph" w:styleId="10">
    <w:name w:val="Body Text Indent"/>
    <w:basedOn w:val="1"/>
    <w:next w:val="1"/>
    <w:autoRedefine/>
    <w:qFormat/>
    <w:uiPriority w:val="0"/>
    <w:pPr>
      <w:ind w:left="1083" w:leftChars="30" w:hanging="1020" w:hangingChars="425"/>
    </w:pPr>
    <w:rPr>
      <w:rFonts w:hAnsi="宋体"/>
    </w:rPr>
  </w:style>
  <w:style w:type="paragraph" w:styleId="11">
    <w:name w:val="index 4"/>
    <w:basedOn w:val="1"/>
    <w:next w:val="1"/>
    <w:autoRedefine/>
    <w:unhideWhenUsed/>
    <w:qFormat/>
    <w:uiPriority w:val="99"/>
    <w:pPr>
      <w:ind w:left="428" w:firstLine="140"/>
    </w:pPr>
  </w:style>
  <w:style w:type="paragraph" w:styleId="12">
    <w:name w:val="Plain Text"/>
    <w:basedOn w:val="1"/>
    <w:next w:val="13"/>
    <w:autoRedefine/>
    <w:qFormat/>
    <w:uiPriority w:val="0"/>
    <w:rPr>
      <w:rFonts w:hAnsi="Courier New"/>
      <w:kern w:val="2"/>
      <w:sz w:val="21"/>
    </w:rPr>
  </w:style>
  <w:style w:type="paragraph" w:styleId="13">
    <w:name w:val="Date"/>
    <w:basedOn w:val="1"/>
    <w:next w:val="1"/>
    <w:autoRedefine/>
    <w:qFormat/>
    <w:uiPriority w:val="0"/>
    <w:rPr>
      <w:rFonts w:ascii="Times New Roman"/>
      <w:kern w:val="2"/>
      <w:sz w:val="28"/>
    </w:rPr>
  </w:style>
  <w:style w:type="paragraph" w:styleId="14">
    <w:name w:val="Body Text Indent 2"/>
    <w:basedOn w:val="1"/>
    <w:autoRedefine/>
    <w:qFormat/>
    <w:uiPriority w:val="99"/>
    <w:pPr>
      <w:widowControl/>
      <w:spacing w:after="120" w:line="480" w:lineRule="auto"/>
      <w:ind w:left="420" w:leftChars="200"/>
      <w:jc w:val="left"/>
    </w:pPr>
    <w:rPr>
      <w:rFonts w:ascii="Times New Roman"/>
      <w:sz w:val="20"/>
    </w:rPr>
  </w:style>
  <w:style w:type="paragraph" w:styleId="15">
    <w:name w:val="Balloon Text"/>
    <w:basedOn w:val="1"/>
    <w:link w:val="46"/>
    <w:qFormat/>
    <w:uiPriority w:val="0"/>
    <w:rPr>
      <w:sz w:val="18"/>
      <w:szCs w:val="18"/>
    </w:rPr>
  </w:style>
  <w:style w:type="paragraph" w:styleId="16">
    <w:name w:val="footer"/>
    <w:basedOn w:val="1"/>
    <w:autoRedefine/>
    <w:qFormat/>
    <w:uiPriority w:val="0"/>
    <w:pPr>
      <w:tabs>
        <w:tab w:val="center" w:pos="4153"/>
        <w:tab w:val="right" w:pos="8306"/>
      </w:tabs>
      <w:snapToGrid w:val="0"/>
      <w:jc w:val="left"/>
    </w:pPr>
    <w:rPr>
      <w:rFonts w:ascii="Times New Roman"/>
      <w:kern w:val="2"/>
      <w:sz w:val="18"/>
      <w:szCs w:val="18"/>
    </w:rPr>
  </w:style>
  <w:style w:type="paragraph" w:styleId="17">
    <w:name w:val="header"/>
    <w:basedOn w:val="1"/>
    <w:autoRedefine/>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18">
    <w:name w:val="toc 1"/>
    <w:basedOn w:val="1"/>
    <w:next w:val="1"/>
    <w:autoRedefine/>
    <w:unhideWhenUsed/>
    <w:qFormat/>
    <w:uiPriority w:val="0"/>
  </w:style>
  <w:style w:type="paragraph" w:styleId="19">
    <w:name w:val="Body Text Indent 3"/>
    <w:basedOn w:val="1"/>
    <w:autoRedefine/>
    <w:qFormat/>
    <w:uiPriority w:val="0"/>
    <w:pPr>
      <w:spacing w:line="410" w:lineRule="exact"/>
      <w:ind w:left="619" w:leftChars="295" w:firstLine="390" w:firstLineChars="179"/>
    </w:pPr>
    <w:rPr>
      <w:rFonts w:hAnsi="宋体"/>
      <w:spacing w:val="4"/>
      <w:kern w:val="2"/>
      <w:sz w:val="21"/>
    </w:rPr>
  </w:style>
  <w:style w:type="paragraph" w:styleId="20">
    <w:name w:val="toc 2"/>
    <w:basedOn w:val="1"/>
    <w:next w:val="1"/>
    <w:autoRedefine/>
    <w:unhideWhenUsed/>
    <w:qFormat/>
    <w:uiPriority w:val="0"/>
    <w:pPr>
      <w:ind w:left="420" w:leftChars="200"/>
    </w:pPr>
  </w:style>
  <w:style w:type="paragraph" w:styleId="21">
    <w:name w:val="Normal (Web)"/>
    <w:basedOn w:val="1"/>
    <w:autoRedefine/>
    <w:qFormat/>
    <w:uiPriority w:val="0"/>
    <w:pPr>
      <w:widowControl/>
      <w:spacing w:before="100" w:beforeAutospacing="1" w:after="100" w:afterAutospacing="1"/>
      <w:jc w:val="left"/>
    </w:pPr>
    <w:rPr>
      <w:rFonts w:hAnsi="宋体"/>
      <w:szCs w:val="24"/>
    </w:rPr>
  </w:style>
  <w:style w:type="paragraph" w:styleId="22">
    <w:name w:val="annotation subject"/>
    <w:basedOn w:val="7"/>
    <w:next w:val="7"/>
    <w:link w:val="45"/>
    <w:qFormat/>
    <w:uiPriority w:val="0"/>
    <w:rPr>
      <w:b/>
      <w:bCs/>
    </w:rPr>
  </w:style>
  <w:style w:type="paragraph" w:styleId="23">
    <w:name w:val="Body Text First Indent"/>
    <w:basedOn w:val="1"/>
    <w:next w:val="1"/>
    <w:autoRedefine/>
    <w:qFormat/>
    <w:uiPriority w:val="0"/>
    <w:pPr>
      <w:adjustRightInd w:val="0"/>
      <w:ind w:firstLine="420"/>
      <w:jc w:val="left"/>
      <w:textAlignment w:val="baseline"/>
    </w:pPr>
    <w:rPr>
      <w:b/>
      <w:sz w:val="21"/>
    </w:rPr>
  </w:style>
  <w:style w:type="paragraph" w:styleId="24">
    <w:name w:val="Body Text First Indent 2"/>
    <w:basedOn w:val="10"/>
    <w:next w:val="1"/>
    <w:autoRedefine/>
    <w:qFormat/>
    <w:uiPriority w:val="0"/>
    <w:pPr>
      <w:spacing w:after="120"/>
      <w:ind w:left="420" w:leftChars="200" w:firstLine="420"/>
    </w:pPr>
    <w:rPr>
      <w:sz w:val="21"/>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uiPriority w:val="0"/>
    <w:rPr>
      <w:b/>
      <w:bCs/>
    </w:rPr>
  </w:style>
  <w:style w:type="character" w:styleId="29">
    <w:name w:val="page number"/>
    <w:basedOn w:val="27"/>
    <w:autoRedefine/>
    <w:qFormat/>
    <w:uiPriority w:val="0"/>
  </w:style>
  <w:style w:type="character" w:styleId="30">
    <w:name w:val="Hyperlink"/>
    <w:autoRedefine/>
    <w:qFormat/>
    <w:uiPriority w:val="0"/>
    <w:rPr>
      <w:color w:val="333333"/>
      <w:u w:val="single"/>
    </w:rPr>
  </w:style>
  <w:style w:type="character" w:styleId="31">
    <w:name w:val="annotation reference"/>
    <w:basedOn w:val="27"/>
    <w:qFormat/>
    <w:uiPriority w:val="0"/>
    <w:rPr>
      <w:sz w:val="21"/>
      <w:szCs w:val="21"/>
    </w:rPr>
  </w:style>
  <w:style w:type="paragraph" w:customStyle="1" w:styleId="32">
    <w:name w:val="font5"/>
    <w:basedOn w:val="1"/>
    <w:autoRedefine/>
    <w:qFormat/>
    <w:uiPriority w:val="0"/>
    <w:pPr>
      <w:widowControl/>
      <w:spacing w:before="100" w:beforeAutospacing="1" w:after="100" w:afterAutospacing="1"/>
      <w:jc w:val="left"/>
    </w:pPr>
    <w:rPr>
      <w:rFonts w:hint="eastAsia" w:hAnsi="宋体"/>
    </w:rPr>
  </w:style>
  <w:style w:type="paragraph" w:customStyle="1" w:styleId="33">
    <w:name w:val="正文(首行缩进)"/>
    <w:autoRedefine/>
    <w:qFormat/>
    <w:uiPriority w:val="0"/>
    <w:pPr>
      <w:spacing w:line="420" w:lineRule="atLeast"/>
      <w:ind w:firstLine="200" w:firstLineChars="200"/>
      <w:jc w:val="both"/>
    </w:pPr>
    <w:rPr>
      <w:rFonts w:ascii="Times New Roman" w:hAnsi="Times New Roman" w:eastAsia="仿宋_GB2312" w:cs="Times New Roman"/>
      <w:spacing w:val="2"/>
      <w:kern w:val="24"/>
      <w:sz w:val="24"/>
      <w:szCs w:val="22"/>
      <w:lang w:val="en-US" w:eastAsia="zh-CN" w:bidi="ar-SA"/>
    </w:rPr>
  </w:style>
  <w:style w:type="paragraph" w:customStyle="1" w:styleId="34">
    <w:name w:val="列出段落1"/>
    <w:basedOn w:val="1"/>
    <w:autoRedefine/>
    <w:qFormat/>
    <w:uiPriority w:val="34"/>
    <w:pPr>
      <w:ind w:firstLine="420" w:firstLineChars="200"/>
    </w:pPr>
  </w:style>
  <w:style w:type="paragraph" w:customStyle="1" w:styleId="35">
    <w:name w:val="_Style 17"/>
    <w:basedOn w:val="2"/>
    <w:next w:val="1"/>
    <w:autoRedefine/>
    <w:qFormat/>
    <w:uiPriority w:val="0"/>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36">
    <w:name w:val="Char1"/>
    <w:basedOn w:val="1"/>
    <w:autoRedefine/>
    <w:qFormat/>
    <w:uiPriority w:val="0"/>
    <w:pPr>
      <w:tabs>
        <w:tab w:val="left" w:pos="360"/>
      </w:tabs>
      <w:ind w:left="360" w:hanging="360" w:hangingChars="200"/>
    </w:pPr>
    <w:rPr>
      <w:szCs w:val="24"/>
    </w:rPr>
  </w:style>
  <w:style w:type="paragraph" w:customStyle="1" w:styleId="37">
    <w:name w:val="列出段落2"/>
    <w:basedOn w:val="1"/>
    <w:autoRedefine/>
    <w:qFormat/>
    <w:uiPriority w:val="34"/>
    <w:pPr>
      <w:ind w:firstLine="420" w:firstLineChars="200"/>
    </w:pPr>
  </w:style>
  <w:style w:type="paragraph" w:customStyle="1" w:styleId="38">
    <w:name w:val="彩色列表1"/>
    <w:basedOn w:val="1"/>
    <w:autoRedefine/>
    <w:qFormat/>
    <w:uiPriority w:val="34"/>
    <w:pPr>
      <w:ind w:firstLine="420" w:firstLineChars="200"/>
    </w:pPr>
    <w:rPr>
      <w:rFonts w:ascii="Calibri" w:hAnsi="Calibri"/>
      <w:szCs w:val="22"/>
    </w:rPr>
  </w:style>
  <w:style w:type="paragraph" w:customStyle="1" w:styleId="39">
    <w:name w:val="列出段落11"/>
    <w:basedOn w:val="1"/>
    <w:autoRedefine/>
    <w:qFormat/>
    <w:uiPriority w:val="34"/>
    <w:pPr>
      <w:ind w:firstLine="420" w:firstLineChars="200"/>
    </w:pPr>
    <w:rPr>
      <w:rFonts w:ascii="Calibri" w:hAnsi="Calibri"/>
      <w:szCs w:val="22"/>
    </w:rPr>
  </w:style>
  <w:style w:type="paragraph" w:customStyle="1" w:styleId="40">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表格"/>
    <w:basedOn w:val="1"/>
    <w:qFormat/>
    <w:uiPriority w:val="0"/>
    <w:pPr>
      <w:spacing w:line="360" w:lineRule="auto"/>
      <w:jc w:val="center"/>
    </w:pPr>
    <w:rPr>
      <w:rFonts w:hAnsi="宋体" w:cs="宋体"/>
    </w:rPr>
  </w:style>
  <w:style w:type="character" w:customStyle="1" w:styleId="42">
    <w:name w:val="正文缩进 字符"/>
    <w:link w:val="6"/>
    <w:qFormat/>
    <w:uiPriority w:val="0"/>
    <w:rPr>
      <w:rFonts w:ascii="Times New Roman"/>
      <w:kern w:val="2"/>
      <w:sz w:val="21"/>
      <w:szCs w:val="24"/>
    </w:rPr>
  </w:style>
  <w:style w:type="paragraph" w:customStyle="1" w:styleId="43">
    <w:name w:val="Table Paragraph"/>
    <w:basedOn w:val="1"/>
    <w:qFormat/>
    <w:uiPriority w:val="1"/>
    <w:pPr>
      <w:autoSpaceDE w:val="0"/>
      <w:autoSpaceDN w:val="0"/>
      <w:jc w:val="left"/>
    </w:pPr>
    <w:rPr>
      <w:rFonts w:hAnsi="宋体" w:cs="宋体"/>
      <w:sz w:val="22"/>
      <w:szCs w:val="22"/>
      <w:lang w:val="zh-CN" w:bidi="zh-CN"/>
    </w:rPr>
  </w:style>
  <w:style w:type="character" w:customStyle="1" w:styleId="44">
    <w:name w:val="批注文字 字符"/>
    <w:basedOn w:val="27"/>
    <w:link w:val="7"/>
    <w:qFormat/>
    <w:uiPriority w:val="0"/>
    <w:rPr>
      <w:rFonts w:ascii="宋体"/>
      <w:sz w:val="24"/>
    </w:rPr>
  </w:style>
  <w:style w:type="character" w:customStyle="1" w:styleId="45">
    <w:name w:val="批注主题 字符"/>
    <w:basedOn w:val="44"/>
    <w:link w:val="22"/>
    <w:qFormat/>
    <w:uiPriority w:val="0"/>
    <w:rPr>
      <w:rFonts w:ascii="宋体"/>
      <w:b/>
      <w:bCs/>
      <w:sz w:val="24"/>
    </w:rPr>
  </w:style>
  <w:style w:type="character" w:customStyle="1" w:styleId="46">
    <w:name w:val="批注框文本 字符"/>
    <w:basedOn w:val="27"/>
    <w:link w:val="15"/>
    <w:qFormat/>
    <w:uiPriority w:val="0"/>
    <w:rPr>
      <w:rFonts w:ascii="宋体"/>
      <w:sz w:val="18"/>
      <w:szCs w:val="18"/>
    </w:rPr>
  </w:style>
  <w:style w:type="character" w:customStyle="1" w:styleId="47">
    <w:name w:val="font41"/>
    <w:basedOn w:val="27"/>
    <w:qFormat/>
    <w:uiPriority w:val="0"/>
    <w:rPr>
      <w:rFonts w:hint="eastAsia" w:ascii="等线" w:hAnsi="等线" w:eastAsia="等线" w:cs="等线"/>
      <w:color w:val="FF0000"/>
      <w:sz w:val="22"/>
      <w:szCs w:val="22"/>
      <w:u w:val="none"/>
    </w:rPr>
  </w:style>
  <w:style w:type="character" w:customStyle="1" w:styleId="48">
    <w:name w:val="font01"/>
    <w:basedOn w:val="27"/>
    <w:qFormat/>
    <w:uiPriority w:val="0"/>
    <w:rPr>
      <w:rFonts w:hint="eastAsia" w:ascii="等线" w:hAnsi="等线" w:eastAsia="等线" w:cs="等线"/>
      <w:color w:val="000000"/>
      <w:sz w:val="22"/>
      <w:szCs w:val="22"/>
      <w:u w:val="none"/>
    </w:rPr>
  </w:style>
  <w:style w:type="character" w:customStyle="1" w:styleId="49">
    <w:name w:val="font51"/>
    <w:basedOn w:val="27"/>
    <w:qFormat/>
    <w:uiPriority w:val="0"/>
    <w:rPr>
      <w:rFonts w:ascii="Arial" w:hAnsi="Arial" w:cs="Arial"/>
      <w:color w:val="FF0000"/>
      <w:sz w:val="22"/>
      <w:szCs w:val="22"/>
      <w:u w:val="none"/>
    </w:rPr>
  </w:style>
  <w:style w:type="character" w:customStyle="1" w:styleId="50">
    <w:name w:val="font61"/>
    <w:basedOn w:val="27"/>
    <w:qFormat/>
    <w:uiPriority w:val="0"/>
    <w:rPr>
      <w:rFonts w:hint="eastAsia" w:ascii="宋体" w:hAnsi="宋体" w:eastAsia="宋体" w:cs="宋体"/>
      <w:color w:val="000000"/>
      <w:sz w:val="20"/>
      <w:szCs w:val="20"/>
      <w:u w:val="single"/>
    </w:rPr>
  </w:style>
  <w:style w:type="paragraph" w:customStyle="1" w:styleId="51">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header" Target="head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125</Pages>
  <Words>15718</Words>
  <Characters>17113</Characters>
  <Lines>350</Lines>
  <Paragraphs>98</Paragraphs>
  <TotalTime>9</TotalTime>
  <ScaleCrop>false</ScaleCrop>
  <LinksUpToDate>false</LinksUpToDate>
  <CharactersWithSpaces>17284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2020-11-26T02:22:00Z</dcterms:created>
  <dc:creator>Administrator</dc:creator>
  <cp:lastModifiedBy>救赎</cp:lastModifiedBy>
  <dcterms:modified xsi:type="dcterms:W3CDTF">2025-10-24T07:02:17Z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2813C1EA044945D298B31D7BBF0A2B2E_13</vt:lpwstr>
  </property>
  <property fmtid="{D5CDD505-2E9C-101B-9397-08002B2CF9AE}" pid="4" name="KSOTemplateDocerSaveRecord">
    <vt:lpwstr>eyJoZGlkIjoiNWM0MGE3OGMzMDhmYTY0NWM2ZWU0NTQwMDY4YjgwZTAiLCJ1c2VySWQiOiIxNTU5MDg0MTUyIn0=</vt:lpwstr>
  </property>
</Properties>
</file>