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83E0">
      <w:pPr>
        <w:pStyle w:val="5"/>
        <w:spacing w:line="360" w:lineRule="auto"/>
        <w:jc w:val="center"/>
        <w:outlineLvl w:val="2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采购需求</w:t>
      </w:r>
      <w:bookmarkStart w:id="2" w:name="_GoBack"/>
      <w:bookmarkEnd w:id="2"/>
    </w:p>
    <w:p w14:paraId="14D727D0">
      <w:pPr>
        <w:pStyle w:val="5"/>
        <w:spacing w:line="360" w:lineRule="auto"/>
        <w:outlineLvl w:val="2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采购包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：</w:t>
      </w:r>
    </w:p>
    <w:p w14:paraId="29DC32B2">
      <w:pPr>
        <w:pStyle w:val="5"/>
        <w:spacing w:line="360" w:lineRule="auto"/>
        <w:outlineLvl w:val="2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标的名称：粒度仪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83"/>
        <w:gridCol w:w="6337"/>
      </w:tblGrid>
      <w:tr w14:paraId="02B0B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0B4FA2E1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参数性质</w:t>
            </w:r>
          </w:p>
        </w:tc>
        <w:tc>
          <w:tcPr>
            <w:tcW w:w="683" w:type="dxa"/>
          </w:tcPr>
          <w:p w14:paraId="31FE3932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337" w:type="dxa"/>
          </w:tcPr>
          <w:p w14:paraId="153A3502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技术参数与性能指标</w:t>
            </w:r>
          </w:p>
        </w:tc>
      </w:tr>
      <w:tr w14:paraId="08D57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86" w:type="dxa"/>
          </w:tcPr>
          <w:p w14:paraId="32EB60B7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组成部分</w:t>
            </w:r>
          </w:p>
        </w:tc>
        <w:tc>
          <w:tcPr>
            <w:tcW w:w="683" w:type="dxa"/>
          </w:tcPr>
          <w:p w14:paraId="3D0B6030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337" w:type="dxa"/>
          </w:tcPr>
          <w:p w14:paraId="4CAEEFE1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1.组成部分：由测量主机、测量探头及固定烧杯支架、PVC参考标样、空压机、软件和数据处理系统等部件组成。</w:t>
            </w:r>
          </w:p>
        </w:tc>
      </w:tr>
      <w:tr w14:paraId="4FC00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51F331DC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测量探头规格</w:t>
            </w:r>
          </w:p>
        </w:tc>
        <w:tc>
          <w:tcPr>
            <w:tcW w:w="683" w:type="dxa"/>
          </w:tcPr>
          <w:p w14:paraId="6B8B828F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337" w:type="dxa"/>
          </w:tcPr>
          <w:p w14:paraId="6F2478FB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2.1测量窗口：蓝宝石</w:t>
            </w:r>
          </w:p>
          <w:p w14:paraId="1E7EE071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2.2▲最小测量温度-20 ℃，最大测量温度＞120 ℃；</w:t>
            </w:r>
          </w:p>
          <w:p w14:paraId="576601C9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2.3测量压力：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不低于或优于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MPa；</w:t>
            </w:r>
          </w:p>
          <w:p w14:paraId="3B59500B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2.4导线长度：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不低于或优于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5m；</w:t>
            </w:r>
          </w:p>
          <w:p w14:paraId="7F0881CA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2.5探头材料：哈氏合金HC22；</w:t>
            </w:r>
          </w:p>
          <w:p w14:paraId="6D17BE21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2.6线性测量速度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不低于或优于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2m/s；</w:t>
            </w:r>
          </w:p>
          <w:p w14:paraId="11CED100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2.7▲测量的颗粒浓度范围：0～70%；</w:t>
            </w:r>
          </w:p>
          <w:p w14:paraId="489FBD7B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  <w:t>2.8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 xml:space="preserve"> 探头外径：≤1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  <w:t>9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mm；</w:t>
            </w:r>
          </w:p>
          <w:p w14:paraId="32706BF6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2.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  <w:t>9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 xml:space="preserve"> 探头长度：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不低于或优于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  <w:t>00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mm；</w:t>
            </w:r>
          </w:p>
          <w:p w14:paraId="318E9358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.10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驱动方式：气动。</w:t>
            </w:r>
          </w:p>
        </w:tc>
      </w:tr>
      <w:tr w14:paraId="458DD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42EA0291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测量规格</w:t>
            </w:r>
          </w:p>
        </w:tc>
        <w:tc>
          <w:tcPr>
            <w:tcW w:w="683" w:type="dxa"/>
          </w:tcPr>
          <w:p w14:paraId="1CF25739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337" w:type="dxa"/>
          </w:tcPr>
          <w:p w14:paraId="72DCC488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3.1▲测定的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粒度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范围：0.5～3000μm；</w:t>
            </w:r>
          </w:p>
          <w:p w14:paraId="5B3651D4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3.2★颗粒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不能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假定为一种特定形状，采用激光反射原理设计对工艺过程无干扰；每次测量周期，实时给出弦长分布数据；具备实时粘污指数功能，确定暂时粘附在探头窗口的颗粒，并报告覆盖程度，带有粘住颗粒校准功能；</w:t>
            </w:r>
          </w:p>
          <w:p w14:paraId="342D484D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3.3无需通过取样、超声、稀释等后处理手段就可在原位体系中实时测量，可以和很多工艺条件实时关联，快速优化工艺条件；</w:t>
            </w:r>
          </w:p>
          <w:p w14:paraId="54F0A64F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3.4★探头前端是平整非凹槽一体化设计，能防止卡槽；能够在相对于探头窗口位置不变的距离下，在特定区域内对颗粒进行测量；在每次测量周期，对于给定长度的弦长数，该系统以弦长分布记录数据；在单次测量周期下，能进行全程测量，测量颗粒速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不低于或优于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m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s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3756867F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3.5基于探头技术进行测量，能测量单个颗粒，不是基于体积测量；</w:t>
            </w:r>
          </w:p>
          <w:p w14:paraId="29174BEF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3.6每次测量同时提供两种颗粒分布方法：大粒径模式和小粒径模式；同时追踪小颗粒和大颗粒的粒径变化；</w:t>
            </w:r>
          </w:p>
          <w:p w14:paraId="2D82F7D7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3.7采样连续，采样间隔≤2s。</w:t>
            </w:r>
          </w:p>
        </w:tc>
      </w:tr>
      <w:tr w14:paraId="11D1A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124E5D8F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软件要求</w:t>
            </w:r>
          </w:p>
        </w:tc>
        <w:tc>
          <w:tcPr>
            <w:tcW w:w="683" w:type="dxa"/>
          </w:tcPr>
          <w:p w14:paraId="5504EEF7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337" w:type="dxa"/>
          </w:tcPr>
          <w:p w14:paraId="2BA34BFA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4.1在每次测量周期，软件提供基于数量的弦长分布；</w:t>
            </w:r>
          </w:p>
          <w:p w14:paraId="05F030B7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4.2软件能使用户在单次测量时加注释，这些注释也能在后处理时重现；</w:t>
            </w:r>
          </w:p>
          <w:p w14:paraId="63CE8211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4.3能拖拽趋势和弦长分布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E84A326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4.4同时追踪小颗粒和大颗粒的粒径变化；</w:t>
            </w:r>
          </w:p>
          <w:p w14:paraId="337EE68C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4.5可导入温度、pH、搅拌、加料等统计趋势；利用拖拽等方式设定颗粒分布的终点；</w:t>
            </w:r>
          </w:p>
          <w:p w14:paraId="42D620F9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4.6保存数据分析组，并可从之前实验暂停的地方开始进行分析；</w:t>
            </w:r>
          </w:p>
          <w:p w14:paraId="3231AD06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4.7实时清晰地显示颗粒的生长变化过程等图像信息；</w:t>
            </w:r>
          </w:p>
          <w:p w14:paraId="39559D69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4.8通过实验模板确保重复批次条件；</w:t>
            </w:r>
          </w:p>
          <w:p w14:paraId="621F2639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4.9 Excel中的数据能拷贝和粘贴至软件中；</w:t>
            </w:r>
          </w:p>
          <w:p w14:paraId="3BE76377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4.10一键生成完整的报表；</w:t>
            </w:r>
          </w:p>
          <w:p w14:paraId="794E604D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4.11完全兼容动力学模拟放大软件指导快速优化生产工艺，软件自带实验系统所有数据；</w:t>
            </w:r>
          </w:p>
          <w:p w14:paraId="1BF81156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4.12★软件基于通用平台，并能与其他多种仪器进行实时无缝通讯和数据关联共享，包括但不局限于以下仪器：自动化反应器、反应量热仪、实时在线取样分析系统、实时在线反应分析系统、实时在线拉曼分析系统，智能在线液相分析系统、在线动态颗粒成像分析仪等，如可以自动测结晶介稳区等结晶工艺所需最基础数据。</w:t>
            </w:r>
          </w:p>
          <w:p w14:paraId="512E80E9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4.13和多个实验条件参数相关联，便于实时的去优化整个处理工艺过程；</w:t>
            </w:r>
          </w:p>
        </w:tc>
      </w:tr>
      <w:tr w14:paraId="68C01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00498F85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技术应用及服务支持要求</w:t>
            </w:r>
          </w:p>
          <w:p w14:paraId="5535BF57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3" w:type="dxa"/>
          </w:tcPr>
          <w:p w14:paraId="088E3682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6337" w:type="dxa"/>
          </w:tcPr>
          <w:p w14:paraId="59EF2AA6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国内能提供原厂应用技术支持。</w:t>
            </w:r>
          </w:p>
        </w:tc>
      </w:tr>
    </w:tbl>
    <w:p w14:paraId="3FD9CDC9"/>
    <w:p w14:paraId="0367142C">
      <w:pPr>
        <w:pStyle w:val="2"/>
      </w:pPr>
    </w:p>
    <w:p w14:paraId="451A7CE0"/>
    <w:p w14:paraId="219257D3">
      <w:pPr>
        <w:pStyle w:val="2"/>
      </w:pPr>
    </w:p>
    <w:p w14:paraId="5D48B1B0"/>
    <w:p w14:paraId="1C5A3E72">
      <w:pPr>
        <w:pStyle w:val="2"/>
      </w:pPr>
    </w:p>
    <w:p w14:paraId="3F0EB671"/>
    <w:p w14:paraId="5F39C667">
      <w:pPr>
        <w:pStyle w:val="2"/>
      </w:pPr>
    </w:p>
    <w:p w14:paraId="6E29213E"/>
    <w:p w14:paraId="4861D110">
      <w:pPr>
        <w:pStyle w:val="2"/>
      </w:pPr>
    </w:p>
    <w:p w14:paraId="63DF16EE"/>
    <w:p w14:paraId="53EB3F3F">
      <w:pPr>
        <w:pStyle w:val="2"/>
      </w:pPr>
    </w:p>
    <w:p w14:paraId="157871C1"/>
    <w:p w14:paraId="525006F4">
      <w:pPr>
        <w:pStyle w:val="2"/>
      </w:pPr>
    </w:p>
    <w:p w14:paraId="67542CAF"/>
    <w:p w14:paraId="2B9880D4">
      <w:pPr>
        <w:pStyle w:val="5"/>
        <w:spacing w:line="360" w:lineRule="auto"/>
        <w:outlineLvl w:val="2"/>
        <w:rPr>
          <w:rFonts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</w:p>
    <w:p w14:paraId="3398D023">
      <w:pPr>
        <w:pStyle w:val="5"/>
        <w:spacing w:line="360" w:lineRule="auto"/>
        <w:outlineLvl w:val="2"/>
        <w:rPr>
          <w:rFonts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</w:p>
    <w:p w14:paraId="21A85DE3">
      <w:pPr>
        <w:pStyle w:val="5"/>
        <w:spacing w:line="360" w:lineRule="auto"/>
        <w:outlineLvl w:val="2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采购包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：</w:t>
      </w:r>
    </w:p>
    <w:p w14:paraId="448DF1DC">
      <w:pPr>
        <w:pStyle w:val="5"/>
        <w:spacing w:line="360" w:lineRule="auto"/>
        <w:outlineLvl w:val="2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标的名称：高性能比表面及微孔分析仪及全自动物理吸附仪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6321"/>
      </w:tblGrid>
      <w:tr w14:paraId="0AF58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78D66F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参数性质</w:t>
            </w:r>
          </w:p>
        </w:tc>
        <w:tc>
          <w:tcPr>
            <w:tcW w:w="851" w:type="dxa"/>
          </w:tcPr>
          <w:p w14:paraId="2B28AEEB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序号</w:t>
            </w:r>
          </w:p>
        </w:tc>
        <w:tc>
          <w:tcPr>
            <w:tcW w:w="6321" w:type="dxa"/>
          </w:tcPr>
          <w:p w14:paraId="55BDF60A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技术参数与性能指标</w:t>
            </w:r>
          </w:p>
        </w:tc>
      </w:tr>
      <w:tr w14:paraId="0054C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D25F408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</w:tcPr>
          <w:p w14:paraId="6543EDAA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21" w:type="dxa"/>
          </w:tcPr>
          <w:p w14:paraId="6FAE48B6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0" w:name="OLE_LINK4"/>
            <w:bookmarkStart w:id="1" w:name="OLE_LINK3"/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★（1）具备实现Ar、Kr、CO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、N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、水蒸气、苯、甲苯等不饱和双键的液体蒸汽等有机和无机气体吸附测试的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功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能，孔径测试范围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0.35—500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nm，比表面积测量范围可达0.001㎡/g以上，精密度重复性差值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＜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1.5%；</w:t>
            </w:r>
          </w:p>
          <w:p w14:paraId="7A5E598E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▲（2）分析能力：四个工作站可以同时实现两站微孔、两站介孔测试，原位脱气站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个；</w:t>
            </w:r>
          </w:p>
          <w:p w14:paraId="2DB9803E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▲（3）配备机械泵和分子涡轮泵，确保分析系统相对压力P/P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vertAlign w:val="subscript"/>
              </w:rPr>
              <w:t>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(氮气在液氮温度下)达到10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vertAlign w:val="superscript"/>
              </w:rPr>
              <w:t>-9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，机械泵真空不低于10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vertAlign w:val="superscript"/>
              </w:rPr>
              <w:t>-3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mmHg，抽速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不低于或优于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m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h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，分子涡轮泵真空度≤10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vertAlign w:val="superscript"/>
              </w:rPr>
              <w:t>-4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Pa；</w:t>
            </w:r>
          </w:p>
          <w:p w14:paraId="364898C5">
            <w:pPr>
              <w:pStyle w:val="5"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（4）脱气站最大脱气温度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不低于或优于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450℃，脱气位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不低于或优于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6个；</w:t>
            </w:r>
          </w:p>
          <w:p w14:paraId="30FDE1A4">
            <w:pPr>
              <w:pStyle w:val="5"/>
              <w:spacing w:line="360" w:lineRule="auto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（5）数据处理系统包括但不限于吸附/脱附等温线，BET比表面，Langmuir比表面，BJH/CI/DH孔分析，as作图，t-plot作图，MP法，HK法，SF法，DA法，吸附等温线的微分，分子探针法；</w:t>
            </w:r>
          </w:p>
          <w:p w14:paraId="52B0F829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（6）仪器内部密封采用耐不饱和双键的密封圈，可以测定苯、甲苯等不饱和双键液体蒸汽；</w:t>
            </w:r>
            <w:bookmarkEnd w:id="0"/>
            <w:bookmarkEnd w:id="1"/>
          </w:p>
        </w:tc>
      </w:tr>
    </w:tbl>
    <w:p w14:paraId="68337F80">
      <w:pPr>
        <w:pStyle w:val="2"/>
      </w:pPr>
    </w:p>
    <w:p w14:paraId="191F1B62"/>
    <w:p w14:paraId="1F46986E">
      <w:pPr>
        <w:pStyle w:val="2"/>
      </w:pPr>
    </w:p>
    <w:p w14:paraId="67CC1728"/>
    <w:p w14:paraId="42BD5ACC">
      <w:pPr>
        <w:pStyle w:val="2"/>
      </w:pPr>
    </w:p>
    <w:p w14:paraId="4200E611"/>
    <w:p w14:paraId="7BDE849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3353D"/>
    <w:rsid w:val="3F83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jc w:val="center"/>
      <w:outlineLvl w:val="3"/>
    </w:pPr>
    <w:rPr>
      <w:rFonts w:ascii="Arial" w:hAnsi="Arial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2025-10-30T10:57:00Z</dcterms:created>
  <dc:creator>lijiao</dc:creator>
  <cp:lastModifiedBy>lijiao</cp:lastModifiedBy>
  <dcterms:modified xsi:type="dcterms:W3CDTF">2025-10-30T10:58:14Z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5AC134DAF87E4A5BBDEFF2A79D40EB99_11</vt:lpwstr>
  </property>
  <property fmtid="{D5CDD505-2E9C-101B-9397-08002B2CF9AE}" pid="4" name="KSOTemplateDocerSaveRecord">
    <vt:lpwstr>eyJoZGlkIjoiODg0ZjBmOGRiZWVjZTM4ZTdmNWUxNDY2Zjg4MWY5ZTMiLCJ1c2VySWQiOiI0MDg0NzQ4MjUifQ==</vt:lpwstr>
  </property>
</Properties>
</file>