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西安市第三医院消安一体化建设项目招标公告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消安一体化建设项目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2025年11月21日 09时00分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项目编号：XAJG（ZFCG）-20250912</w:t>
      </w:r>
    </w:p>
    <w:p>
      <w:pPr>
        <w:pStyle w:val="null3"/>
      </w:pPr>
      <w:r>
        <w:rPr>
          <w:rFonts w:ascii="仿宋_GB2312" w:hAnsi="仿宋_GB2312" w:cs="仿宋_GB2312" w:eastAsia="仿宋_GB2312"/>
        </w:rPr>
        <w:t>项目名称：消安一体化建设项目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预算金额：3,390,000.00元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采购包1：项目建设周期自合同签订之日起4个月。质保期：合同清单产品，验收合格之日起3年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合同包1(消安一体化建设项目)特定资格要求如下:</w:t>
      </w:r>
    </w:p>
    <w:p>
      <w:pPr>
        <w:pStyle w:val="null3"/>
      </w:pPr>
      <w:r>
        <w:rPr>
          <w:rFonts w:ascii="仿宋_GB2312" w:hAnsi="仿宋_GB2312" w:cs="仿宋_GB2312" w:eastAsia="仿宋_GB2312"/>
        </w:rPr>
        <w:t>(1)在中华人民共和国境内注册，依法取得并有效存续的营业执照（含电子营业执照）\事业单位法人证书\民办非企业单位登记证书\非企业专业服务机构执业许可证等。</w:t>
      </w:r>
    </w:p>
    <w:p>
      <w:pPr>
        <w:pStyle w:val="null3"/>
      </w:pPr>
      <w:r>
        <w:rPr>
          <w:rFonts w:ascii="仿宋_GB2312" w:hAnsi="仿宋_GB2312" w:cs="仿宋_GB2312" w:eastAsia="仿宋_GB2312"/>
        </w:rPr>
        <w:t>(2)法定代表人（主要负责人）委托代理人参加投标时，应提供法定代表人（主要负责人）委托授权书及被授权人本单位证明 (开标前半年内任意一个月的社保缴纳证明)；法定代表人（主要负责人）亲自参加投标时，应提供法定代表人（主要负责人）身份证明书</w:t>
      </w:r>
    </w:p>
    <w:p>
      <w:pPr>
        <w:pStyle w:val="null3"/>
      </w:pPr>
      <w:r>
        <w:rPr>
          <w:rFonts w:ascii="仿宋_GB2312" w:hAnsi="仿宋_GB2312" w:cs="仿宋_GB2312" w:eastAsia="仿宋_GB2312"/>
        </w:rPr>
        <w:t>(3)提供 2024 年度经审计的完整的财务会计报告（至少包括审计报告、资产负债表、现金流量表和利润表，成立时间至提交投标文件截止时间不足一年的可提供成立后任意时段的资产负债表）或提交投标文件截止时间前六个月内其基本账户开户银行出具的资信证明(须另附基本存款账户信息）或信用担保机构出具的投标担保函，（以上三种形式的资料提供任何一种即可）。</w:t>
      </w:r>
    </w:p>
    <w:p>
      <w:pPr>
        <w:pStyle w:val="null3"/>
      </w:pPr>
      <w:r>
        <w:rPr>
          <w:rFonts w:ascii="仿宋_GB2312" w:hAnsi="仿宋_GB2312" w:cs="仿宋_GB2312" w:eastAsia="仿宋_GB2312"/>
        </w:rPr>
        <w:t>(4)提交投标文件截止时间前一年内至少一个月的纳税证明或完税证明（任意税种），纳税证明或完税证明上应有代收机构或税务机关的公章或业务专用章。（依法免税的供应商应提供相应文件证明）</w:t>
      </w:r>
    </w:p>
    <w:p>
      <w:pPr>
        <w:pStyle w:val="null3"/>
      </w:pPr>
      <w:r>
        <w:rPr>
          <w:rFonts w:ascii="仿宋_GB2312" w:hAnsi="仿宋_GB2312" w:cs="仿宋_GB2312" w:eastAsia="仿宋_GB2312"/>
        </w:rPr>
        <w:t>(5)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pPr>
        <w:pStyle w:val="null3"/>
      </w:pPr>
      <w:r>
        <w:rPr>
          <w:rFonts w:ascii="仿宋_GB2312" w:hAnsi="仿宋_GB2312" w:cs="仿宋_GB2312" w:eastAsia="仿宋_GB2312"/>
        </w:rPr>
        <w:t>(6)供应商提供具有履行本合同所必需的设备和专业技术能力的承诺函</w:t>
      </w:r>
    </w:p>
    <w:p>
      <w:pPr>
        <w:pStyle w:val="null3"/>
      </w:pPr>
      <w:r>
        <w:rPr>
          <w:rFonts w:ascii="仿宋_GB2312" w:hAnsi="仿宋_GB2312" w:cs="仿宋_GB2312" w:eastAsia="仿宋_GB2312"/>
        </w:rPr>
        <w:t>(7)参加本次政府采购活动前3年内在经营活动中没有重大违法记录，以及未被列入失信被执行人、重大税收违法案件当事人名单、政府采购严重违法失信行为记录名单的书面声明</w:t>
      </w:r>
    </w:p>
    <w:p>
      <w:pPr>
        <w:pStyle w:val="null3"/>
      </w:pPr>
      <w:r>
        <w:rPr>
          <w:rFonts w:ascii="仿宋_GB2312" w:hAnsi="仿宋_GB2312" w:cs="仿宋_GB2312" w:eastAsia="仿宋_GB2312"/>
        </w:rPr>
        <w:t>(8)具有电子与智能化工程专业承包貳级或贰级以上资质。</w:t>
      </w:r>
    </w:p>
    <w:p>
      <w:pPr>
        <w:pStyle w:val="null3"/>
      </w:pPr>
      <w:r>
        <w:rPr>
          <w:rFonts w:ascii="仿宋_GB2312" w:hAnsi="仿宋_GB2312" w:cs="仿宋_GB2312" w:eastAsia="仿宋_GB2312"/>
        </w:rPr>
        <w:t>(9)供应商不得为“信用中国”网站（www.creditchina.gov.cn）列入失信被执行人、重大税收违法失信主体、政府采购严重违法失信行为记录名单的供应商，不得为“中国政府采购网”（www.ccgp.gov.cn）政府采购严重违法失信行为记录名单中的供应商。（供应商无须提供，开标现场查询）</w:t>
      </w:r>
    </w:p>
    <w:p>
      <w:pPr>
        <w:pStyle w:val="null3"/>
      </w:pPr>
      <w:r>
        <w:rPr>
          <w:rFonts w:ascii="仿宋_GB2312" w:hAnsi="仿宋_GB2312" w:cs="仿宋_GB2312" w:eastAsia="仿宋_GB2312"/>
        </w:rPr>
        <w:t>(10)供应商非采购人单位职工及家属投资开办，其法人、股东和经营管理人员非采购人单位职工及家属；供应商未与本公司交叉控股股东、交叉兼任高级管理人员的公司同时参与本项目，避免涉嫌围标、串标。在投标前3年内的招投标和政府采购活动中无以行贿手段谋取中标（成交）的行为，并承诺在本次政府采购活动中，不以向采购人、代理机构、评审人员提供利益和好处谋取中标（成交）；采购人、代理机构和投标人之间无相互兼职的情形；无采购单位和招标代理机构职工在该单位兼职的情况，不向采购单位和代理机构相关人员输送利益等行贿行为；未被列入市卫健系统或西安市第三医院“黑名单”。</w:t>
      </w:r>
    </w:p>
    <w:p>
      <w:pPr>
        <w:pStyle w:val="null3"/>
      </w:pPr>
      <w:r>
        <w:rPr>
          <w:rFonts w:ascii="仿宋_GB2312" w:hAnsi="仿宋_GB2312" w:cs="仿宋_GB2312" w:eastAsia="仿宋_GB2312"/>
        </w:rPr>
        <w:t>(11)本项目不接受联合体投标</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2025年10月31日 </w:t>
      </w:r>
      <w:r>
        <w:rPr>
          <w:rFonts w:ascii="仿宋_GB2312" w:hAnsi="仿宋_GB2312" w:cs="仿宋_GB2312" w:eastAsia="仿宋_GB2312"/>
        </w:rPr>
        <w:t>至</w:t>
      </w:r>
      <w:r>
        <w:rPr>
          <w:rFonts w:ascii="仿宋_GB2312" w:hAnsi="仿宋_GB2312" w:cs="仿宋_GB2312" w:eastAsia="仿宋_GB2312"/>
        </w:rPr>
        <w:t xml:space="preserve"> 2025年11月07日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2025年11月21日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（六）落实政府采购政策需满足的资格要求如下:</w:t>
      </w:r>
    </w:p>
    <w:p>
      <w:pPr>
        <w:pStyle w:val="null3"/>
      </w:pPr>
      <w:r>
        <w:rPr>
          <w:rFonts w:ascii="仿宋_GB2312" w:hAnsi="仿宋_GB2312" w:cs="仿宋_GB2312" w:eastAsia="仿宋_GB2312"/>
        </w:rPr>
        <w:t>（1）《政府采购促进中小企业发展管理办法》（财库〔2020〕46号）；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（3）《关于促进残疾人就业政府采购政策的通知》（财库〔2017〕141号）。</w:t>
      </w:r>
    </w:p>
    <w:p>
      <w:pPr>
        <w:pStyle w:val="null3"/>
      </w:pPr>
      <w:r>
        <w:rPr>
          <w:rFonts w:ascii="仿宋_GB2312" w:hAnsi="仿宋_GB2312" w:cs="仿宋_GB2312" w:eastAsia="仿宋_GB2312"/>
        </w:rPr>
        <w:t>（4）《节能产品政府采购实施意见》（财库[2004]185号）；</w:t>
      </w:r>
    </w:p>
    <w:p>
      <w:pPr>
        <w:pStyle w:val="null3"/>
      </w:pPr>
      <w:r>
        <w:rPr>
          <w:rFonts w:ascii="仿宋_GB2312" w:hAnsi="仿宋_GB2312" w:cs="仿宋_GB2312" w:eastAsia="仿宋_GB2312"/>
        </w:rPr>
        <w:t>（5）《环境标志产品政府采购实施的意见》（财库[2006]90号）；</w:t>
      </w:r>
    </w:p>
    <w:p>
      <w:pPr>
        <w:pStyle w:val="null3"/>
      </w:pPr>
      <w:r>
        <w:rPr>
          <w:rFonts w:ascii="仿宋_GB2312" w:hAnsi="仿宋_GB2312" w:cs="仿宋_GB2312" w:eastAsia="仿宋_GB2312"/>
        </w:rPr>
        <w:t>（6）《国务院办公厅关于建立政府强制采购节能产品制度的通知》（国办发〔2007〕51号）；</w:t>
      </w:r>
    </w:p>
    <w:p>
      <w:pPr>
        <w:pStyle w:val="null3"/>
      </w:pPr>
      <w:r>
        <w:rPr>
          <w:rFonts w:ascii="仿宋_GB2312" w:hAnsi="仿宋_GB2312" w:cs="仿宋_GB2312" w:eastAsia="仿宋_GB2312"/>
        </w:rPr>
        <w:t>（7）财政部发展改革委生态环境部市场监管总局关于调整优化节能产品、环境标志产品政府采购执行机制的通知（财库[2019]9号）；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（11）陕西省财政厅关于印发《陕西省中小企业政府采购信用融资办法》（陕财办采〔2018〕23号），相关政策、业务流程、办理平台（详见http://www.ccgp-shaanxi.gov.cn/zcdservice/zcd/shanxi/）；</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（13）《关于进一步加强政府绿色采购有关问题的通知》（陕财办采〔2021〕29号）；</w:t>
      </w:r>
    </w:p>
    <w:p>
      <w:pPr>
        <w:pStyle w:val="null3"/>
      </w:pPr>
      <w:r>
        <w:rPr>
          <w:rFonts w:ascii="仿宋_GB2312" w:hAnsi="仿宋_GB2312" w:cs="仿宋_GB2312" w:eastAsia="仿宋_GB2312"/>
        </w:rPr>
        <w:t>（14）《陕西省财政厅陕西省工业和信息化厅关于运用政府采购政策支持首台（套）及创新产品有关事项的通知》（陕财办采﹝2021﹞17号）；</w:t>
      </w:r>
    </w:p>
    <w:p>
      <w:pPr>
        <w:pStyle w:val="null3"/>
      </w:pPr>
      <w:r>
        <w:rPr>
          <w:rFonts w:ascii="仿宋_GB2312" w:hAnsi="仿宋_GB2312" w:cs="仿宋_GB2312" w:eastAsia="仿宋_GB2312"/>
        </w:rPr>
        <w:t>（15）《关于进一步加大政府采购支持中小企业力度的通知》（财库〔2022〕19号）、《关于落实政府采购支持中小企业政策有关事项的通知》（陕财办采函〔2022〕10号）；</w:t>
      </w:r>
    </w:p>
    <w:p>
      <w:pPr>
        <w:pStyle w:val="null3"/>
      </w:pPr>
      <w:r>
        <w:rPr>
          <w:rFonts w:ascii="仿宋_GB2312" w:hAnsi="仿宋_GB2312" w:cs="仿宋_GB2312" w:eastAsia="仿宋_GB2312"/>
        </w:rPr>
        <w:t>（16）其他需要落实的政府采购政策。</w:t>
      </w:r>
    </w:p>
    <w:p>
      <w:pPr>
        <w:pStyle w:val="null3"/>
      </w:pPr>
      <w:r>
        <w:rPr>
          <w:rFonts w:ascii="仿宋_GB2312" w:hAnsi="仿宋_GB2312" w:cs="仿宋_GB2312" w:eastAsia="仿宋_GB2312"/>
        </w:rPr>
        <w:t>（七）本项目非专门面向中小企业。</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西安市第三医院</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陕西省西安市未央区凤城三路东路十号</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029-61816113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西安建工建设工程招标有限公司</w:t>
      </w:r>
    </w:p>
    <w:p>
      <w:pPr>
        <w:pStyle w:val="null3"/>
      </w:pPr>
      <w:r>
        <w:rPr>
          <w:rFonts w:ascii="仿宋_GB2312" w:hAnsi="仿宋_GB2312" w:cs="仿宋_GB2312" w:eastAsia="仿宋_GB2312"/>
        </w:rPr>
        <w:t>地址：</w:t>
      </w:r>
      <w:r>
        <w:rPr>
          <w:rFonts w:ascii="仿宋_GB2312" w:hAnsi="仿宋_GB2312" w:cs="仿宋_GB2312" w:eastAsia="仿宋_GB2312"/>
        </w:rPr>
        <w:t>西安市碑林区小东门外炮房街48号盈栋大厦6楼</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029-82400102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牛超、戴路</w:t>
      </w:r>
    </w:p>
    <w:p>
      <w:pPr>
        <w:pStyle w:val="null3"/>
      </w:pPr>
      <w:r>
        <w:rPr>
          <w:rFonts w:ascii="仿宋_GB2312" w:hAnsi="仿宋_GB2312" w:cs="仿宋_GB2312" w:eastAsia="仿宋_GB2312"/>
        </w:rPr>
        <w:t>电话：</w:t>
      </w:r>
      <w:r>
        <w:rPr>
          <w:rFonts w:ascii="仿宋_GB2312" w:hAnsi="仿宋_GB2312" w:cs="仿宋_GB2312" w:eastAsia="仿宋_GB2312"/>
        </w:rPr>
        <w:t xml:space="preserve"> 029-82400102</w:t>
      </w:r>
    </w:p>
    <w:p>
      <w:pPr>
        <w:pStyle w:val="null3"/>
        <w:jc w:val="right"/>
      </w:pPr>
      <w:r>
        <w:rPr>
          <w:rFonts w:ascii="仿宋_GB2312" w:hAnsi="仿宋_GB2312" w:cs="仿宋_GB2312" w:eastAsia="仿宋_GB2312"/>
        </w:rPr>
        <w:t>西安建工建设工程招标有限公司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