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C0F63">
      <w:pPr>
        <w:jc w:val="left"/>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highlight w:val="none"/>
        </w:rPr>
        <w:t>项目编号：</w:t>
      </w:r>
      <w:r>
        <w:rPr>
          <w:rFonts w:hint="eastAsia" w:asciiTheme="minorEastAsia" w:hAnsiTheme="minorEastAsia" w:eastAsiaTheme="minorEastAsia" w:cstheme="minorEastAsia"/>
          <w:b/>
          <w:bCs/>
          <w:sz w:val="32"/>
          <w:szCs w:val="32"/>
          <w:highlight w:val="none"/>
          <w:lang w:eastAsia="zh-CN"/>
        </w:rPr>
        <w:t>SXZCZB2025-ZCGK-1033</w:t>
      </w:r>
    </w:p>
    <w:p w14:paraId="320F8FED">
      <w:pPr>
        <w:jc w:val="center"/>
        <w:rPr>
          <w:rFonts w:asciiTheme="minorEastAsia" w:hAnsiTheme="minorEastAsia" w:eastAsiaTheme="minorEastAsia" w:cstheme="minorEastAsia"/>
          <w:b/>
          <w:sz w:val="36"/>
          <w:highlight w:val="none"/>
        </w:rPr>
      </w:pPr>
    </w:p>
    <w:p w14:paraId="2794946B">
      <w:pPr>
        <w:jc w:val="center"/>
        <w:rPr>
          <w:rFonts w:asciiTheme="minorEastAsia" w:hAnsiTheme="minorEastAsia" w:eastAsiaTheme="minorEastAsia" w:cstheme="minorEastAsia"/>
          <w:b/>
          <w:sz w:val="36"/>
          <w:highlight w:val="none"/>
        </w:rPr>
      </w:pPr>
    </w:p>
    <w:p w14:paraId="6D2CA5C6">
      <w:pPr>
        <w:jc w:val="center"/>
        <w:rPr>
          <w:rFonts w:asciiTheme="minorEastAsia" w:hAnsiTheme="minorEastAsia" w:eastAsiaTheme="minorEastAsia" w:cstheme="minorEastAsia"/>
          <w:b/>
          <w:sz w:val="48"/>
          <w:szCs w:val="48"/>
          <w:highlight w:val="none"/>
        </w:rPr>
      </w:pPr>
    </w:p>
    <w:p w14:paraId="5FD1D335">
      <w:pPr>
        <w:jc w:val="center"/>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48"/>
          <w:szCs w:val="48"/>
          <w:highlight w:val="none"/>
          <w:lang w:eastAsia="zh-CN"/>
        </w:rPr>
        <w:t>山阳县2025年度省级林业草原改革发展资金板栗综合科管项目</w:t>
      </w:r>
    </w:p>
    <w:p w14:paraId="04FFC196">
      <w:pPr>
        <w:jc w:val="center"/>
        <w:rPr>
          <w:rFonts w:asciiTheme="minorEastAsia" w:hAnsiTheme="minorEastAsia" w:eastAsiaTheme="minorEastAsia" w:cstheme="minorEastAsia"/>
          <w:b/>
          <w:sz w:val="36"/>
          <w:szCs w:val="36"/>
          <w:highlight w:val="none"/>
        </w:rPr>
      </w:pPr>
    </w:p>
    <w:p w14:paraId="7A534D86">
      <w:pPr>
        <w:pStyle w:val="28"/>
        <w:ind w:left="0" w:leftChars="0" w:firstLine="0" w:firstLineChars="0"/>
        <w:jc w:val="center"/>
        <w:rPr>
          <w:rFonts w:hint="eastAsia" w:ascii="宋体" w:hAnsi="宋体" w:eastAsia="宋体" w:cs="宋体"/>
          <w:b/>
          <w:bCs/>
          <w:sz w:val="40"/>
          <w:szCs w:val="32"/>
          <w:highlight w:val="none"/>
          <w:lang w:val="en-US" w:eastAsia="zh-CN"/>
        </w:rPr>
      </w:pPr>
    </w:p>
    <w:p w14:paraId="15495FBE">
      <w:pPr>
        <w:spacing w:line="780" w:lineRule="auto"/>
        <w:jc w:val="center"/>
        <w:rPr>
          <w:rFonts w:hint="eastAsia" w:asciiTheme="minorEastAsia" w:hAnsiTheme="minorEastAsia" w:eastAsiaTheme="minorEastAsia" w:cstheme="minorEastAsia"/>
          <w:b/>
          <w:sz w:val="72"/>
          <w:szCs w:val="72"/>
          <w:highlight w:val="none"/>
        </w:rPr>
      </w:pPr>
    </w:p>
    <w:p w14:paraId="2263F28A">
      <w:pPr>
        <w:spacing w:line="780" w:lineRule="auto"/>
        <w:jc w:val="center"/>
        <w:rPr>
          <w:rFonts w:hint="eastAsia" w:asciiTheme="minorEastAsia" w:hAnsiTheme="minorEastAsia" w:eastAsiaTheme="minorEastAsia" w:cstheme="minorEastAsia"/>
          <w:b/>
          <w:sz w:val="72"/>
          <w:szCs w:val="72"/>
          <w:highlight w:val="none"/>
        </w:rPr>
      </w:pPr>
    </w:p>
    <w:p w14:paraId="5A031886">
      <w:pPr>
        <w:spacing w:line="780" w:lineRule="auto"/>
        <w:jc w:val="center"/>
        <w:rPr>
          <w:rFonts w:asciiTheme="minorEastAsia" w:hAnsiTheme="minorEastAsia" w:eastAsiaTheme="minorEastAsia" w:cstheme="minorEastAsia"/>
          <w:b/>
          <w:sz w:val="72"/>
          <w:szCs w:val="72"/>
          <w:highlight w:val="none"/>
        </w:rPr>
      </w:pPr>
      <w:r>
        <w:rPr>
          <w:rFonts w:hint="eastAsia" w:asciiTheme="minorEastAsia" w:hAnsiTheme="minorEastAsia" w:eastAsiaTheme="minorEastAsia" w:cstheme="minorEastAsia"/>
          <w:b/>
          <w:sz w:val="72"/>
          <w:szCs w:val="72"/>
          <w:highlight w:val="none"/>
        </w:rPr>
        <w:t>招标文件</w:t>
      </w:r>
    </w:p>
    <w:p w14:paraId="5B89C55C">
      <w:pPr>
        <w:rPr>
          <w:rFonts w:asciiTheme="minorEastAsia" w:hAnsiTheme="minorEastAsia" w:eastAsiaTheme="minorEastAsia" w:cstheme="minorEastAsia"/>
          <w:highlight w:val="none"/>
        </w:rPr>
      </w:pPr>
      <w:bookmarkStart w:id="0" w:name="_Toc363463325"/>
    </w:p>
    <w:p w14:paraId="435D9C8F">
      <w:pPr>
        <w:rPr>
          <w:rFonts w:asciiTheme="minorEastAsia" w:hAnsiTheme="minorEastAsia" w:eastAsiaTheme="minorEastAsia" w:cstheme="minorEastAsia"/>
          <w:highlight w:val="none"/>
        </w:rPr>
      </w:pPr>
    </w:p>
    <w:bookmarkEnd w:id="0"/>
    <w:p w14:paraId="13FE9850">
      <w:pPr>
        <w:jc w:val="center"/>
        <w:rPr>
          <w:rFonts w:asciiTheme="minorEastAsia" w:hAnsiTheme="minorEastAsia" w:eastAsiaTheme="minorEastAsia" w:cstheme="minorEastAsia"/>
          <w:b/>
          <w:sz w:val="36"/>
          <w:szCs w:val="36"/>
          <w:highlight w:val="none"/>
        </w:rPr>
      </w:pPr>
    </w:p>
    <w:p w14:paraId="7925760D">
      <w:pPr>
        <w:rPr>
          <w:rFonts w:asciiTheme="minorEastAsia" w:hAnsiTheme="minorEastAsia" w:eastAsiaTheme="minorEastAsia" w:cstheme="minorEastAsia"/>
          <w:sz w:val="36"/>
          <w:szCs w:val="36"/>
          <w:highlight w:val="none"/>
        </w:rPr>
      </w:pPr>
    </w:p>
    <w:p w14:paraId="0CBBF01F">
      <w:pPr>
        <w:jc w:val="center"/>
        <w:rPr>
          <w:rFonts w:asciiTheme="minorEastAsia" w:hAnsiTheme="minorEastAsia" w:eastAsiaTheme="minorEastAsia" w:cstheme="minorEastAsia"/>
          <w:sz w:val="36"/>
          <w:szCs w:val="36"/>
          <w:highlight w:val="none"/>
        </w:rPr>
      </w:pPr>
    </w:p>
    <w:p w14:paraId="7D051F8A">
      <w:pPr>
        <w:rPr>
          <w:rFonts w:asciiTheme="minorEastAsia" w:hAnsiTheme="minorEastAsia" w:eastAsiaTheme="minorEastAsia" w:cstheme="minorEastAsia"/>
          <w:sz w:val="18"/>
          <w:szCs w:val="18"/>
          <w:highlight w:val="none"/>
        </w:rPr>
      </w:pPr>
    </w:p>
    <w:p w14:paraId="4519BEDF">
      <w:pPr>
        <w:pStyle w:val="28"/>
        <w:keepNext w:val="0"/>
        <w:keepLines w:val="0"/>
        <w:pageBreakBefore w:val="0"/>
        <w:widowControl/>
        <w:kinsoku/>
        <w:wordWrap/>
        <w:overflowPunct/>
        <w:topLinePunct w:val="0"/>
        <w:autoSpaceDE/>
        <w:autoSpaceDN/>
        <w:bidi w:val="0"/>
        <w:adjustRightInd/>
        <w:snapToGrid/>
        <w:ind w:firstLine="2024" w:firstLineChars="630"/>
        <w:textAlignment w:val="auto"/>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highlight w:val="none"/>
        </w:rPr>
        <w:t>采 购 人：</w:t>
      </w:r>
      <w:r>
        <w:rPr>
          <w:rFonts w:hint="eastAsia" w:asciiTheme="minorEastAsia" w:hAnsiTheme="minorEastAsia" w:eastAsiaTheme="minorEastAsia" w:cstheme="minorEastAsia"/>
          <w:b/>
          <w:bCs/>
          <w:sz w:val="32"/>
          <w:szCs w:val="32"/>
          <w:highlight w:val="none"/>
          <w:lang w:eastAsia="zh-CN"/>
        </w:rPr>
        <w:t>山阳县林特产业发展中心</w:t>
      </w:r>
    </w:p>
    <w:p w14:paraId="5AE0DCFA">
      <w:pPr>
        <w:pStyle w:val="28"/>
        <w:keepNext w:val="0"/>
        <w:keepLines w:val="0"/>
        <w:pageBreakBefore w:val="0"/>
        <w:widowControl/>
        <w:kinsoku/>
        <w:wordWrap/>
        <w:overflowPunct/>
        <w:topLinePunct w:val="0"/>
        <w:autoSpaceDE/>
        <w:autoSpaceDN/>
        <w:bidi w:val="0"/>
        <w:adjustRightInd/>
        <w:snapToGrid/>
        <w:ind w:firstLine="2024" w:firstLineChars="630"/>
        <w:textAlignment w:val="auto"/>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highlight w:val="none"/>
        </w:rPr>
        <w:t>代理机构：</w:t>
      </w:r>
      <w:r>
        <w:rPr>
          <w:rFonts w:hint="eastAsia" w:asciiTheme="minorEastAsia" w:hAnsiTheme="minorEastAsia" w:eastAsiaTheme="minorEastAsia" w:cstheme="minorEastAsia"/>
          <w:b/>
          <w:bCs/>
          <w:sz w:val="32"/>
          <w:szCs w:val="32"/>
          <w:highlight w:val="none"/>
          <w:lang w:eastAsia="zh-CN"/>
        </w:rPr>
        <w:t>陕西至诚项目管理集团有限公司</w:t>
      </w:r>
    </w:p>
    <w:p w14:paraId="2B10FF23">
      <w:pPr>
        <w:pStyle w:val="28"/>
        <w:keepNext w:val="0"/>
        <w:keepLines w:val="0"/>
        <w:pageBreakBefore w:val="0"/>
        <w:widowControl/>
        <w:kinsoku/>
        <w:wordWrap/>
        <w:overflowPunct/>
        <w:topLinePunct w:val="0"/>
        <w:autoSpaceDE/>
        <w:autoSpaceDN/>
        <w:bidi w:val="0"/>
        <w:adjustRightInd/>
        <w:snapToGrid/>
        <w:ind w:firstLine="2024" w:firstLineChars="630"/>
        <w:textAlignment w:val="auto"/>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日    期：二〇二五年</w:t>
      </w:r>
      <w:r>
        <w:rPr>
          <w:rFonts w:hint="eastAsia" w:asciiTheme="minorEastAsia" w:hAnsiTheme="minorEastAsia" w:eastAsiaTheme="minorEastAsia" w:cstheme="minorEastAsia"/>
          <w:b/>
          <w:bCs/>
          <w:sz w:val="32"/>
          <w:szCs w:val="32"/>
          <w:highlight w:val="none"/>
          <w:lang w:val="en-US" w:eastAsia="zh-CN"/>
        </w:rPr>
        <w:t>十</w:t>
      </w:r>
      <w:r>
        <w:rPr>
          <w:rFonts w:hint="eastAsia" w:asciiTheme="minorEastAsia" w:hAnsiTheme="minorEastAsia" w:eastAsiaTheme="minorEastAsia" w:cstheme="minorEastAsia"/>
          <w:b/>
          <w:bCs/>
          <w:sz w:val="32"/>
          <w:szCs w:val="32"/>
          <w:highlight w:val="none"/>
        </w:rPr>
        <w:t>月</w:t>
      </w:r>
    </w:p>
    <w:p w14:paraId="3B42D458">
      <w:pPr>
        <w:pStyle w:val="28"/>
        <w:ind w:firstLine="749"/>
        <w:rPr>
          <w:rFonts w:asciiTheme="minorEastAsia" w:hAnsiTheme="minorEastAsia" w:eastAsiaTheme="minorEastAsia" w:cstheme="minorEastAsia"/>
          <w:b/>
          <w:bCs/>
          <w:sz w:val="32"/>
          <w:szCs w:val="32"/>
          <w:highlight w:val="none"/>
        </w:rPr>
      </w:pPr>
    </w:p>
    <w:p w14:paraId="60630330">
      <w:pPr>
        <w:pStyle w:val="28"/>
        <w:ind w:firstLine="749"/>
        <w:rPr>
          <w:rFonts w:asciiTheme="minorEastAsia" w:hAnsiTheme="minorEastAsia" w:eastAsiaTheme="minorEastAsia" w:cstheme="minorEastAsia"/>
          <w:b/>
          <w:bCs/>
          <w:sz w:val="32"/>
          <w:szCs w:val="32"/>
          <w:highlight w:val="none"/>
        </w:rPr>
        <w:sectPr>
          <w:headerReference r:id="rId5" w:type="first"/>
          <w:headerReference r:id="rId3" w:type="default"/>
          <w:footerReference r:id="rId6" w:type="default"/>
          <w:headerReference r:id="rId4" w:type="even"/>
          <w:footerReference r:id="rId7" w:type="even"/>
          <w:pgSz w:w="11906" w:h="16838"/>
          <w:pgMar w:top="1304" w:right="1361" w:bottom="1304" w:left="1361" w:header="851" w:footer="992" w:gutter="0"/>
          <w:pgNumType w:start="1"/>
          <w:cols w:space="720" w:num="1"/>
          <w:titlePg/>
          <w:docGrid w:type="lines" w:linePitch="312" w:charSpace="0"/>
        </w:sectPr>
      </w:pPr>
    </w:p>
    <w:p w14:paraId="3AE44E09">
      <w:pPr>
        <w:spacing w:line="480" w:lineRule="auto"/>
        <w:jc w:val="center"/>
        <w:rPr>
          <w:rFonts w:asciiTheme="minorEastAsia" w:hAnsiTheme="minorEastAsia" w:eastAsiaTheme="minorEastAsia" w:cstheme="minorEastAsia"/>
          <w:b/>
          <w:sz w:val="44"/>
          <w:szCs w:val="44"/>
          <w:highlight w:val="none"/>
        </w:rPr>
      </w:pPr>
      <w:r>
        <w:rPr>
          <w:rFonts w:hint="eastAsia" w:asciiTheme="minorEastAsia" w:hAnsiTheme="minorEastAsia" w:eastAsiaTheme="minorEastAsia" w:cstheme="minorEastAsia"/>
          <w:b/>
          <w:sz w:val="44"/>
          <w:szCs w:val="44"/>
          <w:highlight w:val="none"/>
        </w:rPr>
        <w:t>目   录</w:t>
      </w:r>
    </w:p>
    <w:p w14:paraId="1E288154">
      <w:pPr>
        <w:pStyle w:val="21"/>
        <w:keepNext w:val="0"/>
        <w:keepLines w:val="0"/>
        <w:pageBreakBefore w:val="0"/>
        <w:widowControl w:val="0"/>
        <w:tabs>
          <w:tab w:val="right" w:leader="dot" w:pos="9184"/>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TOC \o "1-4" \h \u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_Toc11394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第一章  招标公告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_Toc11394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669A28A5">
      <w:pPr>
        <w:pStyle w:val="21"/>
        <w:keepNext w:val="0"/>
        <w:keepLines w:val="0"/>
        <w:pageBreakBefore w:val="0"/>
        <w:widowControl w:val="0"/>
        <w:tabs>
          <w:tab w:val="right" w:leader="dot" w:pos="9184"/>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_Toc24715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第二章  投标人须知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_Toc24715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4997D7D">
      <w:pPr>
        <w:pStyle w:val="24"/>
        <w:keepNext w:val="0"/>
        <w:keepLines w:val="0"/>
        <w:pageBreakBefore w:val="0"/>
        <w:widowControl w:val="0"/>
        <w:tabs>
          <w:tab w:val="right" w:leader="dot" w:pos="9184"/>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_Toc23536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投标人须知前附表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_Toc23536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6D60B019">
      <w:pPr>
        <w:pStyle w:val="21"/>
        <w:keepNext w:val="0"/>
        <w:keepLines w:val="0"/>
        <w:pageBreakBefore w:val="0"/>
        <w:widowControl w:val="0"/>
        <w:tabs>
          <w:tab w:val="right" w:leader="dot" w:pos="9184"/>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_Toc19056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第三章  评审方法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_Toc19056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7E76FFE">
      <w:pPr>
        <w:pStyle w:val="21"/>
        <w:keepNext w:val="0"/>
        <w:keepLines w:val="0"/>
        <w:pageBreakBefore w:val="0"/>
        <w:widowControl w:val="0"/>
        <w:tabs>
          <w:tab w:val="right" w:leader="dot" w:pos="9184"/>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_Toc10065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第四章  </w:t>
      </w:r>
      <w:r>
        <w:rPr>
          <w:rFonts w:hint="eastAsia" w:ascii="宋体" w:hAnsi="宋体" w:eastAsia="宋体" w:cs="宋体"/>
          <w:bCs/>
          <w:sz w:val="24"/>
          <w:szCs w:val="24"/>
          <w:highlight w:val="none"/>
        </w:rPr>
        <w:t>合同条款及格式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_Toc10065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274D32BB">
      <w:pPr>
        <w:pStyle w:val="24"/>
        <w:keepNext w:val="0"/>
        <w:keepLines w:val="0"/>
        <w:pageBreakBefore w:val="0"/>
        <w:widowControl w:val="0"/>
        <w:tabs>
          <w:tab w:val="right" w:leader="dot" w:pos="9184"/>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_Toc30782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合同条款及格式前附表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_Toc30782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48D1DD56">
      <w:pPr>
        <w:pStyle w:val="21"/>
        <w:keepNext w:val="0"/>
        <w:keepLines w:val="0"/>
        <w:pageBreakBefore w:val="0"/>
        <w:widowControl w:val="0"/>
        <w:tabs>
          <w:tab w:val="right" w:leader="dot" w:pos="9184"/>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_Toc27836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第五章  项目概况及技术要求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_Toc27836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BF99001">
      <w:pPr>
        <w:pStyle w:val="21"/>
        <w:keepNext w:val="0"/>
        <w:keepLines w:val="0"/>
        <w:pageBreakBefore w:val="0"/>
        <w:widowControl w:val="0"/>
        <w:tabs>
          <w:tab w:val="right" w:leader="dot" w:pos="9184"/>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_Toc11907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第六章  投标文件构成及格式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_Toc11907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491B576">
      <w:pPr>
        <w:keepNext w:val="0"/>
        <w:keepLines w:val="0"/>
        <w:pageBreakBefore w:val="0"/>
        <w:widowControl w:val="0"/>
        <w:kinsoku/>
        <w:wordWrap/>
        <w:overflowPunct/>
        <w:topLinePunct w:val="0"/>
        <w:autoSpaceDE/>
        <w:autoSpaceDN/>
        <w:bidi w:val="0"/>
        <w:adjustRightInd/>
        <w:snapToGrid/>
        <w:spacing w:line="480" w:lineRule="auto"/>
        <w:textAlignment w:val="auto"/>
        <w:rPr>
          <w:rFonts w:asciiTheme="minorEastAsia" w:hAnsiTheme="minorEastAsia" w:eastAsiaTheme="minorEastAsia" w:cstheme="minorEastAsia"/>
          <w:sz w:val="24"/>
          <w:szCs w:val="24"/>
          <w:highlight w:val="none"/>
        </w:rPr>
      </w:pPr>
      <w:r>
        <w:rPr>
          <w:rFonts w:hint="eastAsia" w:ascii="宋体" w:hAnsi="宋体" w:eastAsia="宋体" w:cs="宋体"/>
          <w:sz w:val="24"/>
          <w:szCs w:val="24"/>
          <w:highlight w:val="none"/>
        </w:rPr>
        <w:fldChar w:fldCharType="end"/>
      </w:r>
      <w:r>
        <w:rPr>
          <w:rFonts w:hint="eastAsia" w:asciiTheme="minorEastAsia" w:hAnsiTheme="minorEastAsia" w:eastAsiaTheme="minorEastAsia" w:cstheme="minorEastAsia"/>
          <w:sz w:val="24"/>
          <w:szCs w:val="24"/>
          <w:highlight w:val="none"/>
        </w:rPr>
        <w:br w:type="page"/>
      </w:r>
      <w:bookmarkStart w:id="273" w:name="_GoBack"/>
      <w:bookmarkEnd w:id="273"/>
    </w:p>
    <w:p w14:paraId="17A15A6A">
      <w:pPr>
        <w:pStyle w:val="4"/>
        <w:jc w:val="center"/>
        <w:rPr>
          <w:rFonts w:asciiTheme="minorEastAsia" w:hAnsiTheme="minorEastAsia" w:eastAsiaTheme="minorEastAsia" w:cstheme="minorEastAsia"/>
          <w:highlight w:val="none"/>
        </w:rPr>
      </w:pPr>
      <w:bookmarkStart w:id="1" w:name="_Toc11394"/>
      <w:bookmarkStart w:id="2" w:name="_Toc14968"/>
      <w:r>
        <w:rPr>
          <w:rFonts w:hint="eastAsia" w:asciiTheme="minorEastAsia" w:hAnsiTheme="minorEastAsia" w:eastAsiaTheme="minorEastAsia" w:cstheme="minorEastAsia"/>
          <w:highlight w:val="none"/>
        </w:rPr>
        <w:t>第一章  招标公告</w:t>
      </w:r>
      <w:bookmarkEnd w:id="1"/>
      <w:bookmarkEnd w:id="2"/>
    </w:p>
    <w:p w14:paraId="15CC7FCC">
      <w:pPr>
        <w:pStyle w:val="64"/>
        <w:spacing w:line="360" w:lineRule="auto"/>
        <w:outlineLvl w:val="5"/>
        <w:rPr>
          <w:rFonts w:hint="eastAsia" w:ascii="宋体" w:hAnsi="宋体" w:eastAsia="宋体" w:cs="宋体"/>
          <w:sz w:val="24"/>
          <w:szCs w:val="24"/>
        </w:rPr>
      </w:pPr>
      <w:bookmarkStart w:id="3" w:name="_Toc421778363"/>
      <w:bookmarkStart w:id="4" w:name="_Toc18593"/>
      <w:r>
        <w:rPr>
          <w:rFonts w:hint="eastAsia" w:ascii="宋体" w:hAnsi="宋体" w:eastAsia="宋体" w:cs="宋体"/>
          <w:b/>
          <w:sz w:val="24"/>
          <w:szCs w:val="24"/>
        </w:rPr>
        <w:t>项目概况</w:t>
      </w:r>
    </w:p>
    <w:p w14:paraId="4BE79C1C">
      <w:pPr>
        <w:pStyle w:val="6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山阳县2025年度省级林业草原改革发展资金板栗综合科管项目招标项目的潜在投标人应在陕西省西安市经济技术开发区未央路171-1号银池道拉斯财富中心21楼03室获取招标文件，并于 2025年11月11日 14时00分 （北京时间）前递交投标文件。</w:t>
      </w:r>
    </w:p>
    <w:p w14:paraId="78D709E4">
      <w:pPr>
        <w:pStyle w:val="6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1759AF64">
      <w:pPr>
        <w:pStyle w:val="64"/>
        <w:spacing w:line="360" w:lineRule="auto"/>
        <w:rPr>
          <w:rFonts w:hint="eastAsia" w:ascii="宋体" w:hAnsi="宋体" w:eastAsia="宋体" w:cs="宋体"/>
          <w:sz w:val="24"/>
          <w:szCs w:val="24"/>
        </w:rPr>
      </w:pPr>
      <w:r>
        <w:rPr>
          <w:rFonts w:hint="eastAsia" w:ascii="宋体" w:hAnsi="宋体" w:eastAsia="宋体" w:cs="宋体"/>
          <w:sz w:val="24"/>
          <w:szCs w:val="24"/>
        </w:rPr>
        <w:t>项目编号：SXZCZB2025-ZCGK-1033</w:t>
      </w:r>
    </w:p>
    <w:p w14:paraId="5397E266">
      <w:pPr>
        <w:pStyle w:val="64"/>
        <w:spacing w:line="360" w:lineRule="auto"/>
        <w:rPr>
          <w:rFonts w:hint="eastAsia" w:ascii="宋体" w:hAnsi="宋体" w:eastAsia="宋体" w:cs="宋体"/>
          <w:sz w:val="24"/>
          <w:szCs w:val="24"/>
        </w:rPr>
      </w:pPr>
      <w:r>
        <w:rPr>
          <w:rFonts w:hint="eastAsia" w:ascii="宋体" w:hAnsi="宋体" w:eastAsia="宋体" w:cs="宋体"/>
          <w:sz w:val="24"/>
          <w:szCs w:val="24"/>
        </w:rPr>
        <w:t>项目名称：山阳县2025年度省级林业草原改革发展资金板栗综合科管项目</w:t>
      </w:r>
    </w:p>
    <w:p w14:paraId="0BCAEBF6">
      <w:pPr>
        <w:pStyle w:val="64"/>
        <w:spacing w:line="360" w:lineRule="auto"/>
        <w:rPr>
          <w:rFonts w:hint="eastAsia" w:ascii="宋体" w:hAnsi="宋体" w:eastAsia="宋体" w:cs="宋体"/>
          <w:sz w:val="24"/>
          <w:szCs w:val="24"/>
        </w:rPr>
      </w:pPr>
      <w:r>
        <w:rPr>
          <w:rFonts w:hint="eastAsia" w:ascii="宋体" w:hAnsi="宋体" w:eastAsia="宋体" w:cs="宋体"/>
          <w:sz w:val="24"/>
          <w:szCs w:val="24"/>
        </w:rPr>
        <w:t>采购方式：公开招标</w:t>
      </w:r>
    </w:p>
    <w:p w14:paraId="4330A85D">
      <w:pPr>
        <w:pStyle w:val="64"/>
        <w:spacing w:line="360" w:lineRule="auto"/>
        <w:rPr>
          <w:rFonts w:hint="eastAsia" w:ascii="宋体" w:hAnsi="宋体" w:eastAsia="宋体" w:cs="宋体"/>
          <w:sz w:val="24"/>
          <w:szCs w:val="24"/>
        </w:rPr>
      </w:pPr>
      <w:r>
        <w:rPr>
          <w:rFonts w:hint="eastAsia" w:ascii="宋体" w:hAnsi="宋体" w:eastAsia="宋体" w:cs="宋体"/>
          <w:sz w:val="24"/>
          <w:szCs w:val="24"/>
        </w:rPr>
        <w:t>预算金额：2,323,428.00元</w:t>
      </w:r>
    </w:p>
    <w:p w14:paraId="31A1D15B">
      <w:pPr>
        <w:pStyle w:val="64"/>
        <w:spacing w:line="360" w:lineRule="auto"/>
        <w:rPr>
          <w:rFonts w:hint="eastAsia" w:ascii="宋体" w:hAnsi="宋体" w:eastAsia="宋体" w:cs="宋体"/>
          <w:sz w:val="24"/>
          <w:szCs w:val="24"/>
        </w:rPr>
      </w:pPr>
      <w:r>
        <w:rPr>
          <w:rFonts w:hint="eastAsia" w:ascii="宋体" w:hAnsi="宋体" w:eastAsia="宋体" w:cs="宋体"/>
          <w:sz w:val="24"/>
          <w:szCs w:val="24"/>
        </w:rPr>
        <w:t>采购需求：</w:t>
      </w:r>
    </w:p>
    <w:p w14:paraId="2FB1F0EF">
      <w:pPr>
        <w:pStyle w:val="64"/>
        <w:spacing w:line="360" w:lineRule="auto"/>
        <w:rPr>
          <w:rFonts w:hint="eastAsia" w:ascii="宋体" w:hAnsi="宋体" w:eastAsia="宋体" w:cs="宋体"/>
          <w:sz w:val="24"/>
          <w:szCs w:val="24"/>
        </w:rPr>
      </w:pPr>
      <w:r>
        <w:rPr>
          <w:rFonts w:hint="eastAsia" w:ascii="宋体" w:hAnsi="宋体" w:eastAsia="宋体" w:cs="宋体"/>
          <w:sz w:val="24"/>
          <w:szCs w:val="24"/>
        </w:rPr>
        <w:t>合同包1(山阳县2025年度省级林业草原改革发展资金板栗综合科管项目):</w:t>
      </w:r>
    </w:p>
    <w:p w14:paraId="4BC046E8">
      <w:pPr>
        <w:pStyle w:val="64"/>
        <w:spacing w:line="360" w:lineRule="auto"/>
        <w:ind w:firstLine="630"/>
        <w:rPr>
          <w:rFonts w:hint="eastAsia" w:ascii="宋体" w:hAnsi="宋体" w:eastAsia="宋体" w:cs="宋体"/>
          <w:sz w:val="24"/>
          <w:szCs w:val="24"/>
        </w:rPr>
      </w:pPr>
      <w:r>
        <w:rPr>
          <w:rFonts w:hint="eastAsia" w:ascii="宋体" w:hAnsi="宋体" w:eastAsia="宋体" w:cs="宋体"/>
          <w:sz w:val="24"/>
          <w:szCs w:val="24"/>
        </w:rPr>
        <w:t>合同包预算金额：2,323,428.00元</w:t>
      </w:r>
    </w:p>
    <w:p w14:paraId="0D248F04">
      <w:pPr>
        <w:pStyle w:val="64"/>
        <w:spacing w:line="360" w:lineRule="auto"/>
        <w:ind w:firstLine="630"/>
        <w:rPr>
          <w:rFonts w:hint="eastAsia" w:ascii="宋体" w:hAnsi="宋体" w:eastAsia="宋体" w:cs="宋体"/>
          <w:sz w:val="24"/>
          <w:szCs w:val="24"/>
        </w:rPr>
      </w:pPr>
      <w:r>
        <w:rPr>
          <w:rFonts w:hint="eastAsia" w:ascii="宋体" w:hAnsi="宋体" w:eastAsia="宋体" w:cs="宋体"/>
          <w:sz w:val="24"/>
          <w:szCs w:val="24"/>
        </w:rPr>
        <w:t xml:space="preserve"> 合同包最高限价：2,323,428.00元</w:t>
      </w:r>
    </w:p>
    <w:tbl>
      <w:tblPr>
        <w:tblStyle w:val="2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84"/>
        <w:gridCol w:w="1484"/>
        <w:gridCol w:w="1484"/>
        <w:gridCol w:w="1484"/>
        <w:gridCol w:w="1484"/>
        <w:gridCol w:w="1776"/>
      </w:tblGrid>
      <w:tr w14:paraId="4AC3B6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34" w:hRule="atLeast"/>
        </w:trPr>
        <w:tc>
          <w:tcPr>
            <w:tcW w:w="1484" w:type="dxa"/>
            <w:vAlign w:val="center"/>
          </w:tcPr>
          <w:p w14:paraId="355D4838">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1484" w:type="dxa"/>
            <w:vAlign w:val="center"/>
          </w:tcPr>
          <w:p w14:paraId="68317C88">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品目名称</w:t>
            </w:r>
          </w:p>
        </w:tc>
        <w:tc>
          <w:tcPr>
            <w:tcW w:w="1484" w:type="dxa"/>
            <w:vAlign w:val="center"/>
          </w:tcPr>
          <w:p w14:paraId="06B69CE7">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采购标的</w:t>
            </w:r>
          </w:p>
        </w:tc>
        <w:tc>
          <w:tcPr>
            <w:tcW w:w="1484" w:type="dxa"/>
            <w:vAlign w:val="center"/>
          </w:tcPr>
          <w:p w14:paraId="580C0800">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数量（单位）</w:t>
            </w:r>
          </w:p>
        </w:tc>
        <w:tc>
          <w:tcPr>
            <w:tcW w:w="1484" w:type="dxa"/>
            <w:vAlign w:val="center"/>
          </w:tcPr>
          <w:p w14:paraId="3600BD0F">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776" w:type="dxa"/>
            <w:vAlign w:val="center"/>
          </w:tcPr>
          <w:p w14:paraId="1351DDF0">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品目预算(元)</w:t>
            </w:r>
          </w:p>
        </w:tc>
      </w:tr>
      <w:tr w14:paraId="1EE7C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85" w:hRule="atLeast"/>
        </w:trPr>
        <w:tc>
          <w:tcPr>
            <w:tcW w:w="1484" w:type="dxa"/>
            <w:vAlign w:val="center"/>
          </w:tcPr>
          <w:p w14:paraId="192AB0CF">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1484" w:type="dxa"/>
            <w:vAlign w:val="center"/>
          </w:tcPr>
          <w:p w14:paraId="63390FE2">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林木抚育管理服务</w:t>
            </w:r>
          </w:p>
        </w:tc>
        <w:tc>
          <w:tcPr>
            <w:tcW w:w="1484" w:type="dxa"/>
            <w:vAlign w:val="center"/>
          </w:tcPr>
          <w:p w14:paraId="5A8A6FAC">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2323428</w:t>
            </w:r>
          </w:p>
        </w:tc>
        <w:tc>
          <w:tcPr>
            <w:tcW w:w="1484" w:type="dxa"/>
            <w:vAlign w:val="center"/>
          </w:tcPr>
          <w:p w14:paraId="05E88B87">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7,650(亩)</w:t>
            </w:r>
          </w:p>
        </w:tc>
        <w:tc>
          <w:tcPr>
            <w:tcW w:w="1484" w:type="dxa"/>
            <w:vAlign w:val="center"/>
          </w:tcPr>
          <w:p w14:paraId="0DAB3CC1">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详见采购文件</w:t>
            </w:r>
          </w:p>
        </w:tc>
        <w:tc>
          <w:tcPr>
            <w:tcW w:w="1776" w:type="dxa"/>
            <w:vAlign w:val="center"/>
          </w:tcPr>
          <w:p w14:paraId="61686792">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2,323,428.00</w:t>
            </w:r>
          </w:p>
        </w:tc>
      </w:tr>
    </w:tbl>
    <w:p w14:paraId="56E790ED">
      <w:pPr>
        <w:pStyle w:val="64"/>
        <w:spacing w:line="360" w:lineRule="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23FEBF95">
      <w:pPr>
        <w:pStyle w:val="64"/>
        <w:spacing w:line="360" w:lineRule="auto"/>
        <w:rPr>
          <w:rFonts w:hint="eastAsia" w:ascii="宋体" w:hAnsi="宋体" w:eastAsia="宋体" w:cs="宋体"/>
          <w:sz w:val="24"/>
          <w:szCs w:val="24"/>
        </w:rPr>
      </w:pPr>
      <w:r>
        <w:rPr>
          <w:rFonts w:hint="eastAsia" w:ascii="宋体" w:hAnsi="宋体" w:eastAsia="宋体" w:cs="宋体"/>
          <w:sz w:val="24"/>
          <w:szCs w:val="24"/>
        </w:rPr>
        <w:t xml:space="preserve"> 合同履行期限：详见采购文件。</w:t>
      </w:r>
    </w:p>
    <w:p w14:paraId="00883F8A">
      <w:pPr>
        <w:pStyle w:val="6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39FEF4FA">
      <w:pPr>
        <w:pStyle w:val="64"/>
        <w:spacing w:line="360" w:lineRule="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50E2490C">
      <w:pPr>
        <w:pStyle w:val="64"/>
        <w:spacing w:line="360" w:lineRule="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3B21F660">
      <w:pPr>
        <w:pStyle w:val="64"/>
        <w:spacing w:line="360" w:lineRule="auto"/>
        <w:rPr>
          <w:rFonts w:hint="eastAsia" w:ascii="宋体" w:hAnsi="宋体" w:eastAsia="宋体" w:cs="宋体"/>
          <w:sz w:val="24"/>
          <w:szCs w:val="24"/>
        </w:rPr>
      </w:pPr>
      <w:r>
        <w:rPr>
          <w:rFonts w:hint="eastAsia" w:ascii="宋体" w:hAnsi="宋体" w:eastAsia="宋体" w:cs="宋体"/>
          <w:sz w:val="24"/>
          <w:szCs w:val="24"/>
        </w:rPr>
        <w:t>合同包1(山阳县2025年度省级林业草原改革发展资金板栗综合科管项目)落实政府采购政策需满足的资格要求如下:</w:t>
      </w:r>
    </w:p>
    <w:p w14:paraId="54F463A6">
      <w:pPr>
        <w:pStyle w:val="64"/>
        <w:spacing w:line="360" w:lineRule="auto"/>
        <w:ind w:left="480"/>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w:t>
      </w:r>
      <w:r>
        <w:rPr>
          <w:rFonts w:hint="eastAsia" w:ascii="宋体" w:hAnsi="宋体" w:eastAsia="宋体" w:cs="宋体"/>
          <w:sz w:val="24"/>
          <w:szCs w:val="24"/>
        </w:rPr>
        <w:br w:type="textWrapping"/>
      </w:r>
      <w:r>
        <w:rPr>
          <w:rFonts w:hint="eastAsia" w:ascii="宋体" w:hAnsi="宋体" w:eastAsia="宋体" w:cs="宋体"/>
          <w:sz w:val="24"/>
          <w:szCs w:val="24"/>
        </w:rPr>
        <w:t>（2）《财政部司法部关于政府采购支持监狱企业发展有关问题的通知》（财库〔2014〕68号）；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（3）《关于促进残疾人就业政府采购政策的通知》（财库〔2017〕141号）；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（4）《节能产品政府采购实施意见》（财库〔2004〕185号）；</w:t>
      </w:r>
      <w:r>
        <w:rPr>
          <w:rFonts w:hint="eastAsia" w:ascii="宋体" w:hAnsi="宋体" w:eastAsia="宋体" w:cs="宋体"/>
          <w:sz w:val="24"/>
          <w:szCs w:val="24"/>
        </w:rPr>
        <w:br w:type="textWrapping"/>
      </w:r>
      <w:r>
        <w:rPr>
          <w:rFonts w:hint="eastAsia" w:ascii="宋体" w:hAnsi="宋体" w:eastAsia="宋体" w:cs="宋体"/>
          <w:sz w:val="24"/>
          <w:szCs w:val="24"/>
        </w:rPr>
        <w:t>（5）《环境标志产品政府采购实施的意见》（财库〔2006〕90号）；</w:t>
      </w:r>
      <w:r>
        <w:rPr>
          <w:rFonts w:hint="eastAsia" w:ascii="宋体" w:hAnsi="宋体" w:eastAsia="宋体" w:cs="宋体"/>
          <w:sz w:val="24"/>
          <w:szCs w:val="24"/>
        </w:rPr>
        <w:br w:type="textWrapping"/>
      </w:r>
      <w:r>
        <w:rPr>
          <w:rFonts w:hint="eastAsia" w:ascii="宋体" w:hAnsi="宋体" w:eastAsia="宋体" w:cs="宋体"/>
          <w:sz w:val="24"/>
          <w:szCs w:val="24"/>
        </w:rPr>
        <w:t>（6）《国务院办公厅关于建立政府强制采购节能产品制度的通知》（国办发〔2007〕51号）；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（7）财政部发展改革委生态环境部市场监管总局关于调整优化节能产品、环境标志产品政府采购执行机制的通知（财库〔2019〕9号）；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（8）《关于印发环境标志产品政府采购品目清单的通知》--（财库〔2019〕18号）；</w:t>
      </w:r>
      <w:r>
        <w:rPr>
          <w:rFonts w:hint="eastAsia" w:ascii="宋体" w:hAnsi="宋体" w:eastAsia="宋体" w:cs="宋体"/>
          <w:sz w:val="24"/>
          <w:szCs w:val="24"/>
        </w:rPr>
        <w:br w:type="textWrapping"/>
      </w:r>
      <w:r>
        <w:rPr>
          <w:rFonts w:hint="eastAsia" w:ascii="宋体" w:hAnsi="宋体" w:eastAsia="宋体" w:cs="宋体"/>
          <w:sz w:val="24"/>
          <w:szCs w:val="24"/>
        </w:rPr>
        <w:t>（9）《关于印发节能产品政府采购品目清单的通知》--（财库〔2019〕19号）；</w:t>
      </w:r>
      <w:r>
        <w:rPr>
          <w:rFonts w:hint="eastAsia" w:ascii="宋体" w:hAnsi="宋体" w:eastAsia="宋体" w:cs="宋体"/>
          <w:sz w:val="24"/>
          <w:szCs w:val="24"/>
        </w:rPr>
        <w:br w:type="textWrapping"/>
      </w:r>
      <w:r>
        <w:rPr>
          <w:rFonts w:hint="eastAsia" w:ascii="宋体" w:hAnsi="宋体" w:eastAsia="宋体" w:cs="宋体"/>
          <w:sz w:val="24"/>
          <w:szCs w:val="24"/>
        </w:rPr>
        <w:t>（10）《关于发布参与实施政府采购节能产品、环境标志产品认证机构名录的公告》—2019年第16号；</w:t>
      </w:r>
      <w:r>
        <w:rPr>
          <w:rFonts w:hint="eastAsia" w:ascii="宋体" w:hAnsi="宋体" w:eastAsia="宋体" w:cs="宋体"/>
          <w:sz w:val="24"/>
          <w:szCs w:val="24"/>
        </w:rPr>
        <w:br w:type="textWrapping"/>
      </w:r>
      <w:r>
        <w:rPr>
          <w:rFonts w:hint="eastAsia" w:ascii="宋体" w:hAnsi="宋体" w:eastAsia="宋体" w:cs="宋体"/>
          <w:sz w:val="24"/>
          <w:szCs w:val="24"/>
        </w:rPr>
        <w:t>（11）《关于运用政府采购政策支持乡村产业振兴的通知》（财库〔2021〕19号）；</w:t>
      </w:r>
      <w:r>
        <w:rPr>
          <w:rFonts w:hint="eastAsia" w:ascii="宋体" w:hAnsi="宋体" w:eastAsia="宋体" w:cs="宋体"/>
          <w:sz w:val="24"/>
          <w:szCs w:val="24"/>
        </w:rPr>
        <w:br w:type="textWrapping"/>
      </w:r>
      <w:r>
        <w:rPr>
          <w:rFonts w:hint="eastAsia" w:ascii="宋体" w:hAnsi="宋体" w:eastAsia="宋体" w:cs="宋体"/>
          <w:sz w:val="24"/>
          <w:szCs w:val="24"/>
        </w:rPr>
        <w:t>（12）陕西省财政厅关于印发《陕西省中小企业政府采购信用融资办法》（陕财办采〔2018〕23号），相关政策、业务流程、办理平台（详见http://www.ccgp-shaanxi.gov.cn/zcdservice/zcd/shanxi/）；</w:t>
      </w:r>
      <w:r>
        <w:rPr>
          <w:rFonts w:hint="eastAsia" w:ascii="宋体" w:hAnsi="宋体" w:eastAsia="宋体" w:cs="宋体"/>
          <w:sz w:val="24"/>
          <w:szCs w:val="24"/>
        </w:rPr>
        <w:br w:type="textWrapping"/>
      </w:r>
      <w:r>
        <w:rPr>
          <w:rFonts w:hint="eastAsia" w:ascii="宋体" w:hAnsi="宋体" w:eastAsia="宋体" w:cs="宋体"/>
          <w:sz w:val="24"/>
          <w:szCs w:val="24"/>
        </w:rPr>
        <w:t>（13）《陕西省财政厅关于加快推进我省中小企业政府采购信用融资工作的通知》（陕财办采〔2020〕15号）；</w:t>
      </w:r>
      <w:r>
        <w:rPr>
          <w:rFonts w:hint="eastAsia" w:ascii="宋体" w:hAnsi="宋体" w:eastAsia="宋体" w:cs="宋体"/>
          <w:sz w:val="24"/>
          <w:szCs w:val="24"/>
        </w:rPr>
        <w:br w:type="textWrapping"/>
      </w:r>
      <w:r>
        <w:rPr>
          <w:rFonts w:hint="eastAsia" w:ascii="宋体" w:hAnsi="宋体" w:eastAsia="宋体" w:cs="宋体"/>
          <w:sz w:val="24"/>
          <w:szCs w:val="24"/>
        </w:rPr>
        <w:t>（14）《关于进一步加强政府绿色采购有关问题的通知》（陕财办采〔2021〕29号）；</w:t>
      </w:r>
      <w:r>
        <w:rPr>
          <w:rFonts w:hint="eastAsia" w:ascii="宋体" w:hAnsi="宋体" w:eastAsia="宋体" w:cs="宋体"/>
          <w:sz w:val="24"/>
          <w:szCs w:val="24"/>
        </w:rPr>
        <w:br w:type="textWrapping"/>
      </w:r>
      <w:r>
        <w:rPr>
          <w:rFonts w:hint="eastAsia" w:ascii="宋体" w:hAnsi="宋体" w:eastAsia="宋体" w:cs="宋体"/>
          <w:sz w:val="24"/>
          <w:szCs w:val="24"/>
        </w:rPr>
        <w:t>（15）《陕西省财政厅陕西省工业和信息化厅关于运用政府采购政策支持首台（套）及创新产品有关事项的通知》（陕财办采〔2021〕17号）；</w:t>
      </w:r>
      <w:r>
        <w:rPr>
          <w:rFonts w:hint="eastAsia" w:ascii="宋体" w:hAnsi="宋体" w:eastAsia="宋体" w:cs="宋体"/>
          <w:sz w:val="24"/>
          <w:szCs w:val="24"/>
        </w:rPr>
        <w:br w:type="textWrapping"/>
      </w:r>
      <w:r>
        <w:rPr>
          <w:rFonts w:hint="eastAsia" w:ascii="宋体" w:hAnsi="宋体" w:eastAsia="宋体" w:cs="宋体"/>
          <w:sz w:val="24"/>
          <w:szCs w:val="24"/>
        </w:rPr>
        <w:t>（16）《关于进一步加大政府采购支持中小企业力度的通知》（财库〔2022〕19号）、《关于落实政府采购支持中小企业政策有关事项的通知》（陕财办采函〔2022〕10号）；</w:t>
      </w:r>
      <w:r>
        <w:rPr>
          <w:rFonts w:hint="eastAsia" w:ascii="宋体" w:hAnsi="宋体" w:eastAsia="宋体" w:cs="宋体"/>
          <w:sz w:val="24"/>
          <w:szCs w:val="24"/>
        </w:rPr>
        <w:br w:type="textWrapping"/>
      </w:r>
      <w:r>
        <w:rPr>
          <w:rFonts w:hint="eastAsia" w:ascii="宋体" w:hAnsi="宋体" w:eastAsia="宋体" w:cs="宋体"/>
          <w:sz w:val="24"/>
          <w:szCs w:val="24"/>
        </w:rPr>
        <w:t>（17）其他需要落实的政府采购政策。</w:t>
      </w:r>
    </w:p>
    <w:p w14:paraId="024B213F">
      <w:pPr>
        <w:pStyle w:val="64"/>
        <w:spacing w:line="360" w:lineRule="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0C29FE6D">
      <w:pPr>
        <w:pStyle w:val="64"/>
        <w:spacing w:line="360" w:lineRule="auto"/>
        <w:rPr>
          <w:rFonts w:hint="eastAsia" w:ascii="宋体" w:hAnsi="宋体" w:eastAsia="宋体" w:cs="宋体"/>
          <w:sz w:val="24"/>
          <w:szCs w:val="24"/>
        </w:rPr>
      </w:pPr>
      <w:r>
        <w:rPr>
          <w:rFonts w:hint="eastAsia" w:ascii="宋体" w:hAnsi="宋体" w:eastAsia="宋体" w:cs="宋体"/>
          <w:sz w:val="24"/>
          <w:szCs w:val="24"/>
        </w:rPr>
        <w:t>合同包1(山阳县2025年度省级林业草原改革发展资金板栗综合科管项目)特定资格要求如下:</w:t>
      </w:r>
    </w:p>
    <w:p w14:paraId="1D17A742">
      <w:pPr>
        <w:pStyle w:val="64"/>
        <w:spacing w:line="360" w:lineRule="auto"/>
        <w:ind w:left="480"/>
        <w:rPr>
          <w:rFonts w:hint="eastAsia" w:ascii="宋体" w:hAnsi="宋体" w:eastAsia="宋体" w:cs="宋体"/>
          <w:sz w:val="24"/>
          <w:szCs w:val="24"/>
        </w:rPr>
      </w:pPr>
      <w:r>
        <w:rPr>
          <w:rFonts w:hint="eastAsia" w:ascii="宋体" w:hAnsi="宋体" w:eastAsia="宋体" w:cs="宋体"/>
          <w:sz w:val="24"/>
          <w:szCs w:val="24"/>
        </w:rPr>
        <w:t>（1）提供合格有效的法人或者其他组织的营业执照等证明文件，自然人的身份证明；</w:t>
      </w:r>
      <w:r>
        <w:rPr>
          <w:rFonts w:hint="eastAsia" w:ascii="宋体" w:hAnsi="宋体" w:eastAsia="宋体" w:cs="宋体"/>
          <w:sz w:val="24"/>
          <w:szCs w:val="24"/>
        </w:rPr>
        <w:br w:type="textWrapping"/>
      </w:r>
      <w:r>
        <w:rPr>
          <w:rFonts w:hint="eastAsia" w:ascii="宋体" w:hAnsi="宋体" w:eastAsia="宋体" w:cs="宋体"/>
          <w:sz w:val="24"/>
          <w:szCs w:val="24"/>
        </w:rPr>
        <w:t>（2）提供法定代表人授权书（附法定代表人、被授权人身份证复印件，法定代表人直接参加投标，须提供法定代表人身份证明及身份证复印件）；</w:t>
      </w:r>
      <w:r>
        <w:rPr>
          <w:rFonts w:hint="eastAsia" w:ascii="宋体" w:hAnsi="宋体" w:eastAsia="宋体" w:cs="宋体"/>
          <w:sz w:val="24"/>
          <w:szCs w:val="24"/>
        </w:rPr>
        <w:br w:type="textWrapping"/>
      </w:r>
      <w:r>
        <w:rPr>
          <w:rFonts w:hint="eastAsia" w:ascii="宋体" w:hAnsi="宋体" w:eastAsia="宋体" w:cs="宋体"/>
          <w:sz w:val="24"/>
          <w:szCs w:val="24"/>
        </w:rPr>
        <w:t>（3）提供2024年度的财务审计报告（成立时间至提交投标文件截止时间不足一年的可提供成立后任意时段的资产负债表）或开标时间前六个月内银行出具的资信证明；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（4）税收缴纳证明：提供投标截止日前近一年内任意一个月的纳税证明或完税证明（任意税种），依法免税的单位应提供相关证明材料；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（5）社会保障资金缴纳证明：提供投标截止日前近一年内任意一个月的社会保障资金缴存单据或社保机构开具的社会保险参保缴费情况证明，依法不需要缴纳社会保障资金的单位应提供相关证明材料；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（6）提供具有履行本合同所必需的设备和专业技术能力的说明及承诺书；</w:t>
      </w:r>
      <w:r>
        <w:rPr>
          <w:rFonts w:hint="eastAsia" w:ascii="宋体" w:hAnsi="宋体" w:eastAsia="宋体" w:cs="宋体"/>
          <w:sz w:val="24"/>
          <w:szCs w:val="24"/>
        </w:rPr>
        <w:br w:type="textWrapping"/>
      </w:r>
      <w:r>
        <w:rPr>
          <w:rFonts w:hint="eastAsia" w:ascii="宋体" w:hAnsi="宋体" w:eastAsia="宋体" w:cs="宋体"/>
          <w:sz w:val="24"/>
          <w:szCs w:val="24"/>
        </w:rPr>
        <w:t>（7）供应商通过“信用中国”网站(www.creditchina.gov.cn)、中国政府采购网(www.ccgp.gov.cn)等查询相关主体信用记录；</w:t>
      </w:r>
      <w:r>
        <w:rPr>
          <w:rFonts w:hint="eastAsia" w:ascii="宋体" w:hAnsi="宋体" w:eastAsia="宋体" w:cs="宋体"/>
          <w:sz w:val="24"/>
          <w:szCs w:val="24"/>
        </w:rPr>
        <w:br w:type="textWrapping"/>
      </w:r>
      <w:r>
        <w:rPr>
          <w:rFonts w:hint="eastAsia" w:ascii="宋体" w:hAnsi="宋体" w:eastAsia="宋体" w:cs="宋体"/>
          <w:sz w:val="24"/>
          <w:szCs w:val="24"/>
        </w:rPr>
        <w:t>（8）参加政府采购活动前3年内，在经营活动中没有重大违法记录的书面声明；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（9）提供中小企业声明函；</w:t>
      </w:r>
      <w:r>
        <w:rPr>
          <w:rFonts w:hint="eastAsia" w:ascii="宋体" w:hAnsi="宋体" w:eastAsia="宋体" w:cs="宋体"/>
          <w:sz w:val="24"/>
          <w:szCs w:val="24"/>
        </w:rPr>
        <w:br w:type="textWrapping"/>
      </w:r>
      <w:r>
        <w:rPr>
          <w:rFonts w:hint="eastAsia" w:ascii="宋体" w:hAnsi="宋体" w:eastAsia="宋体" w:cs="宋体"/>
          <w:sz w:val="24"/>
          <w:szCs w:val="24"/>
        </w:rPr>
        <w:t>（10）本项目不接受联合体投标（提供承诺书）。</w:t>
      </w:r>
    </w:p>
    <w:p w14:paraId="6963771F">
      <w:pPr>
        <w:pStyle w:val="6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三、获取招标文件</w:t>
      </w:r>
    </w:p>
    <w:p w14:paraId="52E8B0F5">
      <w:pPr>
        <w:pStyle w:val="64"/>
        <w:spacing w:line="360" w:lineRule="auto"/>
        <w:rPr>
          <w:rFonts w:hint="eastAsia" w:ascii="宋体" w:hAnsi="宋体" w:eastAsia="宋体" w:cs="宋体"/>
          <w:sz w:val="24"/>
          <w:szCs w:val="24"/>
        </w:rPr>
      </w:pPr>
      <w:r>
        <w:rPr>
          <w:rFonts w:hint="eastAsia" w:ascii="宋体" w:hAnsi="宋体" w:eastAsia="宋体" w:cs="宋体"/>
          <w:sz w:val="24"/>
          <w:szCs w:val="24"/>
        </w:rPr>
        <w:t>时间： 2025年10月22日 至 2025年10月28日 ，每天上午 09:00:00 至 12:00:00 ，下午 14:00:00 至 17:00:00 （北京时间）</w:t>
      </w:r>
    </w:p>
    <w:p w14:paraId="61330E7A">
      <w:pPr>
        <w:pStyle w:val="64"/>
        <w:spacing w:line="360" w:lineRule="auto"/>
        <w:rPr>
          <w:rFonts w:hint="eastAsia" w:ascii="宋体" w:hAnsi="宋体" w:eastAsia="宋体" w:cs="宋体"/>
          <w:sz w:val="24"/>
          <w:szCs w:val="24"/>
        </w:rPr>
      </w:pPr>
      <w:r>
        <w:rPr>
          <w:rFonts w:hint="eastAsia" w:ascii="宋体" w:hAnsi="宋体" w:eastAsia="宋体" w:cs="宋体"/>
          <w:sz w:val="24"/>
          <w:szCs w:val="24"/>
        </w:rPr>
        <w:t>途径：陕西省西安市经济技术开发区未央路171-1号银池道拉斯财富中心21楼03室</w:t>
      </w:r>
    </w:p>
    <w:p w14:paraId="1E5E4D4D">
      <w:pPr>
        <w:pStyle w:val="64"/>
        <w:spacing w:line="360" w:lineRule="auto"/>
        <w:rPr>
          <w:rFonts w:hint="eastAsia" w:ascii="宋体" w:hAnsi="宋体" w:eastAsia="宋体" w:cs="宋体"/>
          <w:sz w:val="24"/>
          <w:szCs w:val="24"/>
        </w:rPr>
      </w:pPr>
      <w:r>
        <w:rPr>
          <w:rFonts w:hint="eastAsia" w:ascii="宋体" w:hAnsi="宋体" w:eastAsia="宋体" w:cs="宋体"/>
          <w:sz w:val="24"/>
          <w:szCs w:val="24"/>
        </w:rPr>
        <w:t>方式：现场获取</w:t>
      </w:r>
    </w:p>
    <w:p w14:paraId="3809929A">
      <w:pPr>
        <w:pStyle w:val="64"/>
        <w:spacing w:line="360" w:lineRule="auto"/>
        <w:rPr>
          <w:rFonts w:hint="eastAsia" w:ascii="宋体" w:hAnsi="宋体" w:eastAsia="宋体" w:cs="宋体"/>
          <w:sz w:val="24"/>
          <w:szCs w:val="24"/>
        </w:rPr>
      </w:pPr>
      <w:r>
        <w:rPr>
          <w:rFonts w:hint="eastAsia" w:ascii="宋体" w:hAnsi="宋体" w:eastAsia="宋体" w:cs="宋体"/>
          <w:sz w:val="24"/>
          <w:szCs w:val="24"/>
        </w:rPr>
        <w:t>售价： 0元</w:t>
      </w:r>
    </w:p>
    <w:p w14:paraId="25402BED">
      <w:pPr>
        <w:pStyle w:val="6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四、提交投标文件截止时间、开标时间和地点</w:t>
      </w:r>
    </w:p>
    <w:p w14:paraId="4E1E4383">
      <w:pPr>
        <w:pStyle w:val="64"/>
        <w:spacing w:line="360" w:lineRule="auto"/>
        <w:rPr>
          <w:rFonts w:hint="eastAsia" w:ascii="宋体" w:hAnsi="宋体" w:eastAsia="宋体" w:cs="宋体"/>
          <w:sz w:val="24"/>
          <w:szCs w:val="24"/>
        </w:rPr>
      </w:pPr>
      <w:r>
        <w:rPr>
          <w:rFonts w:hint="eastAsia" w:ascii="宋体" w:hAnsi="宋体" w:eastAsia="宋体" w:cs="宋体"/>
          <w:sz w:val="24"/>
          <w:szCs w:val="24"/>
        </w:rPr>
        <w:t>时间： 2025年11月11日 14时00分00秒 （北京时间）</w:t>
      </w:r>
    </w:p>
    <w:p w14:paraId="473B6E2C">
      <w:pPr>
        <w:pStyle w:val="64"/>
        <w:spacing w:line="360" w:lineRule="auto"/>
        <w:rPr>
          <w:rFonts w:hint="eastAsia" w:ascii="宋体" w:hAnsi="宋体" w:eastAsia="宋体" w:cs="宋体"/>
          <w:sz w:val="24"/>
          <w:szCs w:val="24"/>
        </w:rPr>
      </w:pPr>
      <w:r>
        <w:rPr>
          <w:rFonts w:hint="eastAsia" w:ascii="宋体" w:hAnsi="宋体" w:eastAsia="宋体" w:cs="宋体"/>
          <w:sz w:val="24"/>
          <w:szCs w:val="24"/>
        </w:rPr>
        <w:t>提交投标文件地点：陕西省西安市经济技术开发区未央路171-1号银池道拉斯财富中心21楼03室</w:t>
      </w:r>
    </w:p>
    <w:p w14:paraId="1A0971AE">
      <w:pPr>
        <w:pStyle w:val="64"/>
        <w:spacing w:line="360" w:lineRule="auto"/>
        <w:rPr>
          <w:rFonts w:hint="eastAsia" w:ascii="宋体" w:hAnsi="宋体" w:eastAsia="宋体" w:cs="宋体"/>
          <w:sz w:val="24"/>
          <w:szCs w:val="24"/>
        </w:rPr>
      </w:pPr>
      <w:r>
        <w:rPr>
          <w:rFonts w:hint="eastAsia" w:ascii="宋体" w:hAnsi="宋体" w:eastAsia="宋体" w:cs="宋体"/>
          <w:sz w:val="24"/>
          <w:szCs w:val="24"/>
        </w:rPr>
        <w:t>开标地点：陕西省西安市经济技术开发区未央路171-1号银池道拉斯财富中心21楼03室</w:t>
      </w:r>
    </w:p>
    <w:p w14:paraId="3E09EEF2">
      <w:pPr>
        <w:pStyle w:val="6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五、公告期限</w:t>
      </w:r>
    </w:p>
    <w:p w14:paraId="42A4285A">
      <w:pPr>
        <w:pStyle w:val="64"/>
        <w:spacing w:line="360" w:lineRule="auto"/>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14:paraId="344D22B3">
      <w:pPr>
        <w:pStyle w:val="6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六、其他补充事宜</w:t>
      </w:r>
    </w:p>
    <w:p w14:paraId="1B406316">
      <w:pPr>
        <w:pStyle w:val="64"/>
        <w:spacing w:line="360" w:lineRule="auto"/>
        <w:rPr>
          <w:rFonts w:hint="eastAsia" w:ascii="宋体" w:hAnsi="宋体" w:eastAsia="宋体" w:cs="宋体"/>
          <w:sz w:val="24"/>
          <w:szCs w:val="24"/>
        </w:rPr>
      </w:pPr>
      <w:r>
        <w:rPr>
          <w:rFonts w:hint="eastAsia" w:ascii="宋体" w:hAnsi="宋体" w:eastAsia="宋体" w:cs="宋体"/>
          <w:color w:val="000000"/>
          <w:sz w:val="24"/>
          <w:szCs w:val="24"/>
        </w:rPr>
        <w:t>（1）供应商领取采购文件时，请携带单位介绍信及经办人身份证原件及复印件加盖公章；</w:t>
      </w:r>
    </w:p>
    <w:p w14:paraId="7C7EBA48">
      <w:pPr>
        <w:pStyle w:val="64"/>
        <w:spacing w:line="360" w:lineRule="auto"/>
        <w:rPr>
          <w:rFonts w:hint="eastAsia" w:ascii="宋体" w:hAnsi="宋体" w:eastAsia="宋体" w:cs="宋体"/>
          <w:sz w:val="24"/>
          <w:szCs w:val="24"/>
        </w:rPr>
      </w:pPr>
      <w:r>
        <w:rPr>
          <w:rFonts w:hint="eastAsia" w:ascii="宋体" w:hAnsi="宋体" w:eastAsia="宋体" w:cs="宋体"/>
          <w:color w:val="000000"/>
          <w:sz w:val="24"/>
          <w:szCs w:val="24"/>
        </w:rPr>
        <w:t>（2）请供应商按照《陕西省财政厅关于政府采购供应商注册登记有关事项的通知》中的要求，通过陕西省政府采购网（http://www.ccgp-shaanxi.gov.cn/）注册登记加入陕西省政府采购供应商库；</w:t>
      </w:r>
    </w:p>
    <w:p w14:paraId="4FF0B33A">
      <w:pPr>
        <w:pStyle w:val="64"/>
        <w:spacing w:line="360" w:lineRule="auto"/>
        <w:jc w:val="both"/>
        <w:rPr>
          <w:rFonts w:hint="eastAsia" w:ascii="宋体" w:hAnsi="宋体" w:eastAsia="宋体" w:cs="宋体"/>
          <w:sz w:val="24"/>
          <w:szCs w:val="24"/>
        </w:rPr>
      </w:pPr>
      <w:r>
        <w:rPr>
          <w:rFonts w:hint="eastAsia" w:ascii="宋体" w:hAnsi="宋体" w:eastAsia="宋体" w:cs="宋体"/>
          <w:color w:val="000000"/>
          <w:sz w:val="24"/>
          <w:szCs w:val="24"/>
        </w:rPr>
        <w:t>（3）本项目专门面向小微企业采购。</w:t>
      </w:r>
    </w:p>
    <w:p w14:paraId="429A4F9A">
      <w:pPr>
        <w:pStyle w:val="6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七、对本次招标提出询问，请按以下方式联系。</w:t>
      </w:r>
    </w:p>
    <w:p w14:paraId="5D089F5E">
      <w:pPr>
        <w:pStyle w:val="64"/>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069455DB">
      <w:pPr>
        <w:pStyle w:val="64"/>
        <w:spacing w:line="360" w:lineRule="auto"/>
        <w:rPr>
          <w:rFonts w:hint="eastAsia" w:ascii="宋体" w:hAnsi="宋体" w:eastAsia="宋体" w:cs="宋体"/>
          <w:sz w:val="24"/>
          <w:szCs w:val="24"/>
        </w:rPr>
      </w:pPr>
      <w:r>
        <w:rPr>
          <w:rFonts w:hint="eastAsia" w:ascii="宋体" w:hAnsi="宋体" w:eastAsia="宋体" w:cs="宋体"/>
          <w:sz w:val="24"/>
          <w:szCs w:val="24"/>
        </w:rPr>
        <w:t>名称：山阳县林特产业发展中心</w:t>
      </w:r>
    </w:p>
    <w:p w14:paraId="00A37009">
      <w:pPr>
        <w:pStyle w:val="64"/>
        <w:spacing w:line="360" w:lineRule="auto"/>
        <w:rPr>
          <w:rFonts w:hint="eastAsia" w:ascii="宋体" w:hAnsi="宋体" w:eastAsia="宋体" w:cs="宋体"/>
          <w:sz w:val="24"/>
          <w:szCs w:val="24"/>
        </w:rPr>
      </w:pPr>
      <w:r>
        <w:rPr>
          <w:rFonts w:hint="eastAsia" w:ascii="宋体" w:hAnsi="宋体" w:eastAsia="宋体" w:cs="宋体"/>
          <w:sz w:val="24"/>
          <w:szCs w:val="24"/>
        </w:rPr>
        <w:t>地址：翠屏社区盛林雅居</w:t>
      </w:r>
    </w:p>
    <w:p w14:paraId="75E00233">
      <w:pPr>
        <w:pStyle w:val="64"/>
        <w:spacing w:line="360" w:lineRule="auto"/>
        <w:rPr>
          <w:rFonts w:hint="eastAsia" w:ascii="宋体" w:hAnsi="宋体" w:eastAsia="宋体" w:cs="宋体"/>
          <w:sz w:val="24"/>
          <w:szCs w:val="24"/>
        </w:rPr>
      </w:pPr>
      <w:r>
        <w:rPr>
          <w:rFonts w:hint="eastAsia" w:ascii="宋体" w:hAnsi="宋体" w:eastAsia="宋体" w:cs="宋体"/>
          <w:sz w:val="24"/>
          <w:szCs w:val="24"/>
        </w:rPr>
        <w:t>联系方式：0914</w:t>
      </w:r>
      <w:r>
        <w:rPr>
          <w:rFonts w:hint="eastAsia" w:ascii="宋体" w:hAnsi="宋体" w:eastAsia="宋体" w:cs="宋体"/>
          <w:sz w:val="24"/>
          <w:szCs w:val="24"/>
          <w:lang w:val="en-US" w:eastAsia="zh-CN"/>
        </w:rPr>
        <w:t>-</w:t>
      </w:r>
      <w:r>
        <w:rPr>
          <w:rFonts w:hint="eastAsia" w:ascii="宋体" w:hAnsi="宋体" w:eastAsia="宋体" w:cs="宋体"/>
          <w:sz w:val="24"/>
          <w:szCs w:val="24"/>
        </w:rPr>
        <w:t>8383535</w:t>
      </w:r>
    </w:p>
    <w:p w14:paraId="59DBE5E5">
      <w:pPr>
        <w:pStyle w:val="64"/>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59220EE9">
      <w:pPr>
        <w:pStyle w:val="64"/>
        <w:spacing w:line="360" w:lineRule="auto"/>
        <w:rPr>
          <w:rFonts w:hint="eastAsia" w:ascii="宋体" w:hAnsi="宋体" w:eastAsia="宋体" w:cs="宋体"/>
          <w:sz w:val="24"/>
          <w:szCs w:val="24"/>
        </w:rPr>
      </w:pPr>
      <w:r>
        <w:rPr>
          <w:rFonts w:hint="eastAsia" w:ascii="宋体" w:hAnsi="宋体" w:eastAsia="宋体" w:cs="宋体"/>
          <w:sz w:val="24"/>
          <w:szCs w:val="24"/>
        </w:rPr>
        <w:t>名称：陕西至诚项目管理集团有限公司</w:t>
      </w:r>
    </w:p>
    <w:p w14:paraId="4D397DCD">
      <w:pPr>
        <w:pStyle w:val="64"/>
        <w:spacing w:line="360" w:lineRule="auto"/>
        <w:rPr>
          <w:rFonts w:hint="eastAsia" w:ascii="宋体" w:hAnsi="宋体" w:eastAsia="宋体" w:cs="宋体"/>
          <w:sz w:val="24"/>
          <w:szCs w:val="24"/>
        </w:rPr>
      </w:pPr>
      <w:r>
        <w:rPr>
          <w:rFonts w:hint="eastAsia" w:ascii="宋体" w:hAnsi="宋体" w:eastAsia="宋体" w:cs="宋体"/>
          <w:sz w:val="24"/>
          <w:szCs w:val="24"/>
        </w:rPr>
        <w:t>地址：陕西省西安市经济技术开发区未央路171-1号银池道拉斯财富中心21楼03室</w:t>
      </w:r>
    </w:p>
    <w:p w14:paraId="3D460E82">
      <w:pPr>
        <w:pStyle w:val="64"/>
        <w:spacing w:line="360" w:lineRule="auto"/>
        <w:rPr>
          <w:rFonts w:hint="eastAsia" w:ascii="宋体" w:hAnsi="宋体" w:eastAsia="宋体" w:cs="宋体"/>
          <w:sz w:val="24"/>
          <w:szCs w:val="24"/>
        </w:rPr>
      </w:pPr>
      <w:r>
        <w:rPr>
          <w:rFonts w:hint="eastAsia" w:ascii="宋体" w:hAnsi="宋体" w:eastAsia="宋体" w:cs="宋体"/>
          <w:sz w:val="24"/>
          <w:szCs w:val="24"/>
        </w:rPr>
        <w:t>联系方式：029-88219779</w:t>
      </w:r>
    </w:p>
    <w:p w14:paraId="72E36F64">
      <w:pPr>
        <w:pStyle w:val="64"/>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2881B710">
      <w:pPr>
        <w:pStyle w:val="64"/>
        <w:spacing w:line="360" w:lineRule="auto"/>
        <w:rPr>
          <w:rFonts w:hint="eastAsia" w:ascii="宋体" w:hAnsi="宋体" w:eastAsia="宋体" w:cs="宋体"/>
          <w:sz w:val="24"/>
          <w:szCs w:val="24"/>
        </w:rPr>
      </w:pPr>
      <w:r>
        <w:rPr>
          <w:rFonts w:hint="eastAsia" w:ascii="宋体" w:hAnsi="宋体" w:eastAsia="宋体" w:cs="宋体"/>
          <w:sz w:val="24"/>
          <w:szCs w:val="24"/>
        </w:rPr>
        <w:t>项目联系人：孙洋、康乐、常瑛</w:t>
      </w:r>
    </w:p>
    <w:p w14:paraId="2E562DA9">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sz w:val="24"/>
          <w:szCs w:val="24"/>
        </w:rPr>
        <w:t>电话：029-88219779</w:t>
      </w:r>
    </w:p>
    <w:p w14:paraId="0C0E9717">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right"/>
        <w:textAlignment w:val="auto"/>
        <w:outlineLvl w:val="9"/>
        <w:rPr>
          <w:rFonts w:hint="eastAsia" w:ascii="宋体" w:hAnsi="宋体" w:cs="宋体"/>
          <w:i w:val="0"/>
          <w:iCs w:val="0"/>
          <w:caps w:val="0"/>
          <w:color w:val="auto"/>
          <w:spacing w:val="0"/>
          <w:sz w:val="24"/>
          <w:szCs w:val="24"/>
          <w:highlight w:val="none"/>
          <w:shd w:val="clear" w:fill="FFFFFF"/>
          <w:lang w:val="en-US" w:eastAsia="zh-CN"/>
        </w:rPr>
      </w:pPr>
    </w:p>
    <w:p w14:paraId="1B997B5F">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right"/>
        <w:textAlignment w:val="auto"/>
        <w:outlineLvl w:val="9"/>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陕西至诚项目管理集团有限公司</w:t>
      </w:r>
    </w:p>
    <w:p w14:paraId="718288B4">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right"/>
        <w:textAlignment w:val="auto"/>
        <w:outlineLvl w:val="9"/>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lang w:val="en-US" w:eastAsia="zh-CN"/>
        </w:rPr>
        <w:t>2025年</w:t>
      </w:r>
      <w:r>
        <w:rPr>
          <w:rFonts w:hint="eastAsia" w:ascii="宋体" w:hAnsi="宋体" w:cs="宋体"/>
          <w:i w:val="0"/>
          <w:iCs w:val="0"/>
          <w:caps w:val="0"/>
          <w:color w:val="auto"/>
          <w:spacing w:val="0"/>
          <w:sz w:val="24"/>
          <w:szCs w:val="24"/>
          <w:highlight w:val="none"/>
          <w:shd w:val="clear" w:fill="FFFFFF"/>
          <w:lang w:val="en-US" w:eastAsia="zh-CN"/>
        </w:rPr>
        <w:t>10</w:t>
      </w:r>
      <w:r>
        <w:rPr>
          <w:rFonts w:hint="eastAsia" w:ascii="宋体" w:hAnsi="宋体" w:eastAsia="宋体" w:cs="宋体"/>
          <w:i w:val="0"/>
          <w:iCs w:val="0"/>
          <w:caps w:val="0"/>
          <w:color w:val="auto"/>
          <w:spacing w:val="0"/>
          <w:sz w:val="24"/>
          <w:szCs w:val="24"/>
          <w:highlight w:val="none"/>
          <w:shd w:val="clear" w:fill="FFFFFF"/>
          <w:lang w:val="en-US" w:eastAsia="zh-CN"/>
        </w:rPr>
        <w:t>月</w:t>
      </w:r>
      <w:r>
        <w:rPr>
          <w:rFonts w:hint="eastAsia" w:ascii="宋体" w:hAnsi="宋体" w:cs="宋体"/>
          <w:i w:val="0"/>
          <w:iCs w:val="0"/>
          <w:caps w:val="0"/>
          <w:color w:val="auto"/>
          <w:spacing w:val="0"/>
          <w:sz w:val="24"/>
          <w:szCs w:val="24"/>
          <w:highlight w:val="none"/>
          <w:shd w:val="clear" w:fill="FFFFFF"/>
          <w:lang w:val="en-US" w:eastAsia="zh-CN"/>
        </w:rPr>
        <w:t>21</w:t>
      </w:r>
      <w:r>
        <w:rPr>
          <w:rFonts w:hint="eastAsia" w:ascii="宋体" w:hAnsi="宋体" w:eastAsia="宋体" w:cs="宋体"/>
          <w:i w:val="0"/>
          <w:iCs w:val="0"/>
          <w:caps w:val="0"/>
          <w:color w:val="auto"/>
          <w:spacing w:val="0"/>
          <w:sz w:val="24"/>
          <w:szCs w:val="24"/>
          <w:highlight w:val="none"/>
          <w:shd w:val="clear" w:fill="FFFFFF"/>
          <w:lang w:val="en-US" w:eastAsia="zh-CN"/>
        </w:rPr>
        <w:t>日</w:t>
      </w:r>
    </w:p>
    <w:p w14:paraId="3AEB1073">
      <w:pPr>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br w:type="page"/>
      </w:r>
    </w:p>
    <w:p w14:paraId="6159F2C6">
      <w:pPr>
        <w:pStyle w:val="4"/>
        <w:keepNext w:val="0"/>
        <w:pageBreakBefore/>
        <w:spacing w:line="350" w:lineRule="auto"/>
        <w:jc w:val="center"/>
        <w:rPr>
          <w:rFonts w:asciiTheme="minorEastAsia" w:hAnsiTheme="minorEastAsia" w:eastAsiaTheme="minorEastAsia" w:cstheme="minorEastAsia"/>
          <w:sz w:val="36"/>
          <w:szCs w:val="20"/>
          <w:highlight w:val="none"/>
        </w:rPr>
      </w:pPr>
      <w:bookmarkStart w:id="5" w:name="_Toc24715"/>
      <w:r>
        <w:rPr>
          <w:rFonts w:hint="eastAsia" w:asciiTheme="minorEastAsia" w:hAnsiTheme="minorEastAsia" w:eastAsiaTheme="minorEastAsia" w:cstheme="minorEastAsia"/>
          <w:sz w:val="36"/>
          <w:szCs w:val="20"/>
          <w:highlight w:val="none"/>
        </w:rPr>
        <w:t>第二章  投标人须知</w:t>
      </w:r>
      <w:bookmarkEnd w:id="3"/>
      <w:bookmarkEnd w:id="4"/>
      <w:bookmarkEnd w:id="5"/>
    </w:p>
    <w:p w14:paraId="680282EA">
      <w:pPr>
        <w:spacing w:line="360" w:lineRule="auto"/>
        <w:jc w:val="center"/>
        <w:outlineLvl w:val="1"/>
        <w:rPr>
          <w:rFonts w:asciiTheme="minorEastAsia" w:hAnsiTheme="minorEastAsia" w:eastAsiaTheme="minorEastAsia" w:cstheme="minorEastAsia"/>
          <w:b/>
          <w:bCs/>
          <w:sz w:val="28"/>
          <w:szCs w:val="28"/>
          <w:highlight w:val="none"/>
        </w:rPr>
      </w:pPr>
      <w:bookmarkStart w:id="6" w:name="_Toc23536"/>
      <w:bookmarkStart w:id="7" w:name="_Toc420591642"/>
      <w:bookmarkStart w:id="8" w:name="_Toc421778364"/>
      <w:bookmarkStart w:id="9" w:name="_Toc19675"/>
      <w:r>
        <w:rPr>
          <w:rFonts w:hint="eastAsia" w:asciiTheme="minorEastAsia" w:hAnsiTheme="minorEastAsia" w:eastAsiaTheme="minorEastAsia" w:cstheme="minorEastAsia"/>
          <w:b/>
          <w:bCs/>
          <w:sz w:val="28"/>
          <w:szCs w:val="28"/>
          <w:highlight w:val="none"/>
        </w:rPr>
        <w:t>投标人须知前附表</w:t>
      </w:r>
      <w:bookmarkEnd w:id="6"/>
      <w:bookmarkEnd w:id="7"/>
      <w:bookmarkEnd w:id="8"/>
      <w:bookmarkEnd w:id="9"/>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054"/>
        <w:gridCol w:w="6318"/>
      </w:tblGrid>
      <w:tr w14:paraId="11FDF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6387364E">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条款号</w:t>
            </w:r>
          </w:p>
        </w:tc>
        <w:tc>
          <w:tcPr>
            <w:tcW w:w="1092" w:type="pct"/>
            <w:vAlign w:val="center"/>
          </w:tcPr>
          <w:p w14:paraId="3CE9F0D6">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条款名称</w:t>
            </w:r>
          </w:p>
        </w:tc>
        <w:tc>
          <w:tcPr>
            <w:tcW w:w="3361" w:type="pct"/>
            <w:vAlign w:val="center"/>
          </w:tcPr>
          <w:p w14:paraId="6103602E">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编列内容</w:t>
            </w:r>
          </w:p>
        </w:tc>
      </w:tr>
      <w:tr w14:paraId="69AE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18C576C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1.1.2</w:t>
            </w:r>
          </w:p>
        </w:tc>
        <w:tc>
          <w:tcPr>
            <w:tcW w:w="1092" w:type="pct"/>
            <w:vAlign w:val="center"/>
          </w:tcPr>
          <w:p w14:paraId="2BCE6EA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招标人</w:t>
            </w:r>
          </w:p>
        </w:tc>
        <w:tc>
          <w:tcPr>
            <w:tcW w:w="3361" w:type="pct"/>
            <w:vAlign w:val="center"/>
          </w:tcPr>
          <w:p w14:paraId="6D8069F3">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招标人：</w:t>
            </w:r>
            <w:r>
              <w:rPr>
                <w:rFonts w:hint="eastAsia" w:ascii="宋体" w:hAnsi="宋体" w:cs="宋体"/>
                <w:sz w:val="24"/>
                <w:szCs w:val="24"/>
                <w:highlight w:val="none"/>
                <w:lang w:eastAsia="zh-CN"/>
              </w:rPr>
              <w:t>山阳县林特产业发展中心</w:t>
            </w:r>
          </w:p>
          <w:p w14:paraId="2381AA21">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lang w:eastAsia="zh-CN"/>
              </w:rPr>
              <w:t>翠屏社区盛林雅居</w:t>
            </w:r>
          </w:p>
        </w:tc>
      </w:tr>
      <w:tr w14:paraId="73BC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389F69D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1.1.3</w:t>
            </w:r>
          </w:p>
        </w:tc>
        <w:tc>
          <w:tcPr>
            <w:tcW w:w="1092" w:type="pct"/>
            <w:vAlign w:val="center"/>
          </w:tcPr>
          <w:p w14:paraId="7D57943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招标代理机构</w:t>
            </w:r>
          </w:p>
        </w:tc>
        <w:tc>
          <w:tcPr>
            <w:tcW w:w="3361" w:type="pct"/>
            <w:vAlign w:val="center"/>
          </w:tcPr>
          <w:p w14:paraId="1FDBDA4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r>
              <w:rPr>
                <w:rFonts w:hint="eastAsia" w:ascii="宋体" w:hAnsi="宋体" w:cs="宋体"/>
                <w:kern w:val="0"/>
                <w:sz w:val="24"/>
                <w:szCs w:val="24"/>
                <w:highlight w:val="none"/>
                <w:lang w:eastAsia="zh-CN"/>
              </w:rPr>
              <w:t>陕西至诚项目管理集团有限公司</w:t>
            </w:r>
            <w:r>
              <w:rPr>
                <w:rFonts w:hint="eastAsia" w:ascii="宋体" w:hAnsi="宋体" w:eastAsia="宋体" w:cs="宋体"/>
                <w:kern w:val="0"/>
                <w:sz w:val="24"/>
                <w:szCs w:val="24"/>
                <w:highlight w:val="none"/>
              </w:rPr>
              <w:t xml:space="preserve"> </w:t>
            </w:r>
          </w:p>
          <w:p w14:paraId="67B588A5">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地址：</w:t>
            </w:r>
            <w:r>
              <w:rPr>
                <w:rFonts w:hint="eastAsia" w:ascii="宋体" w:hAnsi="宋体" w:cs="宋体"/>
                <w:sz w:val="24"/>
                <w:szCs w:val="24"/>
                <w:highlight w:val="none"/>
                <w:lang w:eastAsia="zh-CN"/>
              </w:rPr>
              <w:t>陕西省西安市经济技术开发区未央路171-1号银池道拉斯财富中心21楼03室</w:t>
            </w:r>
          </w:p>
          <w:p w14:paraId="69E04F4C">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联系人：</w:t>
            </w:r>
            <w:r>
              <w:rPr>
                <w:rFonts w:hint="eastAsia" w:ascii="宋体" w:hAnsi="宋体" w:cs="宋体"/>
                <w:sz w:val="24"/>
                <w:szCs w:val="24"/>
                <w:highlight w:val="none"/>
                <w:lang w:eastAsia="zh-CN"/>
              </w:rPr>
              <w:t>孙洋、康乐、常瑛</w:t>
            </w:r>
          </w:p>
          <w:p w14:paraId="7597A704">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电话：</w:t>
            </w:r>
            <w:r>
              <w:rPr>
                <w:rFonts w:hint="eastAsia" w:ascii="宋体" w:hAnsi="宋体" w:cs="宋体"/>
                <w:i w:val="0"/>
                <w:iCs w:val="0"/>
                <w:caps w:val="0"/>
                <w:color w:val="333333"/>
                <w:spacing w:val="0"/>
                <w:sz w:val="24"/>
                <w:szCs w:val="24"/>
                <w:highlight w:val="none"/>
                <w:shd w:val="clear" w:fill="FFFFFF"/>
                <w:vertAlign w:val="baseline"/>
                <w:lang w:eastAsia="zh-CN"/>
              </w:rPr>
              <w:t>029-88219779</w:t>
            </w:r>
          </w:p>
        </w:tc>
      </w:tr>
      <w:tr w14:paraId="21BF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50D4267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1.1.5</w:t>
            </w:r>
          </w:p>
        </w:tc>
        <w:tc>
          <w:tcPr>
            <w:tcW w:w="1092" w:type="pct"/>
            <w:vAlign w:val="center"/>
          </w:tcPr>
          <w:p w14:paraId="1525EF5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建设地点</w:t>
            </w:r>
          </w:p>
        </w:tc>
        <w:tc>
          <w:tcPr>
            <w:tcW w:w="3361" w:type="pct"/>
            <w:vAlign w:val="center"/>
          </w:tcPr>
          <w:p w14:paraId="799A901E">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山阳县</w:t>
            </w:r>
          </w:p>
        </w:tc>
      </w:tr>
      <w:tr w14:paraId="77447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4F00F28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1.2.1</w:t>
            </w:r>
          </w:p>
        </w:tc>
        <w:tc>
          <w:tcPr>
            <w:tcW w:w="1092" w:type="pct"/>
            <w:vAlign w:val="center"/>
          </w:tcPr>
          <w:p w14:paraId="416E3DB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资金来源</w:t>
            </w:r>
          </w:p>
        </w:tc>
        <w:tc>
          <w:tcPr>
            <w:tcW w:w="3361" w:type="pct"/>
            <w:vAlign w:val="center"/>
          </w:tcPr>
          <w:p w14:paraId="16EBA9AE">
            <w:pPr>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省级林业改革发展资金</w:t>
            </w:r>
          </w:p>
        </w:tc>
      </w:tr>
      <w:tr w14:paraId="755A4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3586678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1.2.2</w:t>
            </w:r>
          </w:p>
        </w:tc>
        <w:tc>
          <w:tcPr>
            <w:tcW w:w="1092" w:type="pct"/>
            <w:vAlign w:val="center"/>
          </w:tcPr>
          <w:p w14:paraId="73FC73E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资金落实情况</w:t>
            </w:r>
          </w:p>
        </w:tc>
        <w:tc>
          <w:tcPr>
            <w:tcW w:w="3361" w:type="pct"/>
            <w:vAlign w:val="center"/>
          </w:tcPr>
          <w:p w14:paraId="2218524C">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资金已落实到位</w:t>
            </w:r>
          </w:p>
        </w:tc>
      </w:tr>
      <w:tr w14:paraId="5966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0F06DC1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1.3.1</w:t>
            </w:r>
          </w:p>
        </w:tc>
        <w:tc>
          <w:tcPr>
            <w:tcW w:w="1092" w:type="pct"/>
            <w:vAlign w:val="center"/>
          </w:tcPr>
          <w:p w14:paraId="7A0FA61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招标范围</w:t>
            </w:r>
          </w:p>
        </w:tc>
        <w:tc>
          <w:tcPr>
            <w:tcW w:w="3361" w:type="pct"/>
            <w:vAlign w:val="center"/>
          </w:tcPr>
          <w:p w14:paraId="14307C1D">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本项目包含的所有施工内容</w:t>
            </w:r>
          </w:p>
        </w:tc>
      </w:tr>
      <w:tr w14:paraId="3C0C1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1EF8D9B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1.3.2</w:t>
            </w:r>
          </w:p>
        </w:tc>
        <w:tc>
          <w:tcPr>
            <w:tcW w:w="1092" w:type="pct"/>
            <w:vAlign w:val="center"/>
          </w:tcPr>
          <w:p w14:paraId="1EF27D32">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抚育期</w:t>
            </w:r>
          </w:p>
        </w:tc>
        <w:tc>
          <w:tcPr>
            <w:tcW w:w="3361" w:type="pct"/>
            <w:vAlign w:val="center"/>
          </w:tcPr>
          <w:p w14:paraId="72E245A0">
            <w:pPr>
              <w:spacing w:line="360" w:lineRule="auto"/>
              <w:rPr>
                <w:rFonts w:hint="default"/>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合同签订后30个工作日完成</w:t>
            </w:r>
          </w:p>
        </w:tc>
      </w:tr>
      <w:tr w14:paraId="51F6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2E42ED0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1.3.3</w:t>
            </w:r>
          </w:p>
        </w:tc>
        <w:tc>
          <w:tcPr>
            <w:tcW w:w="1092" w:type="pct"/>
            <w:vAlign w:val="center"/>
          </w:tcPr>
          <w:p w14:paraId="50C3EDD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质量标准</w:t>
            </w:r>
          </w:p>
        </w:tc>
        <w:tc>
          <w:tcPr>
            <w:tcW w:w="3361" w:type="pct"/>
            <w:vAlign w:val="center"/>
          </w:tcPr>
          <w:p w14:paraId="161B3273">
            <w:pPr>
              <w:spacing w:line="360" w:lineRule="auto"/>
              <w:rPr>
                <w:rFonts w:hint="eastAsia" w:ascii="宋体" w:hAnsi="宋体" w:eastAsia="宋体" w:cs="宋体"/>
                <w:sz w:val="24"/>
                <w:szCs w:val="24"/>
                <w:highlight w:val="none"/>
              </w:rPr>
            </w:pPr>
            <w:bookmarkStart w:id="10" w:name="OLE_LINK34"/>
            <w:bookmarkStart w:id="11" w:name="OLE_LINK18"/>
            <w:r>
              <w:rPr>
                <w:rFonts w:hint="eastAsia" w:ascii="宋体" w:hAnsi="宋体" w:eastAsia="宋体" w:cs="宋体"/>
                <w:kern w:val="0"/>
                <w:sz w:val="24"/>
                <w:szCs w:val="24"/>
                <w:highlight w:val="none"/>
              </w:rPr>
              <w:t>符合国家现行有关质量验收规范“合格”要求。</w:t>
            </w:r>
            <w:bookmarkEnd w:id="10"/>
            <w:bookmarkEnd w:id="11"/>
          </w:p>
        </w:tc>
      </w:tr>
      <w:tr w14:paraId="75FB0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670CAEB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1.4.1</w:t>
            </w:r>
          </w:p>
        </w:tc>
        <w:tc>
          <w:tcPr>
            <w:tcW w:w="1092" w:type="pct"/>
            <w:vAlign w:val="center"/>
          </w:tcPr>
          <w:p w14:paraId="7D5CC08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资格审查条件</w:t>
            </w:r>
          </w:p>
        </w:tc>
        <w:tc>
          <w:tcPr>
            <w:tcW w:w="3361" w:type="pct"/>
            <w:vAlign w:val="center"/>
          </w:tcPr>
          <w:p w14:paraId="465D49A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资格证明文件：</w:t>
            </w:r>
          </w:p>
          <w:p w14:paraId="53D911D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（1）提供合格有效的法人或者其他组织的营业执照等证明文件，自然人的身份证明；</w:t>
            </w:r>
          </w:p>
          <w:p w14:paraId="3423AAC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（2）提供法定代表人授权书（附法定代表人、被授权人身份证复印件，法定代表人直接参加投标，须提供法定代表人身份证明及身份证复印件）；</w:t>
            </w:r>
          </w:p>
          <w:p w14:paraId="2E73F5D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（3）提供2024年度的财务审计报告（成立时间至提交投标文件截止时间不足一年的可提供成立后任意时段的资产负债表）或开标时间前六个月内银行出具的资信证明；</w:t>
            </w:r>
          </w:p>
          <w:p w14:paraId="32964622">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（4）税收缴纳证明：提供投标截止日前近一年内任意一个月的纳税证明或完税证明（任意税种），依法免税的单位应提供相关证明材料；</w:t>
            </w:r>
          </w:p>
          <w:p w14:paraId="07A1F8B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（5）社会保障资金缴纳证明：提供投标截止日前近一年内任意一个月的社会保障资金缴存单据或社保机构开具的社会保险参保缴费情况证明，依法不需要缴纳社会保障资金的单位应提供相关证明材料；</w:t>
            </w:r>
          </w:p>
          <w:p w14:paraId="615EF0D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（6）提供具有履行本合同所必需的设备和专业技术能力的说明及承诺书；</w:t>
            </w:r>
          </w:p>
          <w:p w14:paraId="30E9165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（7）供应商通过“信用中国”网站(www.creditchina.gov.cn)、中国政府采购网(www.ccgp.gov.cn)等查询相关主体信用记录；</w:t>
            </w:r>
          </w:p>
          <w:p w14:paraId="306CF31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（8）参加政府采购活动前3年内，在经营活动中没有重大违法记录的书面声明；</w:t>
            </w:r>
          </w:p>
          <w:p w14:paraId="76E8567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（9）提供中小企业声明函；</w:t>
            </w:r>
          </w:p>
          <w:p w14:paraId="3178579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（10）本项目不接受联合体投标（提供承诺书）。</w:t>
            </w:r>
          </w:p>
          <w:p w14:paraId="67A932DF">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以上（1-10）为必备资质，缺一项或某项达不到要求，按无效投标处理。</w:t>
            </w:r>
          </w:p>
        </w:tc>
      </w:tr>
      <w:tr w14:paraId="4F4C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12A4279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1.4.2</w:t>
            </w:r>
          </w:p>
        </w:tc>
        <w:tc>
          <w:tcPr>
            <w:tcW w:w="1092" w:type="pct"/>
            <w:vAlign w:val="center"/>
          </w:tcPr>
          <w:p w14:paraId="6AC1AF0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w:t>
            </w:r>
            <w:r>
              <w:rPr>
                <w:rFonts w:hint="eastAsia" w:ascii="宋体" w:hAnsi="宋体" w:eastAsia="宋体" w:cs="宋体"/>
                <w:sz w:val="24"/>
                <w:szCs w:val="24"/>
                <w:highlight w:val="none"/>
                <w:lang w:val="en-US" w:eastAsia="zh-CN"/>
              </w:rPr>
              <w:t>获取</w:t>
            </w:r>
            <w:r>
              <w:rPr>
                <w:rFonts w:hint="eastAsia" w:ascii="宋体" w:hAnsi="宋体" w:eastAsia="宋体" w:cs="宋体"/>
                <w:sz w:val="24"/>
                <w:szCs w:val="24"/>
                <w:highlight w:val="none"/>
              </w:rPr>
              <w:t>时间</w:t>
            </w:r>
          </w:p>
        </w:tc>
        <w:tc>
          <w:tcPr>
            <w:tcW w:w="3361" w:type="pct"/>
            <w:vAlign w:val="center"/>
          </w:tcPr>
          <w:p w14:paraId="1DB3AF0C">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详见招标公告</w:t>
            </w:r>
          </w:p>
        </w:tc>
      </w:tr>
      <w:tr w14:paraId="62C5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4064E2F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1.9</w:t>
            </w:r>
          </w:p>
        </w:tc>
        <w:tc>
          <w:tcPr>
            <w:tcW w:w="1092" w:type="pct"/>
            <w:vAlign w:val="center"/>
          </w:tcPr>
          <w:p w14:paraId="77319D2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踏勘现场</w:t>
            </w:r>
          </w:p>
        </w:tc>
        <w:tc>
          <w:tcPr>
            <w:tcW w:w="3361" w:type="pct"/>
            <w:vAlign w:val="center"/>
          </w:tcPr>
          <w:p w14:paraId="7F26C7B2">
            <w:pPr>
              <w:spacing w:line="42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1）招标代理机构不组织统一踏勘，各投标人自行踏勘，相关费用及安全由投标人自行承担，踏勘时遵守相关规定，不得扰民。</w:t>
            </w:r>
          </w:p>
          <w:p w14:paraId="0396038D">
            <w:pPr>
              <w:spacing w:line="42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2）踏勘内容包含：完成本次招标所需要的现场工况及周围环境等资料。</w:t>
            </w:r>
          </w:p>
          <w:p w14:paraId="44118A4E">
            <w:pPr>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联系人：</w:t>
            </w:r>
            <w:r>
              <w:rPr>
                <w:rFonts w:hint="eastAsia" w:ascii="宋体" w:hAnsi="宋体" w:cs="宋体"/>
                <w:sz w:val="24"/>
                <w:szCs w:val="24"/>
                <w:highlight w:val="none"/>
                <w:lang w:eastAsia="zh-CN"/>
              </w:rPr>
              <w:t>山阳县林特产业发展中心</w:t>
            </w:r>
          </w:p>
          <w:p w14:paraId="0834EDA0">
            <w:pPr>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联系电话：</w:t>
            </w:r>
            <w:r>
              <w:rPr>
                <w:rFonts w:hint="eastAsia" w:ascii="宋体" w:hAnsi="宋体" w:cs="宋体"/>
                <w:sz w:val="24"/>
                <w:szCs w:val="24"/>
                <w:highlight w:val="none"/>
                <w:lang w:eastAsia="zh-CN"/>
              </w:rPr>
              <w:t>0914-8383535</w:t>
            </w:r>
          </w:p>
        </w:tc>
      </w:tr>
      <w:tr w14:paraId="37020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05B9E31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1.10</w:t>
            </w:r>
          </w:p>
        </w:tc>
        <w:tc>
          <w:tcPr>
            <w:tcW w:w="1092" w:type="pct"/>
            <w:vAlign w:val="center"/>
          </w:tcPr>
          <w:p w14:paraId="66D6600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投标答疑会</w:t>
            </w:r>
          </w:p>
        </w:tc>
        <w:tc>
          <w:tcPr>
            <w:tcW w:w="3361" w:type="pct"/>
            <w:vAlign w:val="center"/>
          </w:tcPr>
          <w:p w14:paraId="2681096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不召开；若有疑问，均应在购买招标文件后7个工作日内以书面形式向采购代理机构提出。</w:t>
            </w:r>
          </w:p>
        </w:tc>
      </w:tr>
      <w:tr w14:paraId="3AEC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4D2F6C39">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1.11</w:t>
            </w:r>
          </w:p>
        </w:tc>
        <w:tc>
          <w:tcPr>
            <w:tcW w:w="1092" w:type="pct"/>
            <w:vAlign w:val="center"/>
          </w:tcPr>
          <w:p w14:paraId="193C5C2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分包</w:t>
            </w:r>
          </w:p>
        </w:tc>
        <w:tc>
          <w:tcPr>
            <w:tcW w:w="3361" w:type="pct"/>
            <w:vAlign w:val="center"/>
          </w:tcPr>
          <w:p w14:paraId="4BB6F58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14:paraId="19BA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1B943AF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3.1.1</w:t>
            </w:r>
          </w:p>
        </w:tc>
        <w:tc>
          <w:tcPr>
            <w:tcW w:w="1092" w:type="pct"/>
            <w:vAlign w:val="center"/>
          </w:tcPr>
          <w:p w14:paraId="21BD5988">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构成投标文件的其他材料</w:t>
            </w:r>
          </w:p>
        </w:tc>
        <w:tc>
          <w:tcPr>
            <w:tcW w:w="3361" w:type="pct"/>
            <w:vAlign w:val="center"/>
          </w:tcPr>
          <w:p w14:paraId="7EEFB49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投标人按照招标文件的要求认为有利于投标的材料。</w:t>
            </w:r>
          </w:p>
        </w:tc>
      </w:tr>
      <w:tr w14:paraId="6B31E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08CE4AE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3.4.1</w:t>
            </w:r>
          </w:p>
        </w:tc>
        <w:tc>
          <w:tcPr>
            <w:tcW w:w="1092" w:type="pct"/>
            <w:vAlign w:val="center"/>
          </w:tcPr>
          <w:p w14:paraId="04CACD7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投标报价</w:t>
            </w:r>
          </w:p>
        </w:tc>
        <w:tc>
          <w:tcPr>
            <w:tcW w:w="3361" w:type="pct"/>
            <w:vAlign w:val="center"/>
          </w:tcPr>
          <w:p w14:paraId="45EA02A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以中标价为依据签订总价合同。</w:t>
            </w:r>
          </w:p>
        </w:tc>
      </w:tr>
      <w:tr w14:paraId="3777C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10438D8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3.3.1</w:t>
            </w:r>
          </w:p>
        </w:tc>
        <w:tc>
          <w:tcPr>
            <w:tcW w:w="1092" w:type="pct"/>
            <w:vAlign w:val="center"/>
          </w:tcPr>
          <w:p w14:paraId="1E01333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投标有效期</w:t>
            </w:r>
          </w:p>
        </w:tc>
        <w:tc>
          <w:tcPr>
            <w:tcW w:w="3361" w:type="pct"/>
            <w:vAlign w:val="center"/>
          </w:tcPr>
          <w:p w14:paraId="02997E84">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90日历天（从投标截止之日算起）</w:t>
            </w:r>
          </w:p>
        </w:tc>
      </w:tr>
      <w:tr w14:paraId="4685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6948B8A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3.6</w:t>
            </w:r>
          </w:p>
        </w:tc>
        <w:tc>
          <w:tcPr>
            <w:tcW w:w="1092" w:type="pct"/>
            <w:vAlign w:val="center"/>
          </w:tcPr>
          <w:p w14:paraId="72BF4EE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投标保证金</w:t>
            </w:r>
          </w:p>
        </w:tc>
        <w:tc>
          <w:tcPr>
            <w:tcW w:w="3361" w:type="pct"/>
            <w:vAlign w:val="center"/>
          </w:tcPr>
          <w:p w14:paraId="1F74469E">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投标保证金：本项目不缴纳投标保证金（招标文件中关于投标保证金要求均不适用）</w:t>
            </w:r>
          </w:p>
        </w:tc>
      </w:tr>
      <w:tr w14:paraId="7BE87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50A4276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3.4.2</w:t>
            </w:r>
          </w:p>
        </w:tc>
        <w:tc>
          <w:tcPr>
            <w:tcW w:w="1092" w:type="pct"/>
            <w:vAlign w:val="center"/>
          </w:tcPr>
          <w:p w14:paraId="67785FF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代理服务费</w:t>
            </w:r>
          </w:p>
        </w:tc>
        <w:tc>
          <w:tcPr>
            <w:tcW w:w="3361" w:type="pct"/>
            <w:vAlign w:val="center"/>
          </w:tcPr>
          <w:p w14:paraId="7953DB5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1.收费标准：按国家计委颁发的《招标代理服务收费管理暂行办法》（计价格[2002]1980号）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国家发展</w:t>
            </w:r>
            <w:r>
              <w:rPr>
                <w:rFonts w:hint="eastAsia" w:ascii="宋体" w:hAnsi="宋体" w:eastAsia="宋体" w:cs="宋体"/>
                <w:sz w:val="24"/>
                <w:szCs w:val="24"/>
                <w:highlight w:val="none"/>
                <w:lang w:val="en-US" w:eastAsia="zh-CN"/>
              </w:rPr>
              <w:t>和</w:t>
            </w:r>
            <w:r>
              <w:rPr>
                <w:rFonts w:hint="eastAsia" w:ascii="宋体" w:hAnsi="宋体" w:eastAsia="宋体" w:cs="宋体"/>
                <w:sz w:val="24"/>
                <w:szCs w:val="24"/>
                <w:highlight w:val="none"/>
              </w:rPr>
              <w:t>改革委员会办公厅颁发的《关于招标代理服务收费有关问题的通知》（发改办价格[2003]857号）的有关标准执行。</w:t>
            </w:r>
          </w:p>
          <w:p w14:paraId="505C6AE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2.由中标单位向招标代理机构一次性缴付招标代理服务费。</w:t>
            </w:r>
          </w:p>
        </w:tc>
      </w:tr>
      <w:tr w14:paraId="4AC99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4FE1F44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3.5</w:t>
            </w:r>
          </w:p>
        </w:tc>
        <w:tc>
          <w:tcPr>
            <w:tcW w:w="1092" w:type="pct"/>
            <w:vAlign w:val="center"/>
          </w:tcPr>
          <w:p w14:paraId="75B9C55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是否允许递交</w:t>
            </w:r>
          </w:p>
          <w:p w14:paraId="497DBFD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备选投标方案</w:t>
            </w:r>
          </w:p>
        </w:tc>
        <w:tc>
          <w:tcPr>
            <w:tcW w:w="3361" w:type="pct"/>
            <w:vAlign w:val="center"/>
          </w:tcPr>
          <w:p w14:paraId="5A13AF2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14:paraId="6112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60FEF9E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3.6.3</w:t>
            </w:r>
          </w:p>
        </w:tc>
        <w:tc>
          <w:tcPr>
            <w:tcW w:w="1092" w:type="pct"/>
            <w:vAlign w:val="center"/>
          </w:tcPr>
          <w:p w14:paraId="20BFC28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签字或盖章要求</w:t>
            </w:r>
          </w:p>
        </w:tc>
        <w:tc>
          <w:tcPr>
            <w:tcW w:w="3361" w:type="pct"/>
            <w:vAlign w:val="center"/>
          </w:tcPr>
          <w:p w14:paraId="19C691E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投标文件封面、投标函及其它有要求处必须加盖投标人公章并经法定代表人或其委托代理人签字或盖章。</w:t>
            </w:r>
            <w:bookmarkStart w:id="12" w:name="_Toc343511347"/>
          </w:p>
          <w:p w14:paraId="76C33B0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投标文件应无涂改或行间插字和增删。如确需修改，修改处必须由投标人加盖投标人公章并经法定代表人或其委托代理人签字或盖章。</w:t>
            </w:r>
            <w:bookmarkEnd w:id="12"/>
          </w:p>
        </w:tc>
      </w:tr>
      <w:tr w14:paraId="059F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359B33C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3.6.4</w:t>
            </w:r>
          </w:p>
        </w:tc>
        <w:tc>
          <w:tcPr>
            <w:tcW w:w="1092" w:type="pct"/>
            <w:vAlign w:val="center"/>
          </w:tcPr>
          <w:p w14:paraId="79CA15B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投标文件份数</w:t>
            </w:r>
          </w:p>
        </w:tc>
        <w:tc>
          <w:tcPr>
            <w:tcW w:w="3361" w:type="pct"/>
            <w:vAlign w:val="center"/>
          </w:tcPr>
          <w:p w14:paraId="6F75615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投标文件正本</w:t>
            </w:r>
            <w:r>
              <w:rPr>
                <w:rFonts w:hint="eastAsia" w:ascii="宋体" w:hAnsi="宋体" w:eastAsia="宋体" w:cs="宋体"/>
                <w:sz w:val="24"/>
                <w:szCs w:val="24"/>
                <w:highlight w:val="none"/>
                <w:u w:val="single"/>
              </w:rPr>
              <w:t>壹</w:t>
            </w:r>
            <w:r>
              <w:rPr>
                <w:rFonts w:hint="eastAsia" w:ascii="宋体" w:hAnsi="宋体" w:eastAsia="宋体" w:cs="宋体"/>
                <w:sz w:val="24"/>
                <w:szCs w:val="24"/>
                <w:highlight w:val="none"/>
              </w:rPr>
              <w:t>份,副本</w:t>
            </w:r>
            <w:r>
              <w:rPr>
                <w:rFonts w:hint="eastAsia" w:ascii="宋体" w:hAnsi="宋体" w:eastAsia="宋体" w:cs="宋体"/>
                <w:sz w:val="24"/>
                <w:szCs w:val="24"/>
                <w:highlight w:val="none"/>
                <w:u w:val="single"/>
              </w:rPr>
              <w:t>贰</w:t>
            </w:r>
            <w:r>
              <w:rPr>
                <w:rFonts w:hint="eastAsia" w:ascii="宋体" w:hAnsi="宋体" w:eastAsia="宋体" w:cs="宋体"/>
                <w:sz w:val="24"/>
                <w:szCs w:val="24"/>
                <w:highlight w:val="none"/>
              </w:rPr>
              <w:t>份,</w:t>
            </w:r>
            <w:r>
              <w:rPr>
                <w:rFonts w:hint="eastAsia" w:ascii="宋体" w:hAnsi="宋体" w:eastAsia="宋体" w:cs="宋体"/>
                <w:b/>
                <w:bCs/>
                <w:sz w:val="24"/>
                <w:szCs w:val="24"/>
                <w:highlight w:val="none"/>
              </w:rPr>
              <w:t>投标文件电子版</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word及PDF)</w:t>
            </w:r>
            <w:r>
              <w:rPr>
                <w:rFonts w:hint="eastAsia" w:ascii="宋体" w:hAnsi="宋体" w:eastAsia="宋体" w:cs="宋体"/>
                <w:sz w:val="24"/>
                <w:szCs w:val="24"/>
                <w:highlight w:val="none"/>
                <w:u w:val="single"/>
              </w:rPr>
              <w:t>壹</w:t>
            </w:r>
            <w:r>
              <w:rPr>
                <w:rFonts w:hint="eastAsia" w:ascii="宋体" w:hAnsi="宋体" w:eastAsia="宋体" w:cs="宋体"/>
                <w:sz w:val="24"/>
                <w:szCs w:val="24"/>
                <w:highlight w:val="none"/>
              </w:rPr>
              <w:t>份（U盘），开标一览表</w:t>
            </w:r>
            <w:r>
              <w:rPr>
                <w:rFonts w:hint="eastAsia" w:ascii="宋体" w:hAnsi="宋体" w:eastAsia="宋体" w:cs="宋体"/>
                <w:sz w:val="24"/>
                <w:szCs w:val="24"/>
                <w:highlight w:val="none"/>
                <w:u w:val="single"/>
              </w:rPr>
              <w:t>壹</w:t>
            </w:r>
            <w:r>
              <w:rPr>
                <w:rFonts w:hint="eastAsia" w:ascii="宋体" w:hAnsi="宋体" w:eastAsia="宋体" w:cs="宋体"/>
                <w:sz w:val="24"/>
                <w:szCs w:val="24"/>
                <w:highlight w:val="none"/>
              </w:rPr>
              <w:t>份</w:t>
            </w:r>
          </w:p>
        </w:tc>
      </w:tr>
      <w:tr w14:paraId="28B2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35922FA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4.1.2</w:t>
            </w:r>
          </w:p>
        </w:tc>
        <w:tc>
          <w:tcPr>
            <w:tcW w:w="1092" w:type="pct"/>
            <w:vAlign w:val="center"/>
          </w:tcPr>
          <w:p w14:paraId="298C984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投标文件密封</w:t>
            </w:r>
          </w:p>
        </w:tc>
        <w:tc>
          <w:tcPr>
            <w:tcW w:w="3361" w:type="pct"/>
            <w:vAlign w:val="center"/>
          </w:tcPr>
          <w:p w14:paraId="0072F78B">
            <w:pPr>
              <w:spacing w:line="360" w:lineRule="auto"/>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1、投标文件正、副本应分别装订成册，装订应牢固、不易拆散和换页，不得采用活页装订。封袋应加贴封条，并在封线处由法定代表人或委托代理人签字盖章后加盖投标人公章。</w:t>
            </w:r>
          </w:p>
          <w:p w14:paraId="3C84858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2、密封包装方式：</w:t>
            </w:r>
          </w:p>
          <w:p w14:paraId="65A661D9">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（1）投标文件正本、开标一览表、电子版一包密封。</w:t>
            </w:r>
          </w:p>
          <w:p w14:paraId="1314E342">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（2）投标文件所有副本一包密封。</w:t>
            </w:r>
          </w:p>
          <w:p w14:paraId="140B1BE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3、外层包装请按以下要求标记：</w:t>
            </w:r>
          </w:p>
          <w:p w14:paraId="287ADA03">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项目名称： </w:t>
            </w:r>
          </w:p>
          <w:p w14:paraId="52EA60A9">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05D5F07B">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w:t>
            </w:r>
          </w:p>
          <w:p w14:paraId="55EF1252">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内容：“正本”或“副本”</w:t>
            </w:r>
          </w:p>
          <w:p w14:paraId="4566725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投标文件在</w:t>
            </w:r>
            <w:r>
              <w:rPr>
                <w:rFonts w:hint="eastAsia" w:ascii="宋体" w:hAnsi="宋体" w:eastAsia="宋体" w:cs="宋体"/>
                <w:sz w:val="24"/>
                <w:szCs w:val="24"/>
                <w:highlight w:val="none"/>
                <w:u w:val="single"/>
              </w:rPr>
              <w:t xml:space="preserve"> 202</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时</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分前不得开启；</w:t>
            </w:r>
          </w:p>
        </w:tc>
      </w:tr>
      <w:tr w14:paraId="75D0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49A9489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4.2.2</w:t>
            </w:r>
          </w:p>
        </w:tc>
        <w:tc>
          <w:tcPr>
            <w:tcW w:w="1092" w:type="pct"/>
            <w:vAlign w:val="center"/>
          </w:tcPr>
          <w:p w14:paraId="4713343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递交投标文件截止时间、地点</w:t>
            </w:r>
          </w:p>
        </w:tc>
        <w:tc>
          <w:tcPr>
            <w:tcW w:w="3361" w:type="pct"/>
            <w:vAlign w:val="center"/>
          </w:tcPr>
          <w:p w14:paraId="1C5891B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时间：202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14</w:t>
            </w:r>
            <w:r>
              <w:rPr>
                <w:rFonts w:hint="eastAsia" w:ascii="宋体" w:hAnsi="宋体" w:eastAsia="宋体" w:cs="宋体"/>
                <w:sz w:val="24"/>
                <w:szCs w:val="24"/>
                <w:highlight w:val="none"/>
              </w:rPr>
              <w:t>时</w:t>
            </w:r>
            <w:r>
              <w:rPr>
                <w:rFonts w:hint="eastAsia" w:ascii="宋体" w:hAnsi="宋体" w:cs="宋体"/>
                <w:sz w:val="24"/>
                <w:szCs w:val="24"/>
                <w:highlight w:val="none"/>
                <w:lang w:val="en-US" w:eastAsia="zh-CN"/>
              </w:rPr>
              <w:t>00</w:t>
            </w:r>
            <w:r>
              <w:rPr>
                <w:rFonts w:hint="eastAsia" w:ascii="宋体" w:hAnsi="宋体" w:eastAsia="宋体" w:cs="宋体"/>
                <w:sz w:val="24"/>
                <w:szCs w:val="24"/>
                <w:highlight w:val="none"/>
              </w:rPr>
              <w:t xml:space="preserve">分00秒 </w:t>
            </w:r>
          </w:p>
          <w:p w14:paraId="25BD26EC">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地点：</w:t>
            </w:r>
            <w:r>
              <w:rPr>
                <w:rFonts w:hint="eastAsia" w:ascii="宋体" w:hAnsi="宋体" w:cs="宋体"/>
                <w:sz w:val="24"/>
                <w:szCs w:val="24"/>
                <w:highlight w:val="none"/>
                <w:lang w:eastAsia="zh-CN"/>
              </w:rPr>
              <w:t>陕西省西安市经济技术开发区未央路171-1号银池道拉斯财富中心21楼03室</w:t>
            </w:r>
          </w:p>
        </w:tc>
      </w:tr>
      <w:tr w14:paraId="6A10D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33823FB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4.2.3</w:t>
            </w:r>
          </w:p>
        </w:tc>
        <w:tc>
          <w:tcPr>
            <w:tcW w:w="1092" w:type="pct"/>
            <w:vAlign w:val="center"/>
          </w:tcPr>
          <w:p w14:paraId="201DD9B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是否退还投标文件</w:t>
            </w:r>
          </w:p>
        </w:tc>
        <w:tc>
          <w:tcPr>
            <w:tcW w:w="3361" w:type="pct"/>
            <w:vAlign w:val="center"/>
          </w:tcPr>
          <w:p w14:paraId="463CCD1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否</w:t>
            </w:r>
          </w:p>
        </w:tc>
      </w:tr>
      <w:tr w14:paraId="6113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2281755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5.1</w:t>
            </w:r>
          </w:p>
        </w:tc>
        <w:tc>
          <w:tcPr>
            <w:tcW w:w="1092" w:type="pct"/>
            <w:vAlign w:val="center"/>
          </w:tcPr>
          <w:p w14:paraId="3391C5F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开标时间和地点</w:t>
            </w:r>
          </w:p>
        </w:tc>
        <w:tc>
          <w:tcPr>
            <w:tcW w:w="3361" w:type="pct"/>
            <w:vAlign w:val="center"/>
          </w:tcPr>
          <w:p w14:paraId="0470805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开标时间：202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14</w:t>
            </w:r>
            <w:r>
              <w:rPr>
                <w:rFonts w:hint="eastAsia" w:ascii="宋体" w:hAnsi="宋体" w:eastAsia="宋体" w:cs="宋体"/>
                <w:sz w:val="24"/>
                <w:szCs w:val="24"/>
                <w:highlight w:val="none"/>
              </w:rPr>
              <w:t>时</w:t>
            </w:r>
            <w:r>
              <w:rPr>
                <w:rFonts w:hint="eastAsia" w:ascii="宋体" w:hAnsi="宋体" w:cs="宋体"/>
                <w:sz w:val="24"/>
                <w:szCs w:val="24"/>
                <w:highlight w:val="none"/>
                <w:lang w:val="en-US" w:eastAsia="zh-CN"/>
              </w:rPr>
              <w:t>00</w:t>
            </w:r>
            <w:r>
              <w:rPr>
                <w:rFonts w:hint="eastAsia" w:ascii="宋体" w:hAnsi="宋体" w:eastAsia="宋体" w:cs="宋体"/>
                <w:sz w:val="24"/>
                <w:szCs w:val="24"/>
                <w:highlight w:val="none"/>
              </w:rPr>
              <w:t xml:space="preserve">分00秒 </w:t>
            </w:r>
          </w:p>
          <w:p w14:paraId="43091C66">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开标地点</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eastAsia="zh-CN"/>
              </w:rPr>
              <w:t>陕西省西安市经济技术开发区未央路171-1号银池道拉斯财富中心21楼03室</w:t>
            </w:r>
          </w:p>
        </w:tc>
      </w:tr>
      <w:tr w14:paraId="5ED38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1AA7AA7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7.1</w:t>
            </w:r>
          </w:p>
        </w:tc>
        <w:tc>
          <w:tcPr>
            <w:tcW w:w="1092" w:type="pct"/>
            <w:vAlign w:val="center"/>
          </w:tcPr>
          <w:p w14:paraId="3BCE4F2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是否授权评标委员会确定中标人</w:t>
            </w:r>
          </w:p>
        </w:tc>
        <w:tc>
          <w:tcPr>
            <w:tcW w:w="3361" w:type="pct"/>
            <w:vAlign w:val="center"/>
          </w:tcPr>
          <w:p w14:paraId="4BBB75C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否,</w:t>
            </w:r>
            <w:bookmarkStart w:id="13" w:name="OLE_LINK6"/>
            <w:r>
              <w:rPr>
                <w:rFonts w:hint="eastAsia" w:ascii="宋体" w:hAnsi="宋体" w:eastAsia="宋体" w:cs="宋体"/>
                <w:sz w:val="24"/>
                <w:szCs w:val="24"/>
                <w:highlight w:val="none"/>
              </w:rPr>
              <w:t>推荐3名中标候选人</w:t>
            </w:r>
            <w:bookmarkEnd w:id="13"/>
          </w:p>
        </w:tc>
      </w:tr>
      <w:tr w14:paraId="3B889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0AFED42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10.1计算机辅助评标</w:t>
            </w:r>
          </w:p>
        </w:tc>
      </w:tr>
      <w:tr w14:paraId="206F1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38" w:type="pct"/>
            <w:gridSpan w:val="2"/>
            <w:vAlign w:val="center"/>
          </w:tcPr>
          <w:p w14:paraId="00DF983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是否实行计算机辅助评标</w:t>
            </w:r>
          </w:p>
        </w:tc>
        <w:tc>
          <w:tcPr>
            <w:tcW w:w="3361" w:type="pct"/>
            <w:vAlign w:val="center"/>
          </w:tcPr>
          <w:p w14:paraId="5113109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否</w:t>
            </w:r>
          </w:p>
        </w:tc>
      </w:tr>
      <w:tr w14:paraId="6E6A3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4F8D8FB7">
            <w:pPr>
              <w:spacing w:line="360" w:lineRule="auto"/>
              <w:ind w:left="110" w:leftChars="52" w:hanging="1"/>
              <w:rPr>
                <w:rFonts w:hint="eastAsia" w:ascii="宋体" w:hAnsi="宋体" w:eastAsia="宋体" w:cs="宋体"/>
                <w:sz w:val="24"/>
                <w:szCs w:val="24"/>
                <w:highlight w:val="none"/>
              </w:rPr>
            </w:pPr>
            <w:r>
              <w:rPr>
                <w:rFonts w:hint="eastAsia" w:ascii="宋体" w:hAnsi="宋体" w:eastAsia="宋体" w:cs="宋体"/>
                <w:sz w:val="24"/>
                <w:szCs w:val="24"/>
                <w:highlight w:val="none"/>
              </w:rPr>
              <w:t>10.2 知识产权</w:t>
            </w:r>
          </w:p>
        </w:tc>
      </w:tr>
      <w:tr w14:paraId="3F16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40B36B5A">
            <w:pPr>
              <w:spacing w:line="360" w:lineRule="auto"/>
              <w:ind w:left="110" w:leftChars="52" w:hanging="1"/>
              <w:rPr>
                <w:rFonts w:hint="eastAsia" w:ascii="宋体" w:hAnsi="宋体" w:eastAsia="宋体" w:cs="宋体"/>
                <w:sz w:val="24"/>
                <w:szCs w:val="24"/>
                <w:highlight w:val="none"/>
              </w:rPr>
            </w:pPr>
            <w:r>
              <w:rPr>
                <w:rFonts w:hint="eastAsia" w:ascii="宋体" w:hAnsi="宋体" w:eastAsia="宋体" w:cs="宋体"/>
                <w:sz w:val="24"/>
                <w:szCs w:val="24"/>
                <w:highlight w:val="none"/>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14:paraId="5756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5218EC2E">
            <w:pPr>
              <w:spacing w:line="360" w:lineRule="auto"/>
              <w:ind w:left="110" w:leftChars="52" w:hanging="1"/>
              <w:rPr>
                <w:rFonts w:hint="eastAsia" w:ascii="宋体" w:hAnsi="宋体" w:eastAsia="宋体" w:cs="宋体"/>
                <w:sz w:val="24"/>
                <w:szCs w:val="24"/>
                <w:highlight w:val="none"/>
              </w:rPr>
            </w:pPr>
            <w:r>
              <w:rPr>
                <w:rFonts w:hint="eastAsia" w:ascii="宋体" w:hAnsi="宋体" w:eastAsia="宋体" w:cs="宋体"/>
                <w:sz w:val="24"/>
                <w:szCs w:val="24"/>
                <w:highlight w:val="none"/>
              </w:rPr>
              <w:t>10.3 重新招标的其他情形</w:t>
            </w:r>
          </w:p>
        </w:tc>
      </w:tr>
      <w:tr w14:paraId="7B1A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1889DEBB">
            <w:pPr>
              <w:spacing w:line="360" w:lineRule="auto"/>
              <w:ind w:left="110" w:leftChars="52" w:hanging="1"/>
              <w:rPr>
                <w:rFonts w:hint="eastAsia" w:ascii="宋体" w:hAnsi="宋体" w:eastAsia="宋体" w:cs="宋体"/>
                <w:sz w:val="24"/>
                <w:szCs w:val="24"/>
                <w:highlight w:val="none"/>
              </w:rPr>
            </w:pPr>
            <w:r>
              <w:rPr>
                <w:rFonts w:hint="eastAsia" w:ascii="宋体" w:hAnsi="宋体" w:eastAsia="宋体" w:cs="宋体"/>
                <w:sz w:val="24"/>
                <w:szCs w:val="24"/>
                <w:highlight w:val="none"/>
              </w:rPr>
              <w:t>除投标人须知正文第8条规定的情形外，除非已经产生中标候选人，在投标有效期内同意延长投标有效期的投标人少于三个的，招标人应当依法重新招标。</w:t>
            </w:r>
          </w:p>
        </w:tc>
      </w:tr>
      <w:tr w14:paraId="6888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294CB0F7">
            <w:pPr>
              <w:spacing w:line="360" w:lineRule="auto"/>
              <w:ind w:left="110" w:leftChars="52" w:hanging="1"/>
              <w:rPr>
                <w:rFonts w:hint="eastAsia" w:ascii="宋体" w:hAnsi="宋体" w:eastAsia="宋体" w:cs="宋体"/>
                <w:sz w:val="24"/>
                <w:szCs w:val="24"/>
                <w:highlight w:val="none"/>
              </w:rPr>
            </w:pPr>
            <w:r>
              <w:rPr>
                <w:rFonts w:hint="eastAsia" w:ascii="宋体" w:hAnsi="宋体" w:eastAsia="宋体" w:cs="宋体"/>
                <w:sz w:val="24"/>
                <w:szCs w:val="24"/>
                <w:highlight w:val="none"/>
              </w:rPr>
              <w:t>10.4  同义词语</w:t>
            </w:r>
          </w:p>
        </w:tc>
      </w:tr>
      <w:tr w14:paraId="0A4A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4E0B711A">
            <w:pPr>
              <w:spacing w:line="360" w:lineRule="auto"/>
              <w:ind w:left="110" w:leftChars="52" w:hanging="1"/>
              <w:rPr>
                <w:rFonts w:hint="eastAsia" w:ascii="宋体" w:hAnsi="宋体" w:eastAsia="宋体" w:cs="宋体"/>
                <w:sz w:val="24"/>
                <w:szCs w:val="24"/>
                <w:highlight w:val="none"/>
              </w:rPr>
            </w:pPr>
            <w:r>
              <w:rPr>
                <w:rFonts w:hint="eastAsia" w:ascii="宋体" w:hAnsi="宋体" w:eastAsia="宋体" w:cs="宋体"/>
                <w:sz w:val="24"/>
                <w:szCs w:val="24"/>
                <w:highlight w:val="none"/>
              </w:rPr>
              <w:t>构成招标文件组成部分的“通用合同条款”、“专用合同条款”、“技术标准和要求”等章节中出现的措辞“发包人”和“承包人”，在招标投标阶段应当分别按“招标人”和“投标人”进行理解。</w:t>
            </w:r>
          </w:p>
        </w:tc>
      </w:tr>
      <w:tr w14:paraId="611F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125CF227">
            <w:pPr>
              <w:spacing w:line="360" w:lineRule="auto"/>
              <w:ind w:left="68" w:leftChars="-2" w:hanging="72" w:hangingChars="30"/>
              <w:rPr>
                <w:rFonts w:hint="eastAsia" w:ascii="宋体" w:hAnsi="宋体" w:eastAsia="宋体" w:cs="宋体"/>
                <w:sz w:val="24"/>
                <w:szCs w:val="24"/>
                <w:highlight w:val="none"/>
              </w:rPr>
            </w:pPr>
            <w:r>
              <w:rPr>
                <w:rFonts w:hint="eastAsia" w:ascii="宋体" w:hAnsi="宋体" w:eastAsia="宋体" w:cs="宋体"/>
                <w:sz w:val="24"/>
                <w:szCs w:val="24"/>
                <w:highlight w:val="none"/>
              </w:rPr>
              <w:t>10.5  解释权</w:t>
            </w:r>
          </w:p>
        </w:tc>
      </w:tr>
      <w:tr w14:paraId="72DF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000" w:type="pct"/>
            <w:gridSpan w:val="3"/>
            <w:vAlign w:val="center"/>
          </w:tcPr>
          <w:p w14:paraId="184CA6E7">
            <w:pPr>
              <w:spacing w:line="360" w:lineRule="auto"/>
              <w:ind w:left="68" w:leftChars="-2" w:hanging="72" w:hangingChars="30"/>
              <w:rPr>
                <w:rFonts w:hint="eastAsia" w:ascii="宋体" w:hAnsi="宋体" w:eastAsia="宋体" w:cs="宋体"/>
                <w:sz w:val="24"/>
                <w:szCs w:val="24"/>
                <w:highlight w:val="none"/>
              </w:rPr>
            </w:pPr>
            <w:r>
              <w:rPr>
                <w:rFonts w:hint="eastAsia" w:ascii="宋体" w:hAnsi="宋体" w:eastAsia="宋体" w:cs="宋体"/>
                <w:sz w:val="24"/>
                <w:szCs w:val="24"/>
                <w:highlight w:val="none"/>
              </w:rPr>
              <w:t>本招标文件由招标人和招标代理机构负责解释。</w:t>
            </w:r>
          </w:p>
        </w:tc>
      </w:tr>
      <w:tr w14:paraId="0AED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38E309E9">
            <w:pPr>
              <w:spacing w:line="360" w:lineRule="auto"/>
              <w:ind w:left="68" w:leftChars="-2" w:hanging="72" w:hangingChars="30"/>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其他</w:t>
            </w:r>
          </w:p>
        </w:tc>
      </w:tr>
      <w:tr w14:paraId="6940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0E5BBE88">
            <w:pPr>
              <w:spacing w:line="360" w:lineRule="auto"/>
              <w:ind w:left="68" w:leftChars="-2" w:hanging="72" w:hangingChars="3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项目</w:t>
            </w:r>
            <w:r>
              <w:rPr>
                <w:rFonts w:hint="eastAsia" w:ascii="宋体" w:hAnsi="宋体" w:eastAsia="宋体" w:cs="宋体"/>
                <w:b/>
                <w:bCs/>
                <w:sz w:val="24"/>
                <w:szCs w:val="24"/>
                <w:highlight w:val="none"/>
              </w:rPr>
              <w:t>所属行业：农、林、牧、渔业</w:t>
            </w:r>
          </w:p>
        </w:tc>
      </w:tr>
      <w:tr w14:paraId="15E86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7F91E4CD">
            <w:pPr>
              <w:spacing w:line="360" w:lineRule="auto"/>
              <w:ind w:left="68" w:leftChars="-2" w:hanging="72" w:hangingChars="30"/>
              <w:rPr>
                <w:rFonts w:hint="eastAsia" w:ascii="宋体" w:hAnsi="宋体" w:eastAsia="宋体" w:cs="宋体"/>
                <w:sz w:val="24"/>
                <w:szCs w:val="24"/>
                <w:highlight w:val="none"/>
              </w:rPr>
            </w:pPr>
            <w:r>
              <w:rPr>
                <w:rFonts w:hint="eastAsia" w:ascii="宋体" w:hAnsi="宋体" w:eastAsia="宋体" w:cs="宋体"/>
                <w:b/>
                <w:bCs/>
                <w:sz w:val="24"/>
                <w:szCs w:val="24"/>
                <w:highlight w:val="none"/>
              </w:rPr>
              <w:t>项目性质：本项目专门面向小微企业采购。</w:t>
            </w:r>
          </w:p>
        </w:tc>
      </w:tr>
      <w:tr w14:paraId="02BD2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62C3CBE6">
            <w:pPr>
              <w:spacing w:line="360" w:lineRule="auto"/>
              <w:ind w:left="68" w:leftChars="-2" w:hanging="72" w:hangingChars="3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中小企业政策性扣减：对符合《政府采购促进中小企业发展管理办法》(财库(2020)46号)规定的小微企业(监狱企业视同小型、微型企业)的报价给予10%(10%-20%)的扣除,用扣除后的价格参加评审。本项目专门面向</w:t>
            </w:r>
            <w:r>
              <w:rPr>
                <w:rFonts w:hint="eastAsia" w:ascii="宋体" w:hAnsi="宋体" w:cs="宋体"/>
                <w:sz w:val="24"/>
                <w:szCs w:val="24"/>
                <w:highlight w:val="none"/>
                <w:lang w:val="en-US" w:eastAsia="zh-CN"/>
              </w:rPr>
              <w:t>小微</w:t>
            </w:r>
            <w:r>
              <w:rPr>
                <w:rFonts w:hint="eastAsia" w:ascii="宋体" w:hAnsi="宋体" w:eastAsia="宋体" w:cs="宋体"/>
                <w:sz w:val="24"/>
                <w:szCs w:val="24"/>
                <w:highlight w:val="none"/>
              </w:rPr>
              <w:t>企业采购，不在进行价格扣减。</w:t>
            </w:r>
          </w:p>
        </w:tc>
      </w:tr>
      <w:tr w14:paraId="29EA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5ADCD531">
            <w:pPr>
              <w:spacing w:line="50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备注：供应商注册登记提醒：</w:t>
            </w:r>
          </w:p>
          <w:p w14:paraId="4E79BB43">
            <w:pPr>
              <w:spacing w:line="500" w:lineRule="exact"/>
              <w:ind w:firstLine="482" w:firstLineChars="200"/>
              <w:jc w:val="both"/>
              <w:rPr>
                <w:rFonts w:hint="eastAsia" w:ascii="宋体" w:hAnsi="宋体" w:eastAsia="宋体" w:cs="宋体"/>
                <w:sz w:val="24"/>
                <w:szCs w:val="24"/>
                <w:highlight w:val="none"/>
              </w:rPr>
            </w:pPr>
            <w:r>
              <w:rPr>
                <w:rFonts w:hint="eastAsia" w:ascii="宋体" w:hAnsi="宋体" w:eastAsia="宋体" w:cs="宋体"/>
                <w:b/>
                <w:bCs/>
                <w:sz w:val="24"/>
                <w:szCs w:val="24"/>
                <w:highlight w:val="none"/>
              </w:rPr>
              <w:t>根据陕西省财政厅关于政府采购供应商注册登记有关事项的通知，如所投本项目的供应商未在陕西省政府采购网（</w:t>
            </w: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"http://www.ccgp-shaanxi.gov.cn/information/informationDetail.do?informationguid=8a85be3567ed23460167ed36804d0009"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http://www.ccgp-shaanxi.gov.cn/information/informationDetail.do?informationguid=8a85be3567ed23460167ed36804d0009</w:t>
            </w:r>
            <w:r>
              <w:rPr>
                <w:rFonts w:hint="eastAsia" w:ascii="宋体" w:hAnsi="宋体" w:eastAsia="宋体" w:cs="宋体"/>
                <w:b/>
                <w:bCs/>
                <w:sz w:val="24"/>
                <w:szCs w:val="24"/>
                <w:highlight w:val="none"/>
              </w:rPr>
              <w:fldChar w:fldCharType="end"/>
            </w:r>
            <w:r>
              <w:rPr>
                <w:rFonts w:hint="eastAsia" w:ascii="宋体" w:hAnsi="宋体" w:eastAsia="宋体" w:cs="宋体"/>
                <w:b/>
                <w:bCs/>
                <w:sz w:val="24"/>
                <w:szCs w:val="24"/>
                <w:highlight w:val="none"/>
              </w:rPr>
              <w:t>）注册登记加入陕西省政府采购供应商库的，应按要求及时办理注册登记，并接受财政部门监督管理。</w:t>
            </w:r>
          </w:p>
        </w:tc>
      </w:tr>
      <w:tr w14:paraId="5FF8F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419007DD">
            <w:pPr>
              <w:spacing w:line="360" w:lineRule="auto"/>
              <w:ind w:firstLine="480" w:firstLineChars="200"/>
              <w:rPr>
                <w:rFonts w:hint="eastAsia" w:ascii="宋体" w:hAnsi="宋体" w:eastAsia="宋体" w:cs="宋体"/>
                <w:sz w:val="24"/>
                <w:szCs w:val="24"/>
                <w:highlight w:val="none"/>
              </w:rPr>
            </w:pPr>
            <w:bookmarkStart w:id="14" w:name="_Toc403077639"/>
            <w:bookmarkStart w:id="15" w:name="_Toc363473972"/>
            <w:bookmarkStart w:id="16" w:name="_Toc363474017"/>
            <w:bookmarkStart w:id="17" w:name="_Toc29568"/>
            <w:bookmarkStart w:id="18" w:name="_Toc8072"/>
            <w:r>
              <w:rPr>
                <w:rFonts w:hint="eastAsia" w:ascii="宋体" w:hAnsi="宋体" w:eastAsia="宋体" w:cs="宋体"/>
                <w:sz w:val="24"/>
                <w:szCs w:val="24"/>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号）等有关规定，按照市场主导、财政引导、银企自愿、风险自担的原则，中标（成交）供应商可根据自身资金需求，登录陕西省政府采购信用融资平台(http://www.ccgp-shaanxi.gov.cn/zcdservice/zcd/shan xi/）在线申请，依法参加政府采购信用融资活动。</w:t>
            </w:r>
          </w:p>
          <w:p w14:paraId="27E5C2A6">
            <w:pPr>
              <w:spacing w:line="360" w:lineRule="auto"/>
              <w:ind w:firstLine="480" w:firstLineChars="200"/>
              <w:rPr>
                <w:rFonts w:hint="eastAsia" w:ascii="宋体" w:hAnsi="宋体" w:eastAsia="宋体" w:cs="宋体"/>
                <w:b/>
                <w:bCs/>
                <w:sz w:val="24"/>
                <w:szCs w:val="24"/>
                <w:highlight w:val="none"/>
              </w:rPr>
            </w:pPr>
            <w:r>
              <w:rPr>
                <w:rFonts w:hint="eastAsia" w:ascii="宋体" w:hAnsi="宋体" w:eastAsia="宋体" w:cs="宋体"/>
                <w:sz w:val="24"/>
                <w:szCs w:val="24"/>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14:paraId="2CBA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13061C27">
            <w:pPr>
              <w:spacing w:line="360" w:lineRule="auto"/>
              <w:ind w:left="68" w:leftChars="-2" w:hanging="72" w:hangingChars="30"/>
              <w:jc w:val="left"/>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招标代理机构银行账户信息：</w:t>
            </w:r>
          </w:p>
          <w:p w14:paraId="00F1B805">
            <w:pPr>
              <w:spacing w:line="360" w:lineRule="auto"/>
              <w:ind w:firstLine="482" w:firstLineChars="200"/>
              <w:rPr>
                <w:rFonts w:hint="eastAsia" w:ascii="宋体" w:hAnsi="宋体" w:eastAsia="宋体" w:cs="宋体"/>
                <w:b/>
                <w:bCs/>
                <w:sz w:val="24"/>
                <w:szCs w:val="32"/>
                <w:highlight w:val="none"/>
                <w:lang w:eastAsia="zh-CN"/>
              </w:rPr>
            </w:pPr>
            <w:r>
              <w:rPr>
                <w:rFonts w:hint="eastAsia" w:ascii="宋体" w:hAnsi="宋体" w:eastAsia="宋体" w:cs="宋体"/>
                <w:b/>
                <w:bCs/>
                <w:sz w:val="24"/>
                <w:szCs w:val="32"/>
                <w:highlight w:val="none"/>
                <w:lang w:eastAsia="zh-CN"/>
              </w:rPr>
              <w:t>①采购代理机构开户名称：</w:t>
            </w:r>
            <w:r>
              <w:rPr>
                <w:rFonts w:hint="eastAsia" w:ascii="宋体" w:hAnsi="宋体" w:cs="宋体"/>
                <w:b/>
                <w:bCs/>
                <w:sz w:val="24"/>
                <w:szCs w:val="32"/>
                <w:highlight w:val="none"/>
                <w:lang w:eastAsia="zh-CN"/>
              </w:rPr>
              <w:t>陕西至诚项目管理集团有限公司</w:t>
            </w:r>
          </w:p>
          <w:p w14:paraId="655B1178">
            <w:pPr>
              <w:spacing w:line="360" w:lineRule="auto"/>
              <w:ind w:firstLine="482" w:firstLineChars="200"/>
              <w:rPr>
                <w:rFonts w:hint="eastAsia" w:ascii="宋体" w:hAnsi="宋体" w:eastAsia="宋体" w:cs="宋体"/>
                <w:b/>
                <w:bCs/>
                <w:sz w:val="24"/>
                <w:szCs w:val="32"/>
                <w:highlight w:val="none"/>
                <w:lang w:eastAsia="zh-CN"/>
              </w:rPr>
            </w:pPr>
            <w:r>
              <w:rPr>
                <w:rFonts w:hint="eastAsia" w:ascii="宋体" w:hAnsi="宋体" w:eastAsia="宋体" w:cs="宋体"/>
                <w:b/>
                <w:bCs/>
                <w:sz w:val="24"/>
                <w:szCs w:val="32"/>
                <w:highlight w:val="none"/>
                <w:lang w:eastAsia="zh-CN"/>
              </w:rPr>
              <w:t>②开户行名称：</w:t>
            </w:r>
            <w:r>
              <w:rPr>
                <w:rFonts w:hint="eastAsia" w:ascii="宋体" w:hAnsi="宋体" w:cs="宋体"/>
                <w:b/>
                <w:bCs/>
                <w:sz w:val="24"/>
                <w:szCs w:val="32"/>
                <w:highlight w:val="none"/>
                <w:lang w:eastAsia="zh-CN"/>
              </w:rPr>
              <w:t>中国建设银行股份有限公司西安高新技术产业开发区支行</w:t>
            </w:r>
          </w:p>
          <w:p w14:paraId="679DED70">
            <w:pPr>
              <w:spacing w:line="360" w:lineRule="auto"/>
              <w:ind w:firstLine="482" w:firstLineChars="200"/>
              <w:rPr>
                <w:rFonts w:hint="default" w:ascii="宋体" w:hAnsi="宋体" w:cs="宋体"/>
                <w:sz w:val="24"/>
                <w:szCs w:val="24"/>
                <w:highlight w:val="none"/>
                <w:lang w:val="en-US" w:eastAsia="zh-CN"/>
              </w:rPr>
            </w:pPr>
            <w:r>
              <w:rPr>
                <w:rFonts w:hint="eastAsia" w:ascii="宋体" w:hAnsi="宋体" w:eastAsia="宋体" w:cs="宋体"/>
                <w:b/>
                <w:bCs/>
                <w:sz w:val="24"/>
                <w:szCs w:val="32"/>
                <w:highlight w:val="none"/>
                <w:lang w:val="en-US" w:eastAsia="zh-CN"/>
              </w:rPr>
              <w:t>③账号：</w:t>
            </w:r>
            <w:r>
              <w:rPr>
                <w:rFonts w:hint="eastAsia" w:ascii="宋体" w:hAnsi="宋体" w:cs="宋体"/>
                <w:b/>
                <w:bCs/>
                <w:sz w:val="24"/>
                <w:szCs w:val="32"/>
                <w:highlight w:val="none"/>
                <w:lang w:val="en-US" w:eastAsia="zh-CN"/>
              </w:rPr>
              <w:t>61050192090000002152</w:t>
            </w:r>
          </w:p>
        </w:tc>
      </w:tr>
    </w:tbl>
    <w:p w14:paraId="1F603CC8">
      <w:pPr>
        <w:rPr>
          <w:rFonts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br w:type="page"/>
      </w:r>
    </w:p>
    <w:bookmarkEnd w:id="14"/>
    <w:bookmarkEnd w:id="15"/>
    <w:bookmarkEnd w:id="16"/>
    <w:p w14:paraId="35AC5D1D">
      <w:pPr>
        <w:jc w:val="center"/>
        <w:rPr>
          <w:rFonts w:asciiTheme="minorEastAsia" w:hAnsiTheme="minorEastAsia" w:eastAsiaTheme="minorEastAsia" w:cstheme="minorEastAsia"/>
          <w:highlight w:val="none"/>
        </w:rPr>
      </w:pPr>
      <w:r>
        <w:rPr>
          <w:rFonts w:hint="eastAsia"/>
          <w:b/>
          <w:bCs/>
          <w:sz w:val="28"/>
          <w:szCs w:val="28"/>
          <w:highlight w:val="none"/>
        </w:rPr>
        <w:t>投标人须知</w:t>
      </w:r>
      <w:bookmarkEnd w:id="17"/>
      <w:bookmarkEnd w:id="18"/>
    </w:p>
    <w:p w14:paraId="498A24B4">
      <w:pPr>
        <w:spacing w:beforeLines="50" w:afterLines="50" w:line="360" w:lineRule="auto"/>
        <w:rPr>
          <w:rFonts w:asciiTheme="minorEastAsia" w:hAnsiTheme="minorEastAsia" w:eastAsiaTheme="minorEastAsia" w:cstheme="minorEastAsia"/>
          <w:b/>
          <w:bCs/>
          <w:sz w:val="24"/>
          <w:szCs w:val="24"/>
          <w:highlight w:val="none"/>
        </w:rPr>
      </w:pPr>
      <w:bookmarkStart w:id="19" w:name="_Toc420591643"/>
      <w:bookmarkStart w:id="20" w:name="_Toc425240464"/>
      <w:bookmarkStart w:id="21" w:name="_Toc421778365"/>
      <w:r>
        <w:rPr>
          <w:rFonts w:hint="eastAsia" w:asciiTheme="minorEastAsia" w:hAnsiTheme="minorEastAsia" w:eastAsiaTheme="minorEastAsia" w:cstheme="minorEastAsia"/>
          <w:b/>
          <w:bCs/>
          <w:sz w:val="24"/>
          <w:szCs w:val="24"/>
          <w:highlight w:val="none"/>
        </w:rPr>
        <w:t>1</w:t>
      </w:r>
      <w:bookmarkEnd w:id="19"/>
      <w:bookmarkEnd w:id="20"/>
      <w:bookmarkEnd w:id="21"/>
      <w:r>
        <w:rPr>
          <w:rFonts w:hint="eastAsia" w:asciiTheme="minorEastAsia" w:hAnsiTheme="minorEastAsia" w:eastAsiaTheme="minorEastAsia" w:cstheme="minorEastAsia"/>
          <w:b/>
          <w:bCs/>
          <w:sz w:val="24"/>
          <w:szCs w:val="24"/>
          <w:highlight w:val="none"/>
        </w:rPr>
        <w:t>．总则</w:t>
      </w:r>
    </w:p>
    <w:p w14:paraId="28D20A06">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1.1 项目概况</w:t>
      </w:r>
    </w:p>
    <w:p w14:paraId="0854521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 根据《中华人民共和国政府采购法》、《中华人民共和国招标投标法》等有关法律、法规和规章的规定，本招标项目己具备招标条件，现对本招标项目施工进行招标。</w:t>
      </w:r>
    </w:p>
    <w:p w14:paraId="6326B7E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 本招标项目招标人：见投标人须知前附表。</w:t>
      </w:r>
    </w:p>
    <w:p w14:paraId="6CD0849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 本招标项目招标代理机构：见投标人须知前附表。</w:t>
      </w:r>
    </w:p>
    <w:p w14:paraId="1D1AD17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1.1.4本招标项目名称：见投标人须知前附表。</w:t>
      </w:r>
    </w:p>
    <w:p w14:paraId="24DA16D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1.1.5本招标项目建设地点：见投标人须知前附表。</w:t>
      </w:r>
    </w:p>
    <w:p w14:paraId="4040FD91">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1.2 资金来源和落实情况</w:t>
      </w:r>
    </w:p>
    <w:p w14:paraId="3463A39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1.2.1 本招标项目的资金来源：见投标人须知前附表。</w:t>
      </w:r>
    </w:p>
    <w:p w14:paraId="0256BF47">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1.2.2 本招标项目的资金落实情况：见投标人须知前附表。</w:t>
      </w:r>
    </w:p>
    <w:p w14:paraId="23867297">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1.3 招标范围、计划工期和质量要求</w:t>
      </w:r>
    </w:p>
    <w:p w14:paraId="61541F8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 本次招标范围：见投标人须知前附表。</w:t>
      </w:r>
    </w:p>
    <w:p w14:paraId="122B2BB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 本招标项目的计划工期：</w:t>
      </w:r>
      <w:bookmarkStart w:id="22" w:name="OLE_LINK8"/>
      <w:r>
        <w:rPr>
          <w:rFonts w:hint="eastAsia" w:asciiTheme="minorEastAsia" w:hAnsiTheme="minorEastAsia" w:eastAsiaTheme="minorEastAsia" w:cstheme="minorEastAsia"/>
          <w:sz w:val="24"/>
          <w:szCs w:val="24"/>
          <w:highlight w:val="none"/>
        </w:rPr>
        <w:t>见投标人须知前附表。</w:t>
      </w:r>
      <w:bookmarkEnd w:id="22"/>
    </w:p>
    <w:p w14:paraId="0F3793D5">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1.3.4 本招标项目的质量要求：见投标人须知前附表。</w:t>
      </w:r>
    </w:p>
    <w:p w14:paraId="28D95B35">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1.4 投标人资格要求及招标文件发售时间</w:t>
      </w:r>
    </w:p>
    <w:p w14:paraId="0D4792A6">
      <w:pPr>
        <w:pStyle w:val="11"/>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1.4.1资格审查条件：见投标人须知前附表。</w:t>
      </w:r>
    </w:p>
    <w:p w14:paraId="53996749">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1.4.2招标文件发售时间：见投标人须知前附表。</w:t>
      </w:r>
    </w:p>
    <w:p w14:paraId="7D8626E0">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1.5 费用承担</w:t>
      </w:r>
    </w:p>
    <w:p w14:paraId="07D90DB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投标人准备和参加投标活动发生的费用自理。</w:t>
      </w:r>
    </w:p>
    <w:p w14:paraId="78DAA2FF">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1.6 保密</w:t>
      </w:r>
    </w:p>
    <w:p w14:paraId="08E395B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参与招标投标活动的各方应对招标文件和投标文件中的商业和技术等秘密保密，违者应对由此造成的后果承担法律责任。</w:t>
      </w:r>
    </w:p>
    <w:p w14:paraId="692EC760">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1.7 语言文字</w:t>
      </w:r>
    </w:p>
    <w:p w14:paraId="39247D99">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除专用术语外，与招标投标有关的语言均使用中文。必要时专用术语应附有中文注释。</w:t>
      </w:r>
    </w:p>
    <w:p w14:paraId="7D4D3734">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1.8 计量单位</w:t>
      </w:r>
    </w:p>
    <w:p w14:paraId="201FB56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所有计量均采用中华人民共和国法定计量单位。</w:t>
      </w:r>
    </w:p>
    <w:p w14:paraId="5A071BB2">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1.9 踏勘现场</w:t>
      </w:r>
    </w:p>
    <w:p w14:paraId="5120458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1.9.1见投标人须知前附表。</w:t>
      </w:r>
    </w:p>
    <w:p w14:paraId="527B202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1.9.2 投标人踏勘现场发生的费用自理，并自行负责在踏勘现场中所发生的人员伤亡和财产损失。</w:t>
      </w:r>
    </w:p>
    <w:p w14:paraId="393C81F5">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1.9.3 投标人应对现场及周围环境进行踏勘，充分了解现场环境、总体布置情况、地形地貌、现场道路、储存空间、运输、装卸等限制条件及其它任何足以影响投标报价的情况，以便各投标人获取须自主考虑的有关投标文件编制和合同签署所需的相关资料和数据，任何因忽视或误解工地情况而导致的索赔或工期延长申请将不获批准。</w:t>
      </w:r>
    </w:p>
    <w:p w14:paraId="362058E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1.9.4 招标人在踏勘现场中介绍的场地和相关的周边环境情况，供投标人在编制投标文件时参考，招标人不对投标人据此作出的判断和决策负责。</w:t>
      </w:r>
    </w:p>
    <w:p w14:paraId="6FDF5812">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1.10 投标答疑会</w:t>
      </w:r>
    </w:p>
    <w:p w14:paraId="53015318">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不召开；若有疑问，均应在购买招标文件后7个工作日内以书面形式向采购代理机构提出。</w:t>
      </w:r>
    </w:p>
    <w:p w14:paraId="4F8440E0">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1.11 分包</w:t>
      </w:r>
    </w:p>
    <w:p w14:paraId="61DCBF1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不允许。</w:t>
      </w:r>
    </w:p>
    <w:p w14:paraId="4A7C543D">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1.12 偏离</w:t>
      </w:r>
    </w:p>
    <w:p w14:paraId="28B356A2">
      <w:pPr>
        <w:spacing w:beforeLines="50" w:afterLines="50" w:line="360" w:lineRule="auto"/>
        <w:ind w:firstLine="480" w:firstLineChars="200"/>
        <w:rPr>
          <w:rFonts w:asciiTheme="minorEastAsia" w:hAnsiTheme="minorEastAsia" w:eastAsiaTheme="minorEastAsia" w:cstheme="minorEastAsia"/>
          <w:sz w:val="24"/>
          <w:szCs w:val="24"/>
          <w:highlight w:val="none"/>
        </w:rPr>
      </w:pPr>
      <w:bookmarkStart w:id="23" w:name="_Toc420591644"/>
      <w:bookmarkStart w:id="24" w:name="_Toc425240465"/>
      <w:bookmarkStart w:id="25" w:name="_Toc421778366"/>
      <w:r>
        <w:rPr>
          <w:rFonts w:hint="eastAsia" w:asciiTheme="minorEastAsia" w:hAnsiTheme="minorEastAsia" w:eastAsiaTheme="minorEastAsia" w:cstheme="minorEastAsia"/>
          <w:sz w:val="24"/>
          <w:szCs w:val="24"/>
          <w:highlight w:val="none"/>
        </w:rPr>
        <w:t>不满足评标办法中初步评审标准的，视为发生重大偏离，其投标被否决。其余偏离视为细微偏离，评标委员会将通过澄清方式对细微偏离进行澄清或修改。</w:t>
      </w:r>
    </w:p>
    <w:p w14:paraId="5306B58D">
      <w:pPr>
        <w:spacing w:beforeLines="50" w:afterLines="50" w:line="360" w:lineRule="auto"/>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2．招标文件</w:t>
      </w:r>
      <w:bookmarkEnd w:id="23"/>
      <w:bookmarkEnd w:id="24"/>
      <w:bookmarkEnd w:id="25"/>
    </w:p>
    <w:p w14:paraId="25D72A43">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2.1 招标文件的组成</w:t>
      </w:r>
    </w:p>
    <w:p w14:paraId="1A9D23A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本招标文件包括：</w:t>
      </w:r>
    </w:p>
    <w:p w14:paraId="246E61C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(1）招标公告；</w:t>
      </w:r>
    </w:p>
    <w:p w14:paraId="010B7AA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(2）投标人须知前附表及投标人须知；</w:t>
      </w:r>
    </w:p>
    <w:p w14:paraId="01636AF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r>
        <w:rPr>
          <w:rFonts w:hint="eastAsia" w:asciiTheme="minorEastAsia" w:hAnsiTheme="minorEastAsia" w:eastAsiaTheme="minorEastAsia" w:cstheme="minorEastAsia"/>
          <w:sz w:val="24"/>
          <w:szCs w:val="24"/>
          <w:highlight w:val="none"/>
          <w:lang w:val="en-US" w:eastAsia="zh-CN"/>
        </w:rPr>
        <w:t>评审</w:t>
      </w:r>
      <w:r>
        <w:rPr>
          <w:rFonts w:hint="eastAsia" w:asciiTheme="minorEastAsia" w:hAnsiTheme="minorEastAsia" w:eastAsiaTheme="minorEastAsia" w:cstheme="minorEastAsia"/>
          <w:sz w:val="24"/>
          <w:szCs w:val="24"/>
          <w:highlight w:val="none"/>
        </w:rPr>
        <w:t>办法；</w:t>
      </w:r>
    </w:p>
    <w:p w14:paraId="7DF7EFA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(4）合同条款及格式；</w:t>
      </w:r>
    </w:p>
    <w:p w14:paraId="47B69CC5">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(5）项目概况及技术要求;</w:t>
      </w:r>
    </w:p>
    <w:p w14:paraId="759D826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(6）投标文件格式。</w:t>
      </w:r>
    </w:p>
    <w:p w14:paraId="7A2102E7">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根据本章第1.10 款、第2.2 款和第2.3 款对招标文件所作的澄清、修改，构成招标文件的组成部分。</w:t>
      </w:r>
    </w:p>
    <w:p w14:paraId="58CC56BF">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2.2 招标文件的澄清及修改</w:t>
      </w:r>
    </w:p>
    <w:p w14:paraId="320AE99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2.2.1在投标文件递交截止时间三个工作日前，采购代理机构可以视采购具体情况，延长投标截止时间和开标时间并在财政部门指定的媒体上发布变更公告，同时将变更时间书面通知所有招标文件收受人。</w:t>
      </w:r>
    </w:p>
    <w:p w14:paraId="33F6BE8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2.2.2采购代理机构如果对已发出的招标文件进行修改，将在招标文件要求提交投标文件截止时间十五日前，在发布招标公告的财政部门指定媒体上发布更正公告，并以书面形式通知所有招标文件收受人。该澄清或者修改的内容为招标文件的组成部分。 </w:t>
      </w:r>
    </w:p>
    <w:p w14:paraId="2DDAD9D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2.2.3已经购买招标文件的投标人对招标文件有疑问的，均应在购买招标文件后7个工作日内以书面形式向采购代理机构提出。采购代理机构视情况必要时将书面答复传送给所有招标文件收受人。</w:t>
      </w:r>
    </w:p>
    <w:p w14:paraId="4F4AD2E8">
      <w:pPr>
        <w:spacing w:line="360" w:lineRule="auto"/>
        <w:ind w:firstLine="480"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2.2.4投标人在收到上述通知后，应立即向采购代理机构回函确认。</w:t>
      </w:r>
    </w:p>
    <w:p w14:paraId="69EE9B3D">
      <w:pPr>
        <w:spacing w:beforeLines="50" w:afterLines="50" w:line="360" w:lineRule="auto"/>
        <w:rPr>
          <w:rFonts w:asciiTheme="minorEastAsia" w:hAnsiTheme="minorEastAsia" w:eastAsiaTheme="minorEastAsia" w:cstheme="minorEastAsia"/>
          <w:b/>
          <w:bCs/>
          <w:sz w:val="24"/>
          <w:szCs w:val="24"/>
          <w:highlight w:val="none"/>
        </w:rPr>
      </w:pPr>
      <w:bookmarkStart w:id="26" w:name="_Toc421778367"/>
      <w:bookmarkStart w:id="27" w:name="_Toc425240466"/>
      <w:bookmarkStart w:id="28" w:name="_Toc420591645"/>
      <w:r>
        <w:rPr>
          <w:rFonts w:hint="eastAsia" w:asciiTheme="minorEastAsia" w:hAnsiTheme="minorEastAsia" w:eastAsiaTheme="minorEastAsia" w:cstheme="minorEastAsia"/>
          <w:b/>
          <w:bCs/>
          <w:sz w:val="24"/>
          <w:szCs w:val="24"/>
          <w:highlight w:val="none"/>
        </w:rPr>
        <w:t>3．投标文件</w:t>
      </w:r>
      <w:bookmarkEnd w:id="26"/>
      <w:bookmarkEnd w:id="27"/>
      <w:bookmarkEnd w:id="28"/>
    </w:p>
    <w:p w14:paraId="71A8AE7C">
      <w:pPr>
        <w:spacing w:line="360" w:lineRule="auto"/>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3.1.投标语言和投标货币</w:t>
      </w:r>
    </w:p>
    <w:p w14:paraId="01D1B2C5">
      <w:pPr>
        <w:spacing w:line="360" w:lineRule="auto"/>
        <w:ind w:firstLine="480"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3.1.1投标人提交的投标文件以及投标人与采购代理机构就有关投标的所有来往函电均应使用中文。</w:t>
      </w:r>
    </w:p>
    <w:p w14:paraId="24F2189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3.1.2投标应以人民币报价。任何包含非人民币报价的投标将按无效投标处理。</w:t>
      </w:r>
    </w:p>
    <w:p w14:paraId="70EE8B08">
      <w:pPr>
        <w:spacing w:line="360" w:lineRule="auto"/>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3.2.投标文件的构成</w:t>
      </w:r>
    </w:p>
    <w:p w14:paraId="6B47811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3.2.1 投标人提交的投标文件应包含下列部分的内容：</w:t>
      </w:r>
    </w:p>
    <w:p w14:paraId="278831A3">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1）按照投标人须知的要求和招标文件规定格式填写的招标函、开标一览表、法定代表人授权委托书。</w:t>
      </w:r>
    </w:p>
    <w:p w14:paraId="4A970FFC">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2）按照招标文件的要求编制的投标方案说明书。</w:t>
      </w:r>
    </w:p>
    <w:p w14:paraId="7A5E5C73">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3）按照招标文件投标人须知前附表的要求提交的资格证明文件；</w:t>
      </w:r>
    </w:p>
    <w:p w14:paraId="5590C079">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4）按照本须知第14条要求提交的投标保证金。</w:t>
      </w:r>
    </w:p>
    <w:p w14:paraId="2BB1F56B">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5）招标文件中要求的其他证明文件。</w:t>
      </w:r>
    </w:p>
    <w:p w14:paraId="244A34E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3.2.2 如果在招标文件中没有允许提供备选方案，则每个投标人只允许提交一个投标方案，否则，其投标将被作无效响应处理。</w:t>
      </w:r>
    </w:p>
    <w:p w14:paraId="7C616A1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3.2.3 本次投标的最小单元为“标段”</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投标人</w:t>
      </w:r>
      <w:r>
        <w:rPr>
          <w:rFonts w:hint="eastAsia" w:asciiTheme="minorEastAsia" w:hAnsiTheme="minorEastAsia" w:eastAsiaTheme="minorEastAsia" w:cstheme="minorEastAsia"/>
          <w:kern w:val="0"/>
          <w:sz w:val="24"/>
          <w:szCs w:val="24"/>
          <w:highlight w:val="none"/>
        </w:rPr>
        <w:t>可根据自身的资质情况和经营范围对本次项目进行投标，不得将其子目再行分解或只对本次项目中的品目进行不完全投标，任何不完全的响应将会被拒绝。</w:t>
      </w:r>
    </w:p>
    <w:p w14:paraId="52CA61A0">
      <w:pPr>
        <w:spacing w:line="360" w:lineRule="auto"/>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 xml:space="preserve">3.3.投标文件格式 </w:t>
      </w:r>
    </w:p>
    <w:p w14:paraId="0569240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3.3.1 投标人应按照招标文件中第六章“投标文件格式及构成”所提供的格式和要求制作投标文件，明确表达投标意愿，详细说明投标方案、承诺及价格。</w:t>
      </w:r>
    </w:p>
    <w:p w14:paraId="22AFF51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3.3.2按招标文件第六章提供的格式和要求编写其投标文件，投标人不得缺少或留空任何招标文件要求填写的表格或提交的资料。</w:t>
      </w:r>
    </w:p>
    <w:p w14:paraId="5463835B">
      <w:pPr>
        <w:spacing w:line="360" w:lineRule="auto"/>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3.4 投标报价</w:t>
      </w:r>
    </w:p>
    <w:p w14:paraId="35AFDFC7">
      <w:pPr>
        <w:spacing w:line="560" w:lineRule="exact"/>
        <w:ind w:firstLine="496" w:firstLineChars="207"/>
        <w:rPr>
          <w:rFonts w:ascii="宋体" w:hAnsi="宋体" w:cs="宋体"/>
          <w:sz w:val="24"/>
          <w:szCs w:val="24"/>
          <w:highlight w:val="none"/>
        </w:rPr>
      </w:pPr>
      <w:r>
        <w:rPr>
          <w:rFonts w:hint="eastAsia" w:ascii="宋体" w:hAnsi="宋体" w:cs="宋体"/>
          <w:sz w:val="24"/>
          <w:szCs w:val="24"/>
          <w:highlight w:val="none"/>
        </w:rPr>
        <w:t>3.4.1以中标固定总价为依据签订合同。</w:t>
      </w:r>
    </w:p>
    <w:p w14:paraId="7120B1BA">
      <w:pPr>
        <w:spacing w:line="360" w:lineRule="auto"/>
        <w:ind w:firstLine="480" w:firstLineChars="200"/>
        <w:rPr>
          <w:rFonts w:ascii="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4</w:t>
      </w:r>
      <w:r>
        <w:rPr>
          <w:rFonts w:ascii="宋体" w:hAnsi="宋体" w:cs="宋体"/>
          <w:sz w:val="24"/>
          <w:szCs w:val="24"/>
          <w:highlight w:val="none"/>
        </w:rPr>
        <w:t>.</w:t>
      </w:r>
      <w:r>
        <w:rPr>
          <w:rFonts w:hint="eastAsia" w:ascii="宋体" w:hAnsi="宋体" w:cs="宋体"/>
          <w:sz w:val="24"/>
          <w:szCs w:val="24"/>
          <w:highlight w:val="none"/>
        </w:rPr>
        <w:t>2本项目投标总价包含：</w:t>
      </w:r>
      <w:r>
        <w:rPr>
          <w:rFonts w:hint="eastAsia" w:ascii="宋体" w:hAnsi="宋体" w:cs="宋体"/>
          <w:color w:val="000000" w:themeColor="text1"/>
          <w:sz w:val="24"/>
          <w:szCs w:val="24"/>
          <w:highlight w:val="none"/>
          <w:lang w:val="en-US" w:eastAsia="zh-CN"/>
          <w14:textFill>
            <w14:solidFill>
              <w14:schemeClr w14:val="tx1"/>
            </w14:solidFill>
          </w14:textFill>
        </w:rPr>
        <w:t>苗木</w:t>
      </w:r>
      <w:r>
        <w:rPr>
          <w:rFonts w:hint="eastAsia" w:ascii="宋体" w:hAnsi="宋体" w:cs="宋体"/>
          <w:color w:val="auto"/>
          <w:sz w:val="24"/>
          <w:szCs w:val="24"/>
          <w:highlight w:val="none"/>
        </w:rPr>
        <w:t>费、</w:t>
      </w:r>
      <w:r>
        <w:rPr>
          <w:rFonts w:hint="eastAsia" w:ascii="宋体" w:hAnsi="宋体" w:cs="宋体"/>
          <w:color w:val="000000" w:themeColor="text1"/>
          <w:sz w:val="24"/>
          <w:szCs w:val="24"/>
          <w:highlight w:val="none"/>
          <w14:textFill>
            <w14:solidFill>
              <w14:schemeClr w14:val="tx1"/>
            </w14:solidFill>
          </w14:textFill>
        </w:rPr>
        <w:t>人</w:t>
      </w:r>
      <w:r>
        <w:rPr>
          <w:rFonts w:hint="eastAsia" w:ascii="宋体" w:hAnsi="宋体" w:cs="宋体"/>
          <w:sz w:val="24"/>
          <w:szCs w:val="24"/>
          <w:highlight w:val="none"/>
        </w:rPr>
        <w:t>工（劳务）费、机械设备费、物料、其他、运输费、应缴税费等，完成项目所需的其他全部费用；</w:t>
      </w:r>
    </w:p>
    <w:p w14:paraId="215D3205">
      <w:pPr>
        <w:spacing w:line="360" w:lineRule="auto"/>
        <w:ind w:firstLine="480" w:firstLineChars="200"/>
        <w:rPr>
          <w:rFonts w:ascii="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4</w:t>
      </w:r>
      <w:r>
        <w:rPr>
          <w:rFonts w:ascii="宋体" w:hAnsi="宋体" w:cs="宋体"/>
          <w:sz w:val="24"/>
          <w:szCs w:val="24"/>
          <w:highlight w:val="none"/>
        </w:rPr>
        <w:t>.</w:t>
      </w:r>
      <w:bookmarkStart w:id="29" w:name="OLE_LINK44"/>
      <w:r>
        <w:rPr>
          <w:rFonts w:hint="eastAsia" w:ascii="宋体" w:hAnsi="宋体" w:cs="宋体"/>
          <w:sz w:val="24"/>
          <w:szCs w:val="24"/>
          <w:highlight w:val="none"/>
        </w:rPr>
        <w:t>3本</w:t>
      </w:r>
      <w:r>
        <w:rPr>
          <w:rFonts w:hint="eastAsia" w:ascii="宋体" w:hAnsi="宋体" w:cs="宋体"/>
          <w:sz w:val="24"/>
          <w:szCs w:val="24"/>
          <w:highlight w:val="none"/>
          <w:lang w:val="en-US" w:eastAsia="zh-CN"/>
        </w:rPr>
        <w:t>项目</w:t>
      </w:r>
      <w:r>
        <w:rPr>
          <w:rFonts w:hint="eastAsia" w:ascii="宋体" w:hAnsi="宋体" w:cs="宋体"/>
          <w:sz w:val="24"/>
          <w:szCs w:val="24"/>
          <w:highlight w:val="none"/>
        </w:rPr>
        <w:t>投标组价时应妥善考虑，正式</w:t>
      </w:r>
      <w:r>
        <w:rPr>
          <w:rFonts w:hint="eastAsia" w:ascii="宋体" w:hAnsi="宋体" w:cs="宋体"/>
          <w:sz w:val="24"/>
          <w:szCs w:val="24"/>
          <w:highlight w:val="none"/>
          <w:lang w:val="en-US" w:eastAsia="zh-CN"/>
        </w:rPr>
        <w:t>服务</w:t>
      </w:r>
      <w:r>
        <w:rPr>
          <w:rFonts w:hint="eastAsia" w:ascii="宋体" w:hAnsi="宋体" w:cs="宋体"/>
          <w:sz w:val="24"/>
          <w:szCs w:val="24"/>
          <w:highlight w:val="none"/>
        </w:rPr>
        <w:t>时固定总价不因国家法律、行政法规和国家政策变化及原材料市场价发生变化等进行调整。</w:t>
      </w:r>
    </w:p>
    <w:bookmarkEnd w:id="29"/>
    <w:p w14:paraId="5F6BF42C">
      <w:pPr>
        <w:spacing w:line="360" w:lineRule="auto"/>
        <w:ind w:firstLine="480" w:firstLineChars="200"/>
        <w:rPr>
          <w:rFonts w:ascii="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4</w:t>
      </w:r>
      <w:r>
        <w:rPr>
          <w:rFonts w:ascii="宋体" w:hAnsi="宋体" w:cs="宋体"/>
          <w:sz w:val="24"/>
          <w:szCs w:val="24"/>
          <w:highlight w:val="none"/>
        </w:rPr>
        <w:t>.</w:t>
      </w:r>
      <w:r>
        <w:rPr>
          <w:rFonts w:hint="eastAsia" w:ascii="宋体" w:hAnsi="宋体" w:cs="宋体"/>
          <w:sz w:val="24"/>
          <w:szCs w:val="24"/>
          <w:highlight w:val="none"/>
        </w:rPr>
        <w:t>4投标人应先到工地踏勘以充分了解工地位置、情况、道路、储存空间、装卸限制及任何其他足以影响投标价的情况，任何因投标人忽视或误解工地情况而导致的其提出的任何索赔或工期延长申请将不被批准。凡因投标人对招标文件阅读疏忽或误解，或因对施工现场、施工环境、市场行情等了解不清而造成的后果和风险，均由投标人负责。</w:t>
      </w:r>
    </w:p>
    <w:p w14:paraId="235EB2F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3.4.5编制投标报价的其他约定</w:t>
      </w:r>
    </w:p>
    <w:p w14:paraId="10858727">
      <w:pPr>
        <w:spacing w:line="360" w:lineRule="auto"/>
        <w:ind w:firstLine="480" w:firstLineChars="200"/>
        <w:rPr>
          <w:rFonts w:asciiTheme="minorEastAsia" w:hAnsiTheme="minorEastAsia" w:eastAsiaTheme="minorEastAsia" w:cstheme="minorEastAsia"/>
          <w:sz w:val="24"/>
          <w:szCs w:val="24"/>
          <w:highlight w:val="none"/>
        </w:rPr>
      </w:pPr>
      <w:bookmarkStart w:id="30" w:name="OLE_LINK21"/>
      <w:r>
        <w:rPr>
          <w:rFonts w:hint="eastAsia" w:asciiTheme="minorEastAsia" w:hAnsiTheme="minorEastAsia" w:eastAsiaTheme="minorEastAsia" w:cstheme="minorEastAsia"/>
          <w:sz w:val="24"/>
          <w:szCs w:val="24"/>
          <w:highlight w:val="none"/>
        </w:rPr>
        <w:t>3.4.6.</w:t>
      </w:r>
      <w:bookmarkEnd w:id="30"/>
      <w:r>
        <w:rPr>
          <w:rFonts w:hint="eastAsia" w:asciiTheme="minorEastAsia" w:hAnsiTheme="minorEastAsia" w:eastAsiaTheme="minorEastAsia" w:cstheme="minorEastAsia"/>
          <w:sz w:val="24"/>
          <w:szCs w:val="24"/>
          <w:highlight w:val="none"/>
        </w:rPr>
        <w:t>1投标人根据自行确定的施工组织设计或施工方案进行自主报价。</w:t>
      </w:r>
    </w:p>
    <w:p w14:paraId="379A342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3.4.6.2投标人应针对</w:t>
      </w:r>
      <w:r>
        <w:rPr>
          <w:rFonts w:hint="eastAsia" w:asciiTheme="minorEastAsia" w:hAnsiTheme="minorEastAsia" w:eastAsiaTheme="minorEastAsia" w:cstheme="minorEastAsia"/>
          <w:sz w:val="24"/>
          <w:szCs w:val="24"/>
          <w:highlight w:val="none"/>
          <w:lang w:val="en-US" w:eastAsia="zh-CN"/>
        </w:rPr>
        <w:t>本项目</w:t>
      </w:r>
      <w:r>
        <w:rPr>
          <w:rFonts w:hint="eastAsia" w:asciiTheme="minorEastAsia" w:hAnsiTheme="minorEastAsia" w:eastAsiaTheme="minorEastAsia" w:cstheme="minorEastAsia"/>
          <w:sz w:val="24"/>
          <w:szCs w:val="24"/>
          <w:highlight w:val="none"/>
        </w:rPr>
        <w:t>编制技术措施方案。</w:t>
      </w:r>
    </w:p>
    <w:p w14:paraId="79CC6AA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3.4.6.3投标人因承包本合同</w:t>
      </w:r>
      <w:r>
        <w:rPr>
          <w:rFonts w:hint="eastAsia" w:asciiTheme="minorEastAsia" w:hAnsiTheme="minorEastAsia" w:eastAsiaTheme="minorEastAsia" w:cstheme="minorEastAsia"/>
          <w:sz w:val="24"/>
          <w:szCs w:val="24"/>
          <w:highlight w:val="none"/>
          <w:lang w:eastAsia="zh-CN"/>
        </w:rPr>
        <w:t>服务</w:t>
      </w:r>
      <w:r>
        <w:rPr>
          <w:rFonts w:hint="eastAsia" w:asciiTheme="minorEastAsia" w:hAnsiTheme="minorEastAsia" w:eastAsiaTheme="minorEastAsia" w:cstheme="minorEastAsia"/>
          <w:sz w:val="24"/>
          <w:szCs w:val="24"/>
          <w:highlight w:val="none"/>
        </w:rPr>
        <w:t>需缴纳的一切税费均由投标人承担，并包含在所报的单价或总额价内。</w:t>
      </w:r>
    </w:p>
    <w:p w14:paraId="5A48499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3.4.6.4投标人应为</w:t>
      </w:r>
      <w:r>
        <w:rPr>
          <w:rFonts w:hint="eastAsia" w:asciiTheme="minorEastAsia" w:hAnsiTheme="minorEastAsia" w:eastAsiaTheme="minorEastAsia" w:cstheme="minorEastAsia"/>
          <w:sz w:val="24"/>
          <w:szCs w:val="24"/>
          <w:highlight w:val="none"/>
          <w:lang w:val="en-US" w:eastAsia="zh-CN"/>
        </w:rPr>
        <w:t>本项目</w:t>
      </w:r>
      <w:r>
        <w:rPr>
          <w:rFonts w:hint="eastAsia" w:asciiTheme="minorEastAsia" w:hAnsiTheme="minorEastAsia" w:eastAsiaTheme="minorEastAsia" w:cstheme="minorEastAsia"/>
          <w:sz w:val="24"/>
          <w:szCs w:val="24"/>
          <w:highlight w:val="none"/>
        </w:rPr>
        <w:t>自有人员及第三方人员生命财产及运至施工场地内用于工程的材料办理保险，投标人的投标价中应含的保险费，承包人装备险和承包人职工的（人身）事故险由投标人在其他项目清单保险费栏内自主列报，中标后包干使用。施工期间在施工区域内因非招标人原因发生的设备、材料、人员等的损害、伤害，招标人不再承担任何责任和费用。</w:t>
      </w:r>
    </w:p>
    <w:p w14:paraId="79025DF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3.4.6.5投标报价中的总价要与综合单价相对应。</w:t>
      </w:r>
    </w:p>
    <w:p w14:paraId="3D164337">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3.4.6.6投标函中的投标报价应与“投标总价”表中的投标总价数字相符，不允许在投标文件中出现两个报价。任何有选择的报价将不予接受，如“若我方中标，愿在中标价基础上再优惠或下浮多少”等类似报价方法,否则按无效投标处理。</w:t>
      </w:r>
      <w:bookmarkStart w:id="31" w:name="OLE_LINK114"/>
      <w:bookmarkStart w:id="32" w:name="OLE_LINK113"/>
      <w:bookmarkStart w:id="33" w:name="OLE_LINK63"/>
      <w:bookmarkStart w:id="34" w:name="OLE_LINK64"/>
      <w:bookmarkStart w:id="35" w:name="OLE_LINK74"/>
      <w:bookmarkStart w:id="36" w:name="OLE_LINK20"/>
    </w:p>
    <w:bookmarkEnd w:id="31"/>
    <w:bookmarkEnd w:id="32"/>
    <w:bookmarkEnd w:id="33"/>
    <w:bookmarkEnd w:id="34"/>
    <w:bookmarkEnd w:id="35"/>
    <w:bookmarkEnd w:id="36"/>
    <w:p w14:paraId="5AC2E48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3.4.7服务费收费标准：按国家计委颁发的《招标代理服务收费管理暂行办法》（计价格[2002]1980号）</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国家发展</w:t>
      </w:r>
      <w:r>
        <w:rPr>
          <w:rFonts w:hint="eastAsia" w:asciiTheme="minorEastAsia" w:hAnsiTheme="minorEastAsia" w:eastAsiaTheme="minorEastAsia" w:cstheme="minorEastAsia"/>
          <w:sz w:val="24"/>
          <w:szCs w:val="24"/>
          <w:highlight w:val="none"/>
          <w:lang w:val="en-US" w:eastAsia="zh-CN"/>
        </w:rPr>
        <w:t>和</w:t>
      </w:r>
      <w:r>
        <w:rPr>
          <w:rFonts w:hint="eastAsia" w:asciiTheme="minorEastAsia" w:hAnsiTheme="minorEastAsia" w:eastAsiaTheme="minorEastAsia" w:cstheme="minorEastAsia"/>
          <w:sz w:val="24"/>
          <w:szCs w:val="24"/>
          <w:highlight w:val="none"/>
        </w:rPr>
        <w:t>改革委员会办公厅颁发的《关于招标代理服务收费有关问题的通知》（发改办价格[2003]857号）的有关标准执行。</w:t>
      </w:r>
    </w:p>
    <w:p w14:paraId="13C509F7">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服务费收取方式：中标人承担招标代理服务费，中标人在领取中标通知书前，须向</w:t>
      </w:r>
      <w:r>
        <w:rPr>
          <w:rFonts w:hint="eastAsia" w:asciiTheme="minorEastAsia" w:hAnsiTheme="minorEastAsia" w:eastAsiaTheme="minorEastAsia" w:cstheme="minorEastAsia"/>
          <w:sz w:val="24"/>
          <w:szCs w:val="24"/>
          <w:highlight w:val="none"/>
          <w:lang w:val="en-US" w:eastAsia="zh-CN"/>
        </w:rPr>
        <w:t>招标</w:t>
      </w:r>
      <w:r>
        <w:rPr>
          <w:rFonts w:hint="eastAsia" w:asciiTheme="minorEastAsia" w:hAnsiTheme="minorEastAsia" w:eastAsiaTheme="minorEastAsia" w:cstheme="minorEastAsia"/>
          <w:sz w:val="24"/>
          <w:szCs w:val="24"/>
          <w:highlight w:val="none"/>
        </w:rPr>
        <w:t>代理机构一次性支付招标代理服务费。</w:t>
      </w:r>
    </w:p>
    <w:p w14:paraId="2E8EDC30">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3.5 投标有效期</w:t>
      </w:r>
    </w:p>
    <w:p w14:paraId="438AE2E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3.5.1 在投标人须知前附表规定的投标有效期内，投标人不得要求撤销或修改其投标文件。</w:t>
      </w:r>
    </w:p>
    <w:p w14:paraId="626726D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7858C973">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3.6 投标保证金（本项目不缴纳投标保证金）</w:t>
      </w:r>
    </w:p>
    <w:p w14:paraId="7F94BC26">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3.7备选投标方案</w:t>
      </w:r>
    </w:p>
    <w:p w14:paraId="058025C7">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除投标人须知前附表另有规定外，投标人不得递交备选投标方案。</w:t>
      </w:r>
    </w:p>
    <w:p w14:paraId="68CEF91C">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3.8投标文件的编制</w:t>
      </w:r>
    </w:p>
    <w:p w14:paraId="34A4CA6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3.8.1 投标文件应按“投标文件格式”进行编写，如有必要，可以增加附页，作为投标文件的组成部分。</w:t>
      </w:r>
    </w:p>
    <w:p w14:paraId="62FC5F87">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3.8.2 投标文件应当对招标文件有关工期、投标有效期、质量要求、技术标准和要求、招标范围等实质性内容作出响应。</w:t>
      </w:r>
    </w:p>
    <w:p w14:paraId="19ACA085">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3.8.3 投标文件需打印或用不褪色的蓝(黑)色墨水(汁)书写,并由投标人法定代表人或经法定代表人正式授权的代表签字。投标文件若由授权代表签署，须按招标文件规定的格式出具的“法定代表人授权委托书”原件附在投标文件中。所有要求签字（名）处，均须由签字（名）者本人用不褪色的蓝(黑)色墨水(汁)书写，不得用任何形式的图章代替。所有投标文件按第六章规定的顺序编排、并应编制目录、逐页标注连续页码，每一页的正下方清楚标明第几页、共几页等字样，并统一装订（胶装）成册。</w:t>
      </w:r>
    </w:p>
    <w:p w14:paraId="0998B069">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3.8.4 投标文件正本、副本份数见投标人须知前附表。正本和副本的封面上应清楚地标记“正本”或“副本”的字样。当副本和正本不一致时，以正本为准。电子版投标文件内容包括投标文件的所有内容。</w:t>
      </w:r>
    </w:p>
    <w:p w14:paraId="657C8398">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3.8.5 所有投标文件正本和副本须按第八章规定的顺序编排、编制目录、</w:t>
      </w:r>
      <w:r>
        <w:rPr>
          <w:rFonts w:hint="eastAsia" w:asciiTheme="minorEastAsia" w:hAnsiTheme="minorEastAsia" w:eastAsiaTheme="minorEastAsia" w:cstheme="minorEastAsia"/>
          <w:b/>
          <w:bCs/>
          <w:sz w:val="24"/>
          <w:szCs w:val="24"/>
          <w:highlight w:val="none"/>
        </w:rPr>
        <w:t>投标文件正本需逐页加盖投标人公章</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sz w:val="24"/>
          <w:szCs w:val="24"/>
          <w:highlight w:val="none"/>
        </w:rPr>
        <w:t>并胶装成册。</w:t>
      </w:r>
    </w:p>
    <w:p w14:paraId="465551CB">
      <w:pPr>
        <w:spacing w:beforeLines="50" w:afterLines="50" w:line="360" w:lineRule="auto"/>
        <w:rPr>
          <w:rFonts w:asciiTheme="minorEastAsia" w:hAnsiTheme="minorEastAsia" w:eastAsiaTheme="minorEastAsia" w:cstheme="minorEastAsia"/>
          <w:b/>
          <w:bCs/>
          <w:sz w:val="24"/>
          <w:szCs w:val="24"/>
          <w:highlight w:val="none"/>
        </w:rPr>
      </w:pPr>
      <w:bookmarkStart w:id="37" w:name="_Toc421778368"/>
      <w:bookmarkStart w:id="38" w:name="_Toc420591646"/>
      <w:bookmarkStart w:id="39" w:name="_Toc425240467"/>
      <w:r>
        <w:rPr>
          <w:rFonts w:hint="eastAsia" w:asciiTheme="minorEastAsia" w:hAnsiTheme="minorEastAsia" w:eastAsiaTheme="minorEastAsia" w:cstheme="minorEastAsia"/>
          <w:b/>
          <w:bCs/>
          <w:sz w:val="24"/>
          <w:szCs w:val="24"/>
          <w:highlight w:val="none"/>
        </w:rPr>
        <w:t>4．投标</w:t>
      </w:r>
      <w:bookmarkEnd w:id="37"/>
      <w:bookmarkEnd w:id="38"/>
      <w:bookmarkEnd w:id="39"/>
    </w:p>
    <w:p w14:paraId="4F001A59">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4.1 投标文件的密封和标记</w:t>
      </w:r>
    </w:p>
    <w:p w14:paraId="02D7F16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4.1.1投标文件的密封：投标文件须胶装成套且须用密封袋密封，包括投标文件正本、副本、投标文件电子版，开标一览表（投标人需另外单独准备一份与正本内容一致的开标一览表），若与正本内容不一致，则按单独的开标一览表为准。</w:t>
      </w:r>
    </w:p>
    <w:p w14:paraId="595BF84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4.1.2投标文件的封套上应清楚地标记“正本”、“副本”“第</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包”字样，封套上应写明的其他内容见投标人须知前附表。</w:t>
      </w:r>
    </w:p>
    <w:p w14:paraId="0E30EE7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4.1.3未按本章第3.6.3、第3.6.4项和第4.1.2项要求密封和加写标记的投标文件，招标代理机构不予受理。</w:t>
      </w:r>
    </w:p>
    <w:p w14:paraId="0F3DE117">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4.2 投标文件的递交</w:t>
      </w:r>
    </w:p>
    <w:p w14:paraId="7C258188">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4.2.1 投标人应在投标人须知前附表第4.2.2 项规定的投标截止时间前递交投标文件。</w:t>
      </w:r>
    </w:p>
    <w:p w14:paraId="77E8FD7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4.2.2 投标人递交投标文件的地点：见投标人须知前附表。</w:t>
      </w:r>
    </w:p>
    <w:p w14:paraId="6E06687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4.2.3 投标人所递交的投标文件不予退还。</w:t>
      </w:r>
    </w:p>
    <w:p w14:paraId="7DA6FC7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4.2.4逾期送达的或者未送达指定地点的投标文件，</w:t>
      </w:r>
      <w:bookmarkStart w:id="40" w:name="OLE_LINK50"/>
      <w:r>
        <w:rPr>
          <w:rFonts w:hint="eastAsia" w:asciiTheme="minorEastAsia" w:hAnsiTheme="minorEastAsia" w:eastAsiaTheme="minorEastAsia" w:cstheme="minorEastAsia"/>
          <w:sz w:val="24"/>
          <w:szCs w:val="24"/>
          <w:highlight w:val="none"/>
        </w:rPr>
        <w:t>招标代理机构</w:t>
      </w:r>
      <w:bookmarkEnd w:id="40"/>
      <w:r>
        <w:rPr>
          <w:rFonts w:hint="eastAsia" w:asciiTheme="minorEastAsia" w:hAnsiTheme="minorEastAsia" w:eastAsiaTheme="minorEastAsia" w:cstheme="minorEastAsia"/>
          <w:sz w:val="24"/>
          <w:szCs w:val="24"/>
          <w:highlight w:val="none"/>
        </w:rPr>
        <w:t>不予受理。</w:t>
      </w:r>
    </w:p>
    <w:p w14:paraId="5A354474">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4.3 投标文件的修改与撤回</w:t>
      </w:r>
    </w:p>
    <w:p w14:paraId="5B39BF8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4.3.1 在投标人须知前附表第4.2.2 项规定的投标截止时间前，投标人可以修改或撤回已递交的投标文件，但应以书面形式通知招标人。</w:t>
      </w:r>
    </w:p>
    <w:p w14:paraId="1FE3888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4.3.2 投标人修改或撤回已递交投标文件的书面通知应按照本章第3.6.5项的要求签字和盖章。</w:t>
      </w:r>
    </w:p>
    <w:p w14:paraId="66358C7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4.3.3 修改的内容为投标文件的组成部分。修改的投标文件应按照本章第3条、第4条规定进行编制、密封、标记和递交，并标明“修改”字样。</w:t>
      </w:r>
    </w:p>
    <w:p w14:paraId="79C1C76A">
      <w:pPr>
        <w:spacing w:beforeLines="50" w:afterLines="50" w:line="360" w:lineRule="auto"/>
        <w:rPr>
          <w:rFonts w:asciiTheme="minorEastAsia" w:hAnsiTheme="minorEastAsia" w:eastAsiaTheme="minorEastAsia" w:cstheme="minorEastAsia"/>
          <w:b/>
          <w:bCs/>
          <w:sz w:val="24"/>
          <w:szCs w:val="24"/>
          <w:highlight w:val="none"/>
        </w:rPr>
      </w:pPr>
      <w:bookmarkStart w:id="41" w:name="_Toc420591647"/>
      <w:bookmarkStart w:id="42" w:name="_Toc425240468"/>
      <w:bookmarkStart w:id="43" w:name="_Toc421778369"/>
      <w:r>
        <w:rPr>
          <w:rFonts w:hint="eastAsia" w:asciiTheme="minorEastAsia" w:hAnsiTheme="minorEastAsia" w:eastAsiaTheme="minorEastAsia" w:cstheme="minorEastAsia"/>
          <w:b/>
          <w:bCs/>
          <w:sz w:val="24"/>
          <w:szCs w:val="24"/>
          <w:highlight w:val="none"/>
        </w:rPr>
        <w:t>5．开标</w:t>
      </w:r>
      <w:bookmarkEnd w:id="41"/>
      <w:bookmarkEnd w:id="42"/>
      <w:bookmarkEnd w:id="43"/>
    </w:p>
    <w:p w14:paraId="246F6C7C">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5.1 开标时间和地点</w:t>
      </w:r>
    </w:p>
    <w:p w14:paraId="019752B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见投标人须知前附表。</w:t>
      </w:r>
    </w:p>
    <w:p w14:paraId="20E640E2">
      <w:pPr>
        <w:spacing w:beforeLines="50" w:afterLines="50" w:line="360" w:lineRule="auto"/>
        <w:rPr>
          <w:rFonts w:asciiTheme="minorEastAsia" w:hAnsiTheme="minorEastAsia" w:eastAsiaTheme="minorEastAsia" w:cstheme="minorEastAsia"/>
          <w:b/>
          <w:bCs/>
          <w:sz w:val="24"/>
          <w:szCs w:val="24"/>
          <w:highlight w:val="none"/>
        </w:rPr>
      </w:pPr>
      <w:bookmarkStart w:id="44" w:name="_Toc421778370"/>
      <w:bookmarkStart w:id="45" w:name="_Toc425240469"/>
      <w:bookmarkStart w:id="46" w:name="_Toc420591648"/>
      <w:r>
        <w:rPr>
          <w:rFonts w:hint="eastAsia" w:asciiTheme="minorEastAsia" w:hAnsiTheme="minorEastAsia" w:eastAsiaTheme="minorEastAsia" w:cstheme="minorEastAsia"/>
          <w:b/>
          <w:bCs/>
          <w:sz w:val="24"/>
          <w:szCs w:val="24"/>
          <w:highlight w:val="none"/>
        </w:rPr>
        <w:t>6．评标</w:t>
      </w:r>
      <w:bookmarkEnd w:id="44"/>
      <w:bookmarkEnd w:id="45"/>
      <w:bookmarkEnd w:id="46"/>
    </w:p>
    <w:p w14:paraId="2D2B85EC">
      <w:pPr>
        <w:spacing w:line="360" w:lineRule="auto"/>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6.1 评标委员会</w:t>
      </w:r>
    </w:p>
    <w:p w14:paraId="0FA4B4A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6.1.1 评标由招标人依法组建的评标委员会负责。评标委员会由招标人代表和具备相关专业的专家等</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人以上单数组成评标委员会；</w:t>
      </w:r>
    </w:p>
    <w:p w14:paraId="46C6191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6.1.2 评标委员会成员有下列情形之一的，应当回避：</w:t>
      </w:r>
    </w:p>
    <w:p w14:paraId="773D50C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(1）投标人或投标人的主要负责人的近亲属；</w:t>
      </w:r>
    </w:p>
    <w:p w14:paraId="606D70A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(2）与投标人有经济利益关系，可能影响对投标公正评审的；</w:t>
      </w:r>
    </w:p>
    <w:p w14:paraId="709D960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(3）曾因在招标、评标以及其他与招标投标有关活动中从事违法行为而受过行政处罚或刑事处罚的。</w:t>
      </w:r>
    </w:p>
    <w:p w14:paraId="30B7D37C">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6.2 评标原则</w:t>
      </w:r>
    </w:p>
    <w:p w14:paraId="57A4CD45">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评标活动遵循公平、公正、科学和择优的原则。</w:t>
      </w:r>
    </w:p>
    <w:p w14:paraId="7FC0521D">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6.3 评标</w:t>
      </w:r>
    </w:p>
    <w:p w14:paraId="426E27E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6.3.1评标委员会按照第三章“评标办法”规定的方法、评审因素、标准和程序对投标文件进行评审。第三章“评标办法”没有规定的方法、评审因素和标准，不作为评标依据。</w:t>
      </w:r>
    </w:p>
    <w:p w14:paraId="08FD190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6.3.2评标过程的保密</w:t>
      </w:r>
    </w:p>
    <w:p w14:paraId="03FBD735">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（1）开标后，直至授予中标人合同为止，凡属于对投标文件的审查、补遗、评价和比较的有关资料以及中标候选人的推荐情况等均严格保密。</w:t>
      </w:r>
    </w:p>
    <w:p w14:paraId="39EF210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（2）在投标文件的评审、中标候选人推荐以及授予合同的过程中，投标人向招标人和评标委员会施加影响的任何行为，都将会导致其投标被拒绝直至取消其中标资格。</w:t>
      </w:r>
    </w:p>
    <w:p w14:paraId="35BD8E6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（3）中标人确定后，招标人不对未中标人就评标过程以及未能中标原因作出任何解释。未中标人不得向评标委员会组成人员或其他有关人员索问评标过程的情况和材料。</w:t>
      </w:r>
    </w:p>
    <w:p w14:paraId="3446D31E">
      <w:pPr>
        <w:spacing w:beforeLines="50" w:afterLines="50" w:line="360" w:lineRule="auto"/>
        <w:rPr>
          <w:rFonts w:asciiTheme="minorEastAsia" w:hAnsiTheme="minorEastAsia" w:eastAsiaTheme="minorEastAsia" w:cstheme="minorEastAsia"/>
          <w:b/>
          <w:bCs/>
          <w:sz w:val="24"/>
          <w:szCs w:val="24"/>
          <w:highlight w:val="none"/>
        </w:rPr>
      </w:pPr>
      <w:bookmarkStart w:id="47" w:name="_Toc425240470"/>
      <w:bookmarkStart w:id="48" w:name="_Toc420591649"/>
      <w:bookmarkStart w:id="49" w:name="_Toc421778371"/>
      <w:r>
        <w:rPr>
          <w:rFonts w:hint="eastAsia" w:asciiTheme="minorEastAsia" w:hAnsiTheme="minorEastAsia" w:eastAsiaTheme="minorEastAsia" w:cstheme="minorEastAsia"/>
          <w:b/>
          <w:bCs/>
          <w:sz w:val="24"/>
          <w:szCs w:val="24"/>
          <w:highlight w:val="none"/>
        </w:rPr>
        <w:t>7．合同授予</w:t>
      </w:r>
      <w:bookmarkEnd w:id="47"/>
      <w:bookmarkEnd w:id="48"/>
      <w:bookmarkEnd w:id="49"/>
    </w:p>
    <w:p w14:paraId="30D1846F">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7.1 定标方式</w:t>
      </w:r>
    </w:p>
    <w:p w14:paraId="1FFA482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评标委员会推荐3名中标候选人，并标明推荐顺序，招标人依据评标委员会推荐的中标候选人确定中标人。</w:t>
      </w:r>
    </w:p>
    <w:p w14:paraId="582AE274">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7.2 中标通知</w:t>
      </w:r>
    </w:p>
    <w:p w14:paraId="0752FBA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在本章第3.3 款规定的投标有效期内，经招标人同意由招标代理机构以书面形式向中标人发出中标通知书。</w:t>
      </w:r>
    </w:p>
    <w:p w14:paraId="4B5F336A">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7.3 签订合同</w:t>
      </w:r>
    </w:p>
    <w:p w14:paraId="3D428C98">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7.3.1 招标人和中标人应当自中标通知书发出之日起30天内，根据招标文件和中标人的投标文件订立书面合同；中标人无正当理由拒签合同的，招标人取消其中标资格，其投标保证金不予退还；给招标人和招标代理机构造成的损失超过投标保证金数额的，中标人还应当对超过部分予以赔偿。</w:t>
      </w:r>
    </w:p>
    <w:p w14:paraId="2F37A574">
      <w:pPr>
        <w:spacing w:beforeLines="50" w:afterLines="50" w:line="360" w:lineRule="auto"/>
        <w:rPr>
          <w:rFonts w:asciiTheme="minorEastAsia" w:hAnsiTheme="minorEastAsia" w:eastAsiaTheme="minorEastAsia" w:cstheme="minorEastAsia"/>
          <w:b/>
          <w:bCs/>
          <w:sz w:val="24"/>
          <w:szCs w:val="24"/>
          <w:highlight w:val="none"/>
        </w:rPr>
      </w:pPr>
      <w:bookmarkStart w:id="50" w:name="_Toc420591650"/>
      <w:bookmarkStart w:id="51" w:name="_Toc425240471"/>
      <w:bookmarkStart w:id="52" w:name="_Toc421778372"/>
      <w:r>
        <w:rPr>
          <w:rFonts w:hint="eastAsia" w:asciiTheme="minorEastAsia" w:hAnsiTheme="minorEastAsia" w:eastAsiaTheme="minorEastAsia" w:cstheme="minorEastAsia"/>
          <w:b/>
          <w:bCs/>
          <w:sz w:val="24"/>
          <w:szCs w:val="24"/>
          <w:highlight w:val="none"/>
        </w:rPr>
        <w:t>8．重新招标和不再招标</w:t>
      </w:r>
      <w:bookmarkEnd w:id="50"/>
      <w:bookmarkEnd w:id="51"/>
      <w:bookmarkEnd w:id="52"/>
    </w:p>
    <w:p w14:paraId="6A1EF8F8">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8.1 重新招标</w:t>
      </w:r>
    </w:p>
    <w:p w14:paraId="6EF6120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有下列情形之一的，招标人将重新招标：</w:t>
      </w:r>
    </w:p>
    <w:p w14:paraId="0134393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（l）投标截止时间止，投标人少于3个的；</w:t>
      </w:r>
    </w:p>
    <w:p w14:paraId="217047D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（2）经评标委员会评审后否决所有投标的。</w:t>
      </w:r>
    </w:p>
    <w:p w14:paraId="349ABA27">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8.2 不再招标</w:t>
      </w:r>
    </w:p>
    <w:p w14:paraId="5202994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重新招标后投标人仍少于3个或者所有投标被否决的，属于必须审批或核准的工程建设项目，经原审批或核准部门批准后不再进行招标。</w:t>
      </w:r>
    </w:p>
    <w:p w14:paraId="536BD6C1">
      <w:pPr>
        <w:spacing w:beforeLines="50" w:afterLines="50" w:line="360" w:lineRule="auto"/>
        <w:rPr>
          <w:rFonts w:asciiTheme="minorEastAsia" w:hAnsiTheme="minorEastAsia" w:eastAsiaTheme="minorEastAsia" w:cstheme="minorEastAsia"/>
          <w:b/>
          <w:bCs/>
          <w:sz w:val="24"/>
          <w:szCs w:val="24"/>
          <w:highlight w:val="none"/>
        </w:rPr>
      </w:pPr>
      <w:bookmarkStart w:id="53" w:name="_Toc425240472"/>
      <w:bookmarkStart w:id="54" w:name="_Toc420591651"/>
      <w:bookmarkStart w:id="55" w:name="_Toc421778373"/>
      <w:r>
        <w:rPr>
          <w:rFonts w:hint="eastAsia" w:asciiTheme="minorEastAsia" w:hAnsiTheme="minorEastAsia" w:eastAsiaTheme="minorEastAsia" w:cstheme="minorEastAsia"/>
          <w:b/>
          <w:bCs/>
          <w:sz w:val="24"/>
          <w:szCs w:val="24"/>
          <w:highlight w:val="none"/>
        </w:rPr>
        <w:t>9．纪律和监督</w:t>
      </w:r>
      <w:bookmarkEnd w:id="53"/>
      <w:bookmarkEnd w:id="54"/>
      <w:bookmarkEnd w:id="55"/>
    </w:p>
    <w:p w14:paraId="479437A4">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9.1 对招标人的纪律要求</w:t>
      </w:r>
    </w:p>
    <w:p w14:paraId="2A1BA905">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招标人不得泄漏招标投标活动中应当保密的情况和资料，不得与投标人串通损害国家利益、社会公共利益或者他人合法权益。</w:t>
      </w:r>
    </w:p>
    <w:p w14:paraId="76B1E816">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9.2 对投标人的纪律要求</w:t>
      </w:r>
    </w:p>
    <w:p w14:paraId="7D0A0D7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9B6D96E">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9.3 对评标委员会成员的纪律要求</w:t>
      </w:r>
    </w:p>
    <w:p w14:paraId="1B0F920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733146DC">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9.4 对与评标活动有关的工作人员的纪律要求</w:t>
      </w:r>
    </w:p>
    <w:p w14:paraId="7B882A3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6B393ABB">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9.5 投诉</w:t>
      </w:r>
    </w:p>
    <w:p w14:paraId="485068F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投标人和其他利害关系人认为本次招标活动违反法律、法规和规章规定的，有权向有关行政监督部门投诉。</w:t>
      </w:r>
    </w:p>
    <w:p w14:paraId="4C6A6C7D">
      <w:pPr>
        <w:spacing w:beforeLines="50" w:afterLines="50" w:line="360" w:lineRule="auto"/>
        <w:rPr>
          <w:rFonts w:asciiTheme="minorEastAsia" w:hAnsiTheme="minorEastAsia" w:eastAsiaTheme="minorEastAsia" w:cstheme="minorEastAsia"/>
          <w:b/>
          <w:bCs/>
          <w:sz w:val="24"/>
          <w:szCs w:val="24"/>
          <w:highlight w:val="none"/>
        </w:rPr>
      </w:pPr>
      <w:bookmarkStart w:id="56" w:name="_Toc420591652"/>
      <w:bookmarkStart w:id="57" w:name="_Toc421778374"/>
      <w:bookmarkStart w:id="58" w:name="_Toc425240473"/>
      <w:r>
        <w:rPr>
          <w:rFonts w:hint="eastAsia" w:asciiTheme="minorEastAsia" w:hAnsiTheme="minorEastAsia" w:eastAsiaTheme="minorEastAsia" w:cstheme="minorEastAsia"/>
          <w:b/>
          <w:bCs/>
          <w:sz w:val="24"/>
          <w:szCs w:val="24"/>
          <w:highlight w:val="none"/>
        </w:rPr>
        <w:t>10、需要补充的其他内容：</w:t>
      </w:r>
      <w:bookmarkStart w:id="59" w:name="_Toc356305901"/>
      <w:r>
        <w:rPr>
          <w:rFonts w:hint="eastAsia" w:asciiTheme="minorEastAsia" w:hAnsiTheme="minorEastAsia" w:eastAsiaTheme="minorEastAsia" w:cstheme="minorEastAsia"/>
          <w:b/>
          <w:bCs/>
          <w:sz w:val="24"/>
          <w:szCs w:val="24"/>
          <w:highlight w:val="none"/>
        </w:rPr>
        <w:t>详见投标人须知前附表</w:t>
      </w:r>
      <w:bookmarkEnd w:id="59"/>
      <w:r>
        <w:rPr>
          <w:rFonts w:hint="eastAsia" w:asciiTheme="minorEastAsia" w:hAnsiTheme="minorEastAsia" w:eastAsiaTheme="minorEastAsia" w:cstheme="minorEastAsia"/>
          <w:b/>
          <w:bCs/>
          <w:sz w:val="24"/>
          <w:szCs w:val="24"/>
          <w:highlight w:val="none"/>
        </w:rPr>
        <w:t>。</w:t>
      </w:r>
      <w:bookmarkEnd w:id="56"/>
      <w:bookmarkEnd w:id="57"/>
      <w:bookmarkEnd w:id="58"/>
    </w:p>
    <w:p w14:paraId="0EDC1FAD">
      <w:pPr>
        <w:spacing w:beforeLines="50" w:afterLines="50" w:line="360" w:lineRule="auto"/>
        <w:rPr>
          <w:rFonts w:asciiTheme="minorEastAsia" w:hAnsiTheme="minorEastAsia" w:eastAsiaTheme="minorEastAsia" w:cstheme="minorEastAsia"/>
          <w:b/>
          <w:bCs/>
          <w:sz w:val="24"/>
          <w:szCs w:val="24"/>
          <w:highlight w:val="none"/>
        </w:rPr>
      </w:pPr>
      <w:bookmarkStart w:id="60" w:name="_Toc420591653"/>
      <w:bookmarkStart w:id="61" w:name="_Toc421778375"/>
      <w:bookmarkStart w:id="62" w:name="_Toc425240474"/>
      <w:r>
        <w:rPr>
          <w:rFonts w:hint="eastAsia" w:asciiTheme="minorEastAsia" w:hAnsiTheme="minorEastAsia" w:eastAsiaTheme="minorEastAsia" w:cstheme="minorEastAsia"/>
          <w:b/>
          <w:bCs/>
          <w:sz w:val="24"/>
          <w:szCs w:val="24"/>
          <w:highlight w:val="none"/>
        </w:rPr>
        <w:t>11、招标代理服务费</w:t>
      </w:r>
      <w:bookmarkEnd w:id="60"/>
      <w:bookmarkEnd w:id="61"/>
      <w:bookmarkEnd w:id="62"/>
    </w:p>
    <w:p w14:paraId="6A0045D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11.1由中标单位向招标代理机构一次性缴付招标代理服务费。</w:t>
      </w:r>
    </w:p>
    <w:p w14:paraId="4F514AA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收费标准：按国家计委颁发的《招标代理服务收费管理暂行办法》（计价格[2002]1980号）、国家发展和改革委员会办公厅颁发的《关于招标代理服务收费有关问题的通知》（发改办价格[2003]857号）的有关标准执行。</w:t>
      </w:r>
    </w:p>
    <w:p w14:paraId="1FFFB191">
      <w:pPr>
        <w:spacing w:line="500" w:lineRule="exac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12.质疑</w:t>
      </w:r>
    </w:p>
    <w:p w14:paraId="021C793B">
      <w:pPr>
        <w:spacing w:line="500" w:lineRule="exact"/>
        <w:ind w:right="12"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12.1投标人认为招标文件、招标过程、中标结果使自己的权益受到损害的，可以在知道或者应知其权益受到损害之日起7个工作日内，以书面形式向采购人、采购代理机构提出质疑。</w:t>
      </w:r>
    </w:p>
    <w:p w14:paraId="215DE7F6">
      <w:pPr>
        <w:spacing w:line="500" w:lineRule="exact"/>
        <w:ind w:right="12" w:firstLine="480"/>
        <w:rPr>
          <w:rStyle w:val="32"/>
          <w:rFonts w:asciiTheme="minorEastAsia" w:hAnsiTheme="minorEastAsia" w:eastAsiaTheme="minorEastAsia" w:cstheme="minorEastAsia"/>
          <w:bCs w:val="0"/>
          <w:sz w:val="24"/>
          <w:szCs w:val="24"/>
          <w:highlight w:val="none"/>
          <w:shd w:val="clear" w:color="auto" w:fill="FFFFFF"/>
        </w:rPr>
      </w:pPr>
      <w:r>
        <w:rPr>
          <w:rFonts w:hint="eastAsia" w:asciiTheme="minorEastAsia" w:hAnsiTheme="minorEastAsia" w:eastAsiaTheme="minorEastAsia" w:cstheme="minorEastAsia"/>
          <w:sz w:val="24"/>
          <w:szCs w:val="24"/>
          <w:highlight w:val="none"/>
        </w:rPr>
        <w:t>12.2投标人必须在法定质疑期内一次性提出针对同一采购程序环节的质疑。</w:t>
      </w:r>
    </w:p>
    <w:p w14:paraId="3377DE62">
      <w:pPr>
        <w:spacing w:line="500" w:lineRule="exact"/>
        <w:ind w:left="3" w:firstLine="518" w:firstLineChars="216"/>
        <w:rPr>
          <w:rStyle w:val="32"/>
          <w:rFonts w:asciiTheme="minorEastAsia" w:hAnsiTheme="minorEastAsia" w:eastAsiaTheme="minorEastAsia" w:cstheme="minorEastAsia"/>
          <w:sz w:val="24"/>
          <w:szCs w:val="24"/>
          <w:highlight w:val="none"/>
          <w:shd w:val="clear" w:color="auto" w:fill="FFFFFF"/>
        </w:rPr>
      </w:pPr>
      <w:r>
        <w:rPr>
          <w:rStyle w:val="32"/>
          <w:rFonts w:hint="eastAsia" w:asciiTheme="minorEastAsia" w:hAnsiTheme="minorEastAsia" w:eastAsiaTheme="minorEastAsia" w:cstheme="minorEastAsia"/>
          <w:sz w:val="24"/>
          <w:szCs w:val="24"/>
          <w:highlight w:val="none"/>
          <w:shd w:val="clear" w:color="auto" w:fill="FFFFFF"/>
        </w:rPr>
        <w:t>12.3投标人可以委托代理人进行质疑。代理人提出质疑的，应当提交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8EB3907">
      <w:pPr>
        <w:spacing w:line="500" w:lineRule="exact"/>
        <w:ind w:left="3" w:firstLine="518" w:firstLineChars="216"/>
        <w:rPr>
          <w:rStyle w:val="32"/>
          <w:rFonts w:asciiTheme="minorEastAsia" w:hAnsiTheme="minorEastAsia" w:eastAsiaTheme="minorEastAsia" w:cstheme="minorEastAsia"/>
          <w:sz w:val="24"/>
          <w:szCs w:val="24"/>
          <w:highlight w:val="none"/>
          <w:shd w:val="clear" w:color="auto" w:fill="FFFFFF"/>
        </w:rPr>
      </w:pPr>
      <w:r>
        <w:rPr>
          <w:rStyle w:val="32"/>
          <w:rFonts w:hint="eastAsia" w:asciiTheme="minorEastAsia" w:hAnsiTheme="minorEastAsia" w:eastAsiaTheme="minorEastAsia" w:cstheme="minorEastAsia"/>
          <w:sz w:val="24"/>
          <w:szCs w:val="24"/>
          <w:highlight w:val="none"/>
          <w:shd w:val="clear" w:color="auto" w:fill="FFFFFF"/>
        </w:rPr>
        <w:t>12.4以联合体形式参加政府采购活动的，其质疑应当由组成联合体的所有投标人共同提出。</w:t>
      </w:r>
    </w:p>
    <w:p w14:paraId="4C0AC3EC">
      <w:pPr>
        <w:spacing w:line="500" w:lineRule="exact"/>
        <w:ind w:right="12" w:firstLine="480" w:firstLineChars="200"/>
        <w:rPr>
          <w:rFonts w:asciiTheme="minorEastAsia" w:hAnsiTheme="minorEastAsia" w:eastAsiaTheme="minorEastAsia" w:cstheme="minorEastAsia"/>
          <w:sz w:val="24"/>
          <w:szCs w:val="24"/>
          <w:highlight w:val="none"/>
        </w:rPr>
      </w:pPr>
      <w:r>
        <w:rPr>
          <w:rStyle w:val="32"/>
          <w:rFonts w:hint="eastAsia" w:asciiTheme="minorEastAsia" w:hAnsiTheme="minorEastAsia" w:eastAsiaTheme="minorEastAsia" w:cstheme="minorEastAsia"/>
          <w:sz w:val="24"/>
          <w:szCs w:val="24"/>
          <w:highlight w:val="none"/>
          <w:shd w:val="clear" w:color="auto" w:fill="FFFFFF"/>
        </w:rPr>
        <w:t>12</w:t>
      </w:r>
      <w:r>
        <w:rPr>
          <w:rFonts w:hint="eastAsia" w:asciiTheme="minorEastAsia" w:hAnsiTheme="minorEastAsia" w:eastAsiaTheme="minorEastAsia" w:cstheme="minorEastAsia"/>
          <w:sz w:val="24"/>
          <w:szCs w:val="24"/>
          <w:highlight w:val="none"/>
        </w:rPr>
        <w:t>.5投标人提出质疑应当提交质疑函和必要的证明材料。质疑函应当包括下列内容：</w:t>
      </w:r>
    </w:p>
    <w:p w14:paraId="54E392A1">
      <w:pPr>
        <w:spacing w:line="500" w:lineRule="exact"/>
        <w:ind w:right="12"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12.5.1投标人的姓名或者名称、地址、邮编、联系人及联系电话；</w:t>
      </w:r>
    </w:p>
    <w:p w14:paraId="2803FA07">
      <w:pPr>
        <w:spacing w:line="500" w:lineRule="exact"/>
        <w:ind w:right="12"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12.5.2质疑项目的名称、编号；</w:t>
      </w:r>
    </w:p>
    <w:p w14:paraId="356D75AC">
      <w:pPr>
        <w:spacing w:line="500" w:lineRule="exact"/>
        <w:ind w:right="12"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12.5.3具体、明确的质疑事项和与质疑事项相关的请求；</w:t>
      </w:r>
    </w:p>
    <w:p w14:paraId="43F208BC">
      <w:pPr>
        <w:spacing w:line="500" w:lineRule="exact"/>
        <w:ind w:right="12"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12.5.4事实依据；</w:t>
      </w:r>
    </w:p>
    <w:p w14:paraId="53BDE7F9">
      <w:pPr>
        <w:spacing w:line="500" w:lineRule="exact"/>
        <w:ind w:right="12"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12.5.5必要的法律依据；</w:t>
      </w:r>
    </w:p>
    <w:p w14:paraId="6D880EA8">
      <w:pPr>
        <w:spacing w:line="500" w:lineRule="exact"/>
        <w:ind w:right="12" w:firstLine="480" w:firstLineChars="200"/>
        <w:rPr>
          <w:rStyle w:val="32"/>
          <w:rFonts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rPr>
        <w:t>12.5.6提出质疑的日期。</w:t>
      </w:r>
    </w:p>
    <w:p w14:paraId="25E1B1E3">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12.6有下列情形之一的，属于无效质疑，采购代理机构和采购人不予受理：</w:t>
      </w:r>
    </w:p>
    <w:p w14:paraId="5E026B7B">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12.6.1质疑投标人不是参与本次政府采购项目的投标人；</w:t>
      </w:r>
    </w:p>
    <w:p w14:paraId="003E2F59">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12.6.2质疑投标人与质疑事项不存在利害关系的；</w:t>
      </w:r>
    </w:p>
    <w:p w14:paraId="628DAB3D">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12.6.3未在法定期限内提出质疑的；</w:t>
      </w:r>
    </w:p>
    <w:p w14:paraId="68EAB890">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12.6.4质疑未以书面形式提出，或质疑函主要内容构成不完整的；</w:t>
      </w:r>
    </w:p>
    <w:p w14:paraId="2CA6FD17">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12.6.5应当提交授权书而未提交的；</w:t>
      </w:r>
    </w:p>
    <w:p w14:paraId="2C4DDAD0">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12.6.6以非法手段取得证据、材料的；</w:t>
      </w:r>
    </w:p>
    <w:p w14:paraId="53E5ACA5">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12.6.7质疑答复后，同一质疑人就同一事项或同一采购程序环节再次提出质疑的；</w:t>
      </w:r>
    </w:p>
    <w:p w14:paraId="3D183759">
      <w:pPr>
        <w:widowControl/>
        <w:spacing w:line="500" w:lineRule="exact"/>
        <w:ind w:firstLine="480" w:firstLineChars="200"/>
        <w:rPr>
          <w:rStyle w:val="32"/>
          <w:rFonts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rPr>
        <w:t>12.6.8不符合法律、法规、规章和政府采购监管机构规定的其他条件的。</w:t>
      </w:r>
    </w:p>
    <w:p w14:paraId="06689DE1">
      <w:pPr>
        <w:spacing w:line="500" w:lineRule="exact"/>
        <w:ind w:right="12"/>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12.7质疑答复</w:t>
      </w:r>
    </w:p>
    <w:p w14:paraId="70CDDD8E">
      <w:pPr>
        <w:pStyle w:val="42"/>
        <w:spacing w:line="500" w:lineRule="exact"/>
        <w:ind w:firstLine="48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12.7.1采购人或采购代理机构在收到质疑函后7个工作日内作出答复，并以书面形式通知质疑投标人和其他有关投标人。</w:t>
      </w:r>
    </w:p>
    <w:p w14:paraId="53898CA7">
      <w:pPr>
        <w:pStyle w:val="42"/>
        <w:spacing w:line="500" w:lineRule="exact"/>
        <w:ind w:firstLine="480" w:firstLineChars="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12.7.2质疑投标人对采购人、采购代理机构的答复不满意，或者采购人、采购代理机构未在规定时间内作出答复的，可以在答复期满后15个工作日内向项目主管财政部门提起投诉。</w:t>
      </w:r>
    </w:p>
    <w:p w14:paraId="1ABA2E51">
      <w:pPr>
        <w:pStyle w:val="42"/>
        <w:spacing w:line="500" w:lineRule="exact"/>
        <w:ind w:firstLine="480" w:firstLineChars="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12.8.1质疑函须按财政部《质疑函范本》给定的格式进行填写，范本下载详见【财政部国库司（gks.mof.gov.cn）】网站〖首页·政府采购管理〗栏目中的《政府采购供应商质疑函范本》。《政府采购供应商质疑函范本》链接地址：</w:t>
      </w:r>
    </w:p>
    <w:p w14:paraId="565789B2">
      <w:pPr>
        <w:pStyle w:val="42"/>
        <w:spacing w:line="500" w:lineRule="exact"/>
        <w:ind w:firstLine="480" w:firstLineChars="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http://gks.mof.gov.cn/zhengfucaigouguanli/201802/t20180201_2804589.html</w:t>
      </w:r>
    </w:p>
    <w:p w14:paraId="1AC2E63E">
      <w:pPr>
        <w:pStyle w:val="42"/>
        <w:spacing w:line="500" w:lineRule="exact"/>
        <w:ind w:firstLine="480" w:firstLineChars="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12.8.2接收质疑函的方式：书面形式</w:t>
      </w:r>
    </w:p>
    <w:p w14:paraId="70380300">
      <w:pPr>
        <w:pStyle w:val="42"/>
        <w:spacing w:line="500" w:lineRule="exact"/>
        <w:ind w:firstLine="480" w:firstLineChars="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12.8.3联系部门：</w:t>
      </w:r>
      <w:r>
        <w:rPr>
          <w:rFonts w:hint="eastAsia" w:asciiTheme="minorEastAsia" w:hAnsiTheme="minorEastAsia" w:eastAsiaTheme="minorEastAsia" w:cstheme="minorEastAsia"/>
          <w:sz w:val="24"/>
          <w:szCs w:val="24"/>
          <w:highlight w:val="none"/>
          <w:lang w:eastAsia="zh-CN"/>
        </w:rPr>
        <w:t>陕西至诚项目管理集团有限公司</w:t>
      </w:r>
      <w:r>
        <w:rPr>
          <w:rFonts w:hint="eastAsia" w:asciiTheme="minorEastAsia" w:hAnsiTheme="minorEastAsia" w:eastAsiaTheme="minorEastAsia" w:cstheme="minorEastAsia"/>
          <w:sz w:val="24"/>
          <w:szCs w:val="24"/>
          <w:highlight w:val="none"/>
        </w:rPr>
        <w:t>前台</w:t>
      </w:r>
    </w:p>
    <w:p w14:paraId="09694EEE">
      <w:pPr>
        <w:pStyle w:val="42"/>
        <w:spacing w:line="500" w:lineRule="exact"/>
        <w:ind w:firstLine="480" w:firstLineChars="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12.8.4联系电话：</w:t>
      </w:r>
      <w:r>
        <w:rPr>
          <w:rFonts w:hint="eastAsia" w:ascii="宋体" w:hAnsi="宋体" w:cs="宋体"/>
          <w:i w:val="0"/>
          <w:iCs w:val="0"/>
          <w:caps w:val="0"/>
          <w:color w:val="333333"/>
          <w:spacing w:val="0"/>
          <w:sz w:val="24"/>
          <w:szCs w:val="24"/>
          <w:highlight w:val="none"/>
          <w:shd w:val="clear" w:fill="FFFFFF"/>
          <w:vertAlign w:val="baseline"/>
          <w:lang w:eastAsia="zh-CN"/>
        </w:rPr>
        <w:t>029-88219779</w:t>
      </w:r>
    </w:p>
    <w:p w14:paraId="41BAA35D">
      <w:pPr>
        <w:pStyle w:val="42"/>
        <w:spacing w:line="500" w:lineRule="exact"/>
        <w:ind w:firstLine="480" w:firstLineChars="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31.8.5通讯地址：</w:t>
      </w:r>
      <w:r>
        <w:rPr>
          <w:rFonts w:hint="eastAsia" w:asciiTheme="minorEastAsia" w:hAnsiTheme="minorEastAsia" w:eastAsiaTheme="minorEastAsia" w:cstheme="minorEastAsia"/>
          <w:sz w:val="24"/>
          <w:szCs w:val="24"/>
          <w:highlight w:val="none"/>
          <w:lang w:eastAsia="zh-CN"/>
        </w:rPr>
        <w:t>陕西省西安市经济技术开发区未央路171-1号银池道拉斯财富中心21楼03室</w:t>
      </w:r>
    </w:p>
    <w:p w14:paraId="2036A4B7">
      <w:pPr>
        <w:spacing w:line="50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13.其他</w:t>
      </w:r>
    </w:p>
    <w:p w14:paraId="76652139">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 废标的情形</w:t>
      </w:r>
    </w:p>
    <w:p w14:paraId="0766F70E">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13.1.1招标采购中，出现下列情形之一的，应予以废标：</w:t>
      </w:r>
    </w:p>
    <w:p w14:paraId="3A9749C9">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（1）符合专业条件的投标人或者对招标文件作实质响应的投标人不足3家的；</w:t>
      </w:r>
    </w:p>
    <w:p w14:paraId="034FEE91">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（2）出现影响采购公正的违法、违规行为的；</w:t>
      </w:r>
    </w:p>
    <w:p w14:paraId="42DE7FF9">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（3）投标人的报价均超过了采购预算，采购人不能支付的；</w:t>
      </w:r>
    </w:p>
    <w:p w14:paraId="73E143DE">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（4）因重大变故，采购任务取消的。</w:t>
      </w:r>
    </w:p>
    <w:p w14:paraId="185FF750">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13.1.2废标后，采购代理机构应在财政部门指定采购网上公告，并公告废标的详细理由。</w:t>
      </w:r>
    </w:p>
    <w:p w14:paraId="321A072E">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13.2变更采购方式</w:t>
      </w:r>
    </w:p>
    <w:p w14:paraId="181A5937">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13.2.1存在下列情形之一的，除采购任务取消情形外，采购人经同级财政部门同意后，可按《政府采购货物和服务招标投标管理办法》（财政部87号令）第四十三条规定的方式处理：</w:t>
      </w:r>
    </w:p>
    <w:p w14:paraId="52ED0AA5">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（1）投标截止后参加投标的人不足3家的；</w:t>
      </w:r>
    </w:p>
    <w:p w14:paraId="22812675">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（2）通过资格审查的投标人不足3家的；</w:t>
      </w:r>
    </w:p>
    <w:p w14:paraId="6E8508E1">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（3）通过符合性审查的投标人不足3家的。</w:t>
      </w:r>
    </w:p>
    <w:p w14:paraId="51F5FB2C">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13.2.2通过符合性审查的投标人只有2家时，采购人经同级财政部门同意后，可以按《政府采购非招标采购方式管理办法》（财政部第74号令）的规定与该2家投标人进行竞争性谈判采购。</w:t>
      </w:r>
    </w:p>
    <w:p w14:paraId="17A2B8CA">
      <w:pPr>
        <w:spacing w:line="360" w:lineRule="auto"/>
        <w:ind w:firstLine="480" w:firstLineChars="200"/>
        <w:rPr>
          <w:rFonts w:asciiTheme="minorEastAsia" w:hAnsiTheme="minorEastAsia" w:eastAsiaTheme="minorEastAsia" w:cstheme="minorEastAsia"/>
          <w:sz w:val="24"/>
          <w:szCs w:val="24"/>
          <w:highlight w:val="none"/>
        </w:rPr>
      </w:pPr>
    </w:p>
    <w:p w14:paraId="2DF01B80">
      <w:pPr>
        <w:spacing w:line="360" w:lineRule="auto"/>
        <w:ind w:firstLine="420" w:firstLineChars="200"/>
        <w:rPr>
          <w:rFonts w:asciiTheme="minorEastAsia" w:hAnsiTheme="minorEastAsia" w:eastAsiaTheme="minorEastAsia" w:cstheme="minorEastAsia"/>
          <w:highlight w:val="none"/>
        </w:rPr>
        <w:sectPr>
          <w:footerReference r:id="rId8" w:type="default"/>
          <w:pgSz w:w="11906" w:h="16838"/>
          <w:pgMar w:top="1304" w:right="1361" w:bottom="1304" w:left="1361" w:header="851" w:footer="992" w:gutter="0"/>
          <w:pgNumType w:start="1"/>
          <w:cols w:space="0" w:num="1"/>
          <w:docGrid w:type="lines" w:linePitch="312" w:charSpace="0"/>
        </w:sectPr>
      </w:pPr>
    </w:p>
    <w:p w14:paraId="247B05BE">
      <w:pPr>
        <w:pStyle w:val="4"/>
        <w:keepNext w:val="0"/>
        <w:pageBreakBefore/>
        <w:spacing w:line="350" w:lineRule="auto"/>
        <w:jc w:val="center"/>
        <w:rPr>
          <w:rFonts w:hint="eastAsia" w:asciiTheme="minorEastAsia" w:hAnsiTheme="minorEastAsia" w:eastAsiaTheme="minorEastAsia" w:cstheme="minorEastAsia"/>
          <w:sz w:val="36"/>
          <w:szCs w:val="20"/>
          <w:highlight w:val="none"/>
        </w:rPr>
      </w:pPr>
      <w:bookmarkStart w:id="63" w:name="_Toc19056"/>
      <w:bookmarkStart w:id="64" w:name="_Toc8864"/>
      <w:bookmarkStart w:id="65" w:name="_Toc30469"/>
      <w:bookmarkStart w:id="66" w:name="_Toc13146"/>
      <w:bookmarkStart w:id="67" w:name="_Toc389582038"/>
      <w:bookmarkStart w:id="68" w:name="_Toc20481"/>
      <w:bookmarkStart w:id="69" w:name="_Toc1025"/>
      <w:bookmarkStart w:id="70" w:name="_Toc11450"/>
      <w:bookmarkStart w:id="71" w:name="_Toc23856"/>
      <w:bookmarkStart w:id="72" w:name="_Toc2711"/>
      <w:bookmarkStart w:id="73" w:name="_Toc4053"/>
      <w:bookmarkStart w:id="74" w:name="_Toc19346"/>
      <w:bookmarkStart w:id="75" w:name="_Toc351989128"/>
      <w:bookmarkStart w:id="76" w:name="_Toc421778377"/>
      <w:bookmarkStart w:id="77" w:name="_Toc221523521"/>
      <w:bookmarkStart w:id="78" w:name="_Toc9479"/>
      <w:r>
        <w:rPr>
          <w:rFonts w:hint="eastAsia" w:asciiTheme="minorEastAsia" w:hAnsiTheme="minorEastAsia" w:eastAsiaTheme="minorEastAsia" w:cstheme="minorEastAsia"/>
          <w:sz w:val="36"/>
          <w:szCs w:val="20"/>
          <w:highlight w:val="none"/>
        </w:rPr>
        <w:t>第三章  评审方法</w:t>
      </w:r>
      <w:bookmarkEnd w:id="63"/>
      <w:bookmarkEnd w:id="64"/>
      <w:bookmarkEnd w:id="65"/>
      <w:bookmarkEnd w:id="66"/>
    </w:p>
    <w:bookmarkEnd w:id="67"/>
    <w:bookmarkEnd w:id="68"/>
    <w:bookmarkEnd w:id="69"/>
    <w:bookmarkEnd w:id="70"/>
    <w:bookmarkEnd w:id="71"/>
    <w:bookmarkEnd w:id="72"/>
    <w:bookmarkEnd w:id="73"/>
    <w:p w14:paraId="55A63A6E">
      <w:pPr>
        <w:spacing w:beforeLines="50"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一．评标方法</w:t>
      </w:r>
    </w:p>
    <w:p w14:paraId="1D72333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照《中华人民共和国政府采购法》及实施条例和《中华人民共和国招标投标法》及其实施条例的规定，本次评标采用综合评分法，即在最大限度地满足招标文件实质性要求前提下，按照招标文件中规定的各项因素和相应的权重分值进行综合评审后，以总得分最高的投标人作为中标候选人并依次排序（最低报价不是中标的唯一标准）。</w:t>
      </w:r>
    </w:p>
    <w:p w14:paraId="191D3EC5">
      <w:pPr>
        <w:spacing w:beforeLines="50"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二．评标委员会负责具体评标事务，并独立履行下列职责：</w:t>
      </w:r>
    </w:p>
    <w:p w14:paraId="6D285E65">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（一）审查、评价投标文件是否符合招标文件的商务、技术等实质性要求；</w:t>
      </w:r>
    </w:p>
    <w:p w14:paraId="15A6ED4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（二）要求投标人对投标文件有关事项作出澄清或者说明；</w:t>
      </w:r>
    </w:p>
    <w:p w14:paraId="2789C379">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（三）对投标文件进行比较和评价；</w:t>
      </w:r>
    </w:p>
    <w:p w14:paraId="72F012F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（四）确定中标候选人名单，以及根据采购人委托直接确定中标人；</w:t>
      </w:r>
    </w:p>
    <w:p w14:paraId="22DD32B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（五）向采购人、采购代理机构或者有关部门报告评标中发现的违法行为。</w:t>
      </w:r>
    </w:p>
    <w:p w14:paraId="63FBECED">
      <w:pPr>
        <w:spacing w:beforeLines="50"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三.投标人存在下列情况之一的，投标无效：</w:t>
      </w:r>
    </w:p>
    <w:p w14:paraId="7D04143C">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1）没有按照招标文件要求提供的投标文件或投标文件构成有重大缺项；</w:t>
      </w:r>
    </w:p>
    <w:p w14:paraId="1146BEF3">
      <w:pPr>
        <w:kinsoku w:val="0"/>
        <w:spacing w:line="500" w:lineRule="exact"/>
        <w:ind w:firstLine="482" w:firstLineChars="200"/>
        <w:rPr>
          <w:rFonts w:asciiTheme="minorEastAsia" w:hAnsiTheme="minorEastAsia" w:eastAsiaTheme="minorEastAsia" w:cstheme="minorEastAsia"/>
          <w:b/>
          <w:bCs/>
          <w:spacing w:val="-6"/>
          <w:sz w:val="24"/>
          <w:szCs w:val="24"/>
          <w:highlight w:val="none"/>
        </w:rPr>
      </w:pPr>
      <w:r>
        <w:rPr>
          <w:rFonts w:hint="eastAsia" w:asciiTheme="minorEastAsia" w:hAnsiTheme="minorEastAsia" w:eastAsiaTheme="minorEastAsia" w:cstheme="minorEastAsia"/>
          <w:b/>
          <w:bCs/>
          <w:sz w:val="24"/>
          <w:szCs w:val="24"/>
          <w:highlight w:val="none"/>
        </w:rPr>
        <w:t>2）投标</w:t>
      </w:r>
      <w:r>
        <w:rPr>
          <w:rFonts w:hint="eastAsia" w:asciiTheme="minorEastAsia" w:hAnsiTheme="minorEastAsia" w:eastAsiaTheme="minorEastAsia" w:cstheme="minorEastAsia"/>
          <w:b/>
          <w:bCs/>
          <w:spacing w:val="-6"/>
          <w:sz w:val="24"/>
          <w:szCs w:val="24"/>
          <w:highlight w:val="none"/>
        </w:rPr>
        <w:t>文件</w:t>
      </w:r>
      <w:r>
        <w:rPr>
          <w:rFonts w:hint="eastAsia" w:asciiTheme="minorEastAsia" w:hAnsiTheme="minorEastAsia" w:eastAsiaTheme="minorEastAsia" w:cstheme="minorEastAsia"/>
          <w:b/>
          <w:bCs/>
          <w:sz w:val="24"/>
          <w:szCs w:val="24"/>
          <w:highlight w:val="none"/>
        </w:rPr>
        <w:t>未按招标文件要求密封、签署、盖章的；</w:t>
      </w:r>
    </w:p>
    <w:p w14:paraId="143F7CB6">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3）投标人未提交有效的投标保证金或金额不足的、投标保证金形式不符合招标文件要求的；</w:t>
      </w:r>
    </w:p>
    <w:p w14:paraId="24FC1A24">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4）资格证明文件不全的或无效的，或不符合国家规定的；</w:t>
      </w:r>
    </w:p>
    <w:p w14:paraId="73D1487C">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5）投标文件无投标人公章、无法定代表人或授权人签章或签章人无法定代表人有效委托书的；</w:t>
      </w:r>
    </w:p>
    <w:p w14:paraId="617AAED1">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6）</w:t>
      </w:r>
      <w:r>
        <w:rPr>
          <w:rFonts w:hint="eastAsia" w:asciiTheme="minorEastAsia" w:hAnsiTheme="minorEastAsia" w:eastAsiaTheme="minorEastAsia" w:cstheme="minorEastAsia"/>
          <w:b/>
          <w:bCs/>
          <w:spacing w:val="-6"/>
          <w:sz w:val="24"/>
          <w:szCs w:val="24"/>
          <w:highlight w:val="none"/>
        </w:rPr>
        <w:t>无投标有效期或有效期达不到招标文件要求的</w:t>
      </w:r>
      <w:r>
        <w:rPr>
          <w:rFonts w:hint="eastAsia" w:asciiTheme="minorEastAsia" w:hAnsiTheme="minorEastAsia" w:eastAsiaTheme="minorEastAsia" w:cstheme="minorEastAsia"/>
          <w:b/>
          <w:bCs/>
          <w:sz w:val="24"/>
          <w:szCs w:val="24"/>
          <w:highlight w:val="none"/>
        </w:rPr>
        <w:t>；</w:t>
      </w:r>
    </w:p>
    <w:p w14:paraId="281CDBEB">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7）投标人在同一份投标文件中，对同一招标产品报有两个或多个报价的；</w:t>
      </w:r>
    </w:p>
    <w:p w14:paraId="055B8443">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8）存在有重大缺漏项和重大技术偏离的投标产品；</w:t>
      </w:r>
    </w:p>
    <w:p w14:paraId="3D810360">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9）投标人有串通投标、以他人名义投标、弄虚作假、行贿等违法行为的；</w:t>
      </w:r>
    </w:p>
    <w:p w14:paraId="45C76427">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10）投标总报价低于成本或者高于招标文件公布的采购预算的。</w:t>
      </w:r>
    </w:p>
    <w:p w14:paraId="145C7F06">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11）提供虚假投标文件和资料的。</w:t>
      </w:r>
    </w:p>
    <w:p w14:paraId="5E4AB7BF">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12）法律、法规和招标文件规定的其他无效情形；</w:t>
      </w:r>
    </w:p>
    <w:p w14:paraId="2069AD1C">
      <w:pPr>
        <w:spacing w:beforeLines="50"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四.投标人有下列情形之一的，视为投标人串通投标，其投标无效：</w:t>
      </w:r>
    </w:p>
    <w:p w14:paraId="4390330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（一）不同投标人的投标文件由同一单位或者个人编制；</w:t>
      </w:r>
    </w:p>
    <w:p w14:paraId="21C21EF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（二）不同投标人委托同一单位或者个人办理投标事宜；</w:t>
      </w:r>
    </w:p>
    <w:p w14:paraId="52A525C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（三）不同投标人的投标文件载明的项目管理成员或者联系人员为同一人；</w:t>
      </w:r>
    </w:p>
    <w:p w14:paraId="395695C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（四）不同投标人的投标文件异常一致或者投标报价呈规律性差异；</w:t>
      </w:r>
    </w:p>
    <w:p w14:paraId="569CDD6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（五）不同投标人的投标文件相互混装；</w:t>
      </w:r>
    </w:p>
    <w:p w14:paraId="19E65E27">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（六）不同投标人的投标保证金从同一单位或者个人的账户转出。</w:t>
      </w:r>
    </w:p>
    <w:p w14:paraId="79E833AB">
      <w:pPr>
        <w:spacing w:beforeLines="50"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五.评标程序</w:t>
      </w:r>
    </w:p>
    <w:p w14:paraId="0426CA41">
      <w:pPr>
        <w:spacing w:line="360" w:lineRule="auto"/>
        <w:ind w:firstLine="482"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1、投标文件的资格性审查：</w:t>
      </w:r>
    </w:p>
    <w:p w14:paraId="5FDBCDE9">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采购人及代理机构对投标人的投标文件进行资格性审查，以确定其是否满足招标文件的资格要求。</w:t>
      </w:r>
    </w:p>
    <w:p w14:paraId="70AA056C">
      <w:pPr>
        <w:spacing w:line="360" w:lineRule="auto"/>
        <w:ind w:firstLine="482"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2、投标文件的符合性审查：</w:t>
      </w:r>
    </w:p>
    <w:p w14:paraId="4D7F369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评标委员会对符合资格的投标人的投标文件进行符合性审查，以确定其是否满足招标文件的商务、技术等实质性要求。</w:t>
      </w:r>
    </w:p>
    <w:p w14:paraId="424B4143">
      <w:pPr>
        <w:spacing w:line="360" w:lineRule="auto"/>
        <w:ind w:firstLine="482"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3、评委会对报价明显偏低的审查：</w:t>
      </w:r>
    </w:p>
    <w:p w14:paraId="52A6C04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5F41675F">
      <w:pPr>
        <w:spacing w:line="360" w:lineRule="auto"/>
        <w:ind w:firstLine="482"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4、澄清有关问题：</w:t>
      </w:r>
    </w:p>
    <w:p w14:paraId="1985A03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对于投标文件中含义不明确、同类问题表述不一致或者有明显文字和计算错误的内容，评标委员会以书面形式要求投标人做出必要的澄清、说明或者补正。投标人的澄清、说明或者补正应当采用书面形式，由法定代表人或其授权的代表签署全名。投标人的澄清、说明或者补正不得超出投标文件的范围或者改变投标文件的实质性内容。</w:t>
      </w:r>
    </w:p>
    <w:p w14:paraId="2B9AAE1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4.2投标文件报价出现前后不一致的，按照下列规定修正：</w:t>
      </w:r>
    </w:p>
    <w:p w14:paraId="00E50A75">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（一）大写金额和小写金额不一致的，以大写金额为准；</w:t>
      </w:r>
    </w:p>
    <w:p w14:paraId="348E8A08">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（二）单价金额小数点或者百分比有明显错位的，以开标一览表的总价为准，并修改单价；</w:t>
      </w:r>
    </w:p>
    <w:p w14:paraId="5F755635">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（三）总价金额与按单价汇总金额不一致的，以单价金额计算结果为准。</w:t>
      </w:r>
    </w:p>
    <w:p w14:paraId="116B9FD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同时出现两种以上不一致的，按照前款规定的顺序修正。修正后的报价经投标人书面确认后产生约束力，投标人不确认的，其投标无效。</w:t>
      </w:r>
    </w:p>
    <w:p w14:paraId="66D25823">
      <w:pPr>
        <w:spacing w:beforeLines="50" w:line="360" w:lineRule="auto"/>
        <w:ind w:firstLine="498" w:firstLineChars="200"/>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5、比较与评价：</w:t>
      </w:r>
    </w:p>
    <w:p w14:paraId="2C6A3B87">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评委会各成员按照《评审因素量化赋分表》规定的内容，独立进行综合比较、评价打分。 </w:t>
      </w:r>
    </w:p>
    <w:p w14:paraId="016DB3BB">
      <w:pPr>
        <w:spacing w:beforeLines="50" w:line="360" w:lineRule="auto"/>
        <w:ind w:firstLine="498" w:firstLineChars="200"/>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6、推荐中标候选人名单：</w:t>
      </w:r>
    </w:p>
    <w:p w14:paraId="3F0C56C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6.1汇总全体评委对每个投标人的赋分，计算出每个投标人的综合得分，按标段得分从高到低顺序排列，推荐前1～3名为中标候选人。</w:t>
      </w:r>
    </w:p>
    <w:p w14:paraId="5261910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6.2得分相同的，按投标报价由低到高顺序排列。得分且投标报价相同的并列。</w:t>
      </w:r>
    </w:p>
    <w:p w14:paraId="34222E8C">
      <w:pPr>
        <w:keepNext w:val="0"/>
        <w:keepLines w:val="0"/>
        <w:pageBreakBefore w:val="0"/>
        <w:widowControl w:val="0"/>
        <w:kinsoku/>
        <w:wordWrap/>
        <w:overflowPunct/>
        <w:topLinePunct w:val="0"/>
        <w:autoSpaceDE/>
        <w:autoSpaceDN/>
        <w:bidi w:val="0"/>
        <w:spacing w:line="360" w:lineRule="auto"/>
        <w:ind w:firstLine="120" w:firstLineChars="5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四、政策性扣减</w:t>
      </w:r>
    </w:p>
    <w:p w14:paraId="6B465010">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1、政策性扣减范围</w:t>
      </w:r>
    </w:p>
    <w:p w14:paraId="78B9CA7C">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1.1供应商符合小型、微型企业或监狱企业、残疾人福利性单位条件的，其投标报价价格评审时将按相应比例进行扣减。</w:t>
      </w:r>
    </w:p>
    <w:p w14:paraId="1E75884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1.2依照&lt;关于印发《政府采购促进中小企业发展暂行办法》的通知&gt;财库〔2020〕46号的规定，小型、微型企业应当同时符合以下条件：</w:t>
      </w:r>
    </w:p>
    <w:p w14:paraId="5A4E913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1.2.1符合中小企业划分标准（中小企业划分标准是指国务院有关部门根据企业从业人员、营业收入、资产总额等指标制定的中小企业划型标准（工信部联企业〔2011〕300号））。</w:t>
      </w:r>
    </w:p>
    <w:p w14:paraId="5DAFAE28">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1.2.2提供本企业制造的货物、承担的工程或者服务，或者提供其他中小企业制造的货物，不包括提供或使用大型企业注册商标的货物。</w:t>
      </w:r>
    </w:p>
    <w:p w14:paraId="140A8C5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1.2.3小型、微型企业提供中型企业制造的货物的，视同为中型企业；小型、微型、中型企业提供大型企业制造的货物的，视同为大型企业。</w:t>
      </w:r>
    </w:p>
    <w:p w14:paraId="487386D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采购人拟采购产品属于优先采购节能环保产品范围的，应当优先采购节能环保产品，节能产品以财政部国家发展改革委关于调整公布最新一期节能产品政府采购清单所列产品为准。环保产品以财政部环境保护部关于调整公布最新一期环境标志产品政府采购清单所列产品为准。所投产品符合政府采购强制采购政策的，实行强制采购。</w:t>
      </w:r>
    </w:p>
    <w:p w14:paraId="3665B91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节能产品政府采购清单”：符合政府采购优先采购政策的，所投产品属于“节能产品政府采购清单”中品目的产品，需提供最新一期“节能产品政府采购清单”中投标产品所在清单页并加盖供应商公章。该清单可在中国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"http://www.ccgp.gov.cn/" </w:instrText>
      </w:r>
      <w:r>
        <w:rPr>
          <w:rFonts w:hint="eastAsia" w:ascii="宋体" w:hAnsi="宋体" w:eastAsia="宋体" w:cs="宋体"/>
          <w:color w:val="auto"/>
          <w:sz w:val="24"/>
          <w:szCs w:val="24"/>
          <w:highlight w:val="none"/>
        </w:rPr>
        <w:fldChar w:fldCharType="separate"/>
      </w:r>
      <w:r>
        <w:rPr>
          <w:rStyle w:val="35"/>
          <w:rFonts w:hint="eastAsia" w:ascii="宋体" w:hAnsi="宋体" w:eastAsia="宋体" w:cs="宋体"/>
          <w:color w:val="auto"/>
          <w:sz w:val="24"/>
          <w:szCs w:val="24"/>
          <w:highlight w:val="none"/>
        </w:rPr>
        <w:t>http://www.ccgp.gov.cn/</w:t>
      </w:r>
      <w:r>
        <w:rPr>
          <w:rStyle w:val="35"/>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）上查找。</w:t>
      </w:r>
    </w:p>
    <w:p w14:paraId="71B9C1B2">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环境标志产品政府采购清单”：所投产品属于“环境标志产品政府采购清单”中品目的产品，需提供最新一期“环境标志产品政府采购清单”中投标产品所在清单页并加盖供应商公章。该清单可在中国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"http://www.ccgp.gov.cn/" </w:instrText>
      </w:r>
      <w:r>
        <w:rPr>
          <w:rFonts w:hint="eastAsia" w:ascii="宋体" w:hAnsi="宋体" w:eastAsia="宋体" w:cs="宋体"/>
          <w:color w:val="auto"/>
          <w:sz w:val="24"/>
          <w:szCs w:val="24"/>
          <w:highlight w:val="none"/>
        </w:rPr>
        <w:fldChar w:fldCharType="separate"/>
      </w:r>
      <w:r>
        <w:rPr>
          <w:rStyle w:val="35"/>
          <w:rFonts w:hint="eastAsia" w:ascii="宋体" w:hAnsi="宋体" w:eastAsia="宋体" w:cs="宋体"/>
          <w:color w:val="auto"/>
          <w:sz w:val="24"/>
          <w:szCs w:val="24"/>
          <w:highlight w:val="none"/>
        </w:rPr>
        <w:t>http://www.ccgp.gov.cn/</w:t>
      </w:r>
      <w:r>
        <w:rPr>
          <w:rStyle w:val="35"/>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）上查找。</w:t>
      </w:r>
    </w:p>
    <w:p w14:paraId="0AD121A6">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14:paraId="0C0D065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6426ACC6">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2、政策性扣减方式：</w:t>
      </w:r>
    </w:p>
    <w:p w14:paraId="4D73BB6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2.1在投标报价的基础上，对小微企业、监狱企业、残疾人福利性单位，按“投标报价×</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%”进行扣减；</w:t>
      </w:r>
    </w:p>
    <w:p w14:paraId="304B9C3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2.2供应商为联合体参与投标，且联合协议中约定小型或微型企业的协议合同金额占到联合体协议合同总金额30％以上的，按“投标报价×2%”进行扣减；</w:t>
      </w:r>
    </w:p>
    <w:p w14:paraId="054174A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2.3供应商享受</w:t>
      </w:r>
      <w:r>
        <w:rPr>
          <w:rFonts w:hint="eastAsia" w:ascii="宋体" w:hAnsi="宋体" w:eastAsia="宋体" w:cs="宋体"/>
          <w:bCs/>
          <w:color w:val="auto"/>
          <w:sz w:val="24"/>
          <w:szCs w:val="24"/>
          <w:highlight w:val="none"/>
        </w:rPr>
        <w:t>支持</w:t>
      </w:r>
      <w:r>
        <w:rPr>
          <w:rFonts w:hint="eastAsia" w:ascii="宋体" w:hAnsi="宋体" w:eastAsia="宋体" w:cs="宋体"/>
          <w:color w:val="auto"/>
          <w:sz w:val="24"/>
          <w:szCs w:val="24"/>
          <w:highlight w:val="none"/>
        </w:rPr>
        <w:t>中小型企业发展政策优惠的，可以同时享受节能、环境标志产品优先采购政策；</w:t>
      </w:r>
    </w:p>
    <w:p w14:paraId="21DE11FC">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color w:val="auto"/>
          <w:sz w:val="24"/>
          <w:szCs w:val="24"/>
          <w:highlight w:val="none"/>
        </w:rPr>
        <w:t>3、中标价格=中标供应商的有效投标报价。</w:t>
      </w:r>
    </w:p>
    <w:p w14:paraId="77484340">
      <w:pPr>
        <w:bidi w:val="0"/>
        <w:rPr>
          <w:highlight w:val="none"/>
        </w:rPr>
      </w:pPr>
    </w:p>
    <w:p w14:paraId="571E3434">
      <w:pPr>
        <w:spacing w:line="360" w:lineRule="auto"/>
        <w:ind w:right="40" w:rightChars="19" w:firstLine="42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Cs w:val="28"/>
          <w:highlight w:val="none"/>
        </w:rPr>
        <w:br w:type="page"/>
      </w:r>
    </w:p>
    <w:p w14:paraId="39EC07D5">
      <w:pPr>
        <w:pStyle w:val="12"/>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b/>
          <w:bCs/>
          <w:szCs w:val="28"/>
          <w:highlight w:val="none"/>
        </w:rPr>
        <w:t>附件1：</w:t>
      </w:r>
    </w:p>
    <w:p w14:paraId="4CDEBD60">
      <w:pPr>
        <w:tabs>
          <w:tab w:val="left" w:pos="0"/>
        </w:tabs>
        <w:adjustRightInd w:val="0"/>
        <w:snapToGrid w:val="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初步审查要素表</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577"/>
        <w:gridCol w:w="537"/>
        <w:gridCol w:w="2223"/>
        <w:gridCol w:w="5240"/>
      </w:tblGrid>
      <w:tr w14:paraId="4E9C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blHeader/>
        </w:trPr>
        <w:tc>
          <w:tcPr>
            <w:tcW w:w="743" w:type="pct"/>
            <w:gridSpan w:val="2"/>
            <w:vAlign w:val="center"/>
          </w:tcPr>
          <w:p w14:paraId="37448C75">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条款号</w:t>
            </w:r>
          </w:p>
        </w:tc>
        <w:tc>
          <w:tcPr>
            <w:tcW w:w="1469" w:type="pct"/>
            <w:gridSpan w:val="2"/>
            <w:vAlign w:val="center"/>
          </w:tcPr>
          <w:p w14:paraId="14B04A0F">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评审因素</w:t>
            </w:r>
          </w:p>
        </w:tc>
        <w:tc>
          <w:tcPr>
            <w:tcW w:w="2786" w:type="pct"/>
            <w:vAlign w:val="center"/>
          </w:tcPr>
          <w:p w14:paraId="59BD54CD">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评审标准</w:t>
            </w:r>
          </w:p>
        </w:tc>
      </w:tr>
      <w:tr w14:paraId="1BE3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43" w:type="pct"/>
            <w:gridSpan w:val="2"/>
            <w:vMerge w:val="restart"/>
            <w:vAlign w:val="center"/>
          </w:tcPr>
          <w:p w14:paraId="440A8536">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2.1.1</w:t>
            </w:r>
          </w:p>
          <w:p w14:paraId="4604B086">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资格评审</w:t>
            </w:r>
          </w:p>
          <w:p w14:paraId="788371D9">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标准</w:t>
            </w:r>
          </w:p>
        </w:tc>
        <w:tc>
          <w:tcPr>
            <w:tcW w:w="1469" w:type="pct"/>
            <w:gridSpan w:val="2"/>
            <w:vAlign w:val="center"/>
          </w:tcPr>
          <w:p w14:paraId="3EB79631">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营业执照等主体资格证明文件</w:t>
            </w:r>
          </w:p>
        </w:tc>
        <w:tc>
          <w:tcPr>
            <w:tcW w:w="2786" w:type="pct"/>
            <w:vAlign w:val="center"/>
          </w:tcPr>
          <w:p w14:paraId="154C5CAF">
            <w:pPr>
              <w:tabs>
                <w:tab w:val="left" w:pos="0"/>
              </w:tabs>
              <w:adjustRightInd w:val="0"/>
              <w:snapToGrid w:val="0"/>
              <w:jc w:val="center"/>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提供合格有效的法人或者其他组织的营业执照等证明文件，自然人的身份证明</w:t>
            </w:r>
            <w:r>
              <w:rPr>
                <w:rFonts w:hint="eastAsia" w:ascii="宋体" w:hAnsi="宋体" w:cs="宋体"/>
                <w:sz w:val="24"/>
                <w:szCs w:val="24"/>
                <w:highlight w:val="none"/>
                <w:lang w:eastAsia="zh-CN"/>
              </w:rPr>
              <w:t>；</w:t>
            </w:r>
          </w:p>
        </w:tc>
      </w:tr>
      <w:tr w14:paraId="58C1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743" w:type="pct"/>
            <w:gridSpan w:val="2"/>
            <w:vMerge w:val="continue"/>
            <w:vAlign w:val="center"/>
          </w:tcPr>
          <w:p w14:paraId="6A9F867E">
            <w:pPr>
              <w:tabs>
                <w:tab w:val="left" w:pos="0"/>
              </w:tabs>
              <w:adjustRightInd w:val="0"/>
              <w:snapToGrid w:val="0"/>
              <w:jc w:val="center"/>
              <w:rPr>
                <w:rFonts w:ascii="宋体" w:hAnsi="宋体" w:cs="宋体"/>
                <w:b/>
                <w:sz w:val="24"/>
                <w:szCs w:val="24"/>
                <w:highlight w:val="none"/>
              </w:rPr>
            </w:pPr>
          </w:p>
        </w:tc>
        <w:tc>
          <w:tcPr>
            <w:tcW w:w="1469" w:type="pct"/>
            <w:gridSpan w:val="2"/>
            <w:vAlign w:val="center"/>
          </w:tcPr>
          <w:p w14:paraId="6920C2BB">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法定代表人授权书/法定</w:t>
            </w:r>
          </w:p>
          <w:p w14:paraId="74A7D01E">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代表人身份证明</w:t>
            </w:r>
          </w:p>
        </w:tc>
        <w:tc>
          <w:tcPr>
            <w:tcW w:w="2786" w:type="pct"/>
            <w:vAlign w:val="center"/>
          </w:tcPr>
          <w:p w14:paraId="4E235674">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提供法定代表人授权书（附法定代表人、被授权人身份证复印件，法定代表人直接参加投标，须提供法定代表人身份证明及身份证复印件）；</w:t>
            </w:r>
          </w:p>
        </w:tc>
      </w:tr>
      <w:tr w14:paraId="2803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743" w:type="pct"/>
            <w:gridSpan w:val="2"/>
            <w:vMerge w:val="continue"/>
            <w:vAlign w:val="center"/>
          </w:tcPr>
          <w:p w14:paraId="2C2F1247">
            <w:pPr>
              <w:tabs>
                <w:tab w:val="left" w:pos="0"/>
              </w:tabs>
              <w:adjustRightInd w:val="0"/>
              <w:snapToGrid w:val="0"/>
              <w:jc w:val="center"/>
              <w:rPr>
                <w:rFonts w:ascii="宋体" w:hAnsi="宋体" w:cs="宋体"/>
                <w:b/>
                <w:sz w:val="24"/>
                <w:szCs w:val="24"/>
                <w:highlight w:val="none"/>
              </w:rPr>
            </w:pPr>
          </w:p>
        </w:tc>
        <w:tc>
          <w:tcPr>
            <w:tcW w:w="1469" w:type="pct"/>
            <w:gridSpan w:val="2"/>
            <w:vAlign w:val="center"/>
          </w:tcPr>
          <w:p w14:paraId="7EE891CB">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财务状况</w:t>
            </w:r>
          </w:p>
        </w:tc>
        <w:tc>
          <w:tcPr>
            <w:tcW w:w="2786" w:type="pct"/>
            <w:vAlign w:val="center"/>
          </w:tcPr>
          <w:p w14:paraId="36A96AA2">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提供2024年度或的财务审计报告（成立时间至提交投标文件截止时间不足一年的可提供成立后任意时段的资产负债表）或开标时间前六个月内银行出具的资信证明；</w:t>
            </w:r>
          </w:p>
        </w:tc>
      </w:tr>
      <w:tr w14:paraId="1E6E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743" w:type="pct"/>
            <w:gridSpan w:val="2"/>
            <w:vMerge w:val="continue"/>
            <w:vAlign w:val="center"/>
          </w:tcPr>
          <w:p w14:paraId="387BFD80">
            <w:pPr>
              <w:tabs>
                <w:tab w:val="left" w:pos="0"/>
              </w:tabs>
              <w:adjustRightInd w:val="0"/>
              <w:snapToGrid w:val="0"/>
              <w:jc w:val="center"/>
              <w:rPr>
                <w:rFonts w:ascii="宋体" w:hAnsi="宋体" w:cs="宋体"/>
                <w:b/>
                <w:sz w:val="24"/>
                <w:szCs w:val="24"/>
                <w:highlight w:val="none"/>
              </w:rPr>
            </w:pPr>
          </w:p>
        </w:tc>
        <w:tc>
          <w:tcPr>
            <w:tcW w:w="1469" w:type="pct"/>
            <w:gridSpan w:val="2"/>
            <w:vAlign w:val="center"/>
          </w:tcPr>
          <w:p w14:paraId="3260CE9B">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税收缴纳证明</w:t>
            </w:r>
          </w:p>
        </w:tc>
        <w:tc>
          <w:tcPr>
            <w:tcW w:w="2786" w:type="pct"/>
            <w:vAlign w:val="center"/>
          </w:tcPr>
          <w:p w14:paraId="7D8A7EA5">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提供投标截止日前近一年内任意一个月的纳税证明或完税证明（任意税种），依法免税的单位应提供相关证明材料；</w:t>
            </w:r>
          </w:p>
        </w:tc>
      </w:tr>
      <w:tr w14:paraId="2ACD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743" w:type="pct"/>
            <w:gridSpan w:val="2"/>
            <w:vMerge w:val="continue"/>
            <w:vAlign w:val="center"/>
          </w:tcPr>
          <w:p w14:paraId="2C63F1BB">
            <w:pPr>
              <w:tabs>
                <w:tab w:val="left" w:pos="0"/>
              </w:tabs>
              <w:adjustRightInd w:val="0"/>
              <w:snapToGrid w:val="0"/>
              <w:jc w:val="center"/>
              <w:rPr>
                <w:rFonts w:ascii="宋体" w:hAnsi="宋体" w:cs="宋体"/>
                <w:b/>
                <w:sz w:val="24"/>
                <w:szCs w:val="24"/>
                <w:highlight w:val="none"/>
              </w:rPr>
            </w:pPr>
          </w:p>
        </w:tc>
        <w:tc>
          <w:tcPr>
            <w:tcW w:w="1469" w:type="pct"/>
            <w:gridSpan w:val="2"/>
            <w:vAlign w:val="center"/>
          </w:tcPr>
          <w:p w14:paraId="081695B1">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社会保障资金缴纳证明</w:t>
            </w:r>
          </w:p>
        </w:tc>
        <w:tc>
          <w:tcPr>
            <w:tcW w:w="2786" w:type="pct"/>
            <w:vAlign w:val="center"/>
          </w:tcPr>
          <w:p w14:paraId="5736FCAF">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提供投标截止日前近一年内任意一个月的社会保障资金缴存单据或社保机构开具的社会保险参保缴费情况证明，依法不需要缴纳社会保障资金的单位应提供相关证明材料；</w:t>
            </w:r>
          </w:p>
        </w:tc>
      </w:tr>
      <w:tr w14:paraId="512D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743" w:type="pct"/>
            <w:gridSpan w:val="2"/>
            <w:vMerge w:val="continue"/>
            <w:vAlign w:val="center"/>
          </w:tcPr>
          <w:p w14:paraId="2D94DF1C">
            <w:pPr>
              <w:tabs>
                <w:tab w:val="left" w:pos="0"/>
              </w:tabs>
              <w:adjustRightInd w:val="0"/>
              <w:snapToGrid w:val="0"/>
              <w:jc w:val="center"/>
              <w:rPr>
                <w:rFonts w:ascii="宋体" w:hAnsi="宋体" w:cs="宋体"/>
                <w:b/>
                <w:sz w:val="24"/>
                <w:szCs w:val="24"/>
                <w:highlight w:val="none"/>
              </w:rPr>
            </w:pPr>
          </w:p>
        </w:tc>
        <w:tc>
          <w:tcPr>
            <w:tcW w:w="1469" w:type="pct"/>
            <w:gridSpan w:val="2"/>
            <w:shd w:val="clear" w:color="auto" w:fill="auto"/>
            <w:vAlign w:val="center"/>
          </w:tcPr>
          <w:p w14:paraId="564CCF5E">
            <w:pPr>
              <w:tabs>
                <w:tab w:val="left" w:pos="0"/>
              </w:tabs>
              <w:adjustRightInd w:val="0"/>
              <w:snapToGrid w:val="0"/>
              <w:jc w:val="center"/>
              <w:rPr>
                <w:rFonts w:hint="eastAsia" w:ascii="宋体" w:hAnsi="宋体" w:eastAsia="宋体" w:cs="宋体"/>
                <w:b/>
                <w:kern w:val="2"/>
                <w:sz w:val="24"/>
                <w:szCs w:val="24"/>
                <w:highlight w:val="none"/>
                <w:lang w:val="en-US" w:eastAsia="zh-CN" w:bidi="ar-SA"/>
              </w:rPr>
            </w:pPr>
            <w:r>
              <w:rPr>
                <w:rFonts w:hint="eastAsia" w:ascii="宋体" w:hAnsi="宋体" w:cs="宋体"/>
                <w:b/>
                <w:sz w:val="24"/>
                <w:szCs w:val="24"/>
                <w:highlight w:val="none"/>
              </w:rPr>
              <w:t>书面承诺书</w:t>
            </w:r>
          </w:p>
        </w:tc>
        <w:tc>
          <w:tcPr>
            <w:tcW w:w="2786" w:type="pct"/>
            <w:shd w:val="clear" w:color="auto" w:fill="auto"/>
            <w:vAlign w:val="center"/>
          </w:tcPr>
          <w:p w14:paraId="65DE278D">
            <w:pPr>
              <w:tabs>
                <w:tab w:val="left" w:pos="0"/>
              </w:tabs>
              <w:adjustRightInd w:val="0"/>
              <w:snapToGrid w:val="0"/>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提供具有履行合同所必需的设备和专业技术能力的书面承诺；</w:t>
            </w:r>
          </w:p>
        </w:tc>
      </w:tr>
      <w:tr w14:paraId="0732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743" w:type="pct"/>
            <w:gridSpan w:val="2"/>
            <w:vMerge w:val="continue"/>
            <w:vAlign w:val="center"/>
          </w:tcPr>
          <w:p w14:paraId="49B5F90E">
            <w:pPr>
              <w:tabs>
                <w:tab w:val="left" w:pos="0"/>
              </w:tabs>
              <w:adjustRightInd w:val="0"/>
              <w:snapToGrid w:val="0"/>
              <w:jc w:val="center"/>
              <w:rPr>
                <w:rFonts w:ascii="宋体" w:hAnsi="宋体" w:cs="宋体"/>
                <w:b/>
                <w:sz w:val="24"/>
                <w:szCs w:val="24"/>
                <w:highlight w:val="none"/>
              </w:rPr>
            </w:pPr>
          </w:p>
        </w:tc>
        <w:tc>
          <w:tcPr>
            <w:tcW w:w="1469" w:type="pct"/>
            <w:gridSpan w:val="2"/>
            <w:vAlign w:val="center"/>
          </w:tcPr>
          <w:p w14:paraId="729702FB">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信用记录</w:t>
            </w:r>
          </w:p>
        </w:tc>
        <w:tc>
          <w:tcPr>
            <w:tcW w:w="2786" w:type="pct"/>
            <w:vAlign w:val="center"/>
          </w:tcPr>
          <w:p w14:paraId="11B8F5BF">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供应商通过“信用中国”网站(www.creditchina.gov.cn)、中国政府采购网(www.ccgp.gov.cn)等查询相关主体信用记录；</w:t>
            </w:r>
          </w:p>
        </w:tc>
      </w:tr>
      <w:tr w14:paraId="195DD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43" w:type="pct"/>
            <w:gridSpan w:val="2"/>
            <w:vMerge w:val="continue"/>
            <w:vAlign w:val="center"/>
          </w:tcPr>
          <w:p w14:paraId="0B2C9256">
            <w:pPr>
              <w:tabs>
                <w:tab w:val="left" w:pos="0"/>
              </w:tabs>
              <w:adjustRightInd w:val="0"/>
              <w:snapToGrid w:val="0"/>
              <w:jc w:val="center"/>
              <w:rPr>
                <w:rFonts w:ascii="宋体" w:hAnsi="宋体" w:cs="宋体"/>
                <w:b/>
                <w:sz w:val="24"/>
                <w:szCs w:val="24"/>
                <w:highlight w:val="none"/>
              </w:rPr>
            </w:pPr>
          </w:p>
        </w:tc>
        <w:tc>
          <w:tcPr>
            <w:tcW w:w="1469" w:type="pct"/>
            <w:gridSpan w:val="2"/>
            <w:vAlign w:val="center"/>
          </w:tcPr>
          <w:p w14:paraId="711BB5A4">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书面声明</w:t>
            </w:r>
          </w:p>
        </w:tc>
        <w:tc>
          <w:tcPr>
            <w:tcW w:w="2786" w:type="pct"/>
            <w:vAlign w:val="center"/>
          </w:tcPr>
          <w:p w14:paraId="27DB8B5A">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参加政府采购活动前3年内，在经营活动中没有重大违法记录的书面声明；</w:t>
            </w:r>
          </w:p>
        </w:tc>
      </w:tr>
      <w:tr w14:paraId="65B8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43" w:type="pct"/>
            <w:gridSpan w:val="2"/>
            <w:vMerge w:val="continue"/>
            <w:vAlign w:val="center"/>
          </w:tcPr>
          <w:p w14:paraId="43E52D3D">
            <w:pPr>
              <w:tabs>
                <w:tab w:val="left" w:pos="0"/>
              </w:tabs>
              <w:adjustRightInd w:val="0"/>
              <w:snapToGrid w:val="0"/>
              <w:jc w:val="center"/>
              <w:rPr>
                <w:rFonts w:ascii="宋体" w:hAnsi="宋体" w:cs="宋体"/>
                <w:b/>
                <w:sz w:val="24"/>
                <w:szCs w:val="24"/>
                <w:highlight w:val="none"/>
              </w:rPr>
            </w:pPr>
          </w:p>
        </w:tc>
        <w:tc>
          <w:tcPr>
            <w:tcW w:w="1469" w:type="pct"/>
            <w:gridSpan w:val="2"/>
            <w:vAlign w:val="center"/>
          </w:tcPr>
          <w:p w14:paraId="3A7DFEAA">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中小企业声明函</w:t>
            </w:r>
          </w:p>
        </w:tc>
        <w:tc>
          <w:tcPr>
            <w:tcW w:w="2786" w:type="pct"/>
            <w:vAlign w:val="center"/>
          </w:tcPr>
          <w:p w14:paraId="76B8E427">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投标人须提供中小企业声明函；</w:t>
            </w:r>
          </w:p>
        </w:tc>
      </w:tr>
      <w:tr w14:paraId="3532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3" w:type="pct"/>
            <w:gridSpan w:val="2"/>
            <w:vMerge w:val="continue"/>
            <w:vAlign w:val="center"/>
          </w:tcPr>
          <w:p w14:paraId="75C6545F">
            <w:pPr>
              <w:tabs>
                <w:tab w:val="left" w:pos="0"/>
              </w:tabs>
              <w:adjustRightInd w:val="0"/>
              <w:snapToGrid w:val="0"/>
              <w:jc w:val="center"/>
              <w:rPr>
                <w:rFonts w:ascii="宋体" w:hAnsi="宋体" w:cs="宋体"/>
                <w:b/>
                <w:sz w:val="24"/>
                <w:szCs w:val="24"/>
                <w:highlight w:val="none"/>
              </w:rPr>
            </w:pPr>
          </w:p>
        </w:tc>
        <w:tc>
          <w:tcPr>
            <w:tcW w:w="1469" w:type="pct"/>
            <w:gridSpan w:val="2"/>
            <w:vAlign w:val="center"/>
          </w:tcPr>
          <w:p w14:paraId="1793AEFA">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非联合体</w:t>
            </w:r>
          </w:p>
        </w:tc>
        <w:tc>
          <w:tcPr>
            <w:tcW w:w="2786" w:type="pct"/>
            <w:vAlign w:val="center"/>
          </w:tcPr>
          <w:p w14:paraId="0218369E">
            <w:pPr>
              <w:tabs>
                <w:tab w:val="left" w:pos="0"/>
              </w:tabs>
              <w:adjustRightInd w:val="0"/>
              <w:snapToGrid w:val="0"/>
              <w:jc w:val="center"/>
              <w:rPr>
                <w:rFonts w:ascii="宋体" w:hAnsi="宋体" w:cs="宋体"/>
                <w:bCs/>
                <w:sz w:val="24"/>
                <w:szCs w:val="24"/>
                <w:highlight w:val="none"/>
              </w:rPr>
            </w:pPr>
            <w:r>
              <w:rPr>
                <w:rFonts w:hint="eastAsia" w:ascii="宋体" w:hAnsi="宋体" w:cs="宋体"/>
                <w:sz w:val="24"/>
                <w:szCs w:val="24"/>
                <w:highlight w:val="none"/>
              </w:rPr>
              <w:t>投标人须</w:t>
            </w:r>
            <w:r>
              <w:rPr>
                <w:rFonts w:hint="eastAsia" w:ascii="宋体" w:hAnsi="宋体" w:cs="宋体"/>
                <w:bCs/>
                <w:sz w:val="24"/>
                <w:szCs w:val="24"/>
                <w:highlight w:val="none"/>
              </w:rPr>
              <w:t>提供非联合体投标</w:t>
            </w:r>
            <w:r>
              <w:rPr>
                <w:rFonts w:hint="eastAsia" w:ascii="宋体" w:hAnsi="宋体" w:cs="宋体"/>
                <w:bCs/>
                <w:sz w:val="24"/>
                <w:szCs w:val="24"/>
                <w:highlight w:val="none"/>
                <w:lang w:val="en-US" w:eastAsia="zh-CN"/>
              </w:rPr>
              <w:t>承诺书</w:t>
            </w:r>
            <w:r>
              <w:rPr>
                <w:rFonts w:hint="eastAsia" w:ascii="宋体" w:hAnsi="宋体" w:cs="宋体"/>
                <w:bCs/>
                <w:sz w:val="24"/>
                <w:szCs w:val="24"/>
                <w:highlight w:val="none"/>
              </w:rPr>
              <w:t>；</w:t>
            </w:r>
          </w:p>
        </w:tc>
      </w:tr>
      <w:tr w14:paraId="7FD93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5000" w:type="pct"/>
            <w:gridSpan w:val="5"/>
            <w:vAlign w:val="center"/>
          </w:tcPr>
          <w:p w14:paraId="372987CB">
            <w:pPr>
              <w:tabs>
                <w:tab w:val="left" w:pos="0"/>
              </w:tabs>
              <w:adjustRightInd w:val="0"/>
              <w:snapToGrid w:val="0"/>
              <w:jc w:val="left"/>
              <w:rPr>
                <w:rFonts w:ascii="宋体" w:hAnsi="宋体" w:cs="宋体"/>
                <w:b/>
                <w:sz w:val="24"/>
                <w:szCs w:val="24"/>
                <w:highlight w:val="none"/>
              </w:rPr>
            </w:pPr>
            <w:r>
              <w:rPr>
                <w:rFonts w:hint="eastAsia" w:ascii="宋体" w:hAnsi="宋体" w:cs="宋体"/>
                <w:b/>
                <w:sz w:val="24"/>
                <w:szCs w:val="24"/>
                <w:highlight w:val="none"/>
              </w:rPr>
              <w:t>注：以上为必备资质，缺一项或某项达不到要求，按无效投标处理。资格审查时以投标文件中所附证明材料为准，原件备查。</w:t>
            </w:r>
          </w:p>
        </w:tc>
      </w:tr>
      <w:tr w14:paraId="1579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436" w:type="pct"/>
            <w:vMerge w:val="restart"/>
            <w:vAlign w:val="center"/>
          </w:tcPr>
          <w:p w14:paraId="1E874278">
            <w:pPr>
              <w:tabs>
                <w:tab w:val="left" w:pos="0"/>
              </w:tabs>
              <w:adjustRightInd w:val="0"/>
              <w:snapToGrid w:val="0"/>
              <w:spacing w:line="360" w:lineRule="auto"/>
              <w:jc w:val="center"/>
              <w:rPr>
                <w:rFonts w:ascii="宋体" w:hAnsi="宋体" w:cs="宋体"/>
                <w:sz w:val="24"/>
                <w:szCs w:val="24"/>
                <w:highlight w:val="none"/>
              </w:rPr>
            </w:pPr>
            <w:r>
              <w:rPr>
                <w:rFonts w:hint="eastAsia" w:ascii="宋体" w:hAnsi="宋体" w:cs="宋体"/>
                <w:sz w:val="24"/>
                <w:szCs w:val="24"/>
                <w:highlight w:val="none"/>
              </w:rPr>
              <w:t>2.1.2</w:t>
            </w:r>
          </w:p>
        </w:tc>
        <w:tc>
          <w:tcPr>
            <w:tcW w:w="306" w:type="pct"/>
            <w:vMerge w:val="restart"/>
            <w:vAlign w:val="center"/>
          </w:tcPr>
          <w:p w14:paraId="787FE36F">
            <w:pPr>
              <w:tabs>
                <w:tab w:val="left" w:pos="0"/>
              </w:tabs>
              <w:adjustRightInd w:val="0"/>
              <w:snapToGrid w:val="0"/>
              <w:jc w:val="center"/>
              <w:rPr>
                <w:rFonts w:ascii="宋体" w:hAnsi="宋体" w:cs="宋体"/>
                <w:b/>
                <w:bCs/>
                <w:sz w:val="24"/>
                <w:szCs w:val="24"/>
                <w:highlight w:val="none"/>
              </w:rPr>
            </w:pPr>
            <w:r>
              <w:rPr>
                <w:rFonts w:hint="eastAsia" w:ascii="宋体" w:hAnsi="宋体" w:cs="宋体"/>
                <w:b/>
                <w:bCs/>
                <w:sz w:val="24"/>
                <w:szCs w:val="24"/>
                <w:highlight w:val="none"/>
              </w:rPr>
              <w:t>符合性评审标准</w:t>
            </w:r>
          </w:p>
        </w:tc>
        <w:tc>
          <w:tcPr>
            <w:tcW w:w="286" w:type="pct"/>
            <w:vMerge w:val="restart"/>
            <w:vAlign w:val="center"/>
          </w:tcPr>
          <w:p w14:paraId="39596F56">
            <w:pPr>
              <w:tabs>
                <w:tab w:val="left" w:pos="0"/>
              </w:tabs>
              <w:adjustRightInd w:val="0"/>
              <w:snapToGrid w:val="0"/>
              <w:jc w:val="center"/>
              <w:rPr>
                <w:rFonts w:ascii="宋体" w:hAnsi="宋体" w:cs="宋体"/>
                <w:b/>
                <w:bCs/>
                <w:sz w:val="24"/>
                <w:szCs w:val="24"/>
                <w:highlight w:val="none"/>
              </w:rPr>
            </w:pPr>
            <w:r>
              <w:rPr>
                <w:rFonts w:hint="eastAsia" w:ascii="宋体" w:hAnsi="宋体" w:cs="宋体"/>
                <w:b/>
                <w:bCs/>
                <w:sz w:val="24"/>
                <w:szCs w:val="24"/>
                <w:highlight w:val="none"/>
              </w:rPr>
              <w:t>有效性审查</w:t>
            </w:r>
          </w:p>
        </w:tc>
        <w:tc>
          <w:tcPr>
            <w:tcW w:w="1183" w:type="pct"/>
            <w:vAlign w:val="center"/>
          </w:tcPr>
          <w:p w14:paraId="679D38A3">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投标文件的签署盖章</w:t>
            </w:r>
          </w:p>
        </w:tc>
        <w:tc>
          <w:tcPr>
            <w:tcW w:w="2786" w:type="pct"/>
            <w:vAlign w:val="center"/>
          </w:tcPr>
          <w:p w14:paraId="1E400978">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投标文件上法定代表人或其授权代表人的签字齐全并加盖公章</w:t>
            </w:r>
          </w:p>
        </w:tc>
      </w:tr>
      <w:tr w14:paraId="50791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Merge w:val="continue"/>
          </w:tcPr>
          <w:p w14:paraId="521A73F5">
            <w:pPr>
              <w:tabs>
                <w:tab w:val="left" w:pos="0"/>
              </w:tabs>
              <w:adjustRightInd w:val="0"/>
              <w:snapToGrid w:val="0"/>
              <w:spacing w:line="360" w:lineRule="auto"/>
              <w:rPr>
                <w:rFonts w:ascii="宋体" w:hAnsi="宋体" w:cs="宋体"/>
                <w:sz w:val="24"/>
                <w:szCs w:val="24"/>
                <w:highlight w:val="none"/>
              </w:rPr>
            </w:pPr>
          </w:p>
        </w:tc>
        <w:tc>
          <w:tcPr>
            <w:tcW w:w="306" w:type="pct"/>
            <w:vMerge w:val="continue"/>
          </w:tcPr>
          <w:p w14:paraId="55E7C4E9">
            <w:pPr>
              <w:tabs>
                <w:tab w:val="left" w:pos="0"/>
              </w:tabs>
              <w:adjustRightInd w:val="0"/>
              <w:snapToGrid w:val="0"/>
              <w:spacing w:line="360" w:lineRule="auto"/>
              <w:rPr>
                <w:rFonts w:ascii="宋体" w:hAnsi="宋体" w:cs="宋体"/>
                <w:b/>
                <w:bCs/>
                <w:sz w:val="24"/>
                <w:szCs w:val="24"/>
                <w:highlight w:val="none"/>
              </w:rPr>
            </w:pPr>
          </w:p>
        </w:tc>
        <w:tc>
          <w:tcPr>
            <w:tcW w:w="286" w:type="pct"/>
            <w:vMerge w:val="continue"/>
          </w:tcPr>
          <w:p w14:paraId="41823D98">
            <w:pPr>
              <w:tabs>
                <w:tab w:val="left" w:pos="0"/>
              </w:tabs>
              <w:adjustRightInd w:val="0"/>
              <w:snapToGrid w:val="0"/>
              <w:spacing w:line="360" w:lineRule="auto"/>
              <w:rPr>
                <w:rFonts w:ascii="宋体" w:hAnsi="宋体" w:cs="宋体"/>
                <w:b/>
                <w:bCs/>
                <w:sz w:val="24"/>
                <w:szCs w:val="24"/>
                <w:highlight w:val="none"/>
              </w:rPr>
            </w:pPr>
          </w:p>
        </w:tc>
        <w:tc>
          <w:tcPr>
            <w:tcW w:w="1183" w:type="pct"/>
            <w:vAlign w:val="center"/>
          </w:tcPr>
          <w:p w14:paraId="00ACD4AA">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投标文件格式</w:t>
            </w:r>
          </w:p>
        </w:tc>
        <w:tc>
          <w:tcPr>
            <w:tcW w:w="2786" w:type="pct"/>
            <w:vAlign w:val="center"/>
          </w:tcPr>
          <w:p w14:paraId="17074C24">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应符合“投标文件格式”要求</w:t>
            </w:r>
          </w:p>
        </w:tc>
      </w:tr>
      <w:tr w14:paraId="6D489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436" w:type="pct"/>
            <w:vMerge w:val="continue"/>
          </w:tcPr>
          <w:p w14:paraId="3EA686A7">
            <w:pPr>
              <w:tabs>
                <w:tab w:val="left" w:pos="0"/>
              </w:tabs>
              <w:adjustRightInd w:val="0"/>
              <w:snapToGrid w:val="0"/>
              <w:spacing w:line="360" w:lineRule="auto"/>
              <w:rPr>
                <w:rFonts w:ascii="宋体" w:hAnsi="宋体" w:cs="宋体"/>
                <w:sz w:val="24"/>
                <w:szCs w:val="24"/>
                <w:highlight w:val="none"/>
              </w:rPr>
            </w:pPr>
          </w:p>
        </w:tc>
        <w:tc>
          <w:tcPr>
            <w:tcW w:w="306" w:type="pct"/>
            <w:vMerge w:val="continue"/>
          </w:tcPr>
          <w:p w14:paraId="6A84AA87">
            <w:pPr>
              <w:tabs>
                <w:tab w:val="left" w:pos="0"/>
              </w:tabs>
              <w:adjustRightInd w:val="0"/>
              <w:snapToGrid w:val="0"/>
              <w:spacing w:line="360" w:lineRule="auto"/>
              <w:rPr>
                <w:rFonts w:ascii="宋体" w:hAnsi="宋体" w:cs="宋体"/>
                <w:b/>
                <w:bCs/>
                <w:sz w:val="24"/>
                <w:szCs w:val="24"/>
                <w:highlight w:val="none"/>
              </w:rPr>
            </w:pPr>
          </w:p>
        </w:tc>
        <w:tc>
          <w:tcPr>
            <w:tcW w:w="286" w:type="pct"/>
            <w:vMerge w:val="continue"/>
          </w:tcPr>
          <w:p w14:paraId="01A8F967">
            <w:pPr>
              <w:tabs>
                <w:tab w:val="left" w:pos="0"/>
              </w:tabs>
              <w:adjustRightInd w:val="0"/>
              <w:snapToGrid w:val="0"/>
              <w:spacing w:line="360" w:lineRule="auto"/>
              <w:rPr>
                <w:rFonts w:ascii="宋体" w:hAnsi="宋体" w:cs="宋体"/>
                <w:b/>
                <w:bCs/>
                <w:sz w:val="24"/>
                <w:szCs w:val="24"/>
                <w:highlight w:val="none"/>
              </w:rPr>
            </w:pPr>
          </w:p>
        </w:tc>
        <w:tc>
          <w:tcPr>
            <w:tcW w:w="1183" w:type="pct"/>
            <w:vAlign w:val="center"/>
          </w:tcPr>
          <w:p w14:paraId="4C636764">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报价唯一</w:t>
            </w:r>
          </w:p>
        </w:tc>
        <w:tc>
          <w:tcPr>
            <w:tcW w:w="2786" w:type="pct"/>
            <w:vAlign w:val="center"/>
          </w:tcPr>
          <w:p w14:paraId="6E9D003A">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只能有一个有效报价，不得提交选择性报价，且报价不超过采购预算金额或最高限价</w:t>
            </w:r>
          </w:p>
        </w:tc>
      </w:tr>
      <w:tr w14:paraId="03D5F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436" w:type="pct"/>
            <w:vMerge w:val="continue"/>
            <w:vAlign w:val="center"/>
          </w:tcPr>
          <w:p w14:paraId="7A8EB966">
            <w:pPr>
              <w:tabs>
                <w:tab w:val="left" w:pos="0"/>
              </w:tabs>
              <w:adjustRightInd w:val="0"/>
              <w:snapToGrid w:val="0"/>
              <w:spacing w:line="360" w:lineRule="auto"/>
              <w:jc w:val="center"/>
              <w:rPr>
                <w:rFonts w:ascii="宋体" w:hAnsi="宋体" w:cs="宋体"/>
                <w:sz w:val="24"/>
                <w:szCs w:val="24"/>
                <w:highlight w:val="none"/>
              </w:rPr>
            </w:pPr>
          </w:p>
        </w:tc>
        <w:tc>
          <w:tcPr>
            <w:tcW w:w="306" w:type="pct"/>
            <w:vMerge w:val="continue"/>
            <w:vAlign w:val="center"/>
          </w:tcPr>
          <w:p w14:paraId="09671418">
            <w:pPr>
              <w:tabs>
                <w:tab w:val="left" w:pos="0"/>
              </w:tabs>
              <w:adjustRightInd w:val="0"/>
              <w:snapToGrid w:val="0"/>
              <w:jc w:val="center"/>
              <w:rPr>
                <w:rFonts w:ascii="宋体" w:hAnsi="宋体" w:cs="宋体"/>
                <w:b/>
                <w:bCs/>
                <w:sz w:val="24"/>
                <w:szCs w:val="24"/>
                <w:highlight w:val="none"/>
              </w:rPr>
            </w:pPr>
          </w:p>
        </w:tc>
        <w:tc>
          <w:tcPr>
            <w:tcW w:w="286" w:type="pct"/>
            <w:vMerge w:val="restart"/>
            <w:vAlign w:val="center"/>
          </w:tcPr>
          <w:p w14:paraId="35C2E43D">
            <w:pPr>
              <w:tabs>
                <w:tab w:val="left" w:pos="0"/>
              </w:tabs>
              <w:adjustRightInd w:val="0"/>
              <w:snapToGrid w:val="0"/>
              <w:jc w:val="center"/>
              <w:rPr>
                <w:rFonts w:ascii="宋体" w:hAnsi="宋体" w:cs="宋体"/>
                <w:b/>
                <w:bCs/>
                <w:sz w:val="24"/>
                <w:szCs w:val="24"/>
                <w:highlight w:val="none"/>
              </w:rPr>
            </w:pPr>
            <w:r>
              <w:rPr>
                <w:rFonts w:hint="eastAsia" w:ascii="宋体" w:hAnsi="宋体" w:cs="宋体"/>
                <w:b/>
                <w:bCs/>
                <w:sz w:val="24"/>
                <w:szCs w:val="24"/>
                <w:highlight w:val="none"/>
              </w:rPr>
              <w:t>完整性审查</w:t>
            </w:r>
          </w:p>
        </w:tc>
        <w:tc>
          <w:tcPr>
            <w:tcW w:w="1183" w:type="pct"/>
            <w:vAlign w:val="center"/>
          </w:tcPr>
          <w:p w14:paraId="172ED3FB">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投标文件份数</w:t>
            </w:r>
          </w:p>
        </w:tc>
        <w:tc>
          <w:tcPr>
            <w:tcW w:w="2786" w:type="pct"/>
            <w:vAlign w:val="center"/>
          </w:tcPr>
          <w:p w14:paraId="7C0EED19">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应符合“投标人须知前附表”规定的正本、副本、电子文件数量</w:t>
            </w:r>
          </w:p>
        </w:tc>
      </w:tr>
      <w:tr w14:paraId="6433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436" w:type="pct"/>
            <w:vMerge w:val="continue"/>
          </w:tcPr>
          <w:p w14:paraId="788B71CC">
            <w:pPr>
              <w:tabs>
                <w:tab w:val="left" w:pos="0"/>
              </w:tabs>
              <w:adjustRightInd w:val="0"/>
              <w:snapToGrid w:val="0"/>
              <w:spacing w:line="360" w:lineRule="auto"/>
              <w:rPr>
                <w:rFonts w:ascii="宋体" w:hAnsi="宋体" w:cs="宋体"/>
                <w:sz w:val="24"/>
                <w:szCs w:val="24"/>
                <w:highlight w:val="none"/>
              </w:rPr>
            </w:pPr>
          </w:p>
        </w:tc>
        <w:tc>
          <w:tcPr>
            <w:tcW w:w="306" w:type="pct"/>
            <w:vMerge w:val="continue"/>
          </w:tcPr>
          <w:p w14:paraId="567E3D66">
            <w:pPr>
              <w:tabs>
                <w:tab w:val="left" w:pos="0"/>
              </w:tabs>
              <w:adjustRightInd w:val="0"/>
              <w:snapToGrid w:val="0"/>
              <w:spacing w:line="360" w:lineRule="auto"/>
              <w:rPr>
                <w:rFonts w:ascii="宋体" w:hAnsi="宋体" w:cs="宋体"/>
                <w:b/>
                <w:bCs/>
                <w:sz w:val="24"/>
                <w:szCs w:val="24"/>
                <w:highlight w:val="none"/>
              </w:rPr>
            </w:pPr>
          </w:p>
        </w:tc>
        <w:tc>
          <w:tcPr>
            <w:tcW w:w="286" w:type="pct"/>
            <w:vMerge w:val="continue"/>
          </w:tcPr>
          <w:p w14:paraId="257429A8">
            <w:pPr>
              <w:tabs>
                <w:tab w:val="left" w:pos="0"/>
              </w:tabs>
              <w:adjustRightInd w:val="0"/>
              <w:snapToGrid w:val="0"/>
              <w:spacing w:line="360" w:lineRule="auto"/>
              <w:rPr>
                <w:rFonts w:ascii="宋体" w:hAnsi="宋体" w:cs="宋体"/>
                <w:b/>
                <w:bCs/>
                <w:sz w:val="24"/>
                <w:szCs w:val="24"/>
                <w:highlight w:val="none"/>
              </w:rPr>
            </w:pPr>
          </w:p>
        </w:tc>
        <w:tc>
          <w:tcPr>
            <w:tcW w:w="1183" w:type="pct"/>
            <w:vAlign w:val="center"/>
          </w:tcPr>
          <w:p w14:paraId="4EDEEA30">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投标文件内容</w:t>
            </w:r>
          </w:p>
        </w:tc>
        <w:tc>
          <w:tcPr>
            <w:tcW w:w="2786" w:type="pct"/>
            <w:vAlign w:val="center"/>
          </w:tcPr>
          <w:p w14:paraId="4E0DE3F5">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投标文件内容齐全、无遗漏</w:t>
            </w:r>
          </w:p>
        </w:tc>
      </w:tr>
      <w:tr w14:paraId="7931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436" w:type="pct"/>
            <w:vMerge w:val="continue"/>
            <w:vAlign w:val="center"/>
          </w:tcPr>
          <w:p w14:paraId="41AE911D">
            <w:pPr>
              <w:tabs>
                <w:tab w:val="left" w:pos="0"/>
              </w:tabs>
              <w:adjustRightInd w:val="0"/>
              <w:snapToGrid w:val="0"/>
              <w:spacing w:line="360" w:lineRule="auto"/>
              <w:jc w:val="center"/>
              <w:rPr>
                <w:rFonts w:ascii="宋体" w:hAnsi="宋体" w:cs="宋体"/>
                <w:sz w:val="24"/>
                <w:szCs w:val="24"/>
                <w:highlight w:val="none"/>
              </w:rPr>
            </w:pPr>
          </w:p>
        </w:tc>
        <w:tc>
          <w:tcPr>
            <w:tcW w:w="306" w:type="pct"/>
            <w:vMerge w:val="continue"/>
            <w:vAlign w:val="center"/>
          </w:tcPr>
          <w:p w14:paraId="6B269CA0">
            <w:pPr>
              <w:tabs>
                <w:tab w:val="left" w:pos="0"/>
              </w:tabs>
              <w:adjustRightInd w:val="0"/>
              <w:snapToGrid w:val="0"/>
              <w:jc w:val="center"/>
              <w:rPr>
                <w:rFonts w:ascii="宋体" w:hAnsi="宋体" w:cs="宋体"/>
                <w:b/>
                <w:bCs/>
                <w:sz w:val="24"/>
                <w:szCs w:val="24"/>
                <w:highlight w:val="none"/>
              </w:rPr>
            </w:pPr>
          </w:p>
        </w:tc>
        <w:tc>
          <w:tcPr>
            <w:tcW w:w="286" w:type="pct"/>
            <w:vMerge w:val="restart"/>
            <w:vAlign w:val="center"/>
          </w:tcPr>
          <w:p w14:paraId="4D8A6FCD">
            <w:pPr>
              <w:tabs>
                <w:tab w:val="left" w:pos="0"/>
              </w:tabs>
              <w:adjustRightInd w:val="0"/>
              <w:snapToGrid w:val="0"/>
              <w:jc w:val="center"/>
              <w:rPr>
                <w:rFonts w:ascii="宋体" w:hAnsi="宋体" w:cs="宋体"/>
                <w:b/>
                <w:bCs/>
                <w:sz w:val="24"/>
                <w:szCs w:val="24"/>
                <w:highlight w:val="none"/>
              </w:rPr>
            </w:pPr>
            <w:r>
              <w:rPr>
                <w:rFonts w:hint="eastAsia" w:ascii="宋体" w:hAnsi="宋体" w:cs="宋体"/>
                <w:b/>
                <w:bCs/>
                <w:sz w:val="24"/>
                <w:szCs w:val="24"/>
                <w:highlight w:val="none"/>
              </w:rPr>
              <w:t>响应性审查</w:t>
            </w:r>
          </w:p>
        </w:tc>
        <w:tc>
          <w:tcPr>
            <w:tcW w:w="1183" w:type="pct"/>
            <w:vAlign w:val="center"/>
          </w:tcPr>
          <w:p w14:paraId="139B6160">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对招标文件响应程度</w:t>
            </w:r>
          </w:p>
        </w:tc>
        <w:tc>
          <w:tcPr>
            <w:tcW w:w="2786" w:type="pct"/>
            <w:vAlign w:val="center"/>
          </w:tcPr>
          <w:p w14:paraId="7C8AAB6F">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要求全面响应，不能有任何采购人不能接受的附加条件</w:t>
            </w:r>
          </w:p>
        </w:tc>
      </w:tr>
      <w:tr w14:paraId="4D1CE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Merge w:val="continue"/>
          </w:tcPr>
          <w:p w14:paraId="7E440BC2">
            <w:pPr>
              <w:tabs>
                <w:tab w:val="left" w:pos="0"/>
              </w:tabs>
              <w:adjustRightInd w:val="0"/>
              <w:snapToGrid w:val="0"/>
              <w:spacing w:line="360" w:lineRule="auto"/>
              <w:rPr>
                <w:rFonts w:ascii="宋体" w:hAnsi="宋体" w:cs="宋体"/>
                <w:sz w:val="24"/>
                <w:szCs w:val="24"/>
                <w:highlight w:val="none"/>
              </w:rPr>
            </w:pPr>
          </w:p>
        </w:tc>
        <w:tc>
          <w:tcPr>
            <w:tcW w:w="306" w:type="pct"/>
            <w:vMerge w:val="continue"/>
          </w:tcPr>
          <w:p w14:paraId="3681C8A2">
            <w:pPr>
              <w:tabs>
                <w:tab w:val="left" w:pos="0"/>
              </w:tabs>
              <w:adjustRightInd w:val="0"/>
              <w:snapToGrid w:val="0"/>
              <w:spacing w:line="360" w:lineRule="auto"/>
              <w:rPr>
                <w:rFonts w:ascii="宋体" w:hAnsi="宋体" w:cs="宋体"/>
                <w:b/>
                <w:bCs/>
                <w:sz w:val="24"/>
                <w:szCs w:val="24"/>
                <w:highlight w:val="none"/>
              </w:rPr>
            </w:pPr>
          </w:p>
        </w:tc>
        <w:tc>
          <w:tcPr>
            <w:tcW w:w="286" w:type="pct"/>
            <w:vMerge w:val="continue"/>
          </w:tcPr>
          <w:p w14:paraId="2B457400">
            <w:pPr>
              <w:tabs>
                <w:tab w:val="left" w:pos="0"/>
              </w:tabs>
              <w:adjustRightInd w:val="0"/>
              <w:snapToGrid w:val="0"/>
              <w:spacing w:line="360" w:lineRule="auto"/>
              <w:rPr>
                <w:rFonts w:ascii="宋体" w:hAnsi="宋体" w:cs="宋体"/>
                <w:b/>
                <w:bCs/>
                <w:sz w:val="24"/>
                <w:szCs w:val="24"/>
                <w:highlight w:val="none"/>
              </w:rPr>
            </w:pPr>
          </w:p>
        </w:tc>
        <w:tc>
          <w:tcPr>
            <w:tcW w:w="1183" w:type="pct"/>
            <w:vAlign w:val="center"/>
          </w:tcPr>
          <w:p w14:paraId="6A67B0AA">
            <w:pPr>
              <w:tabs>
                <w:tab w:val="left" w:pos="0"/>
              </w:tabs>
              <w:adjustRightInd w:val="0"/>
              <w:snapToGrid w:val="0"/>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val="en-US" w:eastAsia="zh-CN"/>
              </w:rPr>
              <w:t>抚育期</w:t>
            </w:r>
          </w:p>
        </w:tc>
        <w:tc>
          <w:tcPr>
            <w:tcW w:w="2786" w:type="pct"/>
            <w:vAlign w:val="center"/>
          </w:tcPr>
          <w:p w14:paraId="3C786392">
            <w:pPr>
              <w:tabs>
                <w:tab w:val="left" w:pos="0"/>
              </w:tabs>
              <w:adjustRightInd w:val="0"/>
              <w:snapToGrid w:val="0"/>
              <w:rPr>
                <w:rFonts w:hint="eastAsia" w:ascii="宋体" w:hAnsi="宋体" w:eastAsia="宋体" w:cs="宋体"/>
                <w:sz w:val="24"/>
                <w:szCs w:val="24"/>
                <w:highlight w:val="none"/>
                <w:lang w:eastAsia="zh-CN"/>
              </w:rPr>
            </w:pPr>
            <w:r>
              <w:rPr>
                <w:rFonts w:hint="eastAsia" w:ascii="宋体" w:hAnsi="宋体" w:cs="宋体"/>
                <w:sz w:val="24"/>
                <w:szCs w:val="24"/>
                <w:highlight w:val="none"/>
              </w:rPr>
              <w:t>应满足招标文件中要求的</w:t>
            </w:r>
            <w:r>
              <w:rPr>
                <w:rFonts w:hint="eastAsia" w:ascii="宋体" w:hAnsi="宋体" w:cs="宋体"/>
                <w:sz w:val="24"/>
                <w:szCs w:val="24"/>
                <w:highlight w:val="none"/>
                <w:lang w:val="en-US" w:eastAsia="zh-CN"/>
              </w:rPr>
              <w:t>抚育期</w:t>
            </w:r>
          </w:p>
        </w:tc>
      </w:tr>
      <w:tr w14:paraId="66146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Merge w:val="continue"/>
          </w:tcPr>
          <w:p w14:paraId="5F89B942">
            <w:pPr>
              <w:tabs>
                <w:tab w:val="left" w:pos="0"/>
              </w:tabs>
              <w:adjustRightInd w:val="0"/>
              <w:snapToGrid w:val="0"/>
              <w:spacing w:line="360" w:lineRule="auto"/>
              <w:rPr>
                <w:rFonts w:ascii="宋体" w:hAnsi="宋体" w:cs="宋体"/>
                <w:sz w:val="24"/>
                <w:szCs w:val="24"/>
                <w:highlight w:val="none"/>
              </w:rPr>
            </w:pPr>
          </w:p>
        </w:tc>
        <w:tc>
          <w:tcPr>
            <w:tcW w:w="306" w:type="pct"/>
            <w:vMerge w:val="continue"/>
          </w:tcPr>
          <w:p w14:paraId="3BC896BE">
            <w:pPr>
              <w:tabs>
                <w:tab w:val="left" w:pos="0"/>
              </w:tabs>
              <w:adjustRightInd w:val="0"/>
              <w:snapToGrid w:val="0"/>
              <w:spacing w:line="360" w:lineRule="auto"/>
              <w:rPr>
                <w:rFonts w:ascii="宋体" w:hAnsi="宋体" w:cs="宋体"/>
                <w:b/>
                <w:bCs/>
                <w:sz w:val="24"/>
                <w:szCs w:val="24"/>
                <w:highlight w:val="none"/>
              </w:rPr>
            </w:pPr>
          </w:p>
        </w:tc>
        <w:tc>
          <w:tcPr>
            <w:tcW w:w="286" w:type="pct"/>
            <w:vMerge w:val="continue"/>
          </w:tcPr>
          <w:p w14:paraId="7FC5F284">
            <w:pPr>
              <w:tabs>
                <w:tab w:val="left" w:pos="0"/>
              </w:tabs>
              <w:adjustRightInd w:val="0"/>
              <w:snapToGrid w:val="0"/>
              <w:spacing w:line="360" w:lineRule="auto"/>
              <w:rPr>
                <w:rFonts w:ascii="宋体" w:hAnsi="宋体" w:cs="宋体"/>
                <w:b/>
                <w:bCs/>
                <w:sz w:val="24"/>
                <w:szCs w:val="24"/>
                <w:highlight w:val="none"/>
              </w:rPr>
            </w:pPr>
          </w:p>
        </w:tc>
        <w:tc>
          <w:tcPr>
            <w:tcW w:w="1183" w:type="pct"/>
            <w:vAlign w:val="center"/>
          </w:tcPr>
          <w:p w14:paraId="0134830A">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施工地点</w:t>
            </w:r>
          </w:p>
        </w:tc>
        <w:tc>
          <w:tcPr>
            <w:tcW w:w="2786" w:type="pct"/>
            <w:vAlign w:val="center"/>
          </w:tcPr>
          <w:p w14:paraId="58AAE024">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应满足招标文件中要求的施工地点</w:t>
            </w:r>
          </w:p>
        </w:tc>
      </w:tr>
      <w:tr w14:paraId="2E82D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436" w:type="pct"/>
            <w:vMerge w:val="continue"/>
          </w:tcPr>
          <w:p w14:paraId="6394F494">
            <w:pPr>
              <w:tabs>
                <w:tab w:val="left" w:pos="0"/>
              </w:tabs>
              <w:adjustRightInd w:val="0"/>
              <w:snapToGrid w:val="0"/>
              <w:spacing w:line="360" w:lineRule="auto"/>
              <w:rPr>
                <w:rFonts w:ascii="宋体" w:hAnsi="宋体" w:cs="宋体"/>
                <w:sz w:val="24"/>
                <w:szCs w:val="24"/>
                <w:highlight w:val="none"/>
              </w:rPr>
            </w:pPr>
          </w:p>
        </w:tc>
        <w:tc>
          <w:tcPr>
            <w:tcW w:w="306" w:type="pct"/>
            <w:vMerge w:val="continue"/>
          </w:tcPr>
          <w:p w14:paraId="2BC850E8">
            <w:pPr>
              <w:tabs>
                <w:tab w:val="left" w:pos="0"/>
              </w:tabs>
              <w:adjustRightInd w:val="0"/>
              <w:snapToGrid w:val="0"/>
              <w:spacing w:line="360" w:lineRule="auto"/>
              <w:rPr>
                <w:rFonts w:ascii="宋体" w:hAnsi="宋体" w:cs="宋体"/>
                <w:b/>
                <w:bCs/>
                <w:sz w:val="24"/>
                <w:szCs w:val="24"/>
                <w:highlight w:val="none"/>
              </w:rPr>
            </w:pPr>
          </w:p>
        </w:tc>
        <w:tc>
          <w:tcPr>
            <w:tcW w:w="286" w:type="pct"/>
            <w:vMerge w:val="continue"/>
          </w:tcPr>
          <w:p w14:paraId="5052A1A2">
            <w:pPr>
              <w:tabs>
                <w:tab w:val="left" w:pos="0"/>
              </w:tabs>
              <w:adjustRightInd w:val="0"/>
              <w:snapToGrid w:val="0"/>
              <w:spacing w:line="360" w:lineRule="auto"/>
              <w:rPr>
                <w:rFonts w:ascii="宋体" w:hAnsi="宋体" w:cs="宋体"/>
                <w:b/>
                <w:bCs/>
                <w:sz w:val="24"/>
                <w:szCs w:val="24"/>
                <w:highlight w:val="none"/>
              </w:rPr>
            </w:pPr>
          </w:p>
        </w:tc>
        <w:tc>
          <w:tcPr>
            <w:tcW w:w="1183" w:type="pct"/>
            <w:vAlign w:val="center"/>
          </w:tcPr>
          <w:p w14:paraId="5536DA59">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投标有效期</w:t>
            </w:r>
          </w:p>
        </w:tc>
        <w:tc>
          <w:tcPr>
            <w:tcW w:w="2786" w:type="pct"/>
            <w:vAlign w:val="center"/>
          </w:tcPr>
          <w:p w14:paraId="6BD2208C">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应满足招标文件中的规定</w:t>
            </w:r>
          </w:p>
        </w:tc>
      </w:tr>
    </w:tbl>
    <w:p w14:paraId="06D29E21">
      <w:pPr>
        <w:spacing w:line="600" w:lineRule="exact"/>
        <w:jc w:val="left"/>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附件2分值构成与评分标准</w:t>
      </w:r>
    </w:p>
    <w:tbl>
      <w:tblPr>
        <w:tblStyle w:val="2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1281"/>
        <w:gridCol w:w="1437"/>
        <w:gridCol w:w="5843"/>
      </w:tblGrid>
      <w:tr w14:paraId="0378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42" w:type="pct"/>
            <w:vAlign w:val="center"/>
          </w:tcPr>
          <w:p w14:paraId="5C1BFCE0">
            <w:pPr>
              <w:spacing w:line="480" w:lineRule="exact"/>
              <w:jc w:val="center"/>
              <w:rPr>
                <w:rFonts w:ascii="宋体" w:hAnsi="宋体" w:cs="宋体"/>
                <w:b/>
                <w:sz w:val="24"/>
                <w:szCs w:val="24"/>
                <w:highlight w:val="none"/>
              </w:rPr>
            </w:pPr>
            <w:r>
              <w:rPr>
                <w:rFonts w:hint="eastAsia" w:ascii="宋体" w:hAnsi="宋体" w:cs="宋体"/>
                <w:b/>
                <w:sz w:val="24"/>
                <w:szCs w:val="24"/>
                <w:highlight w:val="none"/>
              </w:rPr>
              <w:t>评分因素</w:t>
            </w:r>
          </w:p>
        </w:tc>
        <w:tc>
          <w:tcPr>
            <w:tcW w:w="681" w:type="pct"/>
            <w:vAlign w:val="center"/>
          </w:tcPr>
          <w:p w14:paraId="18ED73FA">
            <w:pPr>
              <w:spacing w:line="480" w:lineRule="exact"/>
              <w:jc w:val="center"/>
              <w:rPr>
                <w:rFonts w:ascii="宋体" w:hAnsi="宋体" w:cs="宋体"/>
                <w:b/>
                <w:sz w:val="24"/>
                <w:szCs w:val="24"/>
                <w:highlight w:val="none"/>
              </w:rPr>
            </w:pPr>
            <w:r>
              <w:rPr>
                <w:rFonts w:hint="eastAsia" w:ascii="宋体" w:hAnsi="宋体" w:cs="宋体"/>
                <w:b/>
                <w:sz w:val="24"/>
                <w:szCs w:val="24"/>
                <w:highlight w:val="none"/>
              </w:rPr>
              <w:t>总分</w:t>
            </w:r>
          </w:p>
          <w:p w14:paraId="62A3A09C">
            <w:pPr>
              <w:spacing w:line="480" w:lineRule="exact"/>
              <w:jc w:val="center"/>
              <w:rPr>
                <w:rFonts w:ascii="宋体" w:hAnsi="宋体" w:cs="宋体"/>
                <w:b/>
                <w:sz w:val="24"/>
                <w:szCs w:val="24"/>
                <w:highlight w:val="none"/>
              </w:rPr>
            </w:pPr>
            <w:r>
              <w:rPr>
                <w:rFonts w:hint="eastAsia" w:ascii="宋体" w:hAnsi="宋体" w:cs="宋体"/>
                <w:b/>
                <w:sz w:val="24"/>
                <w:szCs w:val="24"/>
                <w:highlight w:val="none"/>
              </w:rPr>
              <w:t>（100分）</w:t>
            </w:r>
          </w:p>
        </w:tc>
        <w:tc>
          <w:tcPr>
            <w:tcW w:w="765" w:type="pct"/>
            <w:vAlign w:val="center"/>
          </w:tcPr>
          <w:p w14:paraId="3202E956">
            <w:pPr>
              <w:spacing w:line="480" w:lineRule="exact"/>
              <w:jc w:val="center"/>
              <w:rPr>
                <w:rFonts w:ascii="宋体" w:hAnsi="宋体" w:cs="宋体"/>
                <w:b/>
                <w:sz w:val="24"/>
                <w:szCs w:val="24"/>
                <w:highlight w:val="none"/>
              </w:rPr>
            </w:pPr>
            <w:r>
              <w:rPr>
                <w:rFonts w:hint="eastAsia" w:ascii="宋体" w:hAnsi="宋体" w:cs="宋体"/>
                <w:b/>
                <w:sz w:val="24"/>
                <w:szCs w:val="24"/>
                <w:highlight w:val="none"/>
              </w:rPr>
              <w:t>评审要素</w:t>
            </w:r>
          </w:p>
        </w:tc>
        <w:tc>
          <w:tcPr>
            <w:tcW w:w="3110" w:type="pct"/>
            <w:vAlign w:val="center"/>
          </w:tcPr>
          <w:p w14:paraId="4AF0BA9F">
            <w:pPr>
              <w:spacing w:line="480" w:lineRule="exact"/>
              <w:jc w:val="center"/>
              <w:rPr>
                <w:rFonts w:ascii="宋体" w:hAnsi="宋体" w:cs="宋体"/>
                <w:b/>
                <w:sz w:val="24"/>
                <w:szCs w:val="24"/>
                <w:highlight w:val="none"/>
              </w:rPr>
            </w:pPr>
            <w:r>
              <w:rPr>
                <w:rFonts w:hint="eastAsia" w:ascii="宋体" w:hAnsi="宋体" w:cs="宋体"/>
                <w:b/>
                <w:sz w:val="24"/>
                <w:szCs w:val="24"/>
                <w:highlight w:val="none"/>
              </w:rPr>
              <w:t>评分标准</w:t>
            </w:r>
          </w:p>
        </w:tc>
      </w:tr>
      <w:tr w14:paraId="27A8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2" w:type="pct"/>
            <w:vMerge w:val="restart"/>
            <w:vAlign w:val="center"/>
          </w:tcPr>
          <w:p w14:paraId="1DDCDCCB">
            <w:pPr>
              <w:spacing w:line="480" w:lineRule="exact"/>
              <w:jc w:val="center"/>
              <w:rPr>
                <w:rFonts w:ascii="宋体" w:hAnsi="宋体" w:cs="宋体"/>
                <w:sz w:val="24"/>
                <w:szCs w:val="24"/>
                <w:highlight w:val="none"/>
              </w:rPr>
            </w:pPr>
            <w:r>
              <w:rPr>
                <w:rFonts w:hint="eastAsia" w:ascii="宋体" w:hAnsi="宋体" w:cs="宋体"/>
                <w:sz w:val="24"/>
                <w:szCs w:val="24"/>
                <w:highlight w:val="none"/>
              </w:rPr>
              <w:t>技术评分部分</w:t>
            </w:r>
          </w:p>
        </w:tc>
        <w:tc>
          <w:tcPr>
            <w:tcW w:w="681" w:type="pct"/>
            <w:vMerge w:val="restart"/>
            <w:vAlign w:val="center"/>
          </w:tcPr>
          <w:p w14:paraId="04D9D355">
            <w:pPr>
              <w:spacing w:line="480" w:lineRule="exact"/>
              <w:jc w:val="center"/>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85</w:t>
            </w:r>
            <w:r>
              <w:rPr>
                <w:rFonts w:hint="eastAsia" w:ascii="宋体" w:hAnsi="宋体" w:cs="宋体"/>
                <w:sz w:val="24"/>
                <w:szCs w:val="24"/>
                <w:highlight w:val="none"/>
              </w:rPr>
              <w:t>分）</w:t>
            </w:r>
          </w:p>
        </w:tc>
        <w:tc>
          <w:tcPr>
            <w:tcW w:w="765" w:type="pct"/>
            <w:vAlign w:val="center"/>
          </w:tcPr>
          <w:p w14:paraId="6D39224B">
            <w:pPr>
              <w:spacing w:line="480" w:lineRule="exact"/>
              <w:jc w:val="center"/>
              <w:rPr>
                <w:rFonts w:hint="eastAsia" w:ascii="宋体" w:hAnsi="宋体" w:cs="宋体"/>
                <w:sz w:val="24"/>
                <w:szCs w:val="24"/>
                <w:highlight w:val="none"/>
              </w:rPr>
            </w:pPr>
            <w:r>
              <w:rPr>
                <w:rFonts w:hint="eastAsia" w:ascii="宋体" w:hAnsi="宋体" w:cs="宋体"/>
                <w:sz w:val="24"/>
                <w:szCs w:val="24"/>
                <w:highlight w:val="none"/>
              </w:rPr>
              <w:t>①项目管理部门及人员配备</w:t>
            </w:r>
          </w:p>
          <w:p w14:paraId="132D4F44">
            <w:pPr>
              <w:spacing w:line="480" w:lineRule="exact"/>
              <w:jc w:val="center"/>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9</w:t>
            </w:r>
            <w:r>
              <w:rPr>
                <w:rFonts w:hint="eastAsia" w:ascii="宋体" w:hAnsi="宋体" w:cs="宋体"/>
                <w:sz w:val="24"/>
                <w:szCs w:val="24"/>
                <w:highlight w:val="none"/>
              </w:rPr>
              <w:t>分）</w:t>
            </w:r>
          </w:p>
        </w:tc>
        <w:tc>
          <w:tcPr>
            <w:tcW w:w="3110" w:type="pct"/>
            <w:vAlign w:val="center"/>
          </w:tcPr>
          <w:p w14:paraId="20802AEA">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 xml:space="preserve">评审内容 </w:t>
            </w:r>
          </w:p>
          <w:p w14:paraId="0DC5C9AC">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highlight w:val="none"/>
              </w:rPr>
            </w:pPr>
            <w:r>
              <w:rPr>
                <w:rFonts w:hint="eastAsia" w:ascii="宋体" w:hAnsi="宋体" w:eastAsia="宋体" w:cs="宋体"/>
                <w:sz w:val="24"/>
                <w:szCs w:val="24"/>
              </w:rPr>
              <w:t>针对本项目提出适用于本项目的</w:t>
            </w:r>
            <w:r>
              <w:rPr>
                <w:rFonts w:hint="eastAsia" w:ascii="宋体" w:hAnsi="宋体" w:eastAsia="宋体" w:cs="宋体"/>
                <w:sz w:val="24"/>
                <w:szCs w:val="24"/>
                <w:highlight w:val="none"/>
              </w:rPr>
              <w:t>项目</w:t>
            </w:r>
            <w:r>
              <w:rPr>
                <w:rFonts w:hint="eastAsia" w:ascii="宋体" w:hAnsi="宋体" w:eastAsia="宋体" w:cs="宋体"/>
                <w:sz w:val="24"/>
                <w:szCs w:val="24"/>
                <w:highlight w:val="none"/>
                <w:lang w:val="en-US" w:eastAsia="zh-CN"/>
              </w:rPr>
              <w:t>管理部门及人员配备方案</w:t>
            </w:r>
            <w:r>
              <w:rPr>
                <w:rFonts w:hint="eastAsia" w:ascii="宋体" w:hAnsi="宋体" w:eastAsia="宋体" w:cs="宋体"/>
                <w:sz w:val="24"/>
                <w:szCs w:val="24"/>
              </w:rPr>
              <w:t>，包括：①团队组织人员配置明细②团队人员管理制度③配置人员资格、职称</w:t>
            </w:r>
          </w:p>
          <w:p w14:paraId="3A633703">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评审标准</w:t>
            </w:r>
          </w:p>
          <w:p w14:paraId="51E9F93B">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完整性：方案必须全面，对评审内容中的各项要求有详细描述； </w:t>
            </w:r>
          </w:p>
          <w:p w14:paraId="34546241">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可实施性：切合本项目实际情况，提出步骤清晰、合理的方案； </w:t>
            </w:r>
          </w:p>
          <w:p w14:paraId="76F2972A">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针对性：方案能够紧扣项目实际情况，内容科学合理。 </w:t>
            </w:r>
          </w:p>
          <w:p w14:paraId="20768C94">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ind w:left="100" w:leftChars="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赋分标准（满分</w:t>
            </w: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分）</w:t>
            </w:r>
            <w:r>
              <w:rPr>
                <w:rFonts w:hint="eastAsia" w:ascii="宋体" w:hAnsi="宋体" w:eastAsia="宋体" w:cs="宋体"/>
                <w:sz w:val="24"/>
                <w:szCs w:val="24"/>
              </w:rPr>
              <w:t xml:space="preserve"> </w:t>
            </w:r>
          </w:p>
          <w:p w14:paraId="39414A87">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①团队组织人员配置明细：</w:t>
            </w:r>
            <w:r>
              <w:rPr>
                <w:rFonts w:hint="eastAsia" w:ascii="宋体" w:hAnsi="宋体" w:eastAsia="宋体" w:cs="宋体"/>
                <w:sz w:val="24"/>
                <w:szCs w:val="24"/>
                <w:lang w:val="en-US" w:eastAsia="zh-CN"/>
              </w:rPr>
              <w:t>每完全满足一个评审标准得1分，不能完全满足一个评审标准要求综合赋分0-0.9分，满分3分；</w:t>
            </w:r>
          </w:p>
          <w:p w14:paraId="51DD9AD7">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②团队人员管理制度：</w:t>
            </w:r>
            <w:r>
              <w:rPr>
                <w:rFonts w:hint="eastAsia" w:ascii="宋体" w:hAnsi="宋体" w:eastAsia="宋体" w:cs="宋体"/>
                <w:sz w:val="24"/>
                <w:szCs w:val="24"/>
                <w:lang w:val="en-US" w:eastAsia="zh-CN"/>
              </w:rPr>
              <w:t>每完全满足一个评审标准得1分，不能完全满足一个评审标准要求综合赋分0-0.9分，满分3分；</w:t>
            </w:r>
          </w:p>
          <w:p w14:paraId="24908A61">
            <w:pPr>
              <w:spacing w:line="480" w:lineRule="exact"/>
              <w:rPr>
                <w:rFonts w:ascii="宋体" w:hAnsi="宋体" w:cs="宋体"/>
                <w:sz w:val="24"/>
                <w:szCs w:val="24"/>
                <w:highlight w:val="none"/>
              </w:rPr>
            </w:pPr>
            <w:r>
              <w:rPr>
                <w:rFonts w:hint="eastAsia" w:ascii="宋体" w:hAnsi="宋体" w:eastAsia="宋体" w:cs="宋体"/>
                <w:sz w:val="24"/>
                <w:szCs w:val="24"/>
              </w:rPr>
              <w:t>③配置人员资格、职称</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rPr>
              <w:t xml:space="preserve"> </w:t>
            </w:r>
            <w:r>
              <w:rPr>
                <w:rFonts w:hint="eastAsia" w:ascii="宋体" w:hAnsi="宋体" w:eastAsia="宋体" w:cs="宋体"/>
                <w:sz w:val="24"/>
                <w:szCs w:val="24"/>
                <w:lang w:val="en-US" w:eastAsia="zh-CN"/>
              </w:rPr>
              <w:t>每完全满足一个评审标准得1分，不能完全满足一个评审标准要求综合赋分0-0.9分，满分3分。</w:t>
            </w:r>
          </w:p>
        </w:tc>
      </w:tr>
      <w:tr w14:paraId="607CB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42" w:type="pct"/>
            <w:vMerge w:val="continue"/>
            <w:vAlign w:val="center"/>
          </w:tcPr>
          <w:p w14:paraId="2013E8F8">
            <w:pPr>
              <w:spacing w:line="480" w:lineRule="exact"/>
              <w:jc w:val="center"/>
              <w:rPr>
                <w:rFonts w:ascii="宋体" w:hAnsi="宋体" w:cs="宋体"/>
                <w:sz w:val="24"/>
                <w:szCs w:val="24"/>
                <w:highlight w:val="none"/>
              </w:rPr>
            </w:pPr>
          </w:p>
        </w:tc>
        <w:tc>
          <w:tcPr>
            <w:tcW w:w="681" w:type="pct"/>
            <w:vMerge w:val="continue"/>
            <w:vAlign w:val="center"/>
          </w:tcPr>
          <w:p w14:paraId="58C5D5DE">
            <w:pPr>
              <w:spacing w:line="480" w:lineRule="exact"/>
              <w:jc w:val="center"/>
              <w:rPr>
                <w:rFonts w:ascii="宋体" w:hAnsi="宋体" w:cs="宋体"/>
                <w:sz w:val="24"/>
                <w:szCs w:val="24"/>
                <w:highlight w:val="none"/>
              </w:rPr>
            </w:pPr>
          </w:p>
        </w:tc>
        <w:tc>
          <w:tcPr>
            <w:tcW w:w="765" w:type="pct"/>
            <w:vAlign w:val="center"/>
          </w:tcPr>
          <w:p w14:paraId="5645D56E">
            <w:pPr>
              <w:spacing w:line="480" w:lineRule="exact"/>
              <w:jc w:val="center"/>
              <w:rPr>
                <w:rFonts w:ascii="宋体" w:hAnsi="宋体" w:cs="宋体"/>
                <w:sz w:val="24"/>
                <w:szCs w:val="24"/>
                <w:highlight w:val="none"/>
              </w:rPr>
            </w:pPr>
            <w:r>
              <w:rPr>
                <w:rFonts w:hint="eastAsia" w:ascii="宋体" w:hAnsi="宋体" w:cs="宋体"/>
                <w:sz w:val="24"/>
                <w:szCs w:val="24"/>
                <w:highlight w:val="none"/>
              </w:rPr>
              <w:t>②项目实施方案</w:t>
            </w:r>
          </w:p>
          <w:p w14:paraId="372FB067">
            <w:pPr>
              <w:spacing w:line="480" w:lineRule="exact"/>
              <w:jc w:val="center"/>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18</w:t>
            </w:r>
            <w:r>
              <w:rPr>
                <w:rFonts w:hint="eastAsia" w:ascii="宋体" w:hAnsi="宋体" w:cs="宋体"/>
                <w:sz w:val="24"/>
                <w:szCs w:val="24"/>
                <w:highlight w:val="none"/>
              </w:rPr>
              <w:t>分）</w:t>
            </w:r>
          </w:p>
        </w:tc>
        <w:tc>
          <w:tcPr>
            <w:tcW w:w="3110" w:type="pct"/>
            <w:vAlign w:val="center"/>
          </w:tcPr>
          <w:p w14:paraId="7E6417F5">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 xml:space="preserve">评审内容 </w:t>
            </w:r>
          </w:p>
          <w:p w14:paraId="2409CDCC">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highlight w:val="none"/>
              </w:rPr>
            </w:pPr>
            <w:r>
              <w:rPr>
                <w:rFonts w:hint="eastAsia" w:ascii="宋体" w:hAnsi="宋体" w:eastAsia="宋体" w:cs="宋体"/>
                <w:sz w:val="24"/>
                <w:szCs w:val="24"/>
              </w:rPr>
              <w:t>针对本项目提出适用于本项目的</w:t>
            </w:r>
            <w:r>
              <w:rPr>
                <w:rFonts w:hint="eastAsia" w:ascii="宋体" w:hAnsi="宋体" w:cs="宋体"/>
                <w:sz w:val="24"/>
                <w:szCs w:val="24"/>
                <w:highlight w:val="none"/>
              </w:rPr>
              <w:t>项目实施方案</w:t>
            </w:r>
            <w:r>
              <w:rPr>
                <w:rFonts w:hint="eastAsia" w:ascii="宋体" w:hAnsi="宋体" w:eastAsia="宋体" w:cs="宋体"/>
                <w:sz w:val="24"/>
                <w:szCs w:val="24"/>
              </w:rPr>
              <w:t>，包括：</w:t>
            </w:r>
            <w:r>
              <w:rPr>
                <w:rFonts w:hint="eastAsia" w:ascii="宋体" w:hAnsi="宋体" w:eastAsia="宋体" w:cs="宋体"/>
                <w:sz w:val="24"/>
                <w:szCs w:val="24"/>
                <w:highlight w:val="none"/>
              </w:rPr>
              <w:t>①服务内容②服务措施③服务目标</w:t>
            </w:r>
          </w:p>
          <w:p w14:paraId="560555E7">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评审标准</w:t>
            </w:r>
          </w:p>
          <w:p w14:paraId="2D2B072A">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完整性：方案必须全面，对评审内容中的各项要求有详细描述； </w:t>
            </w:r>
          </w:p>
          <w:p w14:paraId="1479C7AD">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可实施性：切合本项目实际情况，提出步骤清晰、合理的方案； </w:t>
            </w:r>
          </w:p>
          <w:p w14:paraId="390D098A">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针对性：方案能够紧扣项目实际情况，内容科学合理。 </w:t>
            </w:r>
          </w:p>
          <w:p w14:paraId="2C682C77">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ind w:left="100" w:leftChars="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赋分标准（满分</w:t>
            </w:r>
            <w:r>
              <w:rPr>
                <w:rFonts w:hint="eastAsia" w:ascii="宋体" w:hAnsi="宋体" w:eastAsia="宋体" w:cs="宋体"/>
                <w:b/>
                <w:bCs/>
                <w:sz w:val="24"/>
                <w:szCs w:val="24"/>
                <w:lang w:val="en-US" w:eastAsia="zh-CN"/>
              </w:rPr>
              <w:t>18</w:t>
            </w:r>
            <w:r>
              <w:rPr>
                <w:rFonts w:hint="eastAsia" w:ascii="宋体" w:hAnsi="宋体" w:eastAsia="宋体" w:cs="宋体"/>
                <w:b/>
                <w:bCs/>
                <w:sz w:val="24"/>
                <w:szCs w:val="24"/>
              </w:rPr>
              <w:t>分）</w:t>
            </w:r>
            <w:r>
              <w:rPr>
                <w:rFonts w:hint="eastAsia" w:ascii="宋体" w:hAnsi="宋体" w:eastAsia="宋体" w:cs="宋体"/>
                <w:sz w:val="24"/>
                <w:szCs w:val="24"/>
              </w:rPr>
              <w:t xml:space="preserve"> </w:t>
            </w:r>
          </w:p>
          <w:p w14:paraId="42B0DCB7">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①服务内容：</w:t>
            </w:r>
            <w:r>
              <w:rPr>
                <w:rFonts w:hint="eastAsia" w:ascii="宋体" w:hAnsi="宋体" w:eastAsia="宋体" w:cs="宋体"/>
                <w:sz w:val="24"/>
                <w:szCs w:val="24"/>
                <w:lang w:val="en-US" w:eastAsia="zh-CN"/>
              </w:rPr>
              <w:t>每完全满足一个评审标准得2分，不能完全满足一个评审标准要求综合赋分0-1.9分，满分6分；</w:t>
            </w:r>
          </w:p>
          <w:p w14:paraId="526606C8">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②服务措施：</w:t>
            </w:r>
            <w:r>
              <w:rPr>
                <w:rFonts w:hint="eastAsia" w:ascii="宋体" w:hAnsi="宋体" w:eastAsia="宋体" w:cs="宋体"/>
                <w:sz w:val="24"/>
                <w:szCs w:val="24"/>
                <w:lang w:val="en-US" w:eastAsia="zh-CN"/>
              </w:rPr>
              <w:t>每完全满足一个评审标准得2分，不能完全满足一个评审标准要求综合赋分0-1.9分，满分6分；</w:t>
            </w:r>
          </w:p>
          <w:p w14:paraId="6AA585E8">
            <w:pPr>
              <w:spacing w:line="480" w:lineRule="exact"/>
              <w:rPr>
                <w:rFonts w:ascii="宋体" w:hAnsi="宋体" w:cs="宋体"/>
                <w:sz w:val="24"/>
                <w:szCs w:val="24"/>
                <w:highlight w:val="none"/>
              </w:rPr>
            </w:pPr>
            <w:r>
              <w:rPr>
                <w:rFonts w:hint="eastAsia" w:ascii="宋体" w:hAnsi="宋体" w:eastAsia="宋体" w:cs="宋体"/>
                <w:sz w:val="24"/>
                <w:szCs w:val="24"/>
              </w:rPr>
              <w:t>③服务目标：</w:t>
            </w:r>
            <w:r>
              <w:rPr>
                <w:rFonts w:hint="eastAsia" w:ascii="宋体" w:hAnsi="宋体" w:eastAsia="宋体" w:cs="宋体"/>
                <w:sz w:val="24"/>
                <w:szCs w:val="24"/>
                <w:lang w:val="en-US" w:eastAsia="zh-CN"/>
              </w:rPr>
              <w:t>每完全满足一个评审标准得2分，不能完全满足一个评审标准要求综合赋分0-1.9分，满分6分；</w:t>
            </w:r>
          </w:p>
        </w:tc>
      </w:tr>
      <w:tr w14:paraId="392BD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42" w:type="pct"/>
            <w:vMerge w:val="continue"/>
            <w:vAlign w:val="center"/>
          </w:tcPr>
          <w:p w14:paraId="449CE7A1">
            <w:pPr>
              <w:spacing w:line="480" w:lineRule="exact"/>
              <w:jc w:val="center"/>
              <w:rPr>
                <w:rFonts w:ascii="宋体" w:hAnsi="宋体" w:cs="宋体"/>
                <w:sz w:val="24"/>
                <w:szCs w:val="24"/>
                <w:highlight w:val="none"/>
              </w:rPr>
            </w:pPr>
          </w:p>
        </w:tc>
        <w:tc>
          <w:tcPr>
            <w:tcW w:w="681" w:type="pct"/>
            <w:vMerge w:val="continue"/>
            <w:vAlign w:val="center"/>
          </w:tcPr>
          <w:p w14:paraId="361A798A">
            <w:pPr>
              <w:spacing w:line="480" w:lineRule="exact"/>
              <w:jc w:val="center"/>
              <w:rPr>
                <w:rFonts w:ascii="宋体" w:hAnsi="宋体" w:cs="宋体"/>
                <w:sz w:val="24"/>
                <w:szCs w:val="24"/>
                <w:highlight w:val="none"/>
              </w:rPr>
            </w:pPr>
          </w:p>
        </w:tc>
        <w:tc>
          <w:tcPr>
            <w:tcW w:w="765" w:type="pct"/>
            <w:vAlign w:val="center"/>
          </w:tcPr>
          <w:p w14:paraId="0996CDB0">
            <w:pPr>
              <w:spacing w:line="480" w:lineRule="exact"/>
              <w:jc w:val="center"/>
              <w:rPr>
                <w:rFonts w:hint="eastAsia" w:ascii="宋体" w:hAnsi="宋体" w:cs="宋体"/>
                <w:sz w:val="24"/>
                <w:szCs w:val="24"/>
                <w:highlight w:val="none"/>
              </w:rPr>
            </w:pPr>
            <w:r>
              <w:rPr>
                <w:rFonts w:hint="eastAsia" w:ascii="宋体" w:hAnsi="宋体" w:cs="宋体"/>
                <w:sz w:val="24"/>
                <w:szCs w:val="24"/>
                <w:highlight w:val="none"/>
              </w:rPr>
              <w:t>③</w:t>
            </w:r>
            <w:r>
              <w:rPr>
                <w:rFonts w:hint="eastAsia" w:ascii="宋体" w:hAnsi="宋体" w:cs="宋体"/>
                <w:sz w:val="24"/>
                <w:szCs w:val="24"/>
                <w:highlight w:val="none"/>
                <w:lang w:val="en-US" w:eastAsia="zh-CN"/>
              </w:rPr>
              <w:t>项目</w:t>
            </w:r>
            <w:r>
              <w:rPr>
                <w:rFonts w:hint="eastAsia" w:ascii="宋体" w:hAnsi="宋体" w:cs="宋体"/>
                <w:sz w:val="24"/>
                <w:szCs w:val="24"/>
                <w:highlight w:val="none"/>
              </w:rPr>
              <w:t>进度计划与保障措施</w:t>
            </w:r>
          </w:p>
          <w:p w14:paraId="3A5E1B69">
            <w:pPr>
              <w:spacing w:line="480" w:lineRule="exact"/>
              <w:jc w:val="center"/>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eastAsia="宋体" w:cs="宋体"/>
                <w:b w:val="0"/>
                <w:bCs w:val="0"/>
                <w:sz w:val="24"/>
                <w:szCs w:val="24"/>
                <w:lang w:val="en-US" w:eastAsia="zh-CN"/>
              </w:rPr>
              <w:t>18</w:t>
            </w:r>
            <w:r>
              <w:rPr>
                <w:rFonts w:hint="eastAsia" w:ascii="宋体" w:hAnsi="宋体" w:cs="宋体"/>
                <w:sz w:val="24"/>
                <w:szCs w:val="24"/>
                <w:highlight w:val="none"/>
              </w:rPr>
              <w:t>分）</w:t>
            </w:r>
          </w:p>
        </w:tc>
        <w:tc>
          <w:tcPr>
            <w:tcW w:w="3110" w:type="pct"/>
            <w:vAlign w:val="center"/>
          </w:tcPr>
          <w:p w14:paraId="19200A8A">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 xml:space="preserve">评审内容 </w:t>
            </w:r>
          </w:p>
          <w:p w14:paraId="172DCD67">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highlight w:val="none"/>
              </w:rPr>
            </w:pPr>
            <w:r>
              <w:rPr>
                <w:rFonts w:hint="eastAsia" w:ascii="宋体" w:hAnsi="宋体" w:eastAsia="宋体" w:cs="宋体"/>
                <w:sz w:val="24"/>
                <w:szCs w:val="24"/>
              </w:rPr>
              <w:t>针对本项目提出适用于本项目的</w:t>
            </w:r>
            <w:r>
              <w:rPr>
                <w:rFonts w:hint="eastAsia" w:ascii="宋体" w:hAnsi="宋体" w:eastAsia="宋体" w:cs="宋体"/>
                <w:sz w:val="24"/>
                <w:szCs w:val="24"/>
                <w:highlight w:val="none"/>
              </w:rPr>
              <w:t>项目实施进度计划</w:t>
            </w:r>
            <w:r>
              <w:rPr>
                <w:rFonts w:hint="eastAsia" w:ascii="宋体" w:hAnsi="宋体" w:eastAsia="宋体" w:cs="宋体"/>
                <w:sz w:val="24"/>
                <w:szCs w:val="24"/>
              </w:rPr>
              <w:t>，包括：</w:t>
            </w:r>
            <w:r>
              <w:rPr>
                <w:rFonts w:hint="eastAsia" w:ascii="宋体" w:hAnsi="宋体" w:eastAsia="宋体" w:cs="宋体"/>
                <w:sz w:val="24"/>
                <w:szCs w:val="24"/>
                <w:highlight w:val="none"/>
              </w:rPr>
              <w:t>①项目实施进度</w:t>
            </w:r>
            <w:r>
              <w:rPr>
                <w:rFonts w:hint="eastAsia" w:ascii="宋体" w:hAnsi="宋体" w:eastAsia="宋体" w:cs="宋体"/>
                <w:sz w:val="24"/>
                <w:szCs w:val="24"/>
              </w:rPr>
              <w:t>②</w:t>
            </w:r>
            <w:r>
              <w:rPr>
                <w:rFonts w:hint="eastAsia" w:ascii="宋体" w:hAnsi="宋体" w:eastAsia="宋体" w:cs="宋体"/>
                <w:sz w:val="24"/>
                <w:szCs w:val="24"/>
                <w:highlight w:val="none"/>
              </w:rPr>
              <w:t>目标分析③项目进度保障</w:t>
            </w:r>
            <w:r>
              <w:rPr>
                <w:rFonts w:hint="eastAsia" w:ascii="宋体" w:hAnsi="宋体" w:cs="宋体"/>
                <w:sz w:val="24"/>
                <w:szCs w:val="24"/>
                <w:highlight w:val="none"/>
              </w:rPr>
              <w:t>措施</w:t>
            </w:r>
          </w:p>
          <w:p w14:paraId="2FEF0B9A">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评审标准</w:t>
            </w:r>
          </w:p>
          <w:p w14:paraId="5FBAC7B2">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完整性：方案必须全面，对评审内容中的各项要求有详细描述； </w:t>
            </w:r>
          </w:p>
          <w:p w14:paraId="173AEC57">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可实施性：切合本项目实际情况，提出步骤清晰、合理的方案； </w:t>
            </w:r>
          </w:p>
          <w:p w14:paraId="4A3B8C5F">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针对性：方案能够紧扣项目实际情况，内容科学合理。 </w:t>
            </w:r>
          </w:p>
          <w:p w14:paraId="51EDC8C2">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ind w:left="100" w:leftChars="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赋分标准（满分</w:t>
            </w:r>
            <w:r>
              <w:rPr>
                <w:rFonts w:hint="eastAsia" w:ascii="宋体" w:hAnsi="宋体" w:eastAsia="宋体" w:cs="宋体"/>
                <w:b/>
                <w:bCs/>
                <w:sz w:val="24"/>
                <w:szCs w:val="24"/>
                <w:lang w:val="en-US" w:eastAsia="zh-CN"/>
              </w:rPr>
              <w:t>18</w:t>
            </w:r>
            <w:r>
              <w:rPr>
                <w:rFonts w:hint="eastAsia" w:ascii="宋体" w:hAnsi="宋体" w:eastAsia="宋体" w:cs="宋体"/>
                <w:b/>
                <w:bCs/>
                <w:sz w:val="24"/>
                <w:szCs w:val="24"/>
              </w:rPr>
              <w:t>分）</w:t>
            </w:r>
            <w:r>
              <w:rPr>
                <w:rFonts w:hint="eastAsia" w:ascii="宋体" w:hAnsi="宋体" w:eastAsia="宋体" w:cs="宋体"/>
                <w:sz w:val="24"/>
                <w:szCs w:val="24"/>
              </w:rPr>
              <w:t xml:space="preserve"> </w:t>
            </w:r>
          </w:p>
          <w:p w14:paraId="60FE452E">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rPr>
              <w:t>①项目实施进度</w:t>
            </w:r>
            <w:r>
              <w:rPr>
                <w:rFonts w:hint="eastAsia" w:ascii="宋体" w:hAnsi="宋体" w:eastAsia="宋体" w:cs="宋体"/>
                <w:sz w:val="24"/>
                <w:szCs w:val="24"/>
              </w:rPr>
              <w:t>：</w:t>
            </w:r>
            <w:r>
              <w:rPr>
                <w:rFonts w:hint="eastAsia" w:ascii="宋体" w:hAnsi="宋体" w:eastAsia="宋体" w:cs="宋体"/>
                <w:sz w:val="24"/>
                <w:szCs w:val="24"/>
                <w:lang w:val="en-US" w:eastAsia="zh-CN"/>
              </w:rPr>
              <w:t>每完全满足一个评审标准得2分，不能完全满足一个评审标准要求综合赋分0-1.9分，满分6分；</w:t>
            </w:r>
          </w:p>
          <w:p w14:paraId="183AA3D5">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②</w:t>
            </w:r>
            <w:r>
              <w:rPr>
                <w:rFonts w:hint="eastAsia" w:ascii="宋体" w:hAnsi="宋体" w:eastAsia="宋体" w:cs="宋体"/>
                <w:sz w:val="24"/>
                <w:szCs w:val="24"/>
                <w:highlight w:val="none"/>
              </w:rPr>
              <w:t>目标分析</w:t>
            </w:r>
            <w:r>
              <w:rPr>
                <w:rFonts w:hint="eastAsia" w:ascii="宋体" w:hAnsi="宋体" w:eastAsia="宋体" w:cs="宋体"/>
                <w:sz w:val="24"/>
                <w:szCs w:val="24"/>
              </w:rPr>
              <w:t>：</w:t>
            </w:r>
            <w:r>
              <w:rPr>
                <w:rFonts w:hint="eastAsia" w:ascii="宋体" w:hAnsi="宋体" w:eastAsia="宋体" w:cs="宋体"/>
                <w:sz w:val="24"/>
                <w:szCs w:val="24"/>
                <w:lang w:val="en-US" w:eastAsia="zh-CN"/>
              </w:rPr>
              <w:t>每完全满足一个评审标准得2分，不能完全满足一个评审标准要求综合赋分0-1.9分，满分6分；</w:t>
            </w:r>
          </w:p>
          <w:p w14:paraId="3D528AA8">
            <w:pPr>
              <w:spacing w:line="480" w:lineRule="exact"/>
              <w:rPr>
                <w:rFonts w:ascii="宋体" w:hAnsi="宋体" w:cs="宋体"/>
                <w:sz w:val="24"/>
                <w:szCs w:val="24"/>
                <w:highlight w:val="none"/>
              </w:rPr>
            </w:pPr>
            <w:r>
              <w:rPr>
                <w:rFonts w:hint="eastAsia" w:ascii="宋体" w:hAnsi="宋体" w:eastAsia="宋体" w:cs="宋体"/>
                <w:sz w:val="24"/>
                <w:szCs w:val="24"/>
              </w:rPr>
              <w:t>③</w:t>
            </w:r>
            <w:r>
              <w:rPr>
                <w:rFonts w:hint="eastAsia" w:ascii="宋体" w:hAnsi="宋体" w:eastAsia="宋体" w:cs="宋体"/>
                <w:sz w:val="24"/>
                <w:szCs w:val="24"/>
                <w:highlight w:val="none"/>
              </w:rPr>
              <w:t>项目进度保障</w:t>
            </w:r>
            <w:r>
              <w:rPr>
                <w:rFonts w:hint="eastAsia" w:ascii="宋体" w:hAnsi="宋体" w:cs="宋体"/>
                <w:sz w:val="24"/>
                <w:szCs w:val="24"/>
                <w:highlight w:val="none"/>
              </w:rPr>
              <w:t>措施</w:t>
            </w:r>
            <w:r>
              <w:rPr>
                <w:rFonts w:hint="eastAsia" w:ascii="宋体" w:hAnsi="宋体" w:eastAsia="宋体" w:cs="宋体"/>
                <w:sz w:val="24"/>
                <w:szCs w:val="24"/>
              </w:rPr>
              <w:t>：</w:t>
            </w:r>
            <w:r>
              <w:rPr>
                <w:rFonts w:hint="eastAsia" w:ascii="宋体" w:hAnsi="宋体" w:eastAsia="宋体" w:cs="宋体"/>
                <w:sz w:val="24"/>
                <w:szCs w:val="24"/>
                <w:lang w:val="en-US" w:eastAsia="zh-CN"/>
              </w:rPr>
              <w:t>每完全满足一个评审标准得2分，不能完全满足一个评审标准要求综合赋分0-1.9分，满分6分；</w:t>
            </w:r>
          </w:p>
        </w:tc>
      </w:tr>
      <w:tr w14:paraId="04EC3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42" w:type="pct"/>
            <w:vMerge w:val="continue"/>
            <w:vAlign w:val="center"/>
          </w:tcPr>
          <w:p w14:paraId="0EBCC39F">
            <w:pPr>
              <w:spacing w:line="480" w:lineRule="exact"/>
              <w:jc w:val="center"/>
              <w:rPr>
                <w:rFonts w:ascii="宋体" w:hAnsi="宋体" w:cs="宋体"/>
                <w:sz w:val="24"/>
                <w:szCs w:val="24"/>
                <w:highlight w:val="none"/>
              </w:rPr>
            </w:pPr>
          </w:p>
        </w:tc>
        <w:tc>
          <w:tcPr>
            <w:tcW w:w="681" w:type="pct"/>
            <w:vMerge w:val="continue"/>
            <w:vAlign w:val="center"/>
          </w:tcPr>
          <w:p w14:paraId="209FB96D">
            <w:pPr>
              <w:spacing w:line="480" w:lineRule="exact"/>
              <w:jc w:val="center"/>
              <w:rPr>
                <w:rFonts w:ascii="宋体" w:hAnsi="宋体" w:cs="宋体"/>
                <w:sz w:val="24"/>
                <w:szCs w:val="24"/>
                <w:highlight w:val="none"/>
              </w:rPr>
            </w:pPr>
          </w:p>
        </w:tc>
        <w:tc>
          <w:tcPr>
            <w:tcW w:w="765" w:type="pct"/>
            <w:vAlign w:val="center"/>
          </w:tcPr>
          <w:p w14:paraId="43B2D8B7">
            <w:pPr>
              <w:spacing w:line="480" w:lineRule="exact"/>
              <w:jc w:val="center"/>
              <w:rPr>
                <w:rFonts w:hint="eastAsia" w:ascii="宋体" w:hAnsi="宋体" w:cs="宋体"/>
                <w:sz w:val="24"/>
                <w:szCs w:val="24"/>
                <w:highlight w:val="none"/>
              </w:rPr>
            </w:pPr>
            <w:r>
              <w:rPr>
                <w:rFonts w:hint="eastAsia" w:ascii="宋体" w:hAnsi="宋体" w:cs="宋体"/>
                <w:sz w:val="24"/>
                <w:szCs w:val="24"/>
                <w:highlight w:val="none"/>
              </w:rPr>
              <w:t>④确保</w:t>
            </w:r>
            <w:r>
              <w:rPr>
                <w:rFonts w:hint="eastAsia" w:ascii="宋体" w:hAnsi="宋体" w:cs="宋体"/>
                <w:sz w:val="24"/>
                <w:szCs w:val="24"/>
                <w:highlight w:val="none"/>
                <w:lang w:val="en-US" w:eastAsia="zh-CN"/>
              </w:rPr>
              <w:t>项目</w:t>
            </w:r>
            <w:r>
              <w:rPr>
                <w:rFonts w:hint="eastAsia" w:ascii="宋体" w:hAnsi="宋体" w:cs="宋体"/>
                <w:sz w:val="24"/>
                <w:szCs w:val="24"/>
                <w:highlight w:val="none"/>
              </w:rPr>
              <w:t>质量的</w:t>
            </w:r>
            <w:r>
              <w:rPr>
                <w:rFonts w:hint="eastAsia" w:ascii="宋体" w:hAnsi="宋体" w:cs="宋体"/>
                <w:sz w:val="24"/>
                <w:szCs w:val="24"/>
                <w:highlight w:val="none"/>
                <w:lang w:val="en-US" w:eastAsia="zh-CN"/>
              </w:rPr>
              <w:t>保证</w:t>
            </w:r>
            <w:r>
              <w:rPr>
                <w:rFonts w:hint="eastAsia" w:ascii="宋体" w:hAnsi="宋体" w:cs="宋体"/>
                <w:sz w:val="24"/>
                <w:szCs w:val="24"/>
                <w:highlight w:val="none"/>
              </w:rPr>
              <w:t>措施</w:t>
            </w:r>
          </w:p>
          <w:p w14:paraId="1F4FB69C">
            <w:pPr>
              <w:spacing w:line="480" w:lineRule="exact"/>
              <w:jc w:val="center"/>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12</w:t>
            </w:r>
            <w:r>
              <w:rPr>
                <w:rFonts w:hint="eastAsia" w:ascii="宋体" w:hAnsi="宋体" w:cs="宋体"/>
                <w:sz w:val="24"/>
                <w:szCs w:val="24"/>
                <w:highlight w:val="none"/>
              </w:rPr>
              <w:t>分）</w:t>
            </w:r>
          </w:p>
        </w:tc>
        <w:tc>
          <w:tcPr>
            <w:tcW w:w="3110" w:type="pct"/>
            <w:vAlign w:val="center"/>
          </w:tcPr>
          <w:p w14:paraId="2D9B840B">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 xml:space="preserve">评审内容 </w:t>
            </w:r>
          </w:p>
          <w:p w14:paraId="4F04091A">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highlight w:val="none"/>
              </w:rPr>
            </w:pPr>
            <w:r>
              <w:rPr>
                <w:rFonts w:hint="eastAsia" w:ascii="宋体" w:hAnsi="宋体" w:eastAsia="宋体" w:cs="宋体"/>
                <w:sz w:val="24"/>
                <w:szCs w:val="24"/>
              </w:rPr>
              <w:t>针对本项目提出适用于本项目的质量保证措施，包括：①质量保障方案②质量控制措施</w:t>
            </w:r>
          </w:p>
          <w:p w14:paraId="0A698927">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评审标准</w:t>
            </w:r>
          </w:p>
          <w:p w14:paraId="5857062A">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完整性：方案必须全面，对评审内容中的各项要求有详细描述； </w:t>
            </w:r>
          </w:p>
          <w:p w14:paraId="4520DF8C">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可实施性：切合本项目实际情况，提出步骤清晰、合理的方案； </w:t>
            </w:r>
          </w:p>
          <w:p w14:paraId="5CD42608">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针对性：方案能够紧扣项目实际情况，内容科学合理。 </w:t>
            </w:r>
          </w:p>
          <w:p w14:paraId="1B156A44">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ind w:left="100" w:leftChars="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赋分标准（满分</w:t>
            </w:r>
            <w:r>
              <w:rPr>
                <w:rFonts w:hint="eastAsia" w:ascii="宋体" w:hAnsi="宋体" w:eastAsia="宋体" w:cs="宋体"/>
                <w:b/>
                <w:bCs/>
                <w:sz w:val="24"/>
                <w:szCs w:val="24"/>
                <w:lang w:val="en-US" w:eastAsia="zh-CN"/>
              </w:rPr>
              <w:t>12</w:t>
            </w:r>
            <w:r>
              <w:rPr>
                <w:rFonts w:hint="eastAsia" w:ascii="宋体" w:hAnsi="宋体" w:eastAsia="宋体" w:cs="宋体"/>
                <w:b/>
                <w:bCs/>
                <w:sz w:val="24"/>
                <w:szCs w:val="24"/>
              </w:rPr>
              <w:t>分）</w:t>
            </w:r>
            <w:r>
              <w:rPr>
                <w:rFonts w:hint="eastAsia" w:ascii="宋体" w:hAnsi="宋体" w:eastAsia="宋体" w:cs="宋体"/>
                <w:sz w:val="24"/>
                <w:szCs w:val="24"/>
              </w:rPr>
              <w:t xml:space="preserve"> </w:t>
            </w:r>
          </w:p>
          <w:p w14:paraId="5EC23CD5">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①质量保障方案：</w:t>
            </w:r>
            <w:r>
              <w:rPr>
                <w:rFonts w:hint="eastAsia" w:ascii="宋体" w:hAnsi="宋体" w:eastAsia="宋体" w:cs="宋体"/>
                <w:sz w:val="24"/>
                <w:szCs w:val="24"/>
                <w:lang w:val="en-US" w:eastAsia="zh-CN"/>
              </w:rPr>
              <w:t>每完全满足一个评审标准得2分，不能完全满足一个评审标准要求综合赋分0-1.9分，满分6分；</w:t>
            </w:r>
          </w:p>
          <w:p w14:paraId="01187995">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rPr>
              <w:t>②质量目标：</w:t>
            </w:r>
            <w:r>
              <w:rPr>
                <w:rFonts w:hint="eastAsia" w:ascii="宋体" w:hAnsi="宋体" w:eastAsia="宋体" w:cs="宋体"/>
                <w:sz w:val="24"/>
                <w:szCs w:val="24"/>
                <w:lang w:val="en-US" w:eastAsia="zh-CN"/>
              </w:rPr>
              <w:t>每完全满足一个评审标准得2分，不能完全满足一个评审标准要求综合赋分0-1.9分，满分6分；</w:t>
            </w:r>
          </w:p>
        </w:tc>
      </w:tr>
      <w:tr w14:paraId="4C7FB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2" w:type="pct"/>
            <w:vMerge w:val="continue"/>
            <w:vAlign w:val="center"/>
          </w:tcPr>
          <w:p w14:paraId="3FA5231E">
            <w:pPr>
              <w:spacing w:line="480" w:lineRule="exact"/>
              <w:jc w:val="center"/>
              <w:rPr>
                <w:rFonts w:ascii="宋体" w:hAnsi="宋体" w:cs="宋体"/>
                <w:sz w:val="24"/>
                <w:szCs w:val="24"/>
                <w:highlight w:val="none"/>
              </w:rPr>
            </w:pPr>
          </w:p>
        </w:tc>
        <w:tc>
          <w:tcPr>
            <w:tcW w:w="681" w:type="pct"/>
            <w:vMerge w:val="continue"/>
            <w:vAlign w:val="center"/>
          </w:tcPr>
          <w:p w14:paraId="4C622996">
            <w:pPr>
              <w:spacing w:line="480" w:lineRule="exact"/>
              <w:jc w:val="center"/>
              <w:rPr>
                <w:rFonts w:ascii="宋体" w:hAnsi="宋体" w:cs="宋体"/>
                <w:sz w:val="24"/>
                <w:szCs w:val="24"/>
                <w:highlight w:val="none"/>
              </w:rPr>
            </w:pPr>
          </w:p>
        </w:tc>
        <w:tc>
          <w:tcPr>
            <w:tcW w:w="765" w:type="pct"/>
            <w:vAlign w:val="center"/>
          </w:tcPr>
          <w:p w14:paraId="4443D9F0">
            <w:pPr>
              <w:spacing w:line="480" w:lineRule="exact"/>
              <w:jc w:val="center"/>
              <w:rPr>
                <w:rFonts w:hint="eastAsia" w:ascii="宋体" w:hAnsi="宋体" w:cs="宋体"/>
                <w:sz w:val="24"/>
                <w:szCs w:val="24"/>
                <w:highlight w:val="none"/>
              </w:rPr>
            </w:pPr>
            <w:r>
              <w:rPr>
                <w:rFonts w:hint="eastAsia" w:ascii="宋体" w:hAnsi="宋体" w:eastAsia="宋体" w:cs="宋体"/>
                <w:sz w:val="24"/>
                <w:szCs w:val="24"/>
                <w:highlight w:val="none"/>
              </w:rPr>
              <w:t>⑤</w:t>
            </w:r>
            <w:r>
              <w:rPr>
                <w:rFonts w:hint="eastAsia" w:ascii="宋体" w:hAnsi="宋体" w:cs="宋体"/>
                <w:sz w:val="24"/>
                <w:szCs w:val="24"/>
                <w:highlight w:val="none"/>
              </w:rPr>
              <w:t>主要机具、设备和劳动力配备情况</w:t>
            </w:r>
          </w:p>
          <w:p w14:paraId="75715D4D">
            <w:pPr>
              <w:spacing w:line="480" w:lineRule="exact"/>
              <w:jc w:val="center"/>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9</w:t>
            </w:r>
            <w:r>
              <w:rPr>
                <w:rFonts w:hint="eastAsia" w:ascii="宋体" w:hAnsi="宋体" w:cs="宋体"/>
                <w:sz w:val="24"/>
                <w:szCs w:val="24"/>
                <w:highlight w:val="none"/>
              </w:rPr>
              <w:t>分）</w:t>
            </w:r>
          </w:p>
        </w:tc>
        <w:tc>
          <w:tcPr>
            <w:tcW w:w="3110" w:type="pct"/>
            <w:vAlign w:val="center"/>
          </w:tcPr>
          <w:p w14:paraId="0FBB6193">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 xml:space="preserve">评审内容 </w:t>
            </w:r>
          </w:p>
          <w:p w14:paraId="7B44AA91">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highlight w:val="none"/>
              </w:rPr>
            </w:pPr>
            <w:r>
              <w:rPr>
                <w:rFonts w:hint="eastAsia" w:ascii="宋体" w:hAnsi="宋体" w:eastAsia="宋体" w:cs="宋体"/>
                <w:sz w:val="24"/>
                <w:szCs w:val="24"/>
              </w:rPr>
              <w:t>针对本项目提出适用于本项目的</w:t>
            </w:r>
            <w:r>
              <w:rPr>
                <w:rFonts w:hint="eastAsia" w:ascii="宋体" w:hAnsi="宋体" w:eastAsia="宋体" w:cs="宋体"/>
                <w:sz w:val="24"/>
                <w:szCs w:val="24"/>
                <w:lang w:val="en-US" w:eastAsia="zh-CN"/>
              </w:rPr>
              <w:t>设备及劳动力</w:t>
            </w:r>
            <w:r>
              <w:rPr>
                <w:rFonts w:hint="eastAsia" w:ascii="宋体" w:hAnsi="宋体" w:eastAsia="宋体" w:cs="宋体"/>
                <w:sz w:val="24"/>
                <w:szCs w:val="24"/>
              </w:rPr>
              <w:t>，包括：①主要机具、设备②</w:t>
            </w:r>
            <w:r>
              <w:rPr>
                <w:rFonts w:hint="eastAsia" w:ascii="宋体" w:hAnsi="宋体" w:cs="宋体"/>
                <w:sz w:val="24"/>
                <w:szCs w:val="24"/>
                <w:highlight w:val="none"/>
              </w:rPr>
              <w:t>劳动力配备</w:t>
            </w:r>
          </w:p>
          <w:p w14:paraId="58D5687D">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评审标准</w:t>
            </w:r>
          </w:p>
          <w:p w14:paraId="40547587">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完整性：方案必须全面，对评审内容中的各项要求有详细描述； </w:t>
            </w:r>
          </w:p>
          <w:p w14:paraId="319867EB">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可实施性：切合本项目实际情况，提出步骤清晰、合理的方案； </w:t>
            </w:r>
          </w:p>
          <w:p w14:paraId="24D060AC">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针对性：方案能够紧扣项目实际情况，内容科学合理。 </w:t>
            </w:r>
          </w:p>
          <w:p w14:paraId="6858E20A">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ind w:left="100" w:leftChars="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赋分标准（满分</w:t>
            </w: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分）</w:t>
            </w:r>
            <w:r>
              <w:rPr>
                <w:rFonts w:hint="eastAsia" w:ascii="宋体" w:hAnsi="宋体" w:eastAsia="宋体" w:cs="宋体"/>
                <w:sz w:val="24"/>
                <w:szCs w:val="24"/>
              </w:rPr>
              <w:t xml:space="preserve"> </w:t>
            </w:r>
          </w:p>
          <w:p w14:paraId="6EFDB9EF">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①主要机具、设备：</w:t>
            </w:r>
            <w:r>
              <w:rPr>
                <w:rFonts w:hint="eastAsia" w:ascii="宋体" w:hAnsi="宋体" w:eastAsia="宋体" w:cs="宋体"/>
                <w:sz w:val="24"/>
                <w:szCs w:val="24"/>
                <w:lang w:val="en-US" w:eastAsia="zh-CN"/>
              </w:rPr>
              <w:t>每完全满足一个评审标准得1.5分，不能完全满足一个评审标准要求综合赋分0-1.4分，满分4.5分；</w:t>
            </w:r>
          </w:p>
          <w:p w14:paraId="2C24E21B">
            <w:pPr>
              <w:spacing w:line="480" w:lineRule="exact"/>
              <w:rPr>
                <w:rFonts w:ascii="宋体" w:hAnsi="宋体" w:cs="宋体"/>
                <w:sz w:val="24"/>
                <w:szCs w:val="24"/>
                <w:highlight w:val="none"/>
              </w:rPr>
            </w:pPr>
            <w:r>
              <w:rPr>
                <w:rFonts w:hint="eastAsia" w:ascii="宋体" w:hAnsi="宋体" w:eastAsia="宋体" w:cs="宋体"/>
                <w:sz w:val="24"/>
                <w:szCs w:val="24"/>
              </w:rPr>
              <w:t>②</w:t>
            </w:r>
            <w:r>
              <w:rPr>
                <w:rFonts w:hint="eastAsia" w:ascii="宋体" w:hAnsi="宋体" w:cs="宋体"/>
                <w:sz w:val="24"/>
                <w:szCs w:val="24"/>
                <w:highlight w:val="none"/>
              </w:rPr>
              <w:t>劳动力配备</w:t>
            </w:r>
            <w:r>
              <w:rPr>
                <w:rFonts w:hint="eastAsia" w:ascii="宋体" w:hAnsi="宋体" w:eastAsia="宋体" w:cs="宋体"/>
                <w:sz w:val="24"/>
                <w:szCs w:val="24"/>
              </w:rPr>
              <w:t>：</w:t>
            </w:r>
            <w:r>
              <w:rPr>
                <w:rFonts w:hint="eastAsia" w:ascii="宋体" w:hAnsi="宋体" w:eastAsia="宋体" w:cs="宋体"/>
                <w:sz w:val="24"/>
                <w:szCs w:val="24"/>
                <w:lang w:val="en-US" w:eastAsia="zh-CN"/>
              </w:rPr>
              <w:t>每完全满足一个评审标准得1.5分，不能完全满足一个评审标准要求综合赋分0-1.4分，满分4.5分；</w:t>
            </w:r>
          </w:p>
        </w:tc>
      </w:tr>
      <w:tr w14:paraId="225A2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2" w:type="pct"/>
            <w:vMerge w:val="continue"/>
            <w:vAlign w:val="center"/>
          </w:tcPr>
          <w:p w14:paraId="27C70267">
            <w:pPr>
              <w:spacing w:line="480" w:lineRule="exact"/>
              <w:jc w:val="center"/>
              <w:rPr>
                <w:rFonts w:ascii="宋体" w:hAnsi="宋体" w:cs="宋体"/>
                <w:sz w:val="24"/>
                <w:szCs w:val="24"/>
                <w:highlight w:val="none"/>
              </w:rPr>
            </w:pPr>
          </w:p>
        </w:tc>
        <w:tc>
          <w:tcPr>
            <w:tcW w:w="681" w:type="pct"/>
            <w:vMerge w:val="continue"/>
            <w:vAlign w:val="center"/>
          </w:tcPr>
          <w:p w14:paraId="244A61C9">
            <w:pPr>
              <w:spacing w:line="480" w:lineRule="exact"/>
              <w:jc w:val="center"/>
              <w:rPr>
                <w:rFonts w:ascii="宋体" w:hAnsi="宋体" w:cs="宋体"/>
                <w:sz w:val="24"/>
                <w:szCs w:val="24"/>
                <w:highlight w:val="none"/>
              </w:rPr>
            </w:pPr>
          </w:p>
        </w:tc>
        <w:tc>
          <w:tcPr>
            <w:tcW w:w="765" w:type="pct"/>
            <w:vAlign w:val="center"/>
          </w:tcPr>
          <w:p w14:paraId="03FF4D0F">
            <w:pPr>
              <w:spacing w:line="4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⑥服务承诺及应急管理</w:t>
            </w:r>
          </w:p>
          <w:p w14:paraId="0289416B">
            <w:pPr>
              <w:spacing w:line="480" w:lineRule="exact"/>
              <w:jc w:val="center"/>
              <w:rPr>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9</w:t>
            </w:r>
            <w:r>
              <w:rPr>
                <w:rFonts w:hint="eastAsia" w:ascii="宋体" w:hAnsi="宋体" w:cs="宋体"/>
                <w:sz w:val="24"/>
                <w:szCs w:val="24"/>
                <w:highlight w:val="none"/>
              </w:rPr>
              <w:t>分）</w:t>
            </w:r>
          </w:p>
        </w:tc>
        <w:tc>
          <w:tcPr>
            <w:tcW w:w="3110" w:type="pct"/>
            <w:vAlign w:val="center"/>
          </w:tcPr>
          <w:p w14:paraId="019CD25F">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 xml:space="preserve">评审内容 </w:t>
            </w:r>
          </w:p>
          <w:p w14:paraId="6012E88C">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rPr>
            </w:pPr>
            <w:r>
              <w:rPr>
                <w:rFonts w:hint="eastAsia" w:ascii="宋体" w:hAnsi="宋体" w:eastAsia="宋体" w:cs="宋体"/>
                <w:sz w:val="24"/>
                <w:szCs w:val="24"/>
              </w:rPr>
              <w:t>针对本项目提出适用于本项目的项目团队配置</w:t>
            </w:r>
            <w:r>
              <w:rPr>
                <w:rFonts w:hint="eastAsia" w:ascii="宋体" w:hAnsi="宋体" w:eastAsia="宋体" w:cs="宋体"/>
                <w:sz w:val="24"/>
                <w:szCs w:val="24"/>
                <w:lang w:val="en-US" w:eastAsia="zh-CN"/>
              </w:rPr>
              <w:t>方案</w:t>
            </w:r>
            <w:r>
              <w:rPr>
                <w:rFonts w:hint="eastAsia" w:ascii="宋体" w:hAnsi="宋体" w:eastAsia="宋体" w:cs="宋体"/>
                <w:sz w:val="24"/>
                <w:szCs w:val="24"/>
              </w:rPr>
              <w:t>，包括：①服务承诺②应急预案③应急保障措施</w:t>
            </w:r>
          </w:p>
          <w:p w14:paraId="119A60E0">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评审标准</w:t>
            </w:r>
          </w:p>
          <w:p w14:paraId="606D5117">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完整性：方案必须全面，对评审内容中的各项要求有详细描述； </w:t>
            </w:r>
          </w:p>
          <w:p w14:paraId="378B2B66">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可实施性：切合本项目实际情况，提出步骤清晰、合理的方案； </w:t>
            </w:r>
          </w:p>
          <w:p w14:paraId="31F56F9C">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针对性：方案能够紧扣项目实际情况，内容科学合理。 </w:t>
            </w:r>
          </w:p>
          <w:p w14:paraId="14B45AC0">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ind w:left="100" w:leftChars="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赋分标准（满分</w:t>
            </w: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分）</w:t>
            </w:r>
            <w:r>
              <w:rPr>
                <w:rFonts w:hint="eastAsia" w:ascii="宋体" w:hAnsi="宋体" w:eastAsia="宋体" w:cs="宋体"/>
                <w:sz w:val="24"/>
                <w:szCs w:val="24"/>
              </w:rPr>
              <w:t xml:space="preserve"> </w:t>
            </w:r>
          </w:p>
          <w:p w14:paraId="777DF0E4">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①服务承诺：</w:t>
            </w:r>
            <w:r>
              <w:rPr>
                <w:rFonts w:hint="eastAsia" w:ascii="宋体" w:hAnsi="宋体" w:eastAsia="宋体" w:cs="宋体"/>
                <w:sz w:val="24"/>
                <w:szCs w:val="24"/>
                <w:lang w:val="en-US" w:eastAsia="zh-CN"/>
              </w:rPr>
              <w:t>每完全满足一个评审标准得1分，不能完全满足一个评审标准要求综合赋分0-0.9分，满分3分；</w:t>
            </w:r>
          </w:p>
          <w:p w14:paraId="4E66A456">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②应急预案：</w:t>
            </w:r>
            <w:r>
              <w:rPr>
                <w:rFonts w:hint="eastAsia" w:ascii="宋体" w:hAnsi="宋体" w:eastAsia="宋体" w:cs="宋体"/>
                <w:sz w:val="24"/>
                <w:szCs w:val="24"/>
                <w:lang w:val="en-US" w:eastAsia="zh-CN"/>
              </w:rPr>
              <w:t>每完全满足一个评审标准得1分，不能完全满足一个评审标准要求综合赋分0-0.9分，满分3分；</w:t>
            </w:r>
          </w:p>
          <w:p w14:paraId="1B921C2C">
            <w:pPr>
              <w:spacing w:line="480" w:lineRule="exact"/>
              <w:rPr>
                <w:rFonts w:ascii="宋体" w:hAnsi="宋体" w:cs="宋体"/>
                <w:sz w:val="24"/>
                <w:szCs w:val="24"/>
                <w:highlight w:val="none"/>
              </w:rPr>
            </w:pPr>
            <w:r>
              <w:rPr>
                <w:rFonts w:hint="eastAsia" w:ascii="宋体" w:hAnsi="宋体" w:eastAsia="宋体" w:cs="宋体"/>
                <w:sz w:val="24"/>
                <w:szCs w:val="24"/>
              </w:rPr>
              <w:t>③ 应急保障措施：</w:t>
            </w:r>
            <w:r>
              <w:rPr>
                <w:rFonts w:hint="eastAsia" w:ascii="宋体" w:hAnsi="宋体" w:eastAsia="宋体" w:cs="宋体"/>
                <w:sz w:val="24"/>
                <w:szCs w:val="24"/>
                <w:lang w:val="en-US" w:eastAsia="zh-CN"/>
              </w:rPr>
              <w:t>每完全满足一个评审标准得1分，不能完全满足一个评审标准要求综合赋分0-0.9分，满分3分。</w:t>
            </w:r>
          </w:p>
        </w:tc>
      </w:tr>
      <w:tr w14:paraId="744D5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442" w:type="pct"/>
            <w:vMerge w:val="continue"/>
            <w:vAlign w:val="center"/>
          </w:tcPr>
          <w:p w14:paraId="5C7F68A9">
            <w:pPr>
              <w:spacing w:line="480" w:lineRule="exact"/>
              <w:jc w:val="center"/>
              <w:rPr>
                <w:rFonts w:ascii="宋体" w:hAnsi="宋体" w:cs="宋体"/>
                <w:sz w:val="24"/>
                <w:szCs w:val="24"/>
                <w:highlight w:val="none"/>
              </w:rPr>
            </w:pPr>
          </w:p>
        </w:tc>
        <w:tc>
          <w:tcPr>
            <w:tcW w:w="681" w:type="pct"/>
            <w:vMerge w:val="continue"/>
            <w:vAlign w:val="center"/>
          </w:tcPr>
          <w:p w14:paraId="3BE884B0">
            <w:pPr>
              <w:spacing w:line="480" w:lineRule="exact"/>
              <w:jc w:val="center"/>
              <w:rPr>
                <w:rFonts w:ascii="宋体" w:hAnsi="宋体" w:cs="宋体"/>
                <w:sz w:val="24"/>
                <w:szCs w:val="24"/>
                <w:highlight w:val="none"/>
              </w:rPr>
            </w:pPr>
          </w:p>
        </w:tc>
        <w:tc>
          <w:tcPr>
            <w:tcW w:w="765" w:type="pct"/>
            <w:vAlign w:val="center"/>
          </w:tcPr>
          <w:p w14:paraId="65F682C1">
            <w:pPr>
              <w:spacing w:line="480" w:lineRule="exact"/>
              <w:jc w:val="center"/>
              <w:rPr>
                <w:rFonts w:ascii="宋体" w:hAnsi="宋体" w:cs="宋体"/>
                <w:sz w:val="24"/>
                <w:szCs w:val="24"/>
                <w:highlight w:val="none"/>
              </w:rPr>
            </w:pPr>
            <w:r>
              <w:rPr>
                <w:rFonts w:hint="eastAsia" w:ascii="宋体" w:hAnsi="宋体" w:eastAsia="宋体" w:cs="宋体"/>
                <w:sz w:val="24"/>
                <w:szCs w:val="24"/>
                <w:highlight w:val="none"/>
              </w:rPr>
              <w:t>⑦</w:t>
            </w:r>
            <w:r>
              <w:rPr>
                <w:rFonts w:hint="eastAsia" w:ascii="宋体" w:hAnsi="宋体" w:cs="宋体"/>
                <w:sz w:val="24"/>
                <w:szCs w:val="24"/>
                <w:highlight w:val="none"/>
              </w:rPr>
              <w:t>业绩</w:t>
            </w:r>
          </w:p>
          <w:p w14:paraId="39E832B1">
            <w:pPr>
              <w:spacing w:line="480" w:lineRule="exact"/>
              <w:jc w:val="center"/>
              <w:rPr>
                <w:rFonts w:ascii="宋体" w:hAnsi="宋体" w:cs="宋体"/>
                <w:sz w:val="24"/>
                <w:szCs w:val="24"/>
                <w:highlight w:val="none"/>
              </w:rPr>
            </w:pPr>
            <w:r>
              <w:rPr>
                <w:rFonts w:hint="eastAsia" w:ascii="宋体" w:hAnsi="宋体" w:cs="宋体"/>
                <w:sz w:val="24"/>
                <w:szCs w:val="24"/>
                <w:highlight w:val="none"/>
              </w:rPr>
              <w:t>（10分）</w:t>
            </w:r>
          </w:p>
        </w:tc>
        <w:tc>
          <w:tcPr>
            <w:tcW w:w="3110" w:type="pct"/>
            <w:vAlign w:val="center"/>
          </w:tcPr>
          <w:p w14:paraId="142F6270">
            <w:pPr>
              <w:spacing w:line="480" w:lineRule="exact"/>
              <w:rPr>
                <w:rFonts w:ascii="宋体" w:hAnsi="宋体" w:cs="宋体"/>
                <w:sz w:val="24"/>
                <w:szCs w:val="24"/>
                <w:highlight w:val="none"/>
              </w:rPr>
            </w:pPr>
            <w:r>
              <w:rPr>
                <w:rFonts w:hint="eastAsia" w:ascii="宋体" w:hAnsi="宋体" w:cs="宋体"/>
                <w:sz w:val="24"/>
                <w:szCs w:val="24"/>
                <w:highlight w:val="none"/>
              </w:rPr>
              <w:t>提供202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1月</w:t>
            </w:r>
            <w:r>
              <w:rPr>
                <w:rFonts w:hint="eastAsia" w:ascii="宋体" w:hAnsi="宋体" w:cs="宋体"/>
                <w:sz w:val="24"/>
                <w:szCs w:val="24"/>
                <w:highlight w:val="none"/>
              </w:rPr>
              <w:t>以后</w:t>
            </w:r>
            <w:r>
              <w:rPr>
                <w:rFonts w:hint="eastAsia" w:ascii="宋体" w:hAnsi="宋体" w:cs="宋体"/>
                <w:sz w:val="24"/>
                <w:szCs w:val="24"/>
                <w:highlight w:val="none"/>
                <w:lang w:val="en-US" w:eastAsia="zh-CN"/>
              </w:rPr>
              <w:t>的</w:t>
            </w:r>
            <w:r>
              <w:rPr>
                <w:rFonts w:hint="eastAsia" w:ascii="宋体" w:hAnsi="宋体" w:cs="宋体"/>
                <w:sz w:val="24"/>
                <w:szCs w:val="24"/>
                <w:highlight w:val="none"/>
              </w:rPr>
              <w:t>类似</w:t>
            </w:r>
            <w:r>
              <w:rPr>
                <w:rFonts w:hint="eastAsia" w:ascii="宋体" w:hAnsi="宋体" w:cs="宋体"/>
                <w:sz w:val="24"/>
                <w:szCs w:val="24"/>
                <w:highlight w:val="none"/>
                <w:lang w:val="en-US" w:eastAsia="zh-CN"/>
              </w:rPr>
              <w:t>项目</w:t>
            </w:r>
            <w:r>
              <w:rPr>
                <w:rFonts w:hint="eastAsia" w:ascii="宋体" w:hAnsi="宋体" w:cs="宋体"/>
                <w:sz w:val="24"/>
                <w:szCs w:val="24"/>
                <w:highlight w:val="none"/>
              </w:rPr>
              <w:t>业绩（业绩以合同复印件或中标通知书为依据）。每个业绩计2分，共10分。</w:t>
            </w:r>
          </w:p>
        </w:tc>
      </w:tr>
      <w:tr w14:paraId="15B2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2" w:type="pct"/>
            <w:vAlign w:val="center"/>
          </w:tcPr>
          <w:p w14:paraId="35C0B038">
            <w:pPr>
              <w:spacing w:line="480" w:lineRule="exact"/>
              <w:jc w:val="center"/>
              <w:rPr>
                <w:rFonts w:ascii="宋体" w:hAnsi="宋体" w:cs="宋体"/>
                <w:sz w:val="24"/>
                <w:szCs w:val="24"/>
                <w:highlight w:val="none"/>
              </w:rPr>
            </w:pPr>
            <w:r>
              <w:rPr>
                <w:rFonts w:hint="eastAsia" w:ascii="宋体" w:hAnsi="宋体" w:cs="宋体"/>
                <w:sz w:val="24"/>
                <w:szCs w:val="24"/>
                <w:highlight w:val="none"/>
              </w:rPr>
              <w:t>报价评分标准</w:t>
            </w:r>
          </w:p>
        </w:tc>
        <w:tc>
          <w:tcPr>
            <w:tcW w:w="681" w:type="pct"/>
            <w:vAlign w:val="center"/>
          </w:tcPr>
          <w:p w14:paraId="433BE154">
            <w:pPr>
              <w:spacing w:line="480" w:lineRule="exact"/>
              <w:jc w:val="center"/>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15</w:t>
            </w:r>
            <w:r>
              <w:rPr>
                <w:rFonts w:hint="eastAsia" w:ascii="宋体" w:hAnsi="宋体" w:cs="宋体"/>
                <w:sz w:val="24"/>
                <w:szCs w:val="24"/>
                <w:highlight w:val="none"/>
              </w:rPr>
              <w:t>分）</w:t>
            </w:r>
          </w:p>
        </w:tc>
        <w:tc>
          <w:tcPr>
            <w:tcW w:w="765" w:type="pct"/>
            <w:vAlign w:val="center"/>
          </w:tcPr>
          <w:p w14:paraId="25917EF7">
            <w:pPr>
              <w:spacing w:line="480" w:lineRule="exact"/>
              <w:jc w:val="center"/>
              <w:rPr>
                <w:rFonts w:ascii="宋体" w:hAnsi="宋体" w:cs="宋体"/>
                <w:sz w:val="24"/>
                <w:szCs w:val="24"/>
                <w:highlight w:val="none"/>
              </w:rPr>
            </w:pPr>
            <w:r>
              <w:rPr>
                <w:rFonts w:hint="eastAsia" w:ascii="宋体" w:hAnsi="宋体" w:cs="宋体"/>
                <w:sz w:val="24"/>
                <w:szCs w:val="24"/>
                <w:highlight w:val="none"/>
              </w:rPr>
              <w:t>投标报价评分标准</w:t>
            </w:r>
          </w:p>
          <w:p w14:paraId="4C4BE073">
            <w:pPr>
              <w:spacing w:line="480" w:lineRule="exact"/>
              <w:jc w:val="center"/>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15</w:t>
            </w:r>
            <w:r>
              <w:rPr>
                <w:rFonts w:hint="eastAsia" w:ascii="宋体" w:hAnsi="宋体" w:cs="宋体"/>
                <w:sz w:val="24"/>
                <w:szCs w:val="24"/>
                <w:highlight w:val="none"/>
              </w:rPr>
              <w:t>分）</w:t>
            </w:r>
          </w:p>
        </w:tc>
        <w:tc>
          <w:tcPr>
            <w:tcW w:w="3110" w:type="pct"/>
            <w:vAlign w:val="center"/>
          </w:tcPr>
          <w:p w14:paraId="2FF4B99C">
            <w:pPr>
              <w:spacing w:line="480" w:lineRule="exact"/>
              <w:rPr>
                <w:rFonts w:ascii="宋体" w:hAnsi="宋体" w:cs="宋体"/>
                <w:sz w:val="24"/>
                <w:szCs w:val="24"/>
                <w:highlight w:val="none"/>
              </w:rPr>
            </w:pPr>
            <w:r>
              <w:rPr>
                <w:rFonts w:hint="eastAsia" w:ascii="宋体" w:hAnsi="宋体" w:cs="宋体"/>
                <w:sz w:val="24"/>
                <w:szCs w:val="24"/>
                <w:highlight w:val="none"/>
              </w:rPr>
              <w:t>1.经初审合格的投标文件，其投标报价为有效投标价。</w:t>
            </w:r>
          </w:p>
          <w:p w14:paraId="16A98F7D">
            <w:pPr>
              <w:spacing w:line="480" w:lineRule="exact"/>
              <w:rPr>
                <w:rFonts w:ascii="宋体" w:hAnsi="宋体" w:cs="宋体"/>
                <w:sz w:val="24"/>
                <w:szCs w:val="24"/>
                <w:highlight w:val="none"/>
              </w:rPr>
            </w:pPr>
            <w:r>
              <w:rPr>
                <w:rFonts w:hint="eastAsia" w:ascii="宋体" w:hAnsi="宋体" w:cs="宋体"/>
                <w:sz w:val="24"/>
                <w:szCs w:val="24"/>
                <w:highlight w:val="none"/>
              </w:rPr>
              <w:t>2.有效最低报价为基准价得</w:t>
            </w:r>
            <w:r>
              <w:rPr>
                <w:rFonts w:hint="eastAsia" w:ascii="宋体" w:hAnsi="宋体" w:cs="宋体"/>
                <w:sz w:val="24"/>
                <w:szCs w:val="24"/>
                <w:highlight w:val="none"/>
                <w:lang w:val="en-US" w:eastAsia="zh-CN"/>
              </w:rPr>
              <w:t>15</w:t>
            </w:r>
            <w:r>
              <w:rPr>
                <w:rFonts w:hint="eastAsia" w:ascii="宋体" w:hAnsi="宋体" w:cs="宋体"/>
                <w:sz w:val="24"/>
                <w:szCs w:val="24"/>
                <w:highlight w:val="none"/>
              </w:rPr>
              <w:t>分。</w:t>
            </w:r>
          </w:p>
          <w:p w14:paraId="1B34D851">
            <w:pPr>
              <w:spacing w:line="480" w:lineRule="exact"/>
              <w:rPr>
                <w:rFonts w:ascii="宋体" w:hAnsi="宋体" w:cs="宋体"/>
                <w:sz w:val="24"/>
                <w:szCs w:val="24"/>
                <w:highlight w:val="none"/>
              </w:rPr>
            </w:pPr>
            <w:r>
              <w:rPr>
                <w:rFonts w:hint="eastAsia" w:ascii="宋体" w:hAnsi="宋体" w:cs="宋体"/>
                <w:sz w:val="24"/>
                <w:szCs w:val="24"/>
                <w:highlight w:val="none"/>
              </w:rPr>
              <w:t>3.按（有效最低报价/有效投标报价）×</w:t>
            </w:r>
            <w:r>
              <w:rPr>
                <w:rFonts w:hint="eastAsia" w:ascii="宋体" w:hAnsi="宋体" w:cs="宋体"/>
                <w:sz w:val="24"/>
                <w:szCs w:val="24"/>
                <w:highlight w:val="none"/>
                <w:lang w:val="en-US" w:eastAsia="zh-CN"/>
              </w:rPr>
              <w:t>15</w:t>
            </w:r>
            <w:r>
              <w:rPr>
                <w:rFonts w:hint="eastAsia" w:ascii="宋体" w:hAnsi="宋体" w:cs="宋体"/>
                <w:sz w:val="24"/>
                <w:szCs w:val="24"/>
                <w:highlight w:val="none"/>
              </w:rPr>
              <w:t>的公式计算其得分。</w:t>
            </w:r>
          </w:p>
          <w:p w14:paraId="68B0ED7F">
            <w:pPr>
              <w:spacing w:line="480" w:lineRule="exact"/>
              <w:rPr>
                <w:rFonts w:hint="default" w:eastAsia="仿宋_GB2312"/>
                <w:sz w:val="24"/>
                <w:szCs w:val="24"/>
                <w:highlight w:val="none"/>
                <w:lang w:val="en-US" w:eastAsia="zh-CN"/>
              </w:rPr>
            </w:pPr>
            <w:r>
              <w:rPr>
                <w:rFonts w:hint="eastAsia" w:ascii="宋体" w:hAnsi="宋体" w:cs="宋体"/>
                <w:sz w:val="24"/>
                <w:szCs w:val="24"/>
                <w:highlight w:val="none"/>
              </w:rPr>
              <w:t>4.经评委一致认定，投标人的投标总报价低于公认市场成本，或超过采购预算,其投标将被拒绝。</w:t>
            </w:r>
          </w:p>
        </w:tc>
      </w:tr>
      <w:tr w14:paraId="0B781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24" w:type="pct"/>
            <w:gridSpan w:val="2"/>
            <w:vAlign w:val="center"/>
          </w:tcPr>
          <w:p w14:paraId="411A8E19">
            <w:pPr>
              <w:spacing w:line="480" w:lineRule="exact"/>
              <w:jc w:val="center"/>
              <w:rPr>
                <w:rFonts w:ascii="宋体" w:hAnsi="宋体" w:cs="宋体"/>
                <w:sz w:val="24"/>
                <w:szCs w:val="24"/>
                <w:highlight w:val="none"/>
              </w:rPr>
            </w:pPr>
            <w:r>
              <w:rPr>
                <w:rFonts w:hint="eastAsia" w:ascii="宋体" w:hAnsi="宋体" w:cs="宋体"/>
                <w:sz w:val="24"/>
                <w:szCs w:val="24"/>
                <w:highlight w:val="none"/>
              </w:rPr>
              <w:t>备注</w:t>
            </w:r>
          </w:p>
        </w:tc>
        <w:tc>
          <w:tcPr>
            <w:tcW w:w="3875" w:type="pct"/>
            <w:gridSpan w:val="2"/>
            <w:vAlign w:val="center"/>
          </w:tcPr>
          <w:p w14:paraId="75FE3FC7">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1）各评标委员会独立打分。</w:t>
            </w:r>
          </w:p>
          <w:p w14:paraId="4B25EAD1">
            <w:pPr>
              <w:spacing w:line="360" w:lineRule="auto"/>
              <w:jc w:val="left"/>
              <w:rPr>
                <w:rFonts w:ascii="宋体" w:hAnsi="宋体" w:cs="宋体"/>
                <w:b/>
                <w:bCs/>
                <w:sz w:val="24"/>
                <w:szCs w:val="24"/>
                <w:highlight w:val="none"/>
              </w:rPr>
            </w:pPr>
            <w:r>
              <w:rPr>
                <w:rFonts w:hint="eastAsia" w:ascii="宋体" w:hAnsi="宋体" w:eastAsia="宋体" w:cs="宋体"/>
                <w:sz w:val="24"/>
                <w:szCs w:val="24"/>
                <w:highlight w:val="none"/>
              </w:rPr>
              <w:t>2）评标委员会成员打分超过得分界限或未按本表规定赋分时，该成员的打分作废，不计入汇总分。</w:t>
            </w:r>
          </w:p>
        </w:tc>
      </w:tr>
    </w:tbl>
    <w:p w14:paraId="5DAC6F0C">
      <w:pPr>
        <w:spacing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五、定标：</w:t>
      </w:r>
    </w:p>
    <w:p w14:paraId="34375C95">
      <w:pPr>
        <w:spacing w:line="360" w:lineRule="auto"/>
        <w:ind w:firstLine="496" w:firstLineChars="200"/>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1、评标结果由全体</w:t>
      </w:r>
      <w:r>
        <w:rPr>
          <w:rFonts w:hint="eastAsia" w:asciiTheme="minorEastAsia" w:hAnsiTheme="minorEastAsia" w:eastAsiaTheme="minorEastAsia" w:cstheme="minorEastAsia"/>
          <w:sz w:val="24"/>
          <w:szCs w:val="24"/>
          <w:highlight w:val="none"/>
        </w:rPr>
        <w:t>评标委员会成员</w:t>
      </w:r>
      <w:r>
        <w:rPr>
          <w:rFonts w:hint="eastAsia" w:asciiTheme="minorEastAsia" w:hAnsiTheme="minorEastAsia" w:eastAsiaTheme="minorEastAsia" w:cstheme="minorEastAsia"/>
          <w:spacing w:val="4"/>
          <w:sz w:val="24"/>
          <w:szCs w:val="24"/>
          <w:highlight w:val="none"/>
        </w:rPr>
        <w:t>签字确认。</w:t>
      </w:r>
    </w:p>
    <w:p w14:paraId="722641E6">
      <w:pPr>
        <w:spacing w:line="360" w:lineRule="auto"/>
        <w:ind w:firstLine="496" w:firstLineChars="200"/>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2、采购人根据评标报告中推荐的中标候选人排列顺序确定供应商，以复函通知招标代理机构。</w:t>
      </w:r>
    </w:p>
    <w:p w14:paraId="3817D531">
      <w:pPr>
        <w:spacing w:line="360" w:lineRule="auto"/>
        <w:rPr>
          <w:rFonts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rPr>
        <w:br w:type="page"/>
      </w:r>
    </w:p>
    <w:p w14:paraId="1F636EA2">
      <w:pPr>
        <w:pStyle w:val="4"/>
        <w:jc w:val="center"/>
        <w:rPr>
          <w:rFonts w:asciiTheme="minorEastAsia" w:hAnsiTheme="minorEastAsia" w:eastAsiaTheme="minorEastAsia" w:cstheme="minorEastAsia"/>
          <w:bCs/>
          <w:sz w:val="36"/>
          <w:szCs w:val="36"/>
          <w:highlight w:val="none"/>
        </w:rPr>
      </w:pPr>
      <w:bookmarkStart w:id="79" w:name="_Toc10065"/>
      <w:r>
        <w:rPr>
          <w:rFonts w:hint="eastAsia" w:asciiTheme="minorEastAsia" w:hAnsiTheme="minorEastAsia" w:eastAsiaTheme="minorEastAsia" w:cstheme="minorEastAsia"/>
          <w:sz w:val="36"/>
          <w:szCs w:val="36"/>
          <w:highlight w:val="none"/>
        </w:rPr>
        <w:t xml:space="preserve">第四章 </w:t>
      </w:r>
      <w:bookmarkEnd w:id="74"/>
      <w:bookmarkEnd w:id="75"/>
      <w:bookmarkEnd w:id="76"/>
      <w:bookmarkEnd w:id="77"/>
      <w:bookmarkStart w:id="80" w:name="_Toc2068"/>
      <w:r>
        <w:rPr>
          <w:rFonts w:hint="eastAsia" w:asciiTheme="minorEastAsia" w:hAnsiTheme="minorEastAsia" w:eastAsiaTheme="minorEastAsia" w:cstheme="minorEastAsia"/>
          <w:sz w:val="36"/>
          <w:szCs w:val="36"/>
          <w:highlight w:val="none"/>
        </w:rPr>
        <w:t xml:space="preserve"> </w:t>
      </w:r>
      <w:r>
        <w:rPr>
          <w:rFonts w:hint="eastAsia" w:asciiTheme="minorEastAsia" w:hAnsiTheme="minorEastAsia" w:eastAsiaTheme="minorEastAsia" w:cstheme="minorEastAsia"/>
          <w:bCs/>
          <w:sz w:val="36"/>
          <w:szCs w:val="36"/>
          <w:highlight w:val="none"/>
        </w:rPr>
        <w:t>合同条款及格式</w:t>
      </w:r>
      <w:bookmarkEnd w:id="78"/>
      <w:bookmarkEnd w:id="79"/>
      <w:bookmarkEnd w:id="80"/>
    </w:p>
    <w:p w14:paraId="3D2B0895">
      <w:pPr>
        <w:pStyle w:val="5"/>
        <w:jc w:val="center"/>
        <w:rPr>
          <w:rFonts w:asciiTheme="minorEastAsia" w:hAnsiTheme="minorEastAsia" w:eastAsiaTheme="minorEastAsia" w:cstheme="minorEastAsia"/>
          <w:highlight w:val="none"/>
        </w:rPr>
      </w:pPr>
      <w:bookmarkStart w:id="81" w:name="_Toc6935"/>
      <w:bookmarkStart w:id="82" w:name="_Toc30782"/>
      <w:bookmarkStart w:id="83" w:name="_Toc30560"/>
      <w:r>
        <w:rPr>
          <w:rFonts w:hint="eastAsia" w:asciiTheme="minorEastAsia" w:hAnsiTheme="minorEastAsia" w:eastAsiaTheme="minorEastAsia" w:cstheme="minorEastAsia"/>
          <w:highlight w:val="none"/>
        </w:rPr>
        <w:t>合同条款及格式前附表</w:t>
      </w:r>
      <w:bookmarkEnd w:id="81"/>
      <w:bookmarkEnd w:id="82"/>
      <w:bookmarkEnd w:id="83"/>
    </w:p>
    <w:p w14:paraId="3347DD25">
      <w:pPr>
        <w:ind w:firstLine="480" w:firstLineChars="200"/>
        <w:rPr>
          <w:rFonts w:asciiTheme="minorEastAsia" w:hAnsiTheme="minorEastAsia" w:eastAsiaTheme="minorEastAsia" w:cstheme="minorEastAsia"/>
          <w:bCs/>
          <w:sz w:val="36"/>
          <w:szCs w:val="36"/>
          <w:highlight w:val="none"/>
        </w:rPr>
      </w:pPr>
      <w:r>
        <w:rPr>
          <w:rFonts w:hint="eastAsia" w:asciiTheme="minorEastAsia" w:hAnsiTheme="minorEastAsia" w:eastAsiaTheme="minorEastAsia" w:cstheme="minorEastAsia"/>
          <w:sz w:val="24"/>
          <w:szCs w:val="24"/>
          <w:highlight w:val="none"/>
        </w:rPr>
        <w:t>本表是对合同条款的具体补充和修改，如有矛盾，应以本资料表为准。</w:t>
      </w:r>
    </w:p>
    <w:tbl>
      <w:tblPr>
        <w:tblStyle w:val="29"/>
        <w:tblW w:w="923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87"/>
        <w:gridCol w:w="8152"/>
      </w:tblGrid>
      <w:tr w14:paraId="1415C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087" w:type="dxa"/>
            <w:vAlign w:val="center"/>
          </w:tcPr>
          <w:p w14:paraId="13A46308">
            <w:pPr>
              <w:spacing w:line="360" w:lineRule="auto"/>
              <w:jc w:val="center"/>
              <w:rPr>
                <w:rFonts w:ascii="宋体" w:hAnsi="宋体" w:cs="宋体"/>
                <w:b/>
                <w:sz w:val="24"/>
                <w:szCs w:val="24"/>
                <w:highlight w:val="none"/>
              </w:rPr>
            </w:pPr>
            <w:bookmarkStart w:id="84" w:name="_Toc8333"/>
            <w:bookmarkStart w:id="85" w:name="_Toc26595"/>
            <w:bookmarkStart w:id="86" w:name="_Toc19246"/>
            <w:bookmarkStart w:id="87" w:name="_Toc389582037"/>
            <w:bookmarkStart w:id="88" w:name="_Toc31520"/>
            <w:bookmarkStart w:id="89" w:name="_Toc29888"/>
            <w:bookmarkStart w:id="90" w:name="_Toc19199"/>
            <w:bookmarkStart w:id="91" w:name="_Toc4679"/>
            <w:r>
              <w:rPr>
                <w:rFonts w:hint="eastAsia" w:ascii="宋体" w:hAnsi="宋体" w:cs="宋体"/>
                <w:b/>
                <w:sz w:val="24"/>
                <w:szCs w:val="24"/>
                <w:highlight w:val="none"/>
              </w:rPr>
              <w:t>序号</w:t>
            </w:r>
          </w:p>
        </w:tc>
        <w:tc>
          <w:tcPr>
            <w:tcW w:w="8152" w:type="dxa"/>
            <w:vAlign w:val="center"/>
          </w:tcPr>
          <w:p w14:paraId="10655483">
            <w:pPr>
              <w:spacing w:line="360" w:lineRule="auto"/>
              <w:jc w:val="center"/>
              <w:rPr>
                <w:rFonts w:ascii="宋体" w:hAnsi="宋体" w:cs="宋体"/>
                <w:b/>
                <w:sz w:val="24"/>
                <w:szCs w:val="24"/>
                <w:highlight w:val="none"/>
              </w:rPr>
            </w:pPr>
            <w:r>
              <w:rPr>
                <w:rFonts w:hint="eastAsia" w:ascii="宋体" w:hAnsi="宋体" w:cs="宋体"/>
                <w:b/>
                <w:sz w:val="24"/>
                <w:szCs w:val="24"/>
                <w:highlight w:val="none"/>
              </w:rPr>
              <w:t>内      容</w:t>
            </w:r>
          </w:p>
        </w:tc>
      </w:tr>
      <w:tr w14:paraId="4D8ECE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087" w:type="dxa"/>
            <w:vAlign w:val="center"/>
          </w:tcPr>
          <w:p w14:paraId="134984E6">
            <w:pPr>
              <w:jc w:val="center"/>
              <w:rPr>
                <w:rFonts w:ascii="宋体" w:hAnsi="宋体" w:cs="宋体"/>
                <w:sz w:val="24"/>
                <w:szCs w:val="24"/>
                <w:highlight w:val="none"/>
              </w:rPr>
            </w:pPr>
            <w:r>
              <w:rPr>
                <w:rFonts w:hint="eastAsia" w:ascii="宋体" w:hAnsi="宋体" w:cs="宋体"/>
                <w:sz w:val="24"/>
                <w:szCs w:val="24"/>
                <w:highlight w:val="none"/>
              </w:rPr>
              <w:t>1</w:t>
            </w:r>
          </w:p>
        </w:tc>
        <w:tc>
          <w:tcPr>
            <w:tcW w:w="8152" w:type="dxa"/>
            <w:vAlign w:val="center"/>
          </w:tcPr>
          <w:p w14:paraId="0A3D8D6C">
            <w:pPr>
              <w:spacing w:line="336" w:lineRule="auto"/>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采购人：</w:t>
            </w:r>
            <w:r>
              <w:rPr>
                <w:rFonts w:hint="eastAsia" w:ascii="宋体" w:hAnsi="宋体" w:cs="宋体"/>
                <w:kern w:val="0"/>
                <w:sz w:val="24"/>
                <w:szCs w:val="24"/>
                <w:highlight w:val="none"/>
                <w:lang w:eastAsia="zh-CN"/>
              </w:rPr>
              <w:t>山阳县林特产业发展中心</w:t>
            </w:r>
          </w:p>
          <w:p w14:paraId="161EE969">
            <w:pPr>
              <w:spacing w:line="336"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sz w:val="24"/>
                <w:szCs w:val="24"/>
                <w:highlight w:val="none"/>
              </w:rPr>
              <w:t>地址：</w:t>
            </w:r>
            <w:r>
              <w:rPr>
                <w:rFonts w:hint="eastAsia" w:ascii="宋体" w:hAnsi="宋体" w:cs="宋体"/>
                <w:kern w:val="0"/>
                <w:sz w:val="24"/>
                <w:szCs w:val="24"/>
                <w:highlight w:val="none"/>
                <w:lang w:eastAsia="zh-CN"/>
              </w:rPr>
              <w:t>翠屏社区盛林雅居</w:t>
            </w:r>
          </w:p>
          <w:p w14:paraId="57CB4EF6">
            <w:pPr>
              <w:spacing w:line="336" w:lineRule="auto"/>
              <w:rPr>
                <w:rFonts w:hint="eastAsia" w:ascii="宋体" w:hAnsi="宋体" w:eastAsia="宋体" w:cs="宋体"/>
                <w:sz w:val="24"/>
                <w:szCs w:val="24"/>
                <w:highlight w:val="none"/>
                <w:lang w:eastAsia="zh-CN"/>
              </w:rPr>
            </w:pPr>
            <w:r>
              <w:rPr>
                <w:rFonts w:hint="eastAsia" w:ascii="宋体" w:hAnsi="宋体" w:cs="宋体"/>
                <w:color w:val="000000" w:themeColor="text1"/>
                <w:sz w:val="24"/>
                <w:szCs w:val="24"/>
                <w:highlight w:val="none"/>
                <w14:textFill>
                  <w14:solidFill>
                    <w14:schemeClr w14:val="tx1"/>
                  </w14:solidFill>
                </w14:textFill>
              </w:rPr>
              <w:t>项目名称：</w:t>
            </w:r>
            <w:r>
              <w:rPr>
                <w:rFonts w:hint="eastAsia" w:ascii="宋体" w:hAnsi="宋体" w:cs="宋体"/>
                <w:color w:val="000000" w:themeColor="text1"/>
                <w:sz w:val="24"/>
                <w:szCs w:val="24"/>
                <w:highlight w:val="none"/>
                <w:lang w:eastAsia="zh-CN"/>
                <w14:textFill>
                  <w14:solidFill>
                    <w14:schemeClr w14:val="tx1"/>
                  </w14:solidFill>
                </w14:textFill>
              </w:rPr>
              <w:t>山阳县2025年度省级林业草原改革发展资金板栗综合科管项目</w:t>
            </w:r>
          </w:p>
          <w:p w14:paraId="1B90FEBD">
            <w:pPr>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rPr>
              <w:t>资金来源：</w:t>
            </w:r>
            <w:r>
              <w:rPr>
                <w:rFonts w:hint="eastAsia" w:ascii="宋体" w:hAnsi="宋体" w:cs="宋体"/>
                <w:sz w:val="24"/>
                <w:szCs w:val="24"/>
                <w:highlight w:val="none"/>
                <w:lang w:eastAsia="zh-CN"/>
              </w:rPr>
              <w:t>省级林业改革发展资金</w:t>
            </w:r>
          </w:p>
        </w:tc>
      </w:tr>
      <w:tr w14:paraId="4E66A4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087" w:type="dxa"/>
            <w:shd w:val="clear" w:color="auto" w:fill="auto"/>
            <w:vAlign w:val="center"/>
          </w:tcPr>
          <w:p w14:paraId="16F9C571">
            <w:pPr>
              <w:spacing w:line="360" w:lineRule="auto"/>
              <w:jc w:val="center"/>
              <w:rPr>
                <w:rFonts w:ascii="宋体" w:hAnsi="宋体" w:cs="宋体"/>
                <w:sz w:val="24"/>
                <w:szCs w:val="24"/>
                <w:highlight w:val="none"/>
              </w:rPr>
            </w:pPr>
            <w:r>
              <w:rPr>
                <w:rFonts w:hint="eastAsia" w:ascii="宋体" w:hAnsi="宋体" w:cs="宋体"/>
                <w:sz w:val="24"/>
                <w:szCs w:val="24"/>
                <w:highlight w:val="none"/>
              </w:rPr>
              <w:t>2</w:t>
            </w:r>
          </w:p>
        </w:tc>
        <w:tc>
          <w:tcPr>
            <w:tcW w:w="8152" w:type="dxa"/>
            <w:shd w:val="clear" w:color="auto" w:fill="auto"/>
            <w:vAlign w:val="center"/>
          </w:tcPr>
          <w:p w14:paraId="23ADAE86">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项目实施地点：</w:t>
            </w:r>
            <w:r>
              <w:rPr>
                <w:rFonts w:hint="eastAsia" w:ascii="宋体" w:hAnsi="宋体" w:cs="宋体"/>
                <w:kern w:val="0"/>
                <w:sz w:val="24"/>
                <w:szCs w:val="24"/>
                <w:highlight w:val="none"/>
                <w:lang w:eastAsia="zh-CN"/>
              </w:rPr>
              <w:t>山阳县</w:t>
            </w:r>
          </w:p>
        </w:tc>
      </w:tr>
      <w:tr w14:paraId="07B39C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087" w:type="dxa"/>
            <w:shd w:val="clear" w:color="auto" w:fill="auto"/>
            <w:vAlign w:val="center"/>
          </w:tcPr>
          <w:p w14:paraId="2FA27DED">
            <w:pPr>
              <w:spacing w:line="360" w:lineRule="auto"/>
              <w:jc w:val="center"/>
              <w:rPr>
                <w:rFonts w:ascii="宋体" w:hAnsi="宋体" w:cs="宋体"/>
                <w:sz w:val="24"/>
                <w:szCs w:val="24"/>
                <w:highlight w:val="none"/>
              </w:rPr>
            </w:pPr>
            <w:r>
              <w:rPr>
                <w:rFonts w:hint="eastAsia" w:ascii="宋体" w:hAnsi="宋体" w:cs="宋体"/>
                <w:sz w:val="24"/>
                <w:szCs w:val="24"/>
                <w:highlight w:val="none"/>
              </w:rPr>
              <w:t>3</w:t>
            </w:r>
          </w:p>
        </w:tc>
        <w:tc>
          <w:tcPr>
            <w:tcW w:w="8152" w:type="dxa"/>
            <w:shd w:val="clear" w:color="auto" w:fill="auto"/>
            <w:vAlign w:val="center"/>
          </w:tcPr>
          <w:p w14:paraId="78C1F6EE">
            <w:pPr>
              <w:spacing w:line="360" w:lineRule="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抚育期</w:t>
            </w:r>
            <w:r>
              <w:rPr>
                <w:rFonts w:hint="eastAsia" w:ascii="宋体" w:hAnsi="宋体" w:cs="宋体"/>
                <w:b/>
                <w:bCs/>
                <w:color w:val="000000" w:themeColor="text1"/>
                <w:sz w:val="24"/>
                <w:szCs w:val="24"/>
                <w:highlight w:val="none"/>
                <w14:textFill>
                  <w14:solidFill>
                    <w14:schemeClr w14:val="tx1"/>
                  </w14:solidFill>
                </w14:textFill>
              </w:rPr>
              <w:t>：合同签订后30个工作日完成</w:t>
            </w:r>
          </w:p>
        </w:tc>
      </w:tr>
      <w:tr w14:paraId="39D5B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087" w:type="dxa"/>
            <w:shd w:val="clear" w:color="auto" w:fill="auto"/>
            <w:vAlign w:val="center"/>
          </w:tcPr>
          <w:p w14:paraId="43BA900C">
            <w:pPr>
              <w:spacing w:line="360" w:lineRule="auto"/>
              <w:jc w:val="center"/>
              <w:rPr>
                <w:rFonts w:ascii="宋体" w:hAnsi="宋体" w:cs="宋体"/>
                <w:sz w:val="24"/>
                <w:szCs w:val="24"/>
                <w:highlight w:val="none"/>
              </w:rPr>
            </w:pPr>
            <w:r>
              <w:rPr>
                <w:rFonts w:hint="eastAsia" w:ascii="宋体" w:hAnsi="宋体" w:cs="宋体"/>
                <w:sz w:val="24"/>
                <w:szCs w:val="24"/>
                <w:highlight w:val="none"/>
              </w:rPr>
              <w:t>4</w:t>
            </w:r>
          </w:p>
        </w:tc>
        <w:tc>
          <w:tcPr>
            <w:tcW w:w="8152" w:type="dxa"/>
            <w:shd w:val="clear" w:color="auto" w:fill="auto"/>
            <w:vAlign w:val="center"/>
          </w:tcPr>
          <w:p w14:paraId="67AF40B4">
            <w:pPr>
              <w:spacing w:line="360" w:lineRule="auto"/>
              <w:rPr>
                <w:rFonts w:ascii="宋体" w:hAnsi="宋体" w:cs="宋体"/>
                <w:sz w:val="24"/>
                <w:szCs w:val="24"/>
                <w:highlight w:val="none"/>
              </w:rPr>
            </w:pPr>
            <w:r>
              <w:rPr>
                <w:rFonts w:hint="eastAsia" w:ascii="宋体" w:hAnsi="宋体" w:cs="宋体"/>
                <w:sz w:val="24"/>
                <w:szCs w:val="24"/>
                <w:highlight w:val="none"/>
              </w:rPr>
              <w:t>质量标准：符合国家现行有关质量验收规范“合格”要求。</w:t>
            </w:r>
          </w:p>
        </w:tc>
      </w:tr>
      <w:tr w14:paraId="6F6250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087" w:type="dxa"/>
            <w:vAlign w:val="center"/>
          </w:tcPr>
          <w:p w14:paraId="5FBD3D00">
            <w:pPr>
              <w:spacing w:line="360" w:lineRule="auto"/>
              <w:jc w:val="center"/>
              <w:rPr>
                <w:rFonts w:ascii="宋体" w:hAnsi="宋体" w:cs="宋体"/>
                <w:sz w:val="24"/>
                <w:szCs w:val="24"/>
                <w:highlight w:val="none"/>
                <w:shd w:val="clear" w:color="FFFFFF" w:fill="D9D9D9"/>
              </w:rPr>
            </w:pPr>
            <w:r>
              <w:rPr>
                <w:rFonts w:hint="eastAsia" w:ascii="宋体" w:hAnsi="宋体" w:cs="宋体"/>
                <w:sz w:val="24"/>
                <w:szCs w:val="24"/>
                <w:highlight w:val="none"/>
              </w:rPr>
              <w:t>5</w:t>
            </w:r>
          </w:p>
        </w:tc>
        <w:tc>
          <w:tcPr>
            <w:tcW w:w="8152" w:type="dxa"/>
            <w:vAlign w:val="center"/>
          </w:tcPr>
          <w:p w14:paraId="5C0056D8">
            <w:pPr>
              <w:spacing w:line="360" w:lineRule="auto"/>
              <w:rPr>
                <w:rFonts w:ascii="宋体" w:hAnsi="宋体" w:cs="宋体"/>
                <w:sz w:val="24"/>
                <w:szCs w:val="24"/>
                <w:highlight w:val="none"/>
              </w:rPr>
            </w:pPr>
            <w:r>
              <w:rPr>
                <w:rFonts w:hint="eastAsia" w:ascii="宋体" w:hAnsi="宋体" w:cs="宋体"/>
                <w:sz w:val="24"/>
                <w:szCs w:val="24"/>
                <w:highlight w:val="none"/>
              </w:rPr>
              <w:t>1.合同总价即中标价，中标报价采用固定总价。中标报价是招标文件所确定的全部</w:t>
            </w:r>
            <w:r>
              <w:rPr>
                <w:rFonts w:hint="eastAsia" w:ascii="宋体" w:hAnsi="宋体" w:cs="宋体"/>
                <w:sz w:val="24"/>
                <w:szCs w:val="24"/>
                <w:highlight w:val="none"/>
                <w:lang w:eastAsia="zh-CN"/>
              </w:rPr>
              <w:t>服务</w:t>
            </w:r>
            <w:r>
              <w:rPr>
                <w:rFonts w:hint="eastAsia" w:ascii="宋体" w:hAnsi="宋体" w:cs="宋体"/>
                <w:sz w:val="24"/>
                <w:szCs w:val="24"/>
                <w:highlight w:val="none"/>
              </w:rPr>
              <w:t>内容的价格体现。任何有选择的报价将不予接受，按无效投标响应。投标人根据自行确定的施工方案进行自主报价。</w:t>
            </w:r>
          </w:p>
          <w:p w14:paraId="3E225AF2">
            <w:pPr>
              <w:spacing w:line="360" w:lineRule="auto"/>
              <w:rPr>
                <w:rFonts w:ascii="宋体" w:hAnsi="宋体" w:cs="宋体"/>
                <w:sz w:val="24"/>
                <w:szCs w:val="24"/>
                <w:highlight w:val="none"/>
              </w:rPr>
            </w:pPr>
            <w:r>
              <w:rPr>
                <w:rFonts w:hint="eastAsia" w:ascii="宋体" w:hAnsi="宋体" w:cs="宋体"/>
                <w:sz w:val="24"/>
                <w:szCs w:val="24"/>
                <w:highlight w:val="none"/>
              </w:rPr>
              <w:t>2.中标后合同总价不做调整，不再因为环境的变化和工程量的增减而变化，任何有选择的报价将不予接受。</w:t>
            </w:r>
          </w:p>
          <w:p w14:paraId="31D87753">
            <w:pPr>
              <w:spacing w:line="360" w:lineRule="auto"/>
              <w:rPr>
                <w:rFonts w:ascii="宋体" w:hAnsi="宋体" w:cs="宋体"/>
                <w:sz w:val="24"/>
                <w:szCs w:val="24"/>
                <w:highlight w:val="none"/>
              </w:rPr>
            </w:pPr>
            <w:r>
              <w:rPr>
                <w:rFonts w:hint="eastAsia" w:ascii="宋体" w:hAnsi="宋体" w:cs="宋体"/>
                <w:sz w:val="24"/>
                <w:szCs w:val="24"/>
                <w:highlight w:val="none"/>
              </w:rPr>
              <w:t>3.付款方式和程序：</w:t>
            </w:r>
          </w:p>
          <w:p w14:paraId="5E2C942E">
            <w:pPr>
              <w:spacing w:line="360" w:lineRule="auto"/>
              <w:rPr>
                <w:rFonts w:ascii="宋体" w:hAnsi="宋体" w:cs="宋体"/>
                <w:sz w:val="24"/>
                <w:szCs w:val="24"/>
                <w:highlight w:val="none"/>
              </w:rPr>
            </w:pPr>
            <w:r>
              <w:rPr>
                <w:rFonts w:hint="eastAsia" w:ascii="宋体" w:hAnsi="宋体" w:cs="宋体"/>
                <w:sz w:val="24"/>
                <w:szCs w:val="24"/>
                <w:highlight w:val="none"/>
              </w:rPr>
              <w:t>（1）银行转账，项目实施完成并通过验收后，由供应商提供票据等财务报账所需材料进行报账。</w:t>
            </w:r>
          </w:p>
          <w:p w14:paraId="5F5A4739">
            <w:pPr>
              <w:spacing w:line="360" w:lineRule="auto"/>
              <w:rPr>
                <w:rFonts w:hint="eastAsia" w:ascii="宋体" w:hAnsi="宋体" w:eastAsia="宋体" w:cs="宋体"/>
                <w:sz w:val="24"/>
                <w:szCs w:val="24"/>
                <w:highlight w:val="none"/>
                <w:lang w:eastAsia="zh-CN"/>
              </w:rPr>
            </w:pPr>
            <w:r>
              <w:rPr>
                <w:rFonts w:hint="eastAsia" w:ascii="宋体" w:hAnsi="宋体" w:cs="宋体"/>
                <w:b/>
                <w:bCs/>
                <w:sz w:val="24"/>
                <w:szCs w:val="24"/>
                <w:highlight w:val="none"/>
              </w:rPr>
              <w:t>（2）</w:t>
            </w:r>
            <w:r>
              <w:rPr>
                <w:rFonts w:hint="eastAsia" w:ascii="宋体" w:hAnsi="宋体" w:eastAsia="宋体" w:cs="宋体"/>
                <w:b/>
                <w:bCs/>
                <w:sz w:val="24"/>
                <w:szCs w:val="24"/>
                <w:highlight w:val="none"/>
              </w:rPr>
              <w:t>付款方式：</w:t>
            </w:r>
            <w:r>
              <w:rPr>
                <w:rFonts w:hint="eastAsia" w:ascii="宋体" w:hAnsi="宋体" w:eastAsia="宋体" w:cs="宋体"/>
                <w:b/>
                <w:bCs/>
                <w:sz w:val="24"/>
                <w:szCs w:val="24"/>
                <w:highlight w:val="none"/>
                <w:lang w:val="en-US" w:eastAsia="zh-CN"/>
              </w:rPr>
              <w:t>服务</w:t>
            </w:r>
            <w:r>
              <w:rPr>
                <w:rFonts w:hint="eastAsia" w:ascii="宋体" w:hAnsi="宋体" w:eastAsia="宋体" w:cs="宋体"/>
                <w:b/>
                <w:bCs/>
                <w:sz w:val="24"/>
                <w:szCs w:val="24"/>
                <w:highlight w:val="none"/>
              </w:rPr>
              <w:t>结束后验收合格一次付清</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具体以合同签订为准</w:t>
            </w:r>
            <w:r>
              <w:rPr>
                <w:rFonts w:hint="eastAsia" w:ascii="宋体" w:hAnsi="宋体" w:cs="宋体"/>
                <w:b/>
                <w:bCs/>
                <w:sz w:val="24"/>
                <w:szCs w:val="24"/>
                <w:highlight w:val="none"/>
                <w:lang w:eastAsia="zh-CN"/>
              </w:rPr>
              <w:t>）</w:t>
            </w:r>
          </w:p>
        </w:tc>
      </w:tr>
      <w:tr w14:paraId="3DECF7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087" w:type="dxa"/>
            <w:vAlign w:val="center"/>
          </w:tcPr>
          <w:p w14:paraId="09EDB383">
            <w:pPr>
              <w:spacing w:line="360" w:lineRule="auto"/>
              <w:jc w:val="center"/>
              <w:rPr>
                <w:rFonts w:ascii="宋体" w:hAnsi="宋体" w:cs="宋体"/>
                <w:sz w:val="24"/>
                <w:szCs w:val="24"/>
                <w:highlight w:val="none"/>
              </w:rPr>
            </w:pPr>
            <w:r>
              <w:rPr>
                <w:rFonts w:hint="eastAsia" w:ascii="宋体" w:hAnsi="宋体" w:cs="宋体"/>
                <w:sz w:val="24"/>
                <w:szCs w:val="24"/>
                <w:highlight w:val="none"/>
              </w:rPr>
              <w:t>6</w:t>
            </w:r>
          </w:p>
        </w:tc>
        <w:tc>
          <w:tcPr>
            <w:tcW w:w="8152" w:type="dxa"/>
            <w:vAlign w:val="center"/>
          </w:tcPr>
          <w:p w14:paraId="31922E73">
            <w:pPr>
              <w:pStyle w:val="16"/>
              <w:spacing w:line="360" w:lineRule="auto"/>
              <w:rPr>
                <w:rFonts w:hAnsi="宋体"/>
                <w:b/>
                <w:bCs/>
                <w:kern w:val="0"/>
                <w:sz w:val="24"/>
                <w:szCs w:val="24"/>
                <w:highlight w:val="none"/>
              </w:rPr>
            </w:pPr>
            <w:r>
              <w:rPr>
                <w:rFonts w:hint="eastAsia" w:hAnsi="宋体"/>
                <w:b/>
                <w:bCs/>
                <w:kern w:val="0"/>
                <w:sz w:val="24"/>
                <w:szCs w:val="24"/>
                <w:highlight w:val="none"/>
              </w:rPr>
              <w:t>质量保证：</w:t>
            </w:r>
          </w:p>
          <w:p w14:paraId="6F4D3F51">
            <w:pPr>
              <w:spacing w:line="520" w:lineRule="exact"/>
              <w:ind w:firstLine="480" w:firstLineChars="200"/>
              <w:rPr>
                <w:rFonts w:ascii="宋体" w:hAnsi="宋体" w:cs="宋体"/>
                <w:kern w:val="0"/>
                <w:sz w:val="24"/>
                <w:szCs w:val="24"/>
                <w:highlight w:val="none"/>
              </w:rPr>
            </w:pPr>
            <w:r>
              <w:rPr>
                <w:rFonts w:hint="eastAsia" w:ascii="宋体" w:hAnsi="宋体" w:cs="宋体"/>
                <w:sz w:val="24"/>
                <w:szCs w:val="24"/>
                <w:highlight w:val="none"/>
              </w:rPr>
              <w:t>供应商必须保证服务质量可靠，并全面满足招标文件的要求，招标文件未明确要求的内容，供应商须按采购人的补充要求为准。技术标准严格按国家最新发布的规范标准执行，如发生质量问题由供应商承担全部责任。</w:t>
            </w:r>
          </w:p>
        </w:tc>
      </w:tr>
      <w:tr w14:paraId="7070B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087" w:type="dxa"/>
            <w:vAlign w:val="center"/>
          </w:tcPr>
          <w:p w14:paraId="24BFDCB3">
            <w:pPr>
              <w:spacing w:line="360" w:lineRule="auto"/>
              <w:jc w:val="center"/>
              <w:rPr>
                <w:rFonts w:ascii="宋体" w:hAnsi="宋体" w:cs="宋体"/>
                <w:sz w:val="24"/>
                <w:szCs w:val="24"/>
                <w:highlight w:val="none"/>
              </w:rPr>
            </w:pPr>
            <w:r>
              <w:rPr>
                <w:rFonts w:hint="eastAsia" w:ascii="宋体" w:hAnsi="宋体" w:cs="宋体"/>
                <w:sz w:val="24"/>
                <w:szCs w:val="24"/>
                <w:highlight w:val="none"/>
              </w:rPr>
              <w:t>7</w:t>
            </w:r>
          </w:p>
        </w:tc>
        <w:tc>
          <w:tcPr>
            <w:tcW w:w="8152" w:type="dxa"/>
            <w:vAlign w:val="center"/>
          </w:tcPr>
          <w:p w14:paraId="303BB2BA">
            <w:pPr>
              <w:spacing w:line="360" w:lineRule="auto"/>
              <w:rPr>
                <w:rFonts w:ascii="宋体" w:hAnsi="宋体" w:cs="宋体"/>
                <w:b/>
                <w:sz w:val="24"/>
                <w:szCs w:val="24"/>
                <w:highlight w:val="none"/>
              </w:rPr>
            </w:pPr>
            <w:r>
              <w:rPr>
                <w:rFonts w:hint="eastAsia" w:ascii="宋体" w:hAnsi="宋体" w:cs="宋体"/>
                <w:b/>
                <w:sz w:val="24"/>
                <w:szCs w:val="24"/>
                <w:highlight w:val="none"/>
              </w:rPr>
              <w:t>验收：</w:t>
            </w:r>
          </w:p>
          <w:p w14:paraId="07F3233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由采购人和供应商共同对项目进行整体验收。其内容包括</w:t>
            </w:r>
            <w:r>
              <w:rPr>
                <w:rFonts w:hint="eastAsia" w:ascii="宋体" w:hAnsi="宋体" w:cs="宋体"/>
                <w:sz w:val="24"/>
                <w:szCs w:val="24"/>
                <w:highlight w:val="none"/>
                <w:lang w:val="en-US" w:eastAsia="zh-CN"/>
              </w:rPr>
              <w:t>服务</w:t>
            </w:r>
            <w:r>
              <w:rPr>
                <w:rFonts w:hint="eastAsia" w:ascii="宋体" w:hAnsi="宋体" w:cs="宋体"/>
                <w:sz w:val="24"/>
                <w:szCs w:val="24"/>
                <w:highlight w:val="none"/>
              </w:rPr>
              <w:t>是否达到现行国家有关验收规范“合格”标准、是否按照采购人要求按时完工。</w:t>
            </w:r>
          </w:p>
          <w:p w14:paraId="182C8946">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1.所验各项内容最终验收达不到招标文件要求和投标文件承诺的，或在后续使用中发现采购人不能容忍的缺陷等，将视为验收不合格，供应商应在采购人要求的时间内无条件整改及恢复。</w:t>
            </w:r>
          </w:p>
          <w:p w14:paraId="49AA56B0">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2.若发现供应商有弄虚作假的，在投标阶段故意或随意夸大技术能力、服务质量的，采购人有权解除合同，并且要求供应商赔偿相关损失。</w:t>
            </w:r>
          </w:p>
          <w:p w14:paraId="42532423">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3.验收标准：按招标文件、投标文件及澄清函等技术指标进行验收。各项指标均应符合验收标准及要求。</w:t>
            </w:r>
          </w:p>
          <w:p w14:paraId="4402DCE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4.验收合格后，填写验收单，双方签字生效。</w:t>
            </w:r>
          </w:p>
          <w:p w14:paraId="69270F8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5.验收依据：</w:t>
            </w:r>
          </w:p>
          <w:p w14:paraId="059CED0B">
            <w:pPr>
              <w:numPr>
                <w:ilvl w:val="0"/>
                <w:numId w:val="1"/>
              </w:numPr>
              <w:tabs>
                <w:tab w:val="left" w:pos="498"/>
                <w:tab w:val="clear" w:pos="840"/>
              </w:tabs>
              <w:spacing w:line="360" w:lineRule="auto"/>
              <w:ind w:hanging="625"/>
              <w:rPr>
                <w:rFonts w:ascii="宋体" w:hAnsi="宋体" w:cs="宋体"/>
                <w:sz w:val="24"/>
                <w:szCs w:val="24"/>
                <w:highlight w:val="none"/>
              </w:rPr>
            </w:pPr>
            <w:r>
              <w:rPr>
                <w:rFonts w:hint="eastAsia" w:ascii="宋体" w:hAnsi="宋体" w:cs="宋体"/>
                <w:sz w:val="24"/>
                <w:szCs w:val="24"/>
                <w:highlight w:val="none"/>
              </w:rPr>
              <w:t>合同文本；</w:t>
            </w:r>
          </w:p>
          <w:p w14:paraId="6E6DB112">
            <w:pPr>
              <w:numPr>
                <w:ilvl w:val="0"/>
                <w:numId w:val="1"/>
              </w:numPr>
              <w:tabs>
                <w:tab w:val="left" w:pos="498"/>
                <w:tab w:val="clear" w:pos="840"/>
              </w:tabs>
              <w:spacing w:line="360" w:lineRule="auto"/>
              <w:ind w:hanging="625"/>
              <w:rPr>
                <w:rFonts w:ascii="宋体" w:hAnsi="宋体" w:cs="宋体"/>
                <w:sz w:val="24"/>
                <w:szCs w:val="24"/>
                <w:highlight w:val="none"/>
              </w:rPr>
            </w:pPr>
            <w:r>
              <w:rPr>
                <w:rFonts w:hint="eastAsia" w:ascii="宋体" w:hAnsi="宋体" w:cs="宋体"/>
                <w:sz w:val="24"/>
                <w:szCs w:val="24"/>
                <w:highlight w:val="none"/>
              </w:rPr>
              <w:t>招标文件及澄清函、投标文件；</w:t>
            </w:r>
          </w:p>
          <w:p w14:paraId="424774D5">
            <w:pPr>
              <w:numPr>
                <w:ilvl w:val="0"/>
                <w:numId w:val="1"/>
              </w:numPr>
              <w:tabs>
                <w:tab w:val="left" w:pos="498"/>
                <w:tab w:val="clear" w:pos="840"/>
              </w:tabs>
              <w:spacing w:line="360" w:lineRule="auto"/>
              <w:ind w:hanging="625"/>
              <w:rPr>
                <w:rFonts w:ascii="宋体" w:hAnsi="宋体" w:cs="宋体"/>
                <w:sz w:val="24"/>
                <w:szCs w:val="24"/>
                <w:highlight w:val="none"/>
              </w:rPr>
            </w:pPr>
            <w:r>
              <w:rPr>
                <w:rFonts w:hint="eastAsia" w:ascii="宋体" w:hAnsi="宋体" w:cs="宋体"/>
                <w:sz w:val="24"/>
                <w:szCs w:val="24"/>
                <w:highlight w:val="none"/>
              </w:rPr>
              <w:t>国家和行业制定的相应的标准和规范；</w:t>
            </w:r>
          </w:p>
          <w:p w14:paraId="3E4B1E1D">
            <w:pPr>
              <w:tabs>
                <w:tab w:val="left" w:pos="498"/>
              </w:tabs>
              <w:spacing w:line="360" w:lineRule="auto"/>
              <w:ind w:firstLine="240" w:firstLineChars="100"/>
              <w:rPr>
                <w:rFonts w:ascii="宋体" w:hAnsi="宋体" w:cs="宋体"/>
                <w:sz w:val="24"/>
                <w:szCs w:val="24"/>
                <w:highlight w:val="none"/>
              </w:rPr>
            </w:pPr>
            <w:r>
              <w:rPr>
                <w:rFonts w:hint="eastAsia" w:ascii="宋体" w:hAnsi="宋体" w:cs="宋体"/>
                <w:sz w:val="24"/>
                <w:szCs w:val="24"/>
                <w:highlight w:val="none"/>
              </w:rPr>
              <w:t>d)验收清单。</w:t>
            </w:r>
          </w:p>
        </w:tc>
      </w:tr>
      <w:tr w14:paraId="43BF34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087" w:type="dxa"/>
            <w:vAlign w:val="center"/>
          </w:tcPr>
          <w:p w14:paraId="1AE03D57">
            <w:pPr>
              <w:pStyle w:val="16"/>
              <w:spacing w:line="360" w:lineRule="auto"/>
              <w:jc w:val="center"/>
              <w:rPr>
                <w:rFonts w:hAnsi="宋体"/>
                <w:sz w:val="24"/>
                <w:szCs w:val="24"/>
                <w:highlight w:val="none"/>
              </w:rPr>
            </w:pPr>
            <w:r>
              <w:rPr>
                <w:rFonts w:hint="eastAsia" w:hAnsi="宋体"/>
                <w:sz w:val="24"/>
                <w:szCs w:val="24"/>
                <w:highlight w:val="none"/>
              </w:rPr>
              <w:t>8</w:t>
            </w:r>
          </w:p>
        </w:tc>
        <w:tc>
          <w:tcPr>
            <w:tcW w:w="8152" w:type="dxa"/>
            <w:vAlign w:val="center"/>
          </w:tcPr>
          <w:p w14:paraId="53398401">
            <w:pPr>
              <w:spacing w:line="360" w:lineRule="auto"/>
              <w:rPr>
                <w:rFonts w:ascii="宋体" w:hAnsi="宋体" w:cs="宋体"/>
                <w:b/>
                <w:bCs/>
                <w:sz w:val="24"/>
                <w:szCs w:val="24"/>
                <w:highlight w:val="none"/>
              </w:rPr>
            </w:pPr>
            <w:r>
              <w:rPr>
                <w:rFonts w:hint="eastAsia" w:ascii="宋体" w:hAnsi="宋体" w:cs="宋体"/>
                <w:b/>
                <w:bCs/>
                <w:sz w:val="24"/>
                <w:szCs w:val="24"/>
                <w:highlight w:val="none"/>
              </w:rPr>
              <w:t>安全责任：</w:t>
            </w:r>
          </w:p>
          <w:p w14:paraId="5957A24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本项目施工过程中的安全责任均由中标单位负责。</w:t>
            </w:r>
          </w:p>
        </w:tc>
      </w:tr>
      <w:tr w14:paraId="7EC43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087" w:type="dxa"/>
            <w:vAlign w:val="center"/>
          </w:tcPr>
          <w:p w14:paraId="45F2A002">
            <w:pPr>
              <w:pStyle w:val="16"/>
              <w:spacing w:line="360" w:lineRule="auto"/>
              <w:jc w:val="center"/>
              <w:rPr>
                <w:rFonts w:hAnsi="宋体"/>
                <w:sz w:val="24"/>
                <w:szCs w:val="24"/>
                <w:highlight w:val="none"/>
              </w:rPr>
            </w:pPr>
            <w:r>
              <w:rPr>
                <w:rFonts w:hint="eastAsia" w:hAnsi="宋体"/>
                <w:sz w:val="24"/>
                <w:szCs w:val="24"/>
                <w:highlight w:val="none"/>
              </w:rPr>
              <w:t>9</w:t>
            </w:r>
          </w:p>
        </w:tc>
        <w:tc>
          <w:tcPr>
            <w:tcW w:w="8152" w:type="dxa"/>
            <w:vAlign w:val="center"/>
          </w:tcPr>
          <w:p w14:paraId="2EFF77C6">
            <w:pPr>
              <w:spacing w:line="360" w:lineRule="auto"/>
              <w:rPr>
                <w:rFonts w:ascii="宋体" w:hAnsi="宋体" w:cs="宋体"/>
                <w:b/>
                <w:sz w:val="24"/>
                <w:szCs w:val="24"/>
                <w:highlight w:val="none"/>
              </w:rPr>
            </w:pPr>
            <w:r>
              <w:rPr>
                <w:rFonts w:hint="eastAsia" w:ascii="宋体" w:hAnsi="宋体" w:cs="宋体"/>
                <w:b/>
                <w:sz w:val="24"/>
                <w:szCs w:val="24"/>
                <w:highlight w:val="none"/>
              </w:rPr>
              <w:t>违约责任：</w:t>
            </w:r>
          </w:p>
          <w:p w14:paraId="4DE2D179">
            <w:pPr>
              <w:tabs>
                <w:tab w:val="left" w:pos="152"/>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1、按《</w:t>
            </w:r>
            <w:r>
              <w:rPr>
                <w:rFonts w:hint="eastAsia" w:ascii="宋体" w:hAnsi="宋体" w:cs="宋体"/>
                <w:sz w:val="24"/>
                <w:szCs w:val="24"/>
                <w:highlight w:val="none"/>
                <w:lang w:val="en-US" w:eastAsia="zh-CN"/>
              </w:rPr>
              <w:t>中华人民共和国</w:t>
            </w:r>
            <w:r>
              <w:rPr>
                <w:rFonts w:hint="eastAsia" w:ascii="宋体" w:hAnsi="宋体" w:cs="宋体"/>
                <w:sz w:val="24"/>
                <w:szCs w:val="24"/>
                <w:highlight w:val="none"/>
              </w:rPr>
              <w:t>民法典》中的相关条款执行。</w:t>
            </w:r>
          </w:p>
          <w:p w14:paraId="544ABFE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ascii="宋体" w:hAnsi="宋体" w:cs="宋体"/>
                <w:sz w:val="24"/>
                <w:szCs w:val="24"/>
                <w:highlight w:val="none"/>
                <w:lang w:val="en-US" w:eastAsia="zh-CN"/>
              </w:rPr>
              <w:t>中华人民共和国</w:t>
            </w:r>
            <w:r>
              <w:rPr>
                <w:rFonts w:hint="eastAsia" w:ascii="宋体" w:hAnsi="宋体" w:cs="宋体"/>
                <w:sz w:val="24"/>
                <w:szCs w:val="24"/>
                <w:highlight w:val="none"/>
              </w:rPr>
              <w:t>民法典》有关条款及合同约定终止合同，并要求服务商承担违约责任。同时，政府采购监管部门有权依据《</w:t>
            </w:r>
            <w:r>
              <w:rPr>
                <w:rFonts w:hint="eastAsia" w:ascii="宋体" w:hAnsi="宋体" w:cs="宋体"/>
                <w:sz w:val="24"/>
                <w:szCs w:val="24"/>
                <w:highlight w:val="none"/>
                <w:lang w:val="en-US" w:eastAsia="zh-CN"/>
              </w:rPr>
              <w:t>中华人民共和国</w:t>
            </w:r>
            <w:r>
              <w:rPr>
                <w:rFonts w:hint="eastAsia" w:ascii="宋体" w:hAnsi="宋体" w:cs="宋体"/>
                <w:sz w:val="24"/>
                <w:szCs w:val="24"/>
                <w:highlight w:val="none"/>
              </w:rPr>
              <w:t>政府采购法》及相关法律法规对服务商的违法行为进行相应的处罚。</w:t>
            </w:r>
          </w:p>
        </w:tc>
      </w:tr>
      <w:tr w14:paraId="7135FF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087" w:type="dxa"/>
            <w:vAlign w:val="center"/>
          </w:tcPr>
          <w:p w14:paraId="6F1FC836">
            <w:pPr>
              <w:spacing w:line="360" w:lineRule="auto"/>
              <w:jc w:val="center"/>
              <w:rPr>
                <w:rFonts w:ascii="宋体" w:hAnsi="宋体" w:cs="宋体"/>
                <w:sz w:val="24"/>
                <w:szCs w:val="24"/>
                <w:highlight w:val="none"/>
              </w:rPr>
            </w:pPr>
            <w:r>
              <w:rPr>
                <w:rFonts w:hint="eastAsia" w:ascii="宋体" w:hAnsi="宋体" w:cs="宋体"/>
                <w:sz w:val="24"/>
                <w:szCs w:val="24"/>
                <w:highlight w:val="none"/>
              </w:rPr>
              <w:t>10</w:t>
            </w:r>
          </w:p>
        </w:tc>
        <w:tc>
          <w:tcPr>
            <w:tcW w:w="8152" w:type="dxa"/>
            <w:vAlign w:val="center"/>
          </w:tcPr>
          <w:p w14:paraId="480E15AA">
            <w:pPr>
              <w:spacing w:line="360" w:lineRule="auto"/>
              <w:rPr>
                <w:rFonts w:ascii="宋体" w:hAnsi="宋体" w:cs="宋体"/>
                <w:b/>
                <w:sz w:val="24"/>
                <w:szCs w:val="24"/>
                <w:highlight w:val="none"/>
              </w:rPr>
            </w:pPr>
            <w:r>
              <w:rPr>
                <w:rFonts w:hint="eastAsia" w:ascii="宋体" w:hAnsi="宋体" w:cs="宋体"/>
                <w:b/>
                <w:sz w:val="24"/>
                <w:szCs w:val="24"/>
                <w:highlight w:val="none"/>
              </w:rPr>
              <w:t>政府采购合同：</w:t>
            </w:r>
          </w:p>
          <w:p w14:paraId="41D190F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政府采购合同适用民法典。采购人和供应商之间的权利和义务，应当按照平等、自愿的原则以合同方式约定。</w:t>
            </w:r>
            <w:r>
              <w:rPr>
                <w:rFonts w:hint="eastAsia" w:ascii="宋体" w:hAnsi="宋体" w:cs="宋体"/>
                <w:sz w:val="24"/>
                <w:szCs w:val="24"/>
                <w:highlight w:val="none"/>
              </w:rPr>
              <w:br w:type="textWrapping"/>
            </w:r>
            <w:r>
              <w:rPr>
                <w:rFonts w:hint="eastAsia" w:ascii="宋体" w:hAnsi="宋体" w:cs="宋体"/>
                <w:sz w:val="24"/>
                <w:szCs w:val="24"/>
                <w:highlight w:val="none"/>
              </w:rPr>
              <w:t xml:space="preserve">    政府采购合同应当采用书面形式。</w:t>
            </w:r>
          </w:p>
          <w:p w14:paraId="6AF0899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国务院政府采购监督管理部门应当会同国务院有关部门，规定政府采购合同必须具备的条款。</w:t>
            </w:r>
            <w:r>
              <w:rPr>
                <w:rFonts w:hint="eastAsia" w:ascii="宋体" w:hAnsi="宋体" w:cs="宋体"/>
                <w:sz w:val="24"/>
                <w:szCs w:val="24"/>
                <w:highlight w:val="none"/>
              </w:rPr>
              <w:br w:type="textWrapping"/>
            </w:r>
            <w:r>
              <w:rPr>
                <w:rFonts w:hint="eastAsia" w:ascii="宋体" w:hAnsi="宋体" w:cs="宋体"/>
                <w:sz w:val="24"/>
                <w:szCs w:val="24"/>
                <w:highlight w:val="none"/>
              </w:rPr>
              <w:t xml:space="preserve">    采购人与中标、成交供应商应当在中标、成交通知书发出之日起</w:t>
            </w:r>
            <w:r>
              <w:rPr>
                <w:rFonts w:hint="eastAsia" w:ascii="宋体" w:hAnsi="宋体" w:cs="宋体"/>
                <w:sz w:val="24"/>
                <w:szCs w:val="24"/>
                <w:highlight w:val="none"/>
                <w:lang w:val="en-US" w:eastAsia="zh-CN"/>
              </w:rPr>
              <w:t>二十五</w:t>
            </w:r>
            <w:r>
              <w:rPr>
                <w:rFonts w:hint="eastAsia" w:ascii="宋体" w:hAnsi="宋体" w:cs="宋体"/>
                <w:sz w:val="24"/>
                <w:szCs w:val="24"/>
                <w:highlight w:val="none"/>
              </w:rPr>
              <w:t>内，按照采购文件确定的事项签订政府采购合同。</w:t>
            </w:r>
            <w:r>
              <w:rPr>
                <w:rFonts w:hint="eastAsia" w:ascii="宋体" w:hAnsi="宋体" w:cs="宋体"/>
                <w:sz w:val="24"/>
                <w:szCs w:val="24"/>
                <w:highlight w:val="none"/>
              </w:rPr>
              <w:br w:type="textWrapping"/>
            </w:r>
            <w:r>
              <w:rPr>
                <w:rFonts w:hint="eastAsia" w:ascii="宋体" w:hAnsi="宋体" w:cs="宋体"/>
                <w:sz w:val="24"/>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14:paraId="7E1402AF">
            <w:pPr>
              <w:pStyle w:val="16"/>
              <w:spacing w:line="360" w:lineRule="auto"/>
              <w:ind w:firstLine="480" w:firstLineChars="200"/>
              <w:rPr>
                <w:rFonts w:hAnsi="宋体"/>
                <w:sz w:val="24"/>
                <w:szCs w:val="24"/>
                <w:highlight w:val="none"/>
              </w:rPr>
            </w:pPr>
            <w:r>
              <w:rPr>
                <w:rFonts w:hint="eastAsia" w:hAnsi="宋体"/>
                <w:sz w:val="24"/>
                <w:szCs w:val="24"/>
                <w:highlight w:val="none"/>
              </w:rPr>
              <w:t>政府采购项目的采购合同自签订之日起七个工作日内，采购人应当将合同副本报同级政府采购监督管理部门和有关部门备案。</w:t>
            </w:r>
            <w:r>
              <w:rPr>
                <w:rFonts w:hint="eastAsia" w:hAnsi="宋体"/>
                <w:sz w:val="24"/>
                <w:szCs w:val="24"/>
                <w:highlight w:val="none"/>
              </w:rPr>
              <w:br w:type="textWrapping"/>
            </w:r>
            <w:r>
              <w:rPr>
                <w:rFonts w:hint="eastAsia" w:hAnsi="宋体"/>
                <w:sz w:val="24"/>
                <w:szCs w:val="24"/>
                <w:highlight w:val="none"/>
              </w:rPr>
              <w:t xml:space="preserve">    经采购人同意，中标、成交供应商可以依法采取分包方式履行合同。政府采购合同分包履行的，中标、成交供应商就采购项目和分包项目向采购人负责，分包供应商就分包项目承担责任。</w:t>
            </w:r>
            <w:r>
              <w:rPr>
                <w:rFonts w:hint="eastAsia" w:hAnsi="宋体"/>
                <w:sz w:val="24"/>
                <w:szCs w:val="24"/>
                <w:highlight w:val="none"/>
              </w:rPr>
              <w:br w:type="textWrapping"/>
            </w:r>
            <w:r>
              <w:rPr>
                <w:rFonts w:hint="eastAsia" w:hAnsi="宋体"/>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hAnsi="宋体"/>
                <w:sz w:val="24"/>
                <w:szCs w:val="24"/>
                <w:highlight w:val="none"/>
              </w:rPr>
              <w:br w:type="textWrapping"/>
            </w:r>
            <w:r>
              <w:rPr>
                <w:rFonts w:hint="eastAsia" w:hAnsi="宋体"/>
                <w:sz w:val="24"/>
                <w:szCs w:val="24"/>
                <w:highlight w:val="none"/>
              </w:rPr>
              <w:t xml:space="preserve">    政府采购合同的双方当事人不得擅自变更、中止或者终止合同。</w:t>
            </w:r>
            <w:r>
              <w:rPr>
                <w:rFonts w:hint="eastAsia" w:hAnsi="宋体"/>
                <w:sz w:val="24"/>
                <w:szCs w:val="24"/>
                <w:highlight w:val="none"/>
              </w:rPr>
              <w:br w:type="textWrapping"/>
            </w:r>
            <w:r>
              <w:rPr>
                <w:rFonts w:hint="eastAsia" w:hAnsi="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14:paraId="5A7417CC">
      <w:pPr>
        <w:spacing w:line="360" w:lineRule="auto"/>
        <w:rPr>
          <w:rFonts w:asciiTheme="minorEastAsia" w:hAnsiTheme="minorEastAsia" w:eastAsiaTheme="minorEastAsia" w:cstheme="minorEastAsia"/>
          <w:b/>
          <w:bCs/>
          <w:sz w:val="48"/>
          <w:szCs w:val="48"/>
          <w:highlight w:val="none"/>
        </w:rPr>
      </w:pPr>
      <w:r>
        <w:rPr>
          <w:rFonts w:hint="eastAsia" w:asciiTheme="minorEastAsia" w:hAnsiTheme="minorEastAsia" w:eastAsiaTheme="minorEastAsia" w:cstheme="minorEastAsia"/>
          <w:b/>
          <w:bCs/>
          <w:sz w:val="48"/>
          <w:szCs w:val="48"/>
          <w:highlight w:val="none"/>
        </w:rPr>
        <w:br w:type="page"/>
      </w:r>
    </w:p>
    <w:p w14:paraId="3B021B3A">
      <w:pPr>
        <w:outlineLvl w:val="1"/>
        <w:rPr>
          <w:rFonts w:hint="eastAsia" w:ascii="宋体" w:hAnsi="宋体" w:eastAsia="宋体" w:cs="宋体"/>
          <w:b/>
          <w:sz w:val="32"/>
          <w:szCs w:val="32"/>
          <w:highlight w:val="none"/>
        </w:rPr>
      </w:pPr>
      <w:bookmarkStart w:id="92" w:name="_Toc1362"/>
      <w:bookmarkStart w:id="93" w:name="_Toc5216"/>
      <w:bookmarkStart w:id="94" w:name="_Toc7874"/>
      <w:bookmarkStart w:id="95" w:name="_Toc18120"/>
      <w:r>
        <w:rPr>
          <w:rFonts w:hint="eastAsia" w:ascii="宋体" w:hAnsi="宋体" w:eastAsia="宋体" w:cs="宋体"/>
          <w:b/>
          <w:sz w:val="32"/>
          <w:szCs w:val="32"/>
          <w:highlight w:val="none"/>
        </w:rPr>
        <w:t>政府采购项目</w:t>
      </w:r>
      <w:r>
        <w:rPr>
          <w:rFonts w:hint="eastAsia" w:ascii="宋体" w:hAnsi="宋体" w:eastAsia="宋体" w:cs="宋体"/>
          <w:b/>
          <w:bCs/>
          <w:sz w:val="28"/>
          <w:szCs w:val="28"/>
          <w:highlight w:val="none"/>
        </w:rPr>
        <w:t>（</w:t>
      </w:r>
      <w:r>
        <w:rPr>
          <w:rFonts w:hint="eastAsia" w:ascii="宋体" w:hAnsi="宋体" w:eastAsia="宋体" w:cs="宋体"/>
          <w:b/>
          <w:sz w:val="32"/>
          <w:szCs w:val="32"/>
          <w:highlight w:val="none"/>
        </w:rPr>
        <w:t>仅供参考）</w:t>
      </w:r>
      <w:bookmarkEnd w:id="92"/>
      <w:bookmarkEnd w:id="93"/>
      <w:bookmarkEnd w:id="94"/>
      <w:bookmarkEnd w:id="95"/>
      <w:r>
        <w:rPr>
          <w:rFonts w:hint="eastAsia" w:ascii="宋体" w:hAnsi="宋体" w:eastAsia="宋体" w:cs="宋体"/>
          <w:b/>
          <w:sz w:val="32"/>
          <w:szCs w:val="32"/>
          <w:highlight w:val="none"/>
        </w:rPr>
        <w:t xml:space="preserve">                  </w:t>
      </w:r>
    </w:p>
    <w:p w14:paraId="495BDC4C">
      <w:pPr>
        <w:rPr>
          <w:rFonts w:hint="eastAsia" w:ascii="宋体" w:hAnsi="宋体" w:eastAsia="宋体" w:cs="宋体"/>
          <w:b/>
          <w:sz w:val="32"/>
          <w:szCs w:val="32"/>
          <w:highlight w:val="none"/>
        </w:rPr>
      </w:pPr>
      <w:r>
        <w:rPr>
          <w:rFonts w:hint="eastAsia" w:ascii="宋体" w:hAnsi="宋体" w:eastAsia="宋体" w:cs="宋体"/>
          <w:b/>
          <w:sz w:val="32"/>
          <w:szCs w:val="32"/>
          <w:highlight w:val="none"/>
        </w:rPr>
        <w:t xml:space="preserve">          </w:t>
      </w:r>
    </w:p>
    <w:p w14:paraId="5EBC6902">
      <w:pPr>
        <w:jc w:val="center"/>
        <w:rPr>
          <w:rFonts w:hint="eastAsia" w:ascii="宋体" w:hAnsi="宋体" w:eastAsia="宋体" w:cs="宋体"/>
          <w:sz w:val="52"/>
          <w:szCs w:val="52"/>
          <w:highlight w:val="none"/>
        </w:rPr>
      </w:pPr>
    </w:p>
    <w:p w14:paraId="0EC5DC84">
      <w:pPr>
        <w:jc w:val="center"/>
        <w:rPr>
          <w:rFonts w:hint="eastAsia" w:ascii="宋体" w:hAnsi="宋体" w:eastAsia="宋体" w:cs="宋体"/>
          <w:sz w:val="52"/>
          <w:szCs w:val="52"/>
          <w:highlight w:val="none"/>
        </w:rPr>
      </w:pPr>
    </w:p>
    <w:p w14:paraId="7FE3FEF6">
      <w:pPr>
        <w:jc w:val="center"/>
        <w:outlineLvl w:val="9"/>
        <w:rPr>
          <w:rFonts w:hint="eastAsia" w:ascii="宋体" w:hAnsi="宋体" w:eastAsia="宋体" w:cs="宋体"/>
          <w:b/>
          <w:snapToGrid w:val="0"/>
          <w:sz w:val="48"/>
          <w:szCs w:val="48"/>
          <w:highlight w:val="none"/>
          <w:u w:val="single"/>
        </w:rPr>
      </w:pPr>
      <w:r>
        <w:rPr>
          <w:rFonts w:hint="eastAsia" w:ascii="宋体" w:hAnsi="宋体" w:eastAsia="宋体" w:cs="宋体"/>
          <w:b/>
          <w:snapToGrid w:val="0"/>
          <w:sz w:val="48"/>
          <w:szCs w:val="48"/>
          <w:highlight w:val="none"/>
          <w:u w:val="single"/>
        </w:rPr>
        <w:t>(项目名称)</w:t>
      </w:r>
    </w:p>
    <w:p w14:paraId="4AA13DCE">
      <w:pPr>
        <w:jc w:val="center"/>
        <w:outlineLvl w:val="9"/>
        <w:rPr>
          <w:rFonts w:hint="eastAsia" w:ascii="宋体" w:hAnsi="宋体" w:eastAsia="宋体" w:cs="宋体"/>
          <w:b/>
          <w:sz w:val="72"/>
          <w:szCs w:val="72"/>
          <w:highlight w:val="none"/>
        </w:rPr>
      </w:pPr>
      <w:r>
        <w:rPr>
          <w:rFonts w:hint="eastAsia" w:ascii="宋体" w:hAnsi="宋体" w:eastAsia="宋体" w:cs="宋体"/>
          <w:b/>
          <w:sz w:val="72"/>
          <w:szCs w:val="72"/>
          <w:highlight w:val="none"/>
        </w:rPr>
        <w:t>服 务 合 同</w:t>
      </w:r>
    </w:p>
    <w:p w14:paraId="3B8D4986">
      <w:pPr>
        <w:jc w:val="center"/>
        <w:outlineLvl w:val="9"/>
        <w:rPr>
          <w:rFonts w:hint="eastAsia" w:ascii="宋体" w:hAnsi="宋体" w:eastAsia="宋体" w:cs="宋体"/>
          <w:sz w:val="30"/>
          <w:szCs w:val="30"/>
          <w:highlight w:val="none"/>
        </w:rPr>
      </w:pPr>
      <w:r>
        <w:rPr>
          <w:rFonts w:hint="eastAsia" w:ascii="宋体" w:hAnsi="宋体" w:eastAsia="宋体" w:cs="宋体"/>
          <w:sz w:val="30"/>
          <w:szCs w:val="30"/>
          <w:highlight w:val="none"/>
        </w:rPr>
        <w:t xml:space="preserve">（项目编号：      </w:t>
      </w:r>
      <w:r>
        <w:rPr>
          <w:rFonts w:hint="eastAsia" w:ascii="宋体" w:hAnsi="宋体" w:eastAsia="宋体" w:cs="宋体"/>
          <w:sz w:val="28"/>
          <w:szCs w:val="28"/>
          <w:highlight w:val="none"/>
        </w:rPr>
        <w:t>）</w:t>
      </w:r>
    </w:p>
    <w:p w14:paraId="306949B3">
      <w:pPr>
        <w:jc w:val="center"/>
        <w:rPr>
          <w:rFonts w:hint="eastAsia" w:ascii="宋体" w:hAnsi="宋体" w:eastAsia="宋体" w:cs="宋体"/>
          <w:sz w:val="30"/>
          <w:szCs w:val="30"/>
          <w:highlight w:val="none"/>
        </w:rPr>
      </w:pPr>
    </w:p>
    <w:p w14:paraId="7A689E02">
      <w:pPr>
        <w:jc w:val="center"/>
        <w:rPr>
          <w:rFonts w:hint="eastAsia" w:ascii="宋体" w:hAnsi="宋体" w:eastAsia="宋体" w:cs="宋体"/>
          <w:sz w:val="30"/>
          <w:szCs w:val="30"/>
          <w:highlight w:val="none"/>
        </w:rPr>
      </w:pPr>
    </w:p>
    <w:p w14:paraId="1DA21311">
      <w:pPr>
        <w:jc w:val="center"/>
        <w:rPr>
          <w:rFonts w:hint="eastAsia" w:ascii="宋体" w:hAnsi="宋体" w:eastAsia="宋体" w:cs="宋体"/>
          <w:sz w:val="30"/>
          <w:szCs w:val="30"/>
          <w:highlight w:val="none"/>
        </w:rPr>
      </w:pPr>
    </w:p>
    <w:p w14:paraId="24DE6C84">
      <w:pPr>
        <w:jc w:val="center"/>
        <w:rPr>
          <w:rFonts w:hint="eastAsia" w:ascii="宋体" w:hAnsi="宋体" w:eastAsia="宋体" w:cs="宋体"/>
          <w:sz w:val="30"/>
          <w:szCs w:val="30"/>
          <w:highlight w:val="none"/>
        </w:rPr>
      </w:pPr>
    </w:p>
    <w:p w14:paraId="230E1BF2">
      <w:pPr>
        <w:jc w:val="center"/>
        <w:rPr>
          <w:rFonts w:hint="eastAsia" w:ascii="宋体" w:hAnsi="宋体" w:eastAsia="宋体" w:cs="宋体"/>
          <w:sz w:val="30"/>
          <w:szCs w:val="30"/>
          <w:highlight w:val="none"/>
        </w:rPr>
      </w:pPr>
    </w:p>
    <w:p w14:paraId="651B6443">
      <w:pPr>
        <w:ind w:firstLine="2080" w:firstLineChars="65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甲  方： </w:t>
      </w:r>
    </w:p>
    <w:p w14:paraId="481F2715">
      <w:pPr>
        <w:tabs>
          <w:tab w:val="left" w:pos="480"/>
        </w:tabs>
        <w:ind w:firstLine="640" w:firstLineChars="20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乙  方：</w:t>
      </w:r>
    </w:p>
    <w:p w14:paraId="52566CC2">
      <w:pPr>
        <w:jc w:val="center"/>
        <w:rPr>
          <w:rFonts w:hint="eastAsia" w:ascii="宋体" w:hAnsi="宋体" w:eastAsia="宋体" w:cs="宋体"/>
          <w:sz w:val="30"/>
          <w:szCs w:val="30"/>
          <w:highlight w:val="none"/>
        </w:rPr>
      </w:pPr>
    </w:p>
    <w:p w14:paraId="07179C86">
      <w:pPr>
        <w:jc w:val="center"/>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年  月</w:t>
      </w:r>
    </w:p>
    <w:p w14:paraId="0254E160">
      <w:pPr>
        <w:jc w:val="center"/>
        <w:rPr>
          <w:rFonts w:hint="eastAsia" w:ascii="宋体" w:hAnsi="宋体" w:eastAsia="宋体" w:cs="宋体"/>
          <w:sz w:val="32"/>
          <w:szCs w:val="32"/>
          <w:highlight w:val="none"/>
        </w:rPr>
      </w:pPr>
    </w:p>
    <w:p w14:paraId="794DA7D9">
      <w:pPr>
        <w:spacing w:line="590" w:lineRule="exact"/>
        <w:rPr>
          <w:rFonts w:hint="eastAsia" w:ascii="宋体" w:hAnsi="宋体" w:eastAsia="宋体" w:cs="宋体"/>
          <w:b/>
          <w:sz w:val="36"/>
          <w:szCs w:val="36"/>
          <w:highlight w:val="none"/>
        </w:rPr>
      </w:pPr>
    </w:p>
    <w:p w14:paraId="38EE798A">
      <w:pPr>
        <w:jc w:val="center"/>
        <w:outlineLvl w:val="2"/>
        <w:rPr>
          <w:rFonts w:hint="eastAsia" w:ascii="黑体" w:eastAsia="宋体"/>
          <w:b/>
          <w:color w:val="auto"/>
          <w:sz w:val="36"/>
          <w:szCs w:val="36"/>
          <w:highlight w:val="none"/>
          <w:lang w:eastAsia="zh-CN"/>
        </w:rPr>
      </w:pPr>
      <w:r>
        <w:rPr>
          <w:rFonts w:hint="eastAsia" w:ascii="宋体" w:hAnsi="宋体" w:eastAsia="宋体" w:cs="宋体"/>
          <w:b/>
          <w:szCs w:val="21"/>
          <w:highlight w:val="none"/>
        </w:rPr>
        <w:br w:type="page"/>
      </w:r>
      <w:bookmarkStart w:id="96" w:name="_Toc28398"/>
      <w:bookmarkStart w:id="97" w:name="_Toc7965"/>
      <w:r>
        <w:rPr>
          <w:rFonts w:hint="eastAsia" w:ascii="黑体" w:eastAsia="黑体"/>
          <w:b/>
          <w:color w:val="auto"/>
          <w:sz w:val="36"/>
          <w:szCs w:val="36"/>
          <w:highlight w:val="none"/>
          <w:lang w:eastAsia="zh-CN"/>
        </w:rPr>
        <w:t>协</w:t>
      </w:r>
      <w:r>
        <w:rPr>
          <w:rFonts w:hint="eastAsia" w:ascii="黑体" w:eastAsia="黑体"/>
          <w:b/>
          <w:color w:val="auto"/>
          <w:sz w:val="36"/>
          <w:szCs w:val="36"/>
          <w:highlight w:val="none"/>
          <w:lang w:val="en-US" w:eastAsia="zh-CN"/>
        </w:rPr>
        <w:t xml:space="preserve"> </w:t>
      </w:r>
      <w:r>
        <w:rPr>
          <w:rFonts w:hint="eastAsia" w:ascii="黑体" w:eastAsia="黑体"/>
          <w:b/>
          <w:color w:val="auto"/>
          <w:sz w:val="36"/>
          <w:szCs w:val="36"/>
          <w:highlight w:val="none"/>
          <w:lang w:eastAsia="zh-CN"/>
        </w:rPr>
        <w:t>议</w:t>
      </w:r>
      <w:r>
        <w:rPr>
          <w:rFonts w:hint="eastAsia" w:ascii="黑体" w:eastAsia="黑体"/>
          <w:b/>
          <w:color w:val="auto"/>
          <w:sz w:val="36"/>
          <w:szCs w:val="36"/>
          <w:highlight w:val="none"/>
          <w:lang w:val="en-US" w:eastAsia="zh-CN"/>
        </w:rPr>
        <w:t xml:space="preserve"> </w:t>
      </w:r>
      <w:r>
        <w:rPr>
          <w:rFonts w:hint="eastAsia" w:ascii="黑体" w:eastAsia="黑体"/>
          <w:b/>
          <w:color w:val="auto"/>
          <w:sz w:val="36"/>
          <w:szCs w:val="36"/>
          <w:highlight w:val="none"/>
          <w:lang w:eastAsia="zh-CN"/>
        </w:rPr>
        <w:t>书</w:t>
      </w:r>
      <w:bookmarkEnd w:id="96"/>
      <w:bookmarkEnd w:id="97"/>
    </w:p>
    <w:p w14:paraId="243F5C41">
      <w:pPr>
        <w:spacing w:line="360" w:lineRule="auto"/>
        <w:rPr>
          <w:rFonts w:hAnsi="宋体" w:cs="宋体"/>
          <w:color w:val="auto"/>
          <w:szCs w:val="21"/>
          <w:highlight w:val="none"/>
          <w:u w:val="single"/>
        </w:rPr>
      </w:pPr>
      <w:r>
        <w:rPr>
          <w:rFonts w:hint="eastAsia" w:hAnsi="宋体" w:cs="宋体"/>
          <w:color w:val="auto"/>
          <w:szCs w:val="21"/>
          <w:highlight w:val="none"/>
        </w:rPr>
        <w:t>甲方：</w:t>
      </w:r>
      <w:r>
        <w:rPr>
          <w:rFonts w:hint="eastAsia" w:hAnsi="宋体" w:cs="宋体"/>
          <w:color w:val="auto"/>
          <w:szCs w:val="21"/>
          <w:highlight w:val="none"/>
          <w:u w:val="single"/>
        </w:rPr>
        <w:t xml:space="preserve">             </w:t>
      </w:r>
    </w:p>
    <w:p w14:paraId="008D723C">
      <w:pPr>
        <w:spacing w:line="360" w:lineRule="auto"/>
        <w:rPr>
          <w:rFonts w:hint="eastAsia" w:hAnsi="宋体" w:cs="宋体"/>
          <w:color w:val="auto"/>
          <w:szCs w:val="21"/>
          <w:highlight w:val="none"/>
          <w:u w:val="single"/>
        </w:rPr>
      </w:pPr>
      <w:r>
        <w:rPr>
          <w:rFonts w:hint="eastAsia" w:hAnsi="宋体" w:cs="宋体"/>
          <w:color w:val="auto"/>
          <w:szCs w:val="21"/>
          <w:highlight w:val="none"/>
        </w:rPr>
        <w:t>乙方：</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p>
    <w:p w14:paraId="4633E0C0">
      <w:pPr>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根据《中华人民共和国</w:t>
      </w:r>
      <w:r>
        <w:rPr>
          <w:rFonts w:hint="eastAsia" w:hAnsi="宋体" w:cs="宋体"/>
          <w:color w:val="auto"/>
          <w:szCs w:val="21"/>
          <w:highlight w:val="none"/>
          <w:lang w:eastAsia="zh-CN"/>
        </w:rPr>
        <w:t>民法典</w:t>
      </w:r>
      <w:r>
        <w:rPr>
          <w:rFonts w:hint="eastAsia" w:hAnsi="宋体" w:cs="宋体"/>
          <w:color w:val="auto"/>
          <w:szCs w:val="21"/>
          <w:highlight w:val="none"/>
        </w:rPr>
        <w:t>》、《中华人民共和国政府采购法》与项目行业有关的法律法规，以及本项目（</w:t>
      </w:r>
      <w:r>
        <w:rPr>
          <w:rFonts w:hint="eastAsia" w:hAnsi="宋体" w:cs="宋体"/>
          <w:color w:val="auto"/>
          <w:szCs w:val="21"/>
          <w:highlight w:val="none"/>
          <w:lang w:eastAsia="zh-CN"/>
        </w:rPr>
        <w:t>山阳县2025年度省级林业草原改革发展资金板栗综合科管项目</w:t>
      </w:r>
      <w:r>
        <w:rPr>
          <w:rFonts w:hint="eastAsia" w:hAnsi="宋体" w:cs="宋体"/>
          <w:color w:val="auto"/>
          <w:szCs w:val="21"/>
          <w:highlight w:val="none"/>
        </w:rPr>
        <w:t>）相关采购要求的规定，合同双方就乙方向采购方提供</w:t>
      </w:r>
      <w:r>
        <w:rPr>
          <w:rFonts w:hint="eastAsia" w:hAnsi="宋体" w:cs="宋体"/>
          <w:color w:val="auto"/>
          <w:szCs w:val="21"/>
          <w:highlight w:val="none"/>
          <w:lang w:eastAsia="zh-CN"/>
        </w:rPr>
        <w:t>山阳县2025年度省级林业草原改革发展资金板栗综合科管项目</w:t>
      </w:r>
      <w:r>
        <w:rPr>
          <w:rFonts w:hint="eastAsia" w:hAnsi="宋体" w:cs="宋体"/>
          <w:color w:val="auto"/>
          <w:szCs w:val="21"/>
          <w:highlight w:val="none"/>
        </w:rPr>
        <w:t>协商达成一致，确立本合同。</w:t>
      </w:r>
    </w:p>
    <w:p w14:paraId="0EF942D6">
      <w:pPr>
        <w:tabs>
          <w:tab w:val="left" w:pos="480"/>
        </w:tabs>
        <w:spacing w:line="360" w:lineRule="auto"/>
        <w:outlineLvl w:val="1"/>
        <w:rPr>
          <w:rFonts w:hint="eastAsia" w:hAnsi="宋体" w:cs="宋体"/>
          <w:b/>
          <w:color w:val="auto"/>
          <w:szCs w:val="21"/>
          <w:highlight w:val="none"/>
        </w:rPr>
      </w:pPr>
      <w:bookmarkStart w:id="98" w:name="_Toc8841"/>
      <w:bookmarkStart w:id="99" w:name="_Toc7407"/>
      <w:bookmarkStart w:id="100" w:name="_Toc30883"/>
      <w:r>
        <w:rPr>
          <w:rFonts w:hint="eastAsia" w:hAnsi="宋体" w:cs="宋体"/>
          <w:b/>
          <w:color w:val="auto"/>
          <w:szCs w:val="21"/>
          <w:highlight w:val="none"/>
        </w:rPr>
        <w:t>一、合同标的物内容、数量及单价</w:t>
      </w:r>
      <w:r>
        <w:rPr>
          <w:rFonts w:hint="eastAsia" w:hAnsi="宋体" w:cs="宋体"/>
          <w:color w:val="auto"/>
          <w:szCs w:val="21"/>
          <w:highlight w:val="none"/>
        </w:rPr>
        <w:t>（以</w:t>
      </w:r>
      <w:r>
        <w:rPr>
          <w:rFonts w:hint="eastAsia" w:hAnsi="宋体" w:cs="宋体"/>
          <w:color w:val="auto"/>
          <w:szCs w:val="21"/>
          <w:highlight w:val="none"/>
          <w:lang w:eastAsia="zh-CN"/>
        </w:rPr>
        <w:t>投标文件</w:t>
      </w:r>
      <w:r>
        <w:rPr>
          <w:rFonts w:hint="eastAsia" w:hAnsi="宋体" w:cs="宋体"/>
          <w:color w:val="auto"/>
          <w:szCs w:val="21"/>
          <w:highlight w:val="none"/>
        </w:rPr>
        <w:t>正本和澄清表〈函〉为准）</w:t>
      </w:r>
      <w:bookmarkEnd w:id="98"/>
      <w:bookmarkEnd w:id="99"/>
      <w:bookmarkEnd w:id="100"/>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855"/>
        <w:gridCol w:w="1421"/>
        <w:gridCol w:w="2648"/>
        <w:gridCol w:w="1096"/>
      </w:tblGrid>
      <w:tr w14:paraId="1ACD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noWrap w:val="0"/>
            <w:vAlign w:val="center"/>
          </w:tcPr>
          <w:p w14:paraId="3D23A2BB">
            <w:pPr>
              <w:tabs>
                <w:tab w:val="left" w:pos="480"/>
              </w:tabs>
              <w:spacing w:line="396" w:lineRule="exact"/>
              <w:jc w:val="center"/>
              <w:rPr>
                <w:rFonts w:hint="eastAsia" w:hAnsi="宋体" w:cs="宋体"/>
                <w:color w:val="auto"/>
                <w:szCs w:val="21"/>
                <w:highlight w:val="none"/>
              </w:rPr>
            </w:pPr>
            <w:r>
              <w:rPr>
                <w:rFonts w:hint="eastAsia" w:hAnsi="宋体" w:cs="宋体"/>
                <w:color w:val="auto"/>
                <w:szCs w:val="21"/>
                <w:highlight w:val="none"/>
              </w:rPr>
              <w:t>序号</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3DC07822">
            <w:pPr>
              <w:tabs>
                <w:tab w:val="left" w:pos="480"/>
              </w:tabs>
              <w:spacing w:line="396" w:lineRule="exact"/>
              <w:jc w:val="center"/>
              <w:rPr>
                <w:rFonts w:hint="eastAsia" w:hAnsi="宋体" w:eastAsia="宋体" w:cs="宋体"/>
                <w:color w:val="auto"/>
                <w:szCs w:val="21"/>
                <w:highlight w:val="none"/>
                <w:lang w:eastAsia="zh-CN"/>
              </w:rPr>
            </w:pPr>
            <w:r>
              <w:rPr>
                <w:rFonts w:hint="eastAsia" w:hAnsi="宋体" w:cs="宋体"/>
                <w:color w:val="auto"/>
                <w:szCs w:val="21"/>
                <w:highlight w:val="none"/>
                <w:lang w:eastAsia="zh-CN"/>
              </w:rPr>
              <w:t>服务内容</w:t>
            </w:r>
          </w:p>
        </w:tc>
        <w:tc>
          <w:tcPr>
            <w:tcW w:w="1421" w:type="dxa"/>
            <w:tcBorders>
              <w:top w:val="single" w:color="auto" w:sz="4" w:space="0"/>
              <w:left w:val="single" w:color="auto" w:sz="4" w:space="0"/>
              <w:bottom w:val="single" w:color="auto" w:sz="4" w:space="0"/>
              <w:right w:val="single" w:color="auto" w:sz="4" w:space="0"/>
            </w:tcBorders>
            <w:noWrap w:val="0"/>
            <w:vAlign w:val="center"/>
          </w:tcPr>
          <w:p w14:paraId="30A6439E">
            <w:pPr>
              <w:tabs>
                <w:tab w:val="left" w:pos="480"/>
              </w:tabs>
              <w:spacing w:line="396" w:lineRule="exact"/>
              <w:jc w:val="center"/>
              <w:rPr>
                <w:rFonts w:hint="eastAsia" w:hAnsi="宋体" w:eastAsia="宋体" w:cs="宋体"/>
                <w:color w:val="auto"/>
                <w:szCs w:val="21"/>
                <w:highlight w:val="none"/>
                <w:lang w:eastAsia="zh-CN"/>
              </w:rPr>
            </w:pPr>
            <w:r>
              <w:rPr>
                <w:rFonts w:hint="eastAsia" w:hAnsi="宋体" w:cs="宋体"/>
                <w:color w:val="auto"/>
                <w:szCs w:val="21"/>
                <w:highlight w:val="none"/>
                <w:lang w:eastAsia="zh-CN"/>
              </w:rPr>
              <w:t>服务期限</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5C30DDE7">
            <w:pPr>
              <w:tabs>
                <w:tab w:val="left" w:pos="480"/>
              </w:tabs>
              <w:spacing w:line="396" w:lineRule="exact"/>
              <w:jc w:val="center"/>
              <w:rPr>
                <w:rFonts w:hint="eastAsia" w:hAnsi="宋体" w:eastAsia="宋体" w:cs="宋体"/>
                <w:color w:val="auto"/>
                <w:szCs w:val="21"/>
                <w:highlight w:val="none"/>
                <w:lang w:eastAsia="zh-CN"/>
              </w:rPr>
            </w:pPr>
            <w:r>
              <w:rPr>
                <w:rFonts w:hint="eastAsia" w:hAnsi="宋体" w:cs="宋体"/>
                <w:color w:val="auto"/>
                <w:szCs w:val="21"/>
                <w:highlight w:val="none"/>
                <w:lang w:eastAsia="zh-CN"/>
              </w:rPr>
              <w:t>相关要求</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19EC3B26">
            <w:pPr>
              <w:tabs>
                <w:tab w:val="left" w:pos="480"/>
              </w:tabs>
              <w:spacing w:line="396" w:lineRule="exact"/>
              <w:jc w:val="center"/>
              <w:rPr>
                <w:rFonts w:hint="eastAsia" w:hAnsi="宋体" w:cs="宋体"/>
                <w:color w:val="auto"/>
                <w:szCs w:val="21"/>
                <w:highlight w:val="none"/>
              </w:rPr>
            </w:pPr>
            <w:r>
              <w:rPr>
                <w:rFonts w:hint="eastAsia" w:hAnsi="宋体" w:cs="宋体"/>
                <w:color w:val="auto"/>
                <w:szCs w:val="21"/>
                <w:highlight w:val="none"/>
              </w:rPr>
              <w:t>备注</w:t>
            </w:r>
          </w:p>
        </w:tc>
      </w:tr>
      <w:tr w14:paraId="3E65E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noWrap w:val="0"/>
            <w:vAlign w:val="center"/>
          </w:tcPr>
          <w:p w14:paraId="07A0A919">
            <w:pPr>
              <w:tabs>
                <w:tab w:val="left" w:pos="480"/>
              </w:tabs>
              <w:spacing w:line="396" w:lineRule="exact"/>
              <w:jc w:val="center"/>
              <w:rPr>
                <w:rFonts w:hint="eastAsia" w:hAnsi="宋体" w:cs="宋体"/>
                <w:color w:val="auto"/>
                <w:szCs w:val="21"/>
                <w:highlight w:val="none"/>
              </w:rPr>
            </w:pPr>
            <w:r>
              <w:rPr>
                <w:rFonts w:hint="eastAsia" w:hAnsi="宋体" w:cs="宋体"/>
                <w:color w:val="auto"/>
                <w:szCs w:val="21"/>
                <w:highlight w:val="none"/>
              </w:rPr>
              <w:t>1</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12793D98">
            <w:pPr>
              <w:tabs>
                <w:tab w:val="left" w:pos="480"/>
              </w:tabs>
              <w:spacing w:line="396" w:lineRule="exact"/>
              <w:jc w:val="center"/>
              <w:rPr>
                <w:rFonts w:hint="eastAsia" w:hAnsi="宋体" w:cs="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14:paraId="1BA5A496">
            <w:pPr>
              <w:tabs>
                <w:tab w:val="left" w:pos="480"/>
              </w:tabs>
              <w:spacing w:line="396" w:lineRule="exact"/>
              <w:jc w:val="center"/>
              <w:rPr>
                <w:rFonts w:hint="eastAsia" w:hAnsi="宋体" w:cs="宋体"/>
                <w:color w:val="auto"/>
                <w:szCs w:val="21"/>
                <w:highlight w:val="none"/>
              </w:rPr>
            </w:pPr>
          </w:p>
        </w:tc>
        <w:tc>
          <w:tcPr>
            <w:tcW w:w="2648" w:type="dxa"/>
            <w:tcBorders>
              <w:top w:val="single" w:color="auto" w:sz="4" w:space="0"/>
              <w:left w:val="single" w:color="auto" w:sz="4" w:space="0"/>
              <w:bottom w:val="single" w:color="auto" w:sz="4" w:space="0"/>
              <w:right w:val="single" w:color="auto" w:sz="4" w:space="0"/>
            </w:tcBorders>
            <w:noWrap w:val="0"/>
            <w:vAlign w:val="center"/>
          </w:tcPr>
          <w:p w14:paraId="71131337">
            <w:pPr>
              <w:tabs>
                <w:tab w:val="left" w:pos="480"/>
              </w:tabs>
              <w:spacing w:line="396" w:lineRule="exact"/>
              <w:jc w:val="center"/>
              <w:rPr>
                <w:rFonts w:hint="eastAsia"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14:paraId="06251BCA">
            <w:pPr>
              <w:tabs>
                <w:tab w:val="left" w:pos="480"/>
              </w:tabs>
              <w:spacing w:line="396" w:lineRule="exact"/>
              <w:jc w:val="center"/>
              <w:rPr>
                <w:rFonts w:hint="eastAsia" w:hAnsi="宋体" w:cs="宋体"/>
                <w:color w:val="auto"/>
                <w:szCs w:val="21"/>
                <w:highlight w:val="none"/>
              </w:rPr>
            </w:pPr>
          </w:p>
        </w:tc>
      </w:tr>
      <w:tr w14:paraId="0E357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98" w:type="dxa"/>
            <w:tcBorders>
              <w:top w:val="single" w:color="auto" w:sz="4" w:space="0"/>
              <w:left w:val="single" w:color="auto" w:sz="4" w:space="0"/>
              <w:bottom w:val="single" w:color="auto" w:sz="4" w:space="0"/>
              <w:right w:val="single" w:color="auto" w:sz="4" w:space="0"/>
            </w:tcBorders>
            <w:noWrap w:val="0"/>
            <w:vAlign w:val="center"/>
          </w:tcPr>
          <w:p w14:paraId="63FFAB84">
            <w:pPr>
              <w:tabs>
                <w:tab w:val="left" w:pos="480"/>
              </w:tabs>
              <w:spacing w:line="396" w:lineRule="exact"/>
              <w:jc w:val="center"/>
              <w:rPr>
                <w:rFonts w:hint="eastAsia" w:hAnsi="宋体" w:cs="宋体"/>
                <w:color w:val="auto"/>
                <w:szCs w:val="21"/>
                <w:highlight w:val="none"/>
              </w:rPr>
            </w:pPr>
            <w:r>
              <w:rPr>
                <w:rFonts w:hint="eastAsia" w:hAnsi="宋体" w:cs="宋体"/>
                <w:color w:val="auto"/>
                <w:szCs w:val="21"/>
                <w:highlight w:val="none"/>
              </w:rPr>
              <w:t>……</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0C6B5435">
            <w:pPr>
              <w:tabs>
                <w:tab w:val="left" w:pos="480"/>
              </w:tabs>
              <w:spacing w:line="396" w:lineRule="exact"/>
              <w:jc w:val="center"/>
              <w:rPr>
                <w:rFonts w:hint="eastAsia" w:hAnsi="宋体" w:cs="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14:paraId="4B0C2119">
            <w:pPr>
              <w:tabs>
                <w:tab w:val="left" w:pos="480"/>
              </w:tabs>
              <w:spacing w:line="396" w:lineRule="exact"/>
              <w:jc w:val="center"/>
              <w:rPr>
                <w:rFonts w:hint="eastAsia" w:hAnsi="宋体" w:cs="宋体"/>
                <w:color w:val="auto"/>
                <w:szCs w:val="21"/>
                <w:highlight w:val="none"/>
              </w:rPr>
            </w:pPr>
          </w:p>
        </w:tc>
        <w:tc>
          <w:tcPr>
            <w:tcW w:w="2648" w:type="dxa"/>
            <w:tcBorders>
              <w:top w:val="single" w:color="auto" w:sz="4" w:space="0"/>
              <w:left w:val="single" w:color="auto" w:sz="4" w:space="0"/>
              <w:bottom w:val="single" w:color="auto" w:sz="4" w:space="0"/>
              <w:right w:val="single" w:color="auto" w:sz="4" w:space="0"/>
            </w:tcBorders>
            <w:noWrap w:val="0"/>
            <w:vAlign w:val="center"/>
          </w:tcPr>
          <w:p w14:paraId="575C15E2">
            <w:pPr>
              <w:tabs>
                <w:tab w:val="left" w:pos="480"/>
              </w:tabs>
              <w:spacing w:line="396" w:lineRule="exact"/>
              <w:jc w:val="center"/>
              <w:rPr>
                <w:rFonts w:hint="eastAsia"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14:paraId="3A959B5D">
            <w:pPr>
              <w:tabs>
                <w:tab w:val="left" w:pos="480"/>
              </w:tabs>
              <w:spacing w:line="396" w:lineRule="exact"/>
              <w:jc w:val="center"/>
              <w:rPr>
                <w:rFonts w:hint="eastAsia" w:hAnsi="宋体" w:cs="宋体"/>
                <w:color w:val="auto"/>
                <w:szCs w:val="21"/>
                <w:highlight w:val="none"/>
              </w:rPr>
            </w:pPr>
          </w:p>
        </w:tc>
      </w:tr>
    </w:tbl>
    <w:p w14:paraId="251CE2DB">
      <w:pPr>
        <w:tabs>
          <w:tab w:val="left" w:pos="480"/>
        </w:tabs>
        <w:spacing w:line="360" w:lineRule="auto"/>
        <w:outlineLvl w:val="1"/>
        <w:rPr>
          <w:rFonts w:hint="eastAsia" w:hAnsi="宋体" w:cs="宋体"/>
          <w:b/>
          <w:color w:val="auto"/>
          <w:szCs w:val="21"/>
          <w:highlight w:val="none"/>
        </w:rPr>
      </w:pPr>
      <w:bookmarkStart w:id="101" w:name="_Toc3926"/>
      <w:bookmarkStart w:id="102" w:name="_Toc8887"/>
      <w:bookmarkStart w:id="103" w:name="_Toc4137"/>
      <w:r>
        <w:rPr>
          <w:rFonts w:hint="eastAsia" w:hAnsi="宋体" w:cs="宋体"/>
          <w:b/>
          <w:color w:val="auto"/>
          <w:szCs w:val="21"/>
          <w:highlight w:val="none"/>
        </w:rPr>
        <w:t>二、合同价款</w:t>
      </w:r>
      <w:bookmarkEnd w:id="101"/>
      <w:bookmarkEnd w:id="102"/>
      <w:bookmarkEnd w:id="103"/>
    </w:p>
    <w:p w14:paraId="2CBFE595">
      <w:pPr>
        <w:tabs>
          <w:tab w:val="left" w:pos="480"/>
        </w:tabs>
        <w:spacing w:line="360" w:lineRule="auto"/>
        <w:ind w:firstLine="420" w:firstLineChars="200"/>
        <w:rPr>
          <w:rFonts w:hint="default" w:hAnsi="宋体" w:cs="宋体"/>
          <w:color w:val="auto"/>
          <w:szCs w:val="21"/>
          <w:highlight w:val="none"/>
          <w:u w:val="single"/>
          <w:lang w:val="en-US" w:eastAsia="zh-CN"/>
        </w:rPr>
      </w:pPr>
      <w:r>
        <w:rPr>
          <w:rFonts w:hint="eastAsia" w:hAnsi="宋体" w:cs="宋体"/>
          <w:color w:val="auto"/>
          <w:szCs w:val="21"/>
          <w:highlight w:val="none"/>
        </w:rPr>
        <w:t>（一）</w:t>
      </w:r>
      <w:r>
        <w:rPr>
          <w:rFonts w:hint="eastAsia" w:hAnsi="宋体" w:cs="宋体"/>
          <w:color w:val="auto"/>
          <w:szCs w:val="21"/>
          <w:highlight w:val="none"/>
          <w:lang w:val="en-US" w:eastAsia="zh-CN"/>
        </w:rPr>
        <w:t>本合同为总价合同</w:t>
      </w:r>
      <w:r>
        <w:rPr>
          <w:rFonts w:hint="eastAsia" w:hAnsi="宋体" w:cs="宋体"/>
          <w:color w:val="auto"/>
          <w:szCs w:val="21"/>
          <w:highlight w:val="none"/>
        </w:rPr>
        <w:t>。</w:t>
      </w:r>
    </w:p>
    <w:p w14:paraId="50151B78">
      <w:pPr>
        <w:tabs>
          <w:tab w:val="left" w:pos="4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（二）合同价包括：</w:t>
      </w:r>
    </w:p>
    <w:p w14:paraId="4B5C2D58">
      <w:pPr>
        <w:tabs>
          <w:tab w:val="left" w:pos="480"/>
        </w:tabs>
        <w:spacing w:line="360" w:lineRule="auto"/>
        <w:outlineLvl w:val="1"/>
        <w:rPr>
          <w:rFonts w:hint="eastAsia" w:hAnsi="宋体" w:cs="宋体"/>
          <w:b/>
          <w:color w:val="auto"/>
          <w:szCs w:val="21"/>
          <w:highlight w:val="none"/>
        </w:rPr>
      </w:pPr>
      <w:bookmarkStart w:id="104" w:name="_Toc23247"/>
      <w:bookmarkStart w:id="105" w:name="_Toc28664"/>
      <w:bookmarkStart w:id="106" w:name="_Toc6296"/>
      <w:r>
        <w:rPr>
          <w:rFonts w:hint="eastAsia" w:hAnsi="宋体" w:cs="宋体"/>
          <w:b/>
          <w:color w:val="auto"/>
          <w:szCs w:val="21"/>
          <w:highlight w:val="none"/>
        </w:rPr>
        <w:t>三、款项结算</w:t>
      </w:r>
      <w:bookmarkEnd w:id="104"/>
      <w:bookmarkEnd w:id="105"/>
      <w:bookmarkEnd w:id="106"/>
    </w:p>
    <w:p w14:paraId="1BBB32BA">
      <w:pPr>
        <w:tabs>
          <w:tab w:val="left" w:pos="4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lang w:eastAsia="zh-CN"/>
        </w:rPr>
        <w:t>详见合同前附表</w:t>
      </w:r>
      <w:r>
        <w:rPr>
          <w:rFonts w:hint="eastAsia" w:hAnsi="宋体" w:cs="宋体"/>
          <w:color w:val="auto"/>
          <w:szCs w:val="21"/>
          <w:highlight w:val="none"/>
        </w:rPr>
        <w:t>。</w:t>
      </w:r>
    </w:p>
    <w:p w14:paraId="2B3E6E59">
      <w:pPr>
        <w:tabs>
          <w:tab w:val="left" w:pos="480"/>
        </w:tabs>
        <w:spacing w:line="360" w:lineRule="auto"/>
        <w:outlineLvl w:val="1"/>
        <w:rPr>
          <w:rFonts w:hint="eastAsia" w:hAnsi="宋体" w:cs="宋体"/>
          <w:color w:val="auto"/>
          <w:szCs w:val="21"/>
          <w:highlight w:val="none"/>
        </w:rPr>
      </w:pPr>
      <w:bookmarkStart w:id="107" w:name="_Toc21714"/>
      <w:bookmarkStart w:id="108" w:name="_Toc21110"/>
      <w:bookmarkStart w:id="109" w:name="_Toc24406"/>
      <w:r>
        <w:rPr>
          <w:rFonts w:hint="eastAsia" w:hAnsi="宋体" w:cs="宋体"/>
          <w:b/>
          <w:color w:val="auto"/>
          <w:szCs w:val="21"/>
          <w:highlight w:val="none"/>
          <w:lang w:eastAsia="zh-CN"/>
        </w:rPr>
        <w:t>四</w:t>
      </w:r>
      <w:r>
        <w:rPr>
          <w:rFonts w:hint="eastAsia" w:hAnsi="宋体" w:cs="宋体"/>
          <w:b/>
          <w:color w:val="auto"/>
          <w:szCs w:val="21"/>
          <w:highlight w:val="none"/>
        </w:rPr>
        <w:t>、</w:t>
      </w:r>
      <w:r>
        <w:rPr>
          <w:rFonts w:hint="eastAsia" w:hAnsi="宋体" w:cs="宋体"/>
          <w:b/>
          <w:color w:val="auto"/>
          <w:szCs w:val="21"/>
          <w:highlight w:val="none"/>
          <w:lang w:eastAsia="zh-CN"/>
        </w:rPr>
        <w:t>服务</w:t>
      </w:r>
      <w:r>
        <w:rPr>
          <w:rFonts w:hint="eastAsia" w:hAnsi="宋体" w:cs="宋体"/>
          <w:b/>
          <w:color w:val="auto"/>
          <w:szCs w:val="21"/>
          <w:highlight w:val="none"/>
        </w:rPr>
        <w:t>条件：</w:t>
      </w:r>
      <w:bookmarkEnd w:id="107"/>
      <w:bookmarkEnd w:id="108"/>
      <w:bookmarkEnd w:id="109"/>
    </w:p>
    <w:p w14:paraId="56A331D8">
      <w:pPr>
        <w:tabs>
          <w:tab w:val="left" w:pos="4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（一）</w:t>
      </w:r>
      <w:r>
        <w:rPr>
          <w:rFonts w:hint="eastAsia" w:hAnsi="宋体" w:cs="宋体"/>
          <w:color w:val="auto"/>
          <w:szCs w:val="21"/>
          <w:highlight w:val="none"/>
          <w:lang w:eastAsia="zh-CN"/>
        </w:rPr>
        <w:t>服务</w:t>
      </w:r>
      <w:r>
        <w:rPr>
          <w:rFonts w:hint="eastAsia" w:hAnsi="宋体" w:cs="宋体"/>
          <w:color w:val="auto"/>
          <w:szCs w:val="21"/>
          <w:highlight w:val="none"/>
        </w:rPr>
        <w:t>地点：甲方指定地点。</w:t>
      </w:r>
    </w:p>
    <w:p w14:paraId="6EF217F2">
      <w:pPr>
        <w:tabs>
          <w:tab w:val="left" w:pos="480"/>
        </w:tabs>
        <w:spacing w:line="360" w:lineRule="auto"/>
        <w:ind w:firstLine="420" w:firstLineChars="200"/>
        <w:rPr>
          <w:rFonts w:hint="default" w:hAnsi="宋体" w:cs="宋体"/>
          <w:color w:val="auto"/>
          <w:szCs w:val="21"/>
          <w:highlight w:val="none"/>
          <w:u w:val="single"/>
          <w:lang w:val="en-US"/>
        </w:rPr>
      </w:pPr>
      <w:r>
        <w:rPr>
          <w:rFonts w:hint="eastAsia" w:hAnsi="宋体" w:cs="宋体"/>
          <w:color w:val="auto"/>
          <w:szCs w:val="21"/>
          <w:highlight w:val="none"/>
        </w:rPr>
        <w:t>（二）</w:t>
      </w:r>
      <w:r>
        <w:rPr>
          <w:rFonts w:hint="eastAsia" w:hAnsi="宋体" w:cs="宋体"/>
          <w:color w:val="auto"/>
          <w:szCs w:val="21"/>
          <w:highlight w:val="none"/>
          <w:lang w:eastAsia="zh-CN"/>
        </w:rPr>
        <w:t>服务</w:t>
      </w:r>
      <w:r>
        <w:rPr>
          <w:rFonts w:hint="eastAsia" w:hAnsi="宋体" w:cs="宋体"/>
          <w:color w:val="auto"/>
          <w:szCs w:val="21"/>
          <w:highlight w:val="none"/>
        </w:rPr>
        <w:t>期</w:t>
      </w:r>
      <w:r>
        <w:rPr>
          <w:rFonts w:hint="eastAsia" w:hAnsi="宋体" w:cs="宋体"/>
          <w:color w:val="auto"/>
          <w:szCs w:val="21"/>
          <w:highlight w:val="none"/>
          <w:lang w:eastAsia="zh-CN"/>
        </w:rPr>
        <w:t>：</w:t>
      </w:r>
      <w:r>
        <w:rPr>
          <w:rFonts w:hint="eastAsia" w:hAnsi="宋体" w:cs="宋体"/>
          <w:color w:val="auto"/>
          <w:szCs w:val="21"/>
          <w:highlight w:val="none"/>
          <w:u w:val="single"/>
          <w:lang w:val="en-US" w:eastAsia="zh-CN"/>
        </w:rPr>
        <w:t xml:space="preserve">            </w:t>
      </w:r>
    </w:p>
    <w:p w14:paraId="6A1E8075">
      <w:pPr>
        <w:tabs>
          <w:tab w:val="left" w:pos="480"/>
        </w:tabs>
        <w:spacing w:line="360" w:lineRule="auto"/>
        <w:outlineLvl w:val="1"/>
        <w:rPr>
          <w:rFonts w:hint="eastAsia" w:hAnsi="宋体" w:cs="宋体"/>
          <w:b/>
          <w:color w:val="auto"/>
          <w:szCs w:val="21"/>
          <w:highlight w:val="none"/>
        </w:rPr>
      </w:pPr>
      <w:bookmarkStart w:id="110" w:name="_Toc27382"/>
      <w:bookmarkStart w:id="111" w:name="_Toc32459"/>
      <w:bookmarkStart w:id="112" w:name="_Toc7966"/>
      <w:r>
        <w:rPr>
          <w:rFonts w:hint="eastAsia" w:hAnsi="宋体" w:cs="宋体"/>
          <w:b/>
          <w:color w:val="auto"/>
          <w:szCs w:val="21"/>
          <w:highlight w:val="none"/>
          <w:lang w:eastAsia="zh-CN"/>
        </w:rPr>
        <w:t>五</w:t>
      </w:r>
      <w:r>
        <w:rPr>
          <w:rFonts w:hint="eastAsia" w:hAnsi="宋体" w:cs="宋体"/>
          <w:b/>
          <w:color w:val="auto"/>
          <w:szCs w:val="21"/>
          <w:highlight w:val="none"/>
        </w:rPr>
        <w:t>、质量保证</w:t>
      </w:r>
      <w:bookmarkEnd w:id="110"/>
      <w:bookmarkEnd w:id="111"/>
      <w:bookmarkEnd w:id="112"/>
    </w:p>
    <w:p w14:paraId="640C0067">
      <w:pPr>
        <w:tabs>
          <w:tab w:val="left" w:pos="480"/>
        </w:tabs>
        <w:spacing w:line="360" w:lineRule="auto"/>
        <w:ind w:firstLine="411" w:firstLineChars="196"/>
        <w:rPr>
          <w:rFonts w:hint="eastAsia" w:hAnsi="宋体" w:cs="宋体"/>
          <w:color w:val="auto"/>
          <w:szCs w:val="21"/>
          <w:highlight w:val="none"/>
        </w:rPr>
      </w:pPr>
      <w:r>
        <w:rPr>
          <w:rFonts w:hint="eastAsia" w:hAnsi="宋体" w:cs="宋体"/>
          <w:color w:val="auto"/>
          <w:szCs w:val="21"/>
          <w:highlight w:val="none"/>
          <w:lang w:val="en-US" w:eastAsia="zh-CN"/>
        </w:rPr>
        <w:t>1、</w:t>
      </w:r>
      <w:r>
        <w:rPr>
          <w:rFonts w:hint="eastAsia" w:hAnsi="宋体" w:cs="宋体"/>
          <w:color w:val="auto"/>
          <w:szCs w:val="21"/>
          <w:highlight w:val="none"/>
        </w:rPr>
        <w:t>乙方所</w:t>
      </w:r>
      <w:r>
        <w:rPr>
          <w:rFonts w:hint="eastAsia" w:hAnsi="宋体" w:cs="宋体"/>
          <w:color w:val="auto"/>
          <w:szCs w:val="21"/>
          <w:highlight w:val="none"/>
          <w:lang w:eastAsia="zh-CN"/>
        </w:rPr>
        <w:t>提</w:t>
      </w:r>
      <w:r>
        <w:rPr>
          <w:rFonts w:hint="eastAsia" w:hAnsi="宋体" w:cs="宋体"/>
          <w:color w:val="auto"/>
          <w:szCs w:val="21"/>
          <w:highlight w:val="none"/>
        </w:rPr>
        <w:t>供</w:t>
      </w:r>
      <w:r>
        <w:rPr>
          <w:rFonts w:hint="eastAsia" w:hAnsi="宋体" w:cs="宋体"/>
          <w:color w:val="auto"/>
          <w:szCs w:val="21"/>
          <w:highlight w:val="none"/>
          <w:lang w:eastAsia="zh-CN"/>
        </w:rPr>
        <w:t>的服务</w:t>
      </w:r>
      <w:r>
        <w:rPr>
          <w:rFonts w:hint="eastAsia" w:hAnsi="宋体" w:cs="宋体"/>
          <w:color w:val="auto"/>
          <w:szCs w:val="21"/>
          <w:highlight w:val="none"/>
        </w:rPr>
        <w:t>保证技术指标符合要求、质量性能可靠、必须符合国家相关法律法规的要求。</w:t>
      </w:r>
    </w:p>
    <w:p w14:paraId="6D116912">
      <w:pPr>
        <w:tabs>
          <w:tab w:val="left" w:pos="480"/>
        </w:tabs>
        <w:spacing w:line="360" w:lineRule="auto"/>
        <w:ind w:firstLine="411" w:firstLineChars="196"/>
        <w:rPr>
          <w:rFonts w:hint="eastAsia" w:hAnsi="宋体" w:cs="宋体"/>
          <w:color w:val="auto"/>
          <w:szCs w:val="21"/>
          <w:highlight w:val="none"/>
        </w:rPr>
      </w:pPr>
      <w:r>
        <w:rPr>
          <w:rFonts w:hint="eastAsia" w:hAnsi="宋体" w:cs="宋体"/>
          <w:color w:val="auto"/>
          <w:szCs w:val="21"/>
          <w:highlight w:val="none"/>
        </w:rPr>
        <w:t>2、</w:t>
      </w:r>
      <w:r>
        <w:rPr>
          <w:rFonts w:hint="eastAsia" w:hAnsi="宋体" w:cs="宋体"/>
          <w:color w:val="auto"/>
          <w:szCs w:val="21"/>
          <w:highlight w:val="none"/>
          <w:lang w:eastAsia="zh-CN"/>
        </w:rPr>
        <w:t>成交</w:t>
      </w:r>
      <w:r>
        <w:rPr>
          <w:rFonts w:hint="eastAsia" w:hAnsi="宋体" w:cs="宋体"/>
          <w:color w:val="auto"/>
          <w:szCs w:val="21"/>
          <w:highlight w:val="none"/>
        </w:rPr>
        <w:t>单位应当保证</w:t>
      </w:r>
      <w:r>
        <w:rPr>
          <w:rFonts w:hint="eastAsia" w:hAnsi="宋体" w:cs="宋体"/>
          <w:color w:val="auto"/>
          <w:szCs w:val="21"/>
          <w:highlight w:val="none"/>
          <w:lang w:eastAsia="zh-CN"/>
        </w:rPr>
        <w:t>其具有完成本项目所要求</w:t>
      </w:r>
      <w:r>
        <w:rPr>
          <w:rFonts w:hint="eastAsia" w:hAnsi="宋体" w:cs="宋体"/>
          <w:color w:val="auto"/>
          <w:szCs w:val="21"/>
          <w:highlight w:val="none"/>
        </w:rPr>
        <w:t>的</w:t>
      </w:r>
      <w:r>
        <w:rPr>
          <w:rFonts w:hint="eastAsia" w:hAnsi="宋体" w:cs="宋体"/>
          <w:color w:val="auto"/>
          <w:szCs w:val="21"/>
          <w:highlight w:val="none"/>
          <w:lang w:eastAsia="zh-CN"/>
        </w:rPr>
        <w:t>服务</w:t>
      </w:r>
      <w:r>
        <w:rPr>
          <w:rFonts w:hint="eastAsia" w:hAnsi="宋体" w:cs="宋体"/>
          <w:color w:val="auto"/>
          <w:szCs w:val="21"/>
          <w:highlight w:val="none"/>
        </w:rPr>
        <w:t>所</w:t>
      </w:r>
      <w:r>
        <w:rPr>
          <w:rFonts w:hint="eastAsia" w:hAnsi="宋体" w:cs="宋体"/>
          <w:color w:val="auto"/>
          <w:szCs w:val="21"/>
          <w:highlight w:val="none"/>
          <w:lang w:eastAsia="zh-CN"/>
        </w:rPr>
        <w:t>必须具备的专业设备和服务能力</w:t>
      </w:r>
      <w:r>
        <w:rPr>
          <w:rFonts w:hint="eastAsia" w:hAnsi="宋体" w:cs="宋体"/>
          <w:color w:val="auto"/>
          <w:szCs w:val="21"/>
          <w:highlight w:val="none"/>
        </w:rPr>
        <w:t>。</w:t>
      </w:r>
    </w:p>
    <w:p w14:paraId="27815EC3">
      <w:pPr>
        <w:tabs>
          <w:tab w:val="left" w:pos="480"/>
        </w:tabs>
        <w:spacing w:line="360" w:lineRule="auto"/>
        <w:outlineLvl w:val="1"/>
        <w:rPr>
          <w:rFonts w:hint="eastAsia" w:hAnsi="宋体" w:cs="宋体"/>
          <w:b/>
          <w:color w:val="auto"/>
          <w:szCs w:val="21"/>
          <w:highlight w:val="none"/>
        </w:rPr>
      </w:pPr>
      <w:bookmarkStart w:id="113" w:name="_Toc12558"/>
      <w:bookmarkStart w:id="114" w:name="_Toc9903"/>
      <w:bookmarkStart w:id="115" w:name="_Toc21314"/>
      <w:r>
        <w:rPr>
          <w:rFonts w:hint="eastAsia" w:hAnsi="宋体" w:cs="宋体"/>
          <w:b/>
          <w:color w:val="auto"/>
          <w:szCs w:val="21"/>
          <w:highlight w:val="none"/>
          <w:lang w:eastAsia="zh-CN"/>
        </w:rPr>
        <w:t>六</w:t>
      </w:r>
      <w:r>
        <w:rPr>
          <w:rFonts w:hint="eastAsia" w:hAnsi="宋体" w:cs="宋体"/>
          <w:b/>
          <w:color w:val="auto"/>
          <w:szCs w:val="21"/>
          <w:highlight w:val="none"/>
        </w:rPr>
        <w:t>、技术与服务</w:t>
      </w:r>
      <w:bookmarkEnd w:id="113"/>
      <w:bookmarkEnd w:id="114"/>
      <w:bookmarkEnd w:id="115"/>
    </w:p>
    <w:p w14:paraId="245D6FF9">
      <w:pPr>
        <w:tabs>
          <w:tab w:val="left" w:pos="4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（一）技术资料：</w:t>
      </w:r>
    </w:p>
    <w:p w14:paraId="1EAB74D7">
      <w:pPr>
        <w:tabs>
          <w:tab w:val="left" w:pos="4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技术资料：</w:t>
      </w:r>
    </w:p>
    <w:p w14:paraId="49F967AF">
      <w:pPr>
        <w:tabs>
          <w:tab w:val="left" w:pos="4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lang w:eastAsia="zh-CN"/>
        </w:rPr>
        <w:t>成交供应商</w:t>
      </w:r>
      <w:r>
        <w:rPr>
          <w:rFonts w:hint="eastAsia" w:hAnsi="宋体" w:cs="宋体"/>
          <w:color w:val="auto"/>
          <w:szCs w:val="21"/>
          <w:highlight w:val="none"/>
        </w:rPr>
        <w:t>应随同</w:t>
      </w:r>
      <w:r>
        <w:rPr>
          <w:rFonts w:hint="eastAsia" w:hAnsi="宋体" w:cs="宋体"/>
          <w:color w:val="auto"/>
          <w:szCs w:val="21"/>
          <w:highlight w:val="none"/>
          <w:lang w:eastAsia="zh-CN"/>
        </w:rPr>
        <w:t>服务</w:t>
      </w:r>
      <w:r>
        <w:rPr>
          <w:rFonts w:hint="eastAsia" w:hAnsi="宋体" w:cs="宋体"/>
          <w:color w:val="auto"/>
          <w:szCs w:val="21"/>
          <w:highlight w:val="none"/>
        </w:rPr>
        <w:t>提供相应的中文</w:t>
      </w:r>
      <w:r>
        <w:rPr>
          <w:rFonts w:hint="eastAsia" w:hAnsi="宋体" w:cs="宋体"/>
          <w:color w:val="auto"/>
          <w:szCs w:val="21"/>
          <w:highlight w:val="none"/>
          <w:lang w:val="en-US" w:eastAsia="zh-CN"/>
        </w:rPr>
        <w:t>成果</w:t>
      </w:r>
      <w:r>
        <w:rPr>
          <w:rFonts w:hint="eastAsia" w:hAnsi="宋体" w:cs="宋体"/>
          <w:color w:val="auto"/>
          <w:szCs w:val="21"/>
          <w:highlight w:val="none"/>
        </w:rPr>
        <w:t>技术文件</w:t>
      </w:r>
      <w:r>
        <w:rPr>
          <w:rFonts w:hint="eastAsia" w:hAnsi="宋体" w:cs="宋体"/>
          <w:color w:val="auto"/>
          <w:szCs w:val="21"/>
          <w:highlight w:val="none"/>
          <w:lang w:eastAsia="zh-CN"/>
        </w:rPr>
        <w:t>，</w:t>
      </w:r>
      <w:r>
        <w:rPr>
          <w:rFonts w:hint="eastAsia" w:hAnsi="宋体" w:cs="宋体"/>
          <w:color w:val="auto"/>
          <w:szCs w:val="21"/>
          <w:highlight w:val="none"/>
          <w:lang w:val="en-US" w:eastAsia="zh-CN"/>
        </w:rPr>
        <w:t>成果文件需要以纸质文件及电子版的形式移交给甲方，纸质成果文件需要移交10份</w:t>
      </w:r>
      <w:r>
        <w:rPr>
          <w:rFonts w:hint="eastAsia" w:hAnsi="宋体" w:cs="宋体"/>
          <w:color w:val="auto"/>
          <w:szCs w:val="21"/>
          <w:highlight w:val="none"/>
        </w:rPr>
        <w:t>。</w:t>
      </w:r>
    </w:p>
    <w:p w14:paraId="5757E57C">
      <w:pPr>
        <w:tabs>
          <w:tab w:val="left" w:pos="480"/>
        </w:tabs>
        <w:spacing w:line="360" w:lineRule="auto"/>
        <w:ind w:firstLine="420" w:firstLineChars="200"/>
        <w:rPr>
          <w:rFonts w:hint="eastAsia"/>
          <w:color w:val="auto"/>
          <w:highlight w:val="none"/>
        </w:rPr>
      </w:pPr>
      <w:r>
        <w:rPr>
          <w:rFonts w:hint="eastAsia" w:hAnsi="宋体" w:cs="宋体"/>
          <w:color w:val="auto"/>
          <w:szCs w:val="21"/>
          <w:highlight w:val="none"/>
        </w:rPr>
        <w:t>（二）服务承诺：以</w:t>
      </w:r>
      <w:r>
        <w:rPr>
          <w:rFonts w:hint="eastAsia" w:hAnsi="宋体" w:cs="宋体"/>
          <w:color w:val="auto"/>
          <w:szCs w:val="21"/>
          <w:highlight w:val="none"/>
          <w:lang w:eastAsia="zh-CN"/>
        </w:rPr>
        <w:t>投标文件</w:t>
      </w:r>
      <w:r>
        <w:rPr>
          <w:rFonts w:hint="eastAsia" w:hAnsi="宋体" w:cs="宋体"/>
          <w:color w:val="auto"/>
          <w:szCs w:val="21"/>
          <w:highlight w:val="none"/>
        </w:rPr>
        <w:t>、澄清表（函）、合同和相关文件为准。</w:t>
      </w:r>
    </w:p>
    <w:p w14:paraId="529390E9">
      <w:pPr>
        <w:tabs>
          <w:tab w:val="left" w:pos="480"/>
        </w:tabs>
        <w:spacing w:line="360" w:lineRule="auto"/>
        <w:outlineLvl w:val="1"/>
        <w:rPr>
          <w:rFonts w:hint="eastAsia" w:hAnsi="宋体" w:cs="宋体"/>
          <w:b/>
          <w:color w:val="auto"/>
          <w:szCs w:val="21"/>
          <w:highlight w:val="none"/>
        </w:rPr>
      </w:pPr>
      <w:bookmarkStart w:id="116" w:name="_Toc22161"/>
      <w:bookmarkStart w:id="117" w:name="_Toc14409"/>
      <w:bookmarkStart w:id="118" w:name="_Toc12975"/>
      <w:r>
        <w:rPr>
          <w:rFonts w:hint="eastAsia" w:hAnsi="宋体" w:cs="宋体"/>
          <w:b/>
          <w:color w:val="auto"/>
          <w:szCs w:val="21"/>
          <w:highlight w:val="none"/>
          <w:lang w:eastAsia="zh-CN"/>
        </w:rPr>
        <w:t>七</w:t>
      </w:r>
      <w:r>
        <w:rPr>
          <w:rFonts w:hint="eastAsia" w:hAnsi="宋体" w:cs="宋体"/>
          <w:b/>
          <w:color w:val="auto"/>
          <w:szCs w:val="21"/>
          <w:highlight w:val="none"/>
        </w:rPr>
        <w:t>、验收</w:t>
      </w:r>
      <w:bookmarkEnd w:id="116"/>
      <w:bookmarkEnd w:id="117"/>
      <w:bookmarkEnd w:id="118"/>
    </w:p>
    <w:p w14:paraId="3E49CCC5">
      <w:pPr>
        <w:spacing w:line="360" w:lineRule="auto"/>
        <w:ind w:firstLine="420" w:firstLineChars="200"/>
        <w:rPr>
          <w:rFonts w:hint="eastAsia" w:eastAsia="宋体"/>
          <w:color w:val="auto"/>
          <w:highlight w:val="none"/>
          <w:lang w:eastAsia="zh-CN"/>
        </w:rPr>
      </w:pPr>
      <w:r>
        <w:rPr>
          <w:rFonts w:hint="eastAsia" w:eastAsia="宋体"/>
          <w:color w:val="auto"/>
          <w:highlight w:val="none"/>
          <w:lang w:eastAsia="zh-CN"/>
        </w:rPr>
        <w:t>1、所验服务最终验收达不到招标文件要求和投标文件承诺及国家或行业标准的，或在使用中发现甲方不能容忍的缺陷等，将视为验收不合格，乙方应在甲方要求的时间内无条件完善或要求赔付甲方损失。</w:t>
      </w:r>
    </w:p>
    <w:p w14:paraId="6FE07063">
      <w:pPr>
        <w:spacing w:line="360" w:lineRule="auto"/>
        <w:ind w:firstLine="420" w:firstLineChars="200"/>
        <w:rPr>
          <w:rFonts w:hint="eastAsia" w:eastAsia="宋体"/>
          <w:color w:val="auto"/>
          <w:highlight w:val="none"/>
          <w:lang w:eastAsia="zh-CN"/>
        </w:rPr>
      </w:pPr>
      <w:r>
        <w:rPr>
          <w:rFonts w:hint="eastAsia" w:eastAsia="宋体"/>
          <w:color w:val="auto"/>
          <w:highlight w:val="none"/>
          <w:lang w:eastAsia="zh-CN"/>
        </w:rPr>
        <w:t>2、若发现乙方有弄虚作假的，及在项目实施阶段故意或随意夸大服务，本合同解除，乙方赔偿甲方相应的损失。</w:t>
      </w:r>
    </w:p>
    <w:p w14:paraId="71362E06">
      <w:pPr>
        <w:spacing w:line="360" w:lineRule="auto"/>
        <w:ind w:firstLine="420" w:firstLineChars="200"/>
        <w:rPr>
          <w:rFonts w:hint="eastAsia" w:eastAsia="宋体"/>
          <w:color w:val="auto"/>
          <w:highlight w:val="none"/>
          <w:lang w:eastAsia="zh-CN"/>
        </w:rPr>
      </w:pPr>
      <w:r>
        <w:rPr>
          <w:rFonts w:hint="eastAsia" w:eastAsia="宋体"/>
          <w:color w:val="auto"/>
          <w:highlight w:val="none"/>
          <w:lang w:eastAsia="zh-CN"/>
        </w:rPr>
        <w:t>3、验收标准：按招标文件、投标文件及磋商记录表等技术指标进行逐项验收。各项指标均应符合验收标准及要求。</w:t>
      </w:r>
    </w:p>
    <w:p w14:paraId="6068ADF4">
      <w:pPr>
        <w:tabs>
          <w:tab w:val="left" w:pos="480"/>
        </w:tabs>
        <w:spacing w:line="360" w:lineRule="auto"/>
        <w:outlineLvl w:val="1"/>
        <w:rPr>
          <w:rFonts w:hint="eastAsia" w:hAnsi="宋体" w:cs="宋体"/>
          <w:b/>
          <w:color w:val="auto"/>
          <w:szCs w:val="21"/>
          <w:highlight w:val="none"/>
        </w:rPr>
      </w:pPr>
      <w:bookmarkStart w:id="119" w:name="_Toc20026"/>
      <w:bookmarkStart w:id="120" w:name="_Toc30681"/>
      <w:bookmarkStart w:id="121" w:name="_Toc9858"/>
      <w:r>
        <w:rPr>
          <w:rFonts w:hint="eastAsia" w:hAnsi="宋体" w:cs="宋体"/>
          <w:b/>
          <w:color w:val="auto"/>
          <w:szCs w:val="21"/>
          <w:highlight w:val="none"/>
          <w:lang w:eastAsia="zh-CN"/>
        </w:rPr>
        <w:t>八</w:t>
      </w:r>
      <w:r>
        <w:rPr>
          <w:rFonts w:hint="eastAsia" w:hAnsi="宋体" w:cs="宋体"/>
          <w:b/>
          <w:color w:val="auto"/>
          <w:szCs w:val="21"/>
          <w:highlight w:val="none"/>
        </w:rPr>
        <w:t>、违约责任</w:t>
      </w:r>
      <w:bookmarkEnd w:id="119"/>
      <w:bookmarkEnd w:id="120"/>
      <w:bookmarkEnd w:id="121"/>
    </w:p>
    <w:p w14:paraId="7477F7A3">
      <w:pPr>
        <w:tabs>
          <w:tab w:val="left" w:pos="4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1、按《</w:t>
      </w:r>
      <w:r>
        <w:rPr>
          <w:rFonts w:hint="eastAsia" w:hAnsi="宋体" w:cs="宋体"/>
          <w:color w:val="auto"/>
          <w:szCs w:val="21"/>
          <w:highlight w:val="none"/>
          <w:lang w:eastAsia="zh-CN"/>
        </w:rPr>
        <w:t>中华人民共和国民法典</w:t>
      </w:r>
      <w:r>
        <w:rPr>
          <w:rFonts w:hint="eastAsia" w:hAnsi="宋体" w:cs="宋体"/>
          <w:color w:val="auto"/>
          <w:szCs w:val="21"/>
          <w:highlight w:val="none"/>
        </w:rPr>
        <w:t>》中的相关条款执行。</w:t>
      </w:r>
    </w:p>
    <w:p w14:paraId="0E410074">
      <w:pPr>
        <w:tabs>
          <w:tab w:val="left" w:pos="4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hAnsi="宋体" w:cs="宋体"/>
          <w:color w:val="auto"/>
          <w:szCs w:val="21"/>
          <w:highlight w:val="none"/>
          <w:lang w:eastAsia="zh-CN"/>
        </w:rPr>
        <w:t>中华人民共和国民法典</w:t>
      </w:r>
      <w:r>
        <w:rPr>
          <w:rFonts w:hint="eastAsia" w:hAnsi="宋体" w:cs="宋体"/>
          <w:color w:val="auto"/>
          <w:szCs w:val="21"/>
          <w:highlight w:val="none"/>
        </w:rPr>
        <w:t>》有关条款及合同约定终止合同，并要求服务商承担违约责任。同时，政府采购监管部门有权依据《中华人民共和国政府采购法》及相关法律法规对服务商的违法行为进行相应的处罚。</w:t>
      </w:r>
    </w:p>
    <w:p w14:paraId="274E6946">
      <w:pPr>
        <w:tabs>
          <w:tab w:val="left" w:pos="480"/>
        </w:tabs>
        <w:spacing w:line="360" w:lineRule="auto"/>
        <w:outlineLvl w:val="1"/>
        <w:rPr>
          <w:rFonts w:hint="eastAsia" w:hAnsi="宋体" w:cs="宋体"/>
          <w:b/>
          <w:color w:val="auto"/>
          <w:szCs w:val="21"/>
          <w:highlight w:val="none"/>
        </w:rPr>
      </w:pPr>
      <w:bookmarkStart w:id="122" w:name="_Toc27523"/>
      <w:bookmarkStart w:id="123" w:name="_Toc15856"/>
      <w:bookmarkStart w:id="124" w:name="_Toc13662"/>
      <w:r>
        <w:rPr>
          <w:rFonts w:hint="eastAsia" w:hAnsi="宋体" w:cs="宋体"/>
          <w:b/>
          <w:color w:val="auto"/>
          <w:szCs w:val="21"/>
          <w:highlight w:val="none"/>
          <w:lang w:eastAsia="zh-CN"/>
        </w:rPr>
        <w:t>九</w:t>
      </w:r>
      <w:r>
        <w:rPr>
          <w:rFonts w:hint="eastAsia" w:hAnsi="宋体" w:cs="宋体"/>
          <w:b/>
          <w:color w:val="auto"/>
          <w:szCs w:val="21"/>
          <w:highlight w:val="none"/>
        </w:rPr>
        <w:t>、合同争议解决的方式</w:t>
      </w:r>
      <w:bookmarkEnd w:id="122"/>
      <w:bookmarkEnd w:id="123"/>
      <w:bookmarkEnd w:id="124"/>
    </w:p>
    <w:p w14:paraId="037F25E6">
      <w:pPr>
        <w:tabs>
          <w:tab w:val="left" w:pos="4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本合同在履行过程中发生的争议，由甲、乙双方当事人协商解决，协商不成的按下列第</w:t>
      </w:r>
      <w:r>
        <w:rPr>
          <w:rFonts w:hint="eastAsia" w:hAnsi="宋体" w:cs="宋体"/>
          <w:color w:val="auto"/>
          <w:szCs w:val="21"/>
          <w:highlight w:val="none"/>
          <w:u w:val="single"/>
        </w:rPr>
        <w:t xml:space="preserve">    </w:t>
      </w:r>
      <w:r>
        <w:rPr>
          <w:rFonts w:hint="eastAsia" w:hAnsi="宋体" w:cs="宋体"/>
          <w:color w:val="auto"/>
          <w:szCs w:val="21"/>
          <w:highlight w:val="none"/>
        </w:rPr>
        <w:t>种方式解决：</w:t>
      </w:r>
    </w:p>
    <w:p w14:paraId="48CD148D">
      <w:pPr>
        <w:tabs>
          <w:tab w:val="left" w:pos="4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（一）提交</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r>
        <w:rPr>
          <w:rFonts w:hint="eastAsia" w:hAnsi="宋体" w:cs="宋体"/>
          <w:color w:val="auto"/>
          <w:szCs w:val="21"/>
          <w:highlight w:val="none"/>
        </w:rPr>
        <w:t>仲裁委员会仲裁；</w:t>
      </w:r>
    </w:p>
    <w:p w14:paraId="531C8506">
      <w:pPr>
        <w:tabs>
          <w:tab w:val="left" w:pos="4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 xml:space="preserve">（二）依法向 </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r>
        <w:rPr>
          <w:rFonts w:hint="eastAsia" w:hAnsi="宋体" w:cs="宋体"/>
          <w:color w:val="auto"/>
          <w:szCs w:val="21"/>
          <w:highlight w:val="none"/>
        </w:rPr>
        <w:t>所在地人民法院起诉。</w:t>
      </w:r>
    </w:p>
    <w:p w14:paraId="1194C8AC">
      <w:pPr>
        <w:tabs>
          <w:tab w:val="left" w:pos="480"/>
        </w:tabs>
        <w:spacing w:line="360" w:lineRule="auto"/>
        <w:outlineLvl w:val="1"/>
        <w:rPr>
          <w:rFonts w:hint="eastAsia" w:hAnsi="宋体" w:cs="宋体"/>
          <w:b/>
          <w:color w:val="auto"/>
          <w:szCs w:val="21"/>
          <w:highlight w:val="none"/>
        </w:rPr>
      </w:pPr>
      <w:bookmarkStart w:id="125" w:name="_Toc7342"/>
      <w:bookmarkStart w:id="126" w:name="_Toc18389"/>
      <w:bookmarkStart w:id="127" w:name="_Toc2858"/>
      <w:r>
        <w:rPr>
          <w:rFonts w:hint="eastAsia" w:hAnsi="宋体" w:cs="宋体"/>
          <w:b/>
          <w:color w:val="auto"/>
          <w:szCs w:val="21"/>
          <w:highlight w:val="none"/>
        </w:rPr>
        <w:t>十、合同生效</w:t>
      </w:r>
      <w:bookmarkEnd w:id="125"/>
      <w:bookmarkEnd w:id="126"/>
      <w:bookmarkEnd w:id="127"/>
    </w:p>
    <w:p w14:paraId="4117E762">
      <w:pPr>
        <w:tabs>
          <w:tab w:val="left" w:pos="4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本合同一式</w:t>
      </w:r>
      <w:r>
        <w:rPr>
          <w:rFonts w:hint="eastAsia" w:hAnsi="宋体" w:cs="宋体"/>
          <w:color w:val="auto"/>
          <w:szCs w:val="21"/>
          <w:highlight w:val="none"/>
          <w:u w:val="single"/>
        </w:rPr>
        <w:t xml:space="preserve">   </w:t>
      </w:r>
      <w:r>
        <w:rPr>
          <w:rFonts w:hint="eastAsia" w:hAnsi="宋体" w:cs="宋体"/>
          <w:color w:val="auto"/>
          <w:szCs w:val="21"/>
          <w:highlight w:val="none"/>
        </w:rPr>
        <w:t>份，甲方执</w:t>
      </w:r>
      <w:r>
        <w:rPr>
          <w:rFonts w:hint="eastAsia" w:hAnsi="宋体" w:cs="宋体"/>
          <w:color w:val="auto"/>
          <w:szCs w:val="21"/>
          <w:highlight w:val="none"/>
          <w:u w:val="single"/>
        </w:rPr>
        <w:t xml:space="preserve">   </w:t>
      </w:r>
      <w:r>
        <w:rPr>
          <w:rFonts w:hint="eastAsia" w:hAnsi="宋体" w:cs="宋体"/>
          <w:color w:val="auto"/>
          <w:szCs w:val="21"/>
          <w:highlight w:val="none"/>
        </w:rPr>
        <w:t>份，乙方执</w:t>
      </w:r>
      <w:r>
        <w:rPr>
          <w:rFonts w:hint="eastAsia" w:hAnsi="宋体" w:cs="宋体"/>
          <w:color w:val="auto"/>
          <w:szCs w:val="21"/>
          <w:highlight w:val="none"/>
          <w:u w:val="single"/>
        </w:rPr>
        <w:t xml:space="preserve">    </w:t>
      </w:r>
      <w:r>
        <w:rPr>
          <w:rFonts w:hint="eastAsia" w:hAnsi="宋体" w:cs="宋体"/>
          <w:color w:val="auto"/>
          <w:szCs w:val="21"/>
          <w:highlight w:val="none"/>
        </w:rPr>
        <w:t>份，本合同甲、乙、确认各方签字盖章后生效，合同执行完毕后，自动失效（合同的服务承诺则长期有效）。</w:t>
      </w:r>
    </w:p>
    <w:p w14:paraId="77FB3C1C">
      <w:pPr>
        <w:tabs>
          <w:tab w:val="left" w:pos="480"/>
        </w:tabs>
        <w:spacing w:line="360" w:lineRule="auto"/>
        <w:outlineLvl w:val="1"/>
        <w:rPr>
          <w:rFonts w:hint="eastAsia" w:hAnsi="宋体" w:cs="宋体"/>
          <w:b/>
          <w:color w:val="auto"/>
          <w:szCs w:val="21"/>
          <w:highlight w:val="none"/>
        </w:rPr>
      </w:pPr>
      <w:bookmarkStart w:id="128" w:name="_Toc823"/>
      <w:bookmarkStart w:id="129" w:name="_Toc18381"/>
      <w:bookmarkStart w:id="130" w:name="_Toc18225"/>
      <w:r>
        <w:rPr>
          <w:rFonts w:hint="eastAsia" w:hAnsi="宋体" w:cs="宋体"/>
          <w:b/>
          <w:color w:val="auto"/>
          <w:szCs w:val="21"/>
          <w:highlight w:val="none"/>
        </w:rPr>
        <w:t>十</w:t>
      </w:r>
      <w:r>
        <w:rPr>
          <w:rFonts w:hint="eastAsia" w:hAnsi="宋体" w:cs="宋体"/>
          <w:b/>
          <w:color w:val="auto"/>
          <w:szCs w:val="21"/>
          <w:highlight w:val="none"/>
          <w:lang w:eastAsia="zh-CN"/>
        </w:rPr>
        <w:t>一</w:t>
      </w:r>
      <w:r>
        <w:rPr>
          <w:rFonts w:hint="eastAsia" w:hAnsi="宋体" w:cs="宋体"/>
          <w:b/>
          <w:color w:val="auto"/>
          <w:szCs w:val="21"/>
          <w:highlight w:val="none"/>
        </w:rPr>
        <w:t>、其他事项</w:t>
      </w:r>
      <w:bookmarkEnd w:id="128"/>
      <w:bookmarkEnd w:id="129"/>
      <w:bookmarkEnd w:id="130"/>
    </w:p>
    <w:p w14:paraId="13AE72FC">
      <w:pPr>
        <w:tabs>
          <w:tab w:val="left" w:pos="4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（一）</w:t>
      </w:r>
      <w:r>
        <w:rPr>
          <w:rFonts w:hint="eastAsia" w:hAnsi="宋体" w:cs="宋体"/>
          <w:color w:val="auto"/>
          <w:szCs w:val="21"/>
          <w:highlight w:val="none"/>
          <w:lang w:eastAsia="zh-CN"/>
        </w:rPr>
        <w:t>招标文件</w:t>
      </w:r>
      <w:r>
        <w:rPr>
          <w:rFonts w:hint="eastAsia" w:hAnsi="宋体" w:cs="宋体"/>
          <w:color w:val="auto"/>
          <w:szCs w:val="21"/>
          <w:highlight w:val="none"/>
        </w:rPr>
        <w:t>、</w:t>
      </w:r>
      <w:r>
        <w:rPr>
          <w:rFonts w:hint="eastAsia" w:hAnsi="宋体" w:cs="宋体"/>
          <w:color w:val="auto"/>
          <w:szCs w:val="21"/>
          <w:highlight w:val="none"/>
          <w:lang w:eastAsia="zh-CN"/>
        </w:rPr>
        <w:t>投标文件</w:t>
      </w:r>
      <w:r>
        <w:rPr>
          <w:rFonts w:hint="eastAsia" w:hAnsi="宋体" w:cs="宋体"/>
          <w:color w:val="auto"/>
          <w:szCs w:val="21"/>
          <w:highlight w:val="none"/>
        </w:rPr>
        <w:t>、澄清表（函）、</w:t>
      </w:r>
      <w:r>
        <w:rPr>
          <w:rFonts w:hint="eastAsia" w:hAnsi="宋体" w:cs="宋体"/>
          <w:color w:val="auto"/>
          <w:szCs w:val="21"/>
          <w:highlight w:val="none"/>
          <w:lang w:val="en-US" w:eastAsia="zh-CN"/>
        </w:rPr>
        <w:t>中标</w:t>
      </w:r>
      <w:r>
        <w:rPr>
          <w:rFonts w:hint="eastAsia" w:hAnsi="宋体" w:cs="宋体"/>
          <w:color w:val="auto"/>
          <w:szCs w:val="21"/>
          <w:highlight w:val="none"/>
        </w:rPr>
        <w:t>通知书、合同附件均成为合同不可分割的部分。</w:t>
      </w:r>
    </w:p>
    <w:p w14:paraId="24E1B156">
      <w:pPr>
        <w:tabs>
          <w:tab w:val="left" w:pos="4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（二）合同未尽事宜，由甲、乙双方协商，作为合同补充，与原合同具有同等法律效力。</w:t>
      </w:r>
    </w:p>
    <w:p w14:paraId="67DBD68B">
      <w:pPr>
        <w:tabs>
          <w:tab w:val="left" w:pos="4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（三）合同一经签订，不得擅自变更、中止或终止合同。但若与甲方的上级管理机关的政策性行为或其他规定发生冲突，甲方有权与乙方协商调整协议内容或终止协议执行。</w:t>
      </w:r>
    </w:p>
    <w:p w14:paraId="3FE9B050">
      <w:pPr>
        <w:spacing w:line="360" w:lineRule="auto"/>
        <w:ind w:firstLine="420"/>
        <w:rPr>
          <w:color w:val="auto"/>
          <w:szCs w:val="24"/>
          <w:highlight w:val="none"/>
        </w:rPr>
      </w:pPr>
      <w:r>
        <w:rPr>
          <w:rFonts w:hint="eastAsia" w:hAnsi="宋体"/>
          <w:color w:val="auto"/>
          <w:szCs w:val="24"/>
          <w:highlight w:val="none"/>
        </w:rPr>
        <w:t>（四）执行本合同过程中发生争议，由当事人双方协商解决。协商不成，可向采购方所在地人民法院提起诉讼。</w:t>
      </w:r>
    </w:p>
    <w:p w14:paraId="5D14C918">
      <w:pPr>
        <w:spacing w:line="360" w:lineRule="auto"/>
        <w:ind w:firstLine="420"/>
        <w:rPr>
          <w:color w:val="auto"/>
          <w:szCs w:val="24"/>
          <w:highlight w:val="none"/>
        </w:rPr>
      </w:pPr>
      <w:r>
        <w:rPr>
          <w:rFonts w:hint="eastAsia" w:hAnsi="宋体"/>
          <w:color w:val="auto"/>
          <w:szCs w:val="24"/>
          <w:highlight w:val="none"/>
        </w:rPr>
        <w:t>（</w:t>
      </w:r>
      <w:r>
        <w:rPr>
          <w:rFonts w:hint="eastAsia" w:hAnsi="宋体"/>
          <w:color w:val="auto"/>
          <w:szCs w:val="24"/>
          <w:highlight w:val="none"/>
          <w:lang w:val="en-US" w:eastAsia="zh-CN"/>
        </w:rPr>
        <w:t>五</w:t>
      </w:r>
      <w:r>
        <w:rPr>
          <w:rFonts w:hint="eastAsia" w:hAnsi="宋体"/>
          <w:color w:val="auto"/>
          <w:szCs w:val="24"/>
          <w:highlight w:val="none"/>
        </w:rPr>
        <w:t>）如因不可抗力致使双方不能履行本合同中的部分或全部义务时，双方均不负违约责任。但不能履行义务一方应在合理的时间内，向对方报告所发生的不可抗力并提供有关部门的证明文件。本条所称“不可抗力”是指自然灾害、重大疫情、恶劣天气条件、政府行为、社会异常事件（包括罢工、政变、骚乱、游行等）或新颁布的法律、法规等不能预见、不能避免并不能克服的客观情况。</w:t>
      </w:r>
    </w:p>
    <w:p w14:paraId="58570842">
      <w:pPr>
        <w:tabs>
          <w:tab w:val="left" w:pos="4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w:t>
      </w:r>
      <w:r>
        <w:rPr>
          <w:rFonts w:hint="eastAsia" w:hAnsi="宋体"/>
          <w:color w:val="auto"/>
          <w:szCs w:val="24"/>
          <w:highlight w:val="none"/>
        </w:rPr>
        <w:t>六</w:t>
      </w:r>
      <w:r>
        <w:rPr>
          <w:rFonts w:hint="eastAsia" w:hAnsi="宋体" w:cs="宋体"/>
          <w:color w:val="auto"/>
          <w:szCs w:val="21"/>
          <w:highlight w:val="none"/>
        </w:rPr>
        <w:t>）本合同按照中华人民共和国的现行法律进行解释。</w:t>
      </w:r>
    </w:p>
    <w:p w14:paraId="7AFB6870">
      <w:pPr>
        <w:tabs>
          <w:tab w:val="left" w:pos="4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甲  方</w:t>
      </w:r>
      <w:r>
        <w:rPr>
          <w:rFonts w:hint="eastAsia" w:hAnsi="宋体" w:cs="宋体"/>
          <w:color w:val="auto"/>
          <w:szCs w:val="21"/>
          <w:highlight w:val="none"/>
          <w:lang w:eastAsia="zh-CN"/>
        </w:rPr>
        <w:t>：</w:t>
      </w:r>
      <w:r>
        <w:rPr>
          <w:rFonts w:hint="eastAsia" w:hAnsi="宋体" w:cs="宋体"/>
          <w:color w:val="auto"/>
          <w:szCs w:val="21"/>
          <w:highlight w:val="none"/>
        </w:rPr>
        <w:t>（盖章）                          乙  方</w:t>
      </w:r>
      <w:r>
        <w:rPr>
          <w:rFonts w:hint="eastAsia" w:hAnsi="宋体" w:cs="宋体"/>
          <w:color w:val="auto"/>
          <w:szCs w:val="21"/>
          <w:highlight w:val="none"/>
          <w:lang w:eastAsia="zh-CN"/>
        </w:rPr>
        <w:t>：</w:t>
      </w:r>
      <w:r>
        <w:rPr>
          <w:rFonts w:hint="eastAsia" w:hAnsi="宋体" w:cs="宋体"/>
          <w:color w:val="auto"/>
          <w:szCs w:val="21"/>
          <w:highlight w:val="none"/>
        </w:rPr>
        <w:t>（盖章）</w:t>
      </w:r>
    </w:p>
    <w:p w14:paraId="0921604B">
      <w:pPr>
        <w:tabs>
          <w:tab w:val="left" w:pos="4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单位名称：                                单位名称：</w:t>
      </w:r>
    </w:p>
    <w:p w14:paraId="37C7A6EF">
      <w:pPr>
        <w:tabs>
          <w:tab w:val="left" w:pos="480"/>
        </w:tabs>
        <w:spacing w:line="360" w:lineRule="auto"/>
        <w:ind w:left="5880" w:leftChars="200" w:hanging="5460" w:hangingChars="2600"/>
        <w:rPr>
          <w:rFonts w:hint="eastAsia" w:hAnsi="宋体" w:cs="宋体"/>
          <w:color w:val="auto"/>
          <w:szCs w:val="21"/>
          <w:highlight w:val="none"/>
        </w:rPr>
      </w:pPr>
      <w:r>
        <w:rPr>
          <w:rFonts w:hint="eastAsia" w:hAnsi="宋体" w:cs="宋体"/>
          <w:color w:val="auto"/>
          <w:szCs w:val="21"/>
          <w:highlight w:val="none"/>
        </w:rPr>
        <w:t>地  址：                                  地  址：</w:t>
      </w:r>
    </w:p>
    <w:p w14:paraId="2D4802F8">
      <w:pPr>
        <w:tabs>
          <w:tab w:val="left" w:pos="4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法定代表人                                法定代表人</w:t>
      </w:r>
    </w:p>
    <w:p w14:paraId="0E4F3FFE">
      <w:pPr>
        <w:tabs>
          <w:tab w:val="left" w:pos="4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或委托代理人：                            或委托代理人：</w:t>
      </w:r>
    </w:p>
    <w:p w14:paraId="16F22C89">
      <w:pPr>
        <w:tabs>
          <w:tab w:val="left" w:pos="4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 xml:space="preserve">                                          开户银行：</w:t>
      </w:r>
    </w:p>
    <w:p w14:paraId="491AF3BC">
      <w:pPr>
        <w:tabs>
          <w:tab w:val="left" w:pos="480"/>
        </w:tabs>
        <w:spacing w:line="360" w:lineRule="auto"/>
        <w:ind w:firstLine="4830" w:firstLineChars="2300"/>
        <w:rPr>
          <w:rFonts w:hint="eastAsia" w:hAnsi="宋体" w:cs="宋体"/>
          <w:color w:val="auto"/>
          <w:szCs w:val="21"/>
          <w:highlight w:val="none"/>
        </w:rPr>
      </w:pPr>
      <w:r>
        <w:rPr>
          <w:rFonts w:hint="eastAsia" w:hAnsi="宋体" w:cs="宋体"/>
          <w:color w:val="auto"/>
          <w:szCs w:val="21"/>
          <w:highlight w:val="none"/>
        </w:rPr>
        <w:t xml:space="preserve">账  号：       </w:t>
      </w:r>
    </w:p>
    <w:p w14:paraId="730675F4">
      <w:pPr>
        <w:tabs>
          <w:tab w:val="left" w:pos="4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联系电话：                                联系电话：</w:t>
      </w:r>
    </w:p>
    <w:p w14:paraId="5178276C">
      <w:pPr>
        <w:widowControl/>
        <w:spacing w:line="360" w:lineRule="auto"/>
        <w:ind w:firstLine="420" w:firstLineChars="200"/>
        <w:rPr>
          <w:rFonts w:hAnsi="宋体"/>
          <w:szCs w:val="24"/>
          <w:highlight w:val="none"/>
        </w:rPr>
      </w:pPr>
      <w:r>
        <w:rPr>
          <w:rFonts w:hint="eastAsia" w:hAnsi="宋体" w:cs="宋体"/>
          <w:color w:val="auto"/>
          <w:szCs w:val="21"/>
          <w:highlight w:val="none"/>
        </w:rPr>
        <w:t>签订日期：     年    月      日           签订日期：     年    月   日</w:t>
      </w:r>
    </w:p>
    <w:p w14:paraId="70F44539">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br w:type="page"/>
      </w:r>
    </w:p>
    <w:bookmarkEnd w:id="84"/>
    <w:bookmarkEnd w:id="85"/>
    <w:bookmarkEnd w:id="86"/>
    <w:bookmarkEnd w:id="87"/>
    <w:bookmarkEnd w:id="88"/>
    <w:bookmarkEnd w:id="89"/>
    <w:bookmarkEnd w:id="90"/>
    <w:bookmarkEnd w:id="91"/>
    <w:p w14:paraId="21BCC3AD">
      <w:pPr>
        <w:pStyle w:val="4"/>
        <w:numPr>
          <w:ilvl w:val="0"/>
          <w:numId w:val="2"/>
        </w:numPr>
        <w:spacing w:line="360" w:lineRule="auto"/>
        <w:jc w:val="center"/>
        <w:rPr>
          <w:rFonts w:hint="eastAsia" w:asciiTheme="minorEastAsia" w:hAnsiTheme="minorEastAsia" w:eastAsiaTheme="minorEastAsia" w:cstheme="minorEastAsia"/>
          <w:sz w:val="36"/>
          <w:szCs w:val="36"/>
          <w:highlight w:val="none"/>
        </w:rPr>
      </w:pPr>
      <w:bookmarkStart w:id="131" w:name="_Toc421778381"/>
      <w:bookmarkStart w:id="132" w:name="_Toc410"/>
      <w:bookmarkStart w:id="133" w:name="_Toc27836"/>
      <w:bookmarkStart w:id="134" w:name="_Toc344572156"/>
      <w:r>
        <w:rPr>
          <w:rFonts w:hint="eastAsia" w:asciiTheme="minorEastAsia" w:hAnsiTheme="minorEastAsia" w:eastAsiaTheme="minorEastAsia" w:cstheme="minorEastAsia"/>
          <w:sz w:val="36"/>
          <w:szCs w:val="36"/>
          <w:highlight w:val="none"/>
        </w:rPr>
        <w:t xml:space="preserve"> 项目概况及技术要求</w:t>
      </w:r>
      <w:bookmarkEnd w:id="131"/>
      <w:bookmarkEnd w:id="132"/>
      <w:bookmarkEnd w:id="133"/>
      <w:bookmarkStart w:id="135" w:name="bookmark7"/>
      <w:bookmarkEnd w:id="135"/>
      <w:bookmarkStart w:id="136" w:name="bookmark2"/>
      <w:bookmarkEnd w:id="136"/>
      <w:bookmarkStart w:id="137" w:name="bookmark3"/>
      <w:bookmarkEnd w:id="137"/>
      <w:bookmarkStart w:id="138" w:name="bookmark20"/>
      <w:bookmarkEnd w:id="138"/>
      <w:bookmarkStart w:id="139" w:name="bookmark21"/>
      <w:bookmarkEnd w:id="139"/>
      <w:bookmarkStart w:id="140" w:name="bookmark1"/>
      <w:bookmarkEnd w:id="140"/>
      <w:bookmarkStart w:id="141" w:name="bookmark5"/>
      <w:bookmarkEnd w:id="141"/>
      <w:bookmarkStart w:id="142" w:name="_Toc17460"/>
      <w:bookmarkStart w:id="143" w:name="_Toc16203"/>
      <w:bookmarkStart w:id="144" w:name="_Toc8126"/>
    </w:p>
    <w:p w14:paraId="7F5CB857">
      <w:pPr>
        <w:pStyle w:val="4"/>
        <w:numPr>
          <w:ilvl w:val="0"/>
          <w:numId w:val="0"/>
        </w:num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8"/>
          <w:szCs w:val="28"/>
          <w:lang w:val="en-US" w:eastAsia="zh-CN"/>
        </w:rPr>
        <w:t>建设条件</w:t>
      </w:r>
    </w:p>
    <w:p w14:paraId="339F1064">
      <w:pPr>
        <w:pStyle w:val="4"/>
        <w:numPr>
          <w:ilvl w:val="0"/>
          <w:numId w:val="0"/>
        </w:numPr>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地理位置</w:t>
      </w:r>
      <w:bookmarkEnd w:id="142"/>
      <w:bookmarkEnd w:id="143"/>
    </w:p>
    <w:p w14:paraId="580AE6DD">
      <w:pPr>
        <w:keepNext w:val="0"/>
        <w:keepLines w:val="0"/>
        <w:pageBreakBefore w:val="0"/>
        <w:widowControl w:val="0"/>
        <w:kinsoku/>
        <w:wordWrap/>
        <w:overflowPunct/>
        <w:topLinePunct w:val="0"/>
        <w:autoSpaceDE/>
        <w:autoSpaceDN/>
        <w:bidi w:val="0"/>
        <w:adjustRightInd/>
        <w:snapToGrid/>
        <w:spacing w:line="560" w:lineRule="exact"/>
        <w:ind w:left="0" w:leftChars="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山阳县位于陕西省东南部</w:t>
      </w:r>
      <w:r>
        <w:rPr>
          <w:rFonts w:hint="eastAsia" w:ascii="宋体" w:hAnsi="宋体" w:eastAsia="宋体" w:cs="宋体"/>
          <w:sz w:val="24"/>
          <w:szCs w:val="24"/>
          <w:lang w:eastAsia="zh-CN"/>
        </w:rPr>
        <w:t>，</w:t>
      </w:r>
      <w:r>
        <w:rPr>
          <w:rFonts w:hint="eastAsia" w:ascii="宋体" w:hAnsi="宋体" w:eastAsia="宋体" w:cs="宋体"/>
          <w:sz w:val="24"/>
          <w:szCs w:val="24"/>
        </w:rPr>
        <w:t>商洛市</w:t>
      </w:r>
      <w:r>
        <w:rPr>
          <w:rFonts w:hint="eastAsia" w:ascii="宋体" w:hAnsi="宋体" w:eastAsia="宋体" w:cs="宋体"/>
          <w:sz w:val="24"/>
          <w:szCs w:val="24"/>
          <w:lang w:eastAsia="zh-CN"/>
        </w:rPr>
        <w:t>中</w:t>
      </w:r>
      <w:r>
        <w:rPr>
          <w:rFonts w:hint="eastAsia" w:ascii="宋体" w:hAnsi="宋体" w:eastAsia="宋体" w:cs="宋体"/>
          <w:sz w:val="24"/>
          <w:szCs w:val="24"/>
        </w:rPr>
        <w:t>南部</w:t>
      </w:r>
      <w:r>
        <w:rPr>
          <w:rFonts w:hint="eastAsia" w:ascii="宋体" w:hAnsi="宋体" w:eastAsia="宋体" w:cs="宋体"/>
          <w:sz w:val="24"/>
          <w:szCs w:val="24"/>
          <w:lang w:eastAsia="zh-CN"/>
        </w:rPr>
        <w:t>，</w:t>
      </w:r>
      <w:r>
        <w:rPr>
          <w:rFonts w:hint="eastAsia" w:ascii="宋体" w:hAnsi="宋体" w:eastAsia="宋体" w:cs="宋体"/>
          <w:sz w:val="24"/>
          <w:szCs w:val="24"/>
        </w:rPr>
        <w:t>地处秦岭南麓</w:t>
      </w:r>
      <w:r>
        <w:rPr>
          <w:rFonts w:hint="eastAsia" w:ascii="宋体" w:hAnsi="宋体" w:eastAsia="宋体" w:cs="宋体"/>
          <w:sz w:val="24"/>
          <w:szCs w:val="24"/>
          <w:lang w:eastAsia="zh-CN"/>
        </w:rPr>
        <w:t>陕鄂交界处</w:t>
      </w:r>
      <w:r>
        <w:rPr>
          <w:rFonts w:hint="eastAsia" w:ascii="宋体" w:hAnsi="宋体" w:eastAsia="宋体" w:cs="宋体"/>
          <w:sz w:val="24"/>
          <w:szCs w:val="24"/>
        </w:rPr>
        <w:t>。地理坐标介于东经109°32＇</w:t>
      </w:r>
      <w:r>
        <w:rPr>
          <w:rFonts w:hint="eastAsia" w:ascii="宋体" w:hAnsi="宋体" w:eastAsia="宋体" w:cs="宋体"/>
          <w:sz w:val="24"/>
          <w:szCs w:val="24"/>
          <w:lang w:val="en-US" w:eastAsia="zh-CN"/>
        </w:rPr>
        <w:t>-</w:t>
      </w:r>
      <w:r>
        <w:rPr>
          <w:rFonts w:hint="eastAsia" w:ascii="宋体" w:hAnsi="宋体" w:eastAsia="宋体" w:cs="宋体"/>
          <w:sz w:val="24"/>
          <w:szCs w:val="24"/>
        </w:rPr>
        <w:t>110°29＇</w:t>
      </w:r>
      <w:r>
        <w:rPr>
          <w:rFonts w:hint="eastAsia" w:ascii="宋体" w:hAnsi="宋体" w:eastAsia="宋体" w:cs="宋体"/>
          <w:sz w:val="24"/>
          <w:szCs w:val="24"/>
          <w:lang w:eastAsia="zh-CN"/>
        </w:rPr>
        <w:t>，</w:t>
      </w:r>
      <w:r>
        <w:rPr>
          <w:rFonts w:hint="eastAsia" w:ascii="宋体" w:hAnsi="宋体" w:eastAsia="宋体" w:cs="宋体"/>
          <w:sz w:val="24"/>
          <w:szCs w:val="24"/>
        </w:rPr>
        <w:t>北纬33°09＇</w:t>
      </w:r>
      <w:r>
        <w:rPr>
          <w:rFonts w:hint="eastAsia" w:ascii="宋体" w:hAnsi="宋体" w:eastAsia="宋体" w:cs="宋体"/>
          <w:sz w:val="24"/>
          <w:szCs w:val="24"/>
          <w:lang w:eastAsia="zh-CN"/>
        </w:rPr>
        <w:t>-</w:t>
      </w:r>
      <w:r>
        <w:rPr>
          <w:rFonts w:hint="eastAsia" w:ascii="宋体" w:hAnsi="宋体" w:eastAsia="宋体" w:cs="宋体"/>
          <w:sz w:val="24"/>
          <w:szCs w:val="24"/>
        </w:rPr>
        <w:t>33°42＇。东与丹凤县、商南县为邻</w:t>
      </w:r>
      <w:r>
        <w:rPr>
          <w:rFonts w:hint="eastAsia" w:ascii="宋体" w:hAnsi="宋体" w:eastAsia="宋体" w:cs="宋体"/>
          <w:sz w:val="24"/>
          <w:szCs w:val="24"/>
          <w:lang w:eastAsia="zh-CN"/>
        </w:rPr>
        <w:t>，</w:t>
      </w:r>
      <w:r>
        <w:rPr>
          <w:rFonts w:hint="eastAsia" w:ascii="宋体" w:hAnsi="宋体" w:eastAsia="宋体" w:cs="宋体"/>
          <w:sz w:val="24"/>
          <w:szCs w:val="24"/>
        </w:rPr>
        <w:t>西与镇安县、柞水县交界</w:t>
      </w:r>
      <w:r>
        <w:rPr>
          <w:rFonts w:hint="eastAsia" w:ascii="宋体" w:hAnsi="宋体" w:eastAsia="宋体" w:cs="宋体"/>
          <w:sz w:val="24"/>
          <w:szCs w:val="24"/>
          <w:lang w:eastAsia="zh-CN"/>
        </w:rPr>
        <w:t>，</w:t>
      </w:r>
      <w:r>
        <w:rPr>
          <w:rFonts w:hint="eastAsia" w:ascii="宋体" w:hAnsi="宋体" w:eastAsia="宋体" w:cs="宋体"/>
          <w:sz w:val="24"/>
          <w:szCs w:val="24"/>
        </w:rPr>
        <w:t>北与商洛市商州区接壤</w:t>
      </w:r>
      <w:r>
        <w:rPr>
          <w:rFonts w:hint="eastAsia" w:ascii="宋体" w:hAnsi="宋体" w:eastAsia="宋体" w:cs="宋体"/>
          <w:sz w:val="24"/>
          <w:szCs w:val="24"/>
          <w:lang w:eastAsia="zh-CN"/>
        </w:rPr>
        <w:t>，</w:t>
      </w:r>
      <w:r>
        <w:rPr>
          <w:rFonts w:hint="eastAsia" w:ascii="宋体" w:hAnsi="宋体" w:eastAsia="宋体" w:cs="宋体"/>
          <w:sz w:val="24"/>
          <w:szCs w:val="24"/>
        </w:rPr>
        <w:t>南与湖北省郧西县毗连。县域面积353</w:t>
      </w:r>
      <w:r>
        <w:rPr>
          <w:rFonts w:hint="eastAsia" w:ascii="宋体" w:hAnsi="宋体" w:eastAsia="宋体" w:cs="宋体"/>
          <w:sz w:val="24"/>
          <w:szCs w:val="24"/>
          <w:lang w:val="en-US" w:eastAsia="zh-CN"/>
        </w:rPr>
        <w:t>2.45</w:t>
      </w:r>
      <w:r>
        <w:rPr>
          <w:rFonts w:hint="eastAsia" w:ascii="宋体" w:hAnsi="宋体" w:eastAsia="宋体" w:cs="宋体"/>
          <w:sz w:val="24"/>
          <w:szCs w:val="24"/>
        </w:rPr>
        <w:t>km</w:t>
      </w:r>
      <w:r>
        <w:rPr>
          <w:rFonts w:hint="eastAsia" w:ascii="宋体" w:hAnsi="宋体" w:eastAsia="宋体" w:cs="宋体"/>
          <w:sz w:val="24"/>
          <w:szCs w:val="24"/>
          <w:vertAlign w:val="superscript"/>
        </w:rPr>
        <w:t>2</w:t>
      </w:r>
      <w:r>
        <w:rPr>
          <w:rFonts w:hint="eastAsia" w:ascii="宋体" w:hAnsi="宋体" w:eastAsia="宋体" w:cs="宋体"/>
          <w:sz w:val="24"/>
          <w:szCs w:val="24"/>
        </w:rPr>
        <w:t>。</w:t>
      </w:r>
    </w:p>
    <w:p w14:paraId="5DD826AF">
      <w:pPr>
        <w:keepNext w:val="0"/>
        <w:keepLines w:val="0"/>
        <w:pageBreakBefore w:val="0"/>
        <w:widowControl w:val="0"/>
        <w:kinsoku/>
        <w:wordWrap/>
        <w:overflowPunct/>
        <w:topLinePunct w:val="0"/>
        <w:autoSpaceDE/>
        <w:autoSpaceDN/>
        <w:bidi w:val="0"/>
        <w:adjustRightInd/>
        <w:snapToGrid/>
        <w:spacing w:line="560" w:lineRule="exact"/>
        <w:ind w:left="0" w:leftChars="0" w:right="0" w:firstLine="480" w:firstLineChars="200"/>
        <w:textAlignment w:val="auto"/>
        <w:rPr>
          <w:rFonts w:hint="eastAsia" w:ascii="宋体" w:hAnsi="宋体" w:eastAsia="宋体" w:cs="宋体"/>
          <w:color w:val="C00000"/>
          <w:spacing w:val="-6"/>
          <w:sz w:val="24"/>
          <w:szCs w:val="24"/>
          <w:lang w:val="en-US" w:eastAsia="zh-CN"/>
        </w:rPr>
      </w:pPr>
      <w:r>
        <w:rPr>
          <w:rFonts w:hint="eastAsia" w:ascii="宋体" w:hAnsi="宋体" w:eastAsia="宋体" w:cs="宋体"/>
          <w:color w:val="auto"/>
          <w:spacing w:val="0"/>
          <w:sz w:val="24"/>
          <w:szCs w:val="24"/>
          <w:lang w:val="en-US" w:eastAsia="zh-CN"/>
        </w:rPr>
        <w:t>项目区位于山阳县漫川关镇莲花池社区，地理坐标为东经</w:t>
      </w:r>
      <w:r>
        <w:rPr>
          <w:rFonts w:hint="eastAsia" w:ascii="宋体" w:hAnsi="宋体" w:eastAsia="宋体" w:cs="宋体"/>
          <w:color w:val="auto"/>
          <w:spacing w:val="0"/>
          <w:sz w:val="24"/>
          <w:szCs w:val="24"/>
        </w:rPr>
        <w:t>109°95′01″</w:t>
      </w:r>
      <w:r>
        <w:rPr>
          <w:rFonts w:hint="eastAsia" w:ascii="宋体" w:hAnsi="宋体" w:eastAsia="宋体" w:cs="宋体"/>
          <w:color w:val="auto"/>
          <w:spacing w:val="0"/>
          <w:sz w:val="24"/>
          <w:szCs w:val="24"/>
          <w:lang w:eastAsia="zh-CN"/>
        </w:rPr>
        <w:t>-</w:t>
      </w:r>
      <w:r>
        <w:rPr>
          <w:rFonts w:hint="eastAsia" w:ascii="宋体" w:hAnsi="宋体" w:eastAsia="宋体" w:cs="宋体"/>
          <w:color w:val="auto"/>
          <w:spacing w:val="0"/>
          <w:sz w:val="24"/>
          <w:szCs w:val="24"/>
        </w:rPr>
        <w:t>109°99′29″</w:t>
      </w:r>
      <w:r>
        <w:rPr>
          <w:rFonts w:hint="eastAsia" w:ascii="宋体" w:hAnsi="宋体" w:eastAsia="宋体" w:cs="宋体"/>
          <w:color w:val="auto"/>
          <w:spacing w:val="0"/>
          <w:sz w:val="24"/>
          <w:szCs w:val="24"/>
          <w:lang w:val="en-US" w:eastAsia="zh-CN"/>
        </w:rPr>
        <w:t>，北纬33°28′67″</w:t>
      </w:r>
      <w:r>
        <w:rPr>
          <w:rFonts w:hint="eastAsia" w:ascii="宋体" w:hAnsi="宋体" w:eastAsia="宋体" w:cs="宋体"/>
          <w:color w:val="auto"/>
          <w:spacing w:val="0"/>
          <w:sz w:val="24"/>
          <w:szCs w:val="24"/>
          <w:lang w:eastAsia="zh-CN"/>
        </w:rPr>
        <w:t>-</w:t>
      </w:r>
      <w:r>
        <w:rPr>
          <w:rFonts w:hint="eastAsia" w:ascii="宋体" w:hAnsi="宋体" w:eastAsia="宋体" w:cs="宋体"/>
          <w:color w:val="auto"/>
          <w:spacing w:val="0"/>
          <w:sz w:val="24"/>
          <w:szCs w:val="24"/>
          <w:lang w:val="en-US" w:eastAsia="zh-CN"/>
        </w:rPr>
        <w:t>33°31′66″，板栗面积3100亩；南宽坪镇甘沟村，地理坐标为东经109°95′01″-109°95′92″″，北纬33°29′39″-33°30′05″，板栗面积1570亩；户家塬镇下娘娘庙村，地理坐标为东经</w:t>
      </w:r>
      <w:r>
        <w:rPr>
          <w:rFonts w:hint="eastAsia" w:ascii="宋体" w:hAnsi="宋体" w:eastAsia="宋体" w:cs="宋体"/>
          <w:color w:val="auto"/>
          <w:spacing w:val="-6"/>
          <w:sz w:val="24"/>
          <w:szCs w:val="24"/>
          <w:lang w:val="en-US" w:eastAsia="zh-CN"/>
        </w:rPr>
        <w:t>109°60′41″-109°63′16″，北纬33°52′16″-33°55′80″，板栗面积3180亩；</w:t>
      </w:r>
      <w:r>
        <w:rPr>
          <w:rFonts w:hint="eastAsia" w:ascii="宋体" w:hAnsi="宋体" w:eastAsia="宋体" w:cs="宋体"/>
          <w:color w:val="auto"/>
          <w:spacing w:val="0"/>
          <w:sz w:val="24"/>
          <w:szCs w:val="24"/>
          <w:lang w:val="en-US" w:eastAsia="zh-CN"/>
        </w:rPr>
        <w:t>小河口镇六窝蜂村，地理坐标为东经</w:t>
      </w:r>
      <w:r>
        <w:rPr>
          <w:rFonts w:hint="eastAsia" w:ascii="宋体" w:hAnsi="宋体" w:eastAsia="宋体" w:cs="宋体"/>
          <w:color w:val="auto"/>
          <w:spacing w:val="-6"/>
          <w:sz w:val="24"/>
          <w:szCs w:val="24"/>
          <w:lang w:val="en-US" w:eastAsia="zh-CN"/>
        </w:rPr>
        <w:t>109°56′49″-109°59′52″，北纬33°53′32″-33°64′41″，板栗面积1340亩；</w:t>
      </w:r>
      <w:r>
        <w:rPr>
          <w:rFonts w:hint="eastAsia" w:ascii="宋体" w:hAnsi="宋体" w:eastAsia="宋体" w:cs="宋体"/>
          <w:color w:val="auto"/>
          <w:spacing w:val="0"/>
          <w:sz w:val="24"/>
          <w:szCs w:val="24"/>
          <w:lang w:val="en-US" w:eastAsia="zh-CN"/>
        </w:rPr>
        <w:t>小河口镇瓦沟口村，地理坐标为东经</w:t>
      </w:r>
      <w:r>
        <w:rPr>
          <w:rFonts w:hint="eastAsia" w:ascii="宋体" w:hAnsi="宋体" w:eastAsia="宋体" w:cs="宋体"/>
          <w:color w:val="auto"/>
          <w:spacing w:val="-6"/>
          <w:sz w:val="24"/>
          <w:szCs w:val="24"/>
          <w:lang w:val="en-US" w:eastAsia="zh-CN"/>
        </w:rPr>
        <w:t>109°63′53″-109°65′63″，北纬33°56′88″-33°58′90″，板栗面积840亩；</w:t>
      </w:r>
      <w:r>
        <w:rPr>
          <w:rFonts w:hint="eastAsia" w:ascii="宋体" w:hAnsi="宋体" w:eastAsia="宋体" w:cs="宋体"/>
          <w:color w:val="auto"/>
          <w:spacing w:val="0"/>
          <w:sz w:val="24"/>
          <w:szCs w:val="24"/>
          <w:lang w:val="en-US" w:eastAsia="zh-CN"/>
        </w:rPr>
        <w:t>小河口镇红星</w:t>
      </w:r>
      <w:r>
        <w:rPr>
          <w:rFonts w:hint="eastAsia" w:ascii="宋体" w:hAnsi="宋体" w:eastAsia="宋体" w:cs="宋体"/>
          <w:spacing w:val="0"/>
          <w:w w:val="100"/>
          <w:sz w:val="24"/>
          <w:szCs w:val="24"/>
          <w:lang w:val="en-US" w:eastAsia="zh-CN"/>
        </w:rPr>
        <w:t>村，地理坐标为东经109°64′67″-109°71′27″，北纬33°52′60″-33°55′46″，板栗面积2200亩；小河口镇袁家沟村，地理坐标为东经109°60′99″-109°61′92″，北</w:t>
      </w:r>
      <w:r>
        <w:rPr>
          <w:rFonts w:hint="eastAsia" w:ascii="宋体" w:hAnsi="宋体" w:eastAsia="宋体" w:cs="宋体"/>
          <w:color w:val="auto"/>
          <w:spacing w:val="-6"/>
          <w:sz w:val="24"/>
          <w:szCs w:val="24"/>
          <w:lang w:val="en-US" w:eastAsia="zh-CN"/>
        </w:rPr>
        <w:t>纬33°59′61″-33°60′39″，板栗面积1102亩；</w:t>
      </w:r>
      <w:r>
        <w:rPr>
          <w:rFonts w:hint="eastAsia" w:ascii="宋体" w:hAnsi="宋体" w:eastAsia="宋体" w:cs="宋体"/>
          <w:color w:val="auto"/>
          <w:spacing w:val="0"/>
          <w:sz w:val="24"/>
          <w:szCs w:val="24"/>
          <w:lang w:val="en-US" w:eastAsia="zh-CN"/>
        </w:rPr>
        <w:t>小河口镇街道社区，地理坐标为东经</w:t>
      </w:r>
      <w:r>
        <w:rPr>
          <w:rFonts w:hint="eastAsia" w:ascii="宋体" w:hAnsi="宋体" w:eastAsia="宋体" w:cs="宋体"/>
          <w:color w:val="auto"/>
          <w:spacing w:val="-6"/>
          <w:sz w:val="24"/>
          <w:szCs w:val="24"/>
          <w:lang w:val="en-US" w:eastAsia="zh-CN"/>
        </w:rPr>
        <w:t>109°66′26″-109°67′79″，北纬33°57′64″-33°62′93″，板栗面积960亩。</w:t>
      </w:r>
    </w:p>
    <w:p w14:paraId="7399FB11">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right="0"/>
        <w:jc w:val="both"/>
        <w:textAlignment w:val="auto"/>
        <w:rPr>
          <w:rFonts w:hint="eastAsia" w:ascii="宋体" w:hAnsi="宋体" w:eastAsia="宋体" w:cs="宋体"/>
          <w:b/>
          <w:bCs/>
          <w:spacing w:val="0"/>
          <w:w w:val="100"/>
          <w:sz w:val="24"/>
          <w:szCs w:val="24"/>
        </w:rPr>
      </w:pPr>
      <w:bookmarkStart w:id="145" w:name="_Toc21861"/>
      <w:bookmarkStart w:id="146" w:name="_Toc11563"/>
      <w:bookmarkStart w:id="147" w:name="_Toc6674"/>
      <w:bookmarkStart w:id="148" w:name="_Toc10970"/>
      <w:bookmarkStart w:id="149" w:name="_Toc16581"/>
      <w:r>
        <w:rPr>
          <w:rFonts w:hint="eastAsia" w:ascii="宋体" w:hAnsi="宋体" w:eastAsia="宋体" w:cs="宋体"/>
          <w:spacing w:val="0"/>
          <w:w w:val="100"/>
          <w:sz w:val="24"/>
          <w:szCs w:val="24"/>
          <w:lang w:val="en-US" w:eastAsia="zh-CN"/>
        </w:rPr>
        <w:t>2、</w:t>
      </w:r>
      <w:r>
        <w:rPr>
          <w:rFonts w:hint="eastAsia" w:ascii="宋体" w:hAnsi="宋体" w:eastAsia="宋体" w:cs="宋体"/>
          <w:spacing w:val="0"/>
          <w:w w:val="100"/>
          <w:sz w:val="24"/>
          <w:szCs w:val="24"/>
        </w:rPr>
        <w:t>地形地貌</w:t>
      </w:r>
      <w:bookmarkEnd w:id="145"/>
      <w:bookmarkEnd w:id="146"/>
      <w:bookmarkEnd w:id="147"/>
      <w:bookmarkEnd w:id="148"/>
      <w:bookmarkEnd w:id="149"/>
    </w:p>
    <w:p w14:paraId="5D65F5F0">
      <w:pPr>
        <w:keepNext w:val="0"/>
        <w:keepLines w:val="0"/>
        <w:pageBreakBefore w:val="0"/>
        <w:widowControl w:val="0"/>
        <w:kinsoku/>
        <w:wordWrap/>
        <w:overflowPunct/>
        <w:topLinePunct w:val="0"/>
        <w:autoSpaceDE/>
        <w:autoSpaceDN/>
        <w:bidi w:val="0"/>
        <w:adjustRightInd/>
        <w:snapToGrid/>
        <w:spacing w:line="560" w:lineRule="exact"/>
        <w:ind w:left="0" w:leftChars="0" w:right="0"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山阳县地质构造属秦祁地槽型东秦岭褶皱系。北部流岭、中部鹘岭、南部郧岭与金钱河、谢家河和银花河</w:t>
      </w:r>
      <w:r>
        <w:rPr>
          <w:rFonts w:hint="eastAsia" w:ascii="宋体" w:hAnsi="宋体" w:eastAsia="宋体" w:cs="宋体"/>
          <w:spacing w:val="0"/>
          <w:w w:val="100"/>
          <w:sz w:val="24"/>
          <w:szCs w:val="24"/>
          <w:lang w:val="en-US" w:eastAsia="zh-CN"/>
        </w:rPr>
        <w:t>，</w:t>
      </w:r>
      <w:r>
        <w:rPr>
          <w:rFonts w:hint="eastAsia" w:ascii="宋体" w:hAnsi="宋体" w:eastAsia="宋体" w:cs="宋体"/>
          <w:spacing w:val="0"/>
          <w:w w:val="100"/>
          <w:sz w:val="24"/>
          <w:szCs w:val="24"/>
        </w:rPr>
        <w:t>构成三岭三河三谷川的地貌格局。山体结构以东西走向为主体</w:t>
      </w:r>
      <w:r>
        <w:rPr>
          <w:rFonts w:hint="eastAsia" w:ascii="宋体" w:hAnsi="宋体" w:eastAsia="宋体" w:cs="宋体"/>
          <w:spacing w:val="0"/>
          <w:w w:val="100"/>
          <w:sz w:val="24"/>
          <w:szCs w:val="24"/>
          <w:lang w:val="en-US" w:eastAsia="zh-CN"/>
        </w:rPr>
        <w:t>，</w:t>
      </w:r>
      <w:r>
        <w:rPr>
          <w:rFonts w:hint="eastAsia" w:ascii="宋体" w:hAnsi="宋体" w:eastAsia="宋体" w:cs="宋体"/>
          <w:spacing w:val="0"/>
          <w:w w:val="100"/>
          <w:sz w:val="24"/>
          <w:szCs w:val="24"/>
        </w:rPr>
        <w:t>北坡</w:t>
      </w:r>
      <w:r>
        <w:rPr>
          <w:rFonts w:hint="eastAsia" w:ascii="宋体" w:hAnsi="宋体" w:eastAsia="宋体" w:cs="宋体"/>
          <w:spacing w:val="0"/>
          <w:w w:val="100"/>
          <w:sz w:val="24"/>
          <w:szCs w:val="24"/>
          <w:lang w:eastAsia="zh-CN"/>
        </w:rPr>
        <w:t>相对</w:t>
      </w:r>
      <w:r>
        <w:rPr>
          <w:rFonts w:hint="eastAsia" w:ascii="宋体" w:hAnsi="宋体" w:eastAsia="宋体" w:cs="宋体"/>
          <w:spacing w:val="0"/>
          <w:w w:val="100"/>
          <w:sz w:val="24"/>
          <w:szCs w:val="24"/>
        </w:rPr>
        <w:t>陡峻</w:t>
      </w:r>
      <w:r>
        <w:rPr>
          <w:rFonts w:hint="eastAsia" w:ascii="宋体" w:hAnsi="宋体" w:eastAsia="宋体" w:cs="宋体"/>
          <w:spacing w:val="0"/>
          <w:w w:val="100"/>
          <w:sz w:val="24"/>
          <w:szCs w:val="24"/>
          <w:lang w:val="en-US" w:eastAsia="zh-CN"/>
        </w:rPr>
        <w:t>，</w:t>
      </w:r>
      <w:r>
        <w:rPr>
          <w:rFonts w:hint="eastAsia" w:ascii="宋体" w:hAnsi="宋体" w:eastAsia="宋体" w:cs="宋体"/>
          <w:spacing w:val="0"/>
          <w:w w:val="100"/>
          <w:sz w:val="24"/>
          <w:szCs w:val="24"/>
        </w:rPr>
        <w:t>南坡</w:t>
      </w:r>
      <w:r>
        <w:rPr>
          <w:rFonts w:hint="eastAsia" w:ascii="宋体" w:hAnsi="宋体" w:eastAsia="宋体" w:cs="宋体"/>
          <w:spacing w:val="0"/>
          <w:w w:val="100"/>
          <w:sz w:val="24"/>
          <w:szCs w:val="24"/>
          <w:lang w:eastAsia="zh-CN"/>
        </w:rPr>
        <w:t>比较</w:t>
      </w:r>
      <w:r>
        <w:rPr>
          <w:rFonts w:hint="eastAsia" w:ascii="宋体" w:hAnsi="宋体" w:eastAsia="宋体" w:cs="宋体"/>
          <w:spacing w:val="0"/>
          <w:w w:val="100"/>
          <w:sz w:val="24"/>
          <w:szCs w:val="24"/>
        </w:rPr>
        <w:t>宽缓。</w:t>
      </w:r>
      <w:r>
        <w:rPr>
          <w:rFonts w:hint="eastAsia" w:ascii="宋体" w:hAnsi="宋体" w:eastAsia="宋体" w:cs="宋体"/>
          <w:spacing w:val="0"/>
          <w:w w:val="100"/>
          <w:sz w:val="24"/>
          <w:szCs w:val="24"/>
          <w:lang w:eastAsia="zh-CN"/>
        </w:rPr>
        <w:t>最低</w:t>
      </w:r>
      <w:r>
        <w:rPr>
          <w:rFonts w:hint="eastAsia" w:ascii="宋体" w:hAnsi="宋体" w:eastAsia="宋体" w:cs="宋体"/>
          <w:spacing w:val="0"/>
          <w:w w:val="100"/>
          <w:sz w:val="24"/>
          <w:szCs w:val="24"/>
        </w:rPr>
        <w:t>海拔</w:t>
      </w:r>
      <w:r>
        <w:rPr>
          <w:rFonts w:hint="eastAsia" w:ascii="宋体" w:hAnsi="宋体" w:eastAsia="宋体" w:cs="宋体"/>
          <w:spacing w:val="0"/>
          <w:w w:val="100"/>
          <w:sz w:val="24"/>
          <w:szCs w:val="24"/>
          <w:lang w:eastAsia="zh-CN"/>
        </w:rPr>
        <w:t>金钱河陕鄂界</w:t>
      </w:r>
      <w:r>
        <w:rPr>
          <w:rFonts w:hint="eastAsia" w:ascii="宋体" w:hAnsi="宋体" w:eastAsia="宋体" w:cs="宋体"/>
          <w:spacing w:val="0"/>
          <w:w w:val="100"/>
          <w:sz w:val="24"/>
          <w:szCs w:val="24"/>
        </w:rPr>
        <w:t>294</w:t>
      </w:r>
      <w:r>
        <w:rPr>
          <w:rFonts w:hint="eastAsia" w:ascii="宋体" w:hAnsi="宋体" w:eastAsia="宋体" w:cs="宋体"/>
          <w:spacing w:val="0"/>
          <w:w w:val="100"/>
          <w:sz w:val="24"/>
          <w:szCs w:val="24"/>
          <w:lang w:val="en-US" w:eastAsia="zh-CN"/>
        </w:rPr>
        <w:t>m，最高海拔鹘岭主峰天竺山</w:t>
      </w:r>
      <w:r>
        <w:rPr>
          <w:rFonts w:hint="eastAsia" w:ascii="宋体" w:hAnsi="宋体" w:eastAsia="宋体" w:cs="宋体"/>
          <w:spacing w:val="0"/>
          <w:w w:val="100"/>
          <w:sz w:val="24"/>
          <w:szCs w:val="24"/>
        </w:rPr>
        <w:t>2074</w:t>
      </w:r>
      <w:r>
        <w:rPr>
          <w:rFonts w:hint="eastAsia" w:ascii="宋体" w:hAnsi="宋体" w:eastAsia="宋体" w:cs="宋体"/>
          <w:spacing w:val="0"/>
          <w:w w:val="100"/>
          <w:sz w:val="24"/>
          <w:szCs w:val="24"/>
          <w:lang w:val="en-US" w:eastAsia="zh-CN"/>
        </w:rPr>
        <w:t>m，</w:t>
      </w:r>
      <w:r>
        <w:rPr>
          <w:rFonts w:hint="eastAsia" w:ascii="宋体" w:hAnsi="宋体" w:eastAsia="宋体" w:cs="宋体"/>
          <w:spacing w:val="0"/>
          <w:w w:val="100"/>
          <w:sz w:val="24"/>
          <w:szCs w:val="24"/>
        </w:rPr>
        <w:t>平均海拔1100</w:t>
      </w:r>
      <w:r>
        <w:rPr>
          <w:rFonts w:hint="eastAsia" w:ascii="宋体" w:hAnsi="宋体" w:eastAsia="宋体" w:cs="宋体"/>
          <w:spacing w:val="0"/>
          <w:w w:val="100"/>
          <w:sz w:val="24"/>
          <w:szCs w:val="24"/>
          <w:lang w:val="en-US" w:eastAsia="zh-CN"/>
        </w:rPr>
        <w:t>m</w:t>
      </w:r>
      <w:r>
        <w:rPr>
          <w:rFonts w:hint="eastAsia" w:ascii="宋体" w:hAnsi="宋体" w:eastAsia="宋体" w:cs="宋体"/>
          <w:spacing w:val="0"/>
          <w:w w:val="100"/>
          <w:sz w:val="24"/>
          <w:szCs w:val="24"/>
        </w:rPr>
        <w:t>。地貌类型有流水侵蚀中山、流水侵蚀低山和河谷冲积阶地。</w:t>
      </w:r>
      <w:bookmarkStart w:id="150" w:name="_Toc30470"/>
      <w:bookmarkStart w:id="151" w:name="_Toc3793"/>
      <w:bookmarkStart w:id="152" w:name="_Toc14084"/>
    </w:p>
    <w:p w14:paraId="4EB4F556">
      <w:pPr>
        <w:keepNext w:val="0"/>
        <w:keepLines w:val="0"/>
        <w:pageBreakBefore w:val="0"/>
        <w:widowControl w:val="0"/>
        <w:kinsoku/>
        <w:wordWrap/>
        <w:overflowPunct/>
        <w:topLinePunct w:val="0"/>
        <w:autoSpaceDE/>
        <w:autoSpaceDN/>
        <w:bidi w:val="0"/>
        <w:adjustRightInd/>
        <w:snapToGrid/>
        <w:spacing w:line="560" w:lineRule="exact"/>
        <w:ind w:left="0" w:leftChars="0" w:right="0" w:firstLine="480" w:firstLineChars="200"/>
        <w:textAlignment w:val="auto"/>
        <w:rPr>
          <w:rFonts w:hint="eastAsia" w:ascii="宋体" w:hAnsi="宋体" w:eastAsia="宋体" w:cs="宋体"/>
          <w:spacing w:val="0"/>
          <w:w w:val="100"/>
          <w:sz w:val="24"/>
          <w:szCs w:val="24"/>
          <w:lang w:val="en-US" w:eastAsia="zh-CN"/>
        </w:rPr>
      </w:pPr>
      <w:r>
        <w:rPr>
          <w:rFonts w:hint="eastAsia" w:ascii="宋体" w:hAnsi="宋体" w:eastAsia="宋体" w:cs="宋体"/>
          <w:spacing w:val="0"/>
          <w:w w:val="100"/>
          <w:sz w:val="24"/>
          <w:szCs w:val="24"/>
          <w:lang w:val="en-US" w:eastAsia="zh-CN"/>
        </w:rPr>
        <w:t>项目区位于山阳县漫川关镇和南宽坪镇接壤的甘沟梁以及牛耳川和小河口接壤的沟台地，属秦岭南坡土石山地中的低山区，海拔500米-900米之间，坡度20</w:t>
      </w:r>
      <w:r>
        <w:rPr>
          <w:rFonts w:hint="eastAsia" w:ascii="宋体" w:hAnsi="宋体" w:eastAsia="宋体" w:cs="宋体"/>
          <w:sz w:val="24"/>
          <w:szCs w:val="24"/>
        </w:rPr>
        <w:t>°</w:t>
      </w:r>
      <w:r>
        <w:rPr>
          <w:rFonts w:hint="eastAsia" w:ascii="宋体" w:hAnsi="宋体" w:eastAsia="宋体" w:cs="宋体"/>
          <w:sz w:val="24"/>
          <w:szCs w:val="24"/>
          <w:lang w:val="en-US" w:eastAsia="zh-CN"/>
        </w:rPr>
        <w:t>-28</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为九十年代以及近十年营造的退耕还林地和板栗示范基地。</w:t>
      </w:r>
    </w:p>
    <w:p w14:paraId="44913247">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right="0"/>
        <w:jc w:val="both"/>
        <w:textAlignment w:val="auto"/>
        <w:rPr>
          <w:rFonts w:hint="eastAsia" w:ascii="宋体" w:hAnsi="宋体" w:eastAsia="宋体" w:cs="宋体"/>
          <w:b/>
          <w:bCs/>
          <w:spacing w:val="0"/>
          <w:w w:val="100"/>
          <w:sz w:val="24"/>
          <w:szCs w:val="24"/>
        </w:rPr>
      </w:pPr>
      <w:bookmarkStart w:id="153" w:name="_Toc31483"/>
      <w:bookmarkStart w:id="154" w:name="_Toc20197"/>
      <w:bookmarkStart w:id="155" w:name="_Toc24308"/>
      <w:bookmarkStart w:id="156" w:name="_Toc2593"/>
      <w:bookmarkStart w:id="157" w:name="_Toc13140"/>
      <w:r>
        <w:rPr>
          <w:rFonts w:hint="eastAsia" w:ascii="宋体" w:hAnsi="宋体" w:eastAsia="宋体" w:cs="宋体"/>
          <w:spacing w:val="0"/>
          <w:w w:val="100"/>
          <w:sz w:val="24"/>
          <w:szCs w:val="24"/>
          <w:lang w:val="en-US" w:eastAsia="zh-CN"/>
        </w:rPr>
        <w:t>3、</w:t>
      </w:r>
      <w:r>
        <w:rPr>
          <w:rFonts w:hint="eastAsia" w:ascii="宋体" w:hAnsi="宋体" w:eastAsia="宋体" w:cs="宋体"/>
          <w:spacing w:val="0"/>
          <w:w w:val="100"/>
          <w:sz w:val="24"/>
          <w:szCs w:val="24"/>
        </w:rPr>
        <w:t>气候条件</w:t>
      </w:r>
      <w:bookmarkEnd w:id="153"/>
      <w:bookmarkEnd w:id="154"/>
      <w:bookmarkEnd w:id="155"/>
      <w:bookmarkEnd w:id="156"/>
      <w:bookmarkEnd w:id="157"/>
    </w:p>
    <w:p w14:paraId="1053D7CE">
      <w:pPr>
        <w:keepNext w:val="0"/>
        <w:keepLines w:val="0"/>
        <w:pageBreakBefore w:val="0"/>
        <w:widowControl w:val="0"/>
        <w:kinsoku/>
        <w:wordWrap/>
        <w:overflowPunct/>
        <w:topLinePunct w:val="0"/>
        <w:autoSpaceDE/>
        <w:autoSpaceDN/>
        <w:bidi w:val="0"/>
        <w:adjustRightInd/>
        <w:snapToGrid/>
        <w:spacing w:line="560" w:lineRule="exact"/>
        <w:ind w:left="0" w:leftChars="0" w:right="0"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山阳县属季风性半湿润山地气候。夏无酷暑</w:t>
      </w:r>
      <w:r>
        <w:rPr>
          <w:rFonts w:hint="eastAsia" w:ascii="宋体" w:hAnsi="宋体" w:eastAsia="宋体" w:cs="宋体"/>
          <w:spacing w:val="0"/>
          <w:w w:val="100"/>
          <w:sz w:val="24"/>
          <w:szCs w:val="24"/>
          <w:lang w:eastAsia="zh-CN"/>
        </w:rPr>
        <w:t>，</w:t>
      </w:r>
      <w:r>
        <w:rPr>
          <w:rFonts w:hint="eastAsia" w:ascii="宋体" w:hAnsi="宋体" w:eastAsia="宋体" w:cs="宋体"/>
          <w:spacing w:val="0"/>
          <w:w w:val="100"/>
          <w:sz w:val="24"/>
          <w:szCs w:val="24"/>
        </w:rPr>
        <w:t>冬无严寒</w:t>
      </w:r>
      <w:r>
        <w:rPr>
          <w:rFonts w:hint="eastAsia" w:ascii="宋体" w:hAnsi="宋体" w:eastAsia="宋体" w:cs="宋体"/>
          <w:spacing w:val="0"/>
          <w:w w:val="100"/>
          <w:sz w:val="24"/>
          <w:szCs w:val="24"/>
          <w:lang w:eastAsia="zh-CN"/>
        </w:rPr>
        <w:t>，</w:t>
      </w:r>
      <w:r>
        <w:rPr>
          <w:rFonts w:hint="eastAsia" w:ascii="宋体" w:hAnsi="宋体" w:eastAsia="宋体" w:cs="宋体"/>
          <w:spacing w:val="0"/>
          <w:w w:val="100"/>
          <w:sz w:val="24"/>
          <w:szCs w:val="24"/>
        </w:rPr>
        <w:t>雨量充沛</w:t>
      </w:r>
      <w:r>
        <w:rPr>
          <w:rFonts w:hint="eastAsia" w:ascii="宋体" w:hAnsi="宋体" w:eastAsia="宋体" w:cs="宋体"/>
          <w:spacing w:val="0"/>
          <w:w w:val="100"/>
          <w:sz w:val="24"/>
          <w:szCs w:val="24"/>
          <w:lang w:eastAsia="zh-CN"/>
        </w:rPr>
        <w:t>，</w:t>
      </w:r>
      <w:r>
        <w:rPr>
          <w:rFonts w:hint="eastAsia" w:ascii="宋体" w:hAnsi="宋体" w:eastAsia="宋体" w:cs="宋体"/>
          <w:spacing w:val="0"/>
          <w:w w:val="100"/>
          <w:sz w:val="24"/>
          <w:szCs w:val="24"/>
        </w:rPr>
        <w:t>光照充足。年均气温13.1℃</w:t>
      </w:r>
      <w:r>
        <w:rPr>
          <w:rFonts w:hint="eastAsia" w:ascii="宋体" w:hAnsi="宋体" w:eastAsia="宋体" w:cs="宋体"/>
          <w:spacing w:val="0"/>
          <w:w w:val="100"/>
          <w:sz w:val="24"/>
          <w:szCs w:val="24"/>
          <w:lang w:eastAsia="zh-CN"/>
        </w:rPr>
        <w:t>，</w:t>
      </w:r>
      <w:r>
        <w:rPr>
          <w:rFonts w:hint="eastAsia" w:ascii="宋体" w:hAnsi="宋体" w:eastAsia="宋体" w:cs="宋体"/>
          <w:spacing w:val="0"/>
          <w:w w:val="100"/>
          <w:sz w:val="24"/>
          <w:szCs w:val="24"/>
        </w:rPr>
        <w:t>≥0℃积温5032.8℃</w:t>
      </w:r>
      <w:r>
        <w:rPr>
          <w:rFonts w:hint="eastAsia" w:ascii="宋体" w:hAnsi="宋体" w:eastAsia="宋体" w:cs="宋体"/>
          <w:spacing w:val="0"/>
          <w:w w:val="100"/>
          <w:sz w:val="24"/>
          <w:szCs w:val="24"/>
          <w:lang w:eastAsia="zh-CN"/>
        </w:rPr>
        <w:t>，</w:t>
      </w:r>
      <w:r>
        <w:rPr>
          <w:rFonts w:hint="eastAsia" w:ascii="宋体" w:hAnsi="宋体" w:eastAsia="宋体" w:cs="宋体"/>
          <w:spacing w:val="0"/>
          <w:w w:val="100"/>
          <w:sz w:val="24"/>
          <w:szCs w:val="24"/>
        </w:rPr>
        <w:t>≥10℃积温4142.7℃</w:t>
      </w:r>
      <w:r>
        <w:rPr>
          <w:rFonts w:hint="eastAsia" w:ascii="宋体" w:hAnsi="宋体" w:eastAsia="宋体" w:cs="宋体"/>
          <w:spacing w:val="0"/>
          <w:w w:val="100"/>
          <w:sz w:val="24"/>
          <w:szCs w:val="24"/>
          <w:lang w:eastAsia="zh-CN"/>
        </w:rPr>
        <w:t>，</w:t>
      </w:r>
      <w:r>
        <w:rPr>
          <w:rFonts w:hint="eastAsia" w:ascii="宋体" w:hAnsi="宋体" w:eastAsia="宋体" w:cs="宋体"/>
          <w:spacing w:val="0"/>
          <w:w w:val="100"/>
          <w:sz w:val="24"/>
          <w:szCs w:val="24"/>
        </w:rPr>
        <w:t>年均无霜期207天</w:t>
      </w:r>
      <w:r>
        <w:rPr>
          <w:rFonts w:hint="eastAsia" w:ascii="宋体" w:hAnsi="宋体" w:eastAsia="宋体" w:cs="宋体"/>
          <w:spacing w:val="0"/>
          <w:w w:val="100"/>
          <w:sz w:val="24"/>
          <w:szCs w:val="24"/>
          <w:lang w:eastAsia="zh-CN"/>
        </w:rPr>
        <w:t>，</w:t>
      </w:r>
      <w:r>
        <w:rPr>
          <w:rFonts w:hint="eastAsia" w:ascii="宋体" w:hAnsi="宋体" w:eastAsia="宋体" w:cs="宋体"/>
          <w:spacing w:val="0"/>
          <w:w w:val="100"/>
          <w:sz w:val="24"/>
          <w:szCs w:val="24"/>
        </w:rPr>
        <w:t>年日照时数2133.8h</w:t>
      </w:r>
      <w:r>
        <w:rPr>
          <w:rFonts w:hint="eastAsia" w:ascii="宋体" w:hAnsi="宋体" w:eastAsia="宋体" w:cs="宋体"/>
          <w:spacing w:val="0"/>
          <w:w w:val="100"/>
          <w:sz w:val="24"/>
          <w:szCs w:val="24"/>
          <w:lang w:eastAsia="zh-CN"/>
        </w:rPr>
        <w:t>，</w:t>
      </w:r>
      <w:r>
        <w:rPr>
          <w:rFonts w:hint="eastAsia" w:ascii="宋体" w:hAnsi="宋体" w:eastAsia="宋体" w:cs="宋体"/>
          <w:spacing w:val="0"/>
          <w:w w:val="100"/>
          <w:sz w:val="24"/>
          <w:szCs w:val="24"/>
        </w:rPr>
        <w:t>春秋昼夜温差很大</w:t>
      </w:r>
      <w:r>
        <w:rPr>
          <w:rFonts w:hint="eastAsia" w:ascii="宋体" w:hAnsi="宋体" w:eastAsia="宋体" w:cs="宋体"/>
          <w:spacing w:val="0"/>
          <w:w w:val="100"/>
          <w:sz w:val="24"/>
          <w:szCs w:val="24"/>
          <w:lang w:eastAsia="zh-CN"/>
        </w:rPr>
        <w:t>，</w:t>
      </w:r>
      <w:r>
        <w:rPr>
          <w:rFonts w:hint="eastAsia" w:ascii="宋体" w:hAnsi="宋体" w:eastAsia="宋体" w:cs="宋体"/>
          <w:spacing w:val="0"/>
          <w:w w:val="100"/>
          <w:sz w:val="24"/>
          <w:szCs w:val="24"/>
        </w:rPr>
        <w:t>农作物多一年两熟。年均降水量709</w:t>
      </w:r>
      <w:r>
        <w:rPr>
          <w:rFonts w:hint="eastAsia" w:ascii="宋体" w:hAnsi="宋体" w:eastAsia="宋体" w:cs="宋体"/>
          <w:spacing w:val="0"/>
          <w:w w:val="100"/>
          <w:sz w:val="24"/>
          <w:szCs w:val="24"/>
          <w:lang w:val="en-US" w:eastAsia="zh-CN"/>
        </w:rPr>
        <w:t xml:space="preserve"> </w:t>
      </w:r>
      <w:r>
        <w:rPr>
          <w:rFonts w:hint="eastAsia" w:ascii="宋体" w:hAnsi="宋体" w:eastAsia="宋体" w:cs="宋体"/>
          <w:spacing w:val="0"/>
          <w:w w:val="100"/>
          <w:sz w:val="24"/>
          <w:szCs w:val="24"/>
        </w:rPr>
        <w:t>mm</w:t>
      </w:r>
      <w:r>
        <w:rPr>
          <w:rFonts w:hint="eastAsia" w:ascii="宋体" w:hAnsi="宋体" w:eastAsia="宋体" w:cs="宋体"/>
          <w:spacing w:val="0"/>
          <w:w w:val="100"/>
          <w:sz w:val="24"/>
          <w:szCs w:val="24"/>
          <w:lang w:eastAsia="zh-CN"/>
        </w:rPr>
        <w:t>，</w:t>
      </w:r>
      <w:r>
        <w:rPr>
          <w:rFonts w:hint="eastAsia" w:ascii="宋体" w:hAnsi="宋体" w:eastAsia="宋体" w:cs="宋体"/>
          <w:spacing w:val="0"/>
          <w:w w:val="100"/>
          <w:sz w:val="24"/>
          <w:szCs w:val="24"/>
        </w:rPr>
        <w:t>多集中7</w:t>
      </w:r>
      <w:r>
        <w:rPr>
          <w:rFonts w:hint="eastAsia" w:ascii="宋体" w:hAnsi="宋体" w:eastAsia="宋体" w:cs="宋体"/>
          <w:spacing w:val="0"/>
          <w:w w:val="100"/>
          <w:sz w:val="24"/>
          <w:szCs w:val="24"/>
          <w:lang w:eastAsia="zh-CN"/>
        </w:rPr>
        <w:t>-</w:t>
      </w:r>
      <w:r>
        <w:rPr>
          <w:rFonts w:hint="eastAsia" w:ascii="宋体" w:hAnsi="宋体" w:eastAsia="宋体" w:cs="宋体"/>
          <w:spacing w:val="0"/>
          <w:w w:val="100"/>
          <w:sz w:val="24"/>
          <w:szCs w:val="24"/>
        </w:rPr>
        <w:t>9月</w:t>
      </w:r>
      <w:r>
        <w:rPr>
          <w:rFonts w:hint="eastAsia" w:ascii="宋体" w:hAnsi="宋体" w:eastAsia="宋体" w:cs="宋体"/>
          <w:spacing w:val="0"/>
          <w:w w:val="100"/>
          <w:sz w:val="24"/>
          <w:szCs w:val="24"/>
          <w:lang w:eastAsia="zh-CN"/>
        </w:rPr>
        <w:t>，</w:t>
      </w:r>
      <w:r>
        <w:rPr>
          <w:rFonts w:hint="eastAsia" w:ascii="宋体" w:hAnsi="宋体" w:eastAsia="宋体" w:cs="宋体"/>
          <w:spacing w:val="0"/>
          <w:w w:val="100"/>
          <w:sz w:val="24"/>
          <w:szCs w:val="24"/>
        </w:rPr>
        <w:t>占总量的49%。</w:t>
      </w:r>
      <w:r>
        <w:rPr>
          <w:rFonts w:hint="eastAsia" w:ascii="宋体" w:hAnsi="宋体" w:eastAsia="宋体" w:cs="宋体"/>
          <w:spacing w:val="0"/>
          <w:w w:val="100"/>
          <w:sz w:val="24"/>
          <w:szCs w:val="24"/>
          <w:lang w:eastAsia="zh-CN"/>
        </w:rPr>
        <w:t>空气质量优良天数超过</w:t>
      </w:r>
      <w:r>
        <w:rPr>
          <w:rFonts w:hint="eastAsia" w:ascii="宋体" w:hAnsi="宋体" w:eastAsia="宋体" w:cs="宋体"/>
          <w:spacing w:val="0"/>
          <w:w w:val="100"/>
          <w:sz w:val="24"/>
          <w:szCs w:val="24"/>
          <w:lang w:val="en-US" w:eastAsia="zh-CN"/>
        </w:rPr>
        <w:t>330天。</w:t>
      </w:r>
      <w:r>
        <w:rPr>
          <w:rFonts w:hint="eastAsia" w:ascii="宋体" w:hAnsi="宋体" w:eastAsia="宋体" w:cs="宋体"/>
          <w:spacing w:val="0"/>
          <w:w w:val="100"/>
          <w:sz w:val="24"/>
          <w:szCs w:val="24"/>
        </w:rPr>
        <w:t>冬季多西北风</w:t>
      </w:r>
      <w:r>
        <w:rPr>
          <w:rFonts w:hint="eastAsia" w:ascii="宋体" w:hAnsi="宋体" w:eastAsia="宋体" w:cs="宋体"/>
          <w:spacing w:val="0"/>
          <w:w w:val="100"/>
          <w:sz w:val="24"/>
          <w:szCs w:val="24"/>
          <w:lang w:eastAsia="zh-CN"/>
        </w:rPr>
        <w:t>，</w:t>
      </w:r>
      <w:r>
        <w:rPr>
          <w:rFonts w:hint="eastAsia" w:ascii="宋体" w:hAnsi="宋体" w:eastAsia="宋体" w:cs="宋体"/>
          <w:spacing w:val="0"/>
          <w:w w:val="100"/>
          <w:sz w:val="24"/>
          <w:szCs w:val="24"/>
        </w:rPr>
        <w:t>春夏多东南风</w:t>
      </w:r>
      <w:r>
        <w:rPr>
          <w:rFonts w:hint="eastAsia" w:ascii="宋体" w:hAnsi="宋体" w:eastAsia="宋体" w:cs="宋体"/>
          <w:spacing w:val="0"/>
          <w:w w:val="100"/>
          <w:sz w:val="24"/>
          <w:szCs w:val="24"/>
          <w:lang w:eastAsia="zh-CN"/>
        </w:rPr>
        <w:t>，</w:t>
      </w:r>
      <w:r>
        <w:rPr>
          <w:rFonts w:hint="eastAsia" w:ascii="宋体" w:hAnsi="宋体" w:eastAsia="宋体" w:cs="宋体"/>
          <w:spacing w:val="0"/>
          <w:w w:val="100"/>
          <w:sz w:val="24"/>
          <w:szCs w:val="24"/>
        </w:rPr>
        <w:t>主要灾害性天气是连阴雨、暴雨、冰雹和大风。</w:t>
      </w:r>
    </w:p>
    <w:p w14:paraId="6F85B49D">
      <w:pPr>
        <w:keepNext w:val="0"/>
        <w:keepLines w:val="0"/>
        <w:pageBreakBefore w:val="0"/>
        <w:widowControl w:val="0"/>
        <w:kinsoku/>
        <w:wordWrap/>
        <w:overflowPunct/>
        <w:topLinePunct w:val="0"/>
        <w:autoSpaceDE/>
        <w:autoSpaceDN/>
        <w:bidi w:val="0"/>
        <w:adjustRightInd/>
        <w:snapToGrid/>
        <w:spacing w:line="560" w:lineRule="exact"/>
        <w:ind w:left="0" w:leftChars="0" w:right="0" w:firstLine="480" w:firstLineChars="200"/>
        <w:textAlignment w:val="auto"/>
        <w:rPr>
          <w:rFonts w:hint="eastAsia" w:ascii="宋体" w:hAnsi="宋体" w:eastAsia="宋体" w:cs="宋体"/>
          <w:spacing w:val="0"/>
          <w:w w:val="100"/>
          <w:sz w:val="24"/>
          <w:szCs w:val="24"/>
          <w:lang w:val="en-US" w:eastAsia="zh-CN"/>
        </w:rPr>
      </w:pPr>
      <w:r>
        <w:rPr>
          <w:rFonts w:hint="eastAsia" w:ascii="宋体" w:hAnsi="宋体" w:eastAsia="宋体" w:cs="宋体"/>
          <w:spacing w:val="0"/>
          <w:w w:val="100"/>
          <w:sz w:val="24"/>
          <w:szCs w:val="24"/>
          <w:lang w:val="en-US" w:eastAsia="zh-CN"/>
        </w:rPr>
        <w:t>项目区属亚热带季风性半湿润山地气候，农作物一年两熟，气温非常适宜板栗生长。</w:t>
      </w:r>
    </w:p>
    <w:p w14:paraId="2500C434">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right="0"/>
        <w:jc w:val="both"/>
        <w:textAlignment w:val="auto"/>
        <w:rPr>
          <w:rFonts w:hint="eastAsia" w:ascii="宋体" w:hAnsi="宋体" w:eastAsia="宋体" w:cs="宋体"/>
          <w:b/>
          <w:bCs/>
          <w:spacing w:val="0"/>
          <w:w w:val="100"/>
          <w:sz w:val="24"/>
          <w:szCs w:val="24"/>
        </w:rPr>
      </w:pPr>
      <w:bookmarkStart w:id="158" w:name="_Toc25904"/>
      <w:bookmarkStart w:id="159" w:name="_Toc19779"/>
      <w:bookmarkStart w:id="160" w:name="_Toc7571"/>
      <w:bookmarkStart w:id="161" w:name="_Toc8608"/>
      <w:bookmarkStart w:id="162" w:name="_Toc10645"/>
      <w:r>
        <w:rPr>
          <w:rFonts w:hint="eastAsia" w:ascii="宋体" w:hAnsi="宋体" w:eastAsia="宋体" w:cs="宋体"/>
          <w:spacing w:val="0"/>
          <w:w w:val="100"/>
          <w:sz w:val="24"/>
          <w:szCs w:val="24"/>
          <w:lang w:val="en-US" w:eastAsia="zh-CN"/>
        </w:rPr>
        <w:t>4、</w:t>
      </w:r>
      <w:r>
        <w:rPr>
          <w:rFonts w:hint="eastAsia" w:ascii="宋体" w:hAnsi="宋体" w:eastAsia="宋体" w:cs="宋体"/>
          <w:spacing w:val="0"/>
          <w:w w:val="100"/>
          <w:sz w:val="24"/>
          <w:szCs w:val="24"/>
        </w:rPr>
        <w:t>土壤</w:t>
      </w:r>
      <w:bookmarkEnd w:id="158"/>
      <w:bookmarkEnd w:id="159"/>
      <w:bookmarkEnd w:id="160"/>
      <w:bookmarkEnd w:id="161"/>
      <w:bookmarkEnd w:id="162"/>
    </w:p>
    <w:p w14:paraId="7A3A53E3">
      <w:pPr>
        <w:keepNext w:val="0"/>
        <w:keepLines w:val="0"/>
        <w:pageBreakBefore w:val="0"/>
        <w:widowControl w:val="0"/>
        <w:kinsoku/>
        <w:wordWrap/>
        <w:overflowPunct/>
        <w:topLinePunct w:val="0"/>
        <w:autoSpaceDE/>
        <w:autoSpaceDN/>
        <w:bidi w:val="0"/>
        <w:adjustRightInd/>
        <w:snapToGrid/>
        <w:spacing w:line="560" w:lineRule="exact"/>
        <w:ind w:left="0" w:leftChars="0" w:right="0"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根据1982年普查</w:t>
      </w:r>
      <w:r>
        <w:rPr>
          <w:rFonts w:hint="eastAsia" w:ascii="宋体" w:hAnsi="宋体" w:eastAsia="宋体" w:cs="宋体"/>
          <w:spacing w:val="0"/>
          <w:w w:val="100"/>
          <w:sz w:val="24"/>
          <w:szCs w:val="24"/>
          <w:lang w:eastAsia="zh-CN"/>
        </w:rPr>
        <w:t>，</w:t>
      </w:r>
      <w:r>
        <w:rPr>
          <w:rFonts w:hint="eastAsia" w:ascii="宋体" w:hAnsi="宋体" w:eastAsia="宋体" w:cs="宋体"/>
          <w:spacing w:val="0"/>
          <w:w w:val="100"/>
          <w:sz w:val="24"/>
          <w:szCs w:val="24"/>
        </w:rPr>
        <w:t>山阳县土壤共7个土类15个亚类22个土属89个土种。主要有水稻土、潮土、淤土、黄棕壤、棕壤、紫色土、山地草甸土。成土母质主要有残积物、坡积物、洪积物、冲积物等。土壤分布总体上是黄棕壤亚类黄褐土多分布于西部、北部</w:t>
      </w:r>
      <w:r>
        <w:rPr>
          <w:rFonts w:hint="eastAsia" w:ascii="宋体" w:hAnsi="宋体" w:eastAsia="宋体" w:cs="宋体"/>
          <w:spacing w:val="0"/>
          <w:w w:val="100"/>
          <w:sz w:val="24"/>
          <w:szCs w:val="24"/>
          <w:lang w:eastAsia="zh-CN"/>
        </w:rPr>
        <w:t>；</w:t>
      </w:r>
      <w:r>
        <w:rPr>
          <w:rFonts w:hint="eastAsia" w:ascii="宋体" w:hAnsi="宋体" w:eastAsia="宋体" w:cs="宋体"/>
          <w:spacing w:val="0"/>
          <w:w w:val="100"/>
          <w:sz w:val="24"/>
          <w:szCs w:val="24"/>
        </w:rPr>
        <w:t>棕壤分布于中部的鹘岭山脉地带</w:t>
      </w:r>
      <w:r>
        <w:rPr>
          <w:rFonts w:hint="eastAsia" w:ascii="宋体" w:hAnsi="宋体" w:eastAsia="宋体" w:cs="宋体"/>
          <w:spacing w:val="0"/>
          <w:w w:val="100"/>
          <w:sz w:val="24"/>
          <w:szCs w:val="24"/>
          <w:lang w:eastAsia="zh-CN"/>
        </w:rPr>
        <w:t>；</w:t>
      </w:r>
      <w:r>
        <w:rPr>
          <w:rFonts w:hint="eastAsia" w:ascii="宋体" w:hAnsi="宋体" w:eastAsia="宋体" w:cs="宋体"/>
          <w:spacing w:val="0"/>
          <w:w w:val="100"/>
          <w:sz w:val="24"/>
          <w:szCs w:val="24"/>
        </w:rPr>
        <w:t>紫色土多分布于丰阳河北岸和南部漫川关至法官浅山丘陵区</w:t>
      </w:r>
      <w:r>
        <w:rPr>
          <w:rFonts w:hint="eastAsia" w:ascii="宋体" w:hAnsi="宋体" w:eastAsia="宋体" w:cs="宋体"/>
          <w:spacing w:val="0"/>
          <w:w w:val="100"/>
          <w:sz w:val="24"/>
          <w:szCs w:val="24"/>
          <w:lang w:eastAsia="zh-CN"/>
        </w:rPr>
        <w:t>；</w:t>
      </w:r>
      <w:r>
        <w:rPr>
          <w:rFonts w:hint="eastAsia" w:ascii="宋体" w:hAnsi="宋体" w:eastAsia="宋体" w:cs="宋体"/>
          <w:spacing w:val="0"/>
          <w:w w:val="100"/>
          <w:sz w:val="24"/>
          <w:szCs w:val="24"/>
        </w:rPr>
        <w:t>山地草甸土多分布于户家塬、南宽坪海拔≥1000</w:t>
      </w:r>
      <w:r>
        <w:rPr>
          <w:rFonts w:hint="eastAsia" w:ascii="宋体" w:hAnsi="宋体" w:eastAsia="宋体" w:cs="宋体"/>
          <w:spacing w:val="0"/>
          <w:w w:val="100"/>
          <w:sz w:val="24"/>
          <w:szCs w:val="24"/>
          <w:lang w:val="en-US" w:eastAsia="zh-CN"/>
        </w:rPr>
        <w:t xml:space="preserve"> </w:t>
      </w:r>
      <w:r>
        <w:rPr>
          <w:rFonts w:hint="eastAsia" w:ascii="宋体" w:hAnsi="宋体" w:eastAsia="宋体" w:cs="宋体"/>
          <w:spacing w:val="0"/>
          <w:w w:val="100"/>
          <w:sz w:val="24"/>
          <w:szCs w:val="24"/>
        </w:rPr>
        <w:t>m较平坦或低凹的山地。</w:t>
      </w:r>
    </w:p>
    <w:p w14:paraId="56079FAF">
      <w:pPr>
        <w:keepNext w:val="0"/>
        <w:keepLines w:val="0"/>
        <w:pageBreakBefore w:val="0"/>
        <w:widowControl w:val="0"/>
        <w:kinsoku/>
        <w:wordWrap/>
        <w:overflowPunct/>
        <w:topLinePunct w:val="0"/>
        <w:autoSpaceDE/>
        <w:autoSpaceDN/>
        <w:bidi w:val="0"/>
        <w:adjustRightInd/>
        <w:snapToGrid/>
        <w:spacing w:line="560" w:lineRule="exact"/>
        <w:ind w:left="0" w:leftChars="0" w:right="0" w:firstLine="480" w:firstLineChars="200"/>
        <w:textAlignment w:val="auto"/>
        <w:rPr>
          <w:rFonts w:hint="eastAsia" w:ascii="宋体" w:hAnsi="宋体" w:eastAsia="宋体" w:cs="宋体"/>
          <w:spacing w:val="0"/>
          <w:w w:val="100"/>
          <w:sz w:val="24"/>
          <w:szCs w:val="24"/>
          <w:lang w:val="en-US" w:eastAsia="zh-CN"/>
        </w:rPr>
      </w:pPr>
      <w:r>
        <w:rPr>
          <w:rFonts w:hint="eastAsia" w:ascii="宋体" w:hAnsi="宋体" w:eastAsia="宋体" w:cs="宋体"/>
          <w:spacing w:val="0"/>
          <w:w w:val="100"/>
          <w:sz w:val="24"/>
          <w:szCs w:val="24"/>
          <w:lang w:val="en-US" w:eastAsia="zh-CN"/>
        </w:rPr>
        <w:t>项目区位于浅山区，土壤为沙质黄棕壤，土层厚度30 cm左右，PH值为弱酸性，为板栗实生区。</w:t>
      </w:r>
      <w:bookmarkEnd w:id="150"/>
      <w:bookmarkEnd w:id="151"/>
      <w:bookmarkEnd w:id="152"/>
      <w:bookmarkStart w:id="163" w:name="_Toc11282"/>
      <w:bookmarkStart w:id="164" w:name="_Toc14917"/>
    </w:p>
    <w:p w14:paraId="7E4D8C90">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宋体" w:hAnsi="宋体" w:eastAsia="宋体" w:cs="宋体"/>
          <w:b/>
          <w:bCs/>
          <w:spacing w:val="0"/>
          <w:w w:val="100"/>
          <w:kern w:val="2"/>
          <w:sz w:val="24"/>
          <w:szCs w:val="24"/>
          <w:lang w:val="en-US" w:eastAsia="zh-CN" w:bidi="ar-SA"/>
        </w:rPr>
      </w:pPr>
      <w:r>
        <w:rPr>
          <w:rFonts w:hint="eastAsia" w:ascii="宋体" w:hAnsi="宋体" w:eastAsia="宋体" w:cs="宋体"/>
          <w:b/>
          <w:bCs/>
          <w:spacing w:val="0"/>
          <w:w w:val="100"/>
          <w:kern w:val="2"/>
          <w:sz w:val="24"/>
          <w:szCs w:val="24"/>
          <w:lang w:val="en-US" w:eastAsia="zh-CN" w:bidi="ar-SA"/>
        </w:rPr>
        <w:t>5、植被</w:t>
      </w:r>
      <w:bookmarkEnd w:id="163"/>
      <w:bookmarkEnd w:id="164"/>
    </w:p>
    <w:p w14:paraId="6D7582DB">
      <w:pPr>
        <w:keepNext w:val="0"/>
        <w:keepLines w:val="0"/>
        <w:pageBreakBefore w:val="0"/>
        <w:widowControl w:val="0"/>
        <w:kinsoku/>
        <w:wordWrap/>
        <w:overflowPunct/>
        <w:topLinePunct w:val="0"/>
        <w:autoSpaceDE/>
        <w:autoSpaceDN/>
        <w:bidi w:val="0"/>
        <w:adjustRightInd/>
        <w:snapToGrid/>
        <w:spacing w:line="560" w:lineRule="exact"/>
        <w:ind w:left="0" w:leftChars="0" w:right="0" w:firstLine="480" w:firstLineChars="200"/>
        <w:textAlignment w:val="auto"/>
        <w:rPr>
          <w:rFonts w:hint="eastAsia" w:ascii="宋体" w:hAnsi="宋体" w:eastAsia="宋体" w:cs="宋体"/>
          <w:snapToGrid w:val="0"/>
          <w:color w:val="000000"/>
          <w:spacing w:val="0"/>
          <w:w w:val="100"/>
          <w:kern w:val="0"/>
          <w:sz w:val="24"/>
          <w:szCs w:val="24"/>
        </w:rPr>
      </w:pPr>
      <w:r>
        <w:rPr>
          <w:rFonts w:hint="eastAsia" w:ascii="宋体" w:hAnsi="宋体" w:eastAsia="宋体" w:cs="宋体"/>
          <w:spacing w:val="0"/>
          <w:w w:val="100"/>
          <w:sz w:val="24"/>
          <w:szCs w:val="24"/>
        </w:rPr>
        <w:t>山阳县兼备暖温带和亚</w:t>
      </w:r>
      <w:r>
        <w:rPr>
          <w:rFonts w:hint="eastAsia" w:ascii="宋体" w:hAnsi="宋体" w:eastAsia="宋体" w:cs="宋体"/>
          <w:snapToGrid w:val="0"/>
          <w:color w:val="000000"/>
          <w:spacing w:val="0"/>
          <w:w w:val="100"/>
          <w:kern w:val="0"/>
          <w:sz w:val="24"/>
          <w:szCs w:val="24"/>
        </w:rPr>
        <w:t>热带植被特征。据调查</w:t>
      </w:r>
      <w:r>
        <w:rPr>
          <w:rFonts w:hint="eastAsia" w:ascii="宋体" w:hAnsi="宋体" w:eastAsia="宋体" w:cs="宋体"/>
          <w:snapToGrid w:val="0"/>
          <w:color w:val="000000"/>
          <w:spacing w:val="0"/>
          <w:w w:val="100"/>
          <w:kern w:val="0"/>
          <w:sz w:val="24"/>
          <w:szCs w:val="24"/>
          <w:lang w:eastAsia="zh-CN"/>
        </w:rPr>
        <w:t>，</w:t>
      </w:r>
      <w:r>
        <w:rPr>
          <w:rFonts w:hint="eastAsia" w:ascii="宋体" w:hAnsi="宋体" w:eastAsia="宋体" w:cs="宋体"/>
          <w:snapToGrid w:val="0"/>
          <w:color w:val="000000"/>
          <w:spacing w:val="0"/>
          <w:w w:val="100"/>
          <w:kern w:val="0"/>
          <w:sz w:val="24"/>
          <w:szCs w:val="24"/>
        </w:rPr>
        <w:t>全县有高等植物300余科</w:t>
      </w:r>
      <w:r>
        <w:rPr>
          <w:rFonts w:hint="eastAsia" w:ascii="宋体" w:hAnsi="宋体" w:eastAsia="宋体" w:cs="宋体"/>
          <w:snapToGrid w:val="0"/>
          <w:color w:val="000000"/>
          <w:spacing w:val="0"/>
          <w:w w:val="100"/>
          <w:kern w:val="0"/>
          <w:sz w:val="24"/>
          <w:szCs w:val="24"/>
          <w:lang w:eastAsia="zh-CN"/>
        </w:rPr>
        <w:t>，</w:t>
      </w:r>
      <w:r>
        <w:rPr>
          <w:rFonts w:hint="eastAsia" w:ascii="宋体" w:hAnsi="宋体" w:eastAsia="宋体" w:cs="宋体"/>
          <w:snapToGrid w:val="0"/>
          <w:color w:val="000000"/>
          <w:spacing w:val="0"/>
          <w:w w:val="100"/>
          <w:kern w:val="0"/>
          <w:sz w:val="24"/>
          <w:szCs w:val="24"/>
        </w:rPr>
        <w:t>1600多种</w:t>
      </w:r>
      <w:r>
        <w:rPr>
          <w:rFonts w:hint="eastAsia" w:ascii="宋体" w:hAnsi="宋体" w:eastAsia="宋体" w:cs="宋体"/>
          <w:snapToGrid w:val="0"/>
          <w:color w:val="000000"/>
          <w:spacing w:val="0"/>
          <w:w w:val="100"/>
          <w:kern w:val="0"/>
          <w:sz w:val="24"/>
          <w:szCs w:val="24"/>
          <w:lang w:eastAsia="zh-CN"/>
        </w:rPr>
        <w:t>，</w:t>
      </w:r>
      <w:r>
        <w:rPr>
          <w:rFonts w:hint="eastAsia" w:ascii="宋体" w:hAnsi="宋体" w:eastAsia="宋体" w:cs="宋体"/>
          <w:snapToGrid w:val="0"/>
          <w:color w:val="000000"/>
          <w:spacing w:val="0"/>
          <w:w w:val="100"/>
          <w:kern w:val="0"/>
          <w:sz w:val="24"/>
          <w:szCs w:val="24"/>
        </w:rPr>
        <w:t>其中乔木树种62科、138属、近300种。森林覆盖率</w:t>
      </w:r>
      <w:r>
        <w:rPr>
          <w:rFonts w:hint="eastAsia" w:ascii="宋体" w:hAnsi="宋体" w:eastAsia="宋体" w:cs="宋体"/>
          <w:snapToGrid w:val="0"/>
          <w:color w:val="000000"/>
          <w:spacing w:val="-6"/>
          <w:w w:val="100"/>
          <w:kern w:val="0"/>
          <w:sz w:val="24"/>
          <w:szCs w:val="24"/>
          <w:lang w:val="en-US" w:eastAsia="zh-CN"/>
        </w:rPr>
        <w:t>72.33</w:t>
      </w:r>
      <w:r>
        <w:rPr>
          <w:rFonts w:hint="eastAsia" w:ascii="宋体" w:hAnsi="宋体" w:eastAsia="宋体" w:cs="宋体"/>
          <w:snapToGrid w:val="0"/>
          <w:color w:val="000000"/>
          <w:spacing w:val="-6"/>
          <w:w w:val="100"/>
          <w:kern w:val="0"/>
          <w:sz w:val="24"/>
          <w:szCs w:val="24"/>
        </w:rPr>
        <w:t>%。天然林以常绿针叶林和针阔叶混交林为主。森林植被类型</w:t>
      </w:r>
      <w:r>
        <w:rPr>
          <w:rFonts w:hint="eastAsia" w:ascii="宋体" w:hAnsi="宋体" w:eastAsia="宋体" w:cs="宋体"/>
          <w:snapToGrid w:val="0"/>
          <w:color w:val="000000"/>
          <w:spacing w:val="-6"/>
          <w:w w:val="100"/>
          <w:kern w:val="0"/>
          <w:sz w:val="24"/>
          <w:szCs w:val="24"/>
          <w:lang w:eastAsia="zh-CN"/>
        </w:rPr>
        <w:t>：</w:t>
      </w:r>
      <w:r>
        <w:rPr>
          <w:rFonts w:hint="eastAsia" w:ascii="宋体" w:hAnsi="宋体" w:eastAsia="宋体" w:cs="宋体"/>
          <w:snapToGrid w:val="0"/>
          <w:color w:val="000000"/>
          <w:spacing w:val="-6"/>
          <w:w w:val="100"/>
          <w:kern w:val="0"/>
          <w:sz w:val="24"/>
          <w:szCs w:val="24"/>
        </w:rPr>
        <w:t>油松林、</w:t>
      </w:r>
      <w:r>
        <w:rPr>
          <w:rFonts w:hint="eastAsia" w:ascii="宋体" w:hAnsi="宋体" w:eastAsia="宋体" w:cs="宋体"/>
          <w:snapToGrid w:val="0"/>
          <w:color w:val="000000"/>
          <w:spacing w:val="0"/>
          <w:w w:val="100"/>
          <w:kern w:val="0"/>
          <w:sz w:val="24"/>
          <w:szCs w:val="24"/>
        </w:rPr>
        <w:t>侧柏林、华山松林、栓皮栎林、锐齿栎林等</w:t>
      </w:r>
      <w:r>
        <w:rPr>
          <w:rFonts w:hint="eastAsia" w:ascii="宋体" w:hAnsi="宋体" w:eastAsia="宋体" w:cs="宋体"/>
          <w:snapToGrid w:val="0"/>
          <w:color w:val="000000"/>
          <w:spacing w:val="0"/>
          <w:w w:val="100"/>
          <w:kern w:val="0"/>
          <w:sz w:val="24"/>
          <w:szCs w:val="24"/>
          <w:lang w:eastAsia="zh-CN"/>
        </w:rPr>
        <w:t>；</w:t>
      </w:r>
      <w:r>
        <w:rPr>
          <w:rFonts w:hint="eastAsia" w:ascii="宋体" w:hAnsi="宋体" w:eastAsia="宋体" w:cs="宋体"/>
          <w:snapToGrid w:val="0"/>
          <w:color w:val="000000"/>
          <w:spacing w:val="0"/>
          <w:w w:val="100"/>
          <w:kern w:val="0"/>
          <w:sz w:val="24"/>
          <w:szCs w:val="24"/>
        </w:rPr>
        <w:t>林下</w:t>
      </w:r>
      <w:r>
        <w:rPr>
          <w:rFonts w:hint="eastAsia" w:ascii="宋体" w:hAnsi="宋体" w:eastAsia="宋体" w:cs="宋体"/>
          <w:snapToGrid w:val="0"/>
          <w:color w:val="000000"/>
          <w:spacing w:val="0"/>
          <w:w w:val="100"/>
          <w:kern w:val="0"/>
          <w:sz w:val="24"/>
          <w:szCs w:val="24"/>
          <w:lang w:eastAsia="zh-CN"/>
        </w:rPr>
        <w:t>主要</w:t>
      </w:r>
      <w:r>
        <w:rPr>
          <w:rFonts w:hint="eastAsia" w:ascii="宋体" w:hAnsi="宋体" w:eastAsia="宋体" w:cs="宋体"/>
          <w:snapToGrid w:val="0"/>
          <w:color w:val="000000"/>
          <w:spacing w:val="0"/>
          <w:w w:val="100"/>
          <w:kern w:val="0"/>
          <w:sz w:val="24"/>
          <w:szCs w:val="24"/>
        </w:rPr>
        <w:t>灌木</w:t>
      </w:r>
      <w:r>
        <w:rPr>
          <w:rFonts w:hint="eastAsia" w:ascii="宋体" w:hAnsi="宋体" w:eastAsia="宋体" w:cs="宋体"/>
          <w:snapToGrid w:val="0"/>
          <w:color w:val="000000"/>
          <w:spacing w:val="0"/>
          <w:w w:val="100"/>
          <w:kern w:val="0"/>
          <w:sz w:val="24"/>
          <w:szCs w:val="24"/>
          <w:lang w:eastAsia="zh-CN"/>
        </w:rPr>
        <w:t>：</w:t>
      </w:r>
      <w:r>
        <w:rPr>
          <w:rFonts w:hint="eastAsia" w:ascii="宋体" w:hAnsi="宋体" w:eastAsia="宋体" w:cs="宋体"/>
          <w:snapToGrid w:val="0"/>
          <w:color w:val="000000"/>
          <w:spacing w:val="0"/>
          <w:w w:val="100"/>
          <w:kern w:val="0"/>
          <w:sz w:val="24"/>
          <w:szCs w:val="24"/>
        </w:rPr>
        <w:t>连翘、黄栌、马桑、盐肤木、胡枝子等</w:t>
      </w:r>
      <w:r>
        <w:rPr>
          <w:rFonts w:hint="eastAsia" w:ascii="宋体" w:hAnsi="宋体" w:eastAsia="宋体" w:cs="宋体"/>
          <w:snapToGrid w:val="0"/>
          <w:color w:val="000000"/>
          <w:spacing w:val="0"/>
          <w:w w:val="100"/>
          <w:kern w:val="0"/>
          <w:sz w:val="24"/>
          <w:szCs w:val="24"/>
          <w:lang w:eastAsia="zh-CN"/>
        </w:rPr>
        <w:t>，</w:t>
      </w:r>
      <w:r>
        <w:rPr>
          <w:rFonts w:hint="eastAsia" w:ascii="宋体" w:hAnsi="宋体" w:eastAsia="宋体" w:cs="宋体"/>
          <w:snapToGrid w:val="0"/>
          <w:color w:val="000000"/>
          <w:spacing w:val="0"/>
          <w:w w:val="100"/>
          <w:kern w:val="0"/>
          <w:sz w:val="24"/>
          <w:szCs w:val="24"/>
        </w:rPr>
        <w:t>草本植物</w:t>
      </w:r>
      <w:r>
        <w:rPr>
          <w:rFonts w:hint="eastAsia" w:ascii="宋体" w:hAnsi="宋体" w:eastAsia="宋体" w:cs="宋体"/>
          <w:snapToGrid w:val="0"/>
          <w:color w:val="000000"/>
          <w:spacing w:val="0"/>
          <w:w w:val="100"/>
          <w:kern w:val="0"/>
          <w:sz w:val="24"/>
          <w:szCs w:val="24"/>
          <w:lang w:eastAsia="zh-CN"/>
        </w:rPr>
        <w:t>主要有</w:t>
      </w:r>
      <w:r>
        <w:rPr>
          <w:rFonts w:hint="eastAsia" w:ascii="宋体" w:hAnsi="宋体" w:eastAsia="宋体" w:cs="宋体"/>
          <w:snapToGrid w:val="0"/>
          <w:color w:val="000000"/>
          <w:spacing w:val="0"/>
          <w:w w:val="100"/>
          <w:kern w:val="0"/>
          <w:sz w:val="24"/>
          <w:szCs w:val="24"/>
        </w:rPr>
        <w:t>黄菅草、蒿类、白茅、山棉花等。主要珍稀树种</w:t>
      </w:r>
      <w:r>
        <w:rPr>
          <w:rFonts w:hint="eastAsia" w:ascii="宋体" w:hAnsi="宋体" w:eastAsia="宋体" w:cs="宋体"/>
          <w:snapToGrid w:val="0"/>
          <w:color w:val="000000"/>
          <w:spacing w:val="0"/>
          <w:w w:val="100"/>
          <w:kern w:val="0"/>
          <w:sz w:val="24"/>
          <w:szCs w:val="24"/>
          <w:lang w:eastAsia="zh-CN"/>
        </w:rPr>
        <w:t>：</w:t>
      </w:r>
      <w:r>
        <w:rPr>
          <w:rFonts w:hint="eastAsia" w:ascii="宋体" w:hAnsi="宋体" w:eastAsia="宋体" w:cs="宋体"/>
          <w:snapToGrid w:val="0"/>
          <w:color w:val="000000"/>
          <w:spacing w:val="0"/>
          <w:w w:val="100"/>
          <w:kern w:val="0"/>
          <w:sz w:val="24"/>
          <w:szCs w:val="24"/>
        </w:rPr>
        <w:t>珙桐、银杏、青檀、水杉、红豆杉等</w:t>
      </w:r>
      <w:r>
        <w:rPr>
          <w:rFonts w:hint="eastAsia" w:ascii="宋体" w:hAnsi="宋体" w:eastAsia="宋体" w:cs="宋体"/>
          <w:snapToGrid w:val="0"/>
          <w:color w:val="000000"/>
          <w:spacing w:val="0"/>
          <w:w w:val="100"/>
          <w:kern w:val="0"/>
          <w:sz w:val="24"/>
          <w:szCs w:val="24"/>
          <w:lang w:eastAsia="zh-CN"/>
        </w:rPr>
        <w:t>；</w:t>
      </w:r>
      <w:r>
        <w:rPr>
          <w:rFonts w:hint="eastAsia" w:ascii="宋体" w:hAnsi="宋体" w:eastAsia="宋体" w:cs="宋体"/>
          <w:snapToGrid w:val="0"/>
          <w:color w:val="000000"/>
          <w:spacing w:val="0"/>
          <w:w w:val="100"/>
          <w:kern w:val="0"/>
          <w:sz w:val="24"/>
          <w:szCs w:val="24"/>
        </w:rPr>
        <w:t>主要</w:t>
      </w:r>
      <w:r>
        <w:rPr>
          <w:rFonts w:hint="eastAsia" w:ascii="宋体" w:hAnsi="宋体" w:eastAsia="宋体" w:cs="宋体"/>
          <w:snapToGrid w:val="0"/>
          <w:color w:val="000000"/>
          <w:spacing w:val="0"/>
          <w:w w:val="100"/>
          <w:kern w:val="0"/>
          <w:sz w:val="24"/>
          <w:szCs w:val="24"/>
          <w:lang w:eastAsia="zh-CN"/>
        </w:rPr>
        <w:t>木本</w:t>
      </w:r>
      <w:r>
        <w:rPr>
          <w:rFonts w:hint="eastAsia" w:ascii="宋体" w:hAnsi="宋体" w:eastAsia="宋体" w:cs="宋体"/>
          <w:snapToGrid w:val="0"/>
          <w:color w:val="000000"/>
          <w:spacing w:val="0"/>
          <w:w w:val="100"/>
          <w:kern w:val="0"/>
          <w:sz w:val="24"/>
          <w:szCs w:val="24"/>
        </w:rPr>
        <w:t>药用</w:t>
      </w:r>
      <w:r>
        <w:rPr>
          <w:rFonts w:hint="eastAsia" w:ascii="宋体" w:hAnsi="宋体" w:eastAsia="宋体" w:cs="宋体"/>
          <w:snapToGrid w:val="0"/>
          <w:color w:val="000000"/>
          <w:spacing w:val="0"/>
          <w:w w:val="100"/>
          <w:kern w:val="0"/>
          <w:sz w:val="24"/>
          <w:szCs w:val="24"/>
          <w:lang w:eastAsia="zh-CN"/>
        </w:rPr>
        <w:t>植物：</w:t>
      </w:r>
      <w:r>
        <w:rPr>
          <w:rFonts w:hint="eastAsia" w:ascii="宋体" w:hAnsi="宋体" w:eastAsia="宋体" w:cs="宋体"/>
          <w:snapToGrid w:val="0"/>
          <w:color w:val="000000"/>
          <w:spacing w:val="0"/>
          <w:w w:val="100"/>
          <w:kern w:val="0"/>
          <w:sz w:val="24"/>
          <w:szCs w:val="24"/>
        </w:rPr>
        <w:t>连翘、杜仲、山茱萸、五味子等</w:t>
      </w:r>
      <w:r>
        <w:rPr>
          <w:rFonts w:hint="eastAsia" w:ascii="宋体" w:hAnsi="宋体" w:eastAsia="宋体" w:cs="宋体"/>
          <w:snapToGrid w:val="0"/>
          <w:color w:val="000000"/>
          <w:spacing w:val="0"/>
          <w:w w:val="100"/>
          <w:kern w:val="0"/>
          <w:sz w:val="24"/>
          <w:szCs w:val="24"/>
          <w:lang w:eastAsia="zh-CN"/>
        </w:rPr>
        <w:t>；</w:t>
      </w:r>
      <w:r>
        <w:rPr>
          <w:rFonts w:hint="eastAsia" w:ascii="宋体" w:hAnsi="宋体" w:eastAsia="宋体" w:cs="宋体"/>
          <w:snapToGrid w:val="0"/>
          <w:color w:val="000000"/>
          <w:spacing w:val="0"/>
          <w:w w:val="100"/>
          <w:kern w:val="0"/>
          <w:sz w:val="24"/>
          <w:szCs w:val="24"/>
        </w:rPr>
        <w:t>主要农作物</w:t>
      </w:r>
      <w:r>
        <w:rPr>
          <w:rFonts w:hint="eastAsia" w:ascii="宋体" w:hAnsi="宋体" w:eastAsia="宋体" w:cs="宋体"/>
          <w:snapToGrid w:val="0"/>
          <w:color w:val="000000"/>
          <w:spacing w:val="0"/>
          <w:w w:val="100"/>
          <w:kern w:val="0"/>
          <w:sz w:val="24"/>
          <w:szCs w:val="24"/>
          <w:lang w:eastAsia="zh-CN"/>
        </w:rPr>
        <w:t>：</w:t>
      </w:r>
      <w:r>
        <w:rPr>
          <w:rFonts w:hint="eastAsia" w:ascii="宋体" w:hAnsi="宋体" w:eastAsia="宋体" w:cs="宋体"/>
          <w:snapToGrid w:val="0"/>
          <w:color w:val="000000"/>
          <w:spacing w:val="0"/>
          <w:w w:val="100"/>
          <w:kern w:val="0"/>
          <w:sz w:val="24"/>
          <w:szCs w:val="24"/>
        </w:rPr>
        <w:t>小麦、玉米、豆类、薯类和药用作物等。村庄庭院</w:t>
      </w:r>
      <w:r>
        <w:rPr>
          <w:rFonts w:hint="eastAsia" w:ascii="宋体" w:hAnsi="宋体" w:eastAsia="宋体" w:cs="宋体"/>
          <w:snapToGrid w:val="0"/>
          <w:color w:val="000000"/>
          <w:spacing w:val="0"/>
          <w:w w:val="100"/>
          <w:kern w:val="0"/>
          <w:sz w:val="24"/>
          <w:szCs w:val="24"/>
          <w:lang w:eastAsia="zh-CN"/>
        </w:rPr>
        <w:t>：</w:t>
      </w:r>
      <w:r>
        <w:rPr>
          <w:rFonts w:hint="eastAsia" w:ascii="宋体" w:hAnsi="宋体" w:eastAsia="宋体" w:cs="宋体"/>
          <w:snapToGrid w:val="0"/>
          <w:color w:val="000000"/>
          <w:spacing w:val="0"/>
          <w:w w:val="100"/>
          <w:kern w:val="0"/>
          <w:sz w:val="24"/>
          <w:szCs w:val="24"/>
        </w:rPr>
        <w:t>核桃、香椿、杨树、柳树、水杂果等。</w:t>
      </w:r>
    </w:p>
    <w:p w14:paraId="554BF090">
      <w:pPr>
        <w:keepNext w:val="0"/>
        <w:keepLines w:val="0"/>
        <w:pageBreakBefore w:val="0"/>
        <w:widowControl w:val="0"/>
        <w:kinsoku/>
        <w:wordWrap/>
        <w:overflowPunct/>
        <w:topLinePunct w:val="0"/>
        <w:autoSpaceDE/>
        <w:autoSpaceDN/>
        <w:bidi w:val="0"/>
        <w:adjustRightInd/>
        <w:snapToGrid/>
        <w:spacing w:line="560" w:lineRule="exact"/>
        <w:ind w:left="0" w:leftChars="0" w:right="0" w:firstLine="480" w:firstLineChars="200"/>
        <w:textAlignment w:val="auto"/>
        <w:rPr>
          <w:rFonts w:hint="eastAsia" w:ascii="宋体" w:hAnsi="宋体" w:eastAsia="宋体" w:cs="宋体"/>
          <w:snapToGrid w:val="0"/>
          <w:color w:val="000000"/>
          <w:spacing w:val="0"/>
          <w:w w:val="100"/>
          <w:kern w:val="0"/>
          <w:sz w:val="24"/>
          <w:szCs w:val="24"/>
          <w:lang w:val="en-US" w:eastAsia="zh-CN"/>
        </w:rPr>
      </w:pPr>
      <w:r>
        <w:rPr>
          <w:rFonts w:hint="eastAsia" w:ascii="宋体" w:hAnsi="宋体" w:eastAsia="宋体" w:cs="宋体"/>
          <w:snapToGrid w:val="0"/>
          <w:color w:val="000000"/>
          <w:spacing w:val="0"/>
          <w:w w:val="100"/>
          <w:kern w:val="0"/>
          <w:sz w:val="24"/>
          <w:szCs w:val="24"/>
          <w:lang w:val="en-US" w:eastAsia="zh-CN"/>
        </w:rPr>
        <w:t>项目区主要乔木树种有油松、栎类、阔类等，经济树种有核桃、板栗等，灌木树种主要有连翘、马桑、盐肤木等，草本植物主要有思茅、蒿草、蕨类等。</w:t>
      </w:r>
      <w:bookmarkStart w:id="165" w:name="_Toc24135"/>
      <w:bookmarkStart w:id="166" w:name="_Toc28913"/>
    </w:p>
    <w:bookmarkEnd w:id="165"/>
    <w:bookmarkEnd w:id="166"/>
    <w:p w14:paraId="4F27B0C8">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right="0"/>
        <w:jc w:val="both"/>
        <w:textAlignment w:val="auto"/>
        <w:rPr>
          <w:rFonts w:hint="eastAsia" w:ascii="宋体" w:hAnsi="宋体" w:eastAsia="宋体" w:cs="宋体"/>
          <w:snapToGrid w:val="0"/>
          <w:color w:val="000000"/>
          <w:spacing w:val="0"/>
          <w:w w:val="100"/>
          <w:kern w:val="0"/>
          <w:sz w:val="24"/>
          <w:szCs w:val="24"/>
        </w:rPr>
      </w:pPr>
      <w:bookmarkStart w:id="167" w:name="_Toc29546"/>
      <w:bookmarkStart w:id="168" w:name="_Toc29368"/>
      <w:r>
        <w:rPr>
          <w:rFonts w:hint="eastAsia" w:ascii="宋体" w:hAnsi="宋体" w:eastAsia="宋体" w:cs="宋体"/>
          <w:sz w:val="24"/>
          <w:szCs w:val="24"/>
          <w:lang w:val="en-US" w:eastAsia="zh-CN"/>
        </w:rPr>
        <w:t>6、</w:t>
      </w:r>
      <w:r>
        <w:rPr>
          <w:rFonts w:hint="eastAsia" w:ascii="宋体" w:hAnsi="宋体" w:eastAsia="宋体" w:cs="宋体"/>
          <w:sz w:val="24"/>
          <w:szCs w:val="24"/>
        </w:rPr>
        <w:t>社会经济</w:t>
      </w:r>
      <w:bookmarkEnd w:id="167"/>
      <w:bookmarkEnd w:id="168"/>
    </w:p>
    <w:p w14:paraId="41328AA5">
      <w:pPr>
        <w:keepNext w:val="0"/>
        <w:keepLines w:val="0"/>
        <w:pageBreakBefore w:val="0"/>
        <w:widowControl w:val="0"/>
        <w:kinsoku/>
        <w:wordWrap/>
        <w:overflowPunct/>
        <w:topLinePunct w:val="0"/>
        <w:autoSpaceDE/>
        <w:autoSpaceDN/>
        <w:bidi w:val="0"/>
        <w:adjustRightInd/>
        <w:snapToGrid/>
        <w:spacing w:line="560" w:lineRule="exact"/>
        <w:ind w:left="0" w:leftChars="0" w:right="0" w:firstLine="480" w:firstLineChars="200"/>
        <w:textAlignment w:val="auto"/>
        <w:rPr>
          <w:rFonts w:hint="eastAsia" w:ascii="宋体" w:hAnsi="宋体" w:eastAsia="宋体" w:cs="宋体"/>
          <w:snapToGrid w:val="0"/>
          <w:color w:val="auto"/>
          <w:spacing w:val="0"/>
          <w:w w:val="100"/>
          <w:kern w:val="0"/>
          <w:sz w:val="24"/>
          <w:szCs w:val="24"/>
        </w:rPr>
      </w:pPr>
      <w:r>
        <w:rPr>
          <w:rFonts w:hint="eastAsia" w:ascii="宋体" w:hAnsi="宋体" w:eastAsia="宋体" w:cs="宋体"/>
          <w:snapToGrid w:val="0"/>
          <w:color w:val="000000"/>
          <w:spacing w:val="0"/>
          <w:w w:val="100"/>
          <w:kern w:val="0"/>
          <w:sz w:val="24"/>
          <w:szCs w:val="24"/>
        </w:rPr>
        <w:t>全县辖16个镇、2个街道，198个行政村、4</w:t>
      </w:r>
      <w:r>
        <w:rPr>
          <w:rFonts w:hint="eastAsia" w:ascii="宋体" w:hAnsi="宋体" w:eastAsia="宋体" w:cs="宋体"/>
          <w:snapToGrid w:val="0"/>
          <w:color w:val="000000"/>
          <w:spacing w:val="0"/>
          <w:w w:val="100"/>
          <w:kern w:val="0"/>
          <w:sz w:val="24"/>
          <w:szCs w:val="24"/>
          <w:lang w:val="en-US" w:eastAsia="zh-CN"/>
        </w:rPr>
        <w:t>5</w:t>
      </w:r>
      <w:r>
        <w:rPr>
          <w:rFonts w:hint="eastAsia" w:ascii="宋体" w:hAnsi="宋体" w:eastAsia="宋体" w:cs="宋体"/>
          <w:snapToGrid w:val="0"/>
          <w:color w:val="000000"/>
          <w:spacing w:val="0"/>
          <w:w w:val="100"/>
          <w:kern w:val="0"/>
          <w:sz w:val="24"/>
          <w:szCs w:val="24"/>
        </w:rPr>
        <w:t>个社区</w:t>
      </w:r>
      <w:r>
        <w:rPr>
          <w:rFonts w:hint="eastAsia" w:ascii="宋体" w:hAnsi="宋体" w:eastAsia="宋体" w:cs="宋体"/>
          <w:snapToGrid w:val="0"/>
          <w:color w:val="auto"/>
          <w:spacing w:val="0"/>
          <w:w w:val="100"/>
          <w:kern w:val="0"/>
          <w:sz w:val="24"/>
          <w:szCs w:val="24"/>
        </w:rPr>
        <w:t>。20</w:t>
      </w:r>
      <w:r>
        <w:rPr>
          <w:rFonts w:hint="eastAsia" w:ascii="宋体" w:hAnsi="宋体" w:eastAsia="宋体" w:cs="宋体"/>
          <w:snapToGrid w:val="0"/>
          <w:color w:val="auto"/>
          <w:spacing w:val="0"/>
          <w:w w:val="100"/>
          <w:kern w:val="0"/>
          <w:sz w:val="24"/>
          <w:szCs w:val="24"/>
          <w:lang w:val="en-US" w:eastAsia="zh-CN"/>
        </w:rPr>
        <w:t>24</w:t>
      </w:r>
      <w:r>
        <w:rPr>
          <w:rFonts w:hint="eastAsia" w:ascii="宋体" w:hAnsi="宋体" w:eastAsia="宋体" w:cs="宋体"/>
          <w:snapToGrid w:val="0"/>
          <w:color w:val="auto"/>
          <w:spacing w:val="0"/>
          <w:w w:val="100"/>
          <w:kern w:val="0"/>
          <w:sz w:val="24"/>
          <w:szCs w:val="24"/>
        </w:rPr>
        <w:t>年，全县户籍15.48万户、46.</w:t>
      </w:r>
      <w:r>
        <w:rPr>
          <w:rFonts w:hint="eastAsia" w:ascii="宋体" w:hAnsi="宋体" w:eastAsia="宋体" w:cs="宋体"/>
          <w:snapToGrid w:val="0"/>
          <w:color w:val="auto"/>
          <w:spacing w:val="0"/>
          <w:w w:val="100"/>
          <w:kern w:val="0"/>
          <w:sz w:val="24"/>
          <w:szCs w:val="24"/>
          <w:lang w:val="en-US" w:eastAsia="zh-CN"/>
        </w:rPr>
        <w:t>37</w:t>
      </w:r>
      <w:r>
        <w:rPr>
          <w:rFonts w:hint="eastAsia" w:ascii="宋体" w:hAnsi="宋体" w:eastAsia="宋体" w:cs="宋体"/>
          <w:snapToGrid w:val="0"/>
          <w:color w:val="auto"/>
          <w:spacing w:val="0"/>
          <w:w w:val="100"/>
          <w:kern w:val="0"/>
          <w:sz w:val="24"/>
          <w:szCs w:val="24"/>
        </w:rPr>
        <w:t>万人</w:t>
      </w:r>
      <w:r>
        <w:rPr>
          <w:rFonts w:hint="eastAsia" w:ascii="宋体" w:hAnsi="宋体" w:eastAsia="宋体" w:cs="宋体"/>
          <w:snapToGrid w:val="0"/>
          <w:color w:val="auto"/>
          <w:spacing w:val="0"/>
          <w:w w:val="100"/>
          <w:kern w:val="0"/>
          <w:sz w:val="24"/>
          <w:szCs w:val="24"/>
          <w:lang w:eastAsia="zh-CN"/>
        </w:rPr>
        <w:t>，</w:t>
      </w:r>
      <w:r>
        <w:rPr>
          <w:rFonts w:hint="eastAsia" w:ascii="宋体" w:hAnsi="宋体" w:eastAsia="宋体" w:cs="宋体"/>
          <w:snapToGrid w:val="0"/>
          <w:color w:val="auto"/>
          <w:spacing w:val="0"/>
          <w:w w:val="100"/>
          <w:kern w:val="0"/>
          <w:sz w:val="24"/>
          <w:szCs w:val="24"/>
          <w:lang w:val="en-US" w:eastAsia="zh-CN"/>
        </w:rPr>
        <w:t>常住人口35.75万人</w:t>
      </w:r>
      <w:r>
        <w:rPr>
          <w:rFonts w:hint="eastAsia" w:ascii="宋体" w:hAnsi="宋体" w:eastAsia="宋体" w:cs="宋体"/>
          <w:snapToGrid w:val="0"/>
          <w:color w:val="auto"/>
          <w:spacing w:val="0"/>
          <w:w w:val="100"/>
          <w:kern w:val="0"/>
          <w:sz w:val="24"/>
          <w:szCs w:val="24"/>
        </w:rPr>
        <w:t>。乡村户数10.83万户、41.38万人，乡村劳动力17.66万人。其中</w:t>
      </w:r>
      <w:r>
        <w:rPr>
          <w:rFonts w:hint="eastAsia" w:ascii="宋体" w:hAnsi="宋体" w:eastAsia="宋体" w:cs="宋体"/>
          <w:snapToGrid w:val="0"/>
          <w:color w:val="auto"/>
          <w:spacing w:val="0"/>
          <w:w w:val="100"/>
          <w:kern w:val="0"/>
          <w:sz w:val="24"/>
          <w:szCs w:val="24"/>
          <w:lang w:val="en-US" w:eastAsia="zh-CN"/>
        </w:rPr>
        <w:t>脱贫</w:t>
      </w:r>
      <w:r>
        <w:rPr>
          <w:rFonts w:hint="eastAsia" w:ascii="宋体" w:hAnsi="宋体" w:eastAsia="宋体" w:cs="宋体"/>
          <w:snapToGrid w:val="0"/>
          <w:color w:val="auto"/>
          <w:spacing w:val="0"/>
          <w:w w:val="100"/>
          <w:kern w:val="0"/>
          <w:sz w:val="24"/>
          <w:szCs w:val="24"/>
        </w:rPr>
        <w:t>人口3.09万户、10.73万人。完成生产总值</w:t>
      </w:r>
      <w:r>
        <w:rPr>
          <w:rFonts w:hint="eastAsia" w:ascii="宋体" w:hAnsi="宋体" w:eastAsia="宋体" w:cs="宋体"/>
          <w:snapToGrid w:val="0"/>
          <w:color w:val="auto"/>
          <w:spacing w:val="0"/>
          <w:w w:val="100"/>
          <w:kern w:val="0"/>
          <w:sz w:val="24"/>
          <w:szCs w:val="24"/>
          <w:lang w:val="en-US" w:eastAsia="zh-CN"/>
        </w:rPr>
        <w:t>171.75</w:t>
      </w:r>
      <w:r>
        <w:rPr>
          <w:rFonts w:hint="eastAsia" w:ascii="宋体" w:hAnsi="宋体" w:eastAsia="宋体" w:cs="宋体"/>
          <w:snapToGrid w:val="0"/>
          <w:color w:val="auto"/>
          <w:spacing w:val="0"/>
          <w:w w:val="100"/>
          <w:kern w:val="0"/>
          <w:sz w:val="24"/>
          <w:szCs w:val="24"/>
        </w:rPr>
        <w:t>亿元。财政总收入</w:t>
      </w:r>
      <w:r>
        <w:rPr>
          <w:rFonts w:hint="eastAsia" w:ascii="宋体" w:hAnsi="宋体" w:eastAsia="宋体" w:cs="宋体"/>
          <w:snapToGrid w:val="0"/>
          <w:color w:val="auto"/>
          <w:spacing w:val="0"/>
          <w:w w:val="100"/>
          <w:kern w:val="0"/>
          <w:sz w:val="24"/>
          <w:szCs w:val="24"/>
          <w:lang w:val="en-US" w:eastAsia="zh-CN"/>
        </w:rPr>
        <w:t>5.50</w:t>
      </w:r>
      <w:r>
        <w:rPr>
          <w:rFonts w:hint="eastAsia" w:ascii="宋体" w:hAnsi="宋体" w:eastAsia="宋体" w:cs="宋体"/>
          <w:snapToGrid w:val="0"/>
          <w:color w:val="auto"/>
          <w:spacing w:val="0"/>
          <w:w w:val="100"/>
          <w:kern w:val="0"/>
          <w:sz w:val="24"/>
          <w:szCs w:val="24"/>
        </w:rPr>
        <w:t>亿元，地方财政收入3.</w:t>
      </w:r>
      <w:r>
        <w:rPr>
          <w:rFonts w:hint="eastAsia" w:ascii="宋体" w:hAnsi="宋体" w:eastAsia="宋体" w:cs="宋体"/>
          <w:snapToGrid w:val="0"/>
          <w:color w:val="auto"/>
          <w:spacing w:val="0"/>
          <w:w w:val="100"/>
          <w:kern w:val="0"/>
          <w:sz w:val="24"/>
          <w:szCs w:val="24"/>
          <w:lang w:val="en-US" w:eastAsia="zh-CN"/>
        </w:rPr>
        <w:t>43</w:t>
      </w:r>
      <w:r>
        <w:rPr>
          <w:rFonts w:hint="eastAsia" w:ascii="宋体" w:hAnsi="宋体" w:eastAsia="宋体" w:cs="宋体"/>
          <w:snapToGrid w:val="0"/>
          <w:color w:val="auto"/>
          <w:spacing w:val="0"/>
          <w:w w:val="100"/>
          <w:kern w:val="0"/>
          <w:sz w:val="24"/>
          <w:szCs w:val="24"/>
        </w:rPr>
        <w:t>亿元，乡村居民人均可支配收入</w:t>
      </w:r>
      <w:r>
        <w:rPr>
          <w:rFonts w:hint="eastAsia" w:ascii="宋体" w:hAnsi="宋体" w:eastAsia="宋体" w:cs="宋体"/>
          <w:snapToGrid w:val="0"/>
          <w:color w:val="auto"/>
          <w:spacing w:val="0"/>
          <w:w w:val="100"/>
          <w:kern w:val="0"/>
          <w:sz w:val="24"/>
          <w:szCs w:val="24"/>
          <w:lang w:val="en-US" w:eastAsia="zh-CN"/>
        </w:rPr>
        <w:t>12755</w:t>
      </w:r>
      <w:r>
        <w:rPr>
          <w:rFonts w:hint="eastAsia" w:ascii="宋体" w:hAnsi="宋体" w:eastAsia="宋体" w:cs="宋体"/>
          <w:snapToGrid w:val="0"/>
          <w:color w:val="auto"/>
          <w:spacing w:val="0"/>
          <w:w w:val="100"/>
          <w:kern w:val="0"/>
          <w:sz w:val="24"/>
          <w:szCs w:val="24"/>
        </w:rPr>
        <w:t>元，</w:t>
      </w:r>
      <w:r>
        <w:rPr>
          <w:rFonts w:hint="eastAsia" w:ascii="宋体" w:hAnsi="宋体" w:eastAsia="宋体" w:cs="宋体"/>
          <w:snapToGrid w:val="0"/>
          <w:color w:val="auto"/>
          <w:spacing w:val="0"/>
          <w:w w:val="100"/>
          <w:kern w:val="0"/>
          <w:sz w:val="24"/>
          <w:szCs w:val="24"/>
          <w:lang w:eastAsia="zh-CN"/>
        </w:rPr>
        <w:t>城镇</w:t>
      </w:r>
      <w:r>
        <w:rPr>
          <w:rFonts w:hint="eastAsia" w:ascii="宋体" w:hAnsi="宋体" w:eastAsia="宋体" w:cs="宋体"/>
          <w:snapToGrid w:val="0"/>
          <w:color w:val="auto"/>
          <w:spacing w:val="0"/>
          <w:w w:val="100"/>
          <w:kern w:val="0"/>
          <w:sz w:val="24"/>
          <w:szCs w:val="24"/>
        </w:rPr>
        <w:t>居民人均可支配收入</w:t>
      </w:r>
      <w:r>
        <w:rPr>
          <w:rFonts w:hint="eastAsia" w:ascii="宋体" w:hAnsi="宋体" w:eastAsia="宋体" w:cs="宋体"/>
          <w:snapToGrid w:val="0"/>
          <w:color w:val="auto"/>
          <w:spacing w:val="0"/>
          <w:w w:val="100"/>
          <w:kern w:val="0"/>
          <w:sz w:val="24"/>
          <w:szCs w:val="24"/>
          <w:lang w:val="en-US" w:eastAsia="zh-CN"/>
        </w:rPr>
        <w:t>28027</w:t>
      </w:r>
      <w:r>
        <w:rPr>
          <w:rFonts w:hint="eastAsia" w:ascii="宋体" w:hAnsi="宋体" w:eastAsia="宋体" w:cs="宋体"/>
          <w:snapToGrid w:val="0"/>
          <w:color w:val="auto"/>
          <w:spacing w:val="0"/>
          <w:w w:val="100"/>
          <w:kern w:val="0"/>
          <w:sz w:val="24"/>
          <w:szCs w:val="24"/>
        </w:rPr>
        <w:t>元。</w:t>
      </w:r>
    </w:p>
    <w:p w14:paraId="0C9F15D1">
      <w:pPr>
        <w:keepNext w:val="0"/>
        <w:keepLines w:val="0"/>
        <w:pageBreakBefore w:val="0"/>
        <w:widowControl w:val="0"/>
        <w:kinsoku/>
        <w:wordWrap/>
        <w:overflowPunct/>
        <w:topLinePunct w:val="0"/>
        <w:autoSpaceDE/>
        <w:autoSpaceDN/>
        <w:bidi w:val="0"/>
        <w:adjustRightInd/>
        <w:snapToGrid/>
        <w:spacing w:line="560" w:lineRule="exact"/>
        <w:ind w:left="0" w:leftChars="0" w:right="0" w:firstLine="480" w:firstLineChars="200"/>
        <w:textAlignment w:val="auto"/>
        <w:rPr>
          <w:rFonts w:hint="eastAsia" w:ascii="宋体" w:hAnsi="宋体" w:eastAsia="宋体" w:cs="宋体"/>
          <w:snapToGrid w:val="0"/>
          <w:color w:val="auto"/>
          <w:spacing w:val="0"/>
          <w:w w:val="100"/>
          <w:kern w:val="0"/>
          <w:sz w:val="24"/>
          <w:szCs w:val="24"/>
          <w:lang w:val="en-US" w:eastAsia="zh-CN"/>
        </w:rPr>
      </w:pPr>
      <w:r>
        <w:rPr>
          <w:rFonts w:hint="eastAsia" w:ascii="宋体" w:hAnsi="宋体" w:eastAsia="宋体" w:cs="宋体"/>
          <w:b w:val="0"/>
          <w:bCs w:val="0"/>
          <w:snapToGrid w:val="0"/>
          <w:color w:val="auto"/>
          <w:spacing w:val="0"/>
          <w:w w:val="100"/>
          <w:kern w:val="0"/>
          <w:sz w:val="24"/>
          <w:szCs w:val="24"/>
        </w:rPr>
        <w:t>项目区</w:t>
      </w:r>
      <w:r>
        <w:rPr>
          <w:rFonts w:hint="eastAsia" w:ascii="宋体" w:hAnsi="宋体" w:eastAsia="宋体" w:cs="宋体"/>
          <w:snapToGrid w:val="0"/>
          <w:color w:val="auto"/>
          <w:spacing w:val="0"/>
          <w:w w:val="100"/>
          <w:kern w:val="0"/>
          <w:sz w:val="24"/>
          <w:szCs w:val="24"/>
        </w:rPr>
        <w:t>涉及</w:t>
      </w:r>
      <w:r>
        <w:rPr>
          <w:rFonts w:hint="eastAsia" w:ascii="宋体" w:hAnsi="宋体" w:eastAsia="宋体" w:cs="宋体"/>
          <w:snapToGrid w:val="0"/>
          <w:color w:val="auto"/>
          <w:spacing w:val="0"/>
          <w:w w:val="100"/>
          <w:kern w:val="0"/>
          <w:sz w:val="24"/>
          <w:szCs w:val="24"/>
          <w:lang w:val="en-US" w:eastAsia="zh-CN"/>
        </w:rPr>
        <w:t>4</w:t>
      </w:r>
      <w:r>
        <w:rPr>
          <w:rFonts w:hint="eastAsia" w:ascii="宋体" w:hAnsi="宋体" w:eastAsia="宋体" w:cs="宋体"/>
          <w:snapToGrid w:val="0"/>
          <w:color w:val="auto"/>
          <w:spacing w:val="0"/>
          <w:w w:val="100"/>
          <w:kern w:val="0"/>
          <w:sz w:val="24"/>
          <w:szCs w:val="24"/>
        </w:rPr>
        <w:t>个镇</w:t>
      </w:r>
      <w:r>
        <w:rPr>
          <w:rFonts w:hint="eastAsia" w:ascii="宋体" w:hAnsi="宋体" w:eastAsia="宋体" w:cs="宋体"/>
          <w:snapToGrid w:val="0"/>
          <w:color w:val="auto"/>
          <w:spacing w:val="0"/>
          <w:w w:val="100"/>
          <w:kern w:val="0"/>
          <w:sz w:val="24"/>
          <w:szCs w:val="24"/>
          <w:lang w:val="en-US" w:eastAsia="zh-CN"/>
        </w:rPr>
        <w:t>办8</w:t>
      </w:r>
      <w:r>
        <w:rPr>
          <w:rFonts w:hint="eastAsia" w:ascii="宋体" w:hAnsi="宋体" w:eastAsia="宋体" w:cs="宋体"/>
          <w:snapToGrid w:val="0"/>
          <w:color w:val="auto"/>
          <w:spacing w:val="0"/>
          <w:w w:val="100"/>
          <w:kern w:val="0"/>
          <w:sz w:val="24"/>
          <w:szCs w:val="24"/>
        </w:rPr>
        <w:t>个村社。</w:t>
      </w:r>
      <w:r>
        <w:rPr>
          <w:rFonts w:hint="eastAsia" w:ascii="宋体" w:hAnsi="宋体" w:eastAsia="宋体" w:cs="宋体"/>
          <w:snapToGrid w:val="0"/>
          <w:color w:val="auto"/>
          <w:spacing w:val="0"/>
          <w:w w:val="100"/>
          <w:kern w:val="0"/>
          <w:sz w:val="24"/>
          <w:szCs w:val="24"/>
          <w:lang w:val="en-US" w:eastAsia="zh-CN"/>
        </w:rPr>
        <w:t>2024年，</w:t>
      </w:r>
      <w:r>
        <w:rPr>
          <w:rFonts w:hint="eastAsia" w:ascii="宋体" w:hAnsi="宋体" w:eastAsia="宋体" w:cs="宋体"/>
          <w:snapToGrid w:val="0"/>
          <w:color w:val="auto"/>
          <w:spacing w:val="0"/>
          <w:w w:val="100"/>
          <w:kern w:val="0"/>
          <w:sz w:val="24"/>
          <w:szCs w:val="24"/>
        </w:rPr>
        <w:t>户籍</w:t>
      </w:r>
      <w:r>
        <w:rPr>
          <w:rFonts w:hint="eastAsia" w:ascii="宋体" w:hAnsi="宋体" w:eastAsia="宋体" w:cs="宋体"/>
          <w:snapToGrid w:val="0"/>
          <w:color w:val="auto"/>
          <w:spacing w:val="0"/>
          <w:w w:val="100"/>
          <w:kern w:val="0"/>
          <w:sz w:val="24"/>
          <w:szCs w:val="24"/>
          <w:lang w:val="en-US" w:eastAsia="zh-CN"/>
        </w:rPr>
        <w:t>人口4971</w:t>
      </w:r>
      <w:r>
        <w:rPr>
          <w:rFonts w:hint="eastAsia" w:ascii="宋体" w:hAnsi="宋体" w:eastAsia="宋体" w:cs="宋体"/>
          <w:snapToGrid w:val="0"/>
          <w:color w:val="auto"/>
          <w:spacing w:val="0"/>
          <w:w w:val="100"/>
          <w:kern w:val="0"/>
          <w:sz w:val="24"/>
          <w:szCs w:val="24"/>
        </w:rPr>
        <w:t>户</w:t>
      </w:r>
      <w:r>
        <w:rPr>
          <w:rFonts w:hint="eastAsia" w:ascii="宋体" w:hAnsi="宋体" w:eastAsia="宋体" w:cs="宋体"/>
          <w:snapToGrid w:val="0"/>
          <w:color w:val="auto"/>
          <w:spacing w:val="0"/>
          <w:w w:val="100"/>
          <w:kern w:val="0"/>
          <w:sz w:val="24"/>
          <w:szCs w:val="24"/>
          <w:lang w:val="en-US" w:eastAsia="zh-CN"/>
        </w:rPr>
        <w:t>15713</w:t>
      </w:r>
      <w:r>
        <w:rPr>
          <w:rFonts w:hint="eastAsia" w:ascii="宋体" w:hAnsi="宋体" w:eastAsia="宋体" w:cs="宋体"/>
          <w:snapToGrid w:val="0"/>
          <w:color w:val="auto"/>
          <w:spacing w:val="0"/>
          <w:w w:val="100"/>
          <w:kern w:val="0"/>
          <w:sz w:val="24"/>
          <w:szCs w:val="24"/>
        </w:rPr>
        <w:t>人，劳动力</w:t>
      </w:r>
      <w:r>
        <w:rPr>
          <w:rFonts w:hint="eastAsia" w:ascii="宋体" w:hAnsi="宋体" w:eastAsia="宋体" w:cs="宋体"/>
          <w:snapToGrid w:val="0"/>
          <w:color w:val="auto"/>
          <w:spacing w:val="0"/>
          <w:w w:val="100"/>
          <w:kern w:val="0"/>
          <w:sz w:val="24"/>
          <w:szCs w:val="24"/>
          <w:lang w:val="en-US" w:eastAsia="zh-CN"/>
        </w:rPr>
        <w:t>7057</w:t>
      </w:r>
      <w:r>
        <w:rPr>
          <w:rFonts w:hint="eastAsia" w:ascii="宋体" w:hAnsi="宋体" w:eastAsia="宋体" w:cs="宋体"/>
          <w:snapToGrid w:val="0"/>
          <w:color w:val="auto"/>
          <w:spacing w:val="0"/>
          <w:w w:val="100"/>
          <w:kern w:val="0"/>
          <w:sz w:val="24"/>
          <w:szCs w:val="24"/>
        </w:rPr>
        <w:t>人。其中</w:t>
      </w:r>
      <w:r>
        <w:rPr>
          <w:rFonts w:hint="eastAsia" w:ascii="宋体" w:hAnsi="宋体" w:eastAsia="宋体" w:cs="宋体"/>
          <w:snapToGrid w:val="0"/>
          <w:color w:val="auto"/>
          <w:spacing w:val="0"/>
          <w:w w:val="100"/>
          <w:kern w:val="0"/>
          <w:sz w:val="24"/>
          <w:szCs w:val="24"/>
          <w:lang w:val="en-US" w:eastAsia="zh-CN"/>
        </w:rPr>
        <w:t>脱</w:t>
      </w:r>
      <w:r>
        <w:rPr>
          <w:rFonts w:hint="eastAsia" w:ascii="宋体" w:hAnsi="宋体" w:eastAsia="宋体" w:cs="宋体"/>
          <w:snapToGrid w:val="0"/>
          <w:color w:val="auto"/>
          <w:spacing w:val="0"/>
          <w:w w:val="100"/>
          <w:kern w:val="0"/>
          <w:sz w:val="24"/>
          <w:szCs w:val="24"/>
        </w:rPr>
        <w:t>贫户</w:t>
      </w:r>
      <w:r>
        <w:rPr>
          <w:rFonts w:hint="eastAsia" w:ascii="宋体" w:hAnsi="宋体" w:eastAsia="宋体" w:cs="宋体"/>
          <w:snapToGrid w:val="0"/>
          <w:color w:val="auto"/>
          <w:spacing w:val="0"/>
          <w:w w:val="100"/>
          <w:kern w:val="0"/>
          <w:sz w:val="24"/>
          <w:szCs w:val="24"/>
          <w:lang w:val="en-US" w:eastAsia="zh-CN"/>
        </w:rPr>
        <w:t>1149</w:t>
      </w:r>
      <w:r>
        <w:rPr>
          <w:rFonts w:hint="eastAsia" w:ascii="宋体" w:hAnsi="宋体" w:eastAsia="宋体" w:cs="宋体"/>
          <w:snapToGrid w:val="0"/>
          <w:color w:val="auto"/>
          <w:spacing w:val="0"/>
          <w:w w:val="100"/>
          <w:kern w:val="0"/>
          <w:sz w:val="24"/>
          <w:szCs w:val="24"/>
        </w:rPr>
        <w:t>户</w:t>
      </w:r>
      <w:r>
        <w:rPr>
          <w:rFonts w:hint="eastAsia" w:ascii="宋体" w:hAnsi="宋体" w:eastAsia="宋体" w:cs="宋体"/>
          <w:snapToGrid w:val="0"/>
          <w:color w:val="auto"/>
          <w:spacing w:val="0"/>
          <w:w w:val="100"/>
          <w:kern w:val="0"/>
          <w:sz w:val="24"/>
          <w:szCs w:val="24"/>
          <w:lang w:val="en-US" w:eastAsia="zh-CN"/>
        </w:rPr>
        <w:t>3485</w:t>
      </w:r>
      <w:r>
        <w:rPr>
          <w:rFonts w:hint="eastAsia" w:ascii="宋体" w:hAnsi="宋体" w:eastAsia="宋体" w:cs="宋体"/>
          <w:snapToGrid w:val="0"/>
          <w:color w:val="auto"/>
          <w:spacing w:val="0"/>
          <w:w w:val="100"/>
          <w:kern w:val="0"/>
          <w:sz w:val="24"/>
          <w:szCs w:val="24"/>
        </w:rPr>
        <w:t>人。</w:t>
      </w:r>
      <w:r>
        <w:rPr>
          <w:rFonts w:hint="eastAsia" w:ascii="宋体" w:hAnsi="宋体" w:eastAsia="宋体" w:cs="宋体"/>
          <w:snapToGrid w:val="0"/>
          <w:color w:val="auto"/>
          <w:spacing w:val="0"/>
          <w:w w:val="100"/>
          <w:kern w:val="0"/>
          <w:sz w:val="24"/>
          <w:szCs w:val="24"/>
          <w:lang w:val="en-US" w:eastAsia="zh-CN"/>
        </w:rPr>
        <w:t>总产值16347万元，其中林业产值3589万元，</w:t>
      </w:r>
      <w:r>
        <w:rPr>
          <w:rFonts w:hint="eastAsia" w:ascii="宋体" w:hAnsi="宋体" w:eastAsia="宋体" w:cs="宋体"/>
          <w:snapToGrid w:val="0"/>
          <w:color w:val="auto"/>
          <w:spacing w:val="0"/>
          <w:w w:val="100"/>
          <w:kern w:val="0"/>
          <w:sz w:val="24"/>
          <w:szCs w:val="24"/>
        </w:rPr>
        <w:t>人均可支配收入</w:t>
      </w:r>
      <w:r>
        <w:rPr>
          <w:rFonts w:hint="eastAsia" w:ascii="宋体" w:hAnsi="宋体" w:eastAsia="宋体" w:cs="宋体"/>
          <w:snapToGrid w:val="0"/>
          <w:color w:val="auto"/>
          <w:spacing w:val="0"/>
          <w:w w:val="100"/>
          <w:kern w:val="0"/>
          <w:sz w:val="24"/>
          <w:szCs w:val="24"/>
          <w:lang w:val="en-US" w:eastAsia="zh-CN"/>
        </w:rPr>
        <w:t>12389</w:t>
      </w:r>
      <w:r>
        <w:rPr>
          <w:rFonts w:hint="eastAsia" w:ascii="宋体" w:hAnsi="宋体" w:eastAsia="宋体" w:cs="宋体"/>
          <w:snapToGrid w:val="0"/>
          <w:color w:val="auto"/>
          <w:spacing w:val="0"/>
          <w:w w:val="100"/>
          <w:kern w:val="0"/>
          <w:sz w:val="24"/>
          <w:szCs w:val="24"/>
        </w:rPr>
        <w:t>元。</w:t>
      </w:r>
      <w:r>
        <w:rPr>
          <w:rFonts w:hint="eastAsia" w:ascii="宋体" w:hAnsi="宋体" w:eastAsia="宋体" w:cs="宋体"/>
          <w:snapToGrid w:val="0"/>
          <w:color w:val="auto"/>
          <w:spacing w:val="0"/>
          <w:w w:val="100"/>
          <w:kern w:val="0"/>
          <w:sz w:val="24"/>
          <w:szCs w:val="24"/>
          <w:lang w:eastAsia="zh-CN"/>
        </w:rPr>
        <w:t>乡村居民</w:t>
      </w:r>
      <w:r>
        <w:rPr>
          <w:rFonts w:hint="eastAsia" w:ascii="宋体" w:hAnsi="宋体" w:eastAsia="宋体" w:cs="宋体"/>
          <w:snapToGrid w:val="0"/>
          <w:color w:val="auto"/>
          <w:spacing w:val="0"/>
          <w:w w:val="100"/>
          <w:kern w:val="0"/>
          <w:sz w:val="24"/>
          <w:szCs w:val="24"/>
        </w:rPr>
        <w:t>收入主要来源种植业、养殖业和劳务输出。</w:t>
      </w:r>
      <w:r>
        <w:rPr>
          <w:rFonts w:hint="eastAsia" w:ascii="宋体" w:hAnsi="宋体" w:eastAsia="宋体" w:cs="宋体"/>
          <w:snapToGrid w:val="0"/>
          <w:color w:val="auto"/>
          <w:spacing w:val="0"/>
          <w:w w:val="100"/>
          <w:kern w:val="0"/>
          <w:sz w:val="24"/>
          <w:szCs w:val="24"/>
          <w:lang w:val="en-US" w:eastAsia="zh-CN"/>
        </w:rPr>
        <w:t>现有板栗产业面积14292亩，其中集中连片示范基地10947亩。</w:t>
      </w:r>
    </w:p>
    <w:p w14:paraId="4B64CDC8">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right="0"/>
        <w:jc w:val="both"/>
        <w:textAlignment w:val="auto"/>
        <w:rPr>
          <w:rFonts w:hint="eastAsia" w:ascii="宋体" w:hAnsi="宋体" w:eastAsia="宋体" w:cs="宋体"/>
          <w:snapToGrid w:val="0"/>
          <w:color w:val="000000"/>
          <w:spacing w:val="0"/>
          <w:w w:val="100"/>
          <w:kern w:val="0"/>
          <w:sz w:val="24"/>
          <w:szCs w:val="24"/>
          <w:lang w:val="en-US" w:eastAsia="zh-CN"/>
        </w:rPr>
      </w:pPr>
      <w:bookmarkStart w:id="169" w:name="_Toc4872"/>
      <w:bookmarkStart w:id="170" w:name="_Toc11580"/>
      <w:r>
        <w:rPr>
          <w:rFonts w:hint="eastAsia" w:ascii="宋体" w:hAnsi="宋体" w:eastAsia="宋体" w:cs="宋体"/>
          <w:sz w:val="24"/>
          <w:szCs w:val="24"/>
          <w:lang w:val="en-US" w:eastAsia="zh-CN"/>
        </w:rPr>
        <w:t>7、交通基础设施</w:t>
      </w:r>
      <w:bookmarkEnd w:id="169"/>
      <w:bookmarkEnd w:id="170"/>
    </w:p>
    <w:p w14:paraId="214DEF15">
      <w:pPr>
        <w:keepNext w:val="0"/>
        <w:keepLines w:val="0"/>
        <w:pageBreakBefore w:val="0"/>
        <w:widowControl w:val="0"/>
        <w:kinsoku/>
        <w:wordWrap/>
        <w:overflowPunct/>
        <w:topLinePunct w:val="0"/>
        <w:autoSpaceDE/>
        <w:autoSpaceDN/>
        <w:bidi w:val="0"/>
        <w:adjustRightInd/>
        <w:snapToGrid/>
        <w:spacing w:line="560" w:lineRule="exact"/>
        <w:ind w:left="0" w:leftChars="0" w:right="0" w:firstLine="480" w:firstLineChars="200"/>
        <w:textAlignment w:val="auto"/>
        <w:rPr>
          <w:rFonts w:hint="eastAsia" w:ascii="宋体" w:hAnsi="宋体" w:eastAsia="宋体" w:cs="宋体"/>
          <w:snapToGrid w:val="0"/>
          <w:color w:val="000000"/>
          <w:spacing w:val="0"/>
          <w:w w:val="100"/>
          <w:kern w:val="0"/>
          <w:sz w:val="24"/>
          <w:szCs w:val="24"/>
        </w:rPr>
      </w:pPr>
      <w:r>
        <w:rPr>
          <w:rFonts w:hint="eastAsia" w:ascii="宋体" w:hAnsi="宋体" w:eastAsia="宋体" w:cs="宋体"/>
          <w:snapToGrid w:val="0"/>
          <w:color w:val="000000"/>
          <w:spacing w:val="0"/>
          <w:w w:val="100"/>
          <w:kern w:val="0"/>
          <w:sz w:val="24"/>
          <w:szCs w:val="24"/>
        </w:rPr>
        <w:t>交通</w:t>
      </w:r>
      <w:r>
        <w:rPr>
          <w:rFonts w:hint="eastAsia" w:ascii="宋体" w:hAnsi="宋体" w:eastAsia="宋体" w:cs="宋体"/>
          <w:snapToGrid w:val="0"/>
          <w:color w:val="000000"/>
          <w:spacing w:val="0"/>
          <w:w w:val="100"/>
          <w:kern w:val="0"/>
          <w:sz w:val="24"/>
          <w:szCs w:val="24"/>
          <w:lang w:eastAsia="zh-CN"/>
        </w:rPr>
        <w:t>运输安全便捷</w:t>
      </w:r>
      <w:r>
        <w:rPr>
          <w:rFonts w:hint="eastAsia" w:ascii="宋体" w:hAnsi="宋体" w:eastAsia="宋体" w:cs="宋体"/>
          <w:snapToGrid w:val="0"/>
          <w:color w:val="000000"/>
          <w:spacing w:val="0"/>
          <w:w w:val="100"/>
          <w:kern w:val="0"/>
          <w:sz w:val="24"/>
          <w:szCs w:val="24"/>
        </w:rPr>
        <w:t>，G70(</w:t>
      </w:r>
      <w:r>
        <w:rPr>
          <w:rFonts w:hint="eastAsia" w:ascii="宋体" w:hAnsi="宋体" w:eastAsia="宋体" w:cs="宋体"/>
          <w:snapToGrid w:val="0"/>
          <w:color w:val="000000"/>
          <w:spacing w:val="0"/>
          <w:w w:val="100"/>
          <w:kern w:val="0"/>
          <w:sz w:val="24"/>
          <w:szCs w:val="24"/>
          <w:lang w:eastAsia="zh-CN"/>
        </w:rPr>
        <w:t>官坊商山界-高坝店</w:t>
      </w:r>
      <w:r>
        <w:rPr>
          <w:rFonts w:hint="eastAsia" w:ascii="宋体" w:hAnsi="宋体" w:eastAsia="宋体" w:cs="宋体"/>
          <w:snapToGrid w:val="0"/>
          <w:color w:val="000000"/>
          <w:spacing w:val="0"/>
          <w:w w:val="100"/>
          <w:kern w:val="0"/>
          <w:sz w:val="24"/>
          <w:szCs w:val="24"/>
          <w:lang w:val="en-US" w:eastAsia="zh-CN"/>
        </w:rPr>
        <w:t>-</w:t>
      </w:r>
      <w:r>
        <w:rPr>
          <w:rFonts w:hint="eastAsia" w:ascii="宋体" w:hAnsi="宋体" w:eastAsia="宋体" w:cs="宋体"/>
          <w:snapToGrid w:val="0"/>
          <w:color w:val="000000"/>
          <w:spacing w:val="0"/>
          <w:w w:val="100"/>
          <w:kern w:val="0"/>
          <w:sz w:val="24"/>
          <w:szCs w:val="24"/>
          <w:lang w:eastAsia="zh-CN"/>
        </w:rPr>
        <w:t>漫川关陕鄂界</w:t>
      </w:r>
      <w:r>
        <w:rPr>
          <w:rFonts w:hint="eastAsia" w:ascii="宋体" w:hAnsi="宋体" w:eastAsia="宋体" w:cs="宋体"/>
          <w:snapToGrid w:val="0"/>
          <w:color w:val="000000"/>
          <w:spacing w:val="0"/>
          <w:w w:val="100"/>
          <w:kern w:val="0"/>
          <w:sz w:val="24"/>
          <w:szCs w:val="24"/>
        </w:rPr>
        <w:t>)</w:t>
      </w:r>
      <w:r>
        <w:rPr>
          <w:rFonts w:hint="eastAsia" w:ascii="宋体" w:hAnsi="宋体" w:eastAsia="宋体" w:cs="宋体"/>
          <w:snapToGrid w:val="0"/>
          <w:color w:val="000000"/>
          <w:spacing w:val="0"/>
          <w:w w:val="100"/>
          <w:kern w:val="0"/>
          <w:sz w:val="24"/>
          <w:szCs w:val="24"/>
          <w:lang w:eastAsia="zh-CN"/>
        </w:rPr>
        <w:t>、</w:t>
      </w:r>
      <w:r>
        <w:rPr>
          <w:rFonts w:hint="eastAsia" w:ascii="宋体" w:hAnsi="宋体" w:eastAsia="宋体" w:cs="宋体"/>
          <w:snapToGrid w:val="0"/>
          <w:color w:val="000000"/>
          <w:spacing w:val="0"/>
          <w:w w:val="100"/>
          <w:kern w:val="0"/>
          <w:sz w:val="24"/>
          <w:szCs w:val="24"/>
          <w:lang w:val="en-US" w:eastAsia="zh-CN"/>
        </w:rPr>
        <w:t>G242</w:t>
      </w:r>
      <w:r>
        <w:rPr>
          <w:rFonts w:hint="eastAsia" w:ascii="宋体" w:hAnsi="宋体" w:eastAsia="宋体" w:cs="宋体"/>
          <w:snapToGrid w:val="0"/>
          <w:color w:val="000000"/>
          <w:spacing w:val="0"/>
          <w:w w:val="100"/>
          <w:kern w:val="0"/>
          <w:sz w:val="24"/>
          <w:szCs w:val="24"/>
        </w:rPr>
        <w:t>(</w:t>
      </w:r>
      <w:r>
        <w:rPr>
          <w:rFonts w:hint="eastAsia" w:ascii="宋体" w:hAnsi="宋体" w:eastAsia="宋体" w:cs="宋体"/>
          <w:snapToGrid w:val="0"/>
          <w:color w:val="000000"/>
          <w:spacing w:val="0"/>
          <w:w w:val="100"/>
          <w:kern w:val="0"/>
          <w:sz w:val="24"/>
          <w:szCs w:val="24"/>
          <w:lang w:eastAsia="zh-CN"/>
        </w:rPr>
        <w:t>官坊商山界-板岩</w:t>
      </w:r>
      <w:r>
        <w:rPr>
          <w:rFonts w:hint="eastAsia" w:ascii="宋体" w:hAnsi="宋体" w:eastAsia="宋体" w:cs="宋体"/>
          <w:snapToGrid w:val="0"/>
          <w:color w:val="000000"/>
          <w:spacing w:val="0"/>
          <w:w w:val="100"/>
          <w:kern w:val="0"/>
          <w:sz w:val="24"/>
          <w:szCs w:val="24"/>
          <w:lang w:val="en-US" w:eastAsia="zh-CN"/>
        </w:rPr>
        <w:t>-</w:t>
      </w:r>
      <w:r>
        <w:rPr>
          <w:rFonts w:hint="eastAsia" w:ascii="宋体" w:hAnsi="宋体" w:eastAsia="宋体" w:cs="宋体"/>
          <w:snapToGrid w:val="0"/>
          <w:color w:val="000000"/>
          <w:spacing w:val="0"/>
          <w:w w:val="100"/>
          <w:kern w:val="0"/>
          <w:sz w:val="24"/>
          <w:szCs w:val="24"/>
          <w:lang w:eastAsia="zh-CN"/>
        </w:rPr>
        <w:t>漫川关</w:t>
      </w:r>
      <w:r>
        <w:rPr>
          <w:rFonts w:hint="eastAsia" w:ascii="宋体" w:hAnsi="宋体" w:eastAsia="宋体" w:cs="宋体"/>
          <w:snapToGrid w:val="0"/>
          <w:color w:val="000000"/>
          <w:spacing w:val="0"/>
          <w:w w:val="100"/>
          <w:kern w:val="0"/>
          <w:sz w:val="24"/>
          <w:szCs w:val="24"/>
        </w:rPr>
        <w:t>陕鄂界)</w:t>
      </w:r>
      <w:r>
        <w:rPr>
          <w:rFonts w:hint="eastAsia" w:ascii="宋体" w:hAnsi="宋体" w:eastAsia="宋体" w:cs="宋体"/>
          <w:snapToGrid w:val="0"/>
          <w:color w:val="000000"/>
          <w:spacing w:val="0"/>
          <w:w w:val="100"/>
          <w:kern w:val="0"/>
          <w:sz w:val="24"/>
          <w:szCs w:val="24"/>
          <w:lang w:eastAsia="zh-CN"/>
        </w:rPr>
        <w:t>、</w:t>
      </w:r>
      <w:r>
        <w:rPr>
          <w:rFonts w:hint="eastAsia" w:ascii="宋体" w:hAnsi="宋体" w:eastAsia="宋体" w:cs="宋体"/>
          <w:snapToGrid w:val="0"/>
          <w:color w:val="000000"/>
          <w:spacing w:val="0"/>
          <w:w w:val="100"/>
          <w:kern w:val="0"/>
          <w:sz w:val="24"/>
          <w:szCs w:val="24"/>
          <w:lang w:val="en-US" w:eastAsia="zh-CN"/>
        </w:rPr>
        <w:t>S204</w:t>
      </w:r>
      <w:r>
        <w:rPr>
          <w:rFonts w:hint="eastAsia" w:ascii="宋体" w:hAnsi="宋体" w:eastAsia="宋体" w:cs="宋体"/>
          <w:snapToGrid w:val="0"/>
          <w:color w:val="000000"/>
          <w:spacing w:val="0"/>
          <w:w w:val="100"/>
          <w:kern w:val="0"/>
          <w:sz w:val="24"/>
          <w:szCs w:val="24"/>
        </w:rPr>
        <w:t>(</w:t>
      </w:r>
      <w:r>
        <w:rPr>
          <w:rFonts w:hint="eastAsia" w:ascii="宋体" w:hAnsi="宋体" w:eastAsia="宋体" w:cs="宋体"/>
          <w:snapToGrid w:val="0"/>
          <w:color w:val="000000"/>
          <w:spacing w:val="0"/>
          <w:w w:val="100"/>
          <w:kern w:val="0"/>
          <w:sz w:val="24"/>
          <w:szCs w:val="24"/>
          <w:lang w:eastAsia="zh-CN"/>
        </w:rPr>
        <w:t>商路河丹山界-西照川</w:t>
      </w:r>
      <w:r>
        <w:rPr>
          <w:rFonts w:hint="eastAsia" w:ascii="宋体" w:hAnsi="宋体" w:eastAsia="宋体" w:cs="宋体"/>
          <w:snapToGrid w:val="0"/>
          <w:color w:val="000000"/>
          <w:spacing w:val="0"/>
          <w:w w:val="100"/>
          <w:kern w:val="0"/>
          <w:sz w:val="24"/>
          <w:szCs w:val="24"/>
        </w:rPr>
        <w:t>陕鄂界)</w:t>
      </w:r>
      <w:r>
        <w:rPr>
          <w:rFonts w:hint="eastAsia" w:ascii="宋体" w:hAnsi="宋体" w:eastAsia="宋体" w:cs="宋体"/>
          <w:snapToGrid w:val="0"/>
          <w:color w:val="000000"/>
          <w:spacing w:val="0"/>
          <w:w w:val="100"/>
          <w:kern w:val="0"/>
          <w:sz w:val="24"/>
          <w:szCs w:val="24"/>
          <w:lang w:eastAsia="zh-CN"/>
        </w:rPr>
        <w:t>、</w:t>
      </w:r>
      <w:r>
        <w:rPr>
          <w:rFonts w:hint="eastAsia" w:ascii="宋体" w:hAnsi="宋体" w:eastAsia="宋体" w:cs="宋体"/>
          <w:snapToGrid w:val="0"/>
          <w:color w:val="000000"/>
          <w:spacing w:val="0"/>
          <w:w w:val="100"/>
          <w:kern w:val="0"/>
          <w:sz w:val="24"/>
          <w:szCs w:val="24"/>
          <w:lang w:val="en-US" w:eastAsia="zh-CN"/>
        </w:rPr>
        <w:t>X210(G345中村-延坪-G242漫川关)、X211(马鹿坪商山界-黄土凸-G242漫川关)</w:t>
      </w:r>
      <w:r>
        <w:rPr>
          <w:rFonts w:hint="eastAsia" w:ascii="宋体" w:hAnsi="宋体" w:eastAsia="宋体" w:cs="宋体"/>
          <w:snapToGrid w:val="0"/>
          <w:color w:val="000000"/>
          <w:spacing w:val="0"/>
          <w:w w:val="100"/>
          <w:kern w:val="0"/>
          <w:sz w:val="24"/>
          <w:szCs w:val="24"/>
        </w:rPr>
        <w:t>纵贯全县，</w:t>
      </w:r>
      <w:r>
        <w:rPr>
          <w:rFonts w:hint="eastAsia" w:ascii="宋体" w:hAnsi="宋体" w:eastAsia="宋体" w:cs="宋体"/>
          <w:snapToGrid w:val="0"/>
          <w:color w:val="000000"/>
          <w:spacing w:val="0"/>
          <w:w w:val="100"/>
          <w:kern w:val="0"/>
          <w:sz w:val="24"/>
          <w:szCs w:val="24"/>
          <w:lang w:val="en-US" w:eastAsia="zh-CN"/>
        </w:rPr>
        <w:t>G345</w:t>
      </w:r>
      <w:r>
        <w:rPr>
          <w:rFonts w:hint="eastAsia" w:ascii="宋体" w:hAnsi="宋体" w:eastAsia="宋体" w:cs="宋体"/>
          <w:snapToGrid w:val="0"/>
          <w:color w:val="000000"/>
          <w:spacing w:val="0"/>
          <w:w w:val="100"/>
          <w:kern w:val="0"/>
          <w:sz w:val="24"/>
          <w:szCs w:val="24"/>
        </w:rPr>
        <w:t>(</w:t>
      </w:r>
      <w:r>
        <w:rPr>
          <w:rFonts w:hint="eastAsia" w:ascii="宋体" w:hAnsi="宋体" w:eastAsia="宋体" w:cs="宋体"/>
          <w:snapToGrid w:val="0"/>
          <w:color w:val="000000"/>
          <w:spacing w:val="0"/>
          <w:w w:val="100"/>
          <w:kern w:val="0"/>
          <w:sz w:val="24"/>
          <w:szCs w:val="24"/>
          <w:lang w:eastAsia="zh-CN"/>
        </w:rPr>
        <w:t>湘子店丹山界-户家塬</w:t>
      </w:r>
      <w:r>
        <w:rPr>
          <w:rFonts w:hint="eastAsia" w:ascii="宋体" w:hAnsi="宋体" w:eastAsia="宋体" w:cs="宋体"/>
          <w:snapToGrid w:val="0"/>
          <w:color w:val="000000"/>
          <w:spacing w:val="0"/>
          <w:w w:val="100"/>
          <w:kern w:val="0"/>
          <w:sz w:val="24"/>
          <w:szCs w:val="24"/>
          <w:lang w:val="en-US" w:eastAsia="zh-CN"/>
        </w:rPr>
        <w:t>-</w:t>
      </w:r>
      <w:r>
        <w:rPr>
          <w:rFonts w:hint="eastAsia" w:ascii="宋体" w:hAnsi="宋体" w:eastAsia="宋体" w:cs="宋体"/>
          <w:snapToGrid w:val="0"/>
          <w:color w:val="000000"/>
          <w:spacing w:val="0"/>
          <w:w w:val="100"/>
          <w:kern w:val="0"/>
          <w:sz w:val="24"/>
          <w:szCs w:val="24"/>
          <w:lang w:eastAsia="zh-CN"/>
        </w:rPr>
        <w:t>赛鹤岭山镇</w:t>
      </w:r>
      <w:r>
        <w:rPr>
          <w:rFonts w:hint="eastAsia" w:ascii="宋体" w:hAnsi="宋体" w:eastAsia="宋体" w:cs="宋体"/>
          <w:snapToGrid w:val="0"/>
          <w:color w:val="000000"/>
          <w:spacing w:val="0"/>
          <w:w w:val="100"/>
          <w:kern w:val="0"/>
          <w:sz w:val="24"/>
          <w:szCs w:val="24"/>
        </w:rPr>
        <w:t>界)</w:t>
      </w:r>
      <w:r>
        <w:rPr>
          <w:rFonts w:hint="eastAsia" w:ascii="宋体" w:hAnsi="宋体" w:eastAsia="宋体" w:cs="宋体"/>
          <w:snapToGrid w:val="0"/>
          <w:color w:val="000000"/>
          <w:spacing w:val="0"/>
          <w:w w:val="100"/>
          <w:kern w:val="0"/>
          <w:sz w:val="24"/>
          <w:szCs w:val="24"/>
          <w:lang w:eastAsia="zh-CN"/>
        </w:rPr>
        <w:t>、</w:t>
      </w:r>
      <w:r>
        <w:rPr>
          <w:rFonts w:hint="eastAsia" w:ascii="宋体" w:hAnsi="宋体" w:eastAsia="宋体" w:cs="宋体"/>
          <w:snapToGrid w:val="0"/>
          <w:color w:val="000000"/>
          <w:spacing w:val="0"/>
          <w:w w:val="100"/>
          <w:kern w:val="0"/>
          <w:sz w:val="24"/>
          <w:szCs w:val="24"/>
          <w:lang w:val="en-US" w:eastAsia="zh-CN"/>
        </w:rPr>
        <w:t>S314</w:t>
      </w:r>
      <w:r>
        <w:rPr>
          <w:rFonts w:hint="eastAsia" w:ascii="宋体" w:hAnsi="宋体" w:eastAsia="宋体" w:cs="宋体"/>
          <w:snapToGrid w:val="0"/>
          <w:color w:val="000000"/>
          <w:spacing w:val="0"/>
          <w:w w:val="100"/>
          <w:kern w:val="0"/>
          <w:sz w:val="24"/>
          <w:szCs w:val="24"/>
        </w:rPr>
        <w:t>(</w:t>
      </w:r>
      <w:r>
        <w:rPr>
          <w:rFonts w:hint="eastAsia" w:ascii="宋体" w:hAnsi="宋体" w:eastAsia="宋体" w:cs="宋体"/>
          <w:snapToGrid w:val="0"/>
          <w:color w:val="000000"/>
          <w:spacing w:val="0"/>
          <w:w w:val="100"/>
          <w:kern w:val="0"/>
          <w:sz w:val="24"/>
          <w:szCs w:val="24"/>
          <w:lang w:val="en-US" w:eastAsia="zh-CN"/>
        </w:rPr>
        <w:t>G242</w:t>
      </w:r>
      <w:r>
        <w:rPr>
          <w:rFonts w:hint="eastAsia" w:ascii="宋体" w:hAnsi="宋体" w:eastAsia="宋体" w:cs="宋体"/>
          <w:snapToGrid w:val="0"/>
          <w:color w:val="000000"/>
          <w:spacing w:val="0"/>
          <w:w w:val="100"/>
          <w:kern w:val="0"/>
          <w:sz w:val="24"/>
          <w:szCs w:val="24"/>
          <w:lang w:eastAsia="zh-CN"/>
        </w:rPr>
        <w:t>安家门-杨地山镇</w:t>
      </w:r>
      <w:r>
        <w:rPr>
          <w:rFonts w:hint="eastAsia" w:ascii="宋体" w:hAnsi="宋体" w:eastAsia="宋体" w:cs="宋体"/>
          <w:snapToGrid w:val="0"/>
          <w:color w:val="000000"/>
          <w:spacing w:val="0"/>
          <w:w w:val="100"/>
          <w:kern w:val="0"/>
          <w:sz w:val="24"/>
          <w:szCs w:val="24"/>
        </w:rPr>
        <w:t>界)</w:t>
      </w:r>
      <w:r>
        <w:rPr>
          <w:rFonts w:hint="eastAsia" w:ascii="宋体" w:hAnsi="宋体" w:eastAsia="宋体" w:cs="宋体"/>
          <w:snapToGrid w:val="0"/>
          <w:color w:val="000000"/>
          <w:spacing w:val="0"/>
          <w:w w:val="100"/>
          <w:kern w:val="0"/>
          <w:sz w:val="24"/>
          <w:szCs w:val="24"/>
          <w:lang w:eastAsia="zh-CN"/>
        </w:rPr>
        <w:t>、</w:t>
      </w:r>
      <w:r>
        <w:rPr>
          <w:rFonts w:hint="eastAsia" w:ascii="宋体" w:hAnsi="宋体" w:eastAsia="宋体" w:cs="宋体"/>
          <w:snapToGrid w:val="0"/>
          <w:color w:val="000000"/>
          <w:spacing w:val="0"/>
          <w:w w:val="100"/>
          <w:kern w:val="0"/>
          <w:sz w:val="24"/>
          <w:szCs w:val="24"/>
          <w:lang w:val="en-US" w:eastAsia="zh-CN"/>
        </w:rPr>
        <w:t>X309</w:t>
      </w:r>
      <w:r>
        <w:rPr>
          <w:rFonts w:hint="eastAsia" w:ascii="宋体" w:hAnsi="宋体" w:eastAsia="宋体" w:cs="宋体"/>
          <w:snapToGrid w:val="0"/>
          <w:color w:val="000000"/>
          <w:spacing w:val="0"/>
          <w:w w:val="100"/>
          <w:kern w:val="0"/>
          <w:sz w:val="24"/>
          <w:szCs w:val="24"/>
        </w:rPr>
        <w:t>(</w:t>
      </w:r>
      <w:r>
        <w:rPr>
          <w:rFonts w:hint="eastAsia" w:ascii="宋体" w:hAnsi="宋体" w:eastAsia="宋体" w:cs="宋体"/>
          <w:snapToGrid w:val="0"/>
          <w:color w:val="000000"/>
          <w:spacing w:val="0"/>
          <w:w w:val="100"/>
          <w:kern w:val="0"/>
          <w:sz w:val="24"/>
          <w:szCs w:val="24"/>
          <w:lang w:val="en-US" w:eastAsia="zh-CN"/>
        </w:rPr>
        <w:t>X211黄柏楼</w:t>
      </w:r>
      <w:r>
        <w:rPr>
          <w:rFonts w:hint="eastAsia" w:ascii="宋体" w:hAnsi="宋体" w:eastAsia="宋体" w:cs="宋体"/>
          <w:snapToGrid w:val="0"/>
          <w:color w:val="000000"/>
          <w:spacing w:val="0"/>
          <w:w w:val="100"/>
          <w:kern w:val="0"/>
          <w:sz w:val="24"/>
          <w:szCs w:val="24"/>
        </w:rPr>
        <w:t>-</w:t>
      </w:r>
      <w:r>
        <w:rPr>
          <w:rFonts w:hint="eastAsia" w:ascii="宋体" w:hAnsi="宋体" w:eastAsia="宋体" w:cs="宋体"/>
          <w:snapToGrid w:val="0"/>
          <w:color w:val="000000"/>
          <w:spacing w:val="0"/>
          <w:w w:val="100"/>
          <w:kern w:val="0"/>
          <w:sz w:val="24"/>
          <w:szCs w:val="24"/>
          <w:lang w:val="en-US" w:eastAsia="zh-CN"/>
        </w:rPr>
        <w:t>G242板岩</w:t>
      </w:r>
      <w:r>
        <w:rPr>
          <w:rFonts w:hint="eastAsia" w:ascii="宋体" w:hAnsi="宋体" w:eastAsia="宋体" w:cs="宋体"/>
          <w:snapToGrid w:val="0"/>
          <w:color w:val="000000"/>
          <w:spacing w:val="0"/>
          <w:w w:val="100"/>
          <w:kern w:val="0"/>
          <w:sz w:val="24"/>
          <w:szCs w:val="24"/>
        </w:rPr>
        <w:t>)</w:t>
      </w:r>
      <w:r>
        <w:rPr>
          <w:rFonts w:hint="eastAsia" w:ascii="宋体" w:hAnsi="宋体" w:eastAsia="宋体" w:cs="宋体"/>
          <w:snapToGrid w:val="0"/>
          <w:color w:val="000000"/>
          <w:spacing w:val="0"/>
          <w:w w:val="100"/>
          <w:kern w:val="0"/>
          <w:sz w:val="24"/>
          <w:szCs w:val="24"/>
          <w:lang w:eastAsia="zh-CN"/>
        </w:rPr>
        <w:t>和X3</w:t>
      </w:r>
      <w:r>
        <w:rPr>
          <w:rFonts w:hint="eastAsia" w:ascii="宋体" w:hAnsi="宋体" w:eastAsia="宋体" w:cs="宋体"/>
          <w:snapToGrid w:val="0"/>
          <w:color w:val="000000"/>
          <w:spacing w:val="0"/>
          <w:w w:val="100"/>
          <w:kern w:val="0"/>
          <w:sz w:val="24"/>
          <w:szCs w:val="24"/>
          <w:lang w:val="en-US" w:eastAsia="zh-CN"/>
        </w:rPr>
        <w:t>12</w:t>
      </w:r>
      <w:r>
        <w:rPr>
          <w:rFonts w:hint="eastAsia" w:ascii="宋体" w:hAnsi="宋体" w:eastAsia="宋体" w:cs="宋体"/>
          <w:snapToGrid w:val="0"/>
          <w:color w:val="000000"/>
          <w:spacing w:val="0"/>
          <w:w w:val="100"/>
          <w:kern w:val="0"/>
          <w:sz w:val="24"/>
          <w:szCs w:val="24"/>
          <w:lang w:eastAsia="zh-CN"/>
        </w:rPr>
        <w:t>(</w:t>
      </w:r>
      <w:r>
        <w:rPr>
          <w:rFonts w:hint="eastAsia" w:ascii="宋体" w:hAnsi="宋体" w:eastAsia="宋体" w:cs="宋体"/>
          <w:snapToGrid w:val="0"/>
          <w:color w:val="000000"/>
          <w:spacing w:val="0"/>
          <w:w w:val="100"/>
          <w:kern w:val="0"/>
          <w:sz w:val="24"/>
          <w:szCs w:val="24"/>
          <w:lang w:val="en-US" w:eastAsia="zh-CN"/>
        </w:rPr>
        <w:t>S204西照川</w:t>
      </w:r>
      <w:r>
        <w:rPr>
          <w:rFonts w:hint="eastAsia" w:ascii="宋体" w:hAnsi="宋体" w:eastAsia="宋体" w:cs="宋体"/>
          <w:snapToGrid w:val="0"/>
          <w:color w:val="000000"/>
          <w:spacing w:val="0"/>
          <w:w w:val="100"/>
          <w:kern w:val="0"/>
          <w:sz w:val="24"/>
          <w:szCs w:val="24"/>
          <w:lang w:eastAsia="zh-CN"/>
        </w:rPr>
        <w:t>-G242漫川关)</w:t>
      </w:r>
      <w:r>
        <w:rPr>
          <w:rFonts w:hint="eastAsia" w:ascii="宋体" w:hAnsi="宋体" w:eastAsia="宋体" w:cs="宋体"/>
          <w:snapToGrid w:val="0"/>
          <w:color w:val="000000"/>
          <w:spacing w:val="0"/>
          <w:w w:val="100"/>
          <w:kern w:val="0"/>
          <w:sz w:val="24"/>
          <w:szCs w:val="24"/>
        </w:rPr>
        <w:t>连接东西，村村通水泥路，公路里程3</w:t>
      </w:r>
      <w:r>
        <w:rPr>
          <w:rFonts w:hint="eastAsia" w:ascii="宋体" w:hAnsi="宋体" w:eastAsia="宋体" w:cs="宋体"/>
          <w:snapToGrid w:val="0"/>
          <w:color w:val="000000"/>
          <w:spacing w:val="0"/>
          <w:w w:val="100"/>
          <w:kern w:val="0"/>
          <w:sz w:val="24"/>
          <w:szCs w:val="24"/>
          <w:lang w:val="en-US" w:eastAsia="zh-CN"/>
        </w:rPr>
        <w:t>328</w:t>
      </w:r>
      <w:r>
        <w:rPr>
          <w:rFonts w:hint="eastAsia" w:ascii="宋体" w:hAnsi="宋体" w:eastAsia="宋体" w:cs="宋体"/>
          <w:snapToGrid w:val="0"/>
          <w:color w:val="000000"/>
          <w:spacing w:val="0"/>
          <w:w w:val="100"/>
          <w:kern w:val="0"/>
          <w:sz w:val="24"/>
          <w:szCs w:val="24"/>
        </w:rPr>
        <w:t>公里。布局合理、设施齐全、进出畅通、安全便捷的交通网基本形成，已融入西安两小时经济圈。全县现有110Kv配电站2座、35Kv配电站8座，农网、城网改造完成，电力供应充足；电信、移动、联通基站遍布城乡，手机、宽带使用广泛，对外联系高效快捷。</w:t>
      </w:r>
      <w:bookmarkStart w:id="171" w:name="_Toc4444"/>
      <w:bookmarkStart w:id="172" w:name="_Toc9603"/>
      <w:bookmarkStart w:id="173" w:name="_Toc18820"/>
      <w:bookmarkStart w:id="174" w:name="_Toc24662"/>
      <w:bookmarkStart w:id="175" w:name="_Toc1398"/>
    </w:p>
    <w:p w14:paraId="373D7A10">
      <w:pPr>
        <w:keepNext w:val="0"/>
        <w:keepLines w:val="0"/>
        <w:pageBreakBefore w:val="0"/>
        <w:widowControl w:val="0"/>
        <w:kinsoku/>
        <w:wordWrap/>
        <w:overflowPunct/>
        <w:topLinePunct w:val="0"/>
        <w:autoSpaceDE/>
        <w:autoSpaceDN/>
        <w:bidi w:val="0"/>
        <w:adjustRightInd/>
        <w:snapToGrid/>
        <w:spacing w:line="560" w:lineRule="exact"/>
        <w:ind w:left="0" w:leftChars="0" w:right="0" w:firstLine="480" w:firstLineChars="200"/>
        <w:textAlignment w:val="auto"/>
        <w:rPr>
          <w:rFonts w:hint="eastAsia" w:ascii="宋体" w:hAnsi="宋体" w:eastAsia="宋体" w:cs="宋体"/>
          <w:snapToGrid w:val="0"/>
          <w:color w:val="000000"/>
          <w:spacing w:val="0"/>
          <w:w w:val="100"/>
          <w:kern w:val="0"/>
          <w:sz w:val="24"/>
          <w:szCs w:val="24"/>
          <w:lang w:val="en-US" w:eastAsia="zh-CN"/>
        </w:rPr>
      </w:pPr>
      <w:r>
        <w:rPr>
          <w:rFonts w:hint="eastAsia" w:ascii="宋体" w:hAnsi="宋体" w:eastAsia="宋体" w:cs="宋体"/>
          <w:snapToGrid w:val="0"/>
          <w:color w:val="000000"/>
          <w:spacing w:val="0"/>
          <w:w w:val="100"/>
          <w:kern w:val="0"/>
          <w:sz w:val="24"/>
          <w:szCs w:val="24"/>
          <w:lang w:val="en-US" w:eastAsia="zh-CN"/>
        </w:rPr>
        <w:t>项目区位于G70高速公路和G242国道两边，均有通村通组3.5米宽水泥路与县道连接，且作业区均建设有3米宽的产业道路，交通十分便利。</w:t>
      </w:r>
    </w:p>
    <w:p w14:paraId="64E7BBC8">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right="0"/>
        <w:textAlignment w:val="auto"/>
        <w:rPr>
          <w:rFonts w:hint="eastAsia" w:ascii="宋体" w:hAnsi="宋体" w:eastAsia="宋体" w:cs="宋体"/>
          <w:b/>
          <w:bCs/>
          <w:kern w:val="2"/>
          <w:sz w:val="24"/>
          <w:szCs w:val="24"/>
          <w:lang w:val="en-US" w:eastAsia="zh-CN" w:bidi="ar-SA"/>
        </w:rPr>
      </w:pPr>
      <w:bookmarkStart w:id="176" w:name="_Toc24058"/>
      <w:bookmarkStart w:id="177" w:name="_Toc12969"/>
      <w:bookmarkStart w:id="178" w:name="_Toc15554"/>
      <w:bookmarkStart w:id="179" w:name="_Toc1086"/>
      <w:bookmarkStart w:id="180" w:name="_Toc19450"/>
      <w:bookmarkStart w:id="181" w:name="_Toc3378"/>
      <w:bookmarkStart w:id="182" w:name="_Toc3971"/>
      <w:r>
        <w:rPr>
          <w:rFonts w:hint="eastAsia" w:ascii="宋体" w:hAnsi="宋体" w:eastAsia="宋体" w:cs="宋体"/>
          <w:b/>
          <w:bCs/>
          <w:kern w:val="2"/>
          <w:sz w:val="24"/>
          <w:szCs w:val="24"/>
          <w:lang w:val="en-US" w:eastAsia="zh-CN" w:bidi="ar-SA"/>
        </w:rPr>
        <w:t>8、项目区土地利用情况</w:t>
      </w:r>
      <w:bookmarkEnd w:id="176"/>
      <w:bookmarkEnd w:id="177"/>
      <w:bookmarkEnd w:id="178"/>
      <w:bookmarkEnd w:id="179"/>
      <w:bookmarkEnd w:id="180"/>
      <w:bookmarkEnd w:id="181"/>
      <w:bookmarkEnd w:id="182"/>
    </w:p>
    <w:p w14:paraId="5536F3C6">
      <w:pPr>
        <w:keepNext w:val="0"/>
        <w:keepLines w:val="0"/>
        <w:pageBreakBefore w:val="0"/>
        <w:widowControl w:val="0"/>
        <w:kinsoku/>
        <w:wordWrap/>
        <w:overflowPunct/>
        <w:topLinePunct w:val="0"/>
        <w:autoSpaceDE/>
        <w:autoSpaceDN/>
        <w:bidi w:val="0"/>
        <w:adjustRightInd/>
        <w:snapToGrid/>
        <w:spacing w:line="560" w:lineRule="exact"/>
        <w:ind w:left="0" w:leftChars="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县域面积530339</w:t>
      </w:r>
      <w:r>
        <w:rPr>
          <w:rFonts w:hint="eastAsia" w:ascii="宋体" w:hAnsi="宋体" w:eastAsia="宋体" w:cs="宋体"/>
          <w:sz w:val="24"/>
          <w:szCs w:val="24"/>
          <w:lang w:val="en-US" w:eastAsia="zh-CN"/>
        </w:rPr>
        <w:t>6</w:t>
      </w:r>
      <w:r>
        <w:rPr>
          <w:rFonts w:hint="eastAsia" w:ascii="宋体" w:hAnsi="宋体" w:eastAsia="宋体" w:cs="宋体"/>
          <w:sz w:val="24"/>
          <w:szCs w:val="24"/>
        </w:rPr>
        <w:t>亩</w:t>
      </w:r>
      <w:r>
        <w:rPr>
          <w:rFonts w:hint="eastAsia" w:ascii="宋体" w:hAnsi="宋体" w:eastAsia="宋体" w:cs="宋体"/>
          <w:sz w:val="24"/>
          <w:szCs w:val="24"/>
          <w:lang w:eastAsia="zh-CN"/>
        </w:rPr>
        <w:t>，</w:t>
      </w:r>
      <w:r>
        <w:rPr>
          <w:rFonts w:hint="eastAsia" w:ascii="宋体" w:hAnsi="宋体" w:eastAsia="宋体" w:cs="宋体"/>
          <w:sz w:val="24"/>
          <w:szCs w:val="24"/>
        </w:rPr>
        <w:t>其中</w:t>
      </w:r>
      <w:r>
        <w:rPr>
          <w:rFonts w:hint="eastAsia" w:ascii="宋体" w:hAnsi="宋体" w:eastAsia="宋体" w:cs="宋体"/>
          <w:sz w:val="24"/>
          <w:szCs w:val="24"/>
          <w:lang w:eastAsia="zh-CN"/>
        </w:rPr>
        <w:t>：</w:t>
      </w:r>
      <w:r>
        <w:rPr>
          <w:rFonts w:hint="eastAsia" w:ascii="宋体" w:hAnsi="宋体" w:eastAsia="宋体" w:cs="宋体"/>
          <w:sz w:val="24"/>
          <w:szCs w:val="24"/>
        </w:rPr>
        <w:t>林地面积42179</w:t>
      </w:r>
      <w:r>
        <w:rPr>
          <w:rFonts w:hint="eastAsia" w:ascii="宋体" w:hAnsi="宋体" w:eastAsia="宋体" w:cs="宋体"/>
          <w:sz w:val="24"/>
          <w:szCs w:val="24"/>
          <w:lang w:val="en-US" w:eastAsia="zh-CN"/>
        </w:rPr>
        <w:t>80</w:t>
      </w:r>
      <w:r>
        <w:rPr>
          <w:rFonts w:hint="eastAsia" w:ascii="宋体" w:hAnsi="宋体" w:eastAsia="宋体" w:cs="宋体"/>
          <w:sz w:val="24"/>
          <w:szCs w:val="24"/>
        </w:rPr>
        <w:t>亩</w:t>
      </w:r>
      <w:r>
        <w:rPr>
          <w:rFonts w:hint="eastAsia" w:ascii="宋体" w:hAnsi="宋体" w:eastAsia="宋体" w:cs="宋体"/>
          <w:sz w:val="24"/>
          <w:szCs w:val="24"/>
          <w:lang w:eastAsia="zh-CN"/>
        </w:rPr>
        <w:t>，</w:t>
      </w:r>
      <w:r>
        <w:rPr>
          <w:rFonts w:hint="eastAsia" w:ascii="宋体" w:hAnsi="宋体" w:eastAsia="宋体" w:cs="宋体"/>
          <w:sz w:val="24"/>
          <w:szCs w:val="24"/>
        </w:rPr>
        <w:t>占县域面积79.5%</w:t>
      </w:r>
      <w:r>
        <w:rPr>
          <w:rFonts w:hint="eastAsia" w:ascii="宋体" w:hAnsi="宋体" w:eastAsia="宋体" w:cs="宋体"/>
          <w:sz w:val="24"/>
          <w:szCs w:val="24"/>
          <w:lang w:eastAsia="zh-CN"/>
        </w:rPr>
        <w:t>；</w:t>
      </w:r>
      <w:r>
        <w:rPr>
          <w:rFonts w:hint="eastAsia" w:ascii="宋体" w:hAnsi="宋体" w:eastAsia="宋体" w:cs="宋体"/>
          <w:sz w:val="24"/>
          <w:szCs w:val="24"/>
        </w:rPr>
        <w:t>非林地面积108</w:t>
      </w:r>
      <w:r>
        <w:rPr>
          <w:rFonts w:hint="eastAsia" w:ascii="宋体" w:hAnsi="宋体" w:eastAsia="宋体" w:cs="宋体"/>
          <w:sz w:val="24"/>
          <w:szCs w:val="24"/>
          <w:lang w:val="en-US" w:eastAsia="zh-CN"/>
        </w:rPr>
        <w:t>5416</w:t>
      </w:r>
      <w:r>
        <w:rPr>
          <w:rFonts w:hint="eastAsia" w:ascii="宋体" w:hAnsi="宋体" w:eastAsia="宋体" w:cs="宋体"/>
          <w:sz w:val="24"/>
          <w:szCs w:val="24"/>
        </w:rPr>
        <w:t>亩</w:t>
      </w:r>
      <w:r>
        <w:rPr>
          <w:rFonts w:hint="eastAsia" w:ascii="宋体" w:hAnsi="宋体" w:eastAsia="宋体" w:cs="宋体"/>
          <w:sz w:val="24"/>
          <w:szCs w:val="24"/>
          <w:lang w:eastAsia="zh-CN"/>
        </w:rPr>
        <w:t>，</w:t>
      </w:r>
      <w:r>
        <w:rPr>
          <w:rFonts w:hint="eastAsia" w:ascii="宋体" w:hAnsi="宋体" w:eastAsia="宋体" w:cs="宋体"/>
          <w:sz w:val="24"/>
          <w:szCs w:val="24"/>
        </w:rPr>
        <w:t>占县域面积20.5%。</w:t>
      </w:r>
      <w:r>
        <w:rPr>
          <w:rFonts w:hint="eastAsia" w:ascii="宋体" w:hAnsi="宋体" w:eastAsia="宋体" w:cs="宋体"/>
          <w:sz w:val="24"/>
          <w:szCs w:val="24"/>
          <w:lang w:eastAsia="zh-CN"/>
        </w:rPr>
        <w:t>其中有林地面积3220864亩、特灌林</w:t>
      </w:r>
      <w:r>
        <w:rPr>
          <w:rFonts w:hint="eastAsia" w:ascii="宋体" w:hAnsi="宋体" w:eastAsia="宋体" w:cs="宋体"/>
          <w:sz w:val="24"/>
          <w:szCs w:val="24"/>
          <w:lang w:val="en-US" w:eastAsia="zh-CN"/>
        </w:rPr>
        <w:t>19840亩，四旁折合95131亩，</w:t>
      </w:r>
      <w:r>
        <w:rPr>
          <w:rFonts w:hint="eastAsia" w:ascii="宋体" w:hAnsi="宋体" w:eastAsia="宋体" w:cs="宋体"/>
          <w:sz w:val="24"/>
          <w:szCs w:val="24"/>
          <w:lang w:eastAsia="zh-CN"/>
        </w:rPr>
        <w:t>森林覆盖率</w:t>
      </w:r>
      <w:r>
        <w:rPr>
          <w:rFonts w:hint="eastAsia" w:ascii="宋体" w:hAnsi="宋体" w:eastAsia="宋体" w:cs="宋体"/>
          <w:sz w:val="24"/>
          <w:szCs w:val="24"/>
          <w:lang w:val="en-US" w:eastAsia="zh-CN"/>
        </w:rPr>
        <w:t>72.33%。</w:t>
      </w:r>
    </w:p>
    <w:p w14:paraId="53BEF484">
      <w:pPr>
        <w:keepNext w:val="0"/>
        <w:keepLines w:val="0"/>
        <w:pageBreakBefore w:val="0"/>
        <w:widowControl w:val="0"/>
        <w:kinsoku/>
        <w:wordWrap/>
        <w:overflowPunct/>
        <w:topLinePunct w:val="0"/>
        <w:autoSpaceDE/>
        <w:autoSpaceDN/>
        <w:bidi w:val="0"/>
        <w:adjustRightInd/>
        <w:snapToGrid/>
        <w:spacing w:line="56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区面积</w:t>
      </w:r>
      <w:r>
        <w:rPr>
          <w:rFonts w:hint="eastAsia" w:ascii="宋体" w:hAnsi="宋体" w:eastAsia="宋体" w:cs="宋体"/>
          <w:color w:val="auto"/>
          <w:sz w:val="24"/>
          <w:szCs w:val="24"/>
          <w:lang w:val="en-US" w:eastAsia="zh-CN"/>
        </w:rPr>
        <w:t>129652</w:t>
      </w:r>
      <w:r>
        <w:rPr>
          <w:rFonts w:hint="eastAsia" w:ascii="宋体" w:hAnsi="宋体" w:eastAsia="宋体" w:cs="宋体"/>
          <w:color w:val="auto"/>
          <w:sz w:val="24"/>
          <w:szCs w:val="24"/>
        </w:rPr>
        <w:t>亩</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其中</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耕地面积15616亩，</w:t>
      </w:r>
      <w:r>
        <w:rPr>
          <w:rFonts w:hint="eastAsia" w:ascii="宋体" w:hAnsi="宋体" w:eastAsia="宋体" w:cs="宋体"/>
          <w:color w:val="auto"/>
          <w:sz w:val="24"/>
          <w:szCs w:val="24"/>
        </w:rPr>
        <w:t>林地面积</w:t>
      </w:r>
      <w:r>
        <w:rPr>
          <w:rFonts w:hint="eastAsia" w:ascii="宋体" w:hAnsi="宋体" w:eastAsia="宋体" w:cs="宋体"/>
          <w:color w:val="auto"/>
          <w:sz w:val="24"/>
          <w:szCs w:val="24"/>
          <w:lang w:val="en-US" w:eastAsia="zh-CN"/>
        </w:rPr>
        <w:t>56524</w:t>
      </w:r>
      <w:r>
        <w:rPr>
          <w:rFonts w:hint="eastAsia" w:ascii="宋体" w:hAnsi="宋体" w:eastAsia="宋体" w:cs="宋体"/>
          <w:color w:val="auto"/>
          <w:sz w:val="24"/>
          <w:szCs w:val="24"/>
        </w:rPr>
        <w:t>亩</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灌木林地面积20182亩，其他林地面积20215亩</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项目区平均</w:t>
      </w:r>
      <w:r>
        <w:rPr>
          <w:rFonts w:hint="eastAsia" w:ascii="宋体" w:hAnsi="宋体" w:eastAsia="宋体" w:cs="宋体"/>
          <w:color w:val="auto"/>
          <w:sz w:val="24"/>
          <w:szCs w:val="24"/>
          <w:lang w:eastAsia="zh-CN"/>
        </w:rPr>
        <w:t>森林覆盖率</w:t>
      </w:r>
      <w:r>
        <w:rPr>
          <w:rFonts w:hint="eastAsia" w:ascii="宋体" w:hAnsi="宋体" w:eastAsia="宋体" w:cs="宋体"/>
          <w:color w:val="auto"/>
          <w:sz w:val="24"/>
          <w:szCs w:val="24"/>
          <w:lang w:val="en-US" w:eastAsia="zh-CN"/>
        </w:rPr>
        <w:t>67%</w:t>
      </w:r>
      <w:r>
        <w:rPr>
          <w:rFonts w:hint="eastAsia" w:ascii="宋体" w:hAnsi="宋体" w:eastAsia="宋体" w:cs="宋体"/>
          <w:color w:val="auto"/>
          <w:sz w:val="24"/>
          <w:szCs w:val="24"/>
        </w:rPr>
        <w:t>。</w:t>
      </w:r>
    </w:p>
    <w:p w14:paraId="5AA8F70B">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right="0"/>
        <w:textAlignment w:val="auto"/>
        <w:rPr>
          <w:rFonts w:hint="eastAsia" w:ascii="宋体" w:hAnsi="宋体" w:eastAsia="宋体" w:cs="宋体"/>
          <w:b/>
          <w:bCs/>
          <w:kern w:val="2"/>
          <w:sz w:val="24"/>
          <w:szCs w:val="24"/>
          <w:lang w:val="en-US" w:eastAsia="zh-CN" w:bidi="ar-SA"/>
        </w:rPr>
      </w:pPr>
      <w:bookmarkStart w:id="183" w:name="_Toc10307"/>
      <w:bookmarkStart w:id="184" w:name="_Toc26385"/>
      <w:r>
        <w:rPr>
          <w:rFonts w:hint="eastAsia" w:ascii="宋体" w:hAnsi="宋体" w:eastAsia="宋体" w:cs="宋体"/>
          <w:b/>
          <w:bCs/>
          <w:kern w:val="2"/>
          <w:sz w:val="24"/>
          <w:szCs w:val="24"/>
          <w:lang w:val="en-US" w:eastAsia="zh-CN" w:bidi="ar-SA"/>
        </w:rPr>
        <w:t>9、板栗产业</w:t>
      </w:r>
      <w:bookmarkEnd w:id="171"/>
      <w:bookmarkEnd w:id="172"/>
      <w:bookmarkEnd w:id="173"/>
      <w:bookmarkEnd w:id="174"/>
      <w:bookmarkEnd w:id="175"/>
      <w:r>
        <w:rPr>
          <w:rFonts w:hint="eastAsia" w:ascii="宋体" w:hAnsi="宋体" w:eastAsia="宋体" w:cs="宋体"/>
          <w:b/>
          <w:bCs/>
          <w:kern w:val="2"/>
          <w:sz w:val="24"/>
          <w:szCs w:val="24"/>
          <w:lang w:val="en-US" w:eastAsia="zh-CN" w:bidi="ar-SA"/>
        </w:rPr>
        <w:t>现状</w:t>
      </w:r>
      <w:bookmarkEnd w:id="183"/>
      <w:bookmarkEnd w:id="184"/>
    </w:p>
    <w:p w14:paraId="19E13C0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山阳县属板栗适生区，板栗栽培历史悠久。通过多年发展，板栗已成为乡村优势主导产业。截止2024年底板栗发展总面积50.3万亩，挂果面积45万亩，占总面积89.4%，产量9000吨，产值9744万元，人均增收84元，占人均林业收入17.4%；板栗良种推广面积40.3万亩，良种利用率80%。目前主栽品种有镇安大板栗、镇安1号、泰山1号、大红袍、新早丰、柞板11、柞板14号等优良品种。</w:t>
      </w:r>
    </w:p>
    <w:p w14:paraId="1C4354AA">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spacing w:val="0"/>
          <w:sz w:val="24"/>
          <w:szCs w:val="24"/>
          <w:lang w:val="en-US" w:eastAsia="zh-CN"/>
        </w:rPr>
      </w:pPr>
      <w:r>
        <w:rPr>
          <w:rFonts w:hint="eastAsia" w:ascii="宋体" w:hAnsi="宋体" w:eastAsia="宋体" w:cs="宋体"/>
          <w:b w:val="0"/>
          <w:bCs w:val="0"/>
          <w:spacing w:val="0"/>
          <w:sz w:val="24"/>
          <w:szCs w:val="24"/>
          <w:lang w:val="en-US" w:eastAsia="zh-CN"/>
        </w:rPr>
        <w:t>“十一五”期间，县委、县政府提出大力发展“四大产业”，板栗首次作为支柱产业得到大力发展，短短五年，板栗面积突破40万亩。“十二五”以后，我县紧紧抓住与西农大开展校地合作的良好机遇，紧扣国土增绿、产业增效、农民增收“三大目标”，把板栗产业发展与脱贫攻坚紧密融合，作为扶贫的主导产业来抓，加大资金投入和政策扶持，大力推进板栗综合科管，形成了以流岭、鹘岭、郧岭“三岭”为重点区域的板栗产业带，打造了一批规模大、标准高的产业示范基地。</w:t>
      </w:r>
    </w:p>
    <w:p w14:paraId="1BE00758">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spacing w:val="0"/>
          <w:sz w:val="24"/>
          <w:szCs w:val="24"/>
          <w:lang w:val="en-US" w:eastAsia="zh-CN"/>
        </w:rPr>
      </w:pPr>
      <w:r>
        <w:rPr>
          <w:rFonts w:hint="eastAsia" w:ascii="宋体" w:hAnsi="宋体" w:eastAsia="宋体" w:cs="宋体"/>
          <w:b w:val="0"/>
          <w:bCs w:val="0"/>
          <w:spacing w:val="0"/>
          <w:sz w:val="24"/>
          <w:szCs w:val="24"/>
          <w:lang w:val="en-US" w:eastAsia="zh-CN"/>
        </w:rPr>
        <w:t>2020年，在高坝店、天竺山等5镇13村实施板栗综合科管11500亩。2021年，在漫川关、户家塬等7镇17村实施板栗综合科管6940亩，病虫害飞防10000亩。2022年，在南宽坪、小河口等6镇10村实施板栗综合科管4000亩，病虫害飞防6000亩。2023年在漫川关镇莲花池社区嫁接改造板栗基地2000亩，在户家塬、高坝店等4镇4村（社）实施板栗综合科管5300亩。2024年，在漫川关镇实施板栗综合科管2000亩，</w:t>
      </w:r>
      <w:r>
        <w:rPr>
          <w:rFonts w:hint="eastAsia" w:ascii="宋体" w:hAnsi="宋体" w:eastAsia="宋体" w:cs="宋体"/>
          <w:sz w:val="24"/>
          <w:szCs w:val="24"/>
          <w:lang w:val="en-US" w:eastAsia="zh-CN"/>
        </w:rPr>
        <w:t>带动全县完成以核桃、板栗为主的经济林综合科。</w:t>
      </w:r>
    </w:p>
    <w:p w14:paraId="46245A4C">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项目区为已挂果板栗园，树龄15~26年，平均树高为2.0~6.0 m，平均胸径为10~24 cm。存在标准化生产水平较低，产品质量不高，整体效益低下等突出问题。主要表现在:</w:t>
      </w:r>
    </w:p>
    <w:p w14:paraId="6F4344AC">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一是品种混杂，良种品种化程度较低。</w:t>
      </w:r>
    </w:p>
    <w:p w14:paraId="1BD1CCC0">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二是管理粗放，综合科管任务依然艰巨。</w:t>
      </w:r>
    </w:p>
    <w:p w14:paraId="54C73F25">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三是经营管理机制不活，分户所有与规模化经营的矛盾依然突出，规模化经营管理措施难以实施到位。</w:t>
      </w:r>
    </w:p>
    <w:p w14:paraId="459FCE57">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四是科技服务体系不健全，专业技术人员严重不足。</w:t>
      </w:r>
    </w:p>
    <w:p w14:paraId="629AEAB6">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五是加工及营销体系不健全，产品流通、销售不畅；</w:t>
      </w:r>
    </w:p>
    <w:p w14:paraId="69C35043">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六是品牌建设滞后，产业链条短，产品附加值低。</w:t>
      </w:r>
    </w:p>
    <w:p w14:paraId="541F8DB2">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right="0"/>
        <w:textAlignment w:val="auto"/>
        <w:rPr>
          <w:rFonts w:hint="eastAsia" w:ascii="宋体" w:hAnsi="宋体" w:eastAsia="宋体" w:cs="宋体"/>
          <w:b/>
          <w:bCs/>
          <w:kern w:val="2"/>
          <w:sz w:val="24"/>
          <w:szCs w:val="24"/>
          <w:lang w:val="en-US" w:eastAsia="zh-CN" w:bidi="ar-SA"/>
        </w:rPr>
      </w:pPr>
      <w:bookmarkStart w:id="185" w:name="_Toc20894"/>
      <w:bookmarkStart w:id="186" w:name="_Toc6150"/>
      <w:r>
        <w:rPr>
          <w:rFonts w:hint="eastAsia" w:ascii="宋体" w:hAnsi="宋体" w:eastAsia="宋体" w:cs="宋体"/>
          <w:b/>
          <w:bCs/>
          <w:kern w:val="2"/>
          <w:sz w:val="24"/>
          <w:szCs w:val="24"/>
          <w:lang w:val="en-US" w:eastAsia="zh-CN" w:bidi="ar-SA"/>
        </w:rPr>
        <w:t>10、板栗综合科管示范园用地原则</w:t>
      </w:r>
      <w:bookmarkEnd w:id="185"/>
      <w:bookmarkEnd w:id="186"/>
    </w:p>
    <w:p w14:paraId="06229BD5">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在山阳县板栗产业基地优选4镇查找交通便利，劳动力充足，群众积极性高，产业基础好的村社，在充分征求镇办村社干部意见的前提下，选择地势相对较为平坦，土层较深厚，土质疏松，且集中连片的挂果板栗园，在不改变土地性质的前提下充分利用退耕还林土地资源，增加单位面积产出，7650亩板栗综合科管用地，符合土地使用政策。</w:t>
      </w:r>
    </w:p>
    <w:p w14:paraId="2762D269">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right="0"/>
        <w:textAlignment w:val="auto"/>
        <w:rPr>
          <w:rFonts w:hint="eastAsia" w:ascii="宋体" w:hAnsi="宋体" w:eastAsia="宋体" w:cs="宋体"/>
          <w:b/>
          <w:bCs/>
          <w:kern w:val="2"/>
          <w:sz w:val="24"/>
          <w:szCs w:val="24"/>
          <w:lang w:val="en-US" w:eastAsia="zh-CN" w:bidi="ar-SA"/>
        </w:rPr>
      </w:pPr>
      <w:bookmarkStart w:id="187" w:name="_Toc24612"/>
      <w:bookmarkStart w:id="188" w:name="_Toc1511"/>
      <w:r>
        <w:rPr>
          <w:rFonts w:hint="eastAsia" w:ascii="宋体" w:hAnsi="宋体" w:eastAsia="宋体" w:cs="宋体"/>
          <w:b/>
          <w:bCs/>
          <w:kern w:val="2"/>
          <w:sz w:val="24"/>
          <w:szCs w:val="24"/>
          <w:lang w:val="en-US" w:eastAsia="zh-CN" w:bidi="ar-SA"/>
        </w:rPr>
        <w:t>11、建设单位基本情况</w:t>
      </w:r>
      <w:bookmarkEnd w:id="187"/>
      <w:bookmarkEnd w:id="188"/>
    </w:p>
    <w:p w14:paraId="65048D7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山阳县林特产业发展中心属于全额财政预算事业单位，主要职责负责全县林果产业、林下经济、中药材产业发展的计划制定、组织实施、技术培训以及产业项目的实施工作，为独立法人单位，经济独立核算，县级编制18人，目前在编15人，研究生3人，本科2人，大专3人，中专5人，正高级职称1人，高级职称4人，中级职称6人。近年来，申报省级科技成果4项，申报发明专利2项，申报省级乡土树种2个，出版书籍2册，发表论文6篇，获省市科技奖项3项，实施中财项目3项，实施省市产业项目13项，目前项目已全部结题，通过省市检查验收，项目均合格。</w:t>
      </w:r>
    </w:p>
    <w:p w14:paraId="1342F123">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right="0"/>
        <w:textAlignment w:val="auto"/>
        <w:rPr>
          <w:rFonts w:hint="eastAsia" w:ascii="宋体" w:hAnsi="宋体" w:eastAsia="宋体" w:cs="宋体"/>
          <w:b/>
          <w:bCs/>
          <w:kern w:val="2"/>
          <w:sz w:val="24"/>
          <w:szCs w:val="24"/>
          <w:lang w:val="en-US" w:eastAsia="zh-CN" w:bidi="ar-SA"/>
        </w:rPr>
      </w:pPr>
      <w:bookmarkStart w:id="189" w:name="_Toc27200"/>
      <w:bookmarkStart w:id="190" w:name="_Toc18867"/>
      <w:r>
        <w:rPr>
          <w:rFonts w:hint="eastAsia" w:ascii="宋体" w:hAnsi="宋体" w:eastAsia="宋体" w:cs="宋体"/>
          <w:b/>
          <w:bCs/>
          <w:kern w:val="2"/>
          <w:sz w:val="24"/>
          <w:szCs w:val="24"/>
          <w:lang w:val="en-US" w:eastAsia="zh-CN" w:bidi="ar-SA"/>
        </w:rPr>
        <w:t>12、建设条件评价</w:t>
      </w:r>
      <w:bookmarkEnd w:id="189"/>
      <w:bookmarkEnd w:id="190"/>
    </w:p>
    <w:p w14:paraId="6C22F4B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sz w:val="28"/>
          <w:szCs w:val="28"/>
          <w:highlight w:val="none"/>
          <w:lang w:val="en-US" w:eastAsia="zh-CN"/>
        </w:rPr>
      </w:pPr>
      <w:r>
        <w:rPr>
          <w:rFonts w:hint="eastAsia" w:ascii="宋体" w:hAnsi="宋体" w:eastAsia="宋体" w:cs="宋体"/>
          <w:snapToGrid w:val="0"/>
          <w:color w:val="auto"/>
          <w:spacing w:val="0"/>
          <w:w w:val="100"/>
          <w:kern w:val="0"/>
          <w:sz w:val="24"/>
          <w:szCs w:val="24"/>
          <w:lang w:eastAsia="zh-CN"/>
        </w:rPr>
        <w:t>综上所述，项目区域的</w:t>
      </w:r>
      <w:r>
        <w:rPr>
          <w:rFonts w:hint="eastAsia" w:ascii="宋体" w:hAnsi="宋体" w:eastAsia="宋体" w:cs="宋体"/>
          <w:snapToGrid w:val="0"/>
          <w:color w:val="auto"/>
          <w:spacing w:val="0"/>
          <w:w w:val="100"/>
          <w:kern w:val="0"/>
          <w:sz w:val="24"/>
          <w:szCs w:val="24"/>
          <w:lang w:val="en-US" w:eastAsia="zh-CN"/>
        </w:rPr>
        <w:t>地理位置优越，山势低缓，气候温润，土壤微酸，交通便利，板栗产业基础好，适宜开展板栗综合科管，且不占用耕地，</w:t>
      </w:r>
      <w:r>
        <w:rPr>
          <w:rFonts w:hint="eastAsia" w:ascii="宋体" w:hAnsi="宋体" w:eastAsia="宋体" w:cs="宋体"/>
          <w:snapToGrid w:val="0"/>
          <w:color w:val="auto"/>
          <w:spacing w:val="0"/>
          <w:w w:val="100"/>
          <w:kern w:val="0"/>
          <w:sz w:val="24"/>
          <w:szCs w:val="24"/>
          <w:lang w:eastAsia="zh-CN"/>
        </w:rPr>
        <w:t>人力资源储备充足，群众参</w:t>
      </w:r>
      <w:r>
        <w:rPr>
          <w:rFonts w:hint="eastAsia" w:ascii="宋体" w:hAnsi="宋体" w:eastAsia="宋体" w:cs="宋体"/>
          <w:snapToGrid w:val="0"/>
          <w:color w:val="auto"/>
          <w:spacing w:val="-6"/>
          <w:w w:val="100"/>
          <w:kern w:val="0"/>
          <w:sz w:val="24"/>
          <w:szCs w:val="24"/>
          <w:lang w:eastAsia="zh-CN"/>
        </w:rPr>
        <w:t>与</w:t>
      </w:r>
      <w:r>
        <w:rPr>
          <w:rFonts w:hint="eastAsia" w:ascii="宋体" w:hAnsi="宋体" w:eastAsia="宋体" w:cs="宋体"/>
          <w:snapToGrid w:val="0"/>
          <w:color w:val="auto"/>
          <w:spacing w:val="-6"/>
          <w:w w:val="100"/>
          <w:kern w:val="0"/>
          <w:sz w:val="24"/>
          <w:szCs w:val="24"/>
          <w:lang w:val="en-US" w:eastAsia="zh-CN"/>
        </w:rPr>
        <w:t>积极性高</w:t>
      </w:r>
      <w:r>
        <w:rPr>
          <w:rFonts w:hint="eastAsia" w:ascii="宋体" w:hAnsi="宋体" w:eastAsia="宋体" w:cs="宋体"/>
          <w:snapToGrid w:val="0"/>
          <w:color w:val="auto"/>
          <w:spacing w:val="-6"/>
          <w:w w:val="100"/>
          <w:kern w:val="0"/>
          <w:sz w:val="24"/>
          <w:szCs w:val="24"/>
          <w:lang w:eastAsia="zh-CN"/>
        </w:rPr>
        <w:t>，各项准备工作均已达到预期标准，满足</w:t>
      </w:r>
      <w:r>
        <w:rPr>
          <w:rFonts w:hint="eastAsia" w:ascii="宋体" w:hAnsi="宋体" w:eastAsia="宋体" w:cs="宋体"/>
          <w:snapToGrid w:val="0"/>
          <w:color w:val="auto"/>
          <w:spacing w:val="-6"/>
          <w:w w:val="100"/>
          <w:kern w:val="0"/>
          <w:sz w:val="24"/>
          <w:szCs w:val="24"/>
          <w:lang w:val="en-US" w:eastAsia="zh-CN"/>
        </w:rPr>
        <w:t>项目</w:t>
      </w:r>
      <w:r>
        <w:rPr>
          <w:rFonts w:hint="eastAsia" w:ascii="宋体" w:hAnsi="宋体" w:eastAsia="宋体" w:cs="宋体"/>
          <w:snapToGrid w:val="0"/>
          <w:color w:val="auto"/>
          <w:spacing w:val="-6"/>
          <w:w w:val="100"/>
          <w:kern w:val="0"/>
          <w:sz w:val="24"/>
          <w:szCs w:val="24"/>
          <w:lang w:eastAsia="zh-CN"/>
        </w:rPr>
        <w:t>建设的各项要求。</w:t>
      </w:r>
    </w:p>
    <w:p w14:paraId="076D30D1">
      <w:pPr>
        <w:rPr>
          <w:rFonts w:hint="default" w:ascii="Times New Roman" w:hAnsi="Times New Roman" w:cs="Times New Roman"/>
          <w:b w:val="0"/>
          <w:bCs/>
          <w:sz w:val="28"/>
          <w:szCs w:val="28"/>
          <w:lang w:val="en-US" w:eastAsia="zh-CN"/>
        </w:rPr>
      </w:pPr>
      <w:bookmarkStart w:id="191" w:name="_Toc1794"/>
      <w:r>
        <w:rPr>
          <w:rFonts w:hint="default" w:ascii="Times New Roman" w:hAnsi="Times New Roman" w:cs="Times New Roman"/>
          <w:b w:val="0"/>
          <w:bCs/>
          <w:sz w:val="28"/>
          <w:szCs w:val="28"/>
          <w:lang w:val="en-US" w:eastAsia="zh-CN"/>
        </w:rPr>
        <w:br w:type="page"/>
      </w:r>
    </w:p>
    <w:p w14:paraId="76E36CE5">
      <w:pPr>
        <w:pStyle w:val="4"/>
        <w:numPr>
          <w:ilvl w:val="0"/>
          <w:numId w:val="0"/>
        </w:numPr>
        <w:spacing w:line="360" w:lineRule="auto"/>
        <w:jc w:val="center"/>
        <w:rPr>
          <w:rFonts w:hint="default" w:ascii="Times New Roman" w:hAnsi="Times New Roman" w:cs="Times New Roman"/>
          <w:b w:val="0"/>
          <w:bCs/>
          <w:sz w:val="28"/>
          <w:szCs w:val="28"/>
          <w:lang w:val="en-US" w:eastAsia="zh-CN"/>
        </w:rPr>
      </w:pPr>
      <w:r>
        <w:rPr>
          <w:rFonts w:hint="default" w:ascii="宋体" w:hAnsi="宋体" w:eastAsia="宋体" w:cs="宋体"/>
          <w:sz w:val="28"/>
          <w:szCs w:val="28"/>
          <w:lang w:val="en-US" w:eastAsia="zh-CN"/>
        </w:rPr>
        <w:t>作业区划</w:t>
      </w:r>
    </w:p>
    <w:p w14:paraId="6F885F0D">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right="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1、作业区选择</w:t>
      </w:r>
      <w:bookmarkEnd w:id="191"/>
    </w:p>
    <w:p w14:paraId="26F152B4">
      <w:pPr>
        <w:keepNext w:val="0"/>
        <w:keepLines w:val="0"/>
        <w:pageBreakBefore w:val="0"/>
        <w:widowControl w:val="0"/>
        <w:kinsoku/>
        <w:wordWrap/>
        <w:overflowPunct/>
        <w:topLinePunct w:val="0"/>
        <w:autoSpaceDE/>
        <w:autoSpaceDN/>
        <w:bidi w:val="0"/>
        <w:adjustRightInd/>
        <w:snapToGrid/>
        <w:spacing w:line="560" w:lineRule="exact"/>
        <w:ind w:left="0" w:leftChars="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以漫川关镇、南宽坪镇、户家塬镇、小河口镇的4镇8村社为作业区，采用县、镇（办）、村（社区）、小班四级区划。小班主要依据权属、树种、林龄、林相、立地条件、地貌、山脊、河流等因素进行区划。</w:t>
      </w:r>
    </w:p>
    <w:p w14:paraId="415F5599">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right="0"/>
        <w:textAlignment w:val="auto"/>
        <w:rPr>
          <w:rFonts w:hint="eastAsia" w:ascii="宋体" w:hAnsi="宋体" w:eastAsia="宋体" w:cs="宋体"/>
          <w:b/>
          <w:bCs w:val="0"/>
          <w:sz w:val="24"/>
          <w:szCs w:val="24"/>
        </w:rPr>
      </w:pPr>
      <w:bookmarkStart w:id="192" w:name="_Toc29382"/>
      <w:bookmarkStart w:id="193" w:name="_Toc11962"/>
      <w:r>
        <w:rPr>
          <w:rFonts w:hint="eastAsia" w:ascii="宋体" w:hAnsi="宋体" w:eastAsia="宋体" w:cs="宋体"/>
          <w:b/>
          <w:bCs w:val="0"/>
          <w:sz w:val="24"/>
          <w:szCs w:val="24"/>
          <w:lang w:val="en-US" w:eastAsia="zh-CN"/>
        </w:rPr>
        <w:t>2、小班区划</w:t>
      </w:r>
      <w:bookmarkEnd w:id="192"/>
      <w:bookmarkEnd w:id="193"/>
    </w:p>
    <w:p w14:paraId="7BDCE084">
      <w:pPr>
        <w:keepNext w:val="0"/>
        <w:keepLines w:val="0"/>
        <w:pageBreakBefore w:val="0"/>
        <w:widowControl w:val="0"/>
        <w:kinsoku/>
        <w:wordWrap/>
        <w:overflowPunct/>
        <w:topLinePunct w:val="0"/>
        <w:autoSpaceDE/>
        <w:autoSpaceDN/>
        <w:bidi w:val="0"/>
        <w:adjustRightInd/>
        <w:snapToGrid/>
        <w:spacing w:line="560" w:lineRule="exact"/>
        <w:ind w:left="0" w:leftChars="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根据地类、林相、立地、林分等因素，以村社为单位，使用平板电脑专用程序，利用1:10000地形图现地逐块实时影像现场对坡勾绘区划，并统一编号和标注。</w:t>
      </w:r>
    </w:p>
    <w:p w14:paraId="46384620">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right="0"/>
        <w:textAlignment w:val="auto"/>
        <w:rPr>
          <w:rFonts w:hint="eastAsia" w:ascii="宋体" w:hAnsi="宋体" w:eastAsia="宋体" w:cs="宋体"/>
          <w:b/>
          <w:bCs w:val="0"/>
          <w:sz w:val="24"/>
          <w:szCs w:val="24"/>
          <w:lang w:val="en-US" w:eastAsia="zh-CN"/>
        </w:rPr>
      </w:pPr>
      <w:bookmarkStart w:id="194" w:name="_Toc15367"/>
      <w:bookmarkStart w:id="195" w:name="_Toc857"/>
      <w:r>
        <w:rPr>
          <w:rFonts w:hint="eastAsia" w:ascii="宋体" w:hAnsi="宋体" w:eastAsia="宋体" w:cs="宋体"/>
          <w:b/>
          <w:bCs w:val="0"/>
          <w:sz w:val="24"/>
          <w:szCs w:val="24"/>
          <w:lang w:val="en-US" w:eastAsia="zh-CN"/>
        </w:rPr>
        <w:t>3、区划结果</w:t>
      </w:r>
      <w:bookmarkEnd w:id="194"/>
      <w:bookmarkEnd w:id="195"/>
    </w:p>
    <w:p w14:paraId="71E81E26">
      <w:pPr>
        <w:keepNext w:val="0"/>
        <w:keepLines w:val="0"/>
        <w:pageBreakBefore w:val="0"/>
        <w:widowControl w:val="0"/>
        <w:kinsoku/>
        <w:wordWrap/>
        <w:overflowPunct/>
        <w:topLinePunct w:val="0"/>
        <w:autoSpaceDE/>
        <w:autoSpaceDN/>
        <w:bidi w:val="0"/>
        <w:adjustRightInd/>
        <w:snapToGrid/>
        <w:spacing w:line="560" w:lineRule="exact"/>
        <w:ind w:left="0" w:leftChars="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根据综合科管板栗园的基本情况和项目管理要求，按照以下条件选择科管作业区。</w:t>
      </w:r>
    </w:p>
    <w:p w14:paraId="2E1FE4BA">
      <w:pPr>
        <w:keepNext w:val="0"/>
        <w:keepLines w:val="0"/>
        <w:pageBreakBefore w:val="0"/>
        <w:widowControl w:val="0"/>
        <w:kinsoku/>
        <w:wordWrap/>
        <w:overflowPunct/>
        <w:topLinePunct w:val="0"/>
        <w:autoSpaceDE/>
        <w:autoSpaceDN/>
        <w:bidi w:val="0"/>
        <w:adjustRightInd/>
        <w:snapToGrid/>
        <w:spacing w:line="560" w:lineRule="exact"/>
        <w:ind w:left="0" w:leftChars="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——立地条件相对较好，土壤偏酸性，相对向阳；</w:t>
      </w:r>
    </w:p>
    <w:p w14:paraId="68FA88AB">
      <w:pPr>
        <w:keepNext w:val="0"/>
        <w:keepLines w:val="0"/>
        <w:pageBreakBefore w:val="0"/>
        <w:widowControl w:val="0"/>
        <w:kinsoku/>
        <w:wordWrap/>
        <w:overflowPunct/>
        <w:topLinePunct w:val="0"/>
        <w:autoSpaceDE/>
        <w:autoSpaceDN/>
        <w:bidi w:val="0"/>
        <w:adjustRightInd/>
        <w:snapToGrid/>
        <w:spacing w:line="560" w:lineRule="exact"/>
        <w:ind w:left="0" w:leftChars="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——交通方便，便于施工；</w:t>
      </w:r>
    </w:p>
    <w:p w14:paraId="19117286">
      <w:pPr>
        <w:keepNext w:val="0"/>
        <w:keepLines w:val="0"/>
        <w:pageBreakBefore w:val="0"/>
        <w:widowControl w:val="0"/>
        <w:kinsoku/>
        <w:wordWrap/>
        <w:overflowPunct/>
        <w:topLinePunct w:val="0"/>
        <w:autoSpaceDE/>
        <w:autoSpaceDN/>
        <w:bidi w:val="0"/>
        <w:adjustRightInd/>
        <w:snapToGrid/>
        <w:spacing w:line="560" w:lineRule="exact"/>
        <w:ind w:left="0" w:leftChars="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——科管地块相对集中，便于管理；</w:t>
      </w:r>
    </w:p>
    <w:p w14:paraId="3AD7A15A">
      <w:pPr>
        <w:keepNext w:val="0"/>
        <w:keepLines w:val="0"/>
        <w:pageBreakBefore w:val="0"/>
        <w:widowControl w:val="0"/>
        <w:kinsoku/>
        <w:wordWrap/>
        <w:overflowPunct/>
        <w:topLinePunct w:val="0"/>
        <w:autoSpaceDE/>
        <w:autoSpaceDN/>
        <w:bidi w:val="0"/>
        <w:adjustRightInd/>
        <w:snapToGrid/>
        <w:spacing w:line="560" w:lineRule="exact"/>
        <w:ind w:left="0" w:leftChars="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——优先选择林相整齐、病虫危害少、栗农积极性高的中龄退耕地板栗园。</w:t>
      </w:r>
    </w:p>
    <w:p w14:paraId="7E06D943">
      <w:pPr>
        <w:keepNext w:val="0"/>
        <w:keepLines w:val="0"/>
        <w:pageBreakBefore w:val="0"/>
        <w:widowControl w:val="0"/>
        <w:kinsoku/>
        <w:wordWrap/>
        <w:overflowPunct/>
        <w:topLinePunct w:val="0"/>
        <w:autoSpaceDE/>
        <w:autoSpaceDN/>
        <w:bidi w:val="0"/>
        <w:adjustRightInd/>
        <w:snapToGrid/>
        <w:spacing w:line="560" w:lineRule="exact"/>
        <w:ind w:left="0" w:leftChars="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充分考虑当地自然、社会、经济条件的基础上，本着交通方便、相对集中、立地条件较好、劳动力充足、板栗示范村社的原则选择科管地块。经过现场勘查，实地调查，对坡勾绘，作业区多为退耕还林地，共区划80个小班</w:t>
      </w:r>
      <w:r>
        <w:rPr>
          <w:rFonts w:hint="eastAsia" w:ascii="宋体" w:hAnsi="宋体" w:eastAsia="宋体" w:cs="宋体"/>
          <w:color w:val="auto"/>
          <w:sz w:val="24"/>
          <w:szCs w:val="24"/>
          <w:lang w:val="en-US" w:eastAsia="zh-CN"/>
        </w:rPr>
        <w:t>8537</w:t>
      </w:r>
      <w:r>
        <w:rPr>
          <w:rFonts w:hint="eastAsia" w:ascii="宋体" w:hAnsi="宋体" w:eastAsia="宋体" w:cs="宋体"/>
          <w:sz w:val="24"/>
          <w:szCs w:val="24"/>
          <w:lang w:val="en-US" w:eastAsia="zh-CN"/>
        </w:rPr>
        <w:t>亩，实际可作业面积7650亩。其中：</w:t>
      </w:r>
    </w:p>
    <w:p w14:paraId="038F910C">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right="0"/>
        <w:jc w:val="both"/>
        <w:textAlignment w:val="auto"/>
        <w:rPr>
          <w:rFonts w:hint="eastAsia" w:ascii="宋体" w:hAnsi="宋体" w:eastAsia="宋体" w:cs="宋体"/>
          <w:sz w:val="24"/>
          <w:szCs w:val="24"/>
          <w:lang w:val="en-US" w:eastAsia="zh-CN"/>
        </w:rPr>
      </w:pPr>
      <w:bookmarkStart w:id="196" w:name="_Toc7516"/>
      <w:r>
        <w:rPr>
          <w:rFonts w:hint="eastAsia" w:ascii="宋体" w:hAnsi="宋体" w:eastAsia="宋体" w:cs="宋体"/>
          <w:sz w:val="24"/>
          <w:szCs w:val="24"/>
          <w:lang w:val="en-US" w:eastAsia="zh-CN"/>
        </w:rPr>
        <w:t>3.1板栗示范园综合科管</w:t>
      </w:r>
      <w:bookmarkEnd w:id="196"/>
    </w:p>
    <w:p w14:paraId="2E0025EF">
      <w:pPr>
        <w:keepNext w:val="0"/>
        <w:keepLines w:val="0"/>
        <w:pageBreakBefore w:val="0"/>
        <w:widowControl w:val="0"/>
        <w:kinsoku/>
        <w:wordWrap/>
        <w:overflowPunct/>
        <w:topLinePunct w:val="0"/>
        <w:autoSpaceDE/>
        <w:autoSpaceDN/>
        <w:bidi w:val="0"/>
        <w:adjustRightInd/>
        <w:snapToGrid/>
        <w:spacing w:line="560" w:lineRule="exact"/>
        <w:ind w:left="0" w:leftChars="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共区划80个小班</w:t>
      </w:r>
      <w:r>
        <w:rPr>
          <w:rFonts w:hint="eastAsia" w:ascii="宋体" w:hAnsi="宋体" w:eastAsia="宋体" w:cs="宋体"/>
          <w:color w:val="auto"/>
          <w:sz w:val="24"/>
          <w:szCs w:val="24"/>
          <w:lang w:val="en-US" w:eastAsia="zh-CN"/>
        </w:rPr>
        <w:t>8537</w:t>
      </w:r>
      <w:r>
        <w:rPr>
          <w:rFonts w:hint="eastAsia" w:ascii="宋体" w:hAnsi="宋体" w:eastAsia="宋体" w:cs="宋体"/>
          <w:sz w:val="24"/>
          <w:szCs w:val="24"/>
          <w:lang w:val="en-US" w:eastAsia="zh-CN"/>
        </w:rPr>
        <w:t>亩，实际可作业面积7650亩。</w:t>
      </w:r>
    </w:p>
    <w:p w14:paraId="69C40B6B">
      <w:pPr>
        <w:pStyle w:val="12"/>
        <w:pageBreakBefore w:val="0"/>
        <w:widowControl w:val="0"/>
        <w:tabs>
          <w:tab w:val="left" w:pos="0"/>
        </w:tabs>
        <w:kinsoku/>
        <w:wordWrap/>
        <w:overflowPunct/>
        <w:topLinePunct w:val="0"/>
        <w:autoSpaceDE/>
        <w:autoSpaceDN/>
        <w:bidi w:val="0"/>
        <w:adjustRightInd/>
        <w:snapToGrid/>
        <w:spacing w:after="0" w:line="560" w:lineRule="exact"/>
        <w:ind w:left="0" w:leftChars="0" w:right="0" w:firstLine="436" w:firstLineChars="200"/>
        <w:textAlignment w:val="auto"/>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11"/>
          <w:sz w:val="24"/>
          <w:szCs w:val="24"/>
          <w:lang w:val="en-US" w:eastAsia="zh-CN"/>
        </w:rPr>
        <w:t>①漫川关镇莲花池社区18个小班设计面积2290亩，可作业面积2000亩。</w:t>
      </w:r>
    </w:p>
    <w:p w14:paraId="62322E95">
      <w:pPr>
        <w:pStyle w:val="12"/>
        <w:pageBreakBefore w:val="0"/>
        <w:widowControl w:val="0"/>
        <w:tabs>
          <w:tab w:val="left" w:pos="0"/>
        </w:tabs>
        <w:kinsoku/>
        <w:wordWrap/>
        <w:overflowPunct/>
        <w:topLinePunct w:val="0"/>
        <w:autoSpaceDE/>
        <w:autoSpaceDN/>
        <w:bidi w:val="0"/>
        <w:adjustRightInd/>
        <w:snapToGrid/>
        <w:spacing w:after="0" w:line="560" w:lineRule="exact"/>
        <w:ind w:left="0" w:leftChars="0" w:right="0" w:firstLine="456" w:firstLineChars="200"/>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②户家塬镇下娘娘庙村</w:t>
      </w:r>
      <w:r>
        <w:rPr>
          <w:rFonts w:hint="eastAsia" w:ascii="宋体" w:hAnsi="宋体" w:eastAsia="宋体" w:cs="宋体"/>
          <w:color w:val="auto"/>
          <w:spacing w:val="-11"/>
          <w:sz w:val="24"/>
          <w:szCs w:val="24"/>
          <w:lang w:val="en-US" w:eastAsia="zh-CN"/>
        </w:rPr>
        <w:t>17个小班设计面积1889亩，可作业面积1723亩。</w:t>
      </w:r>
    </w:p>
    <w:p w14:paraId="1A3057C6">
      <w:pPr>
        <w:keepNext w:val="0"/>
        <w:keepLines w:val="0"/>
        <w:pageBreakBefore w:val="0"/>
        <w:widowControl w:val="0"/>
        <w:kinsoku/>
        <w:wordWrap/>
        <w:overflowPunct/>
        <w:topLinePunct w:val="0"/>
        <w:autoSpaceDE/>
        <w:autoSpaceDN/>
        <w:bidi w:val="0"/>
        <w:adjustRightInd/>
        <w:snapToGrid/>
        <w:spacing w:line="560" w:lineRule="exact"/>
        <w:ind w:left="0" w:leftChars="0" w:right="0" w:firstLine="456" w:firstLineChars="200"/>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③小河口镇涉及5个村社</w:t>
      </w:r>
      <w:r>
        <w:rPr>
          <w:rFonts w:hint="eastAsia" w:ascii="宋体" w:hAnsi="宋体" w:eastAsia="宋体" w:cs="宋体"/>
          <w:color w:val="auto"/>
          <w:spacing w:val="-11"/>
          <w:sz w:val="24"/>
          <w:szCs w:val="24"/>
          <w:lang w:val="en-US" w:eastAsia="zh-CN"/>
        </w:rPr>
        <w:t>可作业面积</w:t>
      </w:r>
      <w:r>
        <w:rPr>
          <w:rFonts w:hint="eastAsia" w:ascii="宋体" w:hAnsi="宋体" w:eastAsia="宋体" w:cs="宋体"/>
          <w:spacing w:val="-6"/>
          <w:sz w:val="24"/>
          <w:szCs w:val="24"/>
          <w:lang w:val="en-US" w:eastAsia="zh-CN"/>
        </w:rPr>
        <w:t>3040亩，其中：六窝蜂村18个小班设计面积1155.7亩，可作业面积1013亩；瓦沟口村4个小班设计面积709.5亩，可作业面积629亩；红星村12个小班设计面积745.8亩，可作业面积718亩；袁家沟村4个小班设计面积432亩，可作业面积380亩；街道村4个小班设计面积340亩，可作业面积300亩。</w:t>
      </w:r>
    </w:p>
    <w:p w14:paraId="51F895F8">
      <w:pPr>
        <w:keepNext w:val="0"/>
        <w:keepLines w:val="0"/>
        <w:pageBreakBefore w:val="0"/>
        <w:widowControl w:val="0"/>
        <w:kinsoku/>
        <w:wordWrap/>
        <w:overflowPunct/>
        <w:topLinePunct w:val="0"/>
        <w:autoSpaceDE/>
        <w:autoSpaceDN/>
        <w:bidi w:val="0"/>
        <w:adjustRightInd/>
        <w:snapToGrid/>
        <w:spacing w:line="560" w:lineRule="exact"/>
        <w:ind w:left="0" w:leftChars="0" w:right="0" w:firstLine="456" w:firstLineChars="200"/>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④南宽坪镇甘沟村3个小班设计面积</w:t>
      </w:r>
      <w:r>
        <w:rPr>
          <w:rFonts w:hint="eastAsia" w:ascii="宋体" w:hAnsi="宋体" w:eastAsia="宋体" w:cs="宋体"/>
          <w:color w:val="auto"/>
          <w:spacing w:val="-6"/>
          <w:sz w:val="24"/>
          <w:szCs w:val="24"/>
          <w:lang w:val="en-US" w:eastAsia="zh-CN"/>
        </w:rPr>
        <w:t>975</w:t>
      </w:r>
      <w:r>
        <w:rPr>
          <w:rFonts w:hint="eastAsia" w:ascii="宋体" w:hAnsi="宋体" w:eastAsia="宋体" w:cs="宋体"/>
          <w:spacing w:val="-6"/>
          <w:sz w:val="24"/>
          <w:szCs w:val="24"/>
          <w:lang w:val="en-US" w:eastAsia="zh-CN"/>
        </w:rPr>
        <w:t>亩，可作业面积887亩。</w:t>
      </w:r>
    </w:p>
    <w:p w14:paraId="66AB6233">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right="0"/>
        <w:jc w:val="both"/>
        <w:textAlignment w:val="auto"/>
        <w:rPr>
          <w:rFonts w:hint="eastAsia" w:ascii="宋体" w:hAnsi="宋体" w:eastAsia="宋体" w:cs="宋体"/>
          <w:sz w:val="24"/>
          <w:szCs w:val="24"/>
          <w:lang w:val="en-US" w:eastAsia="zh-CN"/>
        </w:rPr>
      </w:pPr>
      <w:bookmarkStart w:id="197" w:name="_Toc22049"/>
      <w:r>
        <w:rPr>
          <w:rFonts w:hint="eastAsia" w:ascii="宋体" w:hAnsi="宋体" w:eastAsia="宋体" w:cs="宋体"/>
          <w:sz w:val="24"/>
          <w:szCs w:val="24"/>
          <w:lang w:val="en-US" w:eastAsia="zh-CN"/>
        </w:rPr>
        <w:t>3.2板栗示范园整形修剪</w:t>
      </w:r>
      <w:bookmarkEnd w:id="197"/>
    </w:p>
    <w:p w14:paraId="09F1AFCD">
      <w:pPr>
        <w:pStyle w:val="12"/>
        <w:pageBreakBefore w:val="0"/>
        <w:widowControl w:val="0"/>
        <w:tabs>
          <w:tab w:val="left" w:pos="0"/>
        </w:tabs>
        <w:kinsoku/>
        <w:wordWrap/>
        <w:overflowPunct/>
        <w:topLinePunct w:val="0"/>
        <w:autoSpaceDE/>
        <w:autoSpaceDN/>
        <w:bidi w:val="0"/>
        <w:adjustRightInd/>
        <w:snapToGrid/>
        <w:spacing w:after="0" w:line="560" w:lineRule="exact"/>
        <w:ind w:left="0" w:leftChars="0" w:right="0" w:firstLine="436" w:firstLineChars="200"/>
        <w:textAlignment w:val="auto"/>
        <w:rPr>
          <w:rFonts w:hint="eastAsia" w:ascii="宋体" w:hAnsi="宋体" w:eastAsia="宋体" w:cs="宋体"/>
          <w:spacing w:val="-6"/>
          <w:sz w:val="24"/>
          <w:szCs w:val="24"/>
          <w:lang w:val="en-US" w:eastAsia="zh-CN"/>
        </w:rPr>
      </w:pPr>
      <w:r>
        <w:rPr>
          <w:rFonts w:hint="eastAsia" w:ascii="宋体" w:hAnsi="宋体" w:eastAsia="宋体" w:cs="宋体"/>
          <w:color w:val="auto"/>
          <w:spacing w:val="-11"/>
          <w:sz w:val="24"/>
          <w:szCs w:val="24"/>
          <w:lang w:val="en-US" w:eastAsia="zh-CN"/>
        </w:rPr>
        <w:t>①漫川关镇莲花池社区18个小班设计面积2290亩，可作业面积2000亩。</w:t>
      </w:r>
      <w:r>
        <w:rPr>
          <w:rFonts w:hint="eastAsia" w:ascii="宋体" w:hAnsi="宋体" w:eastAsia="宋体" w:cs="宋体"/>
          <w:sz w:val="24"/>
          <w:szCs w:val="24"/>
          <w:lang w:val="en-US" w:eastAsia="zh-CN"/>
        </w:rPr>
        <w:t>共区划18个小班</w:t>
      </w:r>
      <w:r>
        <w:rPr>
          <w:rFonts w:hint="eastAsia" w:ascii="宋体" w:hAnsi="宋体" w:eastAsia="宋体" w:cs="宋体"/>
          <w:color w:val="auto"/>
          <w:sz w:val="24"/>
          <w:szCs w:val="24"/>
          <w:lang w:val="en-US" w:eastAsia="zh-CN"/>
        </w:rPr>
        <w:t>2290</w:t>
      </w:r>
      <w:r>
        <w:rPr>
          <w:rFonts w:hint="eastAsia" w:ascii="宋体" w:hAnsi="宋体" w:eastAsia="宋体" w:cs="宋体"/>
          <w:sz w:val="24"/>
          <w:szCs w:val="24"/>
          <w:lang w:val="en-US" w:eastAsia="zh-CN"/>
        </w:rPr>
        <w:t>亩，实际可作业面积2000亩。</w:t>
      </w:r>
    </w:p>
    <w:p w14:paraId="440411CB">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right="0"/>
        <w:textAlignment w:val="auto"/>
        <w:rPr>
          <w:rFonts w:hint="eastAsia" w:ascii="宋体" w:hAnsi="宋体" w:eastAsia="宋体" w:cs="宋体"/>
          <w:b/>
          <w:bCs w:val="0"/>
          <w:sz w:val="24"/>
          <w:szCs w:val="24"/>
          <w:lang w:eastAsia="zh-CN"/>
        </w:rPr>
      </w:pPr>
      <w:bookmarkStart w:id="198" w:name="_Toc22201"/>
      <w:bookmarkStart w:id="199" w:name="_Toc27672"/>
      <w:r>
        <w:rPr>
          <w:rFonts w:hint="eastAsia" w:ascii="宋体" w:hAnsi="宋体" w:eastAsia="宋体" w:cs="宋体"/>
          <w:b/>
          <w:bCs w:val="0"/>
          <w:sz w:val="24"/>
          <w:szCs w:val="24"/>
          <w:lang w:val="en-US" w:eastAsia="zh-CN"/>
        </w:rPr>
        <w:t>4、小班调查</w:t>
      </w:r>
      <w:bookmarkEnd w:id="198"/>
      <w:bookmarkEnd w:id="199"/>
    </w:p>
    <w:p w14:paraId="234CD91F">
      <w:pPr>
        <w:keepNext w:val="0"/>
        <w:keepLines w:val="0"/>
        <w:pageBreakBefore w:val="0"/>
        <w:widowControl w:val="0"/>
        <w:kinsoku/>
        <w:wordWrap/>
        <w:overflowPunct/>
        <w:topLinePunct w:val="0"/>
        <w:autoSpaceDE/>
        <w:autoSpaceDN/>
        <w:bidi w:val="0"/>
        <w:adjustRightInd/>
        <w:snapToGrid/>
        <w:spacing w:line="560" w:lineRule="exact"/>
        <w:ind w:left="0" w:leftChars="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深入现地对小班进行调查，调查内容主要包括：地类、位置、林相、品种、树龄、权属与经营方式、坡度、坡位、坡向、海拔、植被、土壤、立地条件等。</w:t>
      </w:r>
    </w:p>
    <w:p w14:paraId="545FA79B">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right="0"/>
        <w:textAlignment w:val="auto"/>
        <w:rPr>
          <w:rFonts w:hint="eastAsia" w:ascii="宋体" w:hAnsi="宋体" w:eastAsia="宋体" w:cs="宋体"/>
          <w:b/>
          <w:bCs w:val="0"/>
          <w:sz w:val="24"/>
          <w:szCs w:val="24"/>
          <w:lang w:val="en-US" w:eastAsia="zh-CN"/>
        </w:rPr>
      </w:pPr>
      <w:bookmarkStart w:id="200" w:name="_Toc24355"/>
      <w:bookmarkStart w:id="201" w:name="_Toc11084"/>
      <w:r>
        <w:rPr>
          <w:rFonts w:hint="eastAsia" w:ascii="宋体" w:hAnsi="宋体" w:eastAsia="宋体" w:cs="宋体"/>
          <w:b/>
          <w:bCs w:val="0"/>
          <w:sz w:val="24"/>
          <w:szCs w:val="24"/>
          <w:lang w:val="en-US" w:eastAsia="zh-CN"/>
        </w:rPr>
        <w:t>5、立地类型划分</w:t>
      </w:r>
      <w:bookmarkEnd w:id="200"/>
      <w:bookmarkEnd w:id="201"/>
    </w:p>
    <w:p w14:paraId="4DFB612E">
      <w:pPr>
        <w:pageBreakBefore w:val="0"/>
        <w:kinsoku/>
        <w:wordWrap/>
        <w:overflowPunct/>
        <w:topLinePunct w:val="0"/>
        <w:autoSpaceDE/>
        <w:autoSpaceDN/>
        <w:bidi w:val="0"/>
        <w:spacing w:line="560" w:lineRule="exact"/>
        <w:ind w:firstLine="480" w:firstLineChars="20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根据作业区实际情况，共划分了2个立地类型组，低中山带阳坡(Ⅰ)3718亩，占造林地可作业面积的49%；低中山带阴坡(</w:t>
      </w:r>
      <w:r>
        <w:rPr>
          <w:rFonts w:hint="eastAsia" w:ascii="宋体" w:hAnsi="宋体" w:eastAsia="宋体" w:cs="宋体"/>
          <w:sz w:val="24"/>
          <w:szCs w:val="24"/>
        </w:rPr>
        <w:t>Ⅱ</w:t>
      </w:r>
      <w:r>
        <w:rPr>
          <w:rFonts w:hint="eastAsia" w:ascii="宋体" w:hAnsi="宋体" w:eastAsia="宋体" w:cs="宋体"/>
          <w:b w:val="0"/>
          <w:kern w:val="2"/>
          <w:sz w:val="24"/>
          <w:szCs w:val="24"/>
          <w:lang w:val="en-US" w:eastAsia="zh-CN" w:bidi="ar-SA"/>
        </w:rPr>
        <w:t>)3932亩，占造林地可作业面积的51%。</w:t>
      </w:r>
      <w:bookmarkStart w:id="202" w:name="_Toc13347"/>
    </w:p>
    <w:p w14:paraId="0748269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立地类型划分及面积统计表</w:t>
      </w:r>
      <w:bookmarkEnd w:id="202"/>
    </w:p>
    <w:tbl>
      <w:tblPr>
        <w:tblStyle w:val="29"/>
        <w:tblW w:w="8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1648"/>
        <w:gridCol w:w="671"/>
        <w:gridCol w:w="2988"/>
        <w:gridCol w:w="912"/>
        <w:gridCol w:w="851"/>
      </w:tblGrid>
      <w:tr w14:paraId="35F5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214" w:type="dxa"/>
            <w:vMerge w:val="restart"/>
            <w:noWrap w:val="0"/>
            <w:vAlign w:val="center"/>
          </w:tcPr>
          <w:p w14:paraId="63D8E13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立地</w:t>
            </w:r>
          </w:p>
          <w:p w14:paraId="0B3CE87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类型组</w:t>
            </w:r>
          </w:p>
        </w:tc>
        <w:tc>
          <w:tcPr>
            <w:tcW w:w="2319" w:type="dxa"/>
            <w:gridSpan w:val="2"/>
            <w:noWrap w:val="0"/>
            <w:vAlign w:val="center"/>
          </w:tcPr>
          <w:p w14:paraId="738FC31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立地类型</w:t>
            </w:r>
          </w:p>
        </w:tc>
        <w:tc>
          <w:tcPr>
            <w:tcW w:w="2988" w:type="dxa"/>
            <w:vMerge w:val="restart"/>
            <w:noWrap w:val="0"/>
            <w:vAlign w:val="center"/>
          </w:tcPr>
          <w:p w14:paraId="7F395BA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主要立地因子特征</w:t>
            </w:r>
          </w:p>
        </w:tc>
        <w:tc>
          <w:tcPr>
            <w:tcW w:w="912" w:type="dxa"/>
            <w:vMerge w:val="restart"/>
            <w:noWrap w:val="0"/>
            <w:vAlign w:val="center"/>
          </w:tcPr>
          <w:p w14:paraId="1C721D18">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面积（亩）</w:t>
            </w:r>
          </w:p>
        </w:tc>
        <w:tc>
          <w:tcPr>
            <w:tcW w:w="851" w:type="dxa"/>
            <w:vMerge w:val="restart"/>
            <w:noWrap w:val="0"/>
            <w:vAlign w:val="center"/>
          </w:tcPr>
          <w:p w14:paraId="1E7FFDFC">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占比（%）</w:t>
            </w:r>
          </w:p>
        </w:tc>
      </w:tr>
      <w:tr w14:paraId="646B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14" w:type="dxa"/>
            <w:vMerge w:val="continue"/>
            <w:noWrap w:val="0"/>
            <w:vAlign w:val="center"/>
          </w:tcPr>
          <w:p w14:paraId="4D75D34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4"/>
                <w:szCs w:val="24"/>
              </w:rPr>
            </w:pPr>
          </w:p>
        </w:tc>
        <w:tc>
          <w:tcPr>
            <w:tcW w:w="1648" w:type="dxa"/>
            <w:noWrap w:val="0"/>
            <w:vAlign w:val="center"/>
          </w:tcPr>
          <w:p w14:paraId="72B74E4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名称</w:t>
            </w:r>
          </w:p>
        </w:tc>
        <w:tc>
          <w:tcPr>
            <w:tcW w:w="671" w:type="dxa"/>
            <w:noWrap w:val="0"/>
            <w:vAlign w:val="center"/>
          </w:tcPr>
          <w:p w14:paraId="764E896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编号</w:t>
            </w:r>
          </w:p>
        </w:tc>
        <w:tc>
          <w:tcPr>
            <w:tcW w:w="2988" w:type="dxa"/>
            <w:vMerge w:val="continue"/>
            <w:noWrap w:val="0"/>
            <w:vAlign w:val="center"/>
          </w:tcPr>
          <w:p w14:paraId="2DF3924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4"/>
                <w:szCs w:val="24"/>
              </w:rPr>
            </w:pPr>
          </w:p>
        </w:tc>
        <w:tc>
          <w:tcPr>
            <w:tcW w:w="912" w:type="dxa"/>
            <w:vMerge w:val="continue"/>
            <w:noWrap w:val="0"/>
            <w:vAlign w:val="center"/>
          </w:tcPr>
          <w:p w14:paraId="1353D84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4"/>
                <w:szCs w:val="24"/>
              </w:rPr>
            </w:pPr>
          </w:p>
        </w:tc>
        <w:tc>
          <w:tcPr>
            <w:tcW w:w="851" w:type="dxa"/>
            <w:vMerge w:val="continue"/>
            <w:noWrap w:val="0"/>
            <w:vAlign w:val="center"/>
          </w:tcPr>
          <w:p w14:paraId="20C0A26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4"/>
                <w:szCs w:val="24"/>
              </w:rPr>
            </w:pPr>
          </w:p>
        </w:tc>
      </w:tr>
      <w:tr w14:paraId="604E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214" w:type="dxa"/>
            <w:vMerge w:val="restart"/>
            <w:noWrap w:val="0"/>
            <w:vAlign w:val="center"/>
          </w:tcPr>
          <w:p w14:paraId="6D9F537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低中山</w:t>
            </w:r>
            <w:r>
              <w:rPr>
                <w:rFonts w:hint="eastAsia" w:ascii="宋体" w:hAnsi="宋体" w:eastAsia="宋体" w:cs="宋体"/>
                <w:sz w:val="24"/>
                <w:szCs w:val="24"/>
              </w:rPr>
              <w:t>带</w:t>
            </w:r>
          </w:p>
          <w:p w14:paraId="78C1DB9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阳坡（Ⅰ）</w:t>
            </w:r>
          </w:p>
        </w:tc>
        <w:tc>
          <w:tcPr>
            <w:tcW w:w="1648" w:type="dxa"/>
            <w:noWrap w:val="0"/>
            <w:vAlign w:val="center"/>
          </w:tcPr>
          <w:p w14:paraId="20108D5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阳向半阳向缓坡中厚层土</w:t>
            </w:r>
          </w:p>
        </w:tc>
        <w:tc>
          <w:tcPr>
            <w:tcW w:w="671" w:type="dxa"/>
            <w:noWrap w:val="0"/>
            <w:vAlign w:val="center"/>
          </w:tcPr>
          <w:p w14:paraId="48CC97D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Ⅰ-</w:t>
            </w:r>
            <w:r>
              <w:rPr>
                <w:rFonts w:hint="eastAsia" w:ascii="宋体" w:hAnsi="宋体" w:eastAsia="宋体" w:cs="宋体"/>
                <w:sz w:val="24"/>
                <w:szCs w:val="24"/>
                <w:lang w:val="en-US" w:eastAsia="zh-CN"/>
              </w:rPr>
              <w:t>1</w:t>
            </w:r>
          </w:p>
        </w:tc>
        <w:tc>
          <w:tcPr>
            <w:tcW w:w="2988" w:type="dxa"/>
            <w:noWrap w:val="0"/>
            <w:vAlign w:val="center"/>
          </w:tcPr>
          <w:p w14:paraId="43BA6A0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坡向南、东南、东、西南，土层厚度≥25cm，坡度6-25度</w:t>
            </w:r>
          </w:p>
        </w:tc>
        <w:tc>
          <w:tcPr>
            <w:tcW w:w="912" w:type="dxa"/>
            <w:noWrap w:val="0"/>
            <w:vAlign w:val="center"/>
          </w:tcPr>
          <w:p w14:paraId="5E8D29C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2755</w:t>
            </w:r>
          </w:p>
        </w:tc>
        <w:tc>
          <w:tcPr>
            <w:tcW w:w="851" w:type="dxa"/>
            <w:noWrap w:val="0"/>
            <w:vAlign w:val="center"/>
          </w:tcPr>
          <w:p w14:paraId="2F8BF16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w:t>
            </w:r>
          </w:p>
        </w:tc>
      </w:tr>
      <w:tr w14:paraId="4083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14" w:type="dxa"/>
            <w:vMerge w:val="continue"/>
            <w:noWrap w:val="0"/>
            <w:vAlign w:val="center"/>
          </w:tcPr>
          <w:p w14:paraId="1C142DB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4"/>
                <w:szCs w:val="24"/>
              </w:rPr>
            </w:pPr>
          </w:p>
        </w:tc>
        <w:tc>
          <w:tcPr>
            <w:tcW w:w="1648" w:type="dxa"/>
            <w:noWrap w:val="0"/>
            <w:vAlign w:val="center"/>
          </w:tcPr>
          <w:p w14:paraId="08392F0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阳向半阳向陡坡中厚层土</w:t>
            </w:r>
          </w:p>
        </w:tc>
        <w:tc>
          <w:tcPr>
            <w:tcW w:w="671" w:type="dxa"/>
            <w:noWrap w:val="0"/>
            <w:vAlign w:val="center"/>
          </w:tcPr>
          <w:p w14:paraId="78F0EA3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Ⅰ-</w:t>
            </w:r>
            <w:r>
              <w:rPr>
                <w:rFonts w:hint="eastAsia" w:ascii="宋体" w:hAnsi="宋体" w:eastAsia="宋体" w:cs="宋体"/>
                <w:sz w:val="24"/>
                <w:szCs w:val="24"/>
                <w:lang w:val="en-US" w:eastAsia="zh-CN"/>
              </w:rPr>
              <w:t>2</w:t>
            </w:r>
          </w:p>
        </w:tc>
        <w:tc>
          <w:tcPr>
            <w:tcW w:w="2988" w:type="dxa"/>
            <w:noWrap w:val="0"/>
            <w:vAlign w:val="center"/>
          </w:tcPr>
          <w:p w14:paraId="0D426371">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坡向南、东南、东、西南，土层厚度≥25cm，坡度大于25度</w:t>
            </w:r>
          </w:p>
        </w:tc>
        <w:tc>
          <w:tcPr>
            <w:tcW w:w="912" w:type="dxa"/>
            <w:noWrap w:val="0"/>
            <w:vAlign w:val="center"/>
          </w:tcPr>
          <w:p w14:paraId="0B5F97E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963</w:t>
            </w:r>
          </w:p>
        </w:tc>
        <w:tc>
          <w:tcPr>
            <w:tcW w:w="851" w:type="dxa"/>
            <w:noWrap w:val="0"/>
            <w:vAlign w:val="center"/>
          </w:tcPr>
          <w:p w14:paraId="1B4935D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r>
      <w:tr w14:paraId="5516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exact"/>
          <w:jc w:val="center"/>
        </w:trPr>
        <w:tc>
          <w:tcPr>
            <w:tcW w:w="1214" w:type="dxa"/>
            <w:vMerge w:val="restart"/>
            <w:noWrap w:val="0"/>
            <w:vAlign w:val="center"/>
          </w:tcPr>
          <w:p w14:paraId="38E3CCE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低中山</w:t>
            </w:r>
            <w:r>
              <w:rPr>
                <w:rFonts w:hint="eastAsia" w:ascii="宋体" w:hAnsi="宋体" w:eastAsia="宋体" w:cs="宋体"/>
                <w:sz w:val="24"/>
                <w:szCs w:val="24"/>
              </w:rPr>
              <w:t>带</w:t>
            </w:r>
          </w:p>
          <w:p w14:paraId="7C716B0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阴</w:t>
            </w:r>
            <w:r>
              <w:rPr>
                <w:rFonts w:hint="eastAsia" w:ascii="宋体" w:hAnsi="宋体" w:eastAsia="宋体" w:cs="宋体"/>
                <w:sz w:val="24"/>
                <w:szCs w:val="24"/>
              </w:rPr>
              <w:t>坡（Ⅱ）</w:t>
            </w:r>
          </w:p>
        </w:tc>
        <w:tc>
          <w:tcPr>
            <w:tcW w:w="1648" w:type="dxa"/>
            <w:noWrap w:val="0"/>
            <w:vAlign w:val="center"/>
          </w:tcPr>
          <w:p w14:paraId="1F42F36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阴向半阴向</w:t>
            </w:r>
            <w:r>
              <w:rPr>
                <w:rFonts w:hint="eastAsia" w:ascii="宋体" w:hAnsi="宋体" w:eastAsia="宋体" w:cs="宋体"/>
                <w:sz w:val="24"/>
                <w:szCs w:val="24"/>
                <w:lang w:val="en-US" w:eastAsia="zh-CN"/>
              </w:rPr>
              <w:t>缓</w:t>
            </w:r>
            <w:r>
              <w:rPr>
                <w:rFonts w:hint="eastAsia" w:ascii="宋体" w:hAnsi="宋体" w:eastAsia="宋体" w:cs="宋体"/>
                <w:sz w:val="24"/>
                <w:szCs w:val="24"/>
              </w:rPr>
              <w:t>坡中厚层</w:t>
            </w:r>
            <w:r>
              <w:rPr>
                <w:rFonts w:hint="eastAsia" w:ascii="宋体" w:hAnsi="宋体" w:eastAsia="宋体" w:cs="宋体"/>
                <w:sz w:val="24"/>
                <w:szCs w:val="24"/>
                <w:lang w:val="en-US" w:eastAsia="zh-CN"/>
              </w:rPr>
              <w:t>土</w:t>
            </w:r>
          </w:p>
        </w:tc>
        <w:tc>
          <w:tcPr>
            <w:tcW w:w="671" w:type="dxa"/>
            <w:noWrap w:val="0"/>
            <w:vAlign w:val="center"/>
          </w:tcPr>
          <w:p w14:paraId="58045E5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Ⅱ-</w:t>
            </w:r>
            <w:r>
              <w:rPr>
                <w:rFonts w:hint="eastAsia" w:ascii="宋体" w:hAnsi="宋体" w:eastAsia="宋体" w:cs="宋体"/>
                <w:sz w:val="24"/>
                <w:szCs w:val="24"/>
                <w:lang w:val="en-US" w:eastAsia="zh-CN"/>
              </w:rPr>
              <w:t>1</w:t>
            </w:r>
          </w:p>
        </w:tc>
        <w:tc>
          <w:tcPr>
            <w:tcW w:w="2988" w:type="dxa"/>
            <w:noWrap w:val="0"/>
            <w:vAlign w:val="center"/>
          </w:tcPr>
          <w:p w14:paraId="3096A55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坡向西、东北、北、西北，土层厚度≥25cm，坡度6-25度</w:t>
            </w:r>
          </w:p>
        </w:tc>
        <w:tc>
          <w:tcPr>
            <w:tcW w:w="912" w:type="dxa"/>
            <w:noWrap w:val="0"/>
            <w:vAlign w:val="center"/>
          </w:tcPr>
          <w:p w14:paraId="34ACF32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3702</w:t>
            </w:r>
          </w:p>
        </w:tc>
        <w:tc>
          <w:tcPr>
            <w:tcW w:w="851" w:type="dxa"/>
            <w:noWrap w:val="0"/>
            <w:vAlign w:val="center"/>
          </w:tcPr>
          <w:p w14:paraId="5AFF264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48</w:t>
            </w:r>
          </w:p>
        </w:tc>
      </w:tr>
      <w:tr w14:paraId="419D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exact"/>
          <w:jc w:val="center"/>
        </w:trPr>
        <w:tc>
          <w:tcPr>
            <w:tcW w:w="1214" w:type="dxa"/>
            <w:vMerge w:val="continue"/>
            <w:shd w:val="clear" w:color="auto" w:fill="auto"/>
            <w:noWrap w:val="0"/>
            <w:vAlign w:val="center"/>
          </w:tcPr>
          <w:p w14:paraId="2F6DC00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kern w:val="2"/>
                <w:sz w:val="24"/>
                <w:szCs w:val="24"/>
                <w:lang w:val="en-US" w:eastAsia="zh-CN" w:bidi="ar-SA"/>
              </w:rPr>
            </w:pPr>
          </w:p>
        </w:tc>
        <w:tc>
          <w:tcPr>
            <w:tcW w:w="1648" w:type="dxa"/>
            <w:shd w:val="clear" w:color="auto" w:fill="auto"/>
            <w:noWrap w:val="0"/>
            <w:vAlign w:val="center"/>
          </w:tcPr>
          <w:p w14:paraId="409D319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阴向半阴向陡坡中厚层</w:t>
            </w:r>
            <w:r>
              <w:rPr>
                <w:rFonts w:hint="eastAsia" w:ascii="宋体" w:hAnsi="宋体" w:eastAsia="宋体" w:cs="宋体"/>
                <w:sz w:val="24"/>
                <w:szCs w:val="24"/>
                <w:lang w:val="en-US" w:eastAsia="zh-CN"/>
              </w:rPr>
              <w:t>土</w:t>
            </w:r>
          </w:p>
        </w:tc>
        <w:tc>
          <w:tcPr>
            <w:tcW w:w="671" w:type="dxa"/>
            <w:shd w:val="clear" w:color="auto" w:fill="auto"/>
            <w:noWrap w:val="0"/>
            <w:vAlign w:val="center"/>
          </w:tcPr>
          <w:p w14:paraId="5E2F148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Ⅱ-</w:t>
            </w:r>
            <w:r>
              <w:rPr>
                <w:rFonts w:hint="eastAsia" w:ascii="宋体" w:hAnsi="宋体" w:eastAsia="宋体" w:cs="宋体"/>
                <w:sz w:val="24"/>
                <w:szCs w:val="24"/>
                <w:lang w:val="en-US" w:eastAsia="zh-CN"/>
              </w:rPr>
              <w:t>2</w:t>
            </w:r>
          </w:p>
        </w:tc>
        <w:tc>
          <w:tcPr>
            <w:tcW w:w="2988" w:type="dxa"/>
            <w:shd w:val="clear" w:color="auto" w:fill="auto"/>
            <w:noWrap w:val="0"/>
            <w:vAlign w:val="center"/>
          </w:tcPr>
          <w:p w14:paraId="0F8A5AD1">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坡向西、东北、北、西北，土层厚度≥25cm，坡度大于25度</w:t>
            </w:r>
          </w:p>
        </w:tc>
        <w:tc>
          <w:tcPr>
            <w:tcW w:w="912" w:type="dxa"/>
            <w:shd w:val="clear" w:color="auto" w:fill="auto"/>
            <w:noWrap w:val="0"/>
            <w:vAlign w:val="center"/>
          </w:tcPr>
          <w:p w14:paraId="4A7F3B2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230</w:t>
            </w:r>
          </w:p>
        </w:tc>
        <w:tc>
          <w:tcPr>
            <w:tcW w:w="851" w:type="dxa"/>
            <w:shd w:val="clear" w:color="auto" w:fill="auto"/>
            <w:noWrap w:val="0"/>
            <w:vAlign w:val="center"/>
          </w:tcPr>
          <w:p w14:paraId="661A740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p>
        </w:tc>
      </w:tr>
    </w:tbl>
    <w:p w14:paraId="576A6240">
      <w:pPr>
        <w:pStyle w:val="5"/>
        <w:pageBreakBefore w:val="0"/>
        <w:kinsoku/>
        <w:wordWrap/>
        <w:overflowPunct/>
        <w:topLinePunct w:val="0"/>
        <w:autoSpaceDE/>
        <w:autoSpaceDN/>
        <w:bidi w:val="0"/>
        <w:spacing w:line="560" w:lineRule="exact"/>
        <w:rPr>
          <w:rFonts w:hint="eastAsia" w:ascii="宋体" w:hAnsi="宋体" w:eastAsia="宋体" w:cs="宋体"/>
          <w:sz w:val="24"/>
          <w:szCs w:val="24"/>
          <w:lang w:val="en-US" w:eastAsia="zh-CN"/>
        </w:rPr>
      </w:pPr>
      <w:bookmarkStart w:id="203" w:name="_Toc10802"/>
      <w:bookmarkStart w:id="204" w:name="_Toc25750"/>
      <w:r>
        <w:rPr>
          <w:rFonts w:hint="eastAsia" w:ascii="宋体" w:hAnsi="宋体" w:eastAsia="宋体" w:cs="宋体"/>
          <w:sz w:val="24"/>
          <w:szCs w:val="24"/>
          <w:lang w:val="en-US" w:eastAsia="zh-CN"/>
        </w:rPr>
        <w:t>6、调查结果与评价</w:t>
      </w:r>
      <w:bookmarkEnd w:id="203"/>
      <w:bookmarkEnd w:id="204"/>
    </w:p>
    <w:p w14:paraId="353F2A3D">
      <w:pPr>
        <w:bidi w:val="0"/>
        <w:ind w:firstLine="480" w:firstLineChars="200"/>
        <w:rPr>
          <w:rFonts w:hint="default" w:ascii="Times New Roman" w:hAnsi="Times New Roman" w:cs="Times New Roman"/>
          <w:lang w:val="en-US" w:eastAsia="zh-CN"/>
        </w:rPr>
      </w:pPr>
      <w:r>
        <w:rPr>
          <w:rFonts w:hint="eastAsia" w:ascii="宋体" w:hAnsi="宋体" w:eastAsia="宋体" w:cs="宋体"/>
          <w:sz w:val="24"/>
          <w:szCs w:val="24"/>
          <w:lang w:val="en-US" w:eastAsia="zh-CN"/>
        </w:rPr>
        <w:t>综上所述，项目作业区域内的各项立地因子均适宜板栗科管措施实施，可作业面积7650亩，地类为已建成的退耕还林地，满足设计要求，符合国家政策。</w:t>
      </w:r>
      <w:bookmarkStart w:id="205" w:name="_Toc28741"/>
    </w:p>
    <w:p w14:paraId="59951A44">
      <w:pPr>
        <w:rPr>
          <w:rFonts w:hint="default"/>
          <w:lang w:val="en-US" w:eastAsia="zh-CN"/>
        </w:rPr>
      </w:pPr>
    </w:p>
    <w:p w14:paraId="1E7BADE6">
      <w:pPr>
        <w:pStyle w:val="4"/>
        <w:numPr>
          <w:ilvl w:val="0"/>
          <w:numId w:val="0"/>
        </w:numPr>
        <w:spacing w:line="360" w:lineRule="auto"/>
        <w:jc w:val="center"/>
        <w:rPr>
          <w:rFonts w:hint="default" w:ascii="Times New Roman" w:hAnsi="Times New Roman" w:eastAsia="方正小标宋简体" w:cs="Times New Roman"/>
          <w:b w:val="0"/>
          <w:bCs/>
          <w:lang w:val="en-US" w:eastAsia="zh-CN"/>
        </w:rPr>
      </w:pPr>
      <w:bookmarkStart w:id="206" w:name="_Toc9591"/>
      <w:r>
        <w:rPr>
          <w:rFonts w:hint="default" w:ascii="宋体" w:hAnsi="宋体" w:eastAsia="宋体" w:cs="宋体"/>
          <w:sz w:val="28"/>
          <w:szCs w:val="28"/>
          <w:lang w:val="en-US" w:eastAsia="zh-CN"/>
        </w:rPr>
        <w:t>主要技术措施</w:t>
      </w:r>
      <w:bookmarkEnd w:id="205"/>
      <w:bookmarkEnd w:id="206"/>
      <w:bookmarkStart w:id="207" w:name="_Toc6810"/>
      <w:bookmarkStart w:id="208" w:name="_Toc32311"/>
    </w:p>
    <w:p w14:paraId="55E62788">
      <w:pPr>
        <w:bidi w:val="0"/>
        <w:rPr>
          <w:rFonts w:hint="eastAsia"/>
          <w:lang w:val="en-US" w:eastAsia="zh-CN"/>
        </w:rPr>
      </w:pPr>
    </w:p>
    <w:p w14:paraId="1F4CF6D6">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right="0"/>
        <w:textAlignment w:val="auto"/>
        <w:rPr>
          <w:rFonts w:hint="eastAsia" w:ascii="宋体" w:hAnsi="宋体" w:eastAsia="宋体" w:cs="宋体"/>
          <w:b/>
          <w:bCs w:val="0"/>
          <w:sz w:val="24"/>
          <w:szCs w:val="24"/>
          <w:lang w:val="en-US" w:eastAsia="zh-CN"/>
        </w:rPr>
      </w:pPr>
      <w:bookmarkStart w:id="209" w:name="_Toc26694"/>
      <w:r>
        <w:rPr>
          <w:rFonts w:hint="eastAsia" w:ascii="宋体" w:hAnsi="宋体" w:eastAsia="宋体" w:cs="宋体"/>
          <w:b/>
          <w:bCs w:val="0"/>
          <w:sz w:val="24"/>
          <w:szCs w:val="24"/>
          <w:lang w:val="en-US" w:eastAsia="zh-CN"/>
        </w:rPr>
        <w:t>1、科管措施</w:t>
      </w:r>
      <w:bookmarkEnd w:id="209"/>
    </w:p>
    <w:p w14:paraId="2C8E7B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所有小班实施综合抚育管护，主要措施包括：砍灌清园、扩盘松土、树干涂白、科学施肥、整形修剪等。针对每个小班，因地制宜选择具体技术措施，以合同约定为准。</w:t>
      </w:r>
    </w:p>
    <w:p w14:paraId="163CBD7A">
      <w:pPr>
        <w:pStyle w:val="5"/>
        <w:pageBreakBefore w:val="0"/>
        <w:kinsoku/>
        <w:wordWrap/>
        <w:overflowPunct/>
        <w:topLinePunct w:val="0"/>
        <w:autoSpaceDE/>
        <w:autoSpaceDN/>
        <w:bidi w:val="0"/>
        <w:spacing w:line="560" w:lineRule="exact"/>
        <w:rPr>
          <w:rFonts w:hint="eastAsia" w:ascii="宋体" w:hAnsi="宋体" w:eastAsia="宋体" w:cs="宋体"/>
          <w:sz w:val="24"/>
          <w:szCs w:val="24"/>
          <w:lang w:val="en-US" w:eastAsia="zh-CN"/>
        </w:rPr>
      </w:pPr>
      <w:bookmarkStart w:id="210" w:name="_Toc27763"/>
      <w:r>
        <w:rPr>
          <w:rFonts w:hint="eastAsia" w:ascii="宋体" w:hAnsi="宋体" w:eastAsia="宋体" w:cs="宋体"/>
          <w:sz w:val="24"/>
          <w:szCs w:val="24"/>
          <w:lang w:val="en-US" w:eastAsia="zh-CN"/>
        </w:rPr>
        <w:t>2、技术要点</w:t>
      </w:r>
      <w:bookmarkEnd w:id="210"/>
    </w:p>
    <w:p w14:paraId="541E5E19">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right="0"/>
        <w:jc w:val="both"/>
        <w:textAlignment w:val="auto"/>
        <w:rPr>
          <w:rFonts w:hint="eastAsia" w:ascii="宋体" w:hAnsi="宋体" w:eastAsia="宋体" w:cs="宋体"/>
          <w:sz w:val="24"/>
          <w:szCs w:val="24"/>
          <w:lang w:val="en-US" w:eastAsia="zh-CN"/>
        </w:rPr>
      </w:pPr>
      <w:bookmarkStart w:id="211" w:name="_Toc9041"/>
      <w:r>
        <w:rPr>
          <w:rFonts w:hint="eastAsia" w:ascii="宋体" w:hAnsi="宋体" w:eastAsia="宋体" w:cs="宋体"/>
          <w:sz w:val="24"/>
          <w:szCs w:val="24"/>
          <w:lang w:val="en-US" w:eastAsia="zh-CN"/>
        </w:rPr>
        <w:t>2.1砍灌清园</w:t>
      </w:r>
      <w:bookmarkEnd w:id="211"/>
    </w:p>
    <w:p w14:paraId="706BE4F0">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righ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割除板栗林园下生长的杂灌，增加通风透光条件，减少病虫滋生。采用割或锄的方式清理树下杂草，改善栗园卫生条件，减少病虫发生。砍除病死木、枯立木，减少病虫害传播，维护栗园健康。可把杂草堆沤施入土壤，减少资源浪费。</w:t>
      </w:r>
    </w:p>
    <w:p w14:paraId="4B9091A0">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right="0"/>
        <w:jc w:val="both"/>
        <w:textAlignment w:val="auto"/>
        <w:rPr>
          <w:rFonts w:hint="eastAsia" w:ascii="宋体" w:hAnsi="宋体" w:eastAsia="宋体" w:cs="宋体"/>
          <w:sz w:val="24"/>
          <w:szCs w:val="24"/>
          <w:lang w:val="en-US" w:eastAsia="zh-CN"/>
        </w:rPr>
      </w:pPr>
      <w:bookmarkStart w:id="212" w:name="_Toc30965"/>
      <w:r>
        <w:rPr>
          <w:rFonts w:hint="eastAsia" w:ascii="宋体" w:hAnsi="宋体" w:eastAsia="宋体" w:cs="宋体"/>
          <w:sz w:val="24"/>
          <w:szCs w:val="24"/>
          <w:lang w:val="en-US" w:eastAsia="zh-CN"/>
        </w:rPr>
        <w:t>2.2扩盘松土</w:t>
      </w:r>
      <w:bookmarkEnd w:id="212"/>
    </w:p>
    <w:p w14:paraId="137FF0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是改善土壤结构、促进根系生长和增产的关键措施之一。最佳时期为秋季采收后至土壤封冻前，或早春土壤解冻后至萌芽前。树盘形状为圆形或方形，尺寸为1m。根据树冠大小确定，一般以树干外扩50 cm为宜（幼树可适当缩小）。松土深度以20～30 cm为宜，避免伤及主根。由外向内逐步松土，近树干处宜浅（10～15 cm），外围可稍深，修成内低外高，利于蓄水保墒。结合清除杂草、碎石，打碎土块，保持土壤疏松透气。</w:t>
      </w:r>
    </w:p>
    <w:p w14:paraId="2759ADD2">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right="0"/>
        <w:jc w:val="both"/>
        <w:textAlignment w:val="auto"/>
        <w:rPr>
          <w:rFonts w:hint="eastAsia" w:ascii="宋体" w:hAnsi="宋体" w:eastAsia="宋体" w:cs="宋体"/>
          <w:sz w:val="24"/>
          <w:szCs w:val="24"/>
          <w:lang w:val="en-US" w:eastAsia="zh-CN"/>
        </w:rPr>
      </w:pPr>
      <w:bookmarkStart w:id="213" w:name="_Toc31746"/>
      <w:r>
        <w:rPr>
          <w:rFonts w:hint="eastAsia" w:ascii="宋体" w:hAnsi="宋体" w:eastAsia="宋体" w:cs="宋体"/>
          <w:sz w:val="24"/>
          <w:szCs w:val="24"/>
          <w:lang w:val="en-US" w:eastAsia="zh-CN"/>
        </w:rPr>
        <w:t>2.3树干涂白</w:t>
      </w:r>
      <w:bookmarkEnd w:id="213"/>
    </w:p>
    <w:p w14:paraId="5E1F51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树干涂白是一项重要的技术措施，主要用于防冻、防晒、防病虫害及促进树体健康。</w:t>
      </w:r>
      <w:r>
        <w:rPr>
          <w:rFonts w:hint="eastAsia" w:ascii="宋体" w:hAnsi="宋体" w:eastAsia="宋体" w:cs="宋体"/>
          <w:sz w:val="24"/>
          <w:szCs w:val="24"/>
          <w:lang w:eastAsia="zh-CN"/>
        </w:rPr>
        <w:t>涂白通常在秋末冬初（土壤封冻前），约在11月中下旬至12月上旬进行。此时气温下降，害虫开始下树越冬，病菌孢子也趋于休眠。选择晴朗、干燥、无风或微风的天气进行，确保涂白剂能快速干燥附着。避免在雨前、雨后或严寒冰冻天气操作。涂刷高度一般从地面以上至主干1</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米处，重点覆盖主干和主枝基部（特别是第一层主枝分叉处以下30-50厘米），</w:t>
      </w:r>
      <w:r>
        <w:rPr>
          <w:rFonts w:hint="eastAsia" w:ascii="宋体" w:hAnsi="宋体" w:eastAsia="宋体" w:cs="宋体"/>
          <w:sz w:val="24"/>
          <w:szCs w:val="24"/>
          <w:lang w:val="en-US" w:eastAsia="zh-CN"/>
        </w:rPr>
        <w:t>涂层均匀无空隙</w:t>
      </w:r>
      <w:r>
        <w:rPr>
          <w:rFonts w:hint="eastAsia" w:ascii="宋体" w:hAnsi="宋体" w:eastAsia="宋体" w:cs="宋体"/>
          <w:sz w:val="24"/>
          <w:szCs w:val="24"/>
          <w:lang w:eastAsia="zh-CN"/>
        </w:rPr>
        <w:t>。分叉处是害虫藏匿越冬的重点区域。</w:t>
      </w:r>
      <w:r>
        <w:rPr>
          <w:rFonts w:hint="eastAsia" w:ascii="宋体" w:hAnsi="宋体" w:eastAsia="宋体" w:cs="宋体"/>
          <w:sz w:val="24"/>
          <w:szCs w:val="24"/>
          <w:lang w:val="en-US" w:eastAsia="zh-CN"/>
        </w:rPr>
        <w:t>用料为自制涂白剂，配方为100公斤水：30公斤生石灰：1公斤硫磺或石硫合剂原液：1公斤食盐：2公斤食用油搅拌均匀即可，确保生石灰每亩不少6kg。</w:t>
      </w:r>
    </w:p>
    <w:p w14:paraId="515A25A2">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right="0"/>
        <w:jc w:val="both"/>
        <w:textAlignment w:val="auto"/>
        <w:rPr>
          <w:rFonts w:hint="eastAsia" w:ascii="宋体" w:hAnsi="宋体" w:eastAsia="宋体" w:cs="宋体"/>
          <w:sz w:val="24"/>
          <w:szCs w:val="24"/>
          <w:lang w:val="en-US" w:eastAsia="zh-CN"/>
        </w:rPr>
      </w:pPr>
      <w:bookmarkStart w:id="214" w:name="_Toc20190"/>
      <w:r>
        <w:rPr>
          <w:rFonts w:hint="eastAsia" w:ascii="宋体" w:hAnsi="宋体" w:eastAsia="宋体" w:cs="宋体"/>
          <w:sz w:val="24"/>
          <w:szCs w:val="24"/>
          <w:lang w:val="en-US" w:eastAsia="zh-CN"/>
        </w:rPr>
        <w:t>2.4科学施肥</w:t>
      </w:r>
      <w:bookmarkEnd w:id="214"/>
    </w:p>
    <w:p w14:paraId="116E6E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肥时间为板栗采收后至落叶前（9月下旬至10月中旬），此时根系处于第二次生长高峰，有利于养分吸收。施磷酸二氨复合肥。化肥用量20kg/亩。施肥方法穴状施肥，在树冠投影范围内挖4-6个施肥穴，施肥距主干≧40cm，深度不得低于20cm，促进根系下扎。</w:t>
      </w:r>
    </w:p>
    <w:p w14:paraId="32B140AF">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right="0"/>
        <w:jc w:val="both"/>
        <w:textAlignment w:val="auto"/>
        <w:rPr>
          <w:rFonts w:hint="eastAsia" w:ascii="宋体" w:hAnsi="宋体" w:eastAsia="宋体" w:cs="宋体"/>
          <w:sz w:val="24"/>
          <w:szCs w:val="24"/>
          <w:lang w:val="en-US" w:eastAsia="zh-CN"/>
        </w:rPr>
      </w:pPr>
      <w:bookmarkStart w:id="215" w:name="_Toc19055"/>
      <w:r>
        <w:rPr>
          <w:rFonts w:hint="eastAsia" w:ascii="宋体" w:hAnsi="宋体" w:eastAsia="宋体" w:cs="宋体"/>
          <w:sz w:val="24"/>
          <w:szCs w:val="24"/>
          <w:lang w:val="en-US" w:eastAsia="zh-CN"/>
        </w:rPr>
        <w:t>2.5</w:t>
      </w:r>
      <w:bookmarkEnd w:id="207"/>
      <w:bookmarkEnd w:id="208"/>
      <w:r>
        <w:rPr>
          <w:rFonts w:hint="eastAsia" w:ascii="宋体" w:hAnsi="宋体" w:eastAsia="宋体" w:cs="宋体"/>
          <w:sz w:val="24"/>
          <w:szCs w:val="24"/>
          <w:lang w:val="en-US" w:eastAsia="zh-CN"/>
        </w:rPr>
        <w:t>整形修剪</w:t>
      </w:r>
      <w:bookmarkEnd w:id="215"/>
    </w:p>
    <w:p w14:paraId="5FFC1C1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（1）整形</w:t>
      </w:r>
    </w:p>
    <w:p w14:paraId="59060A6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树势旺盛或干性强的品种，可选用小冠疏层形、变则主干形；树势弱或干性弱的品种，采用自然开心形。</w:t>
      </w:r>
    </w:p>
    <w:p w14:paraId="60401E1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放任树，将过高的中心干落头，选出方位好的大枝作主枝和侧枝，一般可改造为双层树形，上下两层保留约1.5 m间距。</w:t>
      </w:r>
    </w:p>
    <w:p w14:paraId="67DC379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（2）修剪：</w:t>
      </w:r>
    </w:p>
    <w:p w14:paraId="4BDB72D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原则上以疏为主，重点疏除干枯枝、病虫枝、重叠枝、下垂枝、直立枝等。结合短截、摘心、缓放、环割、刻伤、扭梢等措施，缓和旺长，形成自然开心形、主干疏层形等丰产树形，促进成花和提高座果率。</w:t>
      </w:r>
    </w:p>
    <w:p w14:paraId="629183D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树势旺盛的采用轮替更新修剪法控冠，结合短截、梳枝、摘心等方法进行树体管理。果粒中等、坐果率高的品种每平方米树冠投影面积保留结果母枝6~9条；果粒较小，坐果率低的品种每平方米树冠投影面积保留结果母枝10~12条。</w:t>
      </w:r>
    </w:p>
    <w:p w14:paraId="30C05FE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Cs/>
          <w:sz w:val="36"/>
          <w:szCs w:val="36"/>
          <w:highlight w:val="none"/>
        </w:rPr>
      </w:pPr>
      <w:r>
        <w:rPr>
          <w:rFonts w:hint="eastAsia" w:ascii="宋体" w:hAnsi="宋体" w:eastAsia="宋体" w:cs="宋体"/>
          <w:sz w:val="24"/>
          <w:szCs w:val="24"/>
          <w:lang w:val="en-US" w:eastAsia="zh-CN"/>
        </w:rPr>
        <w:t>树势衰弱的应先复壮，每年更新1~2个骨干枝，在新枝中选留壮枝培养结果枝组。放任树或结果外移、内膛空虚的，采用回缩、疏枝、短截等方法逐年修剪。</w:t>
      </w:r>
      <w:r>
        <w:rPr>
          <w:rFonts w:hint="eastAsia" w:asciiTheme="minorEastAsia" w:hAnsiTheme="minorEastAsia" w:eastAsiaTheme="minorEastAsia" w:cstheme="minorEastAsia"/>
          <w:bCs/>
          <w:sz w:val="36"/>
          <w:szCs w:val="36"/>
          <w:highlight w:val="none"/>
        </w:rPr>
        <w:br w:type="page"/>
      </w:r>
    </w:p>
    <w:p w14:paraId="7F335ED8">
      <w:pPr>
        <w:pStyle w:val="4"/>
        <w:spacing w:line="360" w:lineRule="auto"/>
        <w:jc w:val="center"/>
        <w:rPr>
          <w:rFonts w:asciiTheme="minorEastAsia" w:hAnsiTheme="minorEastAsia" w:eastAsiaTheme="minorEastAsia" w:cstheme="minorEastAsia"/>
          <w:bCs/>
          <w:sz w:val="36"/>
          <w:szCs w:val="36"/>
          <w:highlight w:val="none"/>
        </w:rPr>
      </w:pPr>
      <w:bookmarkStart w:id="216" w:name="_Toc11907"/>
      <w:r>
        <w:rPr>
          <w:rFonts w:hint="eastAsia" w:asciiTheme="minorEastAsia" w:hAnsiTheme="minorEastAsia" w:eastAsiaTheme="minorEastAsia" w:cstheme="minorEastAsia"/>
          <w:bCs/>
          <w:sz w:val="36"/>
          <w:szCs w:val="36"/>
          <w:highlight w:val="none"/>
        </w:rPr>
        <w:t>第六章  投标文件构成及格式</w:t>
      </w:r>
      <w:bookmarkEnd w:id="144"/>
      <w:bookmarkEnd w:id="216"/>
    </w:p>
    <w:p w14:paraId="7445FF89">
      <w:pPr>
        <w:rPr>
          <w:rFonts w:asciiTheme="minorEastAsia" w:hAnsiTheme="minorEastAsia" w:eastAsiaTheme="minorEastAsia" w:cstheme="minorEastAsia"/>
          <w:highlight w:val="none"/>
        </w:rPr>
      </w:pPr>
    </w:p>
    <w:p w14:paraId="6C21A659">
      <w:pPr>
        <w:rPr>
          <w:rFonts w:hint="eastAsia" w:asciiTheme="minorEastAsia" w:hAnsiTheme="minorEastAsia" w:eastAsiaTheme="minorEastAsia" w:cstheme="minorEastAsia"/>
          <w:b/>
          <w:sz w:val="32"/>
          <w:szCs w:val="32"/>
          <w:highlight w:val="none"/>
          <w:lang w:eastAsia="zh-CN"/>
        </w:rPr>
      </w:pPr>
      <w:r>
        <w:rPr>
          <w:rFonts w:hint="eastAsia" w:asciiTheme="minorEastAsia" w:hAnsiTheme="minorEastAsia" w:eastAsiaTheme="minorEastAsia" w:cstheme="minorEastAsia"/>
          <w:b/>
          <w:sz w:val="32"/>
          <w:szCs w:val="32"/>
          <w:highlight w:val="none"/>
        </w:rPr>
        <w:t>项目编号：</w:t>
      </w:r>
      <w:r>
        <w:rPr>
          <w:rFonts w:hint="eastAsia" w:asciiTheme="minorEastAsia" w:hAnsiTheme="minorEastAsia" w:eastAsiaTheme="minorEastAsia" w:cstheme="minorEastAsia"/>
          <w:b/>
          <w:sz w:val="32"/>
          <w:szCs w:val="32"/>
          <w:highlight w:val="none"/>
          <w:lang w:eastAsia="zh-CN"/>
        </w:rPr>
        <w:t>SXZCZB2025-ZCGK-1033</w:t>
      </w:r>
    </w:p>
    <w:p w14:paraId="0D29E724">
      <w:pPr>
        <w:jc w:val="right"/>
        <w:rPr>
          <w:rFonts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t>（正本或副本）</w:t>
      </w:r>
    </w:p>
    <w:p w14:paraId="7B28B8F1">
      <w:pPr>
        <w:jc w:val="center"/>
        <w:rPr>
          <w:rFonts w:asciiTheme="minorEastAsia" w:hAnsiTheme="minorEastAsia" w:eastAsiaTheme="minorEastAsia" w:cstheme="minorEastAsia"/>
          <w:b/>
          <w:sz w:val="36"/>
          <w:szCs w:val="36"/>
          <w:highlight w:val="none"/>
        </w:rPr>
      </w:pPr>
    </w:p>
    <w:p w14:paraId="0213693A">
      <w:pPr>
        <w:rPr>
          <w:rFonts w:asciiTheme="minorEastAsia" w:hAnsiTheme="minorEastAsia" w:eastAsiaTheme="minorEastAsia" w:cstheme="minorEastAsia"/>
          <w:b/>
          <w:sz w:val="52"/>
          <w:szCs w:val="52"/>
          <w:highlight w:val="none"/>
        </w:rPr>
      </w:pPr>
    </w:p>
    <w:p w14:paraId="5CE1865E">
      <w:pPr>
        <w:jc w:val="center"/>
        <w:rPr>
          <w:rFonts w:hint="eastAsia" w:asciiTheme="minorEastAsia" w:hAnsiTheme="minorEastAsia" w:eastAsiaTheme="minorEastAsia" w:cstheme="minorEastAsia"/>
          <w:b/>
          <w:sz w:val="32"/>
          <w:szCs w:val="32"/>
          <w:highlight w:val="none"/>
          <w:lang w:eastAsia="zh-CN"/>
        </w:rPr>
      </w:pPr>
      <w:r>
        <w:rPr>
          <w:rFonts w:hint="eastAsia" w:asciiTheme="minorEastAsia" w:hAnsiTheme="minorEastAsia" w:eastAsiaTheme="minorEastAsia" w:cstheme="minorEastAsia"/>
          <w:b/>
          <w:sz w:val="48"/>
          <w:szCs w:val="48"/>
          <w:highlight w:val="none"/>
          <w:lang w:eastAsia="zh-CN"/>
        </w:rPr>
        <w:t>山阳县2025年度省级林业草原改革发展资金板栗综合科管项目</w:t>
      </w:r>
    </w:p>
    <w:p w14:paraId="06736E7B">
      <w:pPr>
        <w:pStyle w:val="12"/>
        <w:rPr>
          <w:highlight w:val="none"/>
        </w:rPr>
      </w:pPr>
    </w:p>
    <w:p w14:paraId="28269D88">
      <w:pPr>
        <w:rPr>
          <w:rFonts w:asciiTheme="minorEastAsia" w:hAnsiTheme="minorEastAsia" w:eastAsiaTheme="minorEastAsia" w:cstheme="minorEastAsia"/>
          <w:highlight w:val="none"/>
        </w:rPr>
      </w:pPr>
    </w:p>
    <w:p w14:paraId="0A627E3B">
      <w:pPr>
        <w:jc w:val="center"/>
        <w:rPr>
          <w:rFonts w:hint="eastAsia" w:asciiTheme="minorEastAsia" w:hAnsiTheme="minorEastAsia" w:eastAsiaTheme="minorEastAsia" w:cstheme="minorEastAsia"/>
          <w:b/>
          <w:sz w:val="72"/>
          <w:szCs w:val="72"/>
          <w:highlight w:val="none"/>
        </w:rPr>
      </w:pPr>
    </w:p>
    <w:p w14:paraId="2B44A58A">
      <w:pPr>
        <w:jc w:val="center"/>
        <w:rPr>
          <w:rFonts w:asciiTheme="minorEastAsia" w:hAnsiTheme="minorEastAsia" w:eastAsiaTheme="minorEastAsia" w:cstheme="minorEastAsia"/>
          <w:b/>
          <w:sz w:val="72"/>
          <w:szCs w:val="72"/>
          <w:highlight w:val="none"/>
        </w:rPr>
      </w:pPr>
      <w:r>
        <w:rPr>
          <w:rFonts w:hint="eastAsia" w:asciiTheme="minorEastAsia" w:hAnsiTheme="minorEastAsia" w:eastAsiaTheme="minorEastAsia" w:cstheme="minorEastAsia"/>
          <w:b/>
          <w:sz w:val="72"/>
          <w:szCs w:val="72"/>
          <w:highlight w:val="none"/>
        </w:rPr>
        <w:t>投 标 文 件</w:t>
      </w:r>
    </w:p>
    <w:p w14:paraId="7F801EE3">
      <w:pPr>
        <w:jc w:val="center"/>
        <w:rPr>
          <w:rFonts w:asciiTheme="minorEastAsia" w:hAnsiTheme="minorEastAsia" w:eastAsiaTheme="minorEastAsia" w:cstheme="minorEastAsia"/>
          <w:b/>
          <w:sz w:val="72"/>
          <w:szCs w:val="72"/>
          <w:highlight w:val="none"/>
        </w:rPr>
      </w:pPr>
    </w:p>
    <w:p w14:paraId="52863992">
      <w:pPr>
        <w:rPr>
          <w:rFonts w:asciiTheme="minorEastAsia" w:hAnsiTheme="minorEastAsia" w:eastAsiaTheme="minorEastAsia" w:cstheme="minorEastAsia"/>
          <w:b/>
          <w:sz w:val="36"/>
          <w:szCs w:val="36"/>
          <w:highlight w:val="none"/>
        </w:rPr>
      </w:pPr>
    </w:p>
    <w:p w14:paraId="5D4A6CC6">
      <w:pPr>
        <w:spacing w:line="360" w:lineRule="auto"/>
        <w:rPr>
          <w:rFonts w:asciiTheme="minorEastAsia" w:hAnsiTheme="minorEastAsia" w:eastAsiaTheme="minorEastAsia" w:cstheme="minorEastAsia"/>
          <w:b/>
          <w:bCs/>
          <w:sz w:val="28"/>
          <w:szCs w:val="28"/>
          <w:highlight w:val="none"/>
        </w:rPr>
      </w:pPr>
    </w:p>
    <w:p w14:paraId="37E85B0B">
      <w:pPr>
        <w:spacing w:line="360" w:lineRule="auto"/>
        <w:rPr>
          <w:rFonts w:asciiTheme="minorEastAsia" w:hAnsiTheme="minorEastAsia" w:eastAsiaTheme="minorEastAsia" w:cstheme="minorEastAsia"/>
          <w:b/>
          <w:bCs/>
          <w:sz w:val="28"/>
          <w:szCs w:val="28"/>
          <w:highlight w:val="none"/>
        </w:rPr>
      </w:pPr>
    </w:p>
    <w:p w14:paraId="4BC7E4AF">
      <w:pPr>
        <w:spacing w:line="360" w:lineRule="auto"/>
        <w:rPr>
          <w:rFonts w:asciiTheme="minorEastAsia" w:hAnsiTheme="minorEastAsia" w:eastAsiaTheme="minorEastAsia" w:cstheme="minorEastAsia"/>
          <w:b/>
          <w:bCs/>
          <w:sz w:val="28"/>
          <w:szCs w:val="28"/>
          <w:highlight w:val="none"/>
        </w:rPr>
      </w:pPr>
    </w:p>
    <w:p w14:paraId="4E398752">
      <w:pPr>
        <w:spacing w:line="360" w:lineRule="auto"/>
        <w:ind w:firstLine="1124" w:firstLineChars="400"/>
        <w:rPr>
          <w:rFonts w:asciiTheme="minorEastAsia" w:hAnsiTheme="minorEastAsia" w:eastAsiaTheme="minorEastAsia" w:cstheme="minorEastAsia"/>
          <w:b/>
          <w:bCs/>
          <w:sz w:val="28"/>
          <w:szCs w:val="28"/>
          <w:highlight w:val="none"/>
          <w:u w:val="single"/>
        </w:rPr>
      </w:pPr>
      <w:r>
        <w:rPr>
          <w:rFonts w:hint="eastAsia" w:asciiTheme="minorEastAsia" w:hAnsiTheme="minorEastAsia" w:eastAsiaTheme="minorEastAsia" w:cstheme="minorEastAsia"/>
          <w:b/>
          <w:bCs/>
          <w:sz w:val="28"/>
          <w:szCs w:val="28"/>
          <w:highlight w:val="none"/>
        </w:rPr>
        <w:t>投标人名称：（盖章）</w:t>
      </w:r>
      <w:r>
        <w:rPr>
          <w:rFonts w:hint="eastAsia" w:asciiTheme="minorEastAsia" w:hAnsiTheme="minorEastAsia" w:eastAsiaTheme="minorEastAsia" w:cstheme="minorEastAsia"/>
          <w:b/>
          <w:bCs/>
          <w:sz w:val="28"/>
          <w:szCs w:val="28"/>
          <w:highlight w:val="none"/>
          <w:u w:val="single"/>
        </w:rPr>
        <w:t xml:space="preserve">                     </w:t>
      </w:r>
    </w:p>
    <w:p w14:paraId="0B5314F5">
      <w:pPr>
        <w:spacing w:line="360" w:lineRule="auto"/>
        <w:ind w:firstLine="1124" w:firstLineChars="400"/>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法定代表人或其委托代理人：</w:t>
      </w:r>
      <w:r>
        <w:rPr>
          <w:rFonts w:hint="eastAsia" w:asciiTheme="minorEastAsia" w:hAnsiTheme="minorEastAsia" w:eastAsiaTheme="minorEastAsia" w:cstheme="minorEastAsia"/>
          <w:b/>
          <w:bCs/>
          <w:sz w:val="28"/>
          <w:szCs w:val="28"/>
          <w:highlight w:val="none"/>
          <w:lang w:val="en-US" w:eastAsia="zh-CN"/>
        </w:rPr>
        <w:t xml:space="preserve">        </w:t>
      </w:r>
      <w:r>
        <w:rPr>
          <w:rFonts w:hint="eastAsia" w:asciiTheme="minorEastAsia" w:hAnsiTheme="minorEastAsia" w:eastAsiaTheme="minorEastAsia" w:cstheme="minorEastAsia"/>
          <w:b/>
          <w:bCs/>
          <w:sz w:val="28"/>
          <w:szCs w:val="28"/>
          <w:highlight w:val="none"/>
        </w:rPr>
        <w:t>（签字或盖章）</w:t>
      </w:r>
    </w:p>
    <w:p w14:paraId="3A9B29B6">
      <w:pPr>
        <w:spacing w:line="360" w:lineRule="auto"/>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年      月       日</w:t>
      </w:r>
    </w:p>
    <w:p w14:paraId="09C230FF">
      <w:pPr>
        <w:spacing w:line="360" w:lineRule="auto"/>
        <w:rPr>
          <w:rFonts w:asciiTheme="minorEastAsia" w:hAnsiTheme="minorEastAsia" w:eastAsiaTheme="minorEastAsia" w:cstheme="minorEastAsia"/>
          <w:highlight w:val="none"/>
        </w:rPr>
      </w:pPr>
    </w:p>
    <w:p w14:paraId="66F75822">
      <w:pPr>
        <w:spacing w:line="360" w:lineRule="auto"/>
        <w:rPr>
          <w:rFonts w:asciiTheme="minorEastAsia" w:hAnsiTheme="minorEastAsia" w:eastAsiaTheme="minorEastAsia" w:cstheme="minorEastAsia"/>
          <w:highlight w:val="none"/>
        </w:rPr>
        <w:sectPr>
          <w:footerReference r:id="rId9" w:type="default"/>
          <w:pgSz w:w="11906" w:h="16838"/>
          <w:pgMar w:top="1304" w:right="1361" w:bottom="1304" w:left="1361" w:header="851" w:footer="992" w:gutter="0"/>
          <w:cols w:space="0" w:num="1"/>
          <w:docGrid w:type="lines" w:linePitch="312" w:charSpace="0"/>
        </w:sectPr>
      </w:pPr>
    </w:p>
    <w:p w14:paraId="202A010E">
      <w:pPr>
        <w:spacing w:beforeLines="50" w:afterLines="50" w:line="360" w:lineRule="auto"/>
        <w:jc w:val="center"/>
        <w:rPr>
          <w:rFonts w:asciiTheme="minorEastAsia" w:hAnsiTheme="minorEastAsia" w:eastAsiaTheme="minorEastAsia" w:cstheme="minorEastAsia"/>
          <w:b/>
          <w:bCs/>
          <w:spacing w:val="4"/>
          <w:sz w:val="36"/>
          <w:szCs w:val="36"/>
          <w:highlight w:val="none"/>
        </w:rPr>
      </w:pPr>
      <w:r>
        <w:rPr>
          <w:rFonts w:hint="eastAsia" w:asciiTheme="minorEastAsia" w:hAnsiTheme="minorEastAsia" w:eastAsiaTheme="minorEastAsia" w:cstheme="minorEastAsia"/>
          <w:b/>
          <w:bCs/>
          <w:spacing w:val="4"/>
          <w:sz w:val="36"/>
          <w:szCs w:val="36"/>
          <w:highlight w:val="none"/>
        </w:rPr>
        <w:t>目 录</w:t>
      </w:r>
    </w:p>
    <w:p w14:paraId="45801741">
      <w:pPr>
        <w:tabs>
          <w:tab w:val="left" w:pos="7656"/>
        </w:tabs>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（一）投标函</w:t>
      </w:r>
    </w:p>
    <w:p w14:paraId="57B6742F">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（二）开标一览表</w:t>
      </w:r>
    </w:p>
    <w:p w14:paraId="335424BB">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（三）商务响应偏离表</w:t>
      </w:r>
    </w:p>
    <w:p w14:paraId="7BC1CFB5">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（四）投标方案说明书</w:t>
      </w:r>
    </w:p>
    <w:p w14:paraId="1B4A39AC">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（五）企业类似业绩</w:t>
      </w:r>
    </w:p>
    <w:p w14:paraId="40A7E053">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（六）陕西省政府采购投标人拒绝政府采购领域商业贿赂承诺书</w:t>
      </w:r>
    </w:p>
    <w:p w14:paraId="0B6401B6">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（七）资格证明文件</w:t>
      </w:r>
    </w:p>
    <w:p w14:paraId="101C72DC">
      <w:pPr>
        <w:rPr>
          <w:rFonts w:asciiTheme="minorEastAsia" w:hAnsiTheme="minorEastAsia" w:eastAsiaTheme="minorEastAsia" w:cstheme="minorEastAsia"/>
          <w:sz w:val="28"/>
          <w:highlight w:val="none"/>
        </w:rPr>
      </w:pPr>
      <w:bookmarkStart w:id="217" w:name="_Toc22992"/>
      <w:r>
        <w:rPr>
          <w:rFonts w:hint="eastAsia" w:asciiTheme="minorEastAsia" w:hAnsiTheme="minorEastAsia" w:eastAsiaTheme="minorEastAsia" w:cstheme="minorEastAsia"/>
          <w:sz w:val="28"/>
          <w:highlight w:val="none"/>
        </w:rPr>
        <w:br w:type="page"/>
      </w:r>
    </w:p>
    <w:bookmarkEnd w:id="217"/>
    <w:p w14:paraId="294935E2">
      <w:pPr>
        <w:pStyle w:val="6"/>
        <w:spacing w:beforeLines="100" w:line="360" w:lineRule="auto"/>
        <w:rPr>
          <w:rFonts w:asciiTheme="minorEastAsia" w:hAnsiTheme="minorEastAsia" w:eastAsiaTheme="minorEastAsia" w:cstheme="minorEastAsia"/>
          <w:sz w:val="32"/>
          <w:szCs w:val="32"/>
          <w:highlight w:val="none"/>
        </w:rPr>
      </w:pPr>
      <w:bookmarkStart w:id="218" w:name="_Toc6822"/>
      <w:bookmarkStart w:id="219" w:name="_Toc29539"/>
      <w:bookmarkStart w:id="220" w:name="_Toc4974"/>
      <w:bookmarkStart w:id="221" w:name="_Toc30488"/>
      <w:bookmarkStart w:id="222" w:name="_Toc19529"/>
      <w:bookmarkStart w:id="223" w:name="_Toc11460"/>
      <w:bookmarkStart w:id="224" w:name="_Toc22435"/>
      <w:r>
        <w:rPr>
          <w:rFonts w:hint="eastAsia" w:asciiTheme="minorEastAsia" w:hAnsiTheme="minorEastAsia" w:eastAsiaTheme="minorEastAsia" w:cstheme="minorEastAsia"/>
          <w:sz w:val="32"/>
          <w:szCs w:val="32"/>
          <w:highlight w:val="none"/>
        </w:rPr>
        <w:t>一、投标函</w:t>
      </w:r>
      <w:bookmarkEnd w:id="218"/>
      <w:bookmarkEnd w:id="219"/>
      <w:bookmarkEnd w:id="220"/>
      <w:bookmarkEnd w:id="221"/>
      <w:bookmarkEnd w:id="222"/>
      <w:bookmarkEnd w:id="223"/>
      <w:bookmarkEnd w:id="224"/>
    </w:p>
    <w:p w14:paraId="7A15CAE7">
      <w:pPr>
        <w:spacing w:line="360" w:lineRule="auto"/>
        <w:jc w:val="left"/>
        <w:rPr>
          <w:rFonts w:asciiTheme="minorEastAsia" w:hAnsiTheme="minorEastAsia" w:eastAsiaTheme="minorEastAsia" w:cstheme="minorEastAsia"/>
          <w:spacing w:val="4"/>
          <w:sz w:val="24"/>
          <w:szCs w:val="24"/>
          <w:highlight w:val="none"/>
          <w:u w:val="single"/>
        </w:rPr>
      </w:pPr>
      <w:r>
        <w:rPr>
          <w:rFonts w:hint="eastAsia" w:asciiTheme="minorEastAsia" w:hAnsiTheme="minorEastAsia" w:eastAsiaTheme="minorEastAsia" w:cstheme="minorEastAsia"/>
          <w:spacing w:val="4"/>
          <w:sz w:val="24"/>
          <w:szCs w:val="24"/>
          <w:highlight w:val="none"/>
        </w:rPr>
        <w:t>致：</w:t>
      </w:r>
      <w:r>
        <w:rPr>
          <w:rFonts w:hint="eastAsia" w:asciiTheme="minorEastAsia" w:hAnsiTheme="minorEastAsia" w:eastAsiaTheme="minorEastAsia" w:cstheme="minorEastAsia"/>
          <w:spacing w:val="4"/>
          <w:sz w:val="24"/>
          <w:szCs w:val="24"/>
          <w:highlight w:val="none"/>
          <w:lang w:eastAsia="zh-CN"/>
        </w:rPr>
        <w:t>陕西至诚项目管理集团有限公司</w:t>
      </w:r>
      <w:r>
        <w:rPr>
          <w:rFonts w:hint="eastAsia" w:asciiTheme="minorEastAsia" w:hAnsiTheme="minorEastAsia" w:eastAsiaTheme="minorEastAsia" w:cstheme="minorEastAsia"/>
          <w:spacing w:val="4"/>
          <w:sz w:val="24"/>
          <w:szCs w:val="24"/>
          <w:highlight w:val="none"/>
        </w:rPr>
        <w:t xml:space="preserve"> </w:t>
      </w:r>
    </w:p>
    <w:p w14:paraId="0946DB7D">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根据贵方“</w:t>
      </w:r>
      <w:r>
        <w:rPr>
          <w:rFonts w:hint="eastAsia" w:asciiTheme="minorEastAsia" w:hAnsiTheme="minorEastAsia" w:eastAsiaTheme="minorEastAsia" w:cstheme="minorEastAsia"/>
          <w:spacing w:val="4"/>
          <w:sz w:val="24"/>
          <w:szCs w:val="24"/>
          <w:highlight w:val="none"/>
          <w:u w:val="single"/>
        </w:rPr>
        <w:t xml:space="preserve">                      </w:t>
      </w:r>
      <w:r>
        <w:rPr>
          <w:rFonts w:hint="eastAsia" w:asciiTheme="minorEastAsia" w:hAnsiTheme="minorEastAsia" w:eastAsiaTheme="minorEastAsia" w:cstheme="minorEastAsia"/>
          <w:spacing w:val="4"/>
          <w:sz w:val="24"/>
          <w:szCs w:val="24"/>
          <w:highlight w:val="none"/>
        </w:rPr>
        <w:t>”项目的投标邀请</w:t>
      </w:r>
      <w:r>
        <w:rPr>
          <w:rFonts w:hint="eastAsia" w:asciiTheme="minorEastAsia" w:hAnsiTheme="minorEastAsia" w:eastAsiaTheme="minorEastAsia" w:cstheme="minorEastAsia"/>
          <w:spacing w:val="4"/>
          <w:sz w:val="24"/>
          <w:szCs w:val="24"/>
          <w:highlight w:val="none"/>
          <w:u w:val="single"/>
        </w:rPr>
        <w:t>(编号：     )</w:t>
      </w:r>
      <w:r>
        <w:rPr>
          <w:rFonts w:hint="eastAsia" w:asciiTheme="minorEastAsia" w:hAnsiTheme="minorEastAsia" w:eastAsiaTheme="minorEastAsia" w:cstheme="minorEastAsia"/>
          <w:spacing w:val="4"/>
          <w:sz w:val="24"/>
          <w:szCs w:val="24"/>
          <w:highlight w:val="none"/>
        </w:rPr>
        <w:t>，签字代表</w:t>
      </w:r>
      <w:r>
        <w:rPr>
          <w:rFonts w:hint="eastAsia" w:asciiTheme="minorEastAsia" w:hAnsiTheme="minorEastAsia" w:eastAsiaTheme="minorEastAsia" w:cstheme="minorEastAsia"/>
          <w:spacing w:val="4"/>
          <w:sz w:val="24"/>
          <w:szCs w:val="24"/>
          <w:highlight w:val="none"/>
          <w:u w:val="single"/>
        </w:rPr>
        <w:t>（全名、职务）</w:t>
      </w:r>
      <w:r>
        <w:rPr>
          <w:rFonts w:hint="eastAsia" w:asciiTheme="minorEastAsia" w:hAnsiTheme="minorEastAsia" w:eastAsiaTheme="minorEastAsia" w:cstheme="minorEastAsia"/>
          <w:spacing w:val="4"/>
          <w:sz w:val="24"/>
          <w:szCs w:val="24"/>
          <w:highlight w:val="none"/>
        </w:rPr>
        <w:t>经正式授权并代表投标人</w:t>
      </w:r>
      <w:r>
        <w:rPr>
          <w:rFonts w:hint="eastAsia" w:asciiTheme="minorEastAsia" w:hAnsiTheme="minorEastAsia" w:eastAsiaTheme="minorEastAsia" w:cstheme="minorEastAsia"/>
          <w:spacing w:val="4"/>
          <w:sz w:val="24"/>
          <w:szCs w:val="24"/>
          <w:highlight w:val="none"/>
          <w:u w:val="single"/>
        </w:rPr>
        <w:t>(投标人名称、地址)</w:t>
      </w:r>
      <w:r>
        <w:rPr>
          <w:rFonts w:hint="eastAsia" w:asciiTheme="minorEastAsia" w:hAnsiTheme="minorEastAsia" w:eastAsiaTheme="minorEastAsia" w:cstheme="minorEastAsia"/>
          <w:spacing w:val="4"/>
          <w:sz w:val="24"/>
          <w:szCs w:val="24"/>
          <w:highlight w:val="none"/>
        </w:rPr>
        <w:t xml:space="preserve"> 提交投标文件正本壹份、副本一式</w:t>
      </w:r>
      <w:r>
        <w:rPr>
          <w:rFonts w:hint="eastAsia" w:asciiTheme="minorEastAsia" w:hAnsiTheme="minorEastAsia" w:eastAsiaTheme="minorEastAsia" w:cstheme="minorEastAsia"/>
          <w:spacing w:val="4"/>
          <w:sz w:val="24"/>
          <w:szCs w:val="24"/>
          <w:highlight w:val="none"/>
          <w:u w:val="single"/>
        </w:rPr>
        <w:t xml:space="preserve">  </w:t>
      </w:r>
      <w:r>
        <w:rPr>
          <w:rFonts w:hint="eastAsia" w:asciiTheme="minorEastAsia" w:hAnsiTheme="minorEastAsia" w:eastAsiaTheme="minorEastAsia" w:cstheme="minorEastAsia"/>
          <w:spacing w:val="4"/>
          <w:sz w:val="24"/>
          <w:szCs w:val="24"/>
          <w:highlight w:val="none"/>
        </w:rPr>
        <w:t>份,电子版</w:t>
      </w:r>
      <w:r>
        <w:rPr>
          <w:rFonts w:hint="eastAsia" w:asciiTheme="minorEastAsia" w:hAnsiTheme="minorEastAsia" w:eastAsiaTheme="minorEastAsia" w:cstheme="minorEastAsia"/>
          <w:spacing w:val="4"/>
          <w:sz w:val="24"/>
          <w:szCs w:val="24"/>
          <w:highlight w:val="none"/>
          <w:u w:val="single"/>
        </w:rPr>
        <w:t xml:space="preserve">    </w:t>
      </w:r>
      <w:r>
        <w:rPr>
          <w:rFonts w:hint="eastAsia" w:asciiTheme="minorEastAsia" w:hAnsiTheme="minorEastAsia" w:eastAsiaTheme="minorEastAsia" w:cstheme="minorEastAsia"/>
          <w:spacing w:val="4"/>
          <w:sz w:val="24"/>
          <w:szCs w:val="24"/>
          <w:highlight w:val="none"/>
        </w:rPr>
        <w:t>份。</w:t>
      </w:r>
    </w:p>
    <w:p w14:paraId="4B0288BC">
      <w:pPr>
        <w:keepNext w:val="0"/>
        <w:keepLines w:val="0"/>
        <w:pageBreakBefore w:val="0"/>
        <w:widowControl w:val="0"/>
        <w:kinsoku/>
        <w:wordWrap/>
        <w:overflowPunct/>
        <w:topLinePunct w:val="0"/>
        <w:autoSpaceDE/>
        <w:autoSpaceDN/>
        <w:bidi w:val="0"/>
        <w:adjustRightInd/>
        <w:snapToGrid/>
        <w:spacing w:line="360" w:lineRule="auto"/>
        <w:ind w:left="549" w:leftChars="251" w:hanging="22" w:hangingChars="9"/>
        <w:jc w:val="left"/>
        <w:textAlignment w:val="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我方承诺如下：</w:t>
      </w:r>
    </w:p>
    <w:p w14:paraId="44C71761">
      <w:pPr>
        <w:keepNext w:val="0"/>
        <w:keepLines w:val="0"/>
        <w:pageBreakBefore w:val="0"/>
        <w:widowControl w:val="0"/>
        <w:tabs>
          <w:tab w:val="left" w:pos="2160"/>
        </w:tabs>
        <w:kinsoku/>
        <w:wordWrap/>
        <w:overflowPunct/>
        <w:topLinePunct w:val="0"/>
        <w:autoSpaceDE/>
        <w:autoSpaceDN/>
        <w:bidi w:val="0"/>
        <w:adjustRightInd/>
        <w:snapToGrid/>
        <w:spacing w:line="360" w:lineRule="auto"/>
        <w:ind w:firstLine="496" w:firstLineChars="200"/>
        <w:jc w:val="left"/>
        <w:textAlignment w:val="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1）投标总价为</w:t>
      </w:r>
      <w:r>
        <w:rPr>
          <w:rFonts w:hint="eastAsia" w:asciiTheme="minorEastAsia" w:hAnsiTheme="minorEastAsia" w:eastAsiaTheme="minorEastAsia" w:cstheme="minorEastAsia"/>
          <w:spacing w:val="4"/>
          <w:sz w:val="24"/>
          <w:szCs w:val="24"/>
          <w:highlight w:val="none"/>
          <w:u w:val="single"/>
        </w:rPr>
        <w:t xml:space="preserve">         </w:t>
      </w:r>
      <w:r>
        <w:rPr>
          <w:rFonts w:hint="eastAsia" w:asciiTheme="minorEastAsia" w:hAnsiTheme="minorEastAsia" w:eastAsiaTheme="minorEastAsia" w:cstheme="minorEastAsia"/>
          <w:spacing w:val="4"/>
          <w:sz w:val="24"/>
          <w:szCs w:val="24"/>
          <w:highlight w:val="none"/>
        </w:rPr>
        <w:t>（人民币）（用文字和数字表示的投标总价）。</w:t>
      </w:r>
    </w:p>
    <w:p w14:paraId="463B3C8A">
      <w:pPr>
        <w:keepNext w:val="0"/>
        <w:keepLines w:val="0"/>
        <w:pageBreakBefore w:val="0"/>
        <w:widowControl w:val="0"/>
        <w:tabs>
          <w:tab w:val="left" w:pos="2160"/>
        </w:tabs>
        <w:kinsoku/>
        <w:wordWrap/>
        <w:overflowPunct/>
        <w:topLinePunct w:val="0"/>
        <w:autoSpaceDE/>
        <w:autoSpaceDN/>
        <w:bidi w:val="0"/>
        <w:adjustRightInd/>
        <w:snapToGrid/>
        <w:spacing w:line="360" w:lineRule="auto"/>
        <w:ind w:firstLine="496" w:firstLineChars="200"/>
        <w:jc w:val="left"/>
        <w:textAlignment w:val="auto"/>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2）如果成交，我们根据公开招标文件的规定，履行合同的责任和义务。</w:t>
      </w:r>
    </w:p>
    <w:p w14:paraId="2518D5FB">
      <w:pPr>
        <w:pStyle w:val="12"/>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default" w:eastAsiaTheme="minorEastAsia"/>
          <w:highlight w:val="none"/>
          <w:lang w:val="en-US" w:eastAsia="zh-CN"/>
        </w:rPr>
      </w:pPr>
      <w:r>
        <w:rPr>
          <w:rFonts w:hint="eastAsia" w:asciiTheme="minorEastAsia" w:hAnsiTheme="minorEastAsia" w:eastAsiaTheme="minorEastAsia" w:cstheme="minorEastAsia"/>
          <w:spacing w:val="4"/>
          <w:sz w:val="24"/>
          <w:szCs w:val="24"/>
          <w:highlight w:val="none"/>
          <w:lang w:val="en-US" w:eastAsia="zh-CN"/>
        </w:rPr>
        <w:t>3）我公司拟派项目经理姓名：</w:t>
      </w:r>
      <w:r>
        <w:rPr>
          <w:rFonts w:hint="eastAsia" w:asciiTheme="minorEastAsia" w:hAnsiTheme="minorEastAsia" w:eastAsiaTheme="minorEastAsia" w:cstheme="minorEastAsia"/>
          <w:spacing w:val="4"/>
          <w:sz w:val="24"/>
          <w:szCs w:val="24"/>
          <w:highlight w:val="none"/>
          <w:u w:val="single"/>
          <w:lang w:val="en-US" w:eastAsia="zh-CN"/>
        </w:rPr>
        <w:t xml:space="preserve">          </w:t>
      </w:r>
      <w:r>
        <w:rPr>
          <w:rFonts w:hint="eastAsia" w:asciiTheme="minorEastAsia" w:hAnsiTheme="minorEastAsia" w:eastAsiaTheme="minorEastAsia" w:cstheme="minorEastAsia"/>
          <w:spacing w:val="4"/>
          <w:sz w:val="24"/>
          <w:szCs w:val="24"/>
          <w:highlight w:val="none"/>
          <w:u w:val="none"/>
          <w:lang w:val="en-US" w:eastAsia="zh-CN"/>
        </w:rPr>
        <w:t>；执业证书名称：</w:t>
      </w:r>
      <w:r>
        <w:rPr>
          <w:rFonts w:hint="eastAsia" w:asciiTheme="minorEastAsia" w:hAnsiTheme="minorEastAsia" w:eastAsiaTheme="minorEastAsia" w:cstheme="minorEastAsia"/>
          <w:spacing w:val="4"/>
          <w:sz w:val="24"/>
          <w:szCs w:val="24"/>
          <w:highlight w:val="none"/>
          <w:u w:val="single"/>
          <w:lang w:val="en-US" w:eastAsia="zh-CN"/>
        </w:rPr>
        <w:t xml:space="preserve">          </w:t>
      </w:r>
      <w:r>
        <w:rPr>
          <w:rFonts w:hint="eastAsia" w:asciiTheme="minorEastAsia" w:hAnsiTheme="minorEastAsia" w:eastAsiaTheme="minorEastAsia" w:cstheme="minorEastAsia"/>
          <w:spacing w:val="4"/>
          <w:sz w:val="24"/>
          <w:szCs w:val="24"/>
          <w:highlight w:val="none"/>
          <w:u w:val="none"/>
          <w:lang w:val="en-US" w:eastAsia="zh-CN"/>
        </w:rPr>
        <w:t>；执业证书信息（证书编号）：</w:t>
      </w:r>
      <w:r>
        <w:rPr>
          <w:rFonts w:hint="eastAsia" w:asciiTheme="minorEastAsia" w:hAnsiTheme="minorEastAsia" w:eastAsiaTheme="minorEastAsia" w:cstheme="minorEastAsia"/>
          <w:spacing w:val="4"/>
          <w:sz w:val="24"/>
          <w:szCs w:val="24"/>
          <w:highlight w:val="none"/>
          <w:u w:val="single"/>
          <w:lang w:val="en-US" w:eastAsia="zh-CN"/>
        </w:rPr>
        <w:t xml:space="preserve">           </w:t>
      </w:r>
      <w:r>
        <w:rPr>
          <w:rFonts w:hint="eastAsia" w:asciiTheme="minorEastAsia" w:hAnsiTheme="minorEastAsia" w:eastAsiaTheme="minorEastAsia" w:cstheme="minorEastAsia"/>
          <w:spacing w:val="4"/>
          <w:sz w:val="24"/>
          <w:szCs w:val="24"/>
          <w:highlight w:val="none"/>
          <w:u w:val="none"/>
          <w:lang w:val="en-US" w:eastAsia="zh-CN"/>
        </w:rPr>
        <w:t>。</w:t>
      </w:r>
    </w:p>
    <w:p w14:paraId="1B162F0D">
      <w:pPr>
        <w:keepNext w:val="0"/>
        <w:keepLines w:val="0"/>
        <w:pageBreakBefore w:val="0"/>
        <w:widowControl w:val="0"/>
        <w:tabs>
          <w:tab w:val="left" w:pos="2160"/>
        </w:tabs>
        <w:kinsoku/>
        <w:wordWrap/>
        <w:overflowPunct/>
        <w:topLinePunct w:val="0"/>
        <w:autoSpaceDE/>
        <w:autoSpaceDN/>
        <w:bidi w:val="0"/>
        <w:adjustRightInd/>
        <w:snapToGrid/>
        <w:spacing w:line="360" w:lineRule="auto"/>
        <w:ind w:firstLine="496" w:firstLineChars="200"/>
        <w:jc w:val="left"/>
        <w:textAlignment w:val="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）我们已详细阅读和审核全部公开招标文件（含修改部分，如有的话），及有关附件，我们知道必须放弃提出含糊不清或误解的问题的权利。</w:t>
      </w:r>
    </w:p>
    <w:p w14:paraId="4D0944FD">
      <w:pPr>
        <w:keepNext w:val="0"/>
        <w:keepLines w:val="0"/>
        <w:pageBreakBefore w:val="0"/>
        <w:widowControl w:val="0"/>
        <w:tabs>
          <w:tab w:val="left" w:pos="2160"/>
        </w:tabs>
        <w:kinsoku/>
        <w:wordWrap/>
        <w:overflowPunct/>
        <w:topLinePunct w:val="0"/>
        <w:autoSpaceDE/>
        <w:autoSpaceDN/>
        <w:bidi w:val="0"/>
        <w:adjustRightInd/>
        <w:snapToGrid/>
        <w:spacing w:line="360" w:lineRule="auto"/>
        <w:ind w:firstLine="496" w:firstLineChars="200"/>
        <w:jc w:val="left"/>
        <w:textAlignment w:val="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5</w:t>
      </w:r>
      <w:r>
        <w:rPr>
          <w:rFonts w:hint="eastAsia" w:asciiTheme="minorEastAsia" w:hAnsiTheme="minorEastAsia" w:eastAsiaTheme="minorEastAsia" w:cstheme="minorEastAsia"/>
          <w:spacing w:val="4"/>
          <w:sz w:val="24"/>
          <w:szCs w:val="24"/>
          <w:highlight w:val="none"/>
        </w:rPr>
        <w:t>）我们同意在投标有效期内（</w:t>
      </w:r>
      <w:r>
        <w:rPr>
          <w:rFonts w:hint="eastAsia" w:asciiTheme="minorEastAsia" w:hAnsiTheme="minorEastAsia" w:eastAsiaTheme="minorEastAsia" w:cstheme="minorEastAsia"/>
          <w:spacing w:val="4"/>
          <w:sz w:val="24"/>
          <w:szCs w:val="24"/>
          <w:highlight w:val="none"/>
          <w:u w:val="single"/>
        </w:rPr>
        <w:t>自投标之日起  天内</w:t>
      </w:r>
      <w:r>
        <w:rPr>
          <w:rFonts w:hint="eastAsia" w:asciiTheme="minorEastAsia" w:hAnsiTheme="minorEastAsia" w:eastAsiaTheme="minorEastAsia" w:cstheme="minorEastAsia"/>
          <w:spacing w:val="4"/>
          <w:sz w:val="24"/>
          <w:szCs w:val="24"/>
          <w:highlight w:val="none"/>
        </w:rPr>
        <w:t>），本投标函对我方具有约束力。</w:t>
      </w:r>
    </w:p>
    <w:p w14:paraId="61EB3757">
      <w:pPr>
        <w:keepNext w:val="0"/>
        <w:keepLines w:val="0"/>
        <w:pageBreakBefore w:val="0"/>
        <w:widowControl w:val="0"/>
        <w:tabs>
          <w:tab w:val="left" w:pos="2160"/>
        </w:tabs>
        <w:kinsoku/>
        <w:wordWrap/>
        <w:overflowPunct/>
        <w:topLinePunct w:val="0"/>
        <w:autoSpaceDE/>
        <w:autoSpaceDN/>
        <w:bidi w:val="0"/>
        <w:adjustRightInd/>
        <w:snapToGrid/>
        <w:spacing w:line="360" w:lineRule="auto"/>
        <w:ind w:firstLine="496" w:firstLineChars="200"/>
        <w:jc w:val="left"/>
        <w:textAlignment w:val="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6</w:t>
      </w:r>
      <w:r>
        <w:rPr>
          <w:rFonts w:hint="eastAsia" w:asciiTheme="minorEastAsia" w:hAnsiTheme="minorEastAsia" w:eastAsiaTheme="minorEastAsia" w:cstheme="minorEastAsia"/>
          <w:spacing w:val="4"/>
          <w:sz w:val="24"/>
          <w:szCs w:val="24"/>
          <w:highlight w:val="none"/>
        </w:rPr>
        <w:t xml:space="preserve">）同意提供贵方可能另外要求的与本投标有关的任何证据和资料。 </w:t>
      </w:r>
    </w:p>
    <w:p w14:paraId="7ECD5FEB">
      <w:pPr>
        <w:keepNext w:val="0"/>
        <w:keepLines w:val="0"/>
        <w:pageBreakBefore w:val="0"/>
        <w:widowControl w:val="0"/>
        <w:tabs>
          <w:tab w:val="left" w:pos="2160"/>
        </w:tabs>
        <w:kinsoku/>
        <w:wordWrap/>
        <w:overflowPunct/>
        <w:topLinePunct w:val="0"/>
        <w:autoSpaceDE/>
        <w:autoSpaceDN/>
        <w:bidi w:val="0"/>
        <w:adjustRightInd/>
        <w:snapToGrid/>
        <w:spacing w:line="360" w:lineRule="auto"/>
        <w:ind w:firstLine="496" w:firstLineChars="200"/>
        <w:jc w:val="left"/>
        <w:textAlignment w:val="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7</w:t>
      </w:r>
      <w:r>
        <w:rPr>
          <w:rFonts w:hint="eastAsia" w:asciiTheme="minorEastAsia" w:hAnsiTheme="minorEastAsia" w:eastAsiaTheme="minorEastAsia" w:cstheme="minorEastAsia"/>
          <w:spacing w:val="4"/>
          <w:sz w:val="24"/>
          <w:szCs w:val="24"/>
          <w:highlight w:val="none"/>
        </w:rPr>
        <w:t>）我们同意，如果成交，向</w:t>
      </w:r>
      <w:r>
        <w:rPr>
          <w:rFonts w:hint="eastAsia" w:asciiTheme="minorEastAsia" w:hAnsiTheme="minorEastAsia" w:eastAsiaTheme="minorEastAsia" w:cstheme="minorEastAsia"/>
          <w:spacing w:val="4"/>
          <w:sz w:val="24"/>
          <w:szCs w:val="24"/>
          <w:highlight w:val="none"/>
          <w:lang w:eastAsia="zh-CN"/>
        </w:rPr>
        <w:t>陕西至诚项目管理集团有限公司</w:t>
      </w:r>
      <w:r>
        <w:rPr>
          <w:rFonts w:hint="eastAsia" w:asciiTheme="minorEastAsia" w:hAnsiTheme="minorEastAsia" w:eastAsiaTheme="minorEastAsia" w:cstheme="minorEastAsia"/>
          <w:spacing w:val="4"/>
          <w:sz w:val="24"/>
          <w:szCs w:val="24"/>
          <w:highlight w:val="none"/>
        </w:rPr>
        <w:t>交纳招标代理服务费。</w:t>
      </w:r>
    </w:p>
    <w:p w14:paraId="197AFECB">
      <w:pPr>
        <w:keepNext w:val="0"/>
        <w:keepLines w:val="0"/>
        <w:pageBreakBefore w:val="0"/>
        <w:widowControl w:val="0"/>
        <w:tabs>
          <w:tab w:val="left" w:pos="2160"/>
        </w:tabs>
        <w:kinsoku/>
        <w:wordWrap/>
        <w:overflowPunct/>
        <w:topLinePunct w:val="0"/>
        <w:autoSpaceDE/>
        <w:autoSpaceDN/>
        <w:bidi w:val="0"/>
        <w:adjustRightInd/>
        <w:snapToGrid/>
        <w:spacing w:line="360" w:lineRule="auto"/>
        <w:ind w:firstLine="496" w:firstLineChars="200"/>
        <w:jc w:val="left"/>
        <w:textAlignment w:val="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8</w:t>
      </w:r>
      <w:r>
        <w:rPr>
          <w:rFonts w:hint="eastAsia" w:asciiTheme="minorEastAsia" w:hAnsiTheme="minorEastAsia" w:eastAsiaTheme="minorEastAsia" w:cstheme="minorEastAsia"/>
          <w:spacing w:val="4"/>
          <w:sz w:val="24"/>
          <w:szCs w:val="24"/>
          <w:highlight w:val="none"/>
        </w:rPr>
        <w:t>）与本投标有关的一切正式往来通讯为：</w:t>
      </w:r>
    </w:p>
    <w:p w14:paraId="71C49E05">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联系地址：</w:t>
      </w:r>
    </w:p>
    <w:p w14:paraId="7F118EC3">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邮政编码：</w:t>
      </w:r>
    </w:p>
    <w:p w14:paraId="1615B1C7">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电    话：</w:t>
      </w:r>
    </w:p>
    <w:p w14:paraId="4808AAF1">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传    真：</w:t>
      </w:r>
    </w:p>
    <w:p w14:paraId="7A66FF9E">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投标人名称（盖章）：</w:t>
      </w:r>
    </w:p>
    <w:p w14:paraId="746EB3A8">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投标人法定代表人签字或盖章：</w:t>
      </w:r>
    </w:p>
    <w:p w14:paraId="6285649A">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日    期：</w:t>
      </w:r>
    </w:p>
    <w:p w14:paraId="66573800">
      <w:pPr>
        <w:pStyle w:val="6"/>
        <w:spacing w:beforeLines="100"/>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highlight w:val="none"/>
        </w:rPr>
        <w:br w:type="page"/>
      </w:r>
      <w:bookmarkStart w:id="225" w:name="_Toc14574"/>
      <w:bookmarkStart w:id="226" w:name="_Toc31119"/>
      <w:bookmarkStart w:id="227" w:name="_Toc4562"/>
      <w:bookmarkStart w:id="228" w:name="_Toc25464"/>
      <w:bookmarkStart w:id="229" w:name="_Toc3285"/>
      <w:bookmarkStart w:id="230" w:name="_Toc16455"/>
      <w:bookmarkStart w:id="231" w:name="_Toc13504"/>
      <w:r>
        <w:rPr>
          <w:rFonts w:hint="eastAsia" w:asciiTheme="minorEastAsia" w:hAnsiTheme="minorEastAsia" w:eastAsiaTheme="minorEastAsia" w:cstheme="minorEastAsia"/>
          <w:sz w:val="32"/>
          <w:szCs w:val="32"/>
          <w:highlight w:val="none"/>
        </w:rPr>
        <w:t>二、开标一览表</w:t>
      </w:r>
      <w:bookmarkEnd w:id="225"/>
      <w:bookmarkEnd w:id="226"/>
      <w:bookmarkEnd w:id="227"/>
      <w:bookmarkEnd w:id="228"/>
      <w:bookmarkEnd w:id="229"/>
      <w:bookmarkEnd w:id="230"/>
      <w:bookmarkEnd w:id="231"/>
    </w:p>
    <w:p w14:paraId="7A7AC619">
      <w:pPr>
        <w:jc w:val="center"/>
        <w:rPr>
          <w:rFonts w:asciiTheme="minorEastAsia" w:hAnsiTheme="minorEastAsia" w:eastAsiaTheme="minorEastAsia" w:cstheme="minorEastAsia"/>
          <w:b/>
          <w:sz w:val="30"/>
          <w:szCs w:val="30"/>
          <w:highlight w:val="none"/>
        </w:rPr>
      </w:pPr>
      <w:r>
        <w:rPr>
          <w:rFonts w:hint="eastAsia" w:asciiTheme="minorEastAsia" w:hAnsiTheme="minorEastAsia" w:eastAsiaTheme="minorEastAsia" w:cstheme="minorEastAsia"/>
          <w:b/>
          <w:sz w:val="30"/>
          <w:szCs w:val="30"/>
          <w:highlight w:val="none"/>
        </w:rPr>
        <w:t>2.1报价一览表</w:t>
      </w:r>
    </w:p>
    <w:p w14:paraId="32712AD4">
      <w:pPr>
        <w:tabs>
          <w:tab w:val="left" w:pos="7080"/>
          <w:tab w:val="left" w:pos="8504"/>
        </w:tabs>
        <w:spacing w:line="360" w:lineRule="auto"/>
        <w:ind w:right="-1"/>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项目名称：</w:t>
      </w:r>
    </w:p>
    <w:p w14:paraId="61BEB304">
      <w:pPr>
        <w:tabs>
          <w:tab w:val="left" w:pos="7080"/>
          <w:tab w:val="left" w:pos="8504"/>
        </w:tabs>
        <w:spacing w:line="360" w:lineRule="auto"/>
        <w:ind w:right="-1"/>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w:t>
      </w:r>
    </w:p>
    <w:tbl>
      <w:tblPr>
        <w:tblStyle w:val="29"/>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593"/>
      </w:tblGrid>
      <w:tr w14:paraId="40B1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Merge w:val="restart"/>
            <w:vAlign w:val="center"/>
          </w:tcPr>
          <w:p w14:paraId="27F526E1">
            <w:pPr>
              <w:jc w:val="center"/>
              <w:rPr>
                <w:rFonts w:ascii="宋体"/>
                <w:sz w:val="24"/>
                <w:szCs w:val="24"/>
                <w:highlight w:val="none"/>
              </w:rPr>
            </w:pPr>
            <w:r>
              <w:rPr>
                <w:rFonts w:hint="eastAsia" w:ascii="宋体" w:hAnsi="宋体" w:cs="宋体"/>
                <w:sz w:val="24"/>
                <w:szCs w:val="24"/>
                <w:highlight w:val="none"/>
              </w:rPr>
              <w:t>投标总报价（元）</w:t>
            </w:r>
          </w:p>
        </w:tc>
        <w:tc>
          <w:tcPr>
            <w:tcW w:w="6593" w:type="dxa"/>
            <w:vAlign w:val="center"/>
          </w:tcPr>
          <w:p w14:paraId="18878E30">
            <w:pPr>
              <w:rPr>
                <w:rFonts w:ascii="宋体"/>
                <w:sz w:val="24"/>
                <w:szCs w:val="24"/>
                <w:highlight w:val="none"/>
              </w:rPr>
            </w:pPr>
            <w:r>
              <w:rPr>
                <w:rFonts w:hint="eastAsia" w:ascii="宋体" w:hAnsi="宋体" w:cs="宋体"/>
                <w:sz w:val="24"/>
                <w:szCs w:val="24"/>
                <w:highlight w:val="none"/>
              </w:rPr>
              <w:t>小写：</w:t>
            </w:r>
          </w:p>
        </w:tc>
      </w:tr>
      <w:tr w14:paraId="091F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Merge w:val="continue"/>
            <w:vAlign w:val="center"/>
          </w:tcPr>
          <w:p w14:paraId="3869AC6A">
            <w:pPr>
              <w:rPr>
                <w:highlight w:val="none"/>
              </w:rPr>
            </w:pPr>
          </w:p>
        </w:tc>
        <w:tc>
          <w:tcPr>
            <w:tcW w:w="6593" w:type="dxa"/>
            <w:vAlign w:val="center"/>
          </w:tcPr>
          <w:p w14:paraId="2D87EC8E">
            <w:pPr>
              <w:rPr>
                <w:rFonts w:ascii="宋体"/>
                <w:sz w:val="24"/>
                <w:szCs w:val="24"/>
                <w:highlight w:val="none"/>
              </w:rPr>
            </w:pPr>
            <w:r>
              <w:rPr>
                <w:rFonts w:hint="eastAsia" w:ascii="宋体" w:hAnsi="宋体" w:cs="宋体"/>
                <w:sz w:val="24"/>
                <w:szCs w:val="24"/>
                <w:highlight w:val="none"/>
              </w:rPr>
              <w:t>大写：</w:t>
            </w:r>
          </w:p>
        </w:tc>
      </w:tr>
      <w:tr w14:paraId="79E9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Align w:val="center"/>
          </w:tcPr>
          <w:p w14:paraId="2DCEEAFF">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抚育期</w:t>
            </w:r>
          </w:p>
        </w:tc>
        <w:tc>
          <w:tcPr>
            <w:tcW w:w="6593" w:type="dxa"/>
            <w:vAlign w:val="center"/>
          </w:tcPr>
          <w:p w14:paraId="35F92C78">
            <w:pPr>
              <w:rPr>
                <w:rFonts w:ascii="宋体"/>
                <w:sz w:val="24"/>
                <w:szCs w:val="24"/>
                <w:highlight w:val="none"/>
              </w:rPr>
            </w:pPr>
          </w:p>
        </w:tc>
      </w:tr>
      <w:tr w14:paraId="03D8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Align w:val="center"/>
          </w:tcPr>
          <w:p w14:paraId="5F157131">
            <w:pPr>
              <w:jc w:val="center"/>
              <w:rPr>
                <w:rFonts w:ascii="宋体"/>
                <w:sz w:val="24"/>
                <w:szCs w:val="24"/>
                <w:highlight w:val="none"/>
              </w:rPr>
            </w:pPr>
            <w:r>
              <w:rPr>
                <w:rFonts w:hint="eastAsia" w:ascii="宋体" w:hAnsi="宋体" w:cs="宋体"/>
                <w:sz w:val="24"/>
                <w:szCs w:val="24"/>
                <w:highlight w:val="none"/>
              </w:rPr>
              <w:t>质量标准</w:t>
            </w:r>
          </w:p>
        </w:tc>
        <w:tc>
          <w:tcPr>
            <w:tcW w:w="6593" w:type="dxa"/>
            <w:vAlign w:val="center"/>
          </w:tcPr>
          <w:p w14:paraId="16126AFE">
            <w:pPr>
              <w:rPr>
                <w:rFonts w:ascii="宋体"/>
                <w:sz w:val="24"/>
                <w:szCs w:val="24"/>
                <w:highlight w:val="none"/>
              </w:rPr>
            </w:pPr>
          </w:p>
        </w:tc>
      </w:tr>
      <w:tr w14:paraId="1E68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Align w:val="center"/>
          </w:tcPr>
          <w:p w14:paraId="515EA6AC">
            <w:pPr>
              <w:jc w:val="center"/>
              <w:rPr>
                <w:rFonts w:ascii="宋体"/>
                <w:sz w:val="24"/>
                <w:szCs w:val="24"/>
                <w:highlight w:val="none"/>
              </w:rPr>
            </w:pPr>
            <w:r>
              <w:rPr>
                <w:rFonts w:hint="eastAsia" w:ascii="宋体" w:hAnsi="宋体" w:cs="宋体"/>
                <w:sz w:val="24"/>
                <w:szCs w:val="24"/>
                <w:highlight w:val="none"/>
              </w:rPr>
              <w:t>备注</w:t>
            </w:r>
          </w:p>
        </w:tc>
        <w:tc>
          <w:tcPr>
            <w:tcW w:w="6593" w:type="dxa"/>
            <w:vAlign w:val="center"/>
          </w:tcPr>
          <w:p w14:paraId="10E8B591">
            <w:pPr>
              <w:rPr>
                <w:rFonts w:ascii="宋体"/>
                <w:sz w:val="24"/>
                <w:szCs w:val="24"/>
                <w:highlight w:val="none"/>
              </w:rPr>
            </w:pPr>
          </w:p>
        </w:tc>
      </w:tr>
    </w:tbl>
    <w:p w14:paraId="5476FA9B">
      <w:pPr>
        <w:spacing w:line="120" w:lineRule="exact"/>
        <w:rPr>
          <w:rFonts w:asciiTheme="minorEastAsia" w:hAnsiTheme="minorEastAsia" w:eastAsiaTheme="minorEastAsia" w:cstheme="minorEastAsia"/>
          <w:sz w:val="24"/>
          <w:szCs w:val="24"/>
          <w:highlight w:val="none"/>
        </w:rPr>
      </w:pPr>
    </w:p>
    <w:p w14:paraId="2FD32F8C">
      <w:pPr>
        <w:spacing w:line="360" w:lineRule="auto"/>
        <w:rPr>
          <w:rFonts w:asciiTheme="minorEastAsia" w:hAnsiTheme="minorEastAsia" w:eastAsiaTheme="minorEastAsia" w:cstheme="minorEastAsia"/>
          <w:sz w:val="24"/>
          <w:szCs w:val="24"/>
          <w:highlight w:val="none"/>
        </w:rPr>
      </w:pPr>
    </w:p>
    <w:p w14:paraId="17E1BB52">
      <w:pPr>
        <w:spacing w:line="480" w:lineRule="auto"/>
        <w:ind w:right="540" w:rightChars="257"/>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投标人名称：</w:t>
      </w:r>
      <w:r>
        <w:rPr>
          <w:rFonts w:hint="eastAsia" w:asciiTheme="minorEastAsia" w:hAnsiTheme="minorEastAsia" w:eastAsiaTheme="minorEastAsia" w:cstheme="minorEastAsia"/>
          <w:sz w:val="24"/>
          <w:szCs w:val="24"/>
          <w:highlight w:val="none"/>
          <w:u w:val="single"/>
        </w:rPr>
        <w:t xml:space="preserve">      （加盖投标人公章）      </w:t>
      </w:r>
    </w:p>
    <w:p w14:paraId="5A5B2494">
      <w:pPr>
        <w:spacing w:line="480" w:lineRule="auto"/>
        <w:ind w:right="540" w:rightChars="257"/>
        <w:jc w:val="left"/>
        <w:rPr>
          <w:rFonts w:asciiTheme="minorEastAsia" w:hAnsiTheme="minorEastAsia" w:eastAsiaTheme="minorEastAsia" w:cstheme="minorEastAsia"/>
          <w:sz w:val="24"/>
          <w:szCs w:val="24"/>
          <w:highlight w:val="none"/>
        </w:rPr>
      </w:pPr>
    </w:p>
    <w:p w14:paraId="3F0AB549">
      <w:pPr>
        <w:spacing w:line="480" w:lineRule="auto"/>
        <w:ind w:right="540" w:rightChars="257"/>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法定代表人/或被授权人签字或盖章：</w:t>
      </w:r>
    </w:p>
    <w:p w14:paraId="771FF6C0">
      <w:pPr>
        <w:spacing w:line="480" w:lineRule="auto"/>
        <w:ind w:right="540" w:rightChars="257"/>
        <w:jc w:val="left"/>
        <w:rPr>
          <w:rFonts w:asciiTheme="minorEastAsia" w:hAnsiTheme="minorEastAsia" w:eastAsiaTheme="minorEastAsia" w:cstheme="minorEastAsia"/>
          <w:sz w:val="24"/>
          <w:szCs w:val="24"/>
          <w:highlight w:val="none"/>
        </w:rPr>
      </w:pPr>
    </w:p>
    <w:p w14:paraId="13A8560E">
      <w:pPr>
        <w:spacing w:line="480" w:lineRule="auto"/>
        <w:ind w:right="540" w:rightChars="257"/>
        <w:rPr>
          <w:rFonts w:hint="eastAsia" w:asciiTheme="minorEastAsia" w:hAnsiTheme="minorEastAsia" w:eastAsiaTheme="minorEastAsia" w:cstheme="minorEastAsia"/>
          <w:sz w:val="24"/>
          <w:szCs w:val="24"/>
          <w:highlight w:val="none"/>
        </w:rPr>
        <w:sectPr>
          <w:pgSz w:w="11906" w:h="16838"/>
          <w:pgMar w:top="1304" w:right="1361" w:bottom="1304" w:left="1361" w:header="851" w:footer="992" w:gutter="0"/>
          <w:cols w:space="720" w:num="1"/>
          <w:docGrid w:type="lines" w:linePitch="312" w:charSpace="0"/>
        </w:sectPr>
      </w:pPr>
      <w:r>
        <w:rPr>
          <w:rFonts w:hint="eastAsia" w:asciiTheme="minorEastAsia" w:hAnsiTheme="minorEastAsia" w:eastAsiaTheme="minorEastAsia" w:cstheme="minorEastAsia"/>
          <w:sz w:val="24"/>
          <w:szCs w:val="24"/>
          <w:highlight w:val="none"/>
        </w:rPr>
        <w:t>日    期：</w:t>
      </w:r>
    </w:p>
    <w:p w14:paraId="67DF3724">
      <w:pPr>
        <w:rPr>
          <w:rFonts w:hint="eastAsia" w:asciiTheme="minorEastAsia" w:hAnsiTheme="minorEastAsia" w:eastAsiaTheme="minorEastAsia" w:cstheme="minorEastAsia"/>
          <w:b/>
          <w:sz w:val="30"/>
          <w:szCs w:val="30"/>
          <w:highlight w:val="none"/>
          <w:lang w:val="en-US" w:eastAsia="zh-CN"/>
        </w:rPr>
      </w:pPr>
      <w:r>
        <w:rPr>
          <w:rFonts w:hint="eastAsia" w:asciiTheme="minorEastAsia" w:hAnsiTheme="minorEastAsia" w:eastAsiaTheme="minorEastAsia" w:cstheme="minorEastAsia"/>
          <w:b/>
          <w:sz w:val="30"/>
          <w:szCs w:val="30"/>
          <w:highlight w:val="none"/>
          <w:lang w:val="en-US" w:eastAsia="zh-CN"/>
        </w:rPr>
        <w:br w:type="page"/>
      </w:r>
    </w:p>
    <w:p w14:paraId="64098909">
      <w:pPr>
        <w:jc w:val="center"/>
        <w:rPr>
          <w:rFonts w:hint="eastAsia" w:asciiTheme="minorEastAsia" w:hAnsiTheme="minorEastAsia" w:eastAsiaTheme="minorEastAsia" w:cstheme="minorEastAsia"/>
          <w:b/>
          <w:sz w:val="30"/>
          <w:szCs w:val="30"/>
          <w:highlight w:val="none"/>
          <w:lang w:val="en-US" w:eastAsia="zh-CN"/>
        </w:rPr>
      </w:pPr>
      <w:r>
        <w:rPr>
          <w:rFonts w:hint="eastAsia" w:asciiTheme="minorEastAsia" w:hAnsiTheme="minorEastAsia" w:eastAsiaTheme="minorEastAsia" w:cstheme="minorEastAsia"/>
          <w:b/>
          <w:sz w:val="30"/>
          <w:szCs w:val="30"/>
          <w:highlight w:val="none"/>
          <w:lang w:val="en-US" w:eastAsia="zh-CN"/>
        </w:rPr>
        <w:t>2.2分项报价表</w:t>
      </w:r>
    </w:p>
    <w:tbl>
      <w:tblPr>
        <w:tblStyle w:val="29"/>
        <w:tblW w:w="91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5"/>
        <w:gridCol w:w="1669"/>
        <w:gridCol w:w="1123"/>
        <w:gridCol w:w="1123"/>
        <w:gridCol w:w="1508"/>
        <w:gridCol w:w="1524"/>
        <w:gridCol w:w="1075"/>
      </w:tblGrid>
      <w:tr w14:paraId="40B7E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783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EBD7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E3F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656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6351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5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470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合计（元）</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646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39BA9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48BD">
            <w:pPr>
              <w:jc w:val="center"/>
              <w:rPr>
                <w:rFonts w:hint="eastAsia" w:ascii="宋体" w:hAnsi="宋体" w:eastAsia="宋体" w:cs="宋体"/>
                <w:b/>
                <w:bCs/>
                <w:i w:val="0"/>
                <w:iCs w:val="0"/>
                <w:color w:val="000000"/>
                <w:sz w:val="24"/>
                <w:szCs w:val="24"/>
                <w:u w:val="none"/>
              </w:rPr>
            </w:pPr>
          </w:p>
        </w:tc>
        <w:tc>
          <w:tcPr>
            <w:tcW w:w="16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D05C">
            <w:pPr>
              <w:jc w:val="center"/>
              <w:rPr>
                <w:rFonts w:hint="eastAsia" w:ascii="宋体" w:hAnsi="宋体" w:eastAsia="宋体" w:cs="宋体"/>
                <w:b/>
                <w:bCs/>
                <w:i w:val="0"/>
                <w:iCs w:val="0"/>
                <w:color w:val="000000"/>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64CE8">
            <w:pPr>
              <w:jc w:val="center"/>
              <w:rPr>
                <w:rFonts w:hint="eastAsia" w:ascii="宋体" w:hAnsi="宋体" w:eastAsia="宋体" w:cs="宋体"/>
                <w:b/>
                <w:bCs/>
                <w:i w:val="0"/>
                <w:iCs w:val="0"/>
                <w:color w:val="000000"/>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81A91">
            <w:pPr>
              <w:jc w:val="center"/>
              <w:rPr>
                <w:rFonts w:hint="eastAsia" w:ascii="宋体" w:hAnsi="宋体" w:eastAsia="宋体" w:cs="宋体"/>
                <w:b/>
                <w:bCs/>
                <w:i w:val="0"/>
                <w:iCs w:val="0"/>
                <w:color w:val="000000"/>
                <w:sz w:val="24"/>
                <w:szCs w:val="24"/>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5EAE">
            <w:pPr>
              <w:jc w:val="center"/>
              <w:rPr>
                <w:rFonts w:hint="eastAsia" w:ascii="宋体" w:hAnsi="宋体" w:eastAsia="宋体" w:cs="宋体"/>
                <w:b/>
                <w:bCs/>
                <w:i w:val="0"/>
                <w:iCs w:val="0"/>
                <w:color w:val="000000"/>
                <w:sz w:val="24"/>
                <w:szCs w:val="24"/>
                <w:u w:val="none"/>
              </w:rPr>
            </w:pP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2EF38">
            <w:pPr>
              <w:jc w:val="center"/>
              <w:rPr>
                <w:rFonts w:hint="eastAsia" w:ascii="宋体" w:hAnsi="宋体" w:eastAsia="宋体" w:cs="宋体"/>
                <w:b/>
                <w:bCs/>
                <w:i w:val="0"/>
                <w:iCs w:val="0"/>
                <w:color w:val="000000"/>
                <w:sz w:val="24"/>
                <w:szCs w:val="24"/>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E0E3">
            <w:pPr>
              <w:jc w:val="center"/>
              <w:rPr>
                <w:rFonts w:hint="eastAsia" w:ascii="宋体" w:hAnsi="宋体" w:eastAsia="宋体" w:cs="宋体"/>
                <w:b/>
                <w:bCs/>
                <w:i w:val="0"/>
                <w:iCs w:val="0"/>
                <w:color w:val="000000"/>
                <w:sz w:val="24"/>
                <w:szCs w:val="24"/>
                <w:u w:val="none"/>
              </w:rPr>
            </w:pPr>
          </w:p>
        </w:tc>
      </w:tr>
      <w:tr w14:paraId="50ABD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9B9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AFA7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整形修剪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B90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6C1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BDC12">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7F0BC">
            <w:pPr>
              <w:jc w:val="center"/>
              <w:rPr>
                <w:rFonts w:hint="eastAsia" w:ascii="宋体" w:hAnsi="宋体" w:eastAsia="宋体" w:cs="宋体"/>
                <w:b/>
                <w:bCs/>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3A2D">
            <w:pPr>
              <w:jc w:val="center"/>
              <w:rPr>
                <w:rFonts w:hint="eastAsia" w:ascii="宋体" w:hAnsi="宋体" w:eastAsia="宋体" w:cs="宋体"/>
                <w:i w:val="0"/>
                <w:iCs w:val="0"/>
                <w:color w:val="000000"/>
                <w:sz w:val="24"/>
                <w:szCs w:val="24"/>
                <w:u w:val="none"/>
              </w:rPr>
            </w:pPr>
          </w:p>
        </w:tc>
      </w:tr>
      <w:tr w14:paraId="3F6D1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F6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1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EEB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5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0F9C">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72C5">
            <w:pPr>
              <w:jc w:val="center"/>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0799">
            <w:pPr>
              <w:jc w:val="center"/>
              <w:rPr>
                <w:rFonts w:hint="eastAsia" w:ascii="宋体" w:hAnsi="宋体" w:eastAsia="宋体" w:cs="宋体"/>
                <w:i w:val="0"/>
                <w:iCs w:val="0"/>
                <w:color w:val="000000"/>
                <w:sz w:val="24"/>
                <w:szCs w:val="24"/>
                <w:u w:val="none"/>
              </w:rPr>
            </w:pPr>
          </w:p>
        </w:tc>
      </w:tr>
      <w:tr w14:paraId="60B8E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3C3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301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综合科管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4CA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CEA3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2AA17">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22E3">
            <w:pPr>
              <w:jc w:val="center"/>
              <w:rPr>
                <w:rFonts w:hint="eastAsia" w:ascii="宋体" w:hAnsi="宋体" w:eastAsia="宋体" w:cs="宋体"/>
                <w:b/>
                <w:bCs/>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ED99">
            <w:pPr>
              <w:jc w:val="center"/>
              <w:rPr>
                <w:rFonts w:hint="eastAsia" w:ascii="宋体" w:hAnsi="宋体" w:eastAsia="宋体" w:cs="宋体"/>
                <w:i w:val="0"/>
                <w:iCs w:val="0"/>
                <w:color w:val="000000"/>
                <w:sz w:val="24"/>
                <w:szCs w:val="24"/>
                <w:u w:val="none"/>
              </w:rPr>
            </w:pPr>
          </w:p>
        </w:tc>
      </w:tr>
      <w:tr w14:paraId="79BDF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0E1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E23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57AC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2D08F">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57DDF">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5E5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0568">
            <w:pPr>
              <w:jc w:val="center"/>
              <w:rPr>
                <w:rFonts w:hint="eastAsia" w:ascii="宋体" w:hAnsi="宋体" w:eastAsia="宋体" w:cs="宋体"/>
                <w:i w:val="0"/>
                <w:iCs w:val="0"/>
                <w:color w:val="000000"/>
                <w:sz w:val="24"/>
                <w:szCs w:val="24"/>
                <w:u w:val="none"/>
              </w:rPr>
            </w:pPr>
          </w:p>
        </w:tc>
      </w:tr>
      <w:tr w14:paraId="5795B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DAD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71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化 </w:t>
            </w:r>
            <w:r>
              <w:rPr>
                <w:rStyle w:val="65"/>
                <w:lang w:val="en-US" w:eastAsia="zh-CN" w:bidi="ar"/>
              </w:rPr>
              <w:t xml:space="preserve"> 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A3F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638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CC2E0">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AC50">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65388">
            <w:pPr>
              <w:jc w:val="center"/>
              <w:rPr>
                <w:rFonts w:hint="eastAsia" w:ascii="宋体" w:hAnsi="宋体" w:eastAsia="宋体" w:cs="宋体"/>
                <w:i w:val="0"/>
                <w:iCs w:val="0"/>
                <w:color w:val="000000"/>
                <w:sz w:val="24"/>
                <w:szCs w:val="24"/>
                <w:u w:val="none"/>
              </w:rPr>
            </w:pPr>
          </w:p>
        </w:tc>
      </w:tr>
      <w:tr w14:paraId="6835A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1A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8F5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生石灰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53E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2C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E81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4CB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52CE">
            <w:pPr>
              <w:jc w:val="center"/>
              <w:rPr>
                <w:rFonts w:hint="eastAsia" w:ascii="宋体" w:hAnsi="宋体" w:eastAsia="宋体" w:cs="宋体"/>
                <w:i w:val="0"/>
                <w:iCs w:val="0"/>
                <w:color w:val="000000"/>
                <w:sz w:val="24"/>
                <w:szCs w:val="24"/>
                <w:u w:val="none"/>
              </w:rPr>
            </w:pPr>
          </w:p>
        </w:tc>
      </w:tr>
      <w:tr w14:paraId="7C924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E9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3E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581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43F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365C">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9AB20">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649BE">
            <w:pPr>
              <w:jc w:val="center"/>
              <w:rPr>
                <w:rFonts w:hint="eastAsia" w:ascii="宋体" w:hAnsi="宋体" w:eastAsia="宋体" w:cs="宋体"/>
                <w:i w:val="0"/>
                <w:iCs w:val="0"/>
                <w:color w:val="000000"/>
                <w:sz w:val="24"/>
                <w:szCs w:val="24"/>
                <w:u w:val="none"/>
              </w:rPr>
            </w:pPr>
          </w:p>
        </w:tc>
      </w:tr>
      <w:tr w14:paraId="7E3FB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97D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2E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5B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6B0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BB94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EED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C7A7">
            <w:pPr>
              <w:jc w:val="center"/>
              <w:rPr>
                <w:rFonts w:hint="eastAsia" w:ascii="宋体" w:hAnsi="宋体" w:eastAsia="宋体" w:cs="宋体"/>
                <w:i w:val="0"/>
                <w:iCs w:val="0"/>
                <w:color w:val="000000"/>
                <w:sz w:val="24"/>
                <w:szCs w:val="24"/>
                <w:u w:val="none"/>
              </w:rPr>
            </w:pPr>
          </w:p>
        </w:tc>
      </w:tr>
      <w:tr w14:paraId="6E06D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60C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69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植物油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39A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852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663D">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438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4D3E2">
            <w:pPr>
              <w:jc w:val="center"/>
              <w:rPr>
                <w:rFonts w:hint="eastAsia" w:ascii="宋体" w:hAnsi="宋体" w:eastAsia="宋体" w:cs="宋体"/>
                <w:i w:val="0"/>
                <w:iCs w:val="0"/>
                <w:color w:val="000000"/>
                <w:sz w:val="24"/>
                <w:szCs w:val="24"/>
                <w:u w:val="none"/>
              </w:rPr>
            </w:pPr>
          </w:p>
        </w:tc>
      </w:tr>
      <w:tr w14:paraId="5FE17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944A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B31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人工费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B889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54E8">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5EE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F6AD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163E">
            <w:pPr>
              <w:jc w:val="center"/>
              <w:rPr>
                <w:rFonts w:hint="eastAsia" w:ascii="宋体" w:hAnsi="宋体" w:eastAsia="宋体" w:cs="宋体"/>
                <w:i w:val="0"/>
                <w:iCs w:val="0"/>
                <w:color w:val="000000"/>
                <w:sz w:val="24"/>
                <w:szCs w:val="24"/>
                <w:u w:val="none"/>
              </w:rPr>
            </w:pPr>
          </w:p>
        </w:tc>
      </w:tr>
      <w:tr w14:paraId="305D0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EC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45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砍灌清园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56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1A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E5468">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28619">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ED33">
            <w:pPr>
              <w:jc w:val="center"/>
              <w:rPr>
                <w:rFonts w:hint="eastAsia" w:ascii="宋体" w:hAnsi="宋体" w:eastAsia="宋体" w:cs="宋体"/>
                <w:i w:val="0"/>
                <w:iCs w:val="0"/>
                <w:color w:val="000000"/>
                <w:sz w:val="24"/>
                <w:szCs w:val="24"/>
                <w:u w:val="none"/>
              </w:rPr>
            </w:pPr>
          </w:p>
        </w:tc>
      </w:tr>
      <w:tr w14:paraId="698D4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8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161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扩盘松土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EFE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11C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AB1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AB3F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9389">
            <w:pPr>
              <w:jc w:val="center"/>
              <w:rPr>
                <w:rFonts w:hint="eastAsia" w:ascii="宋体" w:hAnsi="宋体" w:eastAsia="宋体" w:cs="宋体"/>
                <w:i w:val="0"/>
                <w:iCs w:val="0"/>
                <w:color w:val="000000"/>
                <w:sz w:val="24"/>
                <w:szCs w:val="24"/>
                <w:u w:val="none"/>
              </w:rPr>
            </w:pPr>
          </w:p>
        </w:tc>
      </w:tr>
      <w:tr w14:paraId="31B46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50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A2E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树干涂白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932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CF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6708">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08978">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6663">
            <w:pPr>
              <w:jc w:val="center"/>
              <w:rPr>
                <w:rFonts w:hint="eastAsia" w:ascii="宋体" w:hAnsi="宋体" w:eastAsia="宋体" w:cs="宋体"/>
                <w:i w:val="0"/>
                <w:iCs w:val="0"/>
                <w:color w:val="000000"/>
                <w:sz w:val="24"/>
                <w:szCs w:val="24"/>
                <w:u w:val="none"/>
              </w:rPr>
            </w:pPr>
          </w:p>
        </w:tc>
      </w:tr>
      <w:tr w14:paraId="1A35C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16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8DA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科学施肥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30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66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412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AD2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E8FF6">
            <w:pPr>
              <w:jc w:val="center"/>
              <w:rPr>
                <w:rFonts w:hint="eastAsia" w:ascii="宋体" w:hAnsi="宋体" w:eastAsia="宋体" w:cs="宋体"/>
                <w:i w:val="0"/>
                <w:iCs w:val="0"/>
                <w:color w:val="000000"/>
                <w:sz w:val="24"/>
                <w:szCs w:val="24"/>
                <w:u w:val="none"/>
              </w:rPr>
            </w:pPr>
          </w:p>
        </w:tc>
      </w:tr>
      <w:tr w14:paraId="438DF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6C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9C2C7">
            <w:pPr>
              <w:jc w:val="center"/>
              <w:rPr>
                <w:rFonts w:hint="eastAsia" w:ascii="宋体" w:hAnsi="宋体" w:eastAsia="宋体" w:cs="宋体"/>
                <w:i w:val="0"/>
                <w:iCs w:val="0"/>
                <w:color w:val="000000"/>
                <w:sz w:val="22"/>
                <w:szCs w:val="22"/>
                <w:u w:val="none"/>
              </w:rPr>
            </w:pPr>
          </w:p>
        </w:tc>
      </w:tr>
    </w:tbl>
    <w:p w14:paraId="26AA2390">
      <w:pPr>
        <w:spacing w:line="312" w:lineRule="auto"/>
        <w:ind w:right="540" w:rightChars="257"/>
        <w:jc w:val="left"/>
        <w:rPr>
          <w:rFonts w:hint="eastAsia" w:asciiTheme="minorEastAsia" w:hAnsiTheme="minorEastAsia" w:eastAsiaTheme="minorEastAsia" w:cstheme="minorEastAsia"/>
          <w:sz w:val="24"/>
          <w:highlight w:val="none"/>
        </w:rPr>
      </w:pPr>
    </w:p>
    <w:p w14:paraId="2710A828">
      <w:pPr>
        <w:spacing w:line="312" w:lineRule="auto"/>
        <w:ind w:right="540" w:rightChars="257"/>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投标人名称：</w:t>
      </w:r>
      <w:r>
        <w:rPr>
          <w:rFonts w:hint="eastAsia" w:asciiTheme="minorEastAsia" w:hAnsiTheme="minorEastAsia" w:eastAsiaTheme="minorEastAsia" w:cstheme="minorEastAsia"/>
          <w:sz w:val="24"/>
          <w:highlight w:val="none"/>
          <w:u w:val="single"/>
        </w:rPr>
        <w:t xml:space="preserve">      （加盖投标人公章）      </w:t>
      </w:r>
    </w:p>
    <w:p w14:paraId="732D3F05">
      <w:pPr>
        <w:spacing w:line="312" w:lineRule="auto"/>
        <w:ind w:right="540" w:rightChars="257"/>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    期：</w:t>
      </w:r>
    </w:p>
    <w:p w14:paraId="11F93AA5">
      <w:pPr>
        <w:pStyle w:val="6"/>
        <w:tabs>
          <w:tab w:val="left" w:pos="4860"/>
        </w:tabs>
        <w:spacing w:beforeLines="0" w:afterLines="50"/>
        <w:rPr>
          <w:rFonts w:asciiTheme="minorEastAsia" w:hAnsiTheme="minorEastAsia" w:eastAsiaTheme="minorEastAsia" w:cstheme="minorEastAsia"/>
          <w:sz w:val="32"/>
          <w:szCs w:val="32"/>
          <w:highlight w:val="none"/>
        </w:rPr>
      </w:pPr>
      <w:r>
        <w:rPr>
          <w:rFonts w:hint="eastAsia"/>
          <w:highlight w:val="none"/>
          <w:lang w:val="en-US" w:eastAsia="zh-CN"/>
        </w:rPr>
        <w:br w:type="page"/>
      </w:r>
      <w:bookmarkStart w:id="232" w:name="_Toc2477"/>
      <w:bookmarkStart w:id="233" w:name="_Toc6360"/>
      <w:bookmarkStart w:id="234" w:name="_Toc26747"/>
      <w:bookmarkStart w:id="235" w:name="_Toc15813"/>
      <w:bookmarkStart w:id="236" w:name="_Toc10537"/>
      <w:bookmarkStart w:id="237" w:name="_Toc31089"/>
      <w:bookmarkStart w:id="238" w:name="_Toc344572163"/>
      <w:r>
        <w:rPr>
          <w:rFonts w:hint="eastAsia" w:asciiTheme="minorEastAsia" w:hAnsiTheme="minorEastAsia" w:eastAsiaTheme="minorEastAsia" w:cstheme="minorEastAsia"/>
          <w:sz w:val="30"/>
          <w:szCs w:val="30"/>
          <w:highlight w:val="none"/>
        </w:rPr>
        <w:t>三、</w:t>
      </w:r>
      <w:r>
        <w:rPr>
          <w:rFonts w:hint="eastAsia" w:asciiTheme="minorEastAsia" w:hAnsiTheme="minorEastAsia" w:eastAsiaTheme="minorEastAsia" w:cstheme="minorEastAsia"/>
          <w:sz w:val="32"/>
          <w:szCs w:val="32"/>
          <w:highlight w:val="none"/>
        </w:rPr>
        <w:t>商务响应偏离表</w:t>
      </w:r>
      <w:bookmarkEnd w:id="232"/>
      <w:bookmarkEnd w:id="233"/>
      <w:bookmarkEnd w:id="234"/>
      <w:bookmarkEnd w:id="235"/>
      <w:bookmarkEnd w:id="236"/>
      <w:bookmarkEnd w:id="237"/>
    </w:p>
    <w:p w14:paraId="6E88DD95">
      <w:pPr>
        <w:spacing w:after="120" w:line="276" w:lineRule="auto"/>
        <w:rPr>
          <w:rFonts w:hint="eastAsia" w:asciiTheme="minorEastAsia" w:hAnsiTheme="minorEastAsia" w:eastAsiaTheme="minorEastAsia" w:cstheme="minorEastAsia"/>
          <w:sz w:val="24"/>
          <w:szCs w:val="32"/>
          <w:highlight w:val="none"/>
          <w:lang w:eastAsia="zh-CN"/>
        </w:rPr>
      </w:pPr>
      <w:r>
        <w:rPr>
          <w:rFonts w:hint="eastAsia" w:asciiTheme="minorEastAsia" w:hAnsiTheme="minorEastAsia" w:eastAsiaTheme="minorEastAsia" w:cstheme="minorEastAsia"/>
          <w:sz w:val="24"/>
          <w:szCs w:val="32"/>
          <w:highlight w:val="none"/>
        </w:rPr>
        <w:t>项目名称</w:t>
      </w:r>
      <w:r>
        <w:rPr>
          <w:rFonts w:hint="eastAsia" w:asciiTheme="minorEastAsia" w:hAnsiTheme="minorEastAsia" w:eastAsiaTheme="minorEastAsia" w:cstheme="minorEastAsia"/>
          <w:sz w:val="24"/>
          <w:szCs w:val="32"/>
          <w:highlight w:val="none"/>
          <w:lang w:eastAsia="zh-CN"/>
        </w:rPr>
        <w:t>：</w:t>
      </w:r>
    </w:p>
    <w:p w14:paraId="7D0DFBF2">
      <w:pPr>
        <w:spacing w:after="120" w:line="276" w:lineRule="auto"/>
        <w:rPr>
          <w:rFonts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项目编号：</w:t>
      </w:r>
    </w:p>
    <w:tbl>
      <w:tblPr>
        <w:tblStyle w:val="29"/>
        <w:tblW w:w="879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890"/>
        <w:gridCol w:w="1995"/>
        <w:gridCol w:w="2688"/>
        <w:gridCol w:w="1212"/>
        <w:gridCol w:w="1007"/>
      </w:tblGrid>
      <w:tr w14:paraId="4CD60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1890" w:type="dxa"/>
            <w:vAlign w:val="center"/>
          </w:tcPr>
          <w:p w14:paraId="2E3C642C">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名称</w:t>
            </w:r>
          </w:p>
        </w:tc>
        <w:tc>
          <w:tcPr>
            <w:tcW w:w="1995" w:type="dxa"/>
            <w:vAlign w:val="center"/>
          </w:tcPr>
          <w:p w14:paraId="28BB0EF3">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招标文件商务要求</w:t>
            </w:r>
          </w:p>
        </w:tc>
        <w:tc>
          <w:tcPr>
            <w:tcW w:w="2688" w:type="dxa"/>
            <w:vAlign w:val="center"/>
          </w:tcPr>
          <w:p w14:paraId="0CF7263E">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投标文件商务响应</w:t>
            </w:r>
          </w:p>
        </w:tc>
        <w:tc>
          <w:tcPr>
            <w:tcW w:w="1212" w:type="dxa"/>
            <w:vAlign w:val="center"/>
          </w:tcPr>
          <w:p w14:paraId="6DB9DA80">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偏离</w:t>
            </w:r>
          </w:p>
        </w:tc>
        <w:tc>
          <w:tcPr>
            <w:tcW w:w="1007" w:type="dxa"/>
            <w:vAlign w:val="center"/>
          </w:tcPr>
          <w:p w14:paraId="4F30A377">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说明</w:t>
            </w:r>
          </w:p>
        </w:tc>
      </w:tr>
      <w:tr w14:paraId="1D4C8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14:paraId="4523CFDC">
            <w:pPr>
              <w:spacing w:line="360" w:lineRule="auto"/>
              <w:jc w:val="center"/>
              <w:rPr>
                <w:rFonts w:asciiTheme="minorEastAsia" w:hAnsiTheme="minorEastAsia" w:eastAsiaTheme="minorEastAsia" w:cstheme="minorEastAsia"/>
                <w:sz w:val="24"/>
                <w:szCs w:val="24"/>
                <w:highlight w:val="none"/>
              </w:rPr>
            </w:pPr>
          </w:p>
        </w:tc>
        <w:tc>
          <w:tcPr>
            <w:tcW w:w="1995" w:type="dxa"/>
          </w:tcPr>
          <w:p w14:paraId="4318391D">
            <w:pPr>
              <w:spacing w:line="360" w:lineRule="auto"/>
              <w:jc w:val="center"/>
              <w:rPr>
                <w:rFonts w:asciiTheme="minorEastAsia" w:hAnsiTheme="minorEastAsia" w:eastAsiaTheme="minorEastAsia" w:cstheme="minorEastAsia"/>
                <w:sz w:val="24"/>
                <w:szCs w:val="24"/>
                <w:highlight w:val="none"/>
              </w:rPr>
            </w:pPr>
          </w:p>
        </w:tc>
        <w:tc>
          <w:tcPr>
            <w:tcW w:w="2688" w:type="dxa"/>
          </w:tcPr>
          <w:p w14:paraId="3EFFF2C7">
            <w:pPr>
              <w:spacing w:line="360" w:lineRule="auto"/>
              <w:jc w:val="center"/>
              <w:rPr>
                <w:rFonts w:asciiTheme="minorEastAsia" w:hAnsiTheme="minorEastAsia" w:eastAsiaTheme="minorEastAsia" w:cstheme="minorEastAsia"/>
                <w:sz w:val="24"/>
                <w:szCs w:val="24"/>
                <w:highlight w:val="none"/>
              </w:rPr>
            </w:pPr>
          </w:p>
        </w:tc>
        <w:tc>
          <w:tcPr>
            <w:tcW w:w="1212" w:type="dxa"/>
          </w:tcPr>
          <w:p w14:paraId="1C2A86C3">
            <w:pPr>
              <w:spacing w:line="360" w:lineRule="auto"/>
              <w:jc w:val="center"/>
              <w:rPr>
                <w:rFonts w:asciiTheme="minorEastAsia" w:hAnsiTheme="minorEastAsia" w:eastAsiaTheme="minorEastAsia" w:cstheme="minorEastAsia"/>
                <w:sz w:val="24"/>
                <w:szCs w:val="24"/>
                <w:highlight w:val="none"/>
              </w:rPr>
            </w:pPr>
          </w:p>
        </w:tc>
        <w:tc>
          <w:tcPr>
            <w:tcW w:w="1007" w:type="dxa"/>
          </w:tcPr>
          <w:p w14:paraId="1A4A7648">
            <w:pPr>
              <w:spacing w:line="360" w:lineRule="auto"/>
              <w:jc w:val="center"/>
              <w:rPr>
                <w:rFonts w:asciiTheme="minorEastAsia" w:hAnsiTheme="minorEastAsia" w:eastAsiaTheme="minorEastAsia" w:cstheme="minorEastAsia"/>
                <w:sz w:val="24"/>
                <w:szCs w:val="24"/>
                <w:highlight w:val="none"/>
              </w:rPr>
            </w:pPr>
          </w:p>
        </w:tc>
      </w:tr>
      <w:tr w14:paraId="524AC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14:paraId="1D1B6B07">
            <w:pPr>
              <w:spacing w:line="360" w:lineRule="auto"/>
              <w:jc w:val="center"/>
              <w:rPr>
                <w:rFonts w:asciiTheme="minorEastAsia" w:hAnsiTheme="minorEastAsia" w:eastAsiaTheme="minorEastAsia" w:cstheme="minorEastAsia"/>
                <w:sz w:val="24"/>
                <w:szCs w:val="24"/>
                <w:highlight w:val="none"/>
              </w:rPr>
            </w:pPr>
          </w:p>
        </w:tc>
        <w:tc>
          <w:tcPr>
            <w:tcW w:w="1995" w:type="dxa"/>
          </w:tcPr>
          <w:p w14:paraId="3C39C386">
            <w:pPr>
              <w:spacing w:line="360" w:lineRule="auto"/>
              <w:jc w:val="center"/>
              <w:rPr>
                <w:rFonts w:asciiTheme="minorEastAsia" w:hAnsiTheme="minorEastAsia" w:eastAsiaTheme="minorEastAsia" w:cstheme="minorEastAsia"/>
                <w:sz w:val="24"/>
                <w:szCs w:val="24"/>
                <w:highlight w:val="none"/>
              </w:rPr>
            </w:pPr>
          </w:p>
        </w:tc>
        <w:tc>
          <w:tcPr>
            <w:tcW w:w="2688" w:type="dxa"/>
          </w:tcPr>
          <w:p w14:paraId="6F0E9E91">
            <w:pPr>
              <w:spacing w:line="360" w:lineRule="auto"/>
              <w:jc w:val="center"/>
              <w:rPr>
                <w:rFonts w:asciiTheme="minorEastAsia" w:hAnsiTheme="minorEastAsia" w:eastAsiaTheme="minorEastAsia" w:cstheme="minorEastAsia"/>
                <w:sz w:val="24"/>
                <w:szCs w:val="24"/>
                <w:highlight w:val="none"/>
              </w:rPr>
            </w:pPr>
          </w:p>
        </w:tc>
        <w:tc>
          <w:tcPr>
            <w:tcW w:w="1212" w:type="dxa"/>
          </w:tcPr>
          <w:p w14:paraId="3643E325">
            <w:pPr>
              <w:spacing w:line="360" w:lineRule="auto"/>
              <w:jc w:val="center"/>
              <w:rPr>
                <w:rFonts w:asciiTheme="minorEastAsia" w:hAnsiTheme="minorEastAsia" w:eastAsiaTheme="minorEastAsia" w:cstheme="minorEastAsia"/>
                <w:sz w:val="24"/>
                <w:szCs w:val="24"/>
                <w:highlight w:val="none"/>
              </w:rPr>
            </w:pPr>
          </w:p>
        </w:tc>
        <w:tc>
          <w:tcPr>
            <w:tcW w:w="1007" w:type="dxa"/>
          </w:tcPr>
          <w:p w14:paraId="0594691A">
            <w:pPr>
              <w:spacing w:line="360" w:lineRule="auto"/>
              <w:jc w:val="center"/>
              <w:rPr>
                <w:rFonts w:asciiTheme="minorEastAsia" w:hAnsiTheme="minorEastAsia" w:eastAsiaTheme="minorEastAsia" w:cstheme="minorEastAsia"/>
                <w:sz w:val="24"/>
                <w:szCs w:val="24"/>
                <w:highlight w:val="none"/>
              </w:rPr>
            </w:pPr>
          </w:p>
        </w:tc>
      </w:tr>
      <w:tr w14:paraId="3BEAF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14:paraId="2A7D87E7">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1995" w:type="dxa"/>
          </w:tcPr>
          <w:p w14:paraId="546D2889">
            <w:pPr>
              <w:spacing w:line="360" w:lineRule="auto"/>
              <w:jc w:val="center"/>
              <w:rPr>
                <w:rFonts w:asciiTheme="minorEastAsia" w:hAnsiTheme="minorEastAsia" w:eastAsiaTheme="minorEastAsia" w:cstheme="minorEastAsia"/>
                <w:sz w:val="24"/>
                <w:szCs w:val="24"/>
                <w:highlight w:val="none"/>
              </w:rPr>
            </w:pPr>
          </w:p>
        </w:tc>
        <w:tc>
          <w:tcPr>
            <w:tcW w:w="2688" w:type="dxa"/>
          </w:tcPr>
          <w:p w14:paraId="365632CD">
            <w:pPr>
              <w:spacing w:line="360" w:lineRule="auto"/>
              <w:jc w:val="center"/>
              <w:rPr>
                <w:rFonts w:asciiTheme="minorEastAsia" w:hAnsiTheme="minorEastAsia" w:eastAsiaTheme="minorEastAsia" w:cstheme="minorEastAsia"/>
                <w:sz w:val="24"/>
                <w:szCs w:val="24"/>
                <w:highlight w:val="none"/>
              </w:rPr>
            </w:pPr>
          </w:p>
        </w:tc>
        <w:tc>
          <w:tcPr>
            <w:tcW w:w="1212" w:type="dxa"/>
          </w:tcPr>
          <w:p w14:paraId="6AF75D37">
            <w:pPr>
              <w:spacing w:line="360" w:lineRule="auto"/>
              <w:jc w:val="center"/>
              <w:rPr>
                <w:rFonts w:asciiTheme="minorEastAsia" w:hAnsiTheme="minorEastAsia" w:eastAsiaTheme="minorEastAsia" w:cstheme="minorEastAsia"/>
                <w:sz w:val="24"/>
                <w:szCs w:val="24"/>
                <w:highlight w:val="none"/>
              </w:rPr>
            </w:pPr>
          </w:p>
        </w:tc>
        <w:tc>
          <w:tcPr>
            <w:tcW w:w="1007" w:type="dxa"/>
          </w:tcPr>
          <w:p w14:paraId="1364DC7F">
            <w:pPr>
              <w:spacing w:line="360" w:lineRule="auto"/>
              <w:jc w:val="center"/>
              <w:rPr>
                <w:rFonts w:asciiTheme="minorEastAsia" w:hAnsiTheme="minorEastAsia" w:eastAsiaTheme="minorEastAsia" w:cstheme="minorEastAsia"/>
                <w:sz w:val="24"/>
                <w:szCs w:val="24"/>
                <w:highlight w:val="none"/>
              </w:rPr>
            </w:pPr>
          </w:p>
        </w:tc>
      </w:tr>
      <w:tr w14:paraId="3DB2D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14:paraId="5A40A98A">
            <w:pPr>
              <w:spacing w:line="360" w:lineRule="auto"/>
              <w:jc w:val="center"/>
              <w:rPr>
                <w:rFonts w:asciiTheme="minorEastAsia" w:hAnsiTheme="minorEastAsia" w:eastAsiaTheme="minorEastAsia" w:cstheme="minorEastAsia"/>
                <w:sz w:val="24"/>
                <w:szCs w:val="24"/>
                <w:highlight w:val="none"/>
              </w:rPr>
            </w:pPr>
          </w:p>
        </w:tc>
        <w:tc>
          <w:tcPr>
            <w:tcW w:w="1995" w:type="dxa"/>
          </w:tcPr>
          <w:p w14:paraId="4FFA24DB">
            <w:pPr>
              <w:spacing w:line="360" w:lineRule="auto"/>
              <w:jc w:val="center"/>
              <w:rPr>
                <w:rFonts w:asciiTheme="minorEastAsia" w:hAnsiTheme="minorEastAsia" w:eastAsiaTheme="minorEastAsia" w:cstheme="minorEastAsia"/>
                <w:sz w:val="24"/>
                <w:szCs w:val="24"/>
                <w:highlight w:val="none"/>
              </w:rPr>
            </w:pPr>
          </w:p>
        </w:tc>
        <w:tc>
          <w:tcPr>
            <w:tcW w:w="2688" w:type="dxa"/>
          </w:tcPr>
          <w:p w14:paraId="226C1B78">
            <w:pPr>
              <w:spacing w:line="360" w:lineRule="auto"/>
              <w:jc w:val="center"/>
              <w:rPr>
                <w:rFonts w:asciiTheme="minorEastAsia" w:hAnsiTheme="minorEastAsia" w:eastAsiaTheme="minorEastAsia" w:cstheme="minorEastAsia"/>
                <w:sz w:val="24"/>
                <w:szCs w:val="24"/>
                <w:highlight w:val="none"/>
              </w:rPr>
            </w:pPr>
          </w:p>
        </w:tc>
        <w:tc>
          <w:tcPr>
            <w:tcW w:w="1212" w:type="dxa"/>
          </w:tcPr>
          <w:p w14:paraId="0F0B0983">
            <w:pPr>
              <w:spacing w:line="360" w:lineRule="auto"/>
              <w:jc w:val="center"/>
              <w:rPr>
                <w:rFonts w:asciiTheme="minorEastAsia" w:hAnsiTheme="minorEastAsia" w:eastAsiaTheme="minorEastAsia" w:cstheme="minorEastAsia"/>
                <w:sz w:val="24"/>
                <w:szCs w:val="24"/>
                <w:highlight w:val="none"/>
              </w:rPr>
            </w:pPr>
          </w:p>
        </w:tc>
        <w:tc>
          <w:tcPr>
            <w:tcW w:w="1007" w:type="dxa"/>
          </w:tcPr>
          <w:p w14:paraId="41F9A70A">
            <w:pPr>
              <w:spacing w:line="360" w:lineRule="auto"/>
              <w:jc w:val="center"/>
              <w:rPr>
                <w:rFonts w:asciiTheme="minorEastAsia" w:hAnsiTheme="minorEastAsia" w:eastAsiaTheme="minorEastAsia" w:cstheme="minorEastAsia"/>
                <w:sz w:val="24"/>
                <w:szCs w:val="24"/>
                <w:highlight w:val="none"/>
              </w:rPr>
            </w:pPr>
          </w:p>
        </w:tc>
      </w:tr>
      <w:tr w14:paraId="2F2B9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14:paraId="11049AF3">
            <w:pPr>
              <w:spacing w:line="360" w:lineRule="auto"/>
              <w:jc w:val="center"/>
              <w:rPr>
                <w:rFonts w:asciiTheme="minorEastAsia" w:hAnsiTheme="minorEastAsia" w:eastAsiaTheme="minorEastAsia" w:cstheme="minorEastAsia"/>
                <w:sz w:val="24"/>
                <w:szCs w:val="24"/>
                <w:highlight w:val="none"/>
              </w:rPr>
            </w:pPr>
          </w:p>
        </w:tc>
        <w:tc>
          <w:tcPr>
            <w:tcW w:w="1995" w:type="dxa"/>
          </w:tcPr>
          <w:p w14:paraId="1766A5A3">
            <w:pPr>
              <w:spacing w:line="360" w:lineRule="auto"/>
              <w:jc w:val="center"/>
              <w:rPr>
                <w:rFonts w:asciiTheme="minorEastAsia" w:hAnsiTheme="minorEastAsia" w:eastAsiaTheme="minorEastAsia" w:cstheme="minorEastAsia"/>
                <w:sz w:val="24"/>
                <w:szCs w:val="24"/>
                <w:highlight w:val="none"/>
              </w:rPr>
            </w:pPr>
          </w:p>
        </w:tc>
        <w:tc>
          <w:tcPr>
            <w:tcW w:w="2688" w:type="dxa"/>
          </w:tcPr>
          <w:p w14:paraId="3A462474">
            <w:pPr>
              <w:spacing w:line="360" w:lineRule="auto"/>
              <w:jc w:val="center"/>
              <w:rPr>
                <w:rFonts w:asciiTheme="minorEastAsia" w:hAnsiTheme="minorEastAsia" w:eastAsiaTheme="minorEastAsia" w:cstheme="minorEastAsia"/>
                <w:sz w:val="24"/>
                <w:szCs w:val="24"/>
                <w:highlight w:val="none"/>
              </w:rPr>
            </w:pPr>
          </w:p>
        </w:tc>
        <w:tc>
          <w:tcPr>
            <w:tcW w:w="1212" w:type="dxa"/>
          </w:tcPr>
          <w:p w14:paraId="48CD91F4">
            <w:pPr>
              <w:spacing w:line="360" w:lineRule="auto"/>
              <w:jc w:val="center"/>
              <w:rPr>
                <w:rFonts w:asciiTheme="minorEastAsia" w:hAnsiTheme="minorEastAsia" w:eastAsiaTheme="minorEastAsia" w:cstheme="minorEastAsia"/>
                <w:sz w:val="24"/>
                <w:szCs w:val="24"/>
                <w:highlight w:val="none"/>
              </w:rPr>
            </w:pPr>
          </w:p>
        </w:tc>
        <w:tc>
          <w:tcPr>
            <w:tcW w:w="1007" w:type="dxa"/>
          </w:tcPr>
          <w:p w14:paraId="28D3619F">
            <w:pPr>
              <w:spacing w:line="360" w:lineRule="auto"/>
              <w:jc w:val="center"/>
              <w:rPr>
                <w:rFonts w:asciiTheme="minorEastAsia" w:hAnsiTheme="minorEastAsia" w:eastAsiaTheme="minorEastAsia" w:cstheme="minorEastAsia"/>
                <w:sz w:val="24"/>
                <w:szCs w:val="24"/>
                <w:highlight w:val="none"/>
              </w:rPr>
            </w:pPr>
          </w:p>
        </w:tc>
      </w:tr>
    </w:tbl>
    <w:p w14:paraId="5D00CFF9">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声明：除本商务偏离表中所列的偏离项目外，其它所有商务均完全响应“招标文件”中的要求。</w:t>
      </w:r>
    </w:p>
    <w:bookmarkEnd w:id="238"/>
    <w:p w14:paraId="24E7B749">
      <w:pPr>
        <w:spacing w:line="312" w:lineRule="auto"/>
        <w:ind w:right="540" w:rightChars="257"/>
        <w:jc w:val="left"/>
        <w:rPr>
          <w:rFonts w:asciiTheme="minorEastAsia" w:hAnsiTheme="minorEastAsia" w:eastAsiaTheme="minorEastAsia" w:cstheme="minorEastAsia"/>
          <w:sz w:val="24"/>
          <w:highlight w:val="none"/>
        </w:rPr>
      </w:pPr>
    </w:p>
    <w:p w14:paraId="38FC534D">
      <w:pPr>
        <w:spacing w:line="312" w:lineRule="auto"/>
        <w:ind w:right="540" w:rightChars="257"/>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投标人名称：</w:t>
      </w:r>
      <w:r>
        <w:rPr>
          <w:rFonts w:hint="eastAsia" w:asciiTheme="minorEastAsia" w:hAnsiTheme="minorEastAsia" w:eastAsiaTheme="minorEastAsia" w:cstheme="minorEastAsia"/>
          <w:sz w:val="24"/>
          <w:highlight w:val="none"/>
          <w:u w:val="single"/>
        </w:rPr>
        <w:t xml:space="preserve">      （加盖投标人公章）      </w:t>
      </w:r>
    </w:p>
    <w:p w14:paraId="770A7C0C">
      <w:pPr>
        <w:spacing w:line="312" w:lineRule="auto"/>
        <w:ind w:right="540" w:rightChars="257"/>
        <w:jc w:val="left"/>
        <w:rPr>
          <w:rFonts w:asciiTheme="minorEastAsia" w:hAnsiTheme="minorEastAsia" w:eastAsiaTheme="minorEastAsia" w:cstheme="minorEastAsia"/>
          <w:sz w:val="24"/>
          <w:highlight w:val="none"/>
          <w:u w:val="single"/>
        </w:rPr>
      </w:pPr>
    </w:p>
    <w:p w14:paraId="3DD4415E">
      <w:pPr>
        <w:spacing w:line="312" w:lineRule="auto"/>
        <w:ind w:right="540" w:rightChars="257"/>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法定代表人或被授权人签字或盖章：</w:t>
      </w:r>
    </w:p>
    <w:p w14:paraId="3AF47065">
      <w:pPr>
        <w:spacing w:line="312" w:lineRule="auto"/>
        <w:ind w:right="540" w:rightChars="257"/>
        <w:jc w:val="left"/>
        <w:rPr>
          <w:rFonts w:asciiTheme="minorEastAsia" w:hAnsiTheme="minorEastAsia" w:eastAsiaTheme="minorEastAsia" w:cstheme="minorEastAsia"/>
          <w:sz w:val="24"/>
          <w:highlight w:val="none"/>
        </w:rPr>
      </w:pPr>
    </w:p>
    <w:p w14:paraId="33C3E93B">
      <w:pPr>
        <w:spacing w:line="312" w:lineRule="auto"/>
        <w:ind w:right="540" w:rightChars="25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    期：</w:t>
      </w:r>
    </w:p>
    <w:p w14:paraId="0FC44FE9">
      <w:pPr>
        <w:pStyle w:val="26"/>
        <w:rPr>
          <w:rFonts w:asciiTheme="minorEastAsia" w:hAnsiTheme="minorEastAsia" w:eastAsiaTheme="minorEastAsia" w:cstheme="minorEastAsia"/>
          <w:color w:val="auto"/>
          <w:highlight w:val="none"/>
        </w:rPr>
      </w:pPr>
    </w:p>
    <w:p w14:paraId="6CB23B86">
      <w:pPr>
        <w:pStyle w:val="26"/>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说明：</w:t>
      </w:r>
    </w:p>
    <w:p w14:paraId="54E0B24D">
      <w:pPr>
        <w:pStyle w:val="26"/>
        <w:ind w:firstLine="480" w:firstLineChars="200"/>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1.本表只填写投标文件中与招标文件有偏离（包括正偏离和负偏离）的内容，投标文件中商务响应与招标文件要求完全一致的，不用在此表中列出，但必须提交空白表。</w:t>
      </w:r>
    </w:p>
    <w:p w14:paraId="389A4B97">
      <w:pPr>
        <w:pStyle w:val="26"/>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2.投标人必须据实填写，不得虚假响应，否则将取消其投标或中标资格，并按有关规定进处罚。</w:t>
      </w:r>
    </w:p>
    <w:p w14:paraId="39B2D5D0">
      <w:pPr>
        <w:pStyle w:val="26"/>
        <w:rPr>
          <w:rFonts w:asciiTheme="minorEastAsia" w:hAnsiTheme="minorEastAsia" w:eastAsiaTheme="minorEastAsia" w:cstheme="minorEastAsia"/>
          <w:color w:val="auto"/>
          <w:highlight w:val="none"/>
        </w:rPr>
      </w:pPr>
    </w:p>
    <w:p w14:paraId="51EB1476">
      <w:pPr>
        <w:rPr>
          <w:rFonts w:asciiTheme="minorEastAsia" w:hAnsiTheme="minorEastAsia" w:eastAsiaTheme="minorEastAsia" w:cstheme="minorEastAsia"/>
          <w:sz w:val="24"/>
          <w:highlight w:val="none"/>
        </w:rPr>
      </w:pPr>
    </w:p>
    <w:p w14:paraId="6FD57E9D">
      <w:pPr>
        <w:pStyle w:val="6"/>
        <w:spacing w:beforeLines="100"/>
        <w:rPr>
          <w:rFonts w:asciiTheme="minorEastAsia" w:hAnsiTheme="minorEastAsia" w:eastAsiaTheme="minorEastAsia" w:cstheme="minorEastAsia"/>
          <w:b w:val="0"/>
          <w:highlight w:val="none"/>
        </w:rPr>
      </w:pPr>
      <w:r>
        <w:rPr>
          <w:rFonts w:hint="eastAsia" w:asciiTheme="minorEastAsia" w:hAnsiTheme="minorEastAsia" w:eastAsiaTheme="minorEastAsia" w:cstheme="minorEastAsia"/>
          <w:sz w:val="32"/>
          <w:szCs w:val="32"/>
          <w:highlight w:val="none"/>
        </w:rPr>
        <w:br w:type="page"/>
      </w:r>
      <w:bookmarkStart w:id="239" w:name="_Toc28845"/>
      <w:bookmarkStart w:id="240" w:name="_Toc28513"/>
      <w:bookmarkStart w:id="241" w:name="_Toc27879"/>
      <w:bookmarkStart w:id="242" w:name="_Toc11699"/>
      <w:bookmarkStart w:id="243" w:name="_Toc13500"/>
      <w:bookmarkStart w:id="244" w:name="_Toc9782"/>
      <w:bookmarkStart w:id="245" w:name="_Toc400"/>
      <w:r>
        <w:rPr>
          <w:rFonts w:hint="eastAsia" w:asciiTheme="minorEastAsia" w:hAnsiTheme="minorEastAsia" w:eastAsiaTheme="minorEastAsia" w:cstheme="minorEastAsia"/>
          <w:sz w:val="32"/>
          <w:szCs w:val="32"/>
          <w:highlight w:val="none"/>
        </w:rPr>
        <w:t>四、投标方案说明书</w:t>
      </w:r>
      <w:bookmarkEnd w:id="239"/>
      <w:bookmarkEnd w:id="240"/>
      <w:bookmarkEnd w:id="241"/>
      <w:bookmarkEnd w:id="242"/>
      <w:bookmarkEnd w:id="243"/>
      <w:bookmarkEnd w:id="244"/>
      <w:bookmarkEnd w:id="245"/>
    </w:p>
    <w:p w14:paraId="3E7C6982">
      <w:pPr>
        <w:rPr>
          <w:rFonts w:asciiTheme="minorEastAsia" w:hAnsiTheme="minorEastAsia" w:eastAsiaTheme="minorEastAsia" w:cstheme="minorEastAsia"/>
          <w:highlight w:val="none"/>
        </w:rPr>
      </w:pPr>
    </w:p>
    <w:p w14:paraId="7D079A1C">
      <w:pPr>
        <w:adjustRightInd w:val="0"/>
        <w:spacing w:after="120" w:line="44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按照招标文件的要求编制，根据评审办法进行编制，主要内容包含但不限于以下内容：</w:t>
      </w:r>
    </w:p>
    <w:p w14:paraId="3442F830">
      <w:pPr>
        <w:spacing w:line="48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①项目管理部门及人员配备</w:t>
      </w:r>
    </w:p>
    <w:p w14:paraId="6CCBF670">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②项目实施方案</w:t>
      </w:r>
    </w:p>
    <w:p w14:paraId="484414FF">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③</w:t>
      </w:r>
      <w:r>
        <w:rPr>
          <w:rFonts w:hint="eastAsia" w:ascii="宋体" w:hAnsi="宋体" w:cs="宋体"/>
          <w:sz w:val="24"/>
          <w:szCs w:val="24"/>
          <w:highlight w:val="none"/>
          <w:lang w:val="en-US" w:eastAsia="zh-CN"/>
        </w:rPr>
        <w:t>项目</w:t>
      </w:r>
      <w:r>
        <w:rPr>
          <w:rFonts w:hint="eastAsia" w:ascii="宋体" w:hAnsi="宋体" w:cs="宋体"/>
          <w:sz w:val="24"/>
          <w:szCs w:val="24"/>
          <w:highlight w:val="none"/>
        </w:rPr>
        <w:t>进度计划与保障措施</w:t>
      </w:r>
    </w:p>
    <w:p w14:paraId="55C1A436">
      <w:pPr>
        <w:pStyle w:val="28"/>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④确保</w:t>
      </w:r>
      <w:r>
        <w:rPr>
          <w:rFonts w:hint="eastAsia" w:ascii="宋体" w:hAnsi="宋体" w:cs="宋体"/>
          <w:sz w:val="24"/>
          <w:szCs w:val="24"/>
          <w:highlight w:val="none"/>
          <w:lang w:val="en-US" w:eastAsia="zh-CN"/>
        </w:rPr>
        <w:t>项目</w:t>
      </w:r>
      <w:r>
        <w:rPr>
          <w:rFonts w:hint="eastAsia" w:ascii="宋体" w:hAnsi="宋体" w:cs="宋体"/>
          <w:sz w:val="24"/>
          <w:szCs w:val="24"/>
          <w:highlight w:val="none"/>
        </w:rPr>
        <w:t>质量的</w:t>
      </w:r>
      <w:r>
        <w:rPr>
          <w:rFonts w:hint="eastAsia" w:ascii="宋体" w:hAnsi="宋体" w:cs="宋体"/>
          <w:sz w:val="24"/>
          <w:szCs w:val="24"/>
          <w:highlight w:val="none"/>
          <w:lang w:val="en-US" w:eastAsia="zh-CN"/>
        </w:rPr>
        <w:t>保证</w:t>
      </w:r>
      <w:r>
        <w:rPr>
          <w:rFonts w:hint="eastAsia" w:ascii="宋体" w:hAnsi="宋体" w:cs="宋体"/>
          <w:sz w:val="24"/>
          <w:szCs w:val="24"/>
          <w:highlight w:val="none"/>
        </w:rPr>
        <w:t>措施</w:t>
      </w:r>
    </w:p>
    <w:p w14:paraId="45B8D937">
      <w:pPr>
        <w:pStyle w:val="28"/>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⑤主要机具、设备和劳动力配备情况</w:t>
      </w:r>
    </w:p>
    <w:p w14:paraId="63870CF6">
      <w:pPr>
        <w:spacing w:line="480" w:lineRule="auto"/>
        <w:ind w:firstLine="480" w:firstLineChars="200"/>
        <w:rPr>
          <w:rFonts w:ascii="宋体" w:hAnsi="宋体" w:cs="宋体"/>
          <w:sz w:val="24"/>
          <w:szCs w:val="24"/>
          <w:highlight w:val="none"/>
        </w:rPr>
      </w:pPr>
      <w:r>
        <w:rPr>
          <w:rFonts w:hint="eastAsia" w:ascii="宋体" w:hAnsi="宋体" w:eastAsia="宋体" w:cs="宋体"/>
          <w:sz w:val="24"/>
          <w:szCs w:val="24"/>
          <w:highlight w:val="none"/>
        </w:rPr>
        <w:t>⑥服务承诺及应急管理</w:t>
      </w:r>
    </w:p>
    <w:p w14:paraId="3B2410E8">
      <w:pPr>
        <w:spacing w:line="580" w:lineRule="exact"/>
        <w:ind w:firstLine="480" w:firstLineChars="200"/>
        <w:rPr>
          <w:rFonts w:asciiTheme="minorEastAsia" w:hAnsiTheme="minorEastAsia" w:eastAsiaTheme="minorEastAsia" w:cstheme="minorEastAsia"/>
          <w:sz w:val="24"/>
          <w:szCs w:val="24"/>
          <w:highlight w:val="none"/>
        </w:rPr>
      </w:pPr>
    </w:p>
    <w:p w14:paraId="373FDA0F">
      <w:pPr>
        <w:spacing w:line="580" w:lineRule="exact"/>
        <w:ind w:firstLine="480" w:firstLineChars="200"/>
        <w:rPr>
          <w:rFonts w:hint="default" w:asciiTheme="minorEastAsia" w:hAnsiTheme="minorEastAsia" w:eastAsiaTheme="minorEastAsia" w:cstheme="minorEastAsia"/>
          <w:sz w:val="24"/>
          <w:szCs w:val="24"/>
          <w:highlight w:val="none"/>
          <w:lang w:val="en-US" w:eastAsia="zh-CN"/>
        </w:rPr>
      </w:pPr>
    </w:p>
    <w:p w14:paraId="5CCCA2A2">
      <w:pPr>
        <w:kinsoku w:val="0"/>
        <w:spacing w:line="580" w:lineRule="exact"/>
        <w:rPr>
          <w:rFonts w:asciiTheme="minorEastAsia" w:hAnsiTheme="minorEastAsia" w:eastAsiaTheme="minorEastAsia" w:cstheme="minorEastAsia"/>
          <w:sz w:val="24"/>
          <w:szCs w:val="24"/>
          <w:highlight w:val="none"/>
        </w:rPr>
      </w:pPr>
    </w:p>
    <w:p w14:paraId="29221AA0">
      <w:pPr>
        <w:spacing w:line="440" w:lineRule="exact"/>
        <w:ind w:left="3259" w:leftChars="1552"/>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法定代表人/或被授权人签字或盖章：</w:t>
      </w:r>
    </w:p>
    <w:p w14:paraId="26A0110F">
      <w:pPr>
        <w:spacing w:line="440" w:lineRule="exact"/>
        <w:ind w:left="3259" w:leftChars="1552"/>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公      章：</w:t>
      </w:r>
    </w:p>
    <w:p w14:paraId="4A04CD02">
      <w:pPr>
        <w:spacing w:line="440" w:lineRule="exact"/>
        <w:ind w:firstLine="3259" w:firstLineChars="1358"/>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      期：</w:t>
      </w:r>
    </w:p>
    <w:p w14:paraId="6FCA0547">
      <w:pPr>
        <w:spacing w:line="440" w:lineRule="exact"/>
        <w:rPr>
          <w:rFonts w:asciiTheme="minorEastAsia" w:hAnsiTheme="minorEastAsia" w:eastAsiaTheme="minorEastAsia" w:cstheme="minorEastAsia"/>
          <w:sz w:val="24"/>
          <w:szCs w:val="24"/>
          <w:highlight w:val="none"/>
        </w:rPr>
      </w:pPr>
    </w:p>
    <w:p w14:paraId="5B44C358">
      <w:pPr>
        <w:rPr>
          <w:rFonts w:asciiTheme="minorEastAsia" w:hAnsiTheme="minorEastAsia" w:eastAsiaTheme="minorEastAsia" w:cstheme="minorEastAsia"/>
          <w:highlight w:val="none"/>
        </w:rPr>
      </w:pPr>
    </w:p>
    <w:p w14:paraId="32B2FC81">
      <w:pPr>
        <w:spacing w:line="580" w:lineRule="exact"/>
        <w:rPr>
          <w:rFonts w:asciiTheme="minorEastAsia" w:hAnsiTheme="minorEastAsia" w:eastAsiaTheme="minorEastAsia" w:cstheme="minorEastAsia"/>
          <w:sz w:val="24"/>
          <w:szCs w:val="24"/>
          <w:highlight w:val="none"/>
        </w:rPr>
      </w:pPr>
    </w:p>
    <w:p w14:paraId="6A94C2E7">
      <w:pPr>
        <w:rPr>
          <w:rFonts w:asciiTheme="minorEastAsia" w:hAnsiTheme="minorEastAsia" w:eastAsiaTheme="minorEastAsia" w:cstheme="minorEastAsia"/>
          <w:highlight w:val="none"/>
        </w:rPr>
      </w:pPr>
    </w:p>
    <w:p w14:paraId="31B5B7B6">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b/>
          <w:sz w:val="36"/>
          <w:highlight w:val="none"/>
        </w:rPr>
        <w:br w:type="page"/>
      </w:r>
    </w:p>
    <w:p w14:paraId="520AB718">
      <w:pPr>
        <w:pStyle w:val="6"/>
        <w:spacing w:beforeLines="100"/>
        <w:rPr>
          <w:rFonts w:asciiTheme="minorEastAsia" w:hAnsiTheme="minorEastAsia" w:eastAsiaTheme="minorEastAsia" w:cstheme="minorEastAsia"/>
          <w:spacing w:val="4"/>
          <w:sz w:val="28"/>
          <w:szCs w:val="28"/>
          <w:highlight w:val="none"/>
        </w:rPr>
      </w:pPr>
      <w:bookmarkStart w:id="246" w:name="_Toc13827"/>
      <w:bookmarkStart w:id="247" w:name="_Toc112"/>
      <w:bookmarkStart w:id="248" w:name="_Toc14604"/>
      <w:bookmarkStart w:id="249" w:name="_Toc29611"/>
      <w:bookmarkStart w:id="250" w:name="_Toc28048"/>
      <w:bookmarkStart w:id="251" w:name="_Toc21059"/>
      <w:r>
        <w:rPr>
          <w:rFonts w:hint="eastAsia" w:asciiTheme="minorEastAsia" w:hAnsiTheme="minorEastAsia" w:eastAsiaTheme="minorEastAsia" w:cstheme="minorEastAsia"/>
          <w:sz w:val="32"/>
          <w:szCs w:val="32"/>
          <w:highlight w:val="none"/>
        </w:rPr>
        <w:t>五、企业类似业绩</w:t>
      </w:r>
      <w:bookmarkEnd w:id="246"/>
      <w:bookmarkEnd w:id="247"/>
      <w:bookmarkEnd w:id="248"/>
      <w:bookmarkEnd w:id="249"/>
      <w:bookmarkEnd w:id="250"/>
      <w:bookmarkEnd w:id="251"/>
    </w:p>
    <w:p w14:paraId="2A3988B2">
      <w:pPr>
        <w:rPr>
          <w:rFonts w:asciiTheme="minorEastAsia" w:hAnsiTheme="minorEastAsia" w:eastAsiaTheme="minorEastAsia" w:cstheme="minorEastAsia"/>
          <w:b/>
          <w:sz w:val="28"/>
          <w:highlight w:val="none"/>
        </w:rPr>
      </w:pPr>
      <w:bookmarkStart w:id="252" w:name="_Toc26309"/>
      <w:bookmarkStart w:id="253" w:name="_Toc15893"/>
      <w:bookmarkStart w:id="254" w:name="_Toc24879"/>
      <w:bookmarkStart w:id="255" w:name="_Toc27577"/>
      <w:r>
        <w:rPr>
          <w:rFonts w:hint="eastAsia" w:asciiTheme="minorEastAsia" w:hAnsiTheme="minorEastAsia" w:eastAsiaTheme="minorEastAsia" w:cstheme="minorEastAsia"/>
          <w:b/>
          <w:sz w:val="28"/>
          <w:highlight w:val="none"/>
        </w:rPr>
        <w:br w:type="page"/>
      </w:r>
    </w:p>
    <w:p w14:paraId="09441FB9">
      <w:pPr>
        <w:pStyle w:val="6"/>
        <w:spacing w:beforeLines="100"/>
        <w:rPr>
          <w:rFonts w:asciiTheme="minorEastAsia" w:hAnsiTheme="minorEastAsia" w:eastAsiaTheme="minorEastAsia" w:cstheme="minorEastAsia"/>
          <w:sz w:val="28"/>
          <w:highlight w:val="none"/>
        </w:rPr>
      </w:pPr>
      <w:bookmarkStart w:id="256" w:name="_Toc20158"/>
      <w:bookmarkStart w:id="257" w:name="_Toc25837"/>
      <w:r>
        <w:rPr>
          <w:rFonts w:hint="eastAsia" w:asciiTheme="minorEastAsia" w:hAnsiTheme="minorEastAsia" w:eastAsiaTheme="minorEastAsia" w:cstheme="minorEastAsia"/>
          <w:sz w:val="32"/>
          <w:szCs w:val="32"/>
          <w:highlight w:val="none"/>
        </w:rPr>
        <w:t>六、陕西省政府采购投标人拒绝政府采购领域商业贿赂承诺书</w:t>
      </w:r>
      <w:bookmarkEnd w:id="252"/>
      <w:bookmarkEnd w:id="253"/>
      <w:bookmarkEnd w:id="254"/>
      <w:bookmarkEnd w:id="255"/>
      <w:bookmarkEnd w:id="256"/>
      <w:bookmarkEnd w:id="257"/>
    </w:p>
    <w:p w14:paraId="486C3899">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为响应党中央、国务院关于治理政府采购领域商业贿赂行为的号召，我公司在此庄严承诺：</w:t>
      </w:r>
    </w:p>
    <w:p w14:paraId="50124EE1">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1、在参与政府采购活动中遵纪守法、诚信经营、公平竞标。</w:t>
      </w:r>
    </w:p>
    <w:p w14:paraId="56F767E1">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2、不向政府采购人、采购代理机构和政府采购评审专家进行任何形式的商业贿赂以谋取交易机会。</w:t>
      </w:r>
    </w:p>
    <w:p w14:paraId="77D18CC5">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3、不向政府采购代理机构和采购人提供虚假资质文件或采用虚假应标方式参与政府采购市场竞争并谋取成交、成交。</w:t>
      </w:r>
    </w:p>
    <w:p w14:paraId="7E8D0C7B">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4、不采取“围标、陪标”等商业欺诈手段获得政府采购定单。</w:t>
      </w:r>
    </w:p>
    <w:p w14:paraId="0956A629">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5、不采取不正当手段诋毁、排挤其他投标人。</w:t>
      </w:r>
    </w:p>
    <w:p w14:paraId="786D7D59">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6、不在提供商品和服务时“偷梁换柱、以次充好”损害采购人的合法权益。</w:t>
      </w:r>
    </w:p>
    <w:p w14:paraId="7120671D">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7、不与采购人、采购代理机构政府采购评审专家或其它投标人恶意串通，进行质疑和投诉，维护政府采购市场秩序。</w:t>
      </w:r>
    </w:p>
    <w:p w14:paraId="42FD97F5">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8、尊重和接受政府采购监督管理部门的监督和政府采购代理机构招标采购要求，承担因违约行为给采购人造成的损失。</w:t>
      </w:r>
    </w:p>
    <w:p w14:paraId="35BFB52A">
      <w:pPr>
        <w:spacing w:line="600" w:lineRule="exact"/>
        <w:ind w:left="681" w:leftChars="267" w:hanging="120" w:hangingChars="5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9、不发生其他有悖于政府采购公开、公平、公正和诚信原则的行为。</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承诺单位（盖章）：</w:t>
      </w:r>
    </w:p>
    <w:p w14:paraId="695AC0FD">
      <w:pPr>
        <w:spacing w:line="600" w:lineRule="exact"/>
        <w:ind w:left="701" w:leftChars="334"/>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被授权代表（签字或盖章）：</w:t>
      </w:r>
    </w:p>
    <w:p w14:paraId="72BD486B">
      <w:pPr>
        <w:spacing w:line="600" w:lineRule="exact"/>
        <w:ind w:left="701" w:leftChars="334"/>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地    址：</w:t>
      </w:r>
    </w:p>
    <w:p w14:paraId="442CE1A4">
      <w:pPr>
        <w:spacing w:line="600" w:lineRule="exact"/>
        <w:ind w:left="659" w:leftChars="314"/>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邮    编：</w:t>
      </w:r>
    </w:p>
    <w:p w14:paraId="5FF8E4B4">
      <w:pPr>
        <w:spacing w:line="600" w:lineRule="exact"/>
        <w:ind w:left="659" w:leftChars="314"/>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电    话：</w:t>
      </w:r>
    </w:p>
    <w:p w14:paraId="5E704128">
      <w:pPr>
        <w:spacing w:line="600" w:lineRule="exact"/>
        <w:ind w:left="659" w:leftChars="314"/>
        <w:jc w:val="righ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年     月     日</w:t>
      </w:r>
    </w:p>
    <w:p w14:paraId="752DC5F2">
      <w:pPr>
        <w:spacing w:line="360" w:lineRule="auto"/>
        <w:rPr>
          <w:rFonts w:asciiTheme="minorEastAsia" w:hAnsiTheme="minorEastAsia" w:eastAsiaTheme="minorEastAsia" w:cstheme="minorEastAsia"/>
          <w:b/>
          <w:kern w:val="0"/>
          <w:sz w:val="24"/>
          <w:szCs w:val="24"/>
          <w:highlight w:val="none"/>
        </w:rPr>
      </w:pPr>
    </w:p>
    <w:p w14:paraId="51E4392D">
      <w:pPr>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br w:type="page"/>
      </w:r>
    </w:p>
    <w:p w14:paraId="321AEF58">
      <w:pPr>
        <w:pStyle w:val="6"/>
        <w:spacing w:beforeLines="100" w:afterLines="100"/>
        <w:rPr>
          <w:rFonts w:asciiTheme="minorEastAsia" w:hAnsiTheme="minorEastAsia" w:eastAsiaTheme="minorEastAsia" w:cstheme="minorEastAsia"/>
          <w:sz w:val="32"/>
          <w:szCs w:val="32"/>
          <w:highlight w:val="none"/>
        </w:rPr>
      </w:pPr>
      <w:bookmarkStart w:id="258" w:name="_Toc17923"/>
      <w:bookmarkStart w:id="259" w:name="_Toc27000"/>
      <w:bookmarkStart w:id="260" w:name="_Toc24556"/>
      <w:bookmarkStart w:id="261" w:name="_Toc12945"/>
      <w:bookmarkStart w:id="262" w:name="_Toc11841"/>
      <w:bookmarkStart w:id="263" w:name="_Toc16808"/>
      <w:r>
        <w:rPr>
          <w:rFonts w:hint="eastAsia" w:asciiTheme="minorEastAsia" w:hAnsiTheme="minorEastAsia" w:eastAsiaTheme="minorEastAsia" w:cstheme="minorEastAsia"/>
          <w:sz w:val="32"/>
          <w:szCs w:val="32"/>
          <w:highlight w:val="none"/>
        </w:rPr>
        <w:t>七、资格证明文件</w:t>
      </w:r>
      <w:bookmarkEnd w:id="258"/>
      <w:bookmarkEnd w:id="259"/>
      <w:bookmarkEnd w:id="260"/>
      <w:bookmarkEnd w:id="261"/>
      <w:bookmarkEnd w:id="262"/>
      <w:bookmarkEnd w:id="263"/>
    </w:p>
    <w:p w14:paraId="42F0524E">
      <w:pPr>
        <w:pStyle w:val="2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（1）提供合格有效的法人或者其他组织的营业执照等证明文件，自然人的身份证明；</w:t>
      </w:r>
    </w:p>
    <w:p w14:paraId="5F505C6A">
      <w:pPr>
        <w:pStyle w:val="2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（2）提供法定代表人授权书（附法定代表人、被授权人身份证复印件，法定代表人直接参加投标，须提供法定代表人身份证明及身份证复印件）；</w:t>
      </w:r>
    </w:p>
    <w:p w14:paraId="30974230">
      <w:pPr>
        <w:pStyle w:val="2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（3）提供2024年度的财务审计报告（成立时间至提交投标文件截止时间不足一年的可提供成立后任意时段的资产负债表）或开标时间前六个月内银行出具的资信证明；</w:t>
      </w:r>
    </w:p>
    <w:p w14:paraId="14A62417">
      <w:pPr>
        <w:pStyle w:val="2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（4）税收缴纳证明：提供投标截止日前近一年内任意一个月的纳税证明或完税证明（任意税种），依法免税的单位应提供相关证明材料；</w:t>
      </w:r>
    </w:p>
    <w:p w14:paraId="7E967CF6">
      <w:pPr>
        <w:pStyle w:val="2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（5）社会保障资金缴纳证明：提供投标截止日前近一年内任意一个月的社会保障资金缴存单据或社保机构开具的社会保险参保缴费情况证明，依法不需要缴纳社会保障资金的单位应提供相关证明材料；</w:t>
      </w:r>
    </w:p>
    <w:p w14:paraId="2E9A17D7">
      <w:pPr>
        <w:pStyle w:val="2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（6）提供具有履行本合同所必需的设备和专业技术能力的说明及承诺书；</w:t>
      </w:r>
    </w:p>
    <w:p w14:paraId="7A319FD1">
      <w:pPr>
        <w:pStyle w:val="2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（7）供应商通过“信用中国”网站(www.creditchina.gov.cn)、中国政府采购网(www.ccgp.gov.cn)等查询相关主体信用记录；</w:t>
      </w:r>
    </w:p>
    <w:p w14:paraId="5DFEF9E4">
      <w:pPr>
        <w:pStyle w:val="2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（8）参加政府采购活动前3年内，在经营活动中没有重大违法记录的书面声明；</w:t>
      </w:r>
    </w:p>
    <w:p w14:paraId="1CF7B5B5">
      <w:pPr>
        <w:pStyle w:val="2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（9）提供中小企业声明函；</w:t>
      </w:r>
    </w:p>
    <w:p w14:paraId="4BE366BB">
      <w:pPr>
        <w:pStyle w:val="2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（10）本项目不接受联合体投标（提供承诺书）。</w:t>
      </w:r>
    </w:p>
    <w:p w14:paraId="5BEF34D4">
      <w:pPr>
        <w:rPr>
          <w:rFonts w:asciiTheme="minorEastAsia" w:hAnsiTheme="minorEastAsia" w:eastAsiaTheme="minorEastAsia" w:cstheme="minorEastAsia"/>
          <w:b/>
          <w:bCs/>
          <w:sz w:val="30"/>
          <w:szCs w:val="30"/>
          <w:highlight w:val="none"/>
        </w:rPr>
      </w:pPr>
      <w:bookmarkStart w:id="264" w:name="_Toc363474028"/>
      <w:bookmarkStart w:id="265" w:name="_Toc30210"/>
      <w:bookmarkStart w:id="266" w:name="_Toc403077649"/>
      <w:bookmarkStart w:id="267" w:name="_Toc19075"/>
      <w:bookmarkStart w:id="268" w:name="_Toc4867"/>
      <w:bookmarkStart w:id="269" w:name="_Toc426457701"/>
      <w:bookmarkStart w:id="270" w:name="_Toc16097"/>
      <w:bookmarkStart w:id="271" w:name="_Toc25348"/>
      <w:r>
        <w:rPr>
          <w:rFonts w:hint="eastAsia" w:asciiTheme="minorEastAsia" w:hAnsiTheme="minorEastAsia" w:eastAsiaTheme="minorEastAsia" w:cstheme="minorEastAsia"/>
          <w:b/>
          <w:bCs/>
          <w:sz w:val="30"/>
          <w:szCs w:val="30"/>
          <w:highlight w:val="none"/>
        </w:rPr>
        <w:br w:type="page"/>
      </w:r>
    </w:p>
    <w:p w14:paraId="07EBFFFC">
      <w:pPr>
        <w:pStyle w:val="12"/>
        <w:rPr>
          <w:rFonts w:asciiTheme="minorEastAsia" w:hAnsiTheme="minorEastAsia" w:eastAsiaTheme="minorEastAsia" w:cstheme="minorEastAsia"/>
          <w:b/>
          <w:bCs/>
          <w:szCs w:val="28"/>
          <w:highlight w:val="none"/>
        </w:rPr>
      </w:pPr>
      <w:r>
        <w:rPr>
          <w:rFonts w:hint="eastAsia" w:asciiTheme="minorEastAsia" w:hAnsiTheme="minorEastAsia" w:eastAsiaTheme="minorEastAsia" w:cstheme="minorEastAsia"/>
          <w:b/>
          <w:bCs/>
          <w:szCs w:val="28"/>
          <w:highlight w:val="none"/>
        </w:rPr>
        <w:t>附件1：</w:t>
      </w:r>
    </w:p>
    <w:p w14:paraId="742ABB61">
      <w:pPr>
        <w:spacing w:beforeLines="100"/>
        <w:jc w:val="center"/>
        <w:rPr>
          <w:rFonts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法定代表人身份证明/法定代表人授权书</w:t>
      </w:r>
    </w:p>
    <w:p w14:paraId="59227AD3">
      <w:pPr>
        <w:pStyle w:val="12"/>
        <w:spacing w:beforeLines="50"/>
        <w:jc w:val="center"/>
        <w:rPr>
          <w:rFonts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法定代表人身份证明</w:t>
      </w:r>
    </w:p>
    <w:p w14:paraId="640B0A6F">
      <w:pPr>
        <w:autoSpaceDE w:val="0"/>
        <w:autoSpaceDN w:val="0"/>
        <w:adjustRightInd w:val="0"/>
        <w:snapToGrid w:val="0"/>
        <w:spacing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投标人名称：</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 xml:space="preserve"> </w:t>
      </w:r>
    </w:p>
    <w:p w14:paraId="7818A712">
      <w:pPr>
        <w:autoSpaceDE w:val="0"/>
        <w:autoSpaceDN w:val="0"/>
        <w:adjustRightInd w:val="0"/>
        <w:snapToGrid w:val="0"/>
        <w:spacing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统一社会信用代码：</w:t>
      </w:r>
      <w:r>
        <w:rPr>
          <w:rFonts w:hint="eastAsia" w:asciiTheme="minorEastAsia" w:hAnsiTheme="minorEastAsia" w:eastAsiaTheme="minorEastAsia" w:cstheme="minorEastAsia"/>
          <w:highlight w:val="none"/>
          <w:u w:val="single"/>
        </w:rPr>
        <w:t xml:space="preserve">                </w:t>
      </w:r>
    </w:p>
    <w:p w14:paraId="79ADB9F8">
      <w:pPr>
        <w:autoSpaceDE w:val="0"/>
        <w:autoSpaceDN w:val="0"/>
        <w:adjustRightInd w:val="0"/>
        <w:snapToGrid w:val="0"/>
        <w:spacing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注册地址：</w:t>
      </w:r>
      <w:r>
        <w:rPr>
          <w:rFonts w:hint="eastAsia" w:asciiTheme="minorEastAsia" w:hAnsiTheme="minorEastAsia" w:eastAsiaTheme="minorEastAsia" w:cstheme="minorEastAsia"/>
          <w:highlight w:val="none"/>
          <w:u w:val="single"/>
        </w:rPr>
        <w:t xml:space="preserve">                        </w:t>
      </w:r>
    </w:p>
    <w:p w14:paraId="5C8F07E9">
      <w:pPr>
        <w:autoSpaceDE w:val="0"/>
        <w:autoSpaceDN w:val="0"/>
        <w:adjustRightInd w:val="0"/>
        <w:snapToGrid w:val="0"/>
        <w:spacing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成立时间：</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年</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月</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日</w:t>
      </w:r>
    </w:p>
    <w:p w14:paraId="25C51178">
      <w:pPr>
        <w:autoSpaceDE w:val="0"/>
        <w:autoSpaceDN w:val="0"/>
        <w:adjustRightInd w:val="0"/>
        <w:snapToGrid w:val="0"/>
        <w:spacing w:beforeLines="50" w:line="360" w:lineRule="auto"/>
        <w:jc w:val="left"/>
        <w:rPr>
          <w:rFonts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经营期限：</w:t>
      </w:r>
      <w:r>
        <w:rPr>
          <w:rFonts w:hint="eastAsia" w:asciiTheme="minorEastAsia" w:hAnsiTheme="minorEastAsia" w:eastAsiaTheme="minorEastAsia" w:cstheme="minorEastAsia"/>
          <w:highlight w:val="none"/>
          <w:u w:val="single"/>
        </w:rPr>
        <w:t xml:space="preserve">                  </w:t>
      </w:r>
    </w:p>
    <w:p w14:paraId="68E45357">
      <w:pPr>
        <w:autoSpaceDE w:val="0"/>
        <w:autoSpaceDN w:val="0"/>
        <w:adjustRightInd w:val="0"/>
        <w:snapToGrid w:val="0"/>
        <w:spacing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姓名：</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性别：</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年龄：</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系</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（投标人名称）的法定代表人。</w:t>
      </w:r>
    </w:p>
    <w:p w14:paraId="71169D01">
      <w:pPr>
        <w:autoSpaceDE w:val="0"/>
        <w:autoSpaceDN w:val="0"/>
        <w:adjustRightInd w:val="0"/>
        <w:snapToGrid w:val="0"/>
        <w:spacing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特此证明。</w:t>
      </w:r>
    </w:p>
    <w:p w14:paraId="19E4BC76">
      <w:pPr>
        <w:autoSpaceDE w:val="0"/>
        <w:autoSpaceDN w:val="0"/>
        <w:adjustRightInd w:val="0"/>
        <w:snapToGrid w:val="0"/>
        <w:spacing w:beforeLines="50" w:line="360" w:lineRule="auto"/>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附：法定代表人身份证复印件</w:t>
      </w:r>
    </w:p>
    <w:tbl>
      <w:tblPr>
        <w:tblStyle w:val="30"/>
        <w:tblpPr w:leftFromText="180" w:rightFromText="180" w:vertAnchor="text" w:horzAnchor="margin" w:tblpXSpec="center" w:tblpY="104"/>
        <w:tblW w:w="5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010E4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697F00E3">
            <w:pPr>
              <w:snapToGrid w:val="0"/>
              <w:spacing w:line="480" w:lineRule="auto"/>
              <w:jc w:val="center"/>
              <w:rPr>
                <w:rFonts w:asciiTheme="minorEastAsia" w:hAnsiTheme="minorEastAsia" w:eastAsiaTheme="minorEastAsia" w:cstheme="minorEastAsia"/>
                <w:szCs w:val="21"/>
                <w:highlight w:val="none"/>
              </w:rPr>
            </w:pPr>
          </w:p>
          <w:p w14:paraId="55A63F4E">
            <w:pPr>
              <w:snapToGrid w:val="0"/>
              <w:spacing w:line="480" w:lineRule="auto"/>
              <w:jc w:val="center"/>
              <w:rPr>
                <w:rFonts w:asciiTheme="minorEastAsia" w:hAnsiTheme="minorEastAsia" w:eastAsiaTheme="minorEastAsia" w:cstheme="minorEastAsia"/>
                <w:szCs w:val="21"/>
                <w:highlight w:val="none"/>
              </w:rPr>
            </w:pPr>
          </w:p>
          <w:p w14:paraId="2E31C46B">
            <w:pPr>
              <w:autoSpaceDE w:val="0"/>
              <w:autoSpaceDN w:val="0"/>
              <w:adjustRightInd w:val="0"/>
              <w:snapToGrid w:val="0"/>
              <w:spacing w:beforeLines="50"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法定代表人身份证复印件粘贴处</w:t>
            </w:r>
          </w:p>
          <w:p w14:paraId="25D1BAC9">
            <w:pPr>
              <w:pStyle w:val="12"/>
              <w:jc w:val="center"/>
              <w:rPr>
                <w:rFonts w:asciiTheme="minorEastAsia" w:hAnsiTheme="minorEastAsia" w:eastAsiaTheme="minorEastAsia" w:cstheme="minorEastAsia"/>
                <w:sz w:val="24"/>
                <w:szCs w:val="18"/>
                <w:highlight w:val="none"/>
              </w:rPr>
            </w:pPr>
            <w:r>
              <w:rPr>
                <w:rFonts w:hint="eastAsia" w:asciiTheme="minorEastAsia" w:hAnsiTheme="minorEastAsia" w:eastAsiaTheme="minorEastAsia" w:cstheme="minorEastAsia"/>
                <w:sz w:val="24"/>
                <w:szCs w:val="20"/>
                <w:highlight w:val="none"/>
              </w:rPr>
              <w:t>（正反面）</w:t>
            </w:r>
          </w:p>
          <w:p w14:paraId="7145FEEA">
            <w:pPr>
              <w:snapToGrid w:val="0"/>
              <w:spacing w:line="480" w:lineRule="auto"/>
              <w:jc w:val="center"/>
              <w:rPr>
                <w:rFonts w:asciiTheme="minorEastAsia" w:hAnsiTheme="minorEastAsia" w:eastAsiaTheme="minorEastAsia" w:cstheme="minorEastAsia"/>
                <w:szCs w:val="21"/>
                <w:highlight w:val="none"/>
              </w:rPr>
            </w:pPr>
          </w:p>
          <w:p w14:paraId="6E519B9B">
            <w:pPr>
              <w:snapToGrid w:val="0"/>
              <w:spacing w:line="480" w:lineRule="auto"/>
              <w:jc w:val="center"/>
              <w:rPr>
                <w:rFonts w:asciiTheme="minorEastAsia" w:hAnsiTheme="minorEastAsia" w:eastAsiaTheme="minorEastAsia" w:cstheme="minorEastAsia"/>
                <w:szCs w:val="21"/>
                <w:highlight w:val="none"/>
              </w:rPr>
            </w:pPr>
          </w:p>
        </w:tc>
      </w:tr>
    </w:tbl>
    <w:p w14:paraId="0F63A757">
      <w:pPr>
        <w:snapToGrid w:val="0"/>
        <w:spacing w:line="480" w:lineRule="auto"/>
        <w:rPr>
          <w:rFonts w:asciiTheme="minorEastAsia" w:hAnsiTheme="minorEastAsia" w:eastAsiaTheme="minorEastAsia" w:cstheme="minorEastAsia"/>
          <w:szCs w:val="21"/>
          <w:highlight w:val="none"/>
        </w:rPr>
      </w:pPr>
    </w:p>
    <w:p w14:paraId="778D06A1">
      <w:pPr>
        <w:snapToGrid w:val="0"/>
        <w:rPr>
          <w:rFonts w:asciiTheme="minorEastAsia" w:hAnsiTheme="minorEastAsia" w:eastAsiaTheme="minorEastAsia" w:cstheme="minorEastAsia"/>
          <w:szCs w:val="21"/>
          <w:highlight w:val="none"/>
        </w:rPr>
      </w:pPr>
    </w:p>
    <w:p w14:paraId="17358EFC">
      <w:pPr>
        <w:snapToGrid w:val="0"/>
        <w:rPr>
          <w:rFonts w:asciiTheme="minorEastAsia" w:hAnsiTheme="minorEastAsia" w:eastAsiaTheme="minorEastAsia" w:cstheme="minorEastAsia"/>
          <w:szCs w:val="21"/>
          <w:highlight w:val="none"/>
        </w:rPr>
      </w:pPr>
    </w:p>
    <w:p w14:paraId="7B295BB9">
      <w:pPr>
        <w:snapToGrid w:val="0"/>
        <w:rPr>
          <w:rFonts w:asciiTheme="minorEastAsia" w:hAnsiTheme="minorEastAsia" w:eastAsiaTheme="minorEastAsia" w:cstheme="minorEastAsia"/>
          <w:szCs w:val="21"/>
          <w:highlight w:val="none"/>
        </w:rPr>
      </w:pPr>
    </w:p>
    <w:p w14:paraId="77215DC2">
      <w:pPr>
        <w:snapToGrid w:val="0"/>
        <w:rPr>
          <w:rFonts w:asciiTheme="minorEastAsia" w:hAnsiTheme="minorEastAsia" w:eastAsiaTheme="minorEastAsia" w:cstheme="minorEastAsia"/>
          <w:szCs w:val="21"/>
          <w:highlight w:val="none"/>
        </w:rPr>
      </w:pPr>
    </w:p>
    <w:p w14:paraId="59A8B06E">
      <w:pPr>
        <w:adjustRightInd w:val="0"/>
        <w:snapToGrid w:val="0"/>
        <w:spacing w:line="360" w:lineRule="auto"/>
        <w:rPr>
          <w:rFonts w:asciiTheme="minorEastAsia" w:hAnsiTheme="minorEastAsia" w:eastAsiaTheme="minorEastAsia" w:cstheme="minorEastAsia"/>
          <w:highlight w:val="none"/>
        </w:rPr>
      </w:pPr>
    </w:p>
    <w:p w14:paraId="7C1F8F09">
      <w:pPr>
        <w:adjustRightInd w:val="0"/>
        <w:snapToGrid w:val="0"/>
        <w:spacing w:line="360" w:lineRule="auto"/>
        <w:ind w:right="420"/>
        <w:rPr>
          <w:rFonts w:asciiTheme="minorEastAsia" w:hAnsiTheme="minorEastAsia" w:eastAsiaTheme="minorEastAsia" w:cstheme="minorEastAsia"/>
          <w:highlight w:val="none"/>
        </w:rPr>
      </w:pPr>
    </w:p>
    <w:p w14:paraId="41683DB7">
      <w:pPr>
        <w:adjustRightInd w:val="0"/>
        <w:snapToGrid w:val="0"/>
        <w:spacing w:line="360" w:lineRule="auto"/>
        <w:ind w:right="420"/>
        <w:rPr>
          <w:rFonts w:asciiTheme="minorEastAsia" w:hAnsiTheme="minorEastAsia" w:eastAsiaTheme="minorEastAsia" w:cstheme="minorEastAsia"/>
          <w:highlight w:val="none"/>
        </w:rPr>
      </w:pPr>
    </w:p>
    <w:p w14:paraId="59C5295E">
      <w:pPr>
        <w:adjustRightInd w:val="0"/>
        <w:snapToGrid w:val="0"/>
        <w:spacing w:line="360" w:lineRule="auto"/>
        <w:ind w:right="420"/>
        <w:rPr>
          <w:rFonts w:asciiTheme="minorEastAsia" w:hAnsiTheme="minorEastAsia" w:eastAsiaTheme="minorEastAsia" w:cstheme="minorEastAsia"/>
          <w:highlight w:val="none"/>
        </w:rPr>
      </w:pPr>
    </w:p>
    <w:p w14:paraId="24BF3910">
      <w:pPr>
        <w:adjustRightInd w:val="0"/>
        <w:snapToGrid w:val="0"/>
        <w:spacing w:line="360" w:lineRule="auto"/>
        <w:ind w:right="420"/>
        <w:rPr>
          <w:rFonts w:asciiTheme="minorEastAsia" w:hAnsiTheme="minorEastAsia" w:eastAsiaTheme="minorEastAsia" w:cstheme="minorEastAsia"/>
          <w:highlight w:val="none"/>
        </w:rPr>
      </w:pPr>
    </w:p>
    <w:p w14:paraId="7FB80D8A">
      <w:pPr>
        <w:adjustRightInd w:val="0"/>
        <w:snapToGrid w:val="0"/>
        <w:spacing w:line="360" w:lineRule="auto"/>
        <w:ind w:right="42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投标人名称（公章）：</w:t>
      </w:r>
    </w:p>
    <w:p w14:paraId="760B67BE">
      <w:pPr>
        <w:adjustRightInd w:val="0"/>
        <w:snapToGrid w:val="0"/>
        <w:spacing w:line="360" w:lineRule="auto"/>
        <w:ind w:right="42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    年  月  日</w:t>
      </w:r>
    </w:p>
    <w:p w14:paraId="44701B2B">
      <w:pPr>
        <w:adjustRightInd w:val="0"/>
        <w:snapToGrid w:val="0"/>
        <w:spacing w:line="360" w:lineRule="auto"/>
        <w:ind w:right="420"/>
        <w:rPr>
          <w:rFonts w:asciiTheme="minorEastAsia" w:hAnsiTheme="minorEastAsia" w:eastAsiaTheme="minorEastAsia" w:cstheme="minorEastAsia"/>
          <w:highlight w:val="none"/>
        </w:rPr>
      </w:pPr>
    </w:p>
    <w:p w14:paraId="02697175">
      <w:pPr>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br w:type="page"/>
      </w:r>
    </w:p>
    <w:p w14:paraId="2A941643">
      <w:pPr>
        <w:keepNext/>
        <w:spacing w:beforeLines="100"/>
        <w:jc w:val="center"/>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法定代表人授权书</w:t>
      </w:r>
      <w:bookmarkEnd w:id="264"/>
      <w:bookmarkEnd w:id="265"/>
      <w:bookmarkEnd w:id="266"/>
      <w:bookmarkEnd w:id="267"/>
      <w:bookmarkEnd w:id="268"/>
      <w:bookmarkEnd w:id="269"/>
      <w:bookmarkEnd w:id="270"/>
      <w:bookmarkEnd w:id="271"/>
    </w:p>
    <w:p w14:paraId="49DACE69">
      <w:pPr>
        <w:spacing w:line="560" w:lineRule="exact"/>
        <w:jc w:val="left"/>
        <w:rPr>
          <w:rFonts w:hint="eastAsia" w:asciiTheme="minorEastAsia" w:hAnsiTheme="minorEastAsia" w:eastAsiaTheme="minorEastAsia" w:cstheme="minorEastAsia"/>
          <w:spacing w:val="4"/>
          <w:szCs w:val="24"/>
          <w:highlight w:val="none"/>
          <w:lang w:eastAsia="zh-CN"/>
        </w:rPr>
      </w:pPr>
      <w:r>
        <w:rPr>
          <w:rFonts w:hint="eastAsia" w:asciiTheme="minorEastAsia" w:hAnsiTheme="minorEastAsia" w:eastAsiaTheme="minorEastAsia" w:cstheme="minorEastAsia"/>
          <w:b/>
          <w:spacing w:val="4"/>
          <w:szCs w:val="24"/>
          <w:highlight w:val="none"/>
        </w:rPr>
        <w:t>致：</w:t>
      </w:r>
      <w:r>
        <w:rPr>
          <w:rFonts w:hint="eastAsia" w:asciiTheme="minorEastAsia" w:hAnsiTheme="minorEastAsia" w:eastAsiaTheme="minorEastAsia" w:cstheme="minorEastAsia"/>
          <w:b/>
          <w:spacing w:val="4"/>
          <w:szCs w:val="24"/>
          <w:highlight w:val="none"/>
          <w:u w:val="single"/>
          <w:lang w:eastAsia="zh-CN"/>
        </w:rPr>
        <w:t>陕西至诚项目管理集团有限公司</w:t>
      </w:r>
    </w:p>
    <w:p w14:paraId="72675B42">
      <w:pPr>
        <w:spacing w:line="560" w:lineRule="exact"/>
        <w:ind w:firstLine="436" w:firstLineChars="200"/>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u w:val="single"/>
        </w:rPr>
        <w:t xml:space="preserve">(投标人名称)   </w:t>
      </w:r>
      <w:r>
        <w:rPr>
          <w:rFonts w:hint="eastAsia" w:asciiTheme="minorEastAsia" w:hAnsiTheme="minorEastAsia" w:eastAsiaTheme="minorEastAsia" w:cstheme="minorEastAsia"/>
          <w:spacing w:val="4"/>
          <w:szCs w:val="24"/>
          <w:highlight w:val="none"/>
        </w:rPr>
        <w:t>按中华人民共和国法律于</w:t>
      </w:r>
      <w:r>
        <w:rPr>
          <w:rFonts w:hint="eastAsia" w:asciiTheme="minorEastAsia" w:hAnsiTheme="minorEastAsia" w:eastAsiaTheme="minorEastAsia" w:cstheme="minorEastAsia"/>
          <w:spacing w:val="4"/>
          <w:szCs w:val="24"/>
          <w:highlight w:val="none"/>
          <w:u w:val="single"/>
        </w:rPr>
        <w:t xml:space="preserve">（  年  月  日 ）  </w:t>
      </w:r>
      <w:r>
        <w:rPr>
          <w:rFonts w:hint="eastAsia" w:asciiTheme="minorEastAsia" w:hAnsiTheme="minorEastAsia" w:eastAsiaTheme="minorEastAsia" w:cstheme="minorEastAsia"/>
          <w:spacing w:val="4"/>
          <w:szCs w:val="24"/>
          <w:highlight w:val="none"/>
        </w:rPr>
        <w:t>成立。</w:t>
      </w:r>
      <w:r>
        <w:rPr>
          <w:rFonts w:hint="eastAsia" w:asciiTheme="minorEastAsia" w:hAnsiTheme="minorEastAsia" w:eastAsiaTheme="minorEastAsia" w:cstheme="minorEastAsia"/>
          <w:spacing w:val="4"/>
          <w:szCs w:val="24"/>
          <w:highlight w:val="none"/>
          <w:u w:val="single"/>
        </w:rPr>
        <w:t>(</w:t>
      </w:r>
      <w:r>
        <w:rPr>
          <w:rFonts w:hint="eastAsia" w:asciiTheme="minorEastAsia" w:hAnsiTheme="minorEastAsia" w:eastAsiaTheme="minorEastAsia" w:cstheme="minorEastAsia"/>
          <w:szCs w:val="24"/>
          <w:highlight w:val="none"/>
          <w:u w:val="single"/>
        </w:rPr>
        <w:t>法定代表人</w:t>
      </w:r>
      <w:r>
        <w:rPr>
          <w:rFonts w:hint="eastAsia" w:asciiTheme="minorEastAsia" w:hAnsiTheme="minorEastAsia" w:eastAsiaTheme="minorEastAsia" w:cstheme="minorEastAsia"/>
          <w:spacing w:val="4"/>
          <w:szCs w:val="24"/>
          <w:highlight w:val="none"/>
          <w:u w:val="single"/>
        </w:rPr>
        <w:t>姓名)</w:t>
      </w:r>
      <w:r>
        <w:rPr>
          <w:rFonts w:hint="eastAsia" w:asciiTheme="minorEastAsia" w:hAnsiTheme="minorEastAsia" w:eastAsiaTheme="minorEastAsia" w:cstheme="minorEastAsia"/>
          <w:spacing w:val="4"/>
          <w:szCs w:val="24"/>
          <w:highlight w:val="none"/>
        </w:rPr>
        <w:t>特授权</w:t>
      </w:r>
      <w:r>
        <w:rPr>
          <w:rFonts w:hint="eastAsia" w:asciiTheme="minorEastAsia" w:hAnsiTheme="minorEastAsia" w:eastAsiaTheme="minorEastAsia" w:cstheme="minorEastAsia"/>
          <w:spacing w:val="4"/>
          <w:szCs w:val="24"/>
          <w:highlight w:val="none"/>
          <w:u w:val="single"/>
        </w:rPr>
        <w:t xml:space="preserve">（ </w:t>
      </w:r>
      <w:r>
        <w:rPr>
          <w:rFonts w:hint="eastAsia" w:asciiTheme="minorEastAsia" w:hAnsiTheme="minorEastAsia" w:eastAsiaTheme="minorEastAsia" w:cstheme="minorEastAsia"/>
          <w:szCs w:val="24"/>
          <w:highlight w:val="none"/>
          <w:u w:val="single"/>
        </w:rPr>
        <w:t>授权代表</w:t>
      </w:r>
      <w:r>
        <w:rPr>
          <w:rFonts w:hint="eastAsia" w:asciiTheme="minorEastAsia" w:hAnsiTheme="minorEastAsia" w:eastAsiaTheme="minorEastAsia" w:cstheme="minorEastAsia"/>
          <w:spacing w:val="4"/>
          <w:szCs w:val="24"/>
          <w:highlight w:val="none"/>
          <w:u w:val="single"/>
        </w:rPr>
        <w:t>姓名 ）</w:t>
      </w:r>
      <w:r>
        <w:rPr>
          <w:rFonts w:hint="eastAsia" w:asciiTheme="minorEastAsia" w:hAnsiTheme="minorEastAsia" w:eastAsiaTheme="minorEastAsia" w:cstheme="minorEastAsia"/>
          <w:spacing w:val="4"/>
          <w:szCs w:val="24"/>
          <w:highlight w:val="none"/>
        </w:rPr>
        <w:t xml:space="preserve">代表我公司全权办理针对本次 </w:t>
      </w:r>
      <w:r>
        <w:rPr>
          <w:rFonts w:hint="eastAsia" w:asciiTheme="minorEastAsia" w:hAnsiTheme="minorEastAsia" w:eastAsiaTheme="minorEastAsia" w:cstheme="minorEastAsia"/>
          <w:spacing w:val="4"/>
          <w:szCs w:val="24"/>
          <w:highlight w:val="none"/>
          <w:u w:val="single"/>
        </w:rPr>
        <w:t xml:space="preserve">（项目名称、项目编号）    </w:t>
      </w:r>
      <w:r>
        <w:rPr>
          <w:rFonts w:hint="eastAsia" w:asciiTheme="minorEastAsia" w:hAnsiTheme="minorEastAsia" w:eastAsiaTheme="minorEastAsia" w:cstheme="minorEastAsia"/>
          <w:spacing w:val="4"/>
          <w:szCs w:val="24"/>
          <w:highlight w:val="none"/>
        </w:rPr>
        <w:t>投标、谈判、签约等具体工作，并签署全部有关的文件、协议及合同。</w:t>
      </w:r>
    </w:p>
    <w:p w14:paraId="7A98B6A0">
      <w:pPr>
        <w:spacing w:line="560" w:lineRule="exact"/>
        <w:ind w:firstLine="436" w:firstLineChars="200"/>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rPr>
        <w:t>我公司对</w:t>
      </w:r>
      <w:r>
        <w:rPr>
          <w:rFonts w:hint="eastAsia" w:asciiTheme="minorEastAsia" w:hAnsiTheme="minorEastAsia" w:eastAsiaTheme="minorEastAsia" w:cstheme="minorEastAsia"/>
          <w:szCs w:val="24"/>
          <w:highlight w:val="none"/>
        </w:rPr>
        <w:t>授权代表</w:t>
      </w:r>
      <w:r>
        <w:rPr>
          <w:rFonts w:hint="eastAsia" w:asciiTheme="minorEastAsia" w:hAnsiTheme="minorEastAsia" w:eastAsiaTheme="minorEastAsia" w:cstheme="minorEastAsia"/>
          <w:spacing w:val="4"/>
          <w:szCs w:val="24"/>
          <w:highlight w:val="none"/>
        </w:rPr>
        <w:t>的签名负全部责任。</w:t>
      </w:r>
    </w:p>
    <w:p w14:paraId="5B4DF62C">
      <w:pPr>
        <w:spacing w:line="560" w:lineRule="exact"/>
        <w:ind w:right="540" w:rightChars="257" w:firstLine="420" w:firstLineChars="200"/>
        <w:jc w:val="left"/>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委托期限：</w:t>
      </w:r>
      <w:r>
        <w:rPr>
          <w:rFonts w:hint="eastAsia" w:asciiTheme="minorEastAsia" w:hAnsiTheme="minorEastAsia" w:eastAsiaTheme="minorEastAsia" w:cstheme="minorEastAsia"/>
          <w:highlight w:val="none"/>
          <w:lang w:val="zh-CN"/>
        </w:rPr>
        <w:t>自开标之日起</w:t>
      </w:r>
      <w:r>
        <w:rPr>
          <w:rFonts w:hint="eastAsia" w:asciiTheme="minorEastAsia" w:hAnsiTheme="minorEastAsia" w:eastAsiaTheme="minorEastAsia" w:cstheme="minorEastAsia"/>
          <w:highlight w:val="none"/>
        </w:rPr>
        <w:t>90</w:t>
      </w:r>
      <w:r>
        <w:rPr>
          <w:rFonts w:hint="eastAsia" w:asciiTheme="minorEastAsia" w:hAnsiTheme="minorEastAsia" w:eastAsiaTheme="minorEastAsia" w:cstheme="minorEastAsia"/>
          <w:highlight w:val="none"/>
          <w:lang w:val="zh-CN"/>
        </w:rPr>
        <w:t>天。</w:t>
      </w:r>
    </w:p>
    <w:p w14:paraId="06CE8534">
      <w:pPr>
        <w:spacing w:line="560" w:lineRule="exact"/>
        <w:ind w:firstLine="436" w:firstLineChars="200"/>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rPr>
        <w:t>本授权书于</w:t>
      </w:r>
      <w:r>
        <w:rPr>
          <w:rFonts w:hint="eastAsia" w:asciiTheme="minorEastAsia" w:hAnsiTheme="minorEastAsia" w:eastAsiaTheme="minorEastAsia" w:cstheme="minorEastAsia"/>
          <w:spacing w:val="4"/>
          <w:szCs w:val="24"/>
          <w:highlight w:val="none"/>
          <w:u w:val="single"/>
        </w:rPr>
        <w:t xml:space="preserve">      年   月   日</w:t>
      </w:r>
      <w:r>
        <w:rPr>
          <w:rFonts w:hint="eastAsia" w:asciiTheme="minorEastAsia" w:hAnsiTheme="minorEastAsia" w:eastAsiaTheme="minorEastAsia" w:cstheme="minorEastAsia"/>
          <w:spacing w:val="4"/>
          <w:szCs w:val="24"/>
          <w:highlight w:val="none"/>
        </w:rPr>
        <w:t>签章生效，特此证明。</w:t>
      </w:r>
    </w:p>
    <w:tbl>
      <w:tblPr>
        <w:tblStyle w:val="29"/>
        <w:tblW w:w="8190" w:type="dxa"/>
        <w:tblInd w:w="633" w:type="dxa"/>
        <w:tblLayout w:type="fixed"/>
        <w:tblCellMar>
          <w:top w:w="0" w:type="dxa"/>
          <w:left w:w="108" w:type="dxa"/>
          <w:bottom w:w="0" w:type="dxa"/>
          <w:right w:w="108" w:type="dxa"/>
        </w:tblCellMar>
      </w:tblPr>
      <w:tblGrid>
        <w:gridCol w:w="4200"/>
        <w:gridCol w:w="3990"/>
      </w:tblGrid>
      <w:tr w14:paraId="15B5A367">
        <w:tblPrEx>
          <w:tblCellMar>
            <w:top w:w="0" w:type="dxa"/>
            <w:left w:w="108" w:type="dxa"/>
            <w:bottom w:w="0" w:type="dxa"/>
            <w:right w:w="108" w:type="dxa"/>
          </w:tblCellMar>
        </w:tblPrEx>
        <w:trPr>
          <w:trHeight w:val="600" w:hRule="atLeast"/>
        </w:trPr>
        <w:tc>
          <w:tcPr>
            <w:tcW w:w="4200" w:type="dxa"/>
          </w:tcPr>
          <w:p w14:paraId="353BC833">
            <w:pPr>
              <w:spacing w:line="520" w:lineRule="exact"/>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rPr>
              <w:t>被授权人签字或盖章：</w:t>
            </w:r>
          </w:p>
        </w:tc>
        <w:tc>
          <w:tcPr>
            <w:tcW w:w="3990" w:type="dxa"/>
          </w:tcPr>
          <w:p w14:paraId="50AB6273">
            <w:pPr>
              <w:spacing w:line="520" w:lineRule="exact"/>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zCs w:val="24"/>
                <w:highlight w:val="none"/>
              </w:rPr>
              <w:t>法定代表人</w:t>
            </w:r>
            <w:r>
              <w:rPr>
                <w:rFonts w:hint="eastAsia" w:asciiTheme="minorEastAsia" w:hAnsiTheme="minorEastAsia" w:eastAsiaTheme="minorEastAsia" w:cstheme="minorEastAsia"/>
                <w:spacing w:val="4"/>
                <w:szCs w:val="24"/>
                <w:highlight w:val="none"/>
              </w:rPr>
              <w:t>签字或盖章：</w:t>
            </w:r>
          </w:p>
        </w:tc>
      </w:tr>
      <w:tr w14:paraId="7D0A770C">
        <w:tblPrEx>
          <w:tblCellMar>
            <w:top w:w="0" w:type="dxa"/>
            <w:left w:w="108" w:type="dxa"/>
            <w:bottom w:w="0" w:type="dxa"/>
            <w:right w:w="108" w:type="dxa"/>
          </w:tblCellMar>
        </w:tblPrEx>
        <w:trPr>
          <w:trHeight w:val="600" w:hRule="atLeast"/>
        </w:trPr>
        <w:tc>
          <w:tcPr>
            <w:tcW w:w="4200" w:type="dxa"/>
          </w:tcPr>
          <w:p w14:paraId="678B2F39">
            <w:pPr>
              <w:spacing w:line="520" w:lineRule="exact"/>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rPr>
              <w:t>职务：</w:t>
            </w:r>
          </w:p>
        </w:tc>
        <w:tc>
          <w:tcPr>
            <w:tcW w:w="3990" w:type="dxa"/>
          </w:tcPr>
          <w:p w14:paraId="5CC8B1A4">
            <w:pPr>
              <w:spacing w:line="520" w:lineRule="exact"/>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rPr>
              <w:t>职务：</w:t>
            </w:r>
          </w:p>
        </w:tc>
      </w:tr>
      <w:tr w14:paraId="1DC9364D">
        <w:tblPrEx>
          <w:tblCellMar>
            <w:top w:w="0" w:type="dxa"/>
            <w:left w:w="108" w:type="dxa"/>
            <w:bottom w:w="0" w:type="dxa"/>
            <w:right w:w="108" w:type="dxa"/>
          </w:tblCellMar>
        </w:tblPrEx>
        <w:trPr>
          <w:trHeight w:val="600" w:hRule="atLeast"/>
        </w:trPr>
        <w:tc>
          <w:tcPr>
            <w:tcW w:w="4200" w:type="dxa"/>
          </w:tcPr>
          <w:p w14:paraId="4AD619FF">
            <w:pPr>
              <w:spacing w:line="520" w:lineRule="exact"/>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rPr>
              <w:t>所在部门：</w:t>
            </w:r>
          </w:p>
        </w:tc>
        <w:tc>
          <w:tcPr>
            <w:tcW w:w="3990" w:type="dxa"/>
          </w:tcPr>
          <w:p w14:paraId="45D83950">
            <w:pPr>
              <w:spacing w:line="520" w:lineRule="exact"/>
              <w:jc w:val="left"/>
              <w:rPr>
                <w:rFonts w:asciiTheme="minorEastAsia" w:hAnsiTheme="minorEastAsia" w:eastAsiaTheme="minorEastAsia" w:cstheme="minorEastAsia"/>
                <w:spacing w:val="4"/>
                <w:szCs w:val="24"/>
                <w:highlight w:val="none"/>
              </w:rPr>
            </w:pPr>
          </w:p>
        </w:tc>
      </w:tr>
    </w:tbl>
    <w:p w14:paraId="22B1EC1D">
      <w:pPr>
        <w:spacing w:before="240" w:line="360" w:lineRule="auto"/>
        <w:ind w:firstLine="840" w:firstLineChars="400"/>
        <w:rPr>
          <w:rFonts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lang w:val="zh-CN"/>
        </w:rPr>
        <w:t>附法定代表人</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val="zh-CN"/>
        </w:rPr>
        <w:t>授权代表身份证复印件</w:t>
      </w:r>
    </w:p>
    <w:tbl>
      <w:tblPr>
        <w:tblStyle w:val="29"/>
        <w:tblW w:w="8357" w:type="dxa"/>
        <w:tblInd w:w="540" w:type="dxa"/>
        <w:tblLayout w:type="fixed"/>
        <w:tblCellMar>
          <w:top w:w="0" w:type="dxa"/>
          <w:left w:w="108" w:type="dxa"/>
          <w:bottom w:w="0" w:type="dxa"/>
          <w:right w:w="108" w:type="dxa"/>
        </w:tblCellMar>
      </w:tblPr>
      <w:tblGrid>
        <w:gridCol w:w="4246"/>
        <w:gridCol w:w="4111"/>
      </w:tblGrid>
      <w:tr w14:paraId="1BC7DD45">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43AD3325">
            <w:pPr>
              <w:spacing w:line="360" w:lineRule="auto"/>
              <w:jc w:val="center"/>
              <w:rPr>
                <w:rFonts w:asciiTheme="minorEastAsia" w:hAnsiTheme="minorEastAsia" w:eastAsiaTheme="minorEastAsia" w:cstheme="minorEastAsia"/>
                <w:szCs w:val="21"/>
                <w:highlight w:val="none"/>
                <w:lang w:val="zh-CN"/>
              </w:rPr>
            </w:pPr>
            <w:r>
              <w:rPr>
                <w:rFonts w:hint="eastAsia" w:asciiTheme="minorEastAsia" w:hAnsiTheme="minorEastAsia" w:eastAsiaTheme="minorEastAsia" w:cstheme="minorEastAsia"/>
                <w:szCs w:val="21"/>
                <w:highlight w:val="none"/>
                <w:lang w:val="zh-CN"/>
              </w:rPr>
              <w:t>法定代表人身份证复印件粘贴处</w:t>
            </w:r>
          </w:p>
          <w:p w14:paraId="63EAAB22">
            <w:pPr>
              <w:spacing w:line="360" w:lineRule="auto"/>
              <w:jc w:val="center"/>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5760FC9A">
            <w:pPr>
              <w:autoSpaceDE w:val="0"/>
              <w:autoSpaceDN w:val="0"/>
              <w:adjustRightInd w:val="0"/>
              <w:snapToGrid w:val="0"/>
              <w:spacing w:beforeLines="50"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4"/>
                <w:highlight w:val="none"/>
              </w:rPr>
              <w:t>授权代表</w:t>
            </w:r>
            <w:r>
              <w:rPr>
                <w:rFonts w:hint="eastAsia" w:asciiTheme="minorEastAsia" w:hAnsiTheme="minorEastAsia" w:eastAsiaTheme="minorEastAsia" w:cstheme="minorEastAsia"/>
                <w:szCs w:val="21"/>
                <w:highlight w:val="none"/>
              </w:rPr>
              <w:t>身份证复印件粘贴处</w:t>
            </w:r>
          </w:p>
          <w:p w14:paraId="661B3604">
            <w:pPr>
              <w:autoSpaceDE w:val="0"/>
              <w:autoSpaceDN w:val="0"/>
              <w:adjustRightInd w:val="0"/>
              <w:snapToGrid w:val="0"/>
              <w:spacing w:beforeLines="50" w:line="360" w:lineRule="auto"/>
              <w:jc w:val="center"/>
              <w:rPr>
                <w:rFonts w:asciiTheme="minorEastAsia" w:hAnsiTheme="minorEastAsia" w:eastAsiaTheme="minorEastAsia" w:cstheme="minorEastAsia"/>
                <w:highlight w:val="none"/>
                <w:u w:val="single"/>
              </w:rPr>
            </w:pPr>
            <w:r>
              <w:rPr>
                <w:rFonts w:hint="eastAsia" w:asciiTheme="minorEastAsia" w:hAnsiTheme="minorEastAsia" w:eastAsiaTheme="minorEastAsia" w:cstheme="minorEastAsia"/>
                <w:szCs w:val="21"/>
                <w:highlight w:val="none"/>
              </w:rPr>
              <w:t>（正反面）</w:t>
            </w:r>
          </w:p>
        </w:tc>
      </w:tr>
    </w:tbl>
    <w:p w14:paraId="0F28EB90">
      <w:pPr>
        <w:spacing w:line="480" w:lineRule="auto"/>
        <w:ind w:left="424" w:leftChars="202" w:right="540" w:rightChars="257"/>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投标人名称：</w:t>
      </w:r>
      <w:r>
        <w:rPr>
          <w:rFonts w:hint="eastAsia" w:asciiTheme="minorEastAsia" w:hAnsiTheme="minorEastAsia" w:eastAsiaTheme="minorEastAsia" w:cstheme="minorEastAsia"/>
          <w:highlight w:val="none"/>
          <w:u w:val="single"/>
        </w:rPr>
        <w:t xml:space="preserve">      （加盖单位公章）      </w:t>
      </w:r>
    </w:p>
    <w:p w14:paraId="6BB82F4B">
      <w:pPr>
        <w:spacing w:line="440" w:lineRule="exact"/>
        <w:ind w:left="424" w:leftChars="202"/>
        <w:rPr>
          <w:rFonts w:asciiTheme="minorEastAsia" w:hAnsiTheme="minorEastAsia" w:eastAsiaTheme="minorEastAsia" w:cstheme="minorEastAsia"/>
          <w:spacing w:val="4"/>
          <w:szCs w:val="30"/>
          <w:highlight w:val="none"/>
        </w:rPr>
      </w:pPr>
      <w:r>
        <w:rPr>
          <w:rFonts w:hint="eastAsia" w:asciiTheme="minorEastAsia" w:hAnsiTheme="minorEastAsia" w:eastAsiaTheme="minorEastAsia" w:cstheme="minorEastAsia"/>
          <w:spacing w:val="4"/>
          <w:szCs w:val="30"/>
          <w:highlight w:val="none"/>
        </w:rPr>
        <w:t>日   期：</w:t>
      </w:r>
    </w:p>
    <w:p w14:paraId="09DD028A">
      <w:pPr>
        <w:ind w:firstLine="422" w:firstLineChars="200"/>
        <w:rPr>
          <w:rFonts w:asciiTheme="minorEastAsia" w:hAnsiTheme="minorEastAsia" w:eastAsiaTheme="minorEastAsia" w:cstheme="minorEastAsia"/>
          <w:b/>
          <w:bCs/>
          <w:highlight w:val="none"/>
          <w:lang w:val="zh-CN"/>
        </w:rPr>
      </w:pPr>
    </w:p>
    <w:p w14:paraId="5EA473B6">
      <w:pPr>
        <w:ind w:firstLine="436" w:firstLineChars="200"/>
        <w:rPr>
          <w:rFonts w:hint="eastAsia" w:ascii="宋体" w:hAnsi="宋体" w:cs="宋体"/>
          <w:b/>
          <w:kern w:val="0"/>
          <w:sz w:val="24"/>
          <w:szCs w:val="24"/>
          <w:highlight w:val="none"/>
        </w:rPr>
      </w:pPr>
      <w:bookmarkStart w:id="272" w:name="_Toc25905"/>
      <w:r>
        <w:rPr>
          <w:rFonts w:hint="eastAsia" w:asciiTheme="minorEastAsia" w:hAnsiTheme="minorEastAsia" w:eastAsiaTheme="minorEastAsia" w:cstheme="minorEastAsia"/>
          <w:spacing w:val="4"/>
          <w:szCs w:val="30"/>
          <w:highlight w:val="none"/>
        </w:rPr>
        <w:br w:type="page"/>
      </w:r>
      <w:bookmarkEnd w:id="272"/>
    </w:p>
    <w:p w14:paraId="3E7A5A64">
      <w:pPr>
        <w:widowControl/>
        <w:spacing w:line="360" w:lineRule="auto"/>
        <w:ind w:left="1" w:firstLine="241" w:firstLineChars="100"/>
        <w:jc w:val="center"/>
        <w:rPr>
          <w:rFonts w:ascii="宋体" w:hAnsi="宋体" w:cs="宋体"/>
          <w:b/>
          <w:kern w:val="0"/>
          <w:sz w:val="24"/>
          <w:szCs w:val="24"/>
          <w:highlight w:val="none"/>
        </w:rPr>
      </w:pPr>
      <w:r>
        <w:rPr>
          <w:rFonts w:hint="eastAsia" w:ascii="宋体" w:hAnsi="宋体" w:cs="宋体"/>
          <w:b/>
          <w:kern w:val="0"/>
          <w:sz w:val="24"/>
          <w:szCs w:val="24"/>
          <w:highlight w:val="none"/>
        </w:rPr>
        <w:t>参加政府采购活动前3年内在经营活动中没有重大违法纪录的书面声明</w:t>
      </w:r>
    </w:p>
    <w:p w14:paraId="61603FC9">
      <w:pPr>
        <w:widowControl/>
        <w:spacing w:line="360" w:lineRule="auto"/>
        <w:ind w:left="1"/>
        <w:jc w:val="center"/>
        <w:rPr>
          <w:rFonts w:ascii="宋体" w:hAnsi="宋体" w:cs="宋体"/>
          <w:b/>
          <w:kern w:val="0"/>
          <w:sz w:val="24"/>
          <w:szCs w:val="24"/>
          <w:highlight w:val="none"/>
        </w:rPr>
      </w:pPr>
      <w:r>
        <w:rPr>
          <w:rFonts w:hint="eastAsia" w:ascii="宋体" w:hAnsi="宋体" w:cs="宋体"/>
          <w:b/>
          <w:kern w:val="0"/>
          <w:sz w:val="24"/>
          <w:szCs w:val="24"/>
          <w:highlight w:val="none"/>
        </w:rPr>
        <w:t>（格式）</w:t>
      </w:r>
    </w:p>
    <w:p w14:paraId="314FDC2E">
      <w:pPr>
        <w:pStyle w:val="26"/>
        <w:wordWrap w:val="0"/>
        <w:spacing w:line="560" w:lineRule="exact"/>
        <w:rPr>
          <w:rFonts w:hint="eastAsia" w:ascii="宋体" w:hAnsi="宋体" w:cs="宋体"/>
          <w:color w:val="auto"/>
          <w:highlight w:val="none"/>
          <w:u w:val="single"/>
          <w:shd w:val="clear" w:color="auto" w:fill="FFFFFF"/>
        </w:rPr>
      </w:pPr>
    </w:p>
    <w:p w14:paraId="672B229C">
      <w:pPr>
        <w:pStyle w:val="26"/>
        <w:wordWrap w:val="0"/>
        <w:spacing w:line="560" w:lineRule="exact"/>
        <w:rPr>
          <w:rFonts w:ascii="宋体" w:hAnsi="宋体" w:cs="宋体"/>
          <w:color w:val="auto"/>
          <w:highlight w:val="none"/>
          <w:u w:val="single"/>
          <w:shd w:val="clear" w:color="auto" w:fill="FFFFFF"/>
        </w:rPr>
      </w:pPr>
      <w:r>
        <w:rPr>
          <w:rFonts w:hint="eastAsia" w:ascii="宋体" w:hAnsi="宋体" w:cs="宋体"/>
          <w:color w:val="auto"/>
          <w:highlight w:val="none"/>
          <w:u w:val="single"/>
          <w:shd w:val="clear" w:color="auto" w:fill="FFFFFF"/>
        </w:rPr>
        <w:t xml:space="preserve">      （采购人）           ：</w:t>
      </w:r>
    </w:p>
    <w:p w14:paraId="0867A1B5">
      <w:pPr>
        <w:pStyle w:val="26"/>
        <w:wordWrap w:val="0"/>
        <w:spacing w:line="560" w:lineRule="exact"/>
        <w:ind w:firstLine="640"/>
        <w:rPr>
          <w:rFonts w:ascii="宋体" w:hAnsi="宋体" w:cs="宋体"/>
          <w:color w:val="auto"/>
          <w:highlight w:val="none"/>
        </w:rPr>
      </w:pPr>
      <w:r>
        <w:rPr>
          <w:rFonts w:hint="eastAsia" w:ascii="宋体" w:hAnsi="宋体" w:cs="宋体"/>
          <w:color w:val="auto"/>
          <w:highlight w:val="none"/>
          <w:shd w:val="clear" w:color="auto" w:fill="FFFFFF"/>
        </w:rPr>
        <w:t>我方作为项目名称</w:t>
      </w:r>
      <w:r>
        <w:rPr>
          <w:rFonts w:hint="eastAsia" w:ascii="宋体" w:hAnsi="宋体" w:cs="宋体"/>
          <w:color w:val="auto"/>
          <w:highlight w:val="none"/>
          <w:u w:val="single"/>
          <w:shd w:val="clear" w:color="auto" w:fill="FFFFFF"/>
        </w:rPr>
        <w:t xml:space="preserve">             </w:t>
      </w:r>
      <w:r>
        <w:rPr>
          <w:rFonts w:hint="eastAsia" w:ascii="宋体" w:hAnsi="宋体" w:cs="宋体"/>
          <w:color w:val="auto"/>
          <w:highlight w:val="none"/>
          <w:shd w:val="clear" w:color="auto" w:fill="FFFFFF"/>
        </w:rPr>
        <w:t>（项目编号</w:t>
      </w:r>
      <w:r>
        <w:rPr>
          <w:rFonts w:hint="eastAsia" w:ascii="宋体" w:hAnsi="宋体" w:cs="宋体"/>
          <w:color w:val="auto"/>
          <w:highlight w:val="none"/>
          <w:u w:val="single"/>
          <w:shd w:val="clear" w:color="auto" w:fill="FFFFFF"/>
          <w:lang w:val="en-US" w:eastAsia="zh-CN"/>
        </w:rPr>
        <w:t xml:space="preserve">     </w:t>
      </w:r>
      <w:r>
        <w:rPr>
          <w:rFonts w:hint="eastAsia" w:ascii="宋体" w:hAnsi="宋体" w:cs="宋体"/>
          <w:color w:val="auto"/>
          <w:highlight w:val="none"/>
          <w:shd w:val="clear" w:color="auto" w:fill="FFFFFF"/>
        </w:rPr>
        <w:t xml:space="preserve">）的供应商，在此郑重声明： </w:t>
      </w:r>
    </w:p>
    <w:p w14:paraId="2F2923E7">
      <w:pPr>
        <w:pStyle w:val="26"/>
        <w:wordWrap w:val="0"/>
        <w:spacing w:line="560" w:lineRule="exact"/>
        <w:ind w:firstLine="420"/>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rPr>
        <w:t>在参加本次政府采购活动前3年内的经营活动中</w:t>
      </w:r>
      <w:r>
        <w:rPr>
          <w:rFonts w:hint="eastAsia" w:ascii="宋体" w:hAnsi="宋体" w:cs="宋体"/>
          <w:color w:val="auto"/>
          <w:highlight w:val="none"/>
          <w:u w:val="single"/>
          <w:shd w:val="clear" w:color="auto" w:fill="FFFFFF"/>
        </w:rPr>
        <w:t xml:space="preserve">          </w:t>
      </w:r>
      <w:r>
        <w:rPr>
          <w:rFonts w:hint="eastAsia" w:ascii="宋体" w:hAnsi="宋体" w:cs="宋体"/>
          <w:color w:val="auto"/>
          <w:highlight w:val="none"/>
          <w:shd w:val="clear" w:color="auto" w:fill="FFFFFF"/>
        </w:rPr>
        <w:t>（填“没有”或“有”）重大违法记录。供应商在参加政府采购活动前3年内因违法经营被禁止在一定期限内参加政府采购活动，期限届满的，可以参加政府采购活动，但应提供期限届满的证明材料。</w:t>
      </w:r>
    </w:p>
    <w:p w14:paraId="17B3EDD6">
      <w:pPr>
        <w:pStyle w:val="26"/>
        <w:wordWrap w:val="0"/>
        <w:spacing w:line="560" w:lineRule="exact"/>
        <w:ind w:firstLine="420"/>
        <w:rPr>
          <w:rFonts w:ascii="宋体" w:hAnsi="宋体" w:cs="宋体"/>
          <w:color w:val="auto"/>
          <w:highlight w:val="none"/>
        </w:rPr>
      </w:pPr>
      <w:r>
        <w:rPr>
          <w:rFonts w:hint="eastAsia" w:ascii="宋体" w:hAnsi="宋体" w:cs="宋体"/>
          <w:color w:val="auto"/>
          <w:highlight w:val="none"/>
          <w:shd w:val="clear" w:color="auto" w:fill="FFFFFF"/>
        </w:rPr>
        <w:t xml:space="preserve">如有不实，我方将无条件地退出本项目的采购活动，并遵照《政府采购法》有关“提供虚假材料的规定”接受处罚。 </w:t>
      </w:r>
    </w:p>
    <w:p w14:paraId="686B6596">
      <w:pPr>
        <w:pStyle w:val="26"/>
        <w:wordWrap w:val="0"/>
        <w:spacing w:line="560" w:lineRule="exact"/>
        <w:ind w:firstLine="42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特此声明！</w:t>
      </w:r>
    </w:p>
    <w:p w14:paraId="6A4203FA">
      <w:pPr>
        <w:pStyle w:val="26"/>
        <w:wordWrap w:val="0"/>
        <w:spacing w:line="560" w:lineRule="exact"/>
        <w:ind w:firstLine="420"/>
        <w:rPr>
          <w:rFonts w:ascii="宋体" w:hAnsi="宋体" w:cs="宋体"/>
          <w:color w:val="auto"/>
          <w:highlight w:val="none"/>
          <w:shd w:val="clear" w:color="auto" w:fill="FFFFFF"/>
        </w:rPr>
      </w:pPr>
    </w:p>
    <w:p w14:paraId="11894A78">
      <w:pPr>
        <w:spacing w:line="480" w:lineRule="auto"/>
        <w:ind w:firstLine="3360" w:firstLineChars="1400"/>
        <w:rPr>
          <w:rFonts w:ascii="宋体" w:hAnsi="宋体" w:cs="宋体"/>
          <w:sz w:val="24"/>
          <w:highlight w:val="none"/>
        </w:rPr>
      </w:pPr>
      <w:r>
        <w:rPr>
          <w:rFonts w:hint="eastAsia" w:ascii="宋体" w:hAnsi="宋体" w:cs="宋体"/>
          <w:sz w:val="24"/>
          <w:highlight w:val="none"/>
        </w:rPr>
        <w:t>投标人名称：</w:t>
      </w:r>
      <w:r>
        <w:rPr>
          <w:rFonts w:hint="eastAsia" w:ascii="宋体" w:hAnsi="宋体" w:cs="宋体"/>
          <w:sz w:val="24"/>
          <w:highlight w:val="none"/>
          <w:u w:val="single"/>
        </w:rPr>
        <w:t xml:space="preserve">               </w:t>
      </w:r>
      <w:r>
        <w:rPr>
          <w:rFonts w:hint="eastAsia" w:ascii="宋体" w:hAnsi="宋体" w:cs="宋体"/>
          <w:sz w:val="24"/>
          <w:highlight w:val="none"/>
        </w:rPr>
        <w:t>（盖章）</w:t>
      </w:r>
    </w:p>
    <w:p w14:paraId="793D77D9">
      <w:pPr>
        <w:pStyle w:val="53"/>
        <w:spacing w:beforeLines="50"/>
        <w:ind w:firstLine="3360" w:firstLineChars="1400"/>
        <w:rPr>
          <w:rFonts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3284D777">
      <w:pPr>
        <w:adjustRightInd w:val="0"/>
        <w:snapToGrid w:val="0"/>
        <w:spacing w:line="360" w:lineRule="auto"/>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br w:type="page"/>
      </w:r>
    </w:p>
    <w:p w14:paraId="75B1A8C2">
      <w:pPr>
        <w:adjustRightInd w:val="0"/>
        <w:snapToGrid w:val="0"/>
        <w:spacing w:line="360" w:lineRule="auto"/>
        <w:jc w:val="center"/>
        <w:rPr>
          <w:rFonts w:asciiTheme="minorEastAsia" w:hAnsiTheme="minorEastAsia" w:eastAsiaTheme="minorEastAsia" w:cstheme="minorEastAsia"/>
          <w:b/>
          <w:sz w:val="28"/>
          <w:szCs w:val="28"/>
          <w:highlight w:val="none"/>
        </w:rPr>
      </w:pPr>
    </w:p>
    <w:p w14:paraId="04B63481">
      <w:pPr>
        <w:adjustRightInd w:val="0"/>
        <w:snapToGrid w:val="0"/>
        <w:spacing w:line="360" w:lineRule="auto"/>
        <w:jc w:val="center"/>
        <w:rPr>
          <w:rFonts w:ascii="宋体" w:hAnsi="宋体" w:cs="宋体"/>
          <w:b/>
          <w:sz w:val="28"/>
          <w:szCs w:val="28"/>
          <w:highlight w:val="none"/>
        </w:rPr>
      </w:pPr>
      <w:r>
        <w:rPr>
          <w:rFonts w:hint="eastAsia" w:ascii="宋体" w:hAnsi="宋体" w:cs="宋体"/>
          <w:b/>
          <w:sz w:val="28"/>
          <w:szCs w:val="28"/>
          <w:highlight w:val="none"/>
        </w:rPr>
        <w:t>具有履行本合同所必需的设备和专业技术能力的书面声明</w:t>
      </w:r>
    </w:p>
    <w:p w14:paraId="661FB0D3">
      <w:pPr>
        <w:widowControl/>
        <w:spacing w:line="360" w:lineRule="auto"/>
        <w:ind w:left="1"/>
        <w:jc w:val="center"/>
        <w:rPr>
          <w:rFonts w:ascii="宋体" w:hAnsi="宋体" w:cs="宋体"/>
          <w:b/>
          <w:kern w:val="0"/>
          <w:sz w:val="28"/>
          <w:szCs w:val="28"/>
          <w:highlight w:val="none"/>
        </w:rPr>
      </w:pPr>
      <w:r>
        <w:rPr>
          <w:rFonts w:hint="eastAsia" w:ascii="宋体" w:hAnsi="宋体" w:cs="宋体"/>
          <w:b/>
          <w:kern w:val="0"/>
          <w:sz w:val="28"/>
          <w:szCs w:val="28"/>
          <w:highlight w:val="none"/>
        </w:rPr>
        <w:t>（格式）</w:t>
      </w:r>
    </w:p>
    <w:p w14:paraId="1C1587AB">
      <w:pPr>
        <w:rPr>
          <w:highlight w:val="none"/>
        </w:rPr>
      </w:pPr>
    </w:p>
    <w:p w14:paraId="7D8C93C2">
      <w:pPr>
        <w:pStyle w:val="16"/>
        <w:adjustRightInd w:val="0"/>
        <w:snapToGrid w:val="0"/>
        <w:spacing w:line="720" w:lineRule="exact"/>
        <w:jc w:val="center"/>
        <w:rPr>
          <w:rFonts w:hAnsi="宋体"/>
          <w:b/>
          <w:sz w:val="28"/>
          <w:szCs w:val="28"/>
          <w:highlight w:val="none"/>
        </w:rPr>
      </w:pPr>
    </w:p>
    <w:p w14:paraId="6964F429">
      <w:pPr>
        <w:spacing w:line="720" w:lineRule="exact"/>
        <w:rPr>
          <w:rFonts w:ascii="宋体" w:hAnsi="宋体" w:cs="宋体"/>
          <w:spacing w:val="4"/>
          <w:sz w:val="24"/>
          <w:highlight w:val="none"/>
          <w:u w:val="single"/>
        </w:rPr>
      </w:pPr>
      <w:r>
        <w:rPr>
          <w:rFonts w:hint="eastAsia" w:ascii="宋体" w:hAnsi="宋体" w:cs="宋体"/>
          <w:spacing w:val="4"/>
          <w:sz w:val="24"/>
          <w:highlight w:val="none"/>
          <w:u w:val="single"/>
        </w:rPr>
        <w:t xml:space="preserve">     （采购人）    ：</w:t>
      </w:r>
    </w:p>
    <w:p w14:paraId="1E2237C6">
      <w:pPr>
        <w:pStyle w:val="16"/>
        <w:adjustRightInd w:val="0"/>
        <w:snapToGrid w:val="0"/>
        <w:spacing w:line="720" w:lineRule="exact"/>
        <w:rPr>
          <w:rFonts w:hAnsi="宋体"/>
          <w:spacing w:val="4"/>
          <w:sz w:val="24"/>
          <w:szCs w:val="24"/>
          <w:highlight w:val="none"/>
        </w:rPr>
      </w:pPr>
      <w:r>
        <w:rPr>
          <w:rFonts w:hint="eastAsia" w:hAnsi="宋体"/>
          <w:spacing w:val="4"/>
          <w:sz w:val="24"/>
          <w:szCs w:val="24"/>
          <w:highlight w:val="none"/>
        </w:rPr>
        <w:t xml:space="preserve">   </w:t>
      </w:r>
      <w:r>
        <w:rPr>
          <w:rFonts w:hint="eastAsia" w:hAnsi="宋体"/>
          <w:spacing w:val="4"/>
          <w:sz w:val="24"/>
          <w:szCs w:val="24"/>
          <w:highlight w:val="none"/>
          <w:u w:val="single"/>
        </w:rPr>
        <w:t xml:space="preserve">      （供应商名称）    </w:t>
      </w:r>
      <w:r>
        <w:rPr>
          <w:rFonts w:hint="eastAsia" w:hAnsi="宋体"/>
          <w:spacing w:val="4"/>
          <w:sz w:val="24"/>
          <w:szCs w:val="24"/>
          <w:highlight w:val="none"/>
        </w:rPr>
        <w:t xml:space="preserve"> 于</w:t>
      </w:r>
      <w:r>
        <w:rPr>
          <w:rFonts w:hint="eastAsia" w:hAnsi="宋体"/>
          <w:spacing w:val="4"/>
          <w:sz w:val="24"/>
          <w:szCs w:val="24"/>
          <w:highlight w:val="none"/>
          <w:u w:val="single"/>
        </w:rPr>
        <w:t xml:space="preserve">     </w:t>
      </w:r>
      <w:r>
        <w:rPr>
          <w:rFonts w:hint="eastAsia" w:hAnsi="宋体"/>
          <w:spacing w:val="4"/>
          <w:sz w:val="24"/>
          <w:szCs w:val="24"/>
          <w:highlight w:val="none"/>
        </w:rPr>
        <w:t>年</w:t>
      </w:r>
      <w:r>
        <w:rPr>
          <w:rFonts w:hint="eastAsia" w:hAnsi="宋体"/>
          <w:spacing w:val="4"/>
          <w:sz w:val="24"/>
          <w:szCs w:val="24"/>
          <w:highlight w:val="none"/>
          <w:u w:val="single"/>
        </w:rPr>
        <w:t xml:space="preserve">    </w:t>
      </w:r>
      <w:r>
        <w:rPr>
          <w:rFonts w:hint="eastAsia" w:hAnsi="宋体"/>
          <w:spacing w:val="4"/>
          <w:sz w:val="24"/>
          <w:szCs w:val="24"/>
          <w:highlight w:val="none"/>
        </w:rPr>
        <w:t>月</w:t>
      </w:r>
      <w:r>
        <w:rPr>
          <w:rFonts w:hint="eastAsia" w:hAnsi="宋体"/>
          <w:spacing w:val="4"/>
          <w:sz w:val="24"/>
          <w:szCs w:val="24"/>
          <w:highlight w:val="none"/>
          <w:u w:val="single"/>
        </w:rPr>
        <w:t xml:space="preserve">   </w:t>
      </w:r>
      <w:r>
        <w:rPr>
          <w:rFonts w:hint="eastAsia" w:hAnsi="宋体"/>
          <w:spacing w:val="4"/>
          <w:sz w:val="24"/>
          <w:szCs w:val="24"/>
          <w:highlight w:val="none"/>
        </w:rPr>
        <w:t>日在中华人民共和国境内</w:t>
      </w:r>
      <w:r>
        <w:rPr>
          <w:rFonts w:hint="eastAsia" w:hAnsi="宋体"/>
          <w:spacing w:val="4"/>
          <w:sz w:val="24"/>
          <w:szCs w:val="24"/>
          <w:highlight w:val="none"/>
          <w:u w:val="single"/>
        </w:rPr>
        <w:t xml:space="preserve">               （详细注册地址）     </w:t>
      </w:r>
      <w:r>
        <w:rPr>
          <w:rFonts w:hint="eastAsia" w:hAnsi="宋体"/>
          <w:spacing w:val="4"/>
          <w:sz w:val="24"/>
          <w:szCs w:val="24"/>
          <w:highlight w:val="none"/>
        </w:rPr>
        <w:t>合法注册并经营，公司主营业务为</w:t>
      </w:r>
      <w:r>
        <w:rPr>
          <w:rFonts w:hint="eastAsia" w:hAnsi="宋体"/>
          <w:spacing w:val="4"/>
          <w:sz w:val="24"/>
          <w:szCs w:val="24"/>
          <w:highlight w:val="none"/>
          <w:u w:val="single"/>
        </w:rPr>
        <w:t xml:space="preserve">                        </w:t>
      </w:r>
      <w:r>
        <w:rPr>
          <w:rFonts w:hint="eastAsia" w:hAnsi="宋体"/>
          <w:spacing w:val="4"/>
          <w:sz w:val="24"/>
          <w:szCs w:val="24"/>
          <w:highlight w:val="none"/>
        </w:rPr>
        <w:t>。</w:t>
      </w:r>
    </w:p>
    <w:p w14:paraId="14A16649">
      <w:pPr>
        <w:pStyle w:val="16"/>
        <w:adjustRightInd w:val="0"/>
        <w:snapToGrid w:val="0"/>
        <w:spacing w:line="720" w:lineRule="exact"/>
        <w:ind w:firstLine="550" w:firstLineChars="222"/>
        <w:rPr>
          <w:rFonts w:hAnsi="宋体"/>
          <w:spacing w:val="4"/>
          <w:sz w:val="24"/>
          <w:szCs w:val="24"/>
          <w:highlight w:val="none"/>
        </w:rPr>
      </w:pPr>
      <w:r>
        <w:rPr>
          <w:rFonts w:hint="eastAsia" w:hAnsi="宋体"/>
          <w:spacing w:val="4"/>
          <w:sz w:val="24"/>
          <w:szCs w:val="24"/>
          <w:highlight w:val="none"/>
        </w:rPr>
        <w:t>我公司郑重承诺，我公司具有履行本合同所必需的设备和专业技术能力，合同履约中将无条件增加相关设备、人员，直至满足项目需求。</w:t>
      </w:r>
    </w:p>
    <w:p w14:paraId="4F90ADBC">
      <w:pPr>
        <w:pStyle w:val="16"/>
        <w:adjustRightInd w:val="0"/>
        <w:snapToGrid w:val="0"/>
        <w:spacing w:line="720" w:lineRule="exact"/>
        <w:rPr>
          <w:rFonts w:hAnsi="宋体"/>
          <w:spacing w:val="4"/>
          <w:sz w:val="24"/>
          <w:szCs w:val="24"/>
          <w:highlight w:val="none"/>
        </w:rPr>
      </w:pPr>
    </w:p>
    <w:p w14:paraId="05DA5705">
      <w:pPr>
        <w:pStyle w:val="16"/>
        <w:adjustRightInd w:val="0"/>
        <w:snapToGrid w:val="0"/>
        <w:spacing w:line="720" w:lineRule="exact"/>
        <w:rPr>
          <w:rFonts w:hAnsi="宋体"/>
          <w:spacing w:val="4"/>
          <w:sz w:val="24"/>
          <w:szCs w:val="24"/>
          <w:highlight w:val="none"/>
        </w:rPr>
      </w:pPr>
    </w:p>
    <w:p w14:paraId="6A4BCE50">
      <w:pPr>
        <w:pStyle w:val="16"/>
        <w:adjustRightInd w:val="0"/>
        <w:snapToGrid w:val="0"/>
        <w:spacing w:line="720" w:lineRule="exact"/>
        <w:rPr>
          <w:rFonts w:hAnsi="宋体"/>
          <w:spacing w:val="4"/>
          <w:sz w:val="24"/>
          <w:szCs w:val="24"/>
          <w:highlight w:val="none"/>
        </w:rPr>
      </w:pPr>
    </w:p>
    <w:p w14:paraId="1675D45C">
      <w:pPr>
        <w:spacing w:line="480" w:lineRule="auto"/>
        <w:ind w:firstLine="3360" w:firstLineChars="1400"/>
        <w:rPr>
          <w:rFonts w:ascii="宋体" w:hAnsi="宋体" w:cs="宋体"/>
          <w:sz w:val="24"/>
          <w:highlight w:val="none"/>
        </w:rPr>
      </w:pPr>
      <w:r>
        <w:rPr>
          <w:rFonts w:hint="eastAsia" w:ascii="宋体" w:hAnsi="宋体" w:cs="宋体"/>
          <w:sz w:val="24"/>
          <w:highlight w:val="none"/>
          <w:lang w:val="en-US" w:eastAsia="zh-CN"/>
        </w:rPr>
        <w:t>投标人</w:t>
      </w:r>
      <w:r>
        <w:rPr>
          <w:rFonts w:hint="eastAsia" w:ascii="宋体" w:hAnsi="宋体" w:cs="宋体"/>
          <w:sz w:val="24"/>
          <w:highlight w:val="none"/>
        </w:rPr>
        <w:t>名称：</w:t>
      </w:r>
      <w:r>
        <w:rPr>
          <w:rFonts w:hint="eastAsia" w:ascii="宋体" w:hAnsi="宋体" w:cs="宋体"/>
          <w:sz w:val="24"/>
          <w:highlight w:val="none"/>
          <w:u w:val="single"/>
        </w:rPr>
        <w:t xml:space="preserve">               </w:t>
      </w:r>
      <w:r>
        <w:rPr>
          <w:rFonts w:hint="eastAsia" w:ascii="宋体" w:hAnsi="宋体" w:cs="宋体"/>
          <w:sz w:val="24"/>
          <w:highlight w:val="none"/>
        </w:rPr>
        <w:t>（盖章）</w:t>
      </w:r>
    </w:p>
    <w:p w14:paraId="1D7511FA">
      <w:pPr>
        <w:pStyle w:val="53"/>
        <w:spacing w:beforeLines="50"/>
        <w:ind w:firstLine="3360" w:firstLineChars="1400"/>
        <w:rPr>
          <w:rFonts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56DF11D0">
      <w:pPr>
        <w:rPr>
          <w:rFonts w:asciiTheme="minorEastAsia" w:hAnsiTheme="minorEastAsia" w:eastAsiaTheme="minorEastAsia" w:cstheme="minorEastAsia"/>
          <w:b/>
          <w:sz w:val="28"/>
          <w:szCs w:val="28"/>
          <w:highlight w:val="none"/>
        </w:rPr>
      </w:pPr>
    </w:p>
    <w:p w14:paraId="1A8EBE8E">
      <w:pP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br w:type="page"/>
      </w:r>
    </w:p>
    <w:p w14:paraId="4F2533C7">
      <w:pPr>
        <w:spacing w:before="240" w:beforeLines="100" w:after="240" w:afterLines="100"/>
        <w:jc w:val="center"/>
        <w:rPr>
          <w:rFonts w:hint="eastAsia" w:ascii="宋体" w:hAnsi="宋体" w:eastAsia="宋体" w:cs="宋体"/>
          <w:spacing w:val="-1"/>
          <w:sz w:val="28"/>
          <w:szCs w:val="28"/>
          <w:highlight w:val="none"/>
          <w:lang w:val="en-US" w:eastAsia="zh-CN"/>
          <w14:textOutline w14:w="5103" w14:cap="sq" w14:cmpd="sng">
            <w14:solidFill>
              <w14:srgbClr w14:val="000000"/>
            </w14:solidFill>
            <w14:prstDash w14:val="solid"/>
            <w14:bevel/>
          </w14:textOutline>
        </w:rPr>
      </w:pPr>
    </w:p>
    <w:p w14:paraId="4B9358D9">
      <w:pPr>
        <w:adjustRightInd w:val="0"/>
        <w:snapToGrid w:val="0"/>
        <w:spacing w:line="360" w:lineRule="auto"/>
        <w:jc w:val="cente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项目经理无在建承诺书</w:t>
      </w:r>
    </w:p>
    <w:p w14:paraId="53E5C88C">
      <w:pPr>
        <w:adjustRightInd w:val="0"/>
        <w:snapToGrid w:val="0"/>
        <w:spacing w:line="360" w:lineRule="auto"/>
        <w:jc w:val="cente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（格式）</w:t>
      </w:r>
    </w:p>
    <w:p w14:paraId="6347D3F2">
      <w:pPr>
        <w:spacing w:after="240" w:afterLines="100" w:line="440" w:lineRule="exact"/>
        <w:rPr>
          <w:rFonts w:hint="eastAsia" w:ascii="宋体" w:hAnsi="宋体"/>
          <w:color w:val="auto"/>
          <w:sz w:val="24"/>
          <w:szCs w:val="24"/>
          <w:highlight w:val="none"/>
          <w:u w:val="single"/>
        </w:rPr>
      </w:pPr>
    </w:p>
    <w:p w14:paraId="1B60E0CE">
      <w:pPr>
        <w:spacing w:after="240" w:afterLines="100" w:line="440" w:lineRule="exact"/>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hAnsi="宋体"/>
          <w:color w:val="auto"/>
          <w:sz w:val="24"/>
          <w:szCs w:val="24"/>
          <w:highlight w:val="none"/>
          <w:u w:val="single"/>
          <w:lang w:val="en-US" w:eastAsia="zh-CN"/>
        </w:rPr>
        <w:t>采购</w:t>
      </w:r>
      <w:r>
        <w:rPr>
          <w:rFonts w:hint="eastAsia" w:ascii="宋体" w:hAnsi="宋体"/>
          <w:color w:val="auto"/>
          <w:sz w:val="24"/>
          <w:szCs w:val="24"/>
          <w:highlight w:val="none"/>
          <w:u w:val="single"/>
        </w:rPr>
        <w:t xml:space="preserve">人）     </w:t>
      </w:r>
      <w:r>
        <w:rPr>
          <w:rFonts w:hint="eastAsia" w:ascii="宋体" w:hAnsi="宋体"/>
          <w:color w:val="auto"/>
          <w:sz w:val="24"/>
          <w:szCs w:val="24"/>
          <w:highlight w:val="none"/>
        </w:rPr>
        <w:t>：</w:t>
      </w:r>
    </w:p>
    <w:p w14:paraId="4D50EEE5">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我方在此声明，我方拟派往</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（项目名称）（以下简称“本</w:t>
      </w:r>
      <w:r>
        <w:rPr>
          <w:rFonts w:hint="eastAsia" w:ascii="宋体" w:hAnsi="宋体"/>
          <w:color w:val="auto"/>
          <w:sz w:val="24"/>
          <w:szCs w:val="24"/>
          <w:highlight w:val="none"/>
          <w:lang w:val="en-US" w:eastAsia="zh-CN"/>
        </w:rPr>
        <w:t>项目</w:t>
      </w:r>
      <w:r>
        <w:rPr>
          <w:rFonts w:hint="eastAsia" w:ascii="宋体" w:hAnsi="宋体"/>
          <w:color w:val="auto"/>
          <w:sz w:val="24"/>
          <w:szCs w:val="24"/>
          <w:highlight w:val="none"/>
        </w:rPr>
        <w:t>”）的项目经理</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（项目经理姓名）现阶段没有担任任何在施项目的项目经理。</w:t>
      </w:r>
    </w:p>
    <w:p w14:paraId="4D5B7D1C">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我方保证上述信息的真实和准确，并愿意承担因我方就此弄虚作假所引起的一切法律后果。</w:t>
      </w:r>
    </w:p>
    <w:p w14:paraId="2220DB30">
      <w:pPr>
        <w:spacing w:line="440" w:lineRule="exact"/>
        <w:ind w:firstLine="480" w:firstLineChars="200"/>
        <w:rPr>
          <w:rFonts w:ascii="宋体" w:hAnsi="宋体"/>
          <w:color w:val="auto"/>
          <w:sz w:val="24"/>
          <w:szCs w:val="24"/>
          <w:highlight w:val="none"/>
        </w:rPr>
      </w:pPr>
    </w:p>
    <w:p w14:paraId="5FC36EBF">
      <w:pPr>
        <w:spacing w:line="440" w:lineRule="exact"/>
        <w:ind w:firstLine="480" w:firstLineChars="200"/>
        <w:rPr>
          <w:rFonts w:ascii="宋体" w:hAnsi="宋体"/>
          <w:color w:val="auto"/>
          <w:sz w:val="24"/>
          <w:szCs w:val="24"/>
          <w:highlight w:val="none"/>
        </w:rPr>
      </w:pPr>
    </w:p>
    <w:p w14:paraId="3AEDD513">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特此承诺</w:t>
      </w:r>
    </w:p>
    <w:p w14:paraId="2F525440">
      <w:pPr>
        <w:spacing w:line="440" w:lineRule="exact"/>
        <w:ind w:firstLine="480" w:firstLineChars="200"/>
        <w:rPr>
          <w:rFonts w:ascii="宋体" w:hAnsi="宋体"/>
          <w:color w:val="auto"/>
          <w:sz w:val="24"/>
          <w:szCs w:val="24"/>
          <w:highlight w:val="none"/>
        </w:rPr>
      </w:pPr>
    </w:p>
    <w:p w14:paraId="45B0E508">
      <w:pPr>
        <w:spacing w:line="440" w:lineRule="exact"/>
        <w:ind w:firstLine="480" w:firstLineChars="200"/>
        <w:rPr>
          <w:rFonts w:ascii="宋体" w:hAnsi="宋体"/>
          <w:color w:val="auto"/>
          <w:sz w:val="24"/>
          <w:szCs w:val="24"/>
          <w:highlight w:val="none"/>
        </w:rPr>
      </w:pPr>
    </w:p>
    <w:p w14:paraId="5055D323">
      <w:pPr>
        <w:spacing w:line="440" w:lineRule="exact"/>
        <w:ind w:firstLine="480" w:firstLineChars="200"/>
        <w:rPr>
          <w:rFonts w:ascii="宋体" w:hAnsi="宋体"/>
          <w:color w:val="auto"/>
          <w:sz w:val="24"/>
          <w:szCs w:val="24"/>
          <w:highlight w:val="none"/>
        </w:rPr>
      </w:pPr>
    </w:p>
    <w:p w14:paraId="28B4F91A">
      <w:pPr>
        <w:spacing w:line="440" w:lineRule="exact"/>
        <w:ind w:firstLine="480" w:firstLineChars="200"/>
        <w:rPr>
          <w:rFonts w:ascii="宋体" w:hAnsi="宋体"/>
          <w:color w:val="auto"/>
          <w:sz w:val="24"/>
          <w:szCs w:val="24"/>
          <w:highlight w:val="none"/>
        </w:rPr>
      </w:pPr>
    </w:p>
    <w:p w14:paraId="4E796911">
      <w:pPr>
        <w:spacing w:line="440" w:lineRule="exact"/>
        <w:ind w:firstLine="480" w:firstLineChars="200"/>
        <w:rPr>
          <w:rFonts w:ascii="宋体" w:hAnsi="宋体"/>
          <w:color w:val="auto"/>
          <w:sz w:val="24"/>
          <w:szCs w:val="24"/>
          <w:highlight w:val="none"/>
        </w:rPr>
      </w:pPr>
    </w:p>
    <w:p w14:paraId="1B793FB9">
      <w:pPr>
        <w:spacing w:line="440" w:lineRule="exact"/>
        <w:ind w:firstLine="480" w:firstLineChars="200"/>
        <w:rPr>
          <w:rFonts w:ascii="宋体" w:hAnsi="宋体"/>
          <w:color w:val="auto"/>
          <w:sz w:val="24"/>
          <w:szCs w:val="24"/>
          <w:highlight w:val="none"/>
        </w:rPr>
      </w:pPr>
    </w:p>
    <w:p w14:paraId="0FE9878C">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ascii="宋体" w:hAnsi="宋体"/>
          <w:color w:val="auto"/>
          <w:sz w:val="24"/>
          <w:szCs w:val="24"/>
          <w:highlight w:val="none"/>
        </w:rPr>
      </w:pPr>
      <w:r>
        <w:rPr>
          <w:rFonts w:hint="eastAsia" w:ascii="宋体" w:hAnsi="宋体"/>
          <w:color w:val="auto"/>
          <w:sz w:val="24"/>
          <w:szCs w:val="24"/>
          <w:highlight w:val="none"/>
        </w:rPr>
        <w:t>投标人：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（盖单位章）</w:t>
      </w:r>
    </w:p>
    <w:p w14:paraId="2FE28A81">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hAnsi="宋体" w:cs="宋体"/>
          <w:sz w:val="28"/>
          <w:szCs w:val="28"/>
          <w:highlight w:val="none"/>
          <w:u w:val="singl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728CF4EE">
      <w:pPr>
        <w:rPr>
          <w:rFonts w:hint="eastAsia" w:asciiTheme="minorEastAsia" w:hAnsiTheme="minorEastAsia" w:eastAsiaTheme="minorEastAsia" w:cstheme="minorEastAsia"/>
          <w:b/>
          <w:sz w:val="28"/>
          <w:szCs w:val="28"/>
          <w:highlight w:val="none"/>
        </w:rPr>
      </w:pPr>
    </w:p>
    <w:p w14:paraId="78CAC7B4">
      <w:pPr>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br w:type="page"/>
      </w:r>
    </w:p>
    <w:p w14:paraId="4CE5DF58">
      <w:pPr>
        <w:adjustRightInd w:val="0"/>
        <w:snapToGrid w:val="0"/>
        <w:spacing w:line="360" w:lineRule="auto"/>
        <w:jc w:val="center"/>
        <w:rPr>
          <w:rFonts w:asciiTheme="minorEastAsia" w:hAnsiTheme="minorEastAsia" w:eastAsiaTheme="minorEastAsia" w:cstheme="minorEastAsia"/>
          <w:b/>
          <w:sz w:val="28"/>
          <w:szCs w:val="28"/>
          <w:highlight w:val="none"/>
        </w:rPr>
      </w:pPr>
    </w:p>
    <w:p w14:paraId="2A07BEE7">
      <w:pPr>
        <w:adjustRightInd w:val="0"/>
        <w:snapToGrid w:val="0"/>
        <w:spacing w:line="360" w:lineRule="auto"/>
        <w:jc w:val="center"/>
        <w:rPr>
          <w:rFonts w:hint="eastAsia" w:ascii="宋体" w:hAnsi="宋体" w:cs="宋体"/>
          <w:b/>
          <w:sz w:val="28"/>
          <w:szCs w:val="28"/>
          <w:highlight w:val="none"/>
        </w:rPr>
      </w:pPr>
    </w:p>
    <w:p w14:paraId="5E15FD46">
      <w:pPr>
        <w:adjustRightInd w:val="0"/>
        <w:snapToGrid w:val="0"/>
        <w:spacing w:line="360" w:lineRule="auto"/>
        <w:jc w:val="center"/>
        <w:rPr>
          <w:rFonts w:hint="default" w:ascii="宋体" w:hAnsi="宋体" w:eastAsia="宋体" w:cs="宋体"/>
          <w:b/>
          <w:sz w:val="28"/>
          <w:szCs w:val="28"/>
          <w:highlight w:val="none"/>
          <w:lang w:val="en-US" w:eastAsia="zh-CN"/>
        </w:rPr>
      </w:pPr>
      <w:r>
        <w:rPr>
          <w:rFonts w:hint="eastAsia" w:ascii="宋体" w:hAnsi="宋体" w:cs="宋体"/>
          <w:b/>
          <w:sz w:val="28"/>
          <w:szCs w:val="28"/>
          <w:highlight w:val="none"/>
          <w:lang w:val="en-US" w:eastAsia="zh-CN"/>
        </w:rPr>
        <w:t>非联合体投标承诺书</w:t>
      </w:r>
    </w:p>
    <w:p w14:paraId="1330F5EF">
      <w:pPr>
        <w:widowControl/>
        <w:spacing w:line="360" w:lineRule="auto"/>
        <w:ind w:left="1"/>
        <w:jc w:val="center"/>
        <w:rPr>
          <w:rFonts w:ascii="宋体" w:hAnsi="宋体" w:cs="宋体"/>
          <w:b/>
          <w:kern w:val="0"/>
          <w:sz w:val="28"/>
          <w:szCs w:val="28"/>
          <w:highlight w:val="none"/>
        </w:rPr>
      </w:pPr>
      <w:r>
        <w:rPr>
          <w:rFonts w:hint="eastAsia" w:ascii="宋体" w:hAnsi="宋体" w:cs="宋体"/>
          <w:b/>
          <w:kern w:val="0"/>
          <w:sz w:val="28"/>
          <w:szCs w:val="28"/>
          <w:highlight w:val="none"/>
        </w:rPr>
        <w:t>（格式）</w:t>
      </w:r>
    </w:p>
    <w:p w14:paraId="14899B70">
      <w:pPr>
        <w:rPr>
          <w:rFonts w:hint="eastAsia" w:asciiTheme="minorEastAsia" w:hAnsiTheme="minorEastAsia" w:eastAsiaTheme="minorEastAsia" w:cstheme="minorEastAsia"/>
          <w:b/>
          <w:sz w:val="28"/>
          <w:szCs w:val="28"/>
          <w:highlight w:val="none"/>
        </w:rPr>
      </w:pPr>
    </w:p>
    <w:p w14:paraId="24BE8FA7">
      <w:pPr>
        <w:bidi w:val="0"/>
        <w:rPr>
          <w:rFonts w:hint="eastAsia"/>
          <w:highlight w:val="none"/>
        </w:rPr>
      </w:pPr>
    </w:p>
    <w:p w14:paraId="5B523653">
      <w:pPr>
        <w:keepNext w:val="0"/>
        <w:keepLines w:val="0"/>
        <w:pageBreakBefore w:val="0"/>
        <w:widowControl w:val="0"/>
        <w:kinsoku/>
        <w:wordWrap/>
        <w:overflowPunct/>
        <w:topLinePunct w:val="0"/>
        <w:autoSpaceDE/>
        <w:autoSpaceDN/>
        <w:bidi w:val="0"/>
        <w:spacing w:line="720" w:lineRule="exact"/>
        <w:textAlignment w:val="auto"/>
        <w:rPr>
          <w:rFonts w:ascii="宋体" w:hAnsi="宋体" w:cs="宋体"/>
          <w:spacing w:val="4"/>
          <w:sz w:val="24"/>
          <w:highlight w:val="none"/>
          <w:u w:val="single"/>
        </w:rPr>
      </w:pPr>
      <w:r>
        <w:rPr>
          <w:rFonts w:hint="eastAsia" w:ascii="宋体" w:hAnsi="宋体" w:cs="宋体"/>
          <w:spacing w:val="4"/>
          <w:sz w:val="24"/>
          <w:highlight w:val="none"/>
          <w:u w:val="single"/>
        </w:rPr>
        <w:t xml:space="preserve">     （采购人）    ：</w:t>
      </w:r>
    </w:p>
    <w:p w14:paraId="722491E5">
      <w:pPr>
        <w:pStyle w:val="16"/>
        <w:keepNext w:val="0"/>
        <w:keepLines w:val="0"/>
        <w:pageBreakBefore w:val="0"/>
        <w:widowControl w:val="0"/>
        <w:kinsoku/>
        <w:wordWrap/>
        <w:overflowPunct/>
        <w:topLinePunct w:val="0"/>
        <w:autoSpaceDE/>
        <w:autoSpaceDN/>
        <w:bidi w:val="0"/>
        <w:adjustRightInd w:val="0"/>
        <w:snapToGrid w:val="0"/>
        <w:spacing w:line="720" w:lineRule="exact"/>
        <w:ind w:firstLine="496" w:firstLineChars="200"/>
        <w:textAlignment w:val="auto"/>
        <w:rPr>
          <w:rFonts w:hint="eastAsia" w:hAnsi="宋体"/>
          <w:spacing w:val="4"/>
          <w:sz w:val="24"/>
          <w:szCs w:val="24"/>
          <w:highlight w:val="none"/>
        </w:rPr>
      </w:pPr>
      <w:r>
        <w:rPr>
          <w:rFonts w:hint="eastAsia" w:hAnsi="宋体"/>
          <w:spacing w:val="4"/>
          <w:sz w:val="24"/>
          <w:szCs w:val="24"/>
          <w:highlight w:val="none"/>
        </w:rPr>
        <w:t>我公司郑重承诺，我公司</w:t>
      </w:r>
      <w:r>
        <w:rPr>
          <w:rFonts w:hint="eastAsia" w:hAnsi="宋体"/>
          <w:spacing w:val="4"/>
          <w:sz w:val="24"/>
          <w:szCs w:val="24"/>
          <w:highlight w:val="none"/>
          <w:lang w:val="en-US" w:eastAsia="zh-CN"/>
        </w:rPr>
        <w:t>在本项目投标中非联合投标</w:t>
      </w:r>
      <w:r>
        <w:rPr>
          <w:rFonts w:hint="eastAsia" w:hAnsi="宋体"/>
          <w:spacing w:val="4"/>
          <w:sz w:val="24"/>
          <w:szCs w:val="24"/>
          <w:highlight w:val="none"/>
        </w:rPr>
        <w:t>。</w:t>
      </w:r>
    </w:p>
    <w:p w14:paraId="32E14265">
      <w:pPr>
        <w:pStyle w:val="16"/>
        <w:keepNext w:val="0"/>
        <w:keepLines w:val="0"/>
        <w:pageBreakBefore w:val="0"/>
        <w:widowControl w:val="0"/>
        <w:kinsoku/>
        <w:wordWrap/>
        <w:overflowPunct/>
        <w:topLinePunct w:val="0"/>
        <w:autoSpaceDE/>
        <w:autoSpaceDN/>
        <w:bidi w:val="0"/>
        <w:adjustRightInd w:val="0"/>
        <w:snapToGrid w:val="0"/>
        <w:spacing w:line="720" w:lineRule="exact"/>
        <w:ind w:firstLine="480" w:firstLineChars="200"/>
        <w:textAlignment w:val="auto"/>
        <w:rPr>
          <w:rFonts w:hint="eastAsia" w:hAnsi="宋体"/>
          <w:spacing w:val="4"/>
          <w:sz w:val="24"/>
          <w:szCs w:val="24"/>
          <w:highlight w:val="none"/>
        </w:rPr>
      </w:pPr>
      <w:r>
        <w:rPr>
          <w:rFonts w:hint="eastAsia" w:ascii="宋体" w:hAnsi="宋体" w:cs="宋体"/>
          <w:color w:val="auto"/>
          <w:sz w:val="24"/>
          <w:szCs w:val="24"/>
          <w:highlight w:val="none"/>
          <w:shd w:val="clear" w:color="auto" w:fill="FFFFFF"/>
        </w:rPr>
        <w:t>如有不实，我方将无条件地退出本项目的采购活动，并遵照《政府采购法》有关“提供虚假材料的规定”接受处罚。</w:t>
      </w:r>
    </w:p>
    <w:p w14:paraId="187407F6">
      <w:pPr>
        <w:pStyle w:val="16"/>
        <w:adjustRightInd w:val="0"/>
        <w:snapToGrid w:val="0"/>
        <w:spacing w:line="720" w:lineRule="exact"/>
        <w:rPr>
          <w:rFonts w:hAnsi="宋体"/>
          <w:spacing w:val="4"/>
          <w:sz w:val="24"/>
          <w:szCs w:val="24"/>
          <w:highlight w:val="none"/>
        </w:rPr>
      </w:pPr>
    </w:p>
    <w:p w14:paraId="6D8ACD61">
      <w:pPr>
        <w:pStyle w:val="16"/>
        <w:adjustRightInd w:val="0"/>
        <w:snapToGrid w:val="0"/>
        <w:spacing w:line="720" w:lineRule="exact"/>
        <w:rPr>
          <w:rFonts w:hAnsi="宋体"/>
          <w:spacing w:val="4"/>
          <w:sz w:val="24"/>
          <w:szCs w:val="24"/>
          <w:highlight w:val="none"/>
        </w:rPr>
      </w:pPr>
    </w:p>
    <w:p w14:paraId="7AF2AEE0">
      <w:pPr>
        <w:spacing w:line="480" w:lineRule="auto"/>
        <w:ind w:firstLine="3360" w:firstLineChars="1400"/>
        <w:rPr>
          <w:rFonts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r>
        <w:rPr>
          <w:rFonts w:hint="eastAsia" w:ascii="宋体" w:hAnsi="宋体" w:cs="宋体"/>
          <w:sz w:val="24"/>
          <w:highlight w:val="none"/>
        </w:rPr>
        <w:t>（盖章）</w:t>
      </w:r>
    </w:p>
    <w:p w14:paraId="486EBADF">
      <w:pPr>
        <w:pStyle w:val="53"/>
        <w:spacing w:beforeLines="50"/>
        <w:ind w:firstLine="3360" w:firstLineChars="1400"/>
        <w:rPr>
          <w:rFonts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1F8D5C7E">
      <w:pPr>
        <w:rPr>
          <w:rFonts w:hint="eastAsia"/>
          <w:highlight w:val="none"/>
        </w:rPr>
      </w:pPr>
    </w:p>
    <w:p w14:paraId="5EEE7317">
      <w:pPr>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br w:type="page"/>
      </w:r>
    </w:p>
    <w:p w14:paraId="2BE4367A">
      <w:pP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附件2：</w:t>
      </w:r>
    </w:p>
    <w:p w14:paraId="0EE8415B">
      <w:pPr>
        <w:spacing w:beforeLines="50" w:afterLines="50" w:line="360" w:lineRule="auto"/>
        <w:jc w:val="center"/>
        <w:rPr>
          <w:rFonts w:hAnsi="宋体" w:cs="宋体"/>
          <w:szCs w:val="24"/>
          <w:highlight w:val="none"/>
        </w:rPr>
      </w:pPr>
      <w:r>
        <w:rPr>
          <w:rFonts w:hint="eastAsia" w:hAnsi="宋体" w:cs="宋体"/>
          <w:b/>
          <w:sz w:val="28"/>
          <w:szCs w:val="28"/>
          <w:highlight w:val="none"/>
        </w:rPr>
        <w:t>中小企业声明函</w:t>
      </w:r>
    </w:p>
    <w:p w14:paraId="495EDCEC">
      <w:pPr>
        <w:tabs>
          <w:tab w:val="left" w:pos="1620"/>
          <w:tab w:val="left" w:pos="1800"/>
        </w:tabs>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本公司郑重声明，根据《政府采购促进中小企业发展管理办法》（财库﹝2020﹞46 号）的规定，本公司参加</w:t>
      </w:r>
      <w:r>
        <w:rPr>
          <w:rFonts w:hint="eastAsia" w:ascii="宋体" w:hAnsi="宋体" w:cs="宋体"/>
          <w:sz w:val="24"/>
          <w:szCs w:val="24"/>
          <w:highlight w:val="none"/>
          <w:u w:val="single"/>
        </w:rPr>
        <w:t>（单位名称）</w:t>
      </w:r>
      <w:r>
        <w:rPr>
          <w:rFonts w:hint="eastAsia" w:ascii="宋体" w:hAnsi="宋体" w:cs="宋体"/>
          <w:sz w:val="24"/>
          <w:szCs w:val="24"/>
          <w:highlight w:val="none"/>
        </w:rPr>
        <w:t>的</w:t>
      </w:r>
      <w:r>
        <w:rPr>
          <w:rFonts w:hint="eastAsia" w:ascii="宋体" w:hAnsi="宋体" w:cs="宋体"/>
          <w:sz w:val="24"/>
          <w:szCs w:val="24"/>
          <w:highlight w:val="none"/>
          <w:u w:val="single"/>
        </w:rPr>
        <w:t>（项目名称）</w:t>
      </w:r>
      <w:r>
        <w:rPr>
          <w:rFonts w:hint="eastAsia" w:ascii="宋体" w:hAnsi="宋体" w:cs="宋体"/>
          <w:sz w:val="24"/>
          <w:szCs w:val="24"/>
          <w:highlight w:val="none"/>
        </w:rPr>
        <w:t>采购活动，工程的施工单位全部为符合政策要求的中小企业（或者：服务全部由符合政策要求的中小企业承接）。相关企业的具体情况如下：</w:t>
      </w:r>
    </w:p>
    <w:p w14:paraId="33D7FAC8">
      <w:pPr>
        <w:tabs>
          <w:tab w:val="left" w:pos="1620"/>
          <w:tab w:val="left" w:pos="1800"/>
        </w:tabs>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u w:val="single"/>
        </w:rPr>
        <w:t>（标的名称）</w:t>
      </w:r>
      <w:r>
        <w:rPr>
          <w:rFonts w:hint="eastAsia" w:ascii="宋体" w:hAnsi="宋体" w:cs="宋体"/>
          <w:sz w:val="24"/>
          <w:szCs w:val="24"/>
          <w:highlight w:val="none"/>
        </w:rPr>
        <w:t>，属于</w:t>
      </w:r>
      <w:r>
        <w:rPr>
          <w:rFonts w:hint="eastAsia" w:ascii="宋体" w:hAnsi="宋体" w:cs="宋体"/>
          <w:sz w:val="24"/>
          <w:szCs w:val="24"/>
          <w:highlight w:val="none"/>
          <w:u w:val="single"/>
        </w:rPr>
        <w:t>（采购文件中明确的所属行业）</w:t>
      </w:r>
      <w:r>
        <w:rPr>
          <w:rFonts w:hint="eastAsia" w:ascii="宋体" w:hAnsi="宋体" w:cs="宋体"/>
          <w:sz w:val="24"/>
          <w:szCs w:val="24"/>
          <w:highlight w:val="none"/>
        </w:rPr>
        <w:t>；承建（承接）企业为</w:t>
      </w:r>
      <w:r>
        <w:rPr>
          <w:rFonts w:hint="eastAsia" w:ascii="宋体" w:hAnsi="宋体" w:cs="宋体"/>
          <w:sz w:val="24"/>
          <w:szCs w:val="24"/>
          <w:highlight w:val="none"/>
          <w:u w:val="single"/>
        </w:rPr>
        <w:t>（企业名称）</w:t>
      </w:r>
      <w:r>
        <w:rPr>
          <w:rFonts w:hint="eastAsia" w:ascii="宋体" w:hAnsi="宋体" w:cs="宋体"/>
          <w:sz w:val="24"/>
          <w:szCs w:val="24"/>
          <w:highlight w:val="none"/>
        </w:rPr>
        <w:t>，从业人员</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rPr>
        <w:t>人，营业收入</w:t>
      </w:r>
      <w:r>
        <w:rPr>
          <w:rFonts w:hint="eastAsia" w:ascii="宋体" w:hAnsi="宋体" w:cs="宋体"/>
          <w:sz w:val="24"/>
          <w:szCs w:val="24"/>
          <w:highlight w:val="none"/>
          <w:u w:val="single"/>
        </w:rPr>
        <w:t xml:space="preserve">为 </w:t>
      </w:r>
      <w:r>
        <w:rPr>
          <w:rFonts w:hint="eastAsia" w:ascii="宋体" w:hAnsi="宋体" w:cs="宋体"/>
          <w:sz w:val="24"/>
          <w:szCs w:val="24"/>
          <w:highlight w:val="none"/>
          <w:u w:val="single"/>
        </w:rPr>
        <w:tab/>
      </w:r>
      <w:r>
        <w:rPr>
          <w:rFonts w:hint="eastAsia" w:ascii="宋体" w:hAnsi="宋体" w:cs="宋体"/>
          <w:sz w:val="24"/>
          <w:szCs w:val="24"/>
          <w:highlight w:val="none"/>
        </w:rPr>
        <w:t>万元，资产总额为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万元，属于</w:t>
      </w:r>
      <w:r>
        <w:rPr>
          <w:rFonts w:hint="eastAsia" w:ascii="宋体" w:hAnsi="宋体" w:cs="宋体"/>
          <w:sz w:val="24"/>
          <w:szCs w:val="24"/>
          <w:highlight w:val="none"/>
          <w:u w:val="single"/>
        </w:rPr>
        <w:t>（中型企业、小型企业、微型企业）</w:t>
      </w:r>
      <w:r>
        <w:rPr>
          <w:rFonts w:hint="eastAsia" w:ascii="宋体" w:hAnsi="宋体" w:cs="宋体"/>
          <w:sz w:val="24"/>
          <w:szCs w:val="24"/>
          <w:highlight w:val="none"/>
        </w:rPr>
        <w:t>；</w:t>
      </w:r>
    </w:p>
    <w:p w14:paraId="3C1C0B7E">
      <w:pPr>
        <w:tabs>
          <w:tab w:val="left" w:pos="1620"/>
          <w:tab w:val="left" w:pos="1800"/>
        </w:tabs>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u w:val="single"/>
        </w:rPr>
        <w:t>（标的名称）</w:t>
      </w:r>
      <w:r>
        <w:rPr>
          <w:rFonts w:hint="eastAsia" w:ascii="宋体" w:hAnsi="宋体" w:cs="宋体"/>
          <w:sz w:val="24"/>
          <w:szCs w:val="24"/>
          <w:highlight w:val="none"/>
        </w:rPr>
        <w:t>，属于</w:t>
      </w:r>
      <w:r>
        <w:rPr>
          <w:rFonts w:hint="eastAsia" w:ascii="宋体" w:hAnsi="宋体" w:cs="宋体"/>
          <w:sz w:val="24"/>
          <w:szCs w:val="24"/>
          <w:highlight w:val="none"/>
          <w:u w:val="single"/>
        </w:rPr>
        <w:t>（采购文件中明确的所属行业</w:t>
      </w:r>
      <w:r>
        <w:rPr>
          <w:rFonts w:hint="eastAsia" w:ascii="宋体" w:hAnsi="宋体" w:cs="宋体"/>
          <w:sz w:val="24"/>
          <w:szCs w:val="24"/>
          <w:highlight w:val="none"/>
        </w:rPr>
        <w:t>）；承建（承接）企业为</w:t>
      </w:r>
      <w:r>
        <w:rPr>
          <w:rFonts w:hint="eastAsia" w:ascii="宋体" w:hAnsi="宋体" w:cs="宋体"/>
          <w:sz w:val="24"/>
          <w:szCs w:val="24"/>
          <w:highlight w:val="none"/>
          <w:u w:val="single"/>
        </w:rPr>
        <w:t>（企业名称）</w:t>
      </w:r>
      <w:r>
        <w:rPr>
          <w:rFonts w:hint="eastAsia" w:ascii="宋体" w:hAnsi="宋体" w:cs="宋体"/>
          <w:sz w:val="24"/>
          <w:szCs w:val="24"/>
          <w:highlight w:val="none"/>
        </w:rPr>
        <w:t>，从业人员</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rPr>
        <w:t>人，营业收入为</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rPr>
        <w:t>万元，资产总额为</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万元，属于</w:t>
      </w:r>
      <w:r>
        <w:rPr>
          <w:rFonts w:hint="eastAsia" w:ascii="宋体" w:hAnsi="宋体" w:cs="宋体"/>
          <w:sz w:val="24"/>
          <w:szCs w:val="24"/>
          <w:highlight w:val="none"/>
          <w:u w:val="single"/>
        </w:rPr>
        <w:t>（中型企业、小型企业、微型企业）</w:t>
      </w:r>
      <w:r>
        <w:rPr>
          <w:rFonts w:hint="eastAsia" w:ascii="宋体" w:hAnsi="宋体" w:cs="宋体"/>
          <w:sz w:val="24"/>
          <w:szCs w:val="24"/>
          <w:highlight w:val="none"/>
        </w:rPr>
        <w:t>；</w:t>
      </w:r>
    </w:p>
    <w:p w14:paraId="431EC09F">
      <w:pPr>
        <w:tabs>
          <w:tab w:val="left" w:pos="1620"/>
          <w:tab w:val="left" w:pos="1800"/>
        </w:tabs>
        <w:spacing w:line="500" w:lineRule="exact"/>
        <w:rPr>
          <w:rFonts w:ascii="宋体" w:hAnsi="宋体" w:cs="宋体"/>
          <w:sz w:val="24"/>
          <w:szCs w:val="24"/>
          <w:highlight w:val="none"/>
        </w:rPr>
      </w:pPr>
      <w:r>
        <w:rPr>
          <w:rFonts w:hint="eastAsia" w:ascii="宋体" w:hAnsi="宋体" w:cs="宋体"/>
          <w:sz w:val="24"/>
          <w:szCs w:val="24"/>
          <w:highlight w:val="none"/>
        </w:rPr>
        <w:t>……</w:t>
      </w:r>
    </w:p>
    <w:p w14:paraId="4441E791">
      <w:pPr>
        <w:tabs>
          <w:tab w:val="left" w:pos="1620"/>
          <w:tab w:val="left" w:pos="1800"/>
        </w:tabs>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以上企业，不属于大企业的分支机构，不存在控股股东为大企业的情形，也不存在与大企业的负责人为同一人的情形。</w:t>
      </w:r>
    </w:p>
    <w:p w14:paraId="57343BF2">
      <w:pPr>
        <w:tabs>
          <w:tab w:val="left" w:pos="1620"/>
          <w:tab w:val="left" w:pos="1800"/>
        </w:tabs>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本企业对上述声明内容的真实性负责。如有虚假，将依法承担相应责任。</w:t>
      </w:r>
    </w:p>
    <w:p w14:paraId="1A22B2BB">
      <w:pPr>
        <w:tabs>
          <w:tab w:val="left" w:pos="1620"/>
          <w:tab w:val="left" w:pos="1800"/>
        </w:tabs>
        <w:spacing w:line="500" w:lineRule="exact"/>
        <w:rPr>
          <w:rFonts w:ascii="宋体" w:hAnsi="宋体" w:cs="宋体"/>
          <w:sz w:val="24"/>
          <w:szCs w:val="24"/>
          <w:highlight w:val="none"/>
        </w:rPr>
      </w:pPr>
    </w:p>
    <w:p w14:paraId="204F3D16">
      <w:pPr>
        <w:tabs>
          <w:tab w:val="left" w:pos="1620"/>
          <w:tab w:val="left" w:pos="1800"/>
        </w:tabs>
        <w:spacing w:line="500" w:lineRule="exact"/>
        <w:rPr>
          <w:rFonts w:ascii="宋体" w:hAnsi="宋体" w:cs="宋体"/>
          <w:sz w:val="24"/>
          <w:szCs w:val="24"/>
          <w:highlight w:val="none"/>
        </w:rPr>
      </w:pPr>
    </w:p>
    <w:p w14:paraId="2F1DE82B">
      <w:pPr>
        <w:tabs>
          <w:tab w:val="left" w:pos="1620"/>
          <w:tab w:val="left" w:pos="1800"/>
        </w:tabs>
        <w:spacing w:line="500" w:lineRule="exact"/>
        <w:ind w:firstLine="4800" w:firstLineChars="2000"/>
        <w:rPr>
          <w:rFonts w:ascii="宋体" w:hAnsi="宋体" w:cs="宋体"/>
          <w:sz w:val="24"/>
          <w:szCs w:val="24"/>
          <w:highlight w:val="none"/>
        </w:rPr>
      </w:pPr>
      <w:r>
        <w:rPr>
          <w:rFonts w:hint="eastAsia" w:ascii="宋体" w:hAnsi="宋体" w:cs="宋体"/>
          <w:sz w:val="24"/>
          <w:szCs w:val="24"/>
          <w:highlight w:val="none"/>
        </w:rPr>
        <w:t>企业名称（盖章）：</w:t>
      </w:r>
    </w:p>
    <w:p w14:paraId="08F99B10">
      <w:pPr>
        <w:tabs>
          <w:tab w:val="left" w:pos="1620"/>
          <w:tab w:val="left" w:pos="1800"/>
        </w:tabs>
        <w:spacing w:line="500" w:lineRule="exact"/>
        <w:ind w:firstLine="4800" w:firstLineChars="2000"/>
        <w:rPr>
          <w:rFonts w:ascii="宋体" w:hAnsi="宋体" w:cs="宋体"/>
          <w:sz w:val="24"/>
          <w:szCs w:val="24"/>
          <w:highlight w:val="none"/>
        </w:rPr>
      </w:pPr>
      <w:r>
        <w:rPr>
          <w:rFonts w:hint="eastAsia" w:ascii="宋体" w:hAnsi="宋体" w:cs="宋体"/>
          <w:sz w:val="24"/>
          <w:szCs w:val="24"/>
          <w:highlight w:val="none"/>
        </w:rPr>
        <w:t>日期：</w:t>
      </w:r>
    </w:p>
    <w:p w14:paraId="6963AB31">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b/>
          <w:sz w:val="28"/>
          <w:szCs w:val="28"/>
          <w:highlight w:val="none"/>
        </w:rPr>
        <w:br w:type="page"/>
      </w:r>
    </w:p>
    <w:bookmarkEnd w:id="134"/>
    <w:p w14:paraId="5FBE9E49">
      <w:pPr>
        <w:spacing w:line="360" w:lineRule="auto"/>
        <w:rPr>
          <w:rFonts w:hint="eastAsia" w:ascii="宋体" w:hAnsi="宋体" w:eastAsia="宋体" w:cs="宋体"/>
          <w:b/>
          <w:sz w:val="28"/>
          <w:szCs w:val="28"/>
          <w:highlight w:val="none"/>
        </w:rPr>
      </w:pPr>
      <w:r>
        <w:rPr>
          <w:rFonts w:hint="eastAsia" w:ascii="宋体" w:hAnsi="宋体" w:eastAsia="宋体" w:cs="宋体"/>
          <w:b/>
          <w:sz w:val="28"/>
          <w:szCs w:val="28"/>
          <w:highlight w:val="none"/>
        </w:rPr>
        <w:t>附件3：</w:t>
      </w:r>
    </w:p>
    <w:p w14:paraId="107967D8">
      <w:pPr>
        <w:jc w:val="center"/>
        <w:rPr>
          <w:rFonts w:hAnsi="宋体" w:cs="宋体"/>
          <w:b/>
          <w:bCs/>
          <w:sz w:val="44"/>
          <w:szCs w:val="44"/>
          <w:highlight w:val="none"/>
        </w:rPr>
      </w:pPr>
      <w:r>
        <w:rPr>
          <w:rFonts w:hint="eastAsia" w:hAnsi="宋体" w:cs="宋体"/>
          <w:b/>
          <w:bCs/>
          <w:sz w:val="44"/>
          <w:szCs w:val="44"/>
          <w:highlight w:val="none"/>
        </w:rPr>
        <w:t>质疑函范本</w:t>
      </w:r>
    </w:p>
    <w:p w14:paraId="6353B8F3">
      <w:pPr>
        <w:adjustRightInd w:val="0"/>
        <w:snapToGrid w:val="0"/>
        <w:spacing w:beforeLines="100" w:line="360" w:lineRule="auto"/>
        <w:rPr>
          <w:rFonts w:hint="eastAsia" w:ascii="宋体" w:hAnsi="宋体" w:eastAsia="宋体" w:cs="宋体"/>
          <w:bCs/>
          <w:szCs w:val="24"/>
          <w:highlight w:val="none"/>
        </w:rPr>
      </w:pPr>
      <w:r>
        <w:rPr>
          <w:rFonts w:hint="eastAsia" w:ascii="宋体" w:hAnsi="宋体" w:eastAsia="宋体" w:cs="宋体"/>
          <w:bCs/>
          <w:szCs w:val="24"/>
          <w:highlight w:val="none"/>
        </w:rPr>
        <w:t>一、质疑供应商基本信息</w:t>
      </w:r>
    </w:p>
    <w:p w14:paraId="35A77808">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质疑供应商：</w:t>
      </w:r>
      <w:r>
        <w:rPr>
          <w:rFonts w:hint="eastAsia" w:ascii="宋体" w:hAnsi="宋体" w:eastAsia="宋体" w:cs="宋体"/>
          <w:szCs w:val="24"/>
          <w:highlight w:val="none"/>
          <w:u w:val="dotted"/>
        </w:rPr>
        <w:t xml:space="preserve">                                        </w:t>
      </w:r>
    </w:p>
    <w:p w14:paraId="6BC8EB73">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地址：</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邮编：</w:t>
      </w:r>
      <w:r>
        <w:rPr>
          <w:rFonts w:hint="eastAsia" w:ascii="宋体" w:hAnsi="宋体" w:eastAsia="宋体" w:cs="宋体"/>
          <w:szCs w:val="24"/>
          <w:highlight w:val="none"/>
          <w:u w:val="dotted"/>
        </w:rPr>
        <w:t xml:space="preserve">                                                   </w:t>
      </w:r>
    </w:p>
    <w:p w14:paraId="532D1B63">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联系人：</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联系电话：</w:t>
      </w:r>
      <w:r>
        <w:rPr>
          <w:rFonts w:hint="eastAsia" w:ascii="宋体" w:hAnsi="宋体" w:eastAsia="宋体" w:cs="宋体"/>
          <w:szCs w:val="24"/>
          <w:highlight w:val="none"/>
          <w:u w:val="dotted"/>
        </w:rPr>
        <w:t xml:space="preserve">                              </w:t>
      </w:r>
    </w:p>
    <w:p w14:paraId="514884CA">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授权代表：</w:t>
      </w:r>
      <w:r>
        <w:rPr>
          <w:rFonts w:hint="eastAsia" w:ascii="宋体" w:hAnsi="宋体" w:eastAsia="宋体" w:cs="宋体"/>
          <w:szCs w:val="24"/>
          <w:highlight w:val="none"/>
          <w:u w:val="dotted"/>
        </w:rPr>
        <w:t xml:space="preserve">                                          </w:t>
      </w:r>
    </w:p>
    <w:p w14:paraId="51831E4D">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联系电话：</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 xml:space="preserve"> </w:t>
      </w:r>
    </w:p>
    <w:p w14:paraId="3AB90A05">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地址： </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邮编：</w:t>
      </w:r>
      <w:r>
        <w:rPr>
          <w:rFonts w:hint="eastAsia" w:ascii="宋体" w:hAnsi="宋体" w:eastAsia="宋体" w:cs="宋体"/>
          <w:szCs w:val="24"/>
          <w:highlight w:val="none"/>
          <w:u w:val="dotted"/>
        </w:rPr>
        <w:t xml:space="preserve">                                                </w:t>
      </w:r>
    </w:p>
    <w:p w14:paraId="5FB57127">
      <w:pPr>
        <w:adjustRightInd w:val="0"/>
        <w:snapToGrid w:val="0"/>
        <w:spacing w:line="360" w:lineRule="auto"/>
        <w:rPr>
          <w:rFonts w:hint="eastAsia" w:ascii="宋体" w:hAnsi="宋体" w:eastAsia="宋体" w:cs="宋体"/>
          <w:bCs/>
          <w:szCs w:val="24"/>
          <w:highlight w:val="none"/>
        </w:rPr>
      </w:pPr>
      <w:r>
        <w:rPr>
          <w:rFonts w:hint="eastAsia" w:ascii="宋体" w:hAnsi="宋体" w:eastAsia="宋体" w:cs="宋体"/>
          <w:bCs/>
          <w:szCs w:val="24"/>
          <w:highlight w:val="none"/>
        </w:rPr>
        <w:t>二、质疑项目基本情况</w:t>
      </w:r>
    </w:p>
    <w:p w14:paraId="771BA7C9">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质疑项目的名称：</w:t>
      </w:r>
      <w:r>
        <w:rPr>
          <w:rFonts w:hint="eastAsia" w:ascii="宋体" w:hAnsi="宋体" w:eastAsia="宋体" w:cs="宋体"/>
          <w:szCs w:val="24"/>
          <w:highlight w:val="none"/>
          <w:u w:val="dotted"/>
        </w:rPr>
        <w:t xml:space="preserve">                                      </w:t>
      </w:r>
    </w:p>
    <w:p w14:paraId="7531CC4B">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质疑项目的编号：</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包号：</w:t>
      </w:r>
      <w:r>
        <w:rPr>
          <w:rFonts w:hint="eastAsia" w:ascii="宋体" w:hAnsi="宋体" w:eastAsia="宋体" w:cs="宋体"/>
          <w:szCs w:val="24"/>
          <w:highlight w:val="none"/>
          <w:u w:val="dotted"/>
        </w:rPr>
        <w:t xml:space="preserve">                 </w:t>
      </w:r>
    </w:p>
    <w:p w14:paraId="7B9D5585">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采购人名称：</w:t>
      </w:r>
      <w:r>
        <w:rPr>
          <w:rFonts w:hint="eastAsia" w:ascii="宋体" w:hAnsi="宋体" w:eastAsia="宋体" w:cs="宋体"/>
          <w:szCs w:val="24"/>
          <w:highlight w:val="none"/>
          <w:u w:val="dotted"/>
        </w:rPr>
        <w:t xml:space="preserve">                                         </w:t>
      </w:r>
    </w:p>
    <w:p w14:paraId="3C2FE8EA">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采购文件获取日期：</w:t>
      </w:r>
      <w:r>
        <w:rPr>
          <w:rFonts w:hint="eastAsia" w:ascii="宋体" w:hAnsi="宋体" w:eastAsia="宋体" w:cs="宋体"/>
          <w:szCs w:val="24"/>
          <w:highlight w:val="none"/>
          <w:u w:val="dotted"/>
        </w:rPr>
        <w:t xml:space="preserve">                                           </w:t>
      </w:r>
    </w:p>
    <w:p w14:paraId="586B27EF">
      <w:pPr>
        <w:adjustRightInd w:val="0"/>
        <w:snapToGrid w:val="0"/>
        <w:spacing w:line="360" w:lineRule="auto"/>
        <w:rPr>
          <w:rFonts w:hint="eastAsia" w:ascii="宋体" w:hAnsi="宋体" w:eastAsia="宋体" w:cs="宋体"/>
          <w:bCs/>
          <w:szCs w:val="24"/>
          <w:highlight w:val="none"/>
        </w:rPr>
      </w:pPr>
      <w:r>
        <w:rPr>
          <w:rFonts w:hint="eastAsia" w:ascii="宋体" w:hAnsi="宋体" w:eastAsia="宋体" w:cs="宋体"/>
          <w:bCs/>
          <w:szCs w:val="24"/>
          <w:highlight w:val="none"/>
        </w:rPr>
        <w:t>三、质疑事项具体内容</w:t>
      </w:r>
    </w:p>
    <w:p w14:paraId="0F09C006">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质疑事项1：</w:t>
      </w:r>
      <w:r>
        <w:rPr>
          <w:rFonts w:hint="eastAsia" w:ascii="宋体" w:hAnsi="宋体" w:eastAsia="宋体" w:cs="宋体"/>
          <w:szCs w:val="24"/>
          <w:highlight w:val="none"/>
          <w:u w:val="dotted"/>
        </w:rPr>
        <w:t xml:space="preserve">                                         </w:t>
      </w:r>
    </w:p>
    <w:p w14:paraId="645647CA">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事实依据：</w:t>
      </w:r>
      <w:r>
        <w:rPr>
          <w:rFonts w:hint="eastAsia" w:ascii="宋体" w:hAnsi="宋体" w:eastAsia="宋体" w:cs="宋体"/>
          <w:szCs w:val="24"/>
          <w:highlight w:val="none"/>
          <w:u w:val="dotted"/>
        </w:rPr>
        <w:t xml:space="preserve">                                          </w:t>
      </w:r>
    </w:p>
    <w:p w14:paraId="77BD7E3D">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u w:val="dotted"/>
        </w:rPr>
        <w:t xml:space="preserve">                                                       </w:t>
      </w:r>
    </w:p>
    <w:p w14:paraId="6BE4839E">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法律依据：</w:t>
      </w:r>
      <w:r>
        <w:rPr>
          <w:rFonts w:hint="eastAsia" w:ascii="宋体" w:hAnsi="宋体" w:eastAsia="宋体" w:cs="宋体"/>
          <w:szCs w:val="24"/>
          <w:highlight w:val="none"/>
          <w:u w:val="dotted"/>
        </w:rPr>
        <w:t xml:space="preserve">                                          </w:t>
      </w:r>
    </w:p>
    <w:p w14:paraId="6C0A3F28">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u w:val="dotted"/>
        </w:rPr>
        <w:t xml:space="preserve">                                                     </w:t>
      </w:r>
    </w:p>
    <w:p w14:paraId="18744840">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质疑事项2</w:t>
      </w:r>
    </w:p>
    <w:p w14:paraId="18B36B4A">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w:t>
      </w:r>
    </w:p>
    <w:p w14:paraId="1682827B">
      <w:pPr>
        <w:adjustRightInd w:val="0"/>
        <w:snapToGrid w:val="0"/>
        <w:spacing w:line="360" w:lineRule="auto"/>
        <w:rPr>
          <w:rFonts w:hint="eastAsia" w:ascii="宋体" w:hAnsi="宋体" w:eastAsia="宋体" w:cs="宋体"/>
          <w:bCs/>
          <w:szCs w:val="24"/>
          <w:highlight w:val="none"/>
        </w:rPr>
      </w:pPr>
      <w:r>
        <w:rPr>
          <w:rFonts w:hint="eastAsia" w:ascii="宋体" w:hAnsi="宋体" w:eastAsia="宋体" w:cs="宋体"/>
          <w:bCs/>
          <w:szCs w:val="24"/>
          <w:highlight w:val="none"/>
        </w:rPr>
        <w:t>四、与质疑事项相关的质疑请求</w:t>
      </w:r>
    </w:p>
    <w:p w14:paraId="127333BA">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请求：</w:t>
      </w:r>
      <w:r>
        <w:rPr>
          <w:rFonts w:hint="eastAsia" w:ascii="宋体" w:hAnsi="宋体" w:eastAsia="宋体" w:cs="宋体"/>
          <w:szCs w:val="24"/>
          <w:highlight w:val="none"/>
          <w:u w:val="dotted"/>
        </w:rPr>
        <w:t xml:space="preserve">                                               </w:t>
      </w:r>
    </w:p>
    <w:p w14:paraId="046409A1">
      <w:pPr>
        <w:rPr>
          <w:rFonts w:hint="eastAsia" w:ascii="宋体" w:hAnsi="宋体" w:eastAsia="宋体" w:cs="宋体"/>
          <w:szCs w:val="24"/>
          <w:highlight w:val="none"/>
        </w:rPr>
      </w:pPr>
      <w:r>
        <w:rPr>
          <w:rFonts w:hint="eastAsia" w:ascii="宋体" w:hAnsi="宋体" w:eastAsia="宋体" w:cs="宋体"/>
          <w:szCs w:val="24"/>
          <w:highlight w:val="none"/>
        </w:rPr>
        <w:t xml:space="preserve">签字(签章)：                   公章：                      </w:t>
      </w:r>
    </w:p>
    <w:p w14:paraId="312428CC">
      <w:pPr>
        <w:rPr>
          <w:rFonts w:hint="eastAsia" w:ascii="宋体" w:hAnsi="宋体" w:eastAsia="宋体" w:cs="宋体"/>
          <w:szCs w:val="24"/>
          <w:highlight w:val="none"/>
        </w:rPr>
      </w:pPr>
      <w:r>
        <w:rPr>
          <w:rFonts w:hint="eastAsia" w:ascii="宋体" w:hAnsi="宋体" w:eastAsia="宋体" w:cs="宋体"/>
          <w:szCs w:val="24"/>
          <w:highlight w:val="none"/>
        </w:rPr>
        <w:t xml:space="preserve">日期：    </w:t>
      </w:r>
    </w:p>
    <w:p w14:paraId="00B71893">
      <w:pPr>
        <w:jc w:val="center"/>
        <w:rPr>
          <w:rFonts w:hint="eastAsia" w:ascii="宋体" w:hAnsi="宋体" w:eastAsia="宋体" w:cs="宋体"/>
          <w:b/>
          <w:sz w:val="44"/>
          <w:szCs w:val="44"/>
          <w:highlight w:val="none"/>
        </w:rPr>
      </w:pPr>
    </w:p>
    <w:p w14:paraId="632F2936">
      <w:pPr>
        <w:rPr>
          <w:rFonts w:hint="eastAsia" w:ascii="宋体" w:hAnsi="宋体" w:eastAsia="宋体" w:cs="宋体"/>
          <w:b/>
          <w:sz w:val="44"/>
          <w:szCs w:val="44"/>
          <w:highlight w:val="none"/>
        </w:rPr>
      </w:pPr>
      <w:r>
        <w:rPr>
          <w:rFonts w:hint="eastAsia" w:ascii="宋体" w:hAnsi="宋体" w:eastAsia="宋体" w:cs="宋体"/>
          <w:b/>
          <w:sz w:val="44"/>
          <w:szCs w:val="44"/>
          <w:highlight w:val="none"/>
        </w:rPr>
        <w:br w:type="page"/>
      </w:r>
    </w:p>
    <w:p w14:paraId="64ECF063">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投诉书范本</w:t>
      </w:r>
    </w:p>
    <w:p w14:paraId="0FCDDF9E">
      <w:pPr>
        <w:rPr>
          <w:rFonts w:hint="eastAsia" w:ascii="宋体" w:hAnsi="宋体" w:eastAsia="宋体" w:cs="宋体"/>
          <w:szCs w:val="24"/>
          <w:highlight w:val="none"/>
        </w:rPr>
      </w:pPr>
      <w:r>
        <w:rPr>
          <w:rFonts w:hint="eastAsia" w:ascii="宋体" w:hAnsi="宋体" w:eastAsia="宋体" w:cs="宋体"/>
          <w:szCs w:val="24"/>
          <w:highlight w:val="none"/>
        </w:rPr>
        <w:t>一、投诉相关主体基本情况</w:t>
      </w:r>
    </w:p>
    <w:p w14:paraId="447C885D">
      <w:pPr>
        <w:rPr>
          <w:rFonts w:hint="eastAsia" w:ascii="宋体" w:hAnsi="宋体" w:eastAsia="宋体" w:cs="宋体"/>
          <w:szCs w:val="24"/>
          <w:highlight w:val="none"/>
          <w:u w:val="dotted"/>
        </w:rPr>
      </w:pPr>
      <w:r>
        <w:rPr>
          <w:rFonts w:hint="eastAsia" w:ascii="宋体" w:hAnsi="宋体" w:eastAsia="宋体" w:cs="宋体"/>
          <w:szCs w:val="24"/>
          <w:highlight w:val="none"/>
        </w:rPr>
        <w:t>投诉人：</w:t>
      </w:r>
      <w:r>
        <w:rPr>
          <w:rFonts w:hint="eastAsia" w:ascii="宋体" w:hAnsi="宋体" w:eastAsia="宋体" w:cs="宋体"/>
          <w:szCs w:val="24"/>
          <w:highlight w:val="none"/>
          <w:u w:val="dotted"/>
        </w:rPr>
        <w:t xml:space="preserve">                                               </w:t>
      </w:r>
    </w:p>
    <w:p w14:paraId="4A799F22">
      <w:pPr>
        <w:rPr>
          <w:rFonts w:hint="eastAsia" w:ascii="宋体" w:hAnsi="宋体" w:eastAsia="宋体" w:cs="宋体"/>
          <w:szCs w:val="24"/>
          <w:highlight w:val="none"/>
          <w:u w:val="single"/>
        </w:rPr>
      </w:pPr>
      <w:r>
        <w:rPr>
          <w:rFonts w:hint="eastAsia" w:ascii="宋体" w:hAnsi="宋体" w:eastAsia="宋体" w:cs="宋体"/>
          <w:szCs w:val="24"/>
          <w:highlight w:val="none"/>
        </w:rPr>
        <w:t>地     址：</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邮编：</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08A84BD6">
      <w:pPr>
        <w:tabs>
          <w:tab w:val="left" w:pos="6510"/>
        </w:tabs>
        <w:jc w:val="left"/>
        <w:rPr>
          <w:rFonts w:hint="eastAsia" w:ascii="宋体" w:hAnsi="宋体" w:eastAsia="宋体" w:cs="宋体"/>
          <w:szCs w:val="24"/>
          <w:highlight w:val="none"/>
        </w:rPr>
      </w:pPr>
      <w:r>
        <w:rPr>
          <w:rFonts w:hint="eastAsia" w:ascii="宋体" w:hAnsi="宋体" w:eastAsia="宋体" w:cs="宋体"/>
          <w:szCs w:val="24"/>
          <w:highlight w:val="none"/>
        </w:rPr>
        <w:t>法定代表人/主要负责人：</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 xml:space="preserve">  </w:t>
      </w:r>
    </w:p>
    <w:p w14:paraId="706AD17E">
      <w:pPr>
        <w:tabs>
          <w:tab w:val="left" w:pos="6510"/>
        </w:tabs>
        <w:rPr>
          <w:rFonts w:hint="eastAsia" w:ascii="宋体" w:hAnsi="宋体" w:eastAsia="宋体" w:cs="宋体"/>
          <w:szCs w:val="24"/>
          <w:highlight w:val="none"/>
          <w:u w:val="dotted"/>
        </w:rPr>
      </w:pPr>
      <w:r>
        <w:rPr>
          <w:rFonts w:hint="eastAsia" w:ascii="宋体" w:hAnsi="宋体" w:eastAsia="宋体" w:cs="宋体"/>
          <w:szCs w:val="24"/>
          <w:highlight w:val="none"/>
        </w:rPr>
        <w:t>联系电话：</w:t>
      </w:r>
      <w:r>
        <w:rPr>
          <w:rFonts w:hint="eastAsia" w:ascii="宋体" w:hAnsi="宋体" w:eastAsia="宋体" w:cs="宋体"/>
          <w:szCs w:val="24"/>
          <w:highlight w:val="none"/>
          <w:u w:val="dotted"/>
        </w:rPr>
        <w:t xml:space="preserve">                                             </w:t>
      </w:r>
    </w:p>
    <w:p w14:paraId="2D7A4252">
      <w:pPr>
        <w:rPr>
          <w:rFonts w:hint="eastAsia" w:ascii="宋体" w:hAnsi="宋体" w:eastAsia="宋体" w:cs="宋体"/>
          <w:szCs w:val="24"/>
          <w:highlight w:val="none"/>
          <w:u w:val="dotted"/>
        </w:rPr>
      </w:pPr>
      <w:r>
        <w:rPr>
          <w:rFonts w:hint="eastAsia" w:ascii="宋体" w:hAnsi="宋体" w:eastAsia="宋体" w:cs="宋体"/>
          <w:szCs w:val="24"/>
          <w:highlight w:val="none"/>
        </w:rPr>
        <w:t>授权代表：</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联系电话</w:t>
      </w:r>
      <w:r>
        <w:rPr>
          <w:rFonts w:hint="eastAsia" w:ascii="宋体" w:hAnsi="宋体" w:eastAsia="宋体" w:cs="宋体"/>
          <w:szCs w:val="24"/>
          <w:highlight w:val="none"/>
          <w:u w:val="dotted"/>
        </w:rPr>
        <w:t xml:space="preserve">：                  </w:t>
      </w:r>
    </w:p>
    <w:p w14:paraId="41154E15">
      <w:pPr>
        <w:rPr>
          <w:rFonts w:hint="eastAsia" w:ascii="宋体" w:hAnsi="宋体" w:eastAsia="宋体" w:cs="宋体"/>
          <w:szCs w:val="24"/>
          <w:highlight w:val="none"/>
          <w:u w:val="dotted"/>
        </w:rPr>
      </w:pPr>
      <w:r>
        <w:rPr>
          <w:rFonts w:hint="eastAsia" w:ascii="宋体" w:hAnsi="宋体" w:eastAsia="宋体" w:cs="宋体"/>
          <w:szCs w:val="24"/>
          <w:highlight w:val="none"/>
        </w:rPr>
        <w:t>地     址：</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邮编：</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u w:val="dotted"/>
        </w:rPr>
        <w:t xml:space="preserve">                   </w:t>
      </w:r>
    </w:p>
    <w:p w14:paraId="4F718CC3">
      <w:pPr>
        <w:rPr>
          <w:rFonts w:hint="eastAsia" w:ascii="宋体" w:hAnsi="宋体" w:eastAsia="宋体" w:cs="宋体"/>
          <w:szCs w:val="24"/>
          <w:highlight w:val="none"/>
          <w:u w:val="single"/>
        </w:rPr>
      </w:pPr>
      <w:r>
        <w:rPr>
          <w:rFonts w:hint="eastAsia" w:ascii="宋体" w:hAnsi="宋体" w:eastAsia="宋体" w:cs="宋体"/>
          <w:szCs w:val="24"/>
          <w:highlight w:val="none"/>
        </w:rPr>
        <w:t>被投诉人1：</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0CA83457">
      <w:pPr>
        <w:rPr>
          <w:rFonts w:hint="eastAsia" w:ascii="宋体" w:hAnsi="宋体" w:eastAsia="宋体" w:cs="宋体"/>
          <w:szCs w:val="24"/>
          <w:highlight w:val="none"/>
          <w:u w:val="single"/>
        </w:rPr>
      </w:pPr>
      <w:r>
        <w:rPr>
          <w:rFonts w:hint="eastAsia" w:ascii="宋体" w:hAnsi="宋体" w:eastAsia="宋体" w:cs="宋体"/>
          <w:szCs w:val="24"/>
          <w:highlight w:val="none"/>
        </w:rPr>
        <w:t>地     址：</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邮编：</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4820EDBF">
      <w:pPr>
        <w:rPr>
          <w:rFonts w:hint="eastAsia" w:ascii="宋体" w:hAnsi="宋体" w:eastAsia="宋体" w:cs="宋体"/>
          <w:szCs w:val="24"/>
          <w:highlight w:val="none"/>
          <w:u w:val="single"/>
        </w:rPr>
      </w:pPr>
      <w:r>
        <w:rPr>
          <w:rFonts w:hint="eastAsia" w:ascii="宋体" w:hAnsi="宋体" w:eastAsia="宋体" w:cs="宋体"/>
          <w:szCs w:val="24"/>
          <w:highlight w:val="none"/>
        </w:rPr>
        <w:t>联系人：</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联系电话：</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0A241F0C">
      <w:pPr>
        <w:rPr>
          <w:rFonts w:hint="eastAsia" w:ascii="宋体" w:hAnsi="宋体" w:eastAsia="宋体" w:cs="宋体"/>
          <w:szCs w:val="24"/>
          <w:highlight w:val="none"/>
        </w:rPr>
      </w:pPr>
      <w:r>
        <w:rPr>
          <w:rFonts w:hint="eastAsia" w:ascii="宋体" w:hAnsi="宋体" w:eastAsia="宋体" w:cs="宋体"/>
          <w:szCs w:val="24"/>
          <w:highlight w:val="none"/>
        </w:rPr>
        <w:t>被投诉人2</w:t>
      </w:r>
    </w:p>
    <w:p w14:paraId="31E05E82">
      <w:pPr>
        <w:rPr>
          <w:rFonts w:hint="eastAsia" w:ascii="宋体" w:hAnsi="宋体" w:eastAsia="宋体" w:cs="宋体"/>
          <w:szCs w:val="24"/>
          <w:highlight w:val="none"/>
          <w:u w:val="dotted"/>
        </w:rPr>
      </w:pPr>
      <w:r>
        <w:rPr>
          <w:rFonts w:hint="eastAsia" w:ascii="宋体" w:hAnsi="宋体" w:eastAsia="宋体" w:cs="宋体"/>
          <w:szCs w:val="24"/>
          <w:highlight w:val="none"/>
        </w:rPr>
        <w:t>……</w:t>
      </w:r>
    </w:p>
    <w:p w14:paraId="09410796">
      <w:pPr>
        <w:rPr>
          <w:rFonts w:hint="eastAsia" w:ascii="宋体" w:hAnsi="宋体" w:eastAsia="宋体" w:cs="宋体"/>
          <w:szCs w:val="24"/>
          <w:highlight w:val="none"/>
          <w:u w:val="single"/>
        </w:rPr>
      </w:pPr>
      <w:r>
        <w:rPr>
          <w:rFonts w:hint="eastAsia" w:ascii="宋体" w:hAnsi="宋体" w:eastAsia="宋体" w:cs="宋体"/>
          <w:szCs w:val="24"/>
          <w:highlight w:val="none"/>
        </w:rPr>
        <w:t>相关供应商：</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1C4EDC17">
      <w:pPr>
        <w:rPr>
          <w:rFonts w:hint="eastAsia" w:ascii="宋体" w:hAnsi="宋体" w:eastAsia="宋体" w:cs="宋体"/>
          <w:szCs w:val="24"/>
          <w:highlight w:val="none"/>
          <w:u w:val="single"/>
        </w:rPr>
      </w:pPr>
      <w:r>
        <w:rPr>
          <w:rFonts w:hint="eastAsia" w:ascii="宋体" w:hAnsi="宋体" w:eastAsia="宋体" w:cs="宋体"/>
          <w:szCs w:val="24"/>
          <w:highlight w:val="none"/>
        </w:rPr>
        <w:t>地     址：</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邮编：</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0A7515DE">
      <w:pPr>
        <w:rPr>
          <w:rFonts w:hint="eastAsia" w:ascii="宋体" w:hAnsi="宋体" w:eastAsia="宋体" w:cs="宋体"/>
          <w:szCs w:val="24"/>
          <w:highlight w:val="none"/>
          <w:u w:val="single"/>
        </w:rPr>
      </w:pPr>
      <w:r>
        <w:rPr>
          <w:rFonts w:hint="eastAsia" w:ascii="宋体" w:hAnsi="宋体" w:eastAsia="宋体" w:cs="宋体"/>
          <w:szCs w:val="24"/>
          <w:highlight w:val="none"/>
        </w:rPr>
        <w:t>联系人：</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联系电话：</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160C2C2D">
      <w:pPr>
        <w:rPr>
          <w:rFonts w:hint="eastAsia" w:ascii="宋体" w:hAnsi="宋体" w:eastAsia="宋体" w:cs="宋体"/>
          <w:szCs w:val="24"/>
          <w:highlight w:val="none"/>
        </w:rPr>
      </w:pPr>
      <w:r>
        <w:rPr>
          <w:rFonts w:hint="eastAsia" w:ascii="宋体" w:hAnsi="宋体" w:eastAsia="宋体" w:cs="宋体"/>
          <w:szCs w:val="24"/>
          <w:highlight w:val="none"/>
        </w:rPr>
        <w:t>二、投诉项目基本情况</w:t>
      </w:r>
    </w:p>
    <w:p w14:paraId="191E9681">
      <w:pPr>
        <w:rPr>
          <w:rFonts w:hint="eastAsia" w:ascii="宋体" w:hAnsi="宋体" w:eastAsia="宋体" w:cs="宋体"/>
          <w:szCs w:val="24"/>
          <w:highlight w:val="none"/>
          <w:u w:val="dotted"/>
        </w:rPr>
      </w:pPr>
      <w:r>
        <w:rPr>
          <w:rFonts w:hint="eastAsia" w:ascii="宋体" w:hAnsi="宋体" w:eastAsia="宋体" w:cs="宋体"/>
          <w:szCs w:val="24"/>
          <w:highlight w:val="none"/>
        </w:rPr>
        <w:t>采购项目名称：</w:t>
      </w:r>
      <w:r>
        <w:rPr>
          <w:rFonts w:hint="eastAsia" w:ascii="宋体" w:hAnsi="宋体" w:eastAsia="宋体" w:cs="宋体"/>
          <w:szCs w:val="24"/>
          <w:highlight w:val="none"/>
          <w:u w:val="dotted"/>
        </w:rPr>
        <w:t xml:space="preserve">                                        </w:t>
      </w:r>
    </w:p>
    <w:p w14:paraId="43B2EBC6">
      <w:pPr>
        <w:rPr>
          <w:rFonts w:hint="eastAsia" w:ascii="宋体" w:hAnsi="宋体" w:eastAsia="宋体" w:cs="宋体"/>
          <w:szCs w:val="24"/>
          <w:highlight w:val="none"/>
          <w:u w:val="single"/>
        </w:rPr>
      </w:pPr>
      <w:r>
        <w:rPr>
          <w:rFonts w:hint="eastAsia" w:ascii="宋体" w:hAnsi="宋体" w:eastAsia="宋体" w:cs="宋体"/>
          <w:szCs w:val="24"/>
          <w:highlight w:val="none"/>
        </w:rPr>
        <w:t>采购项目编号：</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包号：</w:t>
      </w:r>
      <w:r>
        <w:rPr>
          <w:rFonts w:hint="eastAsia" w:ascii="宋体" w:hAnsi="宋体" w:eastAsia="宋体" w:cs="宋体"/>
          <w:szCs w:val="24"/>
          <w:highlight w:val="none"/>
          <w:u w:val="dotted"/>
        </w:rPr>
        <w:t xml:space="preserve">              </w:t>
      </w:r>
    </w:p>
    <w:p w14:paraId="233994E7">
      <w:pPr>
        <w:rPr>
          <w:rFonts w:hint="eastAsia" w:ascii="宋体" w:hAnsi="宋体" w:eastAsia="宋体" w:cs="宋体"/>
          <w:szCs w:val="24"/>
          <w:highlight w:val="none"/>
        </w:rPr>
      </w:pPr>
      <w:r>
        <w:rPr>
          <w:rFonts w:hint="eastAsia" w:ascii="宋体" w:hAnsi="宋体" w:eastAsia="宋体" w:cs="宋体"/>
          <w:szCs w:val="24"/>
          <w:highlight w:val="none"/>
        </w:rPr>
        <w:t>采购人名称：</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4DC70EEE">
      <w:pPr>
        <w:rPr>
          <w:rFonts w:hint="eastAsia" w:ascii="宋体" w:hAnsi="宋体" w:eastAsia="宋体" w:cs="宋体"/>
          <w:szCs w:val="24"/>
          <w:highlight w:val="none"/>
          <w:u w:val="single"/>
        </w:rPr>
      </w:pPr>
      <w:r>
        <w:rPr>
          <w:rFonts w:hint="eastAsia" w:ascii="宋体" w:hAnsi="宋体" w:eastAsia="宋体" w:cs="宋体"/>
          <w:szCs w:val="24"/>
          <w:highlight w:val="none"/>
        </w:rPr>
        <w:t>代理机构名称：</w:t>
      </w:r>
      <w:r>
        <w:rPr>
          <w:rFonts w:hint="eastAsia" w:ascii="宋体" w:hAnsi="宋体" w:eastAsia="宋体" w:cs="宋体"/>
          <w:szCs w:val="24"/>
          <w:highlight w:val="none"/>
          <w:u w:val="dotted"/>
        </w:rPr>
        <w:t xml:space="preserve">                                         </w:t>
      </w:r>
    </w:p>
    <w:p w14:paraId="1581072D">
      <w:pPr>
        <w:rPr>
          <w:rFonts w:hint="eastAsia" w:ascii="宋体" w:hAnsi="宋体" w:eastAsia="宋体" w:cs="宋体"/>
          <w:szCs w:val="24"/>
          <w:highlight w:val="none"/>
          <w:u w:val="dotted"/>
        </w:rPr>
      </w:pPr>
      <w:r>
        <w:rPr>
          <w:rFonts w:hint="eastAsia" w:ascii="宋体" w:hAnsi="宋体" w:eastAsia="宋体" w:cs="宋体"/>
          <w:szCs w:val="24"/>
          <w:highlight w:val="none"/>
        </w:rPr>
        <w:t>采购文件公告:</w:t>
      </w:r>
      <w:r>
        <w:rPr>
          <w:rFonts w:hint="eastAsia" w:ascii="宋体" w:hAnsi="宋体" w:eastAsia="宋体" w:cs="宋体"/>
          <w:szCs w:val="24"/>
          <w:highlight w:val="none"/>
          <w:u w:val="dotted"/>
        </w:rPr>
        <w:t xml:space="preserve">是/否 </w:t>
      </w:r>
      <w:r>
        <w:rPr>
          <w:rFonts w:hint="eastAsia" w:ascii="宋体" w:hAnsi="宋体" w:eastAsia="宋体" w:cs="宋体"/>
          <w:szCs w:val="24"/>
          <w:highlight w:val="none"/>
        </w:rPr>
        <w:t>公告期限：</w:t>
      </w:r>
      <w:r>
        <w:rPr>
          <w:rFonts w:hint="eastAsia" w:ascii="宋体" w:hAnsi="宋体" w:eastAsia="宋体" w:cs="宋体"/>
          <w:szCs w:val="24"/>
          <w:highlight w:val="none"/>
          <w:u w:val="dotted"/>
        </w:rPr>
        <w:t xml:space="preserve">                                 </w:t>
      </w:r>
    </w:p>
    <w:p w14:paraId="30D97BE7">
      <w:pPr>
        <w:rPr>
          <w:rFonts w:hint="eastAsia" w:ascii="宋体" w:hAnsi="宋体" w:eastAsia="宋体" w:cs="宋体"/>
          <w:szCs w:val="24"/>
          <w:highlight w:val="none"/>
          <w:u w:val="single"/>
        </w:rPr>
      </w:pPr>
      <w:r>
        <w:rPr>
          <w:rFonts w:hint="eastAsia" w:ascii="宋体" w:hAnsi="宋体" w:eastAsia="宋体" w:cs="宋体"/>
          <w:szCs w:val="24"/>
          <w:highlight w:val="none"/>
        </w:rPr>
        <w:t>采购结果公告:</w:t>
      </w:r>
      <w:r>
        <w:rPr>
          <w:rFonts w:hint="eastAsia" w:ascii="宋体" w:hAnsi="宋体" w:eastAsia="宋体" w:cs="宋体"/>
          <w:szCs w:val="24"/>
          <w:highlight w:val="none"/>
          <w:u w:val="dotted"/>
        </w:rPr>
        <w:t xml:space="preserve">是/否 </w:t>
      </w:r>
      <w:r>
        <w:rPr>
          <w:rFonts w:hint="eastAsia" w:ascii="宋体" w:hAnsi="宋体" w:eastAsia="宋体" w:cs="宋体"/>
          <w:szCs w:val="24"/>
          <w:highlight w:val="none"/>
        </w:rPr>
        <w:t>公告期限：</w:t>
      </w:r>
      <w:r>
        <w:rPr>
          <w:rFonts w:hint="eastAsia" w:ascii="宋体" w:hAnsi="宋体" w:eastAsia="宋体" w:cs="宋体"/>
          <w:szCs w:val="24"/>
          <w:highlight w:val="none"/>
          <w:u w:val="dotted"/>
        </w:rPr>
        <w:t xml:space="preserve">                        </w:t>
      </w:r>
    </w:p>
    <w:p w14:paraId="32CB34AF">
      <w:pPr>
        <w:rPr>
          <w:rFonts w:hint="eastAsia" w:ascii="宋体" w:hAnsi="宋体" w:eastAsia="宋体" w:cs="宋体"/>
          <w:szCs w:val="24"/>
          <w:highlight w:val="none"/>
        </w:rPr>
      </w:pPr>
      <w:r>
        <w:rPr>
          <w:rFonts w:hint="eastAsia" w:ascii="宋体" w:hAnsi="宋体" w:eastAsia="宋体" w:cs="宋体"/>
          <w:szCs w:val="24"/>
          <w:highlight w:val="none"/>
        </w:rPr>
        <w:t>三、质疑基本情况</w:t>
      </w:r>
    </w:p>
    <w:p w14:paraId="1725AEC3">
      <w:pPr>
        <w:ind w:firstLine="420" w:firstLineChars="200"/>
        <w:rPr>
          <w:rFonts w:hint="eastAsia" w:ascii="宋体" w:hAnsi="宋体" w:eastAsia="宋体" w:cs="宋体"/>
          <w:szCs w:val="24"/>
          <w:highlight w:val="none"/>
          <w:u w:val="dotted"/>
        </w:rPr>
      </w:pPr>
      <w:r>
        <w:rPr>
          <w:rFonts w:hint="eastAsia" w:ascii="宋体" w:hAnsi="宋体" w:eastAsia="宋体" w:cs="宋体"/>
          <w:szCs w:val="24"/>
          <w:highlight w:val="none"/>
        </w:rPr>
        <w:t>投诉人于</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年</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月</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日,向</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提出质疑，质疑事项为：</w:t>
      </w:r>
      <w:r>
        <w:rPr>
          <w:rFonts w:hint="eastAsia" w:ascii="宋体" w:hAnsi="宋体" w:eastAsia="宋体" w:cs="宋体"/>
          <w:szCs w:val="24"/>
          <w:highlight w:val="none"/>
          <w:u w:val="dotted"/>
        </w:rPr>
        <w:t xml:space="preserve">                                </w:t>
      </w:r>
    </w:p>
    <w:p w14:paraId="04BA0A7A">
      <w:pPr>
        <w:rPr>
          <w:rFonts w:hint="eastAsia" w:ascii="宋体" w:hAnsi="宋体" w:eastAsia="宋体" w:cs="宋体"/>
          <w:szCs w:val="24"/>
          <w:highlight w:val="none"/>
          <w:u w:val="dotted"/>
        </w:rPr>
      </w:pP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 xml:space="preserve">  </w:t>
      </w:r>
    </w:p>
    <w:p w14:paraId="57E7C2BD">
      <w:pPr>
        <w:ind w:firstLine="315" w:firstLineChars="150"/>
        <w:rPr>
          <w:rFonts w:hint="eastAsia" w:ascii="宋体" w:hAnsi="宋体" w:eastAsia="宋体" w:cs="宋体"/>
          <w:szCs w:val="24"/>
          <w:highlight w:val="none"/>
        </w:rPr>
      </w:pPr>
      <w:r>
        <w:rPr>
          <w:rFonts w:hint="eastAsia" w:ascii="宋体" w:hAnsi="宋体" w:eastAsia="宋体" w:cs="宋体"/>
          <w:szCs w:val="24"/>
          <w:highlight w:val="none"/>
          <w:u w:val="dotted"/>
        </w:rPr>
        <w:t>采购人/代理机构</w:t>
      </w:r>
      <w:r>
        <w:rPr>
          <w:rFonts w:hint="eastAsia" w:ascii="宋体" w:hAnsi="宋体" w:eastAsia="宋体" w:cs="宋体"/>
          <w:szCs w:val="24"/>
          <w:highlight w:val="none"/>
        </w:rPr>
        <w:t>于</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年</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月</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日,就质疑事项作出了答复/没有在法定期限内作出答复。</w:t>
      </w:r>
    </w:p>
    <w:p w14:paraId="63241B3E">
      <w:pPr>
        <w:rPr>
          <w:rFonts w:hint="eastAsia" w:ascii="宋体" w:hAnsi="宋体" w:eastAsia="宋体" w:cs="宋体"/>
          <w:szCs w:val="24"/>
          <w:highlight w:val="none"/>
        </w:rPr>
      </w:pPr>
      <w:r>
        <w:rPr>
          <w:rFonts w:hint="eastAsia" w:ascii="宋体" w:hAnsi="宋体" w:eastAsia="宋体" w:cs="宋体"/>
          <w:szCs w:val="24"/>
          <w:highlight w:val="none"/>
        </w:rPr>
        <w:t>四、投诉事项具体内容</w:t>
      </w:r>
    </w:p>
    <w:p w14:paraId="2D802ED0">
      <w:pPr>
        <w:rPr>
          <w:rFonts w:hint="eastAsia" w:ascii="宋体" w:hAnsi="宋体" w:eastAsia="宋体" w:cs="宋体"/>
          <w:szCs w:val="24"/>
          <w:highlight w:val="none"/>
          <w:u w:val="single"/>
        </w:rPr>
      </w:pPr>
      <w:r>
        <w:rPr>
          <w:rFonts w:hint="eastAsia" w:ascii="宋体" w:hAnsi="宋体" w:eastAsia="宋体" w:cs="宋体"/>
          <w:szCs w:val="24"/>
          <w:highlight w:val="none"/>
        </w:rPr>
        <w:t>投诉事项 1：</w:t>
      </w:r>
      <w:r>
        <w:rPr>
          <w:rFonts w:hint="eastAsia" w:ascii="宋体" w:hAnsi="宋体" w:eastAsia="宋体" w:cs="宋体"/>
          <w:szCs w:val="24"/>
          <w:highlight w:val="none"/>
          <w:u w:val="dotted"/>
        </w:rPr>
        <w:t xml:space="preserve">                                       </w:t>
      </w:r>
    </w:p>
    <w:p w14:paraId="49E6897C">
      <w:pPr>
        <w:rPr>
          <w:rFonts w:hint="eastAsia" w:ascii="宋体" w:hAnsi="宋体" w:eastAsia="宋体" w:cs="宋体"/>
          <w:szCs w:val="24"/>
          <w:highlight w:val="none"/>
        </w:rPr>
      </w:pPr>
      <w:r>
        <w:rPr>
          <w:rFonts w:hint="eastAsia" w:ascii="宋体" w:hAnsi="宋体" w:eastAsia="宋体" w:cs="宋体"/>
          <w:szCs w:val="24"/>
          <w:highlight w:val="none"/>
        </w:rPr>
        <w:t>事实依据：</w:t>
      </w:r>
      <w:r>
        <w:rPr>
          <w:rFonts w:hint="eastAsia" w:ascii="宋体" w:hAnsi="宋体" w:eastAsia="宋体" w:cs="宋体"/>
          <w:szCs w:val="24"/>
          <w:highlight w:val="none"/>
          <w:u w:val="dotted"/>
        </w:rPr>
        <w:t xml:space="preserve">                                         </w:t>
      </w:r>
    </w:p>
    <w:p w14:paraId="5C3571E1">
      <w:pPr>
        <w:rPr>
          <w:rFonts w:hint="eastAsia" w:ascii="宋体" w:hAnsi="宋体" w:eastAsia="宋体" w:cs="宋体"/>
          <w:szCs w:val="24"/>
          <w:highlight w:val="none"/>
          <w:u w:val="dotted"/>
        </w:rPr>
      </w:pPr>
      <w:r>
        <w:rPr>
          <w:rFonts w:hint="eastAsia" w:ascii="宋体" w:hAnsi="宋体" w:eastAsia="宋体" w:cs="宋体"/>
          <w:szCs w:val="24"/>
          <w:highlight w:val="none"/>
          <w:u w:val="dotted"/>
        </w:rPr>
        <w:t xml:space="preserve">                                                      </w:t>
      </w:r>
    </w:p>
    <w:p w14:paraId="1B62B94D">
      <w:pPr>
        <w:rPr>
          <w:rFonts w:hint="eastAsia" w:ascii="宋体" w:hAnsi="宋体" w:eastAsia="宋体" w:cs="宋体"/>
          <w:szCs w:val="24"/>
          <w:highlight w:val="none"/>
          <w:u w:val="single"/>
        </w:rPr>
      </w:pPr>
      <w:r>
        <w:rPr>
          <w:rFonts w:hint="eastAsia" w:ascii="宋体" w:hAnsi="宋体" w:eastAsia="宋体" w:cs="宋体"/>
          <w:szCs w:val="24"/>
          <w:highlight w:val="none"/>
        </w:rPr>
        <w:t>法律依据：</w:t>
      </w:r>
      <w:r>
        <w:rPr>
          <w:rFonts w:hint="eastAsia" w:ascii="宋体" w:hAnsi="宋体" w:eastAsia="宋体" w:cs="宋体"/>
          <w:szCs w:val="24"/>
          <w:highlight w:val="none"/>
          <w:u w:val="dotted"/>
        </w:rPr>
        <w:t xml:space="preserve">                                          </w:t>
      </w:r>
    </w:p>
    <w:p w14:paraId="7DFF5EAE">
      <w:pPr>
        <w:rPr>
          <w:rFonts w:hint="eastAsia" w:ascii="宋体" w:hAnsi="宋体" w:eastAsia="宋体" w:cs="宋体"/>
          <w:szCs w:val="24"/>
          <w:highlight w:val="none"/>
          <w:u w:val="dotted"/>
        </w:rPr>
      </w:pPr>
      <w:r>
        <w:rPr>
          <w:rFonts w:hint="eastAsia" w:ascii="宋体" w:hAnsi="宋体" w:eastAsia="宋体" w:cs="宋体"/>
          <w:szCs w:val="24"/>
          <w:highlight w:val="none"/>
          <w:u w:val="dotted"/>
        </w:rPr>
        <w:t xml:space="preserve">                                                      </w:t>
      </w:r>
    </w:p>
    <w:p w14:paraId="7FA605E8">
      <w:pPr>
        <w:rPr>
          <w:rFonts w:hint="eastAsia" w:ascii="宋体" w:hAnsi="宋体" w:eastAsia="宋体" w:cs="宋体"/>
          <w:szCs w:val="24"/>
          <w:highlight w:val="none"/>
        </w:rPr>
      </w:pPr>
      <w:r>
        <w:rPr>
          <w:rFonts w:hint="eastAsia" w:ascii="宋体" w:hAnsi="宋体" w:eastAsia="宋体" w:cs="宋体"/>
          <w:szCs w:val="24"/>
          <w:highlight w:val="none"/>
        </w:rPr>
        <w:t>投诉事项2</w:t>
      </w:r>
    </w:p>
    <w:p w14:paraId="3DFC8C4B">
      <w:pPr>
        <w:rPr>
          <w:rFonts w:hint="eastAsia" w:ascii="宋体" w:hAnsi="宋体" w:eastAsia="宋体" w:cs="宋体"/>
          <w:szCs w:val="24"/>
          <w:highlight w:val="none"/>
          <w:u w:val="dotted"/>
        </w:rPr>
      </w:pPr>
      <w:r>
        <w:rPr>
          <w:rFonts w:hint="eastAsia" w:ascii="宋体" w:hAnsi="宋体" w:eastAsia="宋体" w:cs="宋体"/>
          <w:szCs w:val="24"/>
          <w:highlight w:val="none"/>
        </w:rPr>
        <w:t>……</w:t>
      </w:r>
    </w:p>
    <w:p w14:paraId="1E07C345">
      <w:pPr>
        <w:rPr>
          <w:rFonts w:hint="eastAsia" w:ascii="宋体" w:hAnsi="宋体" w:eastAsia="宋体" w:cs="宋体"/>
          <w:szCs w:val="24"/>
          <w:highlight w:val="none"/>
        </w:rPr>
      </w:pPr>
      <w:r>
        <w:rPr>
          <w:rFonts w:hint="eastAsia" w:ascii="宋体" w:hAnsi="宋体" w:eastAsia="宋体" w:cs="宋体"/>
          <w:szCs w:val="24"/>
          <w:highlight w:val="none"/>
        </w:rPr>
        <w:t>五、与投诉事项相关的投诉请求</w:t>
      </w:r>
    </w:p>
    <w:p w14:paraId="5B1C01AB">
      <w:pPr>
        <w:rPr>
          <w:rFonts w:hint="eastAsia" w:ascii="宋体" w:hAnsi="宋体" w:eastAsia="宋体" w:cs="宋体"/>
          <w:szCs w:val="24"/>
          <w:highlight w:val="none"/>
        </w:rPr>
      </w:pPr>
      <w:r>
        <w:rPr>
          <w:rFonts w:hint="eastAsia" w:ascii="宋体" w:hAnsi="宋体" w:eastAsia="宋体" w:cs="宋体"/>
          <w:szCs w:val="24"/>
          <w:highlight w:val="none"/>
        </w:rPr>
        <w:t>请求：</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 xml:space="preserve"> </w:t>
      </w:r>
    </w:p>
    <w:p w14:paraId="7D5FD6FF">
      <w:pPr>
        <w:rPr>
          <w:rFonts w:hint="eastAsia" w:ascii="宋体" w:hAnsi="宋体" w:eastAsia="宋体" w:cs="宋体"/>
          <w:szCs w:val="24"/>
          <w:highlight w:val="none"/>
          <w:u w:val="single"/>
        </w:rPr>
      </w:pPr>
      <w:r>
        <w:rPr>
          <w:rFonts w:hint="eastAsia" w:ascii="宋体" w:hAnsi="宋体" w:eastAsia="宋体" w:cs="宋体"/>
          <w:szCs w:val="24"/>
          <w:highlight w:val="none"/>
        </w:rPr>
        <w:t xml:space="preserve">                                                                                                    </w:t>
      </w:r>
    </w:p>
    <w:p w14:paraId="614642CE">
      <w:pPr>
        <w:rPr>
          <w:rFonts w:hint="eastAsia" w:ascii="宋体" w:hAnsi="宋体" w:eastAsia="宋体" w:cs="宋体"/>
          <w:szCs w:val="24"/>
          <w:highlight w:val="none"/>
        </w:rPr>
      </w:pPr>
      <w:r>
        <w:rPr>
          <w:rFonts w:hint="eastAsia" w:ascii="宋体" w:hAnsi="宋体" w:eastAsia="宋体" w:cs="宋体"/>
          <w:szCs w:val="24"/>
          <w:highlight w:val="none"/>
        </w:rPr>
        <w:t xml:space="preserve">签字(签章)：                   公章：                      </w:t>
      </w:r>
    </w:p>
    <w:p w14:paraId="4ED6B02C">
      <w:pPr>
        <w:rPr>
          <w:rFonts w:hint="eastAsia" w:ascii="宋体" w:hAnsi="宋体" w:eastAsia="宋体" w:cs="宋体"/>
          <w:sz w:val="32"/>
          <w:szCs w:val="32"/>
          <w:highlight w:val="none"/>
        </w:rPr>
      </w:pPr>
      <w:r>
        <w:rPr>
          <w:rFonts w:hint="eastAsia" w:ascii="宋体" w:hAnsi="宋体" w:eastAsia="宋体" w:cs="宋体"/>
          <w:szCs w:val="24"/>
          <w:highlight w:val="none"/>
        </w:rPr>
        <w:t xml:space="preserve">日期：                      </w:t>
      </w:r>
    </w:p>
    <w:sectPr>
      <w:type w:val="continuous"/>
      <w:pgSz w:w="11906" w:h="16838"/>
      <w:pgMar w:top="1304" w:right="1361" w:bottom="1304"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76E0A">
    <w:pPr>
      <w:pStyle w:val="19"/>
      <w:jc w:val="both"/>
    </w:pPr>
    <w:r>
      <w:rPr>
        <w:rFonts w:hint="eastAsia"/>
        <w:lang w:eastAsia="zh-CN"/>
      </w:rPr>
      <w:t>陕西至诚项目管理集团有限公司</w: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60BAC">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39531">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D115031">
                          <w:pPr>
                            <w:pStyle w:val="1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LGI8mXRAQAAqwMAAA4AAAAAAAAAAQAgAAAAHgEAAGRy&#10;cy9lMm9Eb2MueG1sUEsFBgAAAAAGAAYAWQEAAGEFAAAAAA==&#10;">
              <v:fill on="f" focussize="0,0"/>
              <v:stroke on="f"/>
              <v:imagedata o:title=""/>
              <o:lock v:ext="edit" aspectratio="f"/>
              <v:textbox inset="0mm,0mm,0mm,0mm" style="mso-fit-shape-to-text:t;">
                <w:txbxContent>
                  <w:p w14:paraId="5D115031">
                    <w:pPr>
                      <w:pStyle w:val="1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5F1D3">
    <w:pPr>
      <w:pStyle w:val="19"/>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40DC33">
                          <w:pPr>
                            <w:pStyle w:val="19"/>
                          </w:pPr>
                          <w:r>
                            <w:fldChar w:fldCharType="begin"/>
                          </w:r>
                          <w:r>
                            <w:instrText xml:space="preserve"> PAGE  \* MERGEFORMAT </w:instrText>
                          </w:r>
                          <w:r>
                            <w:fldChar w:fldCharType="separate"/>
                          </w:r>
                          <w:r>
                            <w:t>81</w:t>
                          </w:r>
                          <w: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FF2/V9ABAACrAwAADgAAAAAAAAABACAAAAAeAQAAZHJz&#10;L2Uyb0RvYy54bWxQSwUGAAAAAAYABgBZAQAAYAUAAAAA&#10;">
              <v:fill on="f" focussize="0,0"/>
              <v:stroke on="f"/>
              <v:imagedata o:title=""/>
              <o:lock v:ext="edit" aspectratio="f"/>
              <v:textbox inset="0mm,0mm,0mm,0mm" style="mso-fit-shape-to-text:t;">
                <w:txbxContent>
                  <w:p w14:paraId="6A40DC33">
                    <w:pPr>
                      <w:pStyle w:val="19"/>
                    </w:pPr>
                    <w:r>
                      <w:fldChar w:fldCharType="begin"/>
                    </w:r>
                    <w:r>
                      <w:instrText xml:space="preserve"> PAGE  \* MERGEFORMAT </w:instrText>
                    </w:r>
                    <w:r>
                      <w:fldChar w:fldCharType="separate"/>
                    </w:r>
                    <w:r>
                      <w:t>81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CDB29">
    <w:pPr>
      <w:pStyle w:val="20"/>
      <w:ind w:left="7040" w:hanging="7040" w:hangingChars="4400"/>
      <w:jc w:val="both"/>
      <w:rPr>
        <w:rFonts w:ascii="宋体" w:hAnsi="宋体"/>
        <w:sz w:val="18"/>
        <w:szCs w:val="20"/>
      </w:rPr>
    </w:pPr>
    <w:r>
      <w:rPr>
        <w:rFonts w:hint="eastAsia" w:ascii="宋体" w:hAnsi="宋体"/>
        <w:sz w:val="16"/>
        <w:szCs w:val="18"/>
        <w:lang w:eastAsia="zh-CN"/>
      </w:rPr>
      <w:t>山阳县2025年度省级林业草原改革发展资金板栗综合科管项目</w:t>
    </w:r>
    <w:r>
      <w:rPr>
        <w:rFonts w:hint="eastAsia" w:ascii="宋体" w:hAnsi="宋体"/>
        <w:sz w:val="16"/>
        <w:szCs w:val="18"/>
      </w:rPr>
      <w:t xml:space="preserve">       </w:t>
    </w:r>
    <w:r>
      <w:rPr>
        <w:rFonts w:hint="eastAsia" w:ascii="宋体" w:hAnsi="宋体"/>
        <w:sz w:val="18"/>
        <w:szCs w:val="20"/>
      </w:rPr>
      <w:t xml:space="preserve">       </w:t>
    </w:r>
    <w:r>
      <w:rPr>
        <w:rFonts w:hint="eastAsia" w:ascii="宋体" w:hAnsi="宋体"/>
        <w:sz w:val="18"/>
        <w:szCs w:val="20"/>
        <w:lang w:val="en-US" w:eastAsia="zh-CN"/>
      </w:rPr>
      <w:t xml:space="preserve">                                </w:t>
    </w:r>
    <w:r>
      <w:rPr>
        <w:rFonts w:hint="eastAsia" w:ascii="宋体" w:hAnsi="宋体"/>
        <w:sz w:val="16"/>
        <w:szCs w:val="18"/>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81CCC">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701CA">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31A36D81"/>
    <w:multiLevelType w:val="singleLevel"/>
    <w:tmpl w:val="31A36D81"/>
    <w:lvl w:ilvl="0" w:tentative="0">
      <w:start w:val="5"/>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5MDExZDdkMjM5Y2Y0Mzg4ODYzNWFiMTM4NzI2ZDYifQ=="/>
  </w:docVars>
  <w:rsids>
    <w:rsidRoot w:val="00172A27"/>
    <w:rsid w:val="00067DD7"/>
    <w:rsid w:val="00075362"/>
    <w:rsid w:val="00092A0E"/>
    <w:rsid w:val="000E02AD"/>
    <w:rsid w:val="00127453"/>
    <w:rsid w:val="00143875"/>
    <w:rsid w:val="00156141"/>
    <w:rsid w:val="00164F97"/>
    <w:rsid w:val="00172A27"/>
    <w:rsid w:val="0019127F"/>
    <w:rsid w:val="001D165F"/>
    <w:rsid w:val="001E2A55"/>
    <w:rsid w:val="0024067A"/>
    <w:rsid w:val="00243199"/>
    <w:rsid w:val="00295E6A"/>
    <w:rsid w:val="002F588F"/>
    <w:rsid w:val="002F78A0"/>
    <w:rsid w:val="00373AA4"/>
    <w:rsid w:val="003C1454"/>
    <w:rsid w:val="00413044"/>
    <w:rsid w:val="00455193"/>
    <w:rsid w:val="00473028"/>
    <w:rsid w:val="00490FFC"/>
    <w:rsid w:val="004D7F07"/>
    <w:rsid w:val="005010CF"/>
    <w:rsid w:val="00540F52"/>
    <w:rsid w:val="0054336A"/>
    <w:rsid w:val="005869CD"/>
    <w:rsid w:val="00605D5C"/>
    <w:rsid w:val="006109C6"/>
    <w:rsid w:val="0062509C"/>
    <w:rsid w:val="00632D09"/>
    <w:rsid w:val="00634DB8"/>
    <w:rsid w:val="00637068"/>
    <w:rsid w:val="00665BD9"/>
    <w:rsid w:val="00681549"/>
    <w:rsid w:val="006D4D82"/>
    <w:rsid w:val="006F10CE"/>
    <w:rsid w:val="00747E33"/>
    <w:rsid w:val="007517B5"/>
    <w:rsid w:val="007A5351"/>
    <w:rsid w:val="007B0A1F"/>
    <w:rsid w:val="00806027"/>
    <w:rsid w:val="0081730D"/>
    <w:rsid w:val="00821E5A"/>
    <w:rsid w:val="00824545"/>
    <w:rsid w:val="00827E45"/>
    <w:rsid w:val="00834FBA"/>
    <w:rsid w:val="008A653E"/>
    <w:rsid w:val="008B71B0"/>
    <w:rsid w:val="00901771"/>
    <w:rsid w:val="00936646"/>
    <w:rsid w:val="009946C8"/>
    <w:rsid w:val="009D62FB"/>
    <w:rsid w:val="00A13DE2"/>
    <w:rsid w:val="00A15FAA"/>
    <w:rsid w:val="00A539B1"/>
    <w:rsid w:val="00A603A5"/>
    <w:rsid w:val="00A91C13"/>
    <w:rsid w:val="00A96DA3"/>
    <w:rsid w:val="00AF3108"/>
    <w:rsid w:val="00B02C39"/>
    <w:rsid w:val="00B37D6B"/>
    <w:rsid w:val="00B5776E"/>
    <w:rsid w:val="00B96CCE"/>
    <w:rsid w:val="00BC05F2"/>
    <w:rsid w:val="00BF4B25"/>
    <w:rsid w:val="00C1512E"/>
    <w:rsid w:val="00C26C9B"/>
    <w:rsid w:val="00C36AB8"/>
    <w:rsid w:val="00C61893"/>
    <w:rsid w:val="00CB0C3B"/>
    <w:rsid w:val="00CB767A"/>
    <w:rsid w:val="00CC5894"/>
    <w:rsid w:val="00D10014"/>
    <w:rsid w:val="00D642EA"/>
    <w:rsid w:val="00D704DD"/>
    <w:rsid w:val="00D8028D"/>
    <w:rsid w:val="00DB1A1E"/>
    <w:rsid w:val="00DC7CC3"/>
    <w:rsid w:val="00DE5928"/>
    <w:rsid w:val="00E30694"/>
    <w:rsid w:val="00E72F85"/>
    <w:rsid w:val="00EB4B2A"/>
    <w:rsid w:val="00F50CDF"/>
    <w:rsid w:val="01891B53"/>
    <w:rsid w:val="01AC75F0"/>
    <w:rsid w:val="01BC6535"/>
    <w:rsid w:val="02050FB8"/>
    <w:rsid w:val="020E00B4"/>
    <w:rsid w:val="021F1A11"/>
    <w:rsid w:val="0236335D"/>
    <w:rsid w:val="02613983"/>
    <w:rsid w:val="02B773A4"/>
    <w:rsid w:val="02D97BAA"/>
    <w:rsid w:val="030D4DF3"/>
    <w:rsid w:val="03CF3A69"/>
    <w:rsid w:val="044E2916"/>
    <w:rsid w:val="04535D37"/>
    <w:rsid w:val="04E23328"/>
    <w:rsid w:val="04E2543C"/>
    <w:rsid w:val="04E958D9"/>
    <w:rsid w:val="04F306CA"/>
    <w:rsid w:val="054F1888"/>
    <w:rsid w:val="05BE1FE7"/>
    <w:rsid w:val="05F477B7"/>
    <w:rsid w:val="060A6FDB"/>
    <w:rsid w:val="061571D6"/>
    <w:rsid w:val="06466524"/>
    <w:rsid w:val="067D52DB"/>
    <w:rsid w:val="068A7924"/>
    <w:rsid w:val="06EA5F41"/>
    <w:rsid w:val="0744651C"/>
    <w:rsid w:val="078D4DA5"/>
    <w:rsid w:val="07964574"/>
    <w:rsid w:val="07DF7F74"/>
    <w:rsid w:val="085462B9"/>
    <w:rsid w:val="08561B2D"/>
    <w:rsid w:val="08B76089"/>
    <w:rsid w:val="093733E1"/>
    <w:rsid w:val="098B0B6C"/>
    <w:rsid w:val="09D37127"/>
    <w:rsid w:val="0A715AED"/>
    <w:rsid w:val="0A9477F6"/>
    <w:rsid w:val="0AA63A70"/>
    <w:rsid w:val="0AEF3BF8"/>
    <w:rsid w:val="0AF96D8D"/>
    <w:rsid w:val="0AFB2A61"/>
    <w:rsid w:val="0B056F8B"/>
    <w:rsid w:val="0B1B1342"/>
    <w:rsid w:val="0B584344"/>
    <w:rsid w:val="0B6E13BF"/>
    <w:rsid w:val="0BE7390B"/>
    <w:rsid w:val="0BE77AE1"/>
    <w:rsid w:val="0C025E77"/>
    <w:rsid w:val="0C750A2F"/>
    <w:rsid w:val="0C801DA5"/>
    <w:rsid w:val="0C932991"/>
    <w:rsid w:val="0CC52FAD"/>
    <w:rsid w:val="0CC770D4"/>
    <w:rsid w:val="0D841421"/>
    <w:rsid w:val="0D8C5C5C"/>
    <w:rsid w:val="0DD762A4"/>
    <w:rsid w:val="0DEC2BF3"/>
    <w:rsid w:val="0E2274C2"/>
    <w:rsid w:val="0E25606B"/>
    <w:rsid w:val="0E547045"/>
    <w:rsid w:val="0E5A6BAA"/>
    <w:rsid w:val="0E7610EC"/>
    <w:rsid w:val="0E87566C"/>
    <w:rsid w:val="0E8C5D73"/>
    <w:rsid w:val="0EBB3568"/>
    <w:rsid w:val="0EBB7BFD"/>
    <w:rsid w:val="0F414ECF"/>
    <w:rsid w:val="0F58722E"/>
    <w:rsid w:val="0F5E7BD4"/>
    <w:rsid w:val="107B6893"/>
    <w:rsid w:val="10B97633"/>
    <w:rsid w:val="10D20E9D"/>
    <w:rsid w:val="11253867"/>
    <w:rsid w:val="1147751F"/>
    <w:rsid w:val="11DE3370"/>
    <w:rsid w:val="11DE3DA6"/>
    <w:rsid w:val="12104472"/>
    <w:rsid w:val="121C6938"/>
    <w:rsid w:val="1242041E"/>
    <w:rsid w:val="12902616"/>
    <w:rsid w:val="12B55AA0"/>
    <w:rsid w:val="12C15F07"/>
    <w:rsid w:val="12FC3E4F"/>
    <w:rsid w:val="12FD22D6"/>
    <w:rsid w:val="13102E15"/>
    <w:rsid w:val="131B0F17"/>
    <w:rsid w:val="133F6E84"/>
    <w:rsid w:val="1343740D"/>
    <w:rsid w:val="137529DA"/>
    <w:rsid w:val="13900552"/>
    <w:rsid w:val="13AA0B25"/>
    <w:rsid w:val="13B042CB"/>
    <w:rsid w:val="14051D6D"/>
    <w:rsid w:val="140D6614"/>
    <w:rsid w:val="14161181"/>
    <w:rsid w:val="145C535D"/>
    <w:rsid w:val="148B7473"/>
    <w:rsid w:val="14AD3953"/>
    <w:rsid w:val="151450A9"/>
    <w:rsid w:val="151B2394"/>
    <w:rsid w:val="15416DE1"/>
    <w:rsid w:val="15752BB9"/>
    <w:rsid w:val="15817CF1"/>
    <w:rsid w:val="15A308B2"/>
    <w:rsid w:val="16BB1A79"/>
    <w:rsid w:val="16F05D79"/>
    <w:rsid w:val="17004346"/>
    <w:rsid w:val="17473BF1"/>
    <w:rsid w:val="17676853"/>
    <w:rsid w:val="17B2155B"/>
    <w:rsid w:val="17DC33B7"/>
    <w:rsid w:val="18096E98"/>
    <w:rsid w:val="18105490"/>
    <w:rsid w:val="18355116"/>
    <w:rsid w:val="184925AF"/>
    <w:rsid w:val="18954A05"/>
    <w:rsid w:val="189967BF"/>
    <w:rsid w:val="18DD474A"/>
    <w:rsid w:val="18FE652B"/>
    <w:rsid w:val="191424EE"/>
    <w:rsid w:val="19476C77"/>
    <w:rsid w:val="19720386"/>
    <w:rsid w:val="19DB7B23"/>
    <w:rsid w:val="1A491727"/>
    <w:rsid w:val="1A500DE1"/>
    <w:rsid w:val="1A5E600C"/>
    <w:rsid w:val="1A7D057D"/>
    <w:rsid w:val="1AC2559A"/>
    <w:rsid w:val="1ACA778D"/>
    <w:rsid w:val="1AD877F4"/>
    <w:rsid w:val="1AED14DC"/>
    <w:rsid w:val="1B38680B"/>
    <w:rsid w:val="1B447BB6"/>
    <w:rsid w:val="1B4641B9"/>
    <w:rsid w:val="1B514392"/>
    <w:rsid w:val="1B75684C"/>
    <w:rsid w:val="1BC751BA"/>
    <w:rsid w:val="1BDC78E2"/>
    <w:rsid w:val="1C27223D"/>
    <w:rsid w:val="1C602EC4"/>
    <w:rsid w:val="1C6B4699"/>
    <w:rsid w:val="1C93305A"/>
    <w:rsid w:val="1CFE47D4"/>
    <w:rsid w:val="1D520676"/>
    <w:rsid w:val="1D711461"/>
    <w:rsid w:val="1DD30EA0"/>
    <w:rsid w:val="1DDE2DFC"/>
    <w:rsid w:val="1E302B54"/>
    <w:rsid w:val="1E6E3BEA"/>
    <w:rsid w:val="1E7F7CE4"/>
    <w:rsid w:val="1EBE7F7F"/>
    <w:rsid w:val="1EC3782A"/>
    <w:rsid w:val="1EDE38A6"/>
    <w:rsid w:val="1F0E5D1E"/>
    <w:rsid w:val="1F1A7531"/>
    <w:rsid w:val="1F3A20FF"/>
    <w:rsid w:val="1F6126BC"/>
    <w:rsid w:val="1F903BF6"/>
    <w:rsid w:val="20126D60"/>
    <w:rsid w:val="202D6F14"/>
    <w:rsid w:val="202E7C7A"/>
    <w:rsid w:val="205B7610"/>
    <w:rsid w:val="205E01F7"/>
    <w:rsid w:val="207615D5"/>
    <w:rsid w:val="207B7CB2"/>
    <w:rsid w:val="207D067D"/>
    <w:rsid w:val="20922C90"/>
    <w:rsid w:val="20AD2256"/>
    <w:rsid w:val="20FD6FC3"/>
    <w:rsid w:val="21004DD9"/>
    <w:rsid w:val="2145437E"/>
    <w:rsid w:val="21A26E14"/>
    <w:rsid w:val="21B5378E"/>
    <w:rsid w:val="21EC41F6"/>
    <w:rsid w:val="21EF67C9"/>
    <w:rsid w:val="22196A1F"/>
    <w:rsid w:val="2221450D"/>
    <w:rsid w:val="224909C3"/>
    <w:rsid w:val="22CA3922"/>
    <w:rsid w:val="233B1878"/>
    <w:rsid w:val="2346744C"/>
    <w:rsid w:val="23624540"/>
    <w:rsid w:val="23686ACB"/>
    <w:rsid w:val="2369138D"/>
    <w:rsid w:val="23E84E31"/>
    <w:rsid w:val="24042151"/>
    <w:rsid w:val="24294678"/>
    <w:rsid w:val="242C2671"/>
    <w:rsid w:val="24303C58"/>
    <w:rsid w:val="24481D43"/>
    <w:rsid w:val="24CB595D"/>
    <w:rsid w:val="25973F8F"/>
    <w:rsid w:val="25A1715D"/>
    <w:rsid w:val="25D268A7"/>
    <w:rsid w:val="26047265"/>
    <w:rsid w:val="261A0E1D"/>
    <w:rsid w:val="265C0A8A"/>
    <w:rsid w:val="2673111B"/>
    <w:rsid w:val="26E9382C"/>
    <w:rsid w:val="26F03951"/>
    <w:rsid w:val="274664DC"/>
    <w:rsid w:val="274A6BAA"/>
    <w:rsid w:val="274C0949"/>
    <w:rsid w:val="27C070A1"/>
    <w:rsid w:val="2837470D"/>
    <w:rsid w:val="285E1D92"/>
    <w:rsid w:val="28885E11"/>
    <w:rsid w:val="28A42EBB"/>
    <w:rsid w:val="29296871"/>
    <w:rsid w:val="29326CF6"/>
    <w:rsid w:val="29566CD7"/>
    <w:rsid w:val="29A26CD6"/>
    <w:rsid w:val="29B91BA6"/>
    <w:rsid w:val="29D5599D"/>
    <w:rsid w:val="2AAD745B"/>
    <w:rsid w:val="2ADB5882"/>
    <w:rsid w:val="2AE2077F"/>
    <w:rsid w:val="2AE83537"/>
    <w:rsid w:val="2B3471E7"/>
    <w:rsid w:val="2B585F5C"/>
    <w:rsid w:val="2BAD70FD"/>
    <w:rsid w:val="2BB94533"/>
    <w:rsid w:val="2BEE61D7"/>
    <w:rsid w:val="2C1E5B12"/>
    <w:rsid w:val="2C4715CE"/>
    <w:rsid w:val="2C506768"/>
    <w:rsid w:val="2D1A7C83"/>
    <w:rsid w:val="2D2D2C04"/>
    <w:rsid w:val="2DD91AAB"/>
    <w:rsid w:val="2DEA6FFB"/>
    <w:rsid w:val="2E1D04B8"/>
    <w:rsid w:val="2E453B2A"/>
    <w:rsid w:val="2F4875FA"/>
    <w:rsid w:val="2F984B4F"/>
    <w:rsid w:val="306D7693"/>
    <w:rsid w:val="30EE7385"/>
    <w:rsid w:val="31017A4B"/>
    <w:rsid w:val="318614E1"/>
    <w:rsid w:val="32434D44"/>
    <w:rsid w:val="326714C1"/>
    <w:rsid w:val="32D560F7"/>
    <w:rsid w:val="333C56DD"/>
    <w:rsid w:val="336D6E92"/>
    <w:rsid w:val="338A49CA"/>
    <w:rsid w:val="33B64277"/>
    <w:rsid w:val="33B82D95"/>
    <w:rsid w:val="3408225D"/>
    <w:rsid w:val="34364998"/>
    <w:rsid w:val="34365D32"/>
    <w:rsid w:val="34394463"/>
    <w:rsid w:val="3454129D"/>
    <w:rsid w:val="348F397D"/>
    <w:rsid w:val="34CB7A86"/>
    <w:rsid w:val="355C7E64"/>
    <w:rsid w:val="35710369"/>
    <w:rsid w:val="35847E31"/>
    <w:rsid w:val="36212568"/>
    <w:rsid w:val="365E4655"/>
    <w:rsid w:val="36652F3F"/>
    <w:rsid w:val="369633E0"/>
    <w:rsid w:val="371E406C"/>
    <w:rsid w:val="37661A13"/>
    <w:rsid w:val="37727C90"/>
    <w:rsid w:val="37BB447E"/>
    <w:rsid w:val="37C52E2A"/>
    <w:rsid w:val="37D30AEB"/>
    <w:rsid w:val="38583268"/>
    <w:rsid w:val="387C6615"/>
    <w:rsid w:val="38EA4E68"/>
    <w:rsid w:val="39027DE5"/>
    <w:rsid w:val="39187C1C"/>
    <w:rsid w:val="398C3550"/>
    <w:rsid w:val="39EA027C"/>
    <w:rsid w:val="3A2617A6"/>
    <w:rsid w:val="3ABA4320"/>
    <w:rsid w:val="3B822415"/>
    <w:rsid w:val="3B9D543B"/>
    <w:rsid w:val="3BBC17D1"/>
    <w:rsid w:val="3BCB5591"/>
    <w:rsid w:val="3C1F5EE1"/>
    <w:rsid w:val="3C330DEA"/>
    <w:rsid w:val="3C470E64"/>
    <w:rsid w:val="3C5E715D"/>
    <w:rsid w:val="3CA96812"/>
    <w:rsid w:val="3CD734DF"/>
    <w:rsid w:val="3CF5326E"/>
    <w:rsid w:val="3D2F28A7"/>
    <w:rsid w:val="3D735CB7"/>
    <w:rsid w:val="3DCE0312"/>
    <w:rsid w:val="3DF71617"/>
    <w:rsid w:val="3E6E73FF"/>
    <w:rsid w:val="3E832EAB"/>
    <w:rsid w:val="3EDD3ACE"/>
    <w:rsid w:val="3F461B07"/>
    <w:rsid w:val="3F4866A7"/>
    <w:rsid w:val="3F594E23"/>
    <w:rsid w:val="3F7C478F"/>
    <w:rsid w:val="3FBA6DA0"/>
    <w:rsid w:val="3FF26BC0"/>
    <w:rsid w:val="401C5365"/>
    <w:rsid w:val="405C4B2A"/>
    <w:rsid w:val="409A44DC"/>
    <w:rsid w:val="40F128AC"/>
    <w:rsid w:val="410138D0"/>
    <w:rsid w:val="41365A22"/>
    <w:rsid w:val="41AD4734"/>
    <w:rsid w:val="42756FAE"/>
    <w:rsid w:val="435117C9"/>
    <w:rsid w:val="43831A2F"/>
    <w:rsid w:val="43953D6A"/>
    <w:rsid w:val="43CF4837"/>
    <w:rsid w:val="43E876F6"/>
    <w:rsid w:val="43FF5F3D"/>
    <w:rsid w:val="44366C11"/>
    <w:rsid w:val="44526E5A"/>
    <w:rsid w:val="44857F97"/>
    <w:rsid w:val="448C236A"/>
    <w:rsid w:val="44AB08E1"/>
    <w:rsid w:val="44BF4B76"/>
    <w:rsid w:val="44D957F5"/>
    <w:rsid w:val="44EA4663"/>
    <w:rsid w:val="4565155C"/>
    <w:rsid w:val="45675258"/>
    <w:rsid w:val="45687840"/>
    <w:rsid w:val="458034AA"/>
    <w:rsid w:val="45BE4637"/>
    <w:rsid w:val="460803A8"/>
    <w:rsid w:val="461810FC"/>
    <w:rsid w:val="461B60BF"/>
    <w:rsid w:val="46665B57"/>
    <w:rsid w:val="46680A55"/>
    <w:rsid w:val="466B3B11"/>
    <w:rsid w:val="4695686C"/>
    <w:rsid w:val="469A6156"/>
    <w:rsid w:val="469D0831"/>
    <w:rsid w:val="471E63F5"/>
    <w:rsid w:val="47353BED"/>
    <w:rsid w:val="473571BC"/>
    <w:rsid w:val="48F2082A"/>
    <w:rsid w:val="48FC34FC"/>
    <w:rsid w:val="4911473F"/>
    <w:rsid w:val="491D3A13"/>
    <w:rsid w:val="49282FCC"/>
    <w:rsid w:val="4937360E"/>
    <w:rsid w:val="494E57BD"/>
    <w:rsid w:val="495A5060"/>
    <w:rsid w:val="49AA6EE4"/>
    <w:rsid w:val="49B00420"/>
    <w:rsid w:val="49E135D9"/>
    <w:rsid w:val="4A9768D8"/>
    <w:rsid w:val="4AEB7055"/>
    <w:rsid w:val="4B0F34BE"/>
    <w:rsid w:val="4B274486"/>
    <w:rsid w:val="4B405527"/>
    <w:rsid w:val="4B4F7A37"/>
    <w:rsid w:val="4BA479F4"/>
    <w:rsid w:val="4C151729"/>
    <w:rsid w:val="4C282364"/>
    <w:rsid w:val="4C286194"/>
    <w:rsid w:val="4C5379A4"/>
    <w:rsid w:val="4CA50292"/>
    <w:rsid w:val="4CE74F4D"/>
    <w:rsid w:val="4D0E4287"/>
    <w:rsid w:val="4D3320F2"/>
    <w:rsid w:val="4D9E0950"/>
    <w:rsid w:val="4DB971B3"/>
    <w:rsid w:val="4DC32904"/>
    <w:rsid w:val="4DD13DB7"/>
    <w:rsid w:val="4E3E294A"/>
    <w:rsid w:val="4E541B72"/>
    <w:rsid w:val="4EA6517F"/>
    <w:rsid w:val="4EC445FF"/>
    <w:rsid w:val="4F5F72FE"/>
    <w:rsid w:val="4FDC34DE"/>
    <w:rsid w:val="5122082A"/>
    <w:rsid w:val="5132266D"/>
    <w:rsid w:val="51636CB1"/>
    <w:rsid w:val="518237D8"/>
    <w:rsid w:val="51AB50F9"/>
    <w:rsid w:val="52105F6D"/>
    <w:rsid w:val="529201E3"/>
    <w:rsid w:val="53603363"/>
    <w:rsid w:val="536B7208"/>
    <w:rsid w:val="53B61356"/>
    <w:rsid w:val="53BE2640"/>
    <w:rsid w:val="54167AFF"/>
    <w:rsid w:val="54383293"/>
    <w:rsid w:val="544955B5"/>
    <w:rsid w:val="546654FD"/>
    <w:rsid w:val="54932A0B"/>
    <w:rsid w:val="54B77366"/>
    <w:rsid w:val="54CC42A1"/>
    <w:rsid w:val="54FD2C72"/>
    <w:rsid w:val="553F2E28"/>
    <w:rsid w:val="55C76018"/>
    <w:rsid w:val="55C847A2"/>
    <w:rsid w:val="562C5F96"/>
    <w:rsid w:val="562F377B"/>
    <w:rsid w:val="56B57E6A"/>
    <w:rsid w:val="57443C4F"/>
    <w:rsid w:val="57B35D3A"/>
    <w:rsid w:val="57B50DB0"/>
    <w:rsid w:val="57D85BBE"/>
    <w:rsid w:val="57DB71F6"/>
    <w:rsid w:val="58594907"/>
    <w:rsid w:val="586D1BBF"/>
    <w:rsid w:val="58FD4D1C"/>
    <w:rsid w:val="59097FF9"/>
    <w:rsid w:val="599747E8"/>
    <w:rsid w:val="5A03237D"/>
    <w:rsid w:val="5A062A70"/>
    <w:rsid w:val="5A4641B5"/>
    <w:rsid w:val="5A7344E7"/>
    <w:rsid w:val="5B070568"/>
    <w:rsid w:val="5B553294"/>
    <w:rsid w:val="5BBC56DC"/>
    <w:rsid w:val="5BF979BC"/>
    <w:rsid w:val="5C076030"/>
    <w:rsid w:val="5C39779C"/>
    <w:rsid w:val="5C7913C1"/>
    <w:rsid w:val="5CA359AC"/>
    <w:rsid w:val="5D086F45"/>
    <w:rsid w:val="5D302F64"/>
    <w:rsid w:val="5D603594"/>
    <w:rsid w:val="5DE51E64"/>
    <w:rsid w:val="5DFF721C"/>
    <w:rsid w:val="5E080023"/>
    <w:rsid w:val="5EB66EE4"/>
    <w:rsid w:val="5EB83AD6"/>
    <w:rsid w:val="5ED76084"/>
    <w:rsid w:val="5F117C07"/>
    <w:rsid w:val="5F790AC3"/>
    <w:rsid w:val="5F9D525C"/>
    <w:rsid w:val="5FCE2CE8"/>
    <w:rsid w:val="5FDB2BF1"/>
    <w:rsid w:val="5FEA1C45"/>
    <w:rsid w:val="60091E9A"/>
    <w:rsid w:val="60160FF8"/>
    <w:rsid w:val="60400EFA"/>
    <w:rsid w:val="60937D28"/>
    <w:rsid w:val="60967A11"/>
    <w:rsid w:val="60C92B1C"/>
    <w:rsid w:val="61531164"/>
    <w:rsid w:val="61886EF5"/>
    <w:rsid w:val="61907D1A"/>
    <w:rsid w:val="61CD4A79"/>
    <w:rsid w:val="61E531A5"/>
    <w:rsid w:val="6223294C"/>
    <w:rsid w:val="62303C57"/>
    <w:rsid w:val="627E3805"/>
    <w:rsid w:val="62BB48C4"/>
    <w:rsid w:val="633A3BD0"/>
    <w:rsid w:val="63476EDC"/>
    <w:rsid w:val="63627A9D"/>
    <w:rsid w:val="636B6B6E"/>
    <w:rsid w:val="63747632"/>
    <w:rsid w:val="63861052"/>
    <w:rsid w:val="63943A5A"/>
    <w:rsid w:val="63E63E74"/>
    <w:rsid w:val="6427480A"/>
    <w:rsid w:val="643A6F83"/>
    <w:rsid w:val="64475E7D"/>
    <w:rsid w:val="648B546D"/>
    <w:rsid w:val="649F2933"/>
    <w:rsid w:val="64CE16D2"/>
    <w:rsid w:val="64F1663F"/>
    <w:rsid w:val="64F73135"/>
    <w:rsid w:val="654900FB"/>
    <w:rsid w:val="655565F0"/>
    <w:rsid w:val="657C2DD4"/>
    <w:rsid w:val="65A64376"/>
    <w:rsid w:val="65C47053"/>
    <w:rsid w:val="66081D64"/>
    <w:rsid w:val="666B5E35"/>
    <w:rsid w:val="668922D2"/>
    <w:rsid w:val="68325815"/>
    <w:rsid w:val="68876088"/>
    <w:rsid w:val="68A5137B"/>
    <w:rsid w:val="68F2373D"/>
    <w:rsid w:val="691D5F89"/>
    <w:rsid w:val="694126E9"/>
    <w:rsid w:val="696739C1"/>
    <w:rsid w:val="6A5A4B58"/>
    <w:rsid w:val="6A8037E4"/>
    <w:rsid w:val="6A8D7A7E"/>
    <w:rsid w:val="6AE83140"/>
    <w:rsid w:val="6AEC63A9"/>
    <w:rsid w:val="6AEF4F2E"/>
    <w:rsid w:val="6AF91C7B"/>
    <w:rsid w:val="6AFE5050"/>
    <w:rsid w:val="6B0A38F5"/>
    <w:rsid w:val="6B1A56DA"/>
    <w:rsid w:val="6C080DDD"/>
    <w:rsid w:val="6C387076"/>
    <w:rsid w:val="6C387C5C"/>
    <w:rsid w:val="6C432E6D"/>
    <w:rsid w:val="6C4E6153"/>
    <w:rsid w:val="6C525378"/>
    <w:rsid w:val="6C65594D"/>
    <w:rsid w:val="6C7233B6"/>
    <w:rsid w:val="6CA1310D"/>
    <w:rsid w:val="6CA44400"/>
    <w:rsid w:val="6CA65F4E"/>
    <w:rsid w:val="6CE5519E"/>
    <w:rsid w:val="6CEC29E0"/>
    <w:rsid w:val="6CEE47AC"/>
    <w:rsid w:val="6D2C731E"/>
    <w:rsid w:val="6D365028"/>
    <w:rsid w:val="6D715243"/>
    <w:rsid w:val="6D8039C3"/>
    <w:rsid w:val="6D9B2D1F"/>
    <w:rsid w:val="6DC70686"/>
    <w:rsid w:val="6DDD1A9E"/>
    <w:rsid w:val="6E1903DA"/>
    <w:rsid w:val="6E661BB9"/>
    <w:rsid w:val="6E665F1E"/>
    <w:rsid w:val="6E781A51"/>
    <w:rsid w:val="6E7E746F"/>
    <w:rsid w:val="6F0B7E5B"/>
    <w:rsid w:val="6F5412F4"/>
    <w:rsid w:val="6FBB0530"/>
    <w:rsid w:val="6FC0544C"/>
    <w:rsid w:val="6FDE756B"/>
    <w:rsid w:val="700D7E81"/>
    <w:rsid w:val="70573900"/>
    <w:rsid w:val="70930445"/>
    <w:rsid w:val="709A42CE"/>
    <w:rsid w:val="70D42421"/>
    <w:rsid w:val="70F822E3"/>
    <w:rsid w:val="713E3AFB"/>
    <w:rsid w:val="71675C25"/>
    <w:rsid w:val="71783771"/>
    <w:rsid w:val="717F3F2C"/>
    <w:rsid w:val="71C368C8"/>
    <w:rsid w:val="726036A6"/>
    <w:rsid w:val="73437A25"/>
    <w:rsid w:val="734952E7"/>
    <w:rsid w:val="73B9644B"/>
    <w:rsid w:val="73E14111"/>
    <w:rsid w:val="73F5728B"/>
    <w:rsid w:val="7415067E"/>
    <w:rsid w:val="74460DDF"/>
    <w:rsid w:val="74AB2079"/>
    <w:rsid w:val="74B17A6A"/>
    <w:rsid w:val="74C52498"/>
    <w:rsid w:val="74C74C01"/>
    <w:rsid w:val="74CD1369"/>
    <w:rsid w:val="74EB792C"/>
    <w:rsid w:val="75147188"/>
    <w:rsid w:val="754E350B"/>
    <w:rsid w:val="75B17B55"/>
    <w:rsid w:val="75D80178"/>
    <w:rsid w:val="76024771"/>
    <w:rsid w:val="760B6D06"/>
    <w:rsid w:val="76290C74"/>
    <w:rsid w:val="76335D64"/>
    <w:rsid w:val="764030D7"/>
    <w:rsid w:val="76607512"/>
    <w:rsid w:val="76B0418D"/>
    <w:rsid w:val="76C21ABB"/>
    <w:rsid w:val="77742A87"/>
    <w:rsid w:val="778B45A3"/>
    <w:rsid w:val="778D031B"/>
    <w:rsid w:val="778E7BEF"/>
    <w:rsid w:val="77CF26E1"/>
    <w:rsid w:val="77D804B5"/>
    <w:rsid w:val="77E23352"/>
    <w:rsid w:val="77F04406"/>
    <w:rsid w:val="782E42F7"/>
    <w:rsid w:val="78482187"/>
    <w:rsid w:val="784C4775"/>
    <w:rsid w:val="7852762D"/>
    <w:rsid w:val="7858377C"/>
    <w:rsid w:val="78EE4629"/>
    <w:rsid w:val="79694470"/>
    <w:rsid w:val="79821002"/>
    <w:rsid w:val="79960744"/>
    <w:rsid w:val="7A1E1F2C"/>
    <w:rsid w:val="7A250C81"/>
    <w:rsid w:val="7A82024F"/>
    <w:rsid w:val="7ACC4149"/>
    <w:rsid w:val="7AEE2E6C"/>
    <w:rsid w:val="7C24670B"/>
    <w:rsid w:val="7C5840AD"/>
    <w:rsid w:val="7C96585A"/>
    <w:rsid w:val="7CED360A"/>
    <w:rsid w:val="7CFA0562"/>
    <w:rsid w:val="7D0629E6"/>
    <w:rsid w:val="7D14649C"/>
    <w:rsid w:val="7D1E661D"/>
    <w:rsid w:val="7D4755BE"/>
    <w:rsid w:val="7D4E1F2C"/>
    <w:rsid w:val="7D4F1987"/>
    <w:rsid w:val="7D764FDD"/>
    <w:rsid w:val="7E015E6B"/>
    <w:rsid w:val="7E0643FD"/>
    <w:rsid w:val="7EB553C3"/>
    <w:rsid w:val="7ED14F91"/>
    <w:rsid w:val="7ED25666"/>
    <w:rsid w:val="7F014E71"/>
    <w:rsid w:val="7F1E36D7"/>
    <w:rsid w:val="7F5020C4"/>
    <w:rsid w:val="7F904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qFormat/>
    <w:uiPriority w:val="99"/>
    <w:pPr>
      <w:keepNext/>
      <w:keepLines/>
      <w:spacing w:before="260" w:after="260" w:line="416" w:lineRule="auto"/>
      <w:jc w:val="left"/>
      <w:outlineLvl w:val="1"/>
    </w:pPr>
    <w:rPr>
      <w:rFonts w:ascii="Cambria" w:hAnsi="Cambria" w:cs="Cambria"/>
      <w:b/>
      <w:bCs/>
      <w:sz w:val="32"/>
      <w:szCs w:val="32"/>
    </w:rPr>
  </w:style>
  <w:style w:type="paragraph" w:styleId="6">
    <w:name w:val="heading 3"/>
    <w:basedOn w:val="1"/>
    <w:next w:val="7"/>
    <w:qFormat/>
    <w:uiPriority w:val="0"/>
    <w:pPr>
      <w:keepNext/>
      <w:spacing w:beforeLines="200" w:line="400" w:lineRule="exact"/>
      <w:jc w:val="center"/>
      <w:outlineLvl w:val="2"/>
    </w:pPr>
    <w:rPr>
      <w:b/>
      <w:bCs/>
      <w:sz w:val="24"/>
      <w:szCs w:val="24"/>
    </w:rPr>
  </w:style>
  <w:style w:type="paragraph" w:styleId="8">
    <w:name w:val="heading 4"/>
    <w:basedOn w:val="1"/>
    <w:next w:val="1"/>
    <w:qFormat/>
    <w:uiPriority w:val="0"/>
    <w:pPr>
      <w:keepNext/>
      <w:keepLines/>
      <w:widowControl/>
      <w:spacing w:before="280" w:after="290" w:line="376" w:lineRule="auto"/>
      <w:jc w:val="left"/>
      <w:outlineLvl w:val="3"/>
    </w:pPr>
    <w:rPr>
      <w:rFonts w:ascii="Arial" w:hAnsi="Arial" w:eastAsia="黑体"/>
      <w:b/>
      <w:bCs/>
      <w:kern w:val="0"/>
      <w:sz w:val="28"/>
      <w:szCs w:val="28"/>
    </w:rPr>
  </w:style>
  <w:style w:type="paragraph" w:styleId="9">
    <w:name w:val="heading 6"/>
    <w:basedOn w:val="1"/>
    <w:next w:val="1"/>
    <w:qFormat/>
    <w:uiPriority w:val="0"/>
    <w:pPr>
      <w:spacing w:beforeAutospacing="1" w:afterAutospacing="1"/>
      <w:jc w:val="left"/>
      <w:outlineLvl w:val="5"/>
    </w:pPr>
    <w:rPr>
      <w:rFonts w:hint="eastAsia" w:ascii="宋体" w:hAnsi="宋体"/>
      <w:b/>
      <w:bCs/>
      <w:kern w:val="0"/>
      <w:sz w:val="15"/>
      <w:szCs w:val="15"/>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3"/>
    <w:basedOn w:val="1"/>
    <w:qFormat/>
    <w:uiPriority w:val="0"/>
    <w:pPr>
      <w:spacing w:after="120"/>
    </w:pPr>
    <w:rPr>
      <w:sz w:val="16"/>
      <w:szCs w:val="16"/>
    </w:rPr>
  </w:style>
  <w:style w:type="paragraph" w:styleId="3">
    <w:name w:val="macro"/>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7">
    <w:name w:val="Normal Indent"/>
    <w:basedOn w:val="1"/>
    <w:qFormat/>
    <w:uiPriority w:val="0"/>
    <w:pPr>
      <w:spacing w:line="300" w:lineRule="auto"/>
      <w:ind w:firstLine="420" w:firstLineChars="200"/>
    </w:pPr>
    <w:rPr>
      <w:szCs w:val="24"/>
    </w:rPr>
  </w:style>
  <w:style w:type="paragraph" w:styleId="10">
    <w:name w:val="toa heading"/>
    <w:basedOn w:val="1"/>
    <w:next w:val="1"/>
    <w:unhideWhenUsed/>
    <w:qFormat/>
    <w:uiPriority w:val="99"/>
    <w:pPr>
      <w:spacing w:before="120"/>
    </w:pPr>
    <w:rPr>
      <w:rFonts w:ascii="Cambria" w:hAnsi="Cambria" w:cs="Times New Roman"/>
      <w:sz w:val="24"/>
      <w:szCs w:val="24"/>
    </w:rPr>
  </w:style>
  <w:style w:type="paragraph" w:styleId="11">
    <w:name w:val="annotation text"/>
    <w:basedOn w:val="1"/>
    <w:qFormat/>
    <w:uiPriority w:val="0"/>
    <w:pPr>
      <w:jc w:val="left"/>
    </w:pPr>
  </w:style>
  <w:style w:type="paragraph" w:styleId="12">
    <w:name w:val="Body Text"/>
    <w:basedOn w:val="1"/>
    <w:qFormat/>
    <w:uiPriority w:val="0"/>
    <w:rPr>
      <w:rFonts w:ascii="仿宋_GB2312" w:eastAsia="仿宋_GB2312"/>
      <w:spacing w:val="-20"/>
      <w:sz w:val="28"/>
      <w:szCs w:val="20"/>
    </w:rPr>
  </w:style>
  <w:style w:type="paragraph" w:styleId="13">
    <w:name w:val="Body Text Indent"/>
    <w:basedOn w:val="1"/>
    <w:next w:val="14"/>
    <w:qFormat/>
    <w:uiPriority w:val="0"/>
    <w:pPr>
      <w:widowControl/>
      <w:ind w:firstLine="652" w:firstLineChars="233"/>
    </w:pPr>
    <w:rPr>
      <w:kern w:val="0"/>
      <w:sz w:val="28"/>
    </w:rPr>
  </w:style>
  <w:style w:type="paragraph" w:customStyle="1" w:styleId="14">
    <w:name w:val="font5"/>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styleId="15">
    <w:name w:val="toc 3"/>
    <w:basedOn w:val="1"/>
    <w:next w:val="1"/>
    <w:qFormat/>
    <w:uiPriority w:val="0"/>
    <w:pPr>
      <w:ind w:left="840" w:leftChars="400"/>
    </w:pPr>
  </w:style>
  <w:style w:type="paragraph" w:styleId="16">
    <w:name w:val="Plain Text"/>
    <w:basedOn w:val="1"/>
    <w:qFormat/>
    <w:uiPriority w:val="99"/>
    <w:rPr>
      <w:rFonts w:ascii="宋体" w:hAnsi="Courier New" w:cs="宋体"/>
    </w:rPr>
  </w:style>
  <w:style w:type="paragraph" w:styleId="17">
    <w:name w:val="Date"/>
    <w:basedOn w:val="1"/>
    <w:next w:val="1"/>
    <w:qFormat/>
    <w:uiPriority w:val="0"/>
    <w:rPr>
      <w:sz w:val="28"/>
    </w:rPr>
  </w:style>
  <w:style w:type="paragraph" w:styleId="18">
    <w:name w:val="Balloon Text"/>
    <w:basedOn w:val="1"/>
    <w:link w:val="56"/>
    <w:qFormat/>
    <w:uiPriority w:val="0"/>
    <w:rPr>
      <w:sz w:val="18"/>
      <w:szCs w:val="18"/>
    </w:rPr>
  </w:style>
  <w:style w:type="paragraph" w:styleId="19">
    <w:name w:val="footer"/>
    <w:basedOn w:val="1"/>
    <w:qFormat/>
    <w:uiPriority w:val="99"/>
    <w:pPr>
      <w:tabs>
        <w:tab w:val="center" w:pos="4153"/>
        <w:tab w:val="right" w:pos="8306"/>
      </w:tabs>
      <w:snapToGrid w:val="0"/>
      <w:jc w:val="left"/>
    </w:pPr>
    <w:rPr>
      <w:sz w:val="18"/>
      <w:szCs w:val="18"/>
    </w:rPr>
  </w:style>
  <w:style w:type="paragraph" w:styleId="2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style>
  <w:style w:type="paragraph" w:styleId="22">
    <w:name w:val="toc 4"/>
    <w:basedOn w:val="1"/>
    <w:next w:val="1"/>
    <w:qFormat/>
    <w:uiPriority w:val="0"/>
    <w:pPr>
      <w:ind w:left="1260" w:leftChars="600"/>
    </w:pPr>
  </w:style>
  <w:style w:type="paragraph" w:styleId="23">
    <w:name w:val="Body Text Indent 3"/>
    <w:basedOn w:val="1"/>
    <w:qFormat/>
    <w:uiPriority w:val="99"/>
    <w:pPr>
      <w:spacing w:line="360" w:lineRule="auto"/>
      <w:ind w:left="420" w:firstLine="480"/>
    </w:pPr>
    <w:rPr>
      <w:rFonts w:ascii="宋体" w:hAnsi="宋体" w:cs="宋体"/>
      <w:sz w:val="24"/>
      <w:szCs w:val="24"/>
    </w:rPr>
  </w:style>
  <w:style w:type="paragraph" w:styleId="24">
    <w:name w:val="toc 2"/>
    <w:basedOn w:val="1"/>
    <w:next w:val="1"/>
    <w:unhideWhenUsed/>
    <w:qFormat/>
    <w:uiPriority w:val="39"/>
    <w:pPr>
      <w:ind w:left="420" w:leftChars="200"/>
    </w:pPr>
  </w:style>
  <w:style w:type="paragraph" w:styleId="25">
    <w:name w:val="Body Text 2"/>
    <w:basedOn w:val="1"/>
    <w:qFormat/>
    <w:uiPriority w:val="0"/>
    <w:pPr>
      <w:adjustRightInd w:val="0"/>
      <w:snapToGrid w:val="0"/>
      <w:spacing w:line="480" w:lineRule="atLeast"/>
    </w:pPr>
    <w:rPr>
      <w:rFonts w:ascii="宋体" w:hAnsi="宋体"/>
      <w:sz w:val="28"/>
    </w:rPr>
  </w:style>
  <w:style w:type="paragraph" w:styleId="26">
    <w:name w:val="Normal (Web)"/>
    <w:basedOn w:val="1"/>
    <w:qFormat/>
    <w:uiPriority w:val="0"/>
    <w:pPr>
      <w:jc w:val="left"/>
    </w:pPr>
    <w:rPr>
      <w:color w:val="3D3D3D"/>
      <w:kern w:val="0"/>
      <w:sz w:val="24"/>
    </w:rPr>
  </w:style>
  <w:style w:type="paragraph" w:styleId="27">
    <w:name w:val="Body Text First Indent"/>
    <w:basedOn w:val="1"/>
    <w:next w:val="1"/>
    <w:qFormat/>
    <w:uiPriority w:val="0"/>
    <w:pPr>
      <w:ind w:firstLine="420" w:firstLineChars="100"/>
    </w:pPr>
    <w:rPr>
      <w:rFonts w:ascii="Times New Roman" w:eastAsia="宋体"/>
    </w:rPr>
  </w:style>
  <w:style w:type="paragraph" w:styleId="28">
    <w:name w:val="Body Text First Indent 2"/>
    <w:basedOn w:val="13"/>
    <w:next w:val="27"/>
    <w:qFormat/>
    <w:uiPriority w:val="99"/>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rPr>
      <w:bCs/>
    </w:rPr>
  </w:style>
  <w:style w:type="character" w:styleId="33">
    <w:name w:val="FollowedHyperlink"/>
    <w:basedOn w:val="31"/>
    <w:qFormat/>
    <w:uiPriority w:val="0"/>
    <w:rPr>
      <w:color w:val="800080"/>
      <w:u w:val="none"/>
    </w:rPr>
  </w:style>
  <w:style w:type="character" w:styleId="34">
    <w:name w:val="Emphasis"/>
    <w:basedOn w:val="31"/>
    <w:qFormat/>
    <w:uiPriority w:val="0"/>
  </w:style>
  <w:style w:type="character" w:styleId="35">
    <w:name w:val="Hyperlink"/>
    <w:basedOn w:val="31"/>
    <w:qFormat/>
    <w:uiPriority w:val="0"/>
    <w:rPr>
      <w:color w:val="0000FF"/>
      <w:u w:val="none"/>
    </w:rPr>
  </w:style>
  <w:style w:type="paragraph" w:customStyle="1" w:styleId="36">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列出段落1"/>
    <w:basedOn w:val="1"/>
    <w:qFormat/>
    <w:uiPriority w:val="34"/>
    <w:pPr>
      <w:ind w:firstLine="420" w:firstLineChars="200"/>
    </w:pPr>
  </w:style>
  <w:style w:type="paragraph" w:customStyle="1" w:styleId="38">
    <w:name w:val="List Paragraph1"/>
    <w:qFormat/>
    <w:uiPriority w:val="0"/>
    <w:pPr>
      <w:ind w:firstLine="420" w:firstLineChars="200"/>
    </w:pPr>
    <w:rPr>
      <w:rFonts w:ascii="Calibri" w:hAnsi="Calibri" w:eastAsia="宋体" w:cs="Times New Roman"/>
      <w:sz w:val="21"/>
      <w:szCs w:val="22"/>
      <w:lang w:val="en-US" w:eastAsia="zh-CN" w:bidi="ar-SA"/>
    </w:rPr>
  </w:style>
  <w:style w:type="paragraph" w:customStyle="1" w:styleId="39">
    <w:name w:val="样式 标题 2 Char + (西文) 黑体 段前: 6 磅 段后: 0.5 行 行距: 1.5 倍行距"/>
    <w:basedOn w:val="5"/>
    <w:qFormat/>
    <w:uiPriority w:val="0"/>
    <w:pPr>
      <w:spacing w:before="120" w:line="360" w:lineRule="auto"/>
    </w:pPr>
    <w:rPr>
      <w:rFonts w:ascii="黑体" w:hAnsi="黑体" w:cs="宋体"/>
      <w:sz w:val="28"/>
      <w:szCs w:val="20"/>
    </w:rPr>
  </w:style>
  <w:style w:type="paragraph" w:customStyle="1" w:styleId="40">
    <w:name w:val="样式1"/>
    <w:next w:val="3"/>
    <w:qFormat/>
    <w:uiPriority w:val="0"/>
    <w:pPr>
      <w:widowControl w:val="0"/>
      <w:ind w:firstLine="200" w:firstLineChars="200"/>
      <w:jc w:val="both"/>
    </w:pPr>
    <w:rPr>
      <w:rFonts w:ascii="仿宋_GB2312" w:hAnsi="Times New Roman" w:eastAsia="仿宋_GB2312" w:cs="Times New Roman"/>
      <w:kern w:val="2"/>
      <w:sz w:val="28"/>
      <w:szCs w:val="28"/>
      <w:lang w:val="en-US" w:eastAsia="zh-CN" w:bidi="ar-SA"/>
    </w:rPr>
  </w:style>
  <w:style w:type="paragraph" w:customStyle="1" w:styleId="41">
    <w:name w:val="p0"/>
    <w:basedOn w:val="1"/>
    <w:qFormat/>
    <w:uiPriority w:val="0"/>
    <w:pPr>
      <w:widowControl/>
    </w:pPr>
    <w:rPr>
      <w:kern w:val="0"/>
      <w:sz w:val="32"/>
      <w:szCs w:val="21"/>
    </w:rPr>
  </w:style>
  <w:style w:type="paragraph" w:customStyle="1" w:styleId="42">
    <w:name w:val="List Paragraph_2b5ace25-7929-4310-8a1a-2bf2c1be16a7"/>
    <w:basedOn w:val="1"/>
    <w:qFormat/>
    <w:uiPriority w:val="34"/>
    <w:pPr>
      <w:ind w:firstLine="420" w:firstLineChars="200"/>
    </w:pPr>
  </w:style>
  <w:style w:type="paragraph" w:customStyle="1" w:styleId="43">
    <w:name w:val="Char1"/>
    <w:basedOn w:val="1"/>
    <w:qFormat/>
    <w:uiPriority w:val="0"/>
    <w:pPr>
      <w:tabs>
        <w:tab w:val="left" w:pos="360"/>
      </w:tabs>
      <w:ind w:left="360" w:hanging="360" w:hangingChars="200"/>
    </w:pPr>
    <w:rPr>
      <w:szCs w:val="24"/>
    </w:rPr>
  </w:style>
  <w:style w:type="character" w:customStyle="1" w:styleId="44">
    <w:name w:val="font01"/>
    <w:basedOn w:val="31"/>
    <w:qFormat/>
    <w:uiPriority w:val="0"/>
    <w:rPr>
      <w:rFonts w:hint="eastAsia" w:ascii="宋体" w:hAnsi="宋体" w:eastAsia="宋体" w:cs="宋体"/>
      <w:color w:val="000000"/>
      <w:sz w:val="20"/>
      <w:szCs w:val="20"/>
      <w:u w:val="none"/>
    </w:rPr>
  </w:style>
  <w:style w:type="character" w:customStyle="1" w:styleId="45">
    <w:name w:val="proollist"/>
    <w:basedOn w:val="31"/>
    <w:qFormat/>
    <w:uiPriority w:val="0"/>
  </w:style>
  <w:style w:type="character" w:customStyle="1" w:styleId="46">
    <w:name w:val="beforeinfotext"/>
    <w:basedOn w:val="31"/>
    <w:qFormat/>
    <w:uiPriority w:val="0"/>
    <w:rPr>
      <w:color w:val="666666"/>
    </w:rPr>
  </w:style>
  <w:style w:type="character" w:customStyle="1" w:styleId="47">
    <w:name w:val="phone"/>
    <w:basedOn w:val="31"/>
    <w:qFormat/>
    <w:uiPriority w:val="0"/>
    <w:rPr>
      <w:color w:val="FF8833"/>
      <w:sz w:val="18"/>
      <w:szCs w:val="18"/>
    </w:rPr>
  </w:style>
  <w:style w:type="character" w:customStyle="1" w:styleId="48">
    <w:name w:val="number"/>
    <w:basedOn w:val="31"/>
    <w:qFormat/>
    <w:uiPriority w:val="0"/>
    <w:rPr>
      <w:color w:val="FF8833"/>
      <w:sz w:val="18"/>
      <w:szCs w:val="18"/>
    </w:rPr>
  </w:style>
  <w:style w:type="paragraph" w:customStyle="1" w:styleId="49">
    <w:name w:val="title11"/>
    <w:basedOn w:val="1"/>
    <w:qFormat/>
    <w:uiPriority w:val="0"/>
    <w:pPr>
      <w:spacing w:before="150"/>
      <w:jc w:val="left"/>
    </w:pPr>
    <w:rPr>
      <w:b/>
      <w:kern w:val="0"/>
      <w:sz w:val="22"/>
    </w:rPr>
  </w:style>
  <w:style w:type="paragraph" w:customStyle="1" w:styleId="50">
    <w:name w:val="title13"/>
    <w:basedOn w:val="1"/>
    <w:qFormat/>
    <w:uiPriority w:val="0"/>
    <w:pPr>
      <w:spacing w:before="150"/>
      <w:jc w:val="left"/>
    </w:pPr>
    <w:rPr>
      <w:b/>
      <w:kern w:val="0"/>
      <w:sz w:val="22"/>
    </w:rPr>
  </w:style>
  <w:style w:type="character" w:customStyle="1" w:styleId="51">
    <w:name w:val="stclosebtn"/>
    <w:basedOn w:val="31"/>
    <w:qFormat/>
    <w:uiPriority w:val="0"/>
  </w:style>
  <w:style w:type="paragraph" w:customStyle="1" w:styleId="52">
    <w:name w:val="样式 样式 样式 (中文) 仿宋_GB2312 四号 黑色 行距: 固定值 28.5 磅 首行缩进:  1.92 字符 + 首行..."/>
    <w:basedOn w:val="1"/>
    <w:qFormat/>
    <w:uiPriority w:val="0"/>
    <w:pPr>
      <w:widowControl/>
      <w:ind w:firstLine="200" w:firstLineChars="200"/>
      <w:jc w:val="left"/>
    </w:pPr>
    <w:rPr>
      <w:rFonts w:eastAsia="仿宋_GB2312" w:cs="宋体"/>
      <w:color w:val="000000"/>
      <w:kern w:val="0"/>
      <w:sz w:val="28"/>
      <w:szCs w:val="20"/>
    </w:rPr>
  </w:style>
  <w:style w:type="paragraph" w:customStyle="1" w:styleId="53">
    <w:name w:val="列出段落11"/>
    <w:basedOn w:val="1"/>
    <w:qFormat/>
    <w:uiPriority w:val="34"/>
    <w:pPr>
      <w:ind w:firstLine="420" w:firstLineChars="200"/>
    </w:pPr>
    <w:rPr>
      <w:rFonts w:ascii="Calibri" w:hAnsi="Calibri"/>
    </w:rPr>
  </w:style>
  <w:style w:type="paragraph" w:customStyle="1" w:styleId="54">
    <w:name w:val="Body text|1"/>
    <w:basedOn w:val="1"/>
    <w:qFormat/>
    <w:uiPriority w:val="0"/>
    <w:pPr>
      <w:spacing w:line="454" w:lineRule="auto"/>
      <w:ind w:firstLine="400"/>
    </w:pPr>
    <w:rPr>
      <w:rFonts w:ascii="宋体" w:hAnsi="宋体" w:cs="宋体"/>
      <w:sz w:val="26"/>
      <w:szCs w:val="26"/>
      <w:lang w:val="zh-TW" w:eastAsia="zh-TW" w:bidi="zh-TW"/>
    </w:rPr>
  </w:style>
  <w:style w:type="paragraph" w:customStyle="1" w:styleId="55">
    <w:name w:val="标题 21"/>
    <w:basedOn w:val="36"/>
    <w:next w:val="36"/>
    <w:qFormat/>
    <w:uiPriority w:val="0"/>
    <w:pPr>
      <w:ind w:left="270" w:hanging="270"/>
      <w:jc w:val="left"/>
      <w:outlineLvl w:val="1"/>
    </w:pPr>
    <w:rPr>
      <w:rFonts w:ascii="Arial" w:hAnsi="Arial" w:cs="宋体"/>
      <w:kern w:val="0"/>
      <w:sz w:val="32"/>
      <w:szCs w:val="32"/>
      <w:lang w:val="zh-CN"/>
    </w:rPr>
  </w:style>
  <w:style w:type="character" w:customStyle="1" w:styleId="56">
    <w:name w:val="批注框文本 Char"/>
    <w:basedOn w:val="31"/>
    <w:link w:val="18"/>
    <w:qFormat/>
    <w:uiPriority w:val="0"/>
    <w:rPr>
      <w:kern w:val="2"/>
      <w:sz w:val="18"/>
      <w:szCs w:val="18"/>
    </w:rPr>
  </w:style>
  <w:style w:type="paragraph" w:customStyle="1" w:styleId="57">
    <w:name w:val="Table Text"/>
    <w:basedOn w:val="1"/>
    <w:semiHidden/>
    <w:qFormat/>
    <w:uiPriority w:val="0"/>
    <w:rPr>
      <w:rFonts w:ascii="仿宋" w:hAnsi="仿宋" w:eastAsia="仿宋" w:cs="仿宋"/>
      <w:sz w:val="24"/>
      <w:szCs w:val="24"/>
      <w:lang w:val="en-US" w:eastAsia="en-US" w:bidi="ar-SA"/>
    </w:rPr>
  </w:style>
  <w:style w:type="table" w:customStyle="1" w:styleId="58">
    <w:name w:val="Table Normal"/>
    <w:semiHidden/>
    <w:unhideWhenUsed/>
    <w:qFormat/>
    <w:uiPriority w:val="0"/>
    <w:tblPr>
      <w:tblCellMar>
        <w:top w:w="0" w:type="dxa"/>
        <w:left w:w="0" w:type="dxa"/>
        <w:bottom w:w="0" w:type="dxa"/>
        <w:right w:w="0" w:type="dxa"/>
      </w:tblCellMar>
    </w:tblPr>
  </w:style>
  <w:style w:type="character" w:customStyle="1" w:styleId="59">
    <w:name w:val="font11"/>
    <w:basedOn w:val="31"/>
    <w:qFormat/>
    <w:uiPriority w:val="0"/>
    <w:rPr>
      <w:rFonts w:ascii="宋体" w:hAnsi="宋体" w:eastAsia="宋体" w:cs="宋体"/>
      <w:b/>
      <w:bCs/>
      <w:color w:val="000000"/>
      <w:sz w:val="24"/>
      <w:szCs w:val="24"/>
      <w:u w:val="none"/>
    </w:rPr>
  </w:style>
  <w:style w:type="character" w:customStyle="1" w:styleId="60">
    <w:name w:val="font81"/>
    <w:basedOn w:val="31"/>
    <w:qFormat/>
    <w:uiPriority w:val="0"/>
    <w:rPr>
      <w:rFonts w:ascii="宋体" w:hAnsi="宋体" w:eastAsia="宋体" w:cs="宋体"/>
      <w:b/>
      <w:bCs/>
      <w:color w:val="000000"/>
      <w:sz w:val="24"/>
      <w:szCs w:val="24"/>
      <w:u w:val="single"/>
    </w:rPr>
  </w:style>
  <w:style w:type="character" w:customStyle="1" w:styleId="61">
    <w:name w:val="font31"/>
    <w:basedOn w:val="31"/>
    <w:qFormat/>
    <w:uiPriority w:val="0"/>
    <w:rPr>
      <w:rFonts w:ascii="宋体" w:hAnsi="宋体" w:eastAsia="宋体" w:cs="宋体"/>
      <w:color w:val="000000"/>
      <w:sz w:val="16"/>
      <w:szCs w:val="16"/>
      <w:u w:val="none"/>
    </w:rPr>
  </w:style>
  <w:style w:type="character" w:customStyle="1" w:styleId="62">
    <w:name w:val="font41"/>
    <w:basedOn w:val="31"/>
    <w:qFormat/>
    <w:uiPriority w:val="0"/>
    <w:rPr>
      <w:rFonts w:hint="eastAsia" w:ascii="宋体" w:hAnsi="宋体" w:eastAsia="宋体" w:cs="宋体"/>
      <w:color w:val="000000"/>
      <w:sz w:val="22"/>
      <w:szCs w:val="22"/>
      <w:u w:val="none"/>
    </w:rPr>
  </w:style>
  <w:style w:type="character" w:customStyle="1" w:styleId="63">
    <w:name w:val="font91"/>
    <w:basedOn w:val="31"/>
    <w:qFormat/>
    <w:uiPriority w:val="0"/>
    <w:rPr>
      <w:rFonts w:hint="default" w:ascii="Arial" w:hAnsi="Arial" w:cs="Arial"/>
      <w:color w:val="000000"/>
      <w:sz w:val="22"/>
      <w:szCs w:val="22"/>
      <w:u w:val="single"/>
    </w:rPr>
  </w:style>
  <w:style w:type="paragraph" w:customStyle="1" w:styleId="64">
    <w:name w:val="null3"/>
    <w:hidden/>
    <w:qFormat/>
    <w:uiPriority w:val="0"/>
    <w:rPr>
      <w:rFonts w:hint="eastAsia" w:asciiTheme="minorHAnsi" w:hAnsiTheme="minorHAnsi" w:eastAsiaTheme="minorEastAsia" w:cstheme="minorBidi"/>
      <w:lang w:val="en-US" w:eastAsia="zh-Hans"/>
    </w:rPr>
  </w:style>
  <w:style w:type="character" w:customStyle="1" w:styleId="65">
    <w:name w:val="font21"/>
    <w:basedOn w:val="31"/>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67</Pages>
  <Words>2409</Words>
  <Characters>2866</Characters>
  <Lines>411</Lines>
  <Paragraphs>115</Paragraphs>
  <TotalTime>15</TotalTime>
  <ScaleCrop>false</ScaleCrop>
  <LinksUpToDate>false</LinksUpToDate>
  <CharactersWithSpaces>2923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2023-11-13T06:24:00Z</dcterms:created>
  <dc:creator>天海1415003450</dc:creator>
  <cp:lastModifiedBy>Mr.sy</cp:lastModifiedBy>
  <cp:lastPrinted>2018-10-16T02:20:00Z</cp:lastPrinted>
  <dcterms:modified xsi:type="dcterms:W3CDTF">2025-10-28T10:23:25Z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411FDC2A352044BE9657658114C5D1A8_13</vt:lpwstr>
  </property>
  <property fmtid="{D5CDD505-2E9C-101B-9397-08002B2CF9AE}" pid="4" name="KSOTemplateDocerSaveRecord">
    <vt:lpwstr>eyJoZGlkIjoiNjE3MzAxNTgxYjAxOTI0ZjUxMzZjMDU1NTMzNDBmOTIiLCJ1c2VySWQiOiIyMzA4NTAzMTYifQ==</vt:lpwstr>
  </property>
</Properties>
</file>