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0E1D9">
      <w:pPr>
        <w:ind w:firstLine="600" w:firstLineChars="200"/>
        <w:jc w:val="center"/>
        <w:rPr>
          <w:rFonts w:hint="eastAsia" w:ascii="新宋体" w:hAnsi="新宋体" w:eastAsia="新宋体" w:cs="新宋体"/>
          <w:color w:val="000000"/>
          <w:kern w:val="0"/>
          <w:sz w:val="30"/>
          <w:szCs w:val="30"/>
        </w:rPr>
      </w:pPr>
      <w:r>
        <w:rPr>
          <w:rFonts w:hint="eastAsia" w:ascii="新宋体" w:hAnsi="新宋体" w:eastAsia="新宋体" w:cs="新宋体"/>
          <w:color w:val="000000"/>
          <w:kern w:val="0"/>
          <w:sz w:val="30"/>
          <w:szCs w:val="30"/>
        </w:rPr>
        <w:t>采购需求</w:t>
      </w:r>
    </w:p>
    <w:tbl>
      <w:tblPr>
        <w:tblStyle w:val="6"/>
        <w:tblW w:w="86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58"/>
      </w:tblGrid>
      <w:tr w14:paraId="345C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8658" w:type="dxa"/>
            <w:tcBorders>
              <w:top w:val="single" w:color="auto" w:sz="4" w:space="0"/>
              <w:bottom w:val="single" w:color="auto" w:sz="4" w:space="0"/>
            </w:tcBorders>
          </w:tcPr>
          <w:p w14:paraId="1852CA20">
            <w:pPr>
              <w:numPr>
                <w:ilvl w:val="0"/>
                <w:numId w:val="0"/>
              </w:numPr>
              <w:rPr>
                <w:rFonts w:hint="eastAsia" w:ascii="新宋体" w:hAnsi="新宋体" w:eastAsia="新宋体" w:cs="新宋体"/>
                <w:color w:val="000000" w:themeColor="text1"/>
                <w:sz w:val="24"/>
                <w:szCs w:val="24"/>
                <w:highlight w:val="none"/>
                <w:lang w:val="en-US" w:eastAsia="zh-CN"/>
                <w14:textFill>
                  <w14:solidFill>
                    <w14:schemeClr w14:val="tx1"/>
                  </w14:solidFill>
                </w14:textFill>
              </w:rPr>
            </w:pPr>
            <w:r>
              <w:rPr>
                <w:rFonts w:hint="eastAsia" w:ascii="新宋体" w:hAnsi="新宋体" w:eastAsia="新宋体" w:cs="新宋体"/>
                <w:color w:val="000000" w:themeColor="text1"/>
                <w:kern w:val="2"/>
                <w:sz w:val="24"/>
                <w:szCs w:val="24"/>
                <w:highlight w:val="none"/>
                <w:lang w:val="en-US" w:eastAsia="zh-CN" w:bidi="ar-SA"/>
                <w14:textFill>
                  <w14:solidFill>
                    <w14:schemeClr w14:val="tx1"/>
                  </w14:solidFill>
                </w14:textFill>
              </w:rPr>
              <w:t>一、</w:t>
            </w:r>
            <w:r>
              <w:rPr>
                <w:rFonts w:hint="eastAsia" w:ascii="新宋体" w:hAnsi="新宋体" w:eastAsia="新宋体" w:cs="新宋体"/>
                <w:color w:val="000000" w:themeColor="text1"/>
                <w:sz w:val="24"/>
                <w:szCs w:val="24"/>
                <w:highlight w:val="none"/>
                <w:lang w:val="en-US" w:eastAsia="zh-CN"/>
                <w14:textFill>
                  <w14:solidFill>
                    <w14:schemeClr w14:val="tx1"/>
                  </w14:solidFill>
                </w14:textFill>
              </w:rPr>
              <w:t>项目概况：</w:t>
            </w:r>
          </w:p>
          <w:p w14:paraId="67B071FF">
            <w:pPr>
              <w:rPr>
                <w:rFonts w:hint="eastAsia" w:ascii="新宋体" w:hAnsi="新宋体" w:eastAsia="新宋体" w:cs="新宋体"/>
                <w:color w:val="000000" w:themeColor="text1"/>
                <w:sz w:val="24"/>
                <w:szCs w:val="24"/>
                <w:highlight w:val="none"/>
                <w14:textFill>
                  <w14:solidFill>
                    <w14:schemeClr w14:val="tx1"/>
                  </w14:solidFill>
                </w14:textFill>
              </w:rPr>
            </w:pPr>
            <w:r>
              <w:rPr>
                <w:rFonts w:hint="eastAsia" w:ascii="仿宋_GB2312" w:hAnsi="仿宋_GB2312" w:eastAsia="仿宋_GB2312" w:cs="仿宋_GB2312"/>
                <w:i w:val="0"/>
                <w:iCs w:val="0"/>
                <w:caps w:val="0"/>
                <w:spacing w:val="0"/>
                <w:sz w:val="24"/>
                <w:szCs w:val="24"/>
                <w:shd w:val="clear" w:fill="FFFFFF"/>
                <w:lang w:eastAsia="zh-CN"/>
              </w:rPr>
              <w:t>按照平安医院建设相关要求，</w:t>
            </w:r>
            <w:r>
              <w:rPr>
                <w:rFonts w:hint="eastAsia" w:ascii="仿宋_GB2312" w:hAnsi="仿宋_GB2312" w:eastAsia="仿宋_GB2312" w:cs="仿宋_GB2312"/>
                <w:i w:val="0"/>
                <w:iCs w:val="0"/>
                <w:caps w:val="0"/>
                <w:spacing w:val="0"/>
                <w:sz w:val="24"/>
                <w:szCs w:val="24"/>
                <w:shd w:val="clear" w:fill="FFFFFF"/>
              </w:rPr>
              <w:t>需</w:t>
            </w:r>
            <w:r>
              <w:rPr>
                <w:rFonts w:hint="eastAsia" w:ascii="仿宋_GB2312" w:hAnsi="仿宋_GB2312" w:eastAsia="仿宋_GB2312" w:cs="仿宋_GB2312"/>
                <w:i w:val="0"/>
                <w:iCs w:val="0"/>
                <w:caps w:val="0"/>
                <w:spacing w:val="0"/>
                <w:sz w:val="24"/>
                <w:szCs w:val="24"/>
                <w:shd w:val="clear" w:fill="FFFFFF"/>
                <w:lang w:eastAsia="zh-CN"/>
              </w:rPr>
              <w:t>严格</w:t>
            </w:r>
            <w:r>
              <w:rPr>
                <w:rFonts w:hint="eastAsia" w:ascii="仿宋_GB2312" w:hAnsi="仿宋_GB2312" w:eastAsia="仿宋_GB2312" w:cs="仿宋_GB2312"/>
                <w:i w:val="0"/>
                <w:iCs w:val="0"/>
                <w:caps w:val="0"/>
                <w:spacing w:val="0"/>
                <w:sz w:val="24"/>
                <w:szCs w:val="24"/>
                <w:shd w:val="clear" w:fill="FFFFFF"/>
              </w:rPr>
              <w:t>防范</w:t>
            </w:r>
            <w:r>
              <w:rPr>
                <w:rFonts w:hint="eastAsia" w:ascii="仿宋_GB2312" w:hAnsi="仿宋_GB2312" w:eastAsia="仿宋_GB2312" w:cs="仿宋_GB2312"/>
                <w:i w:val="0"/>
                <w:iCs w:val="0"/>
                <w:caps w:val="0"/>
                <w:spacing w:val="0"/>
                <w:sz w:val="24"/>
                <w:szCs w:val="24"/>
                <w:shd w:val="clear" w:fill="FFFFFF"/>
                <w:lang w:eastAsia="zh-CN"/>
              </w:rPr>
              <w:t>电井等重点区域的</w:t>
            </w:r>
            <w:r>
              <w:rPr>
                <w:rFonts w:hint="eastAsia" w:ascii="仿宋_GB2312" w:hAnsi="仿宋_GB2312" w:eastAsia="仿宋_GB2312" w:cs="仿宋_GB2312"/>
                <w:i w:val="0"/>
                <w:iCs w:val="0"/>
                <w:caps w:val="0"/>
                <w:spacing w:val="0"/>
                <w:sz w:val="24"/>
                <w:szCs w:val="24"/>
                <w:shd w:val="clear" w:fill="FFFFFF"/>
              </w:rPr>
              <w:t>安全风险，</w:t>
            </w:r>
            <w:r>
              <w:rPr>
                <w:rFonts w:hint="eastAsia" w:ascii="仿宋_GB2312" w:hAnsi="仿宋_GB2312" w:eastAsia="仿宋_GB2312" w:cs="仿宋_GB2312"/>
                <w:i w:val="0"/>
                <w:iCs w:val="0"/>
                <w:caps w:val="0"/>
                <w:spacing w:val="0"/>
                <w:sz w:val="24"/>
                <w:szCs w:val="24"/>
                <w:shd w:val="clear" w:fill="FFFFFF"/>
                <w:lang w:eastAsia="zh-CN"/>
              </w:rPr>
              <w:t>通过安装安防报警系统</w:t>
            </w:r>
            <w:r>
              <w:rPr>
                <w:rFonts w:hint="eastAsia" w:ascii="仿宋_GB2312" w:hAnsi="仿宋_GB2312" w:eastAsia="仿宋_GB2312" w:cs="仿宋_GB2312"/>
                <w:i w:val="0"/>
                <w:iCs w:val="0"/>
                <w:caps w:val="0"/>
                <w:spacing w:val="0"/>
                <w:sz w:val="24"/>
                <w:szCs w:val="24"/>
                <w:shd w:val="clear" w:fill="FFFFFF"/>
              </w:rPr>
              <w:t>实时监测</w:t>
            </w:r>
            <w:r>
              <w:rPr>
                <w:rFonts w:hint="eastAsia" w:ascii="仿宋_GB2312" w:hAnsi="仿宋_GB2312" w:eastAsia="仿宋_GB2312" w:cs="仿宋_GB2312"/>
                <w:i w:val="0"/>
                <w:iCs w:val="0"/>
                <w:caps w:val="0"/>
                <w:spacing w:val="0"/>
                <w:sz w:val="24"/>
                <w:szCs w:val="24"/>
                <w:shd w:val="clear" w:fill="FFFFFF"/>
                <w:lang w:eastAsia="zh-CN"/>
              </w:rPr>
              <w:t>特定区域内的</w:t>
            </w:r>
            <w:r>
              <w:rPr>
                <w:rFonts w:hint="eastAsia" w:ascii="仿宋_GB2312" w:hAnsi="仿宋_GB2312" w:eastAsia="仿宋_GB2312" w:cs="仿宋_GB2312"/>
                <w:i w:val="0"/>
                <w:iCs w:val="0"/>
                <w:caps w:val="0"/>
                <w:spacing w:val="0"/>
                <w:sz w:val="24"/>
                <w:szCs w:val="24"/>
                <w:shd w:val="clear" w:fill="FFFFFF"/>
              </w:rPr>
              <w:t>烟雾浓度</w:t>
            </w:r>
            <w:r>
              <w:rPr>
                <w:rFonts w:hint="eastAsia" w:ascii="仿宋_GB2312" w:hAnsi="仿宋_GB2312" w:eastAsia="仿宋_GB2312" w:cs="仿宋_GB2312"/>
                <w:i w:val="0"/>
                <w:iCs w:val="0"/>
                <w:caps w:val="0"/>
                <w:spacing w:val="0"/>
                <w:sz w:val="24"/>
                <w:szCs w:val="24"/>
                <w:shd w:val="clear" w:fill="FFFFFF"/>
                <w:lang w:val="en-US" w:eastAsia="zh-CN"/>
              </w:rPr>
              <w:t>等指标</w:t>
            </w:r>
            <w:r>
              <w:rPr>
                <w:rFonts w:hint="eastAsia" w:ascii="仿宋_GB2312" w:hAnsi="仿宋_GB2312" w:eastAsia="仿宋_GB2312" w:cs="仿宋_GB2312"/>
                <w:i w:val="0"/>
                <w:iCs w:val="0"/>
                <w:caps w:val="0"/>
                <w:spacing w:val="0"/>
                <w:sz w:val="24"/>
                <w:szCs w:val="24"/>
                <w:shd w:val="clear" w:fill="FFFFFF"/>
              </w:rPr>
              <w:t>情况，</w:t>
            </w:r>
            <w:r>
              <w:rPr>
                <w:rFonts w:hint="eastAsia" w:ascii="仿宋_GB2312" w:hAnsi="仿宋_GB2312" w:eastAsia="仿宋_GB2312" w:cs="仿宋_GB2312"/>
                <w:i w:val="0"/>
                <w:iCs w:val="0"/>
                <w:caps w:val="0"/>
                <w:spacing w:val="0"/>
                <w:sz w:val="24"/>
                <w:szCs w:val="24"/>
                <w:shd w:val="clear" w:fill="FFFFFF"/>
                <w:lang w:eastAsia="zh-CN"/>
              </w:rPr>
              <w:t>适时启动后续应急处置流程，进而</w:t>
            </w:r>
            <w:r>
              <w:rPr>
                <w:rFonts w:hint="eastAsia" w:ascii="仿宋_GB2312" w:hAnsi="仿宋_GB2312" w:eastAsia="仿宋_GB2312" w:cs="仿宋_GB2312"/>
                <w:i w:val="0"/>
                <w:iCs w:val="0"/>
                <w:caps w:val="0"/>
                <w:spacing w:val="0"/>
                <w:sz w:val="24"/>
                <w:szCs w:val="24"/>
                <w:shd w:val="clear" w:fill="FFFFFF"/>
              </w:rPr>
              <w:t>保障医院安全。</w:t>
            </w:r>
          </w:p>
        </w:tc>
      </w:tr>
      <w:tr w14:paraId="6341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7" w:hRule="atLeast"/>
        </w:trPr>
        <w:tc>
          <w:tcPr>
            <w:tcW w:w="8658" w:type="dxa"/>
            <w:tcBorders>
              <w:top w:val="single" w:color="auto" w:sz="4" w:space="0"/>
              <w:bottom w:val="single" w:color="auto" w:sz="4" w:space="0"/>
            </w:tcBorders>
          </w:tcPr>
          <w:p w14:paraId="2326162A">
            <w:pPr>
              <w:numPr>
                <w:ilvl w:val="0"/>
                <w:numId w:val="0"/>
              </w:numPr>
              <w:rPr>
                <w:rFonts w:hint="eastAsia" w:ascii="新宋体" w:hAnsi="新宋体" w:eastAsia="新宋体" w:cs="新宋体"/>
                <w:color w:val="000000" w:themeColor="text1"/>
                <w:kern w:val="2"/>
                <w:sz w:val="24"/>
                <w:szCs w:val="24"/>
                <w:highlight w:val="none"/>
                <w:lang w:val="en-US" w:eastAsia="zh-CN" w:bidi="ar-SA"/>
                <w14:textFill>
                  <w14:solidFill>
                    <w14:schemeClr w14:val="tx1"/>
                  </w14:solidFill>
                </w14:textFill>
              </w:rPr>
            </w:pPr>
            <w:r>
              <w:rPr>
                <w:rFonts w:hint="eastAsia" w:ascii="新宋体" w:hAnsi="新宋体" w:eastAsia="新宋体" w:cs="新宋体"/>
                <w:color w:val="000000" w:themeColor="text1"/>
                <w:kern w:val="2"/>
                <w:sz w:val="24"/>
                <w:szCs w:val="24"/>
                <w:highlight w:val="none"/>
                <w:lang w:val="en-US" w:eastAsia="zh-CN" w:bidi="ar-SA"/>
                <w14:textFill>
                  <w14:solidFill>
                    <w14:schemeClr w14:val="tx1"/>
                  </w14:solidFill>
                </w14:textFill>
              </w:rPr>
              <w:t>二、采购内容：</w:t>
            </w:r>
          </w:p>
          <w:p w14:paraId="3238DDC8">
            <w:pPr>
              <w:numPr>
                <w:ilvl w:val="0"/>
                <w:numId w:val="0"/>
              </w:numPr>
              <w:ind w:left="0" w:leftChars="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1.烟雾检测报警摄像头 63个</w:t>
            </w:r>
          </w:p>
          <w:p w14:paraId="48F8EB41">
            <w:pPr>
              <w:numPr>
                <w:ilvl w:val="0"/>
                <w:numId w:val="0"/>
              </w:numPr>
              <w:ind w:left="0" w:leftChars="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2.水浸探测器 3个</w:t>
            </w:r>
          </w:p>
          <w:p w14:paraId="13FA13B6">
            <w:pPr>
              <w:numPr>
                <w:ilvl w:val="0"/>
                <w:numId w:val="0"/>
              </w:numPr>
              <w:ind w:left="0" w:leftChars="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3.消防业务系统 1套</w:t>
            </w:r>
          </w:p>
          <w:p w14:paraId="78A91189">
            <w:pPr>
              <w:numPr>
                <w:ilvl w:val="0"/>
                <w:numId w:val="0"/>
              </w:numPr>
              <w:ind w:left="0" w:leftChars="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4.消防实时监测（业务组件） 1套</w:t>
            </w:r>
          </w:p>
          <w:p w14:paraId="1C9E795C">
            <w:pPr>
              <w:numPr>
                <w:ilvl w:val="0"/>
                <w:numId w:val="0"/>
              </w:numPr>
              <w:ind w:left="0" w:leftChars="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5.平台视频接入授权 200个</w:t>
            </w:r>
          </w:p>
          <w:p w14:paraId="0B26331C">
            <w:pPr>
              <w:numPr>
                <w:ilvl w:val="0"/>
                <w:numId w:val="0"/>
              </w:numPr>
              <w:ind w:left="0" w:leftChars="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6.36盘位磁盘阵列 1台</w:t>
            </w:r>
          </w:p>
          <w:p w14:paraId="095AC149">
            <w:pPr>
              <w:numPr>
                <w:ilvl w:val="0"/>
                <w:numId w:val="0"/>
              </w:numPr>
              <w:ind w:left="0" w:leftChars="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7.16T企业级硬盘 4块</w:t>
            </w:r>
          </w:p>
          <w:p w14:paraId="3DD9C88E">
            <w:pPr>
              <w:numPr>
                <w:ilvl w:val="0"/>
                <w:numId w:val="0"/>
              </w:numPr>
              <w:ind w:left="0" w:leftChars="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8.网线 4500米</w:t>
            </w:r>
          </w:p>
          <w:p w14:paraId="2CA62A45">
            <w:pPr>
              <w:numPr>
                <w:ilvl w:val="0"/>
                <w:numId w:val="0"/>
              </w:numPr>
              <w:ind w:left="0" w:leftChars="0" w:firstLine="218" w:firstLineChars="91"/>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9.24口POE交换机 16台</w:t>
            </w:r>
          </w:p>
        </w:tc>
      </w:tr>
      <w:tr w14:paraId="1D76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8658" w:type="dxa"/>
            <w:tcBorders>
              <w:top w:val="single" w:color="auto" w:sz="4" w:space="0"/>
              <w:bottom w:val="single" w:color="auto" w:sz="4" w:space="0"/>
            </w:tcBorders>
          </w:tcPr>
          <w:p w14:paraId="5A71BD72">
            <w:pPr>
              <w:numPr>
                <w:ilvl w:val="0"/>
                <w:numId w:val="0"/>
              </w:numPr>
              <w:ind w:right="42" w:rightChars="20"/>
              <w:rPr>
                <w:rFonts w:hint="eastAsia" w:ascii="新宋体" w:hAnsi="新宋体" w:eastAsia="新宋体" w:cs="新宋体"/>
                <w:color w:val="000000" w:themeColor="text1"/>
                <w:sz w:val="24"/>
                <w:szCs w:val="24"/>
                <w:highlight w:val="none"/>
                <w:lang w:val="en-US" w:eastAsia="zh-CN"/>
                <w14:textFill>
                  <w14:solidFill>
                    <w14:schemeClr w14:val="tx1"/>
                  </w14:solidFill>
                </w14:textFill>
              </w:rPr>
            </w:pPr>
            <w:r>
              <w:rPr>
                <w:rFonts w:hint="eastAsia" w:ascii="新宋体" w:hAnsi="新宋体" w:eastAsia="新宋体" w:cs="新宋体"/>
                <w:color w:val="000000" w:themeColor="text1"/>
                <w:kern w:val="2"/>
                <w:sz w:val="24"/>
                <w:szCs w:val="24"/>
                <w:highlight w:val="none"/>
                <w:lang w:val="en-US" w:eastAsia="zh-CN" w:bidi="ar-SA"/>
                <w14:textFill>
                  <w14:solidFill>
                    <w14:schemeClr w14:val="tx1"/>
                  </w14:solidFill>
                </w14:textFill>
              </w:rPr>
              <w:t>三、</w:t>
            </w:r>
            <w:r>
              <w:rPr>
                <w:rFonts w:hint="eastAsia" w:ascii="新宋体" w:hAnsi="新宋体" w:eastAsia="新宋体" w:cs="新宋体"/>
                <w:color w:val="000000" w:themeColor="text1"/>
                <w:sz w:val="24"/>
                <w:szCs w:val="24"/>
                <w:highlight w:val="none"/>
                <w:lang w:val="en-US" w:eastAsia="zh-CN"/>
                <w14:textFill>
                  <w14:solidFill>
                    <w14:schemeClr w14:val="tx1"/>
                  </w14:solidFill>
                </w14:textFill>
              </w:rPr>
              <w:t>技术</w:t>
            </w:r>
            <w:r>
              <w:rPr>
                <w:rFonts w:hint="eastAsia" w:ascii="新宋体" w:hAnsi="新宋体" w:eastAsia="新宋体" w:cs="新宋体"/>
                <w:color w:val="000000" w:themeColor="text1"/>
                <w:sz w:val="24"/>
                <w:szCs w:val="24"/>
                <w:highlight w:val="none"/>
                <w14:textFill>
                  <w14:solidFill>
                    <w14:schemeClr w14:val="tx1"/>
                  </w14:solidFill>
                </w14:textFill>
              </w:rPr>
              <w:t>要求：</w:t>
            </w:r>
          </w:p>
          <w:p w14:paraId="3FC9649B">
            <w:pPr>
              <w:numPr>
                <w:ilvl w:val="0"/>
                <w:numId w:val="0"/>
              </w:numPr>
              <w:spacing w:line="276" w:lineRule="auto"/>
              <w:ind w:leftChars="0" w:right="42" w:rightChars="20"/>
              <w:jc w:val="left"/>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t>(一)烟雾检测报警摄像头</w:t>
            </w:r>
          </w:p>
          <w:p w14:paraId="22B2349B">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通讯方式</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1个 (RJ-45网口,支持10M/100M 网络数据)</w:t>
            </w:r>
          </w:p>
          <w:p w14:paraId="15D9E42C">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2.</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指示灯</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1个双色指示灯：正常状态60 s闪烁1次绿灯、报警状态1 s闪烁1次红灯、自检时1s闪烁1次红灯、欠压状态60s闪烁1次红灯</w:t>
            </w:r>
          </w:p>
          <w:p w14:paraId="58A859A9">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3.</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保护面积</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30平方米～60平方米，具体请参考GB50116-2013</w:t>
            </w:r>
          </w:p>
          <w:p w14:paraId="0895DDA9">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4.</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报警方式</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声、光报警</w:t>
            </w:r>
          </w:p>
          <w:p w14:paraId="2FD3F37C">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5.</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工作电压</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适配器工作电压：DC12V（±25%）；POE工作电压：POE(802.3af)</w:t>
            </w:r>
          </w:p>
          <w:p w14:paraId="0A5AAA3A">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6.</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工作电流</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不启动视频模组≤30uA、启动视频模组后≤300mA</w:t>
            </w:r>
          </w:p>
          <w:p w14:paraId="6D4AE817">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7.</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电池寿命</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内置锂电池可供烟感模块使用大于3年</w:t>
            </w:r>
          </w:p>
          <w:p w14:paraId="09C520C8">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8.</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报警音量</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≥80dB，3米 (A计权)</w:t>
            </w:r>
          </w:p>
          <w:p w14:paraId="71BCCC51">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9.</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报警：支持</w:t>
            </w:r>
          </w:p>
          <w:p w14:paraId="360118B9">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10.</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报警事件</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网络断开；IP冲突；非法访问；动态检测；视频遮挡；烟雾报警；传感器</w:t>
            </w:r>
          </w:p>
          <w:p w14:paraId="2CC41C1F">
            <w:pPr>
              <w:numPr>
                <w:ilvl w:val="0"/>
                <w:numId w:val="0"/>
              </w:numPr>
              <w:spacing w:line="276" w:lineRule="auto"/>
              <w:ind w:left="0" w:leftChars="0" w:right="42" w:rightChars="20" w:firstLine="218" w:firstLineChars="91"/>
              <w:jc w:val="left"/>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11.</w:t>
            </w:r>
            <w:r>
              <w:rPr>
                <w:rFonts w:ascii="仿宋_GB2312" w:hAnsi="仿宋_GB2312" w:eastAsia="仿宋_GB2312" w:cs="仿宋_GB2312"/>
              </w:rPr>
              <w:t>★</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具备</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与原有大华平台</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及相关设备</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无缝对接</w:t>
            </w:r>
          </w:p>
          <w:p w14:paraId="5368E442">
            <w:pPr>
              <w:widowControl w:val="0"/>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12.包含安装调试和相关的所有材料</w:t>
            </w:r>
          </w:p>
          <w:p w14:paraId="1A5BAD31">
            <w:pPr>
              <w:numPr>
                <w:ilvl w:val="0"/>
                <w:numId w:val="0"/>
              </w:numPr>
              <w:spacing w:line="276" w:lineRule="auto"/>
              <w:ind w:leftChars="0" w:right="42" w:rightChars="20"/>
              <w:jc w:val="left"/>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t>(</w:t>
            </w:r>
            <w:r>
              <w:rPr>
                <w:rFonts w:hint="eastAsia" w:ascii="仿宋" w:hAnsi="仿宋" w:eastAsia="仿宋" w:cs="宋体"/>
                <w:b/>
                <w:bCs/>
                <w:color w:val="000000" w:themeColor="text1"/>
                <w:kern w:val="0"/>
                <w:sz w:val="24"/>
                <w:szCs w:val="24"/>
                <w:highlight w:val="none"/>
                <w:lang w:val="en-US" w:eastAsia="zh-CN" w:bidi="ar-SA"/>
                <w14:textFill>
                  <w14:solidFill>
                    <w14:schemeClr w14:val="tx1"/>
                  </w14:solidFill>
                </w14:textFill>
              </w:rPr>
              <w:t>二</w:t>
            </w:r>
            <w:r>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t xml:space="preserve">)水浸探测器 </w:t>
            </w:r>
          </w:p>
          <w:p w14:paraId="18449919">
            <w:pPr>
              <w:widowControl w:val="0"/>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水感探头；灵敏度≤500kΩ</w:t>
            </w:r>
          </w:p>
          <w:p w14:paraId="595F3711">
            <w:pPr>
              <w:widowControl w:val="0"/>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2.</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工作电流≤30mA</w:t>
            </w:r>
          </w:p>
          <w:p w14:paraId="0AEFB1D9">
            <w:pPr>
              <w:widowControl w:val="0"/>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3.</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报警电流≤200mA</w:t>
            </w:r>
          </w:p>
          <w:p w14:paraId="4EA9794E">
            <w:pPr>
              <w:widowControl w:val="0"/>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4.</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报警声压85dB</w:t>
            </w:r>
          </w:p>
          <w:p w14:paraId="630F6BC0">
            <w:pPr>
              <w:widowControl w:val="0"/>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5.</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报警输出:继电器NC/NO（默认NC）;防拆报警常闭输出</w:t>
            </w:r>
          </w:p>
          <w:p w14:paraId="64C1A167">
            <w:pPr>
              <w:widowControl w:val="0"/>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6.</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供电方式：DC12V~24V</w:t>
            </w:r>
          </w:p>
          <w:p w14:paraId="7C79C6C5">
            <w:pPr>
              <w:widowControl w:val="0"/>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7.</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安装方式：壁挂；净重：103.5g</w:t>
            </w:r>
          </w:p>
          <w:p w14:paraId="1F92A7FB">
            <w:pPr>
              <w:numPr>
                <w:ilvl w:val="0"/>
                <w:numId w:val="0"/>
              </w:numPr>
              <w:spacing w:line="276" w:lineRule="auto"/>
              <w:ind w:leftChars="0" w:right="42" w:rightChars="20"/>
              <w:jc w:val="left"/>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t>(</w:t>
            </w:r>
            <w:r>
              <w:rPr>
                <w:rFonts w:hint="eastAsia" w:ascii="仿宋" w:hAnsi="仿宋" w:eastAsia="仿宋" w:cs="宋体"/>
                <w:b/>
                <w:bCs/>
                <w:color w:val="000000" w:themeColor="text1"/>
                <w:kern w:val="0"/>
                <w:sz w:val="24"/>
                <w:szCs w:val="24"/>
                <w:highlight w:val="none"/>
                <w:lang w:val="en-US" w:eastAsia="zh-CN" w:bidi="ar-SA"/>
                <w14:textFill>
                  <w14:solidFill>
                    <w14:schemeClr w14:val="tx1"/>
                  </w14:solidFill>
                </w14:textFill>
              </w:rPr>
              <w:t>三</w:t>
            </w:r>
            <w:r>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t xml:space="preserve">)消防业务系统 </w:t>
            </w:r>
          </w:p>
          <w:p w14:paraId="652598CD">
            <w:pPr>
              <w:numPr>
                <w:ilvl w:val="0"/>
                <w:numId w:val="0"/>
              </w:numPr>
              <w:spacing w:line="276" w:lineRule="auto"/>
              <w:ind w:left="0" w:leftChars="0" w:right="42" w:rightChars="20" w:firstLine="218" w:firstLineChars="91"/>
              <w:jc w:val="left"/>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1.消控室管理：支持配置消控室信息：消控室信息、所属组织、所属单位、地址、消控室电话、关联用传、关联视频、值班人员；值班人员≤10人</w:t>
            </w:r>
          </w:p>
          <w:p w14:paraId="7ADB5662">
            <w:pPr>
              <w:numPr>
                <w:ilvl w:val="0"/>
                <w:numId w:val="0"/>
              </w:numPr>
              <w:spacing w:line="276" w:lineRule="auto"/>
              <w:ind w:left="0" w:leftChars="0" w:right="42" w:rightChars="20" w:firstLine="218" w:firstLineChars="91"/>
              <w:jc w:val="left"/>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2.微型消防站管理：支持配置微型消防站基础信息；支持配置微型消防站资源；支持配置微型消防站值班人员≤10人</w:t>
            </w:r>
          </w:p>
          <w:p w14:paraId="6B5D11B2">
            <w:pPr>
              <w:numPr>
                <w:ilvl w:val="0"/>
                <w:numId w:val="0"/>
              </w:numPr>
              <w:spacing w:line="276" w:lineRule="auto"/>
              <w:ind w:left="0" w:leftChars="0" w:right="42" w:rightChars="20" w:firstLine="218" w:firstLineChars="91"/>
              <w:jc w:val="left"/>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3.消防视频报警订阅管理：支持视频通道基于监测场景进行多个报警同时订阅；支持视频通道基于报警类型进行自定义报警订阅；支持视频报警合并配置，支持四合一烟感命令下发，配置下发</w:t>
            </w:r>
          </w:p>
          <w:p w14:paraId="3718CCE4">
            <w:pPr>
              <w:numPr>
                <w:ilvl w:val="0"/>
                <w:numId w:val="0"/>
              </w:numPr>
              <w:spacing w:line="276" w:lineRule="auto"/>
              <w:ind w:left="0" w:leftChars="0" w:right="42" w:rightChars="20" w:firstLine="218" w:firstLineChars="91"/>
              <w:jc w:val="left"/>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4.维保服务功能：支持对维保单位信息的管理</w:t>
            </w:r>
          </w:p>
          <w:p w14:paraId="55902F17">
            <w:pPr>
              <w:numPr>
                <w:ilvl w:val="0"/>
                <w:numId w:val="0"/>
              </w:numPr>
              <w:spacing w:line="276" w:lineRule="auto"/>
              <w:ind w:left="0" w:leftChars="0" w:right="42" w:rightChars="20" w:firstLine="218" w:firstLineChars="91"/>
              <w:jc w:val="left"/>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5.主机运行实时状态统计：支持主机运行实时状态统计：根据组织统计主机设备总数，统计正常设备、报警设备、故障设备、屏蔽设备、离线设备数量及占比，鼠标移入圆环显示百分占比值；点击对应状态设备数值后弹窗列表展示对应状态设备列表</w:t>
            </w:r>
          </w:p>
          <w:p w14:paraId="3FE6EED9">
            <w:pPr>
              <w:numPr>
                <w:ilvl w:val="0"/>
                <w:numId w:val="0"/>
              </w:numPr>
              <w:spacing w:line="276" w:lineRule="auto"/>
              <w:ind w:left="0" w:leftChars="0" w:right="42" w:rightChars="20" w:firstLine="218" w:firstLineChars="91"/>
              <w:jc w:val="left"/>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6.探测器运行实时状态统计：支持探测器运行实时状态统计：1.支持显示探测器总数；2.支持分系统展示探测器数量，支持轮流显示分系统内正常设备、报警设备、故障设备、屏蔽设备、离线设备数量及占比，点击对应系统图标或对应状态数字后弹窗显示该系统内的探测器列表</w:t>
            </w:r>
          </w:p>
          <w:p w14:paraId="0DDDB124">
            <w:pPr>
              <w:numPr>
                <w:ilvl w:val="0"/>
                <w:numId w:val="0"/>
              </w:numPr>
              <w:spacing w:line="276" w:lineRule="auto"/>
              <w:ind w:left="0" w:leftChars="0" w:right="42" w:rightChars="20" w:firstLine="218" w:firstLineChars="91"/>
              <w:jc w:val="left"/>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7.报警总数趋势展：支持报警总数趋势展示根据组织及统计周期统计报警处置率及展示报警总数趋势</w:t>
            </w:r>
          </w:p>
          <w:p w14:paraId="276C69AB">
            <w:pPr>
              <w:numPr>
                <w:ilvl w:val="0"/>
                <w:numId w:val="0"/>
              </w:numPr>
              <w:spacing w:line="276" w:lineRule="auto"/>
              <w:ind w:left="0" w:leftChars="0" w:right="42" w:rightChars="20" w:firstLine="218" w:firstLineChars="91"/>
              <w:jc w:val="left"/>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8.各系统报警占比统计：支持各系统报警占比统计：支持智慧用水、智慧用电、城市消防远程监控、智能预警、视频智能、充电桩系统、自动注册报警数量占比统计，鼠标移入对应环形图后显示对应系统报警数及占比；鼠标点击圆环对应系统后弹窗显示该系统对应报警日志列表</w:t>
            </w:r>
          </w:p>
          <w:p w14:paraId="5FEE94B4">
            <w:pPr>
              <w:numPr>
                <w:ilvl w:val="0"/>
                <w:numId w:val="0"/>
              </w:numPr>
              <w:spacing w:line="276" w:lineRule="auto"/>
              <w:ind w:left="0" w:leftChars="0" w:right="42" w:rightChars="20" w:firstLine="218" w:firstLineChars="91"/>
              <w:jc w:val="left"/>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9.报警次数排名：支持报警次数排名：支持探测器，主机排名统计；点击排名列表弹窗显示该设备相关的所有报警日志</w:t>
            </w:r>
          </w:p>
          <w:p w14:paraId="0BE535D0">
            <w:pPr>
              <w:numPr>
                <w:ilvl w:val="0"/>
                <w:numId w:val="0"/>
              </w:numPr>
              <w:spacing w:line="276" w:lineRule="auto"/>
              <w:ind w:left="0" w:leftChars="0" w:right="42" w:rightChars="20" w:firstLine="218" w:firstLineChars="91"/>
              <w:jc w:val="left"/>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10.实时监测：支持窗口视频轮播和固定视频通道播放视频</w:t>
            </w:r>
          </w:p>
          <w:p w14:paraId="5449744A">
            <w:pPr>
              <w:numPr>
                <w:ilvl w:val="0"/>
                <w:numId w:val="0"/>
              </w:numPr>
              <w:spacing w:line="276" w:lineRule="auto"/>
              <w:ind w:left="0" w:leftChars="0" w:right="42" w:rightChars="20" w:firstLine="218" w:firstLineChars="91"/>
              <w:jc w:val="left"/>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11.设备，报警、火警统计：支持接入设备总数统计（设备包含探测器和主机）；支持报警总数统计（统计平台在选择时间段累计报警数）；支持确认火警数（统计平台在选择时间段累计确认火警数）</w:t>
            </w:r>
          </w:p>
          <w:p w14:paraId="34FFBCFB">
            <w:pPr>
              <w:numPr>
                <w:ilvl w:val="0"/>
                <w:numId w:val="0"/>
              </w:numPr>
              <w:spacing w:line="276" w:lineRule="auto"/>
              <w:ind w:left="0" w:leftChars="0" w:right="42" w:rightChars="20" w:firstLine="218" w:firstLineChars="91"/>
              <w:jc w:val="left"/>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12.地图显示：地图支持图层筛选：支持消防设备、视频设备、热区筛选；支持关闭设备点位名称；鼠标悬浮在设备点位时显示设备点位信息；设备报警时图标红色闪烁，点击设备点位图标显示设备详情和报警信息；支持点击视频通道点位弹窗播放视频；地图支持全屏展示；支持根据组织切换地图</w:t>
            </w:r>
          </w:p>
          <w:p w14:paraId="6BDD1DF9">
            <w:pPr>
              <w:numPr>
                <w:ilvl w:val="0"/>
                <w:numId w:val="0"/>
              </w:numPr>
              <w:spacing w:line="276" w:lineRule="auto"/>
              <w:ind w:left="0" w:leftChars="0" w:right="42" w:rightChars="20" w:firstLine="218" w:firstLineChars="91"/>
              <w:jc w:val="left"/>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13.报警记录：支持查看报警记录，可通过查询条件查询符合规则的报警日志，支持导出记录；支持查看合并报警详情；支持查看报警联动录像；故障记录：支持查看故障记录，可通过条件查询符合规则的故障日志，支持导出记录；联动记录：支持查看设备上报的联动记录，联动动作包括监管/无监管，启动/停止，反馈/无反馈，延时状态/未延时等</w:t>
            </w:r>
          </w:p>
          <w:p w14:paraId="65AFE277">
            <w:pPr>
              <w:numPr>
                <w:ilvl w:val="0"/>
                <w:numId w:val="0"/>
              </w:numPr>
              <w:spacing w:line="276" w:lineRule="auto"/>
              <w:ind w:left="0" w:leftChars="0" w:right="42" w:rightChars="20" w:firstLine="218" w:firstLineChars="91"/>
              <w:jc w:val="left"/>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14.设备操作记录：支持查看平台下发的设备操作、设备上报的设备端操作；设备上报的操作包括设备端自行触发的复位、自检、手动火警、屏蔽等；平台下发的操作包括平台针对设备的命令下发、配置下发；支持对下发失败的命令或配置进行重新下发</w:t>
            </w:r>
          </w:p>
          <w:p w14:paraId="425F8B0E">
            <w:pPr>
              <w:numPr>
                <w:ilvl w:val="0"/>
                <w:numId w:val="0"/>
              </w:numPr>
              <w:spacing w:line="276" w:lineRule="auto"/>
              <w:ind w:left="0" w:leftChars="0" w:right="42" w:rightChars="20" w:firstLine="218" w:firstLineChars="91"/>
              <w:jc w:val="left"/>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15.工单记录：支持查看隐患工单和维修工单详情；工单详情中展示工单基本信息、工单处理结果、工单派发记录、工单催办记录；支持查看工单处理状态；支持工单转派和工单催办；维护保养提醒：支持根据消防设施，消防设备配置的开始维护日期、维护周期、维护到期提醒（提前提醒天天数）自动周期生成维护保养提醒记录</w:t>
            </w:r>
          </w:p>
          <w:p w14:paraId="42FC8092">
            <w:pPr>
              <w:numPr>
                <w:ilvl w:val="0"/>
                <w:numId w:val="0"/>
              </w:numPr>
              <w:spacing w:line="276" w:lineRule="auto"/>
              <w:ind w:left="0" w:leftChars="0" w:right="42" w:rightChars="20" w:firstLine="218" w:firstLineChars="91"/>
              <w:jc w:val="left"/>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16.产品形态：纯软件</w:t>
            </w:r>
          </w:p>
          <w:p w14:paraId="2F3F099A">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17.兼容现有软硬件设备</w:t>
            </w:r>
          </w:p>
          <w:p w14:paraId="464B64CD">
            <w:pPr>
              <w:numPr>
                <w:ilvl w:val="0"/>
                <w:numId w:val="0"/>
              </w:numPr>
              <w:spacing w:line="276" w:lineRule="auto"/>
              <w:ind w:leftChars="0" w:right="42" w:rightChars="20"/>
              <w:jc w:val="left"/>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t>(</w:t>
            </w:r>
            <w:r>
              <w:rPr>
                <w:rFonts w:hint="eastAsia" w:ascii="仿宋" w:hAnsi="仿宋" w:eastAsia="仿宋" w:cs="宋体"/>
                <w:b/>
                <w:bCs/>
                <w:color w:val="000000" w:themeColor="text1"/>
                <w:kern w:val="0"/>
                <w:sz w:val="24"/>
                <w:szCs w:val="24"/>
                <w:highlight w:val="none"/>
                <w:lang w:val="en-US" w:eastAsia="zh-CN" w:bidi="ar-SA"/>
                <w14:textFill>
                  <w14:solidFill>
                    <w14:schemeClr w14:val="tx1"/>
                  </w14:solidFill>
                </w14:textFill>
              </w:rPr>
              <w:t>四</w:t>
            </w:r>
            <w:r>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t>)消防实时监测（业务组件）</w:t>
            </w:r>
          </w:p>
          <w:p w14:paraId="768AFB81">
            <w:pPr>
              <w:widowControl w:val="0"/>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产品简介：消防实时监测业务组件是基于消防业务模块开发，支持实时展示各系统探测器运行状态</w:t>
            </w:r>
          </w:p>
          <w:p w14:paraId="1E87B81D">
            <w:pPr>
              <w:widowControl w:val="0"/>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2.</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核心参数概述：实时监测</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支持远程</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视频摄像机系统</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设备拓扑方式展示系统设备逻辑关系，设备状态以颜色区分标示；支持用电、用水、可燃气体等设备卡片式直观展示监测数</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设备状态</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支持消控室在岗监控和用传查岗、视频查岗</w:t>
            </w:r>
          </w:p>
          <w:p w14:paraId="67193EFA">
            <w:pPr>
              <w:numPr>
                <w:ilvl w:val="0"/>
                <w:numId w:val="0"/>
              </w:numPr>
              <w:spacing w:line="276" w:lineRule="auto"/>
              <w:ind w:leftChars="0" w:right="42" w:rightChars="20"/>
              <w:jc w:val="left"/>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t>(</w:t>
            </w:r>
            <w:r>
              <w:rPr>
                <w:rFonts w:hint="eastAsia" w:ascii="仿宋" w:hAnsi="仿宋" w:eastAsia="仿宋" w:cs="宋体"/>
                <w:b/>
                <w:bCs/>
                <w:color w:val="000000" w:themeColor="text1"/>
                <w:kern w:val="0"/>
                <w:sz w:val="24"/>
                <w:szCs w:val="24"/>
                <w:highlight w:val="none"/>
                <w:lang w:val="en-US" w:eastAsia="zh-CN" w:bidi="ar-SA"/>
                <w14:textFill>
                  <w14:solidFill>
                    <w14:schemeClr w14:val="tx1"/>
                  </w14:solidFill>
                </w14:textFill>
              </w:rPr>
              <w:t>五</w:t>
            </w:r>
            <w:r>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t xml:space="preserve">)平台视频接入授权 </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（原有视频摄像机系统增加通道授权）</w:t>
            </w:r>
          </w:p>
          <w:p w14:paraId="6F871397">
            <w:pPr>
              <w:numPr>
                <w:ilvl w:val="0"/>
                <w:numId w:val="0"/>
              </w:numPr>
              <w:ind w:left="0" w:leftChars="0" w:right="42" w:rightChars="2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1.功能参数：</w:t>
            </w:r>
          </w:p>
          <w:p w14:paraId="7366A7E9">
            <w:pPr>
              <w:numPr>
                <w:ilvl w:val="0"/>
                <w:numId w:val="1"/>
              </w:numPr>
              <w:ind w:left="0" w:leftChars="0" w:right="42" w:rightChars="2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实时预览：支持窗口分割、浏览/抓图、快速录像、轮巡、鱼眼模式、音频/对讲等功能</w:t>
            </w:r>
          </w:p>
          <w:p w14:paraId="41351DB4">
            <w:pPr>
              <w:numPr>
                <w:ilvl w:val="0"/>
                <w:numId w:val="1"/>
              </w:numPr>
              <w:ind w:left="0" w:leftChars="0" w:right="42" w:rightChars="2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报警类型：支持热成像报警、雷达报警、小区场景报警、水利报警等报警</w:t>
            </w:r>
          </w:p>
          <w:p w14:paraId="056A04DA">
            <w:pPr>
              <w:numPr>
                <w:ilvl w:val="0"/>
                <w:numId w:val="1"/>
              </w:numPr>
              <w:ind w:left="0" w:leftChars="0" w:right="42" w:rightChars="20" w:firstLine="218" w:firstLineChars="91"/>
              <w:rPr>
                <w:rFonts w:hint="eastAsia" w:ascii="仿宋" w:hAnsi="仿宋" w:eastAsia="仿宋" w:cs="宋体"/>
                <w:color w:val="000000" w:themeColor="text1"/>
                <w:w w:val="95"/>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云台控制：</w:t>
            </w:r>
            <w:r>
              <w:rPr>
                <w:rFonts w:hint="eastAsia" w:ascii="仿宋" w:hAnsi="仿宋" w:eastAsia="仿宋" w:cs="宋体"/>
                <w:color w:val="000000" w:themeColor="text1"/>
                <w:w w:val="95"/>
                <w:kern w:val="0"/>
                <w:sz w:val="24"/>
                <w:szCs w:val="24"/>
                <w:highlight w:val="none"/>
                <w:lang w:val="en-US" w:eastAsia="zh-CN" w:bidi="ar-SA"/>
                <w14:textFill>
                  <w14:solidFill>
                    <w14:schemeClr w14:val="tx1"/>
                  </w14:solidFill>
                </w14:textFill>
              </w:rPr>
              <w:t>支持云台抢占、云台锁定；支持云台八方向控制，支持守望功能</w:t>
            </w:r>
          </w:p>
          <w:p w14:paraId="254F4165">
            <w:pPr>
              <w:numPr>
                <w:ilvl w:val="0"/>
                <w:numId w:val="1"/>
              </w:numPr>
              <w:ind w:left="0" w:leftChars="0" w:right="42" w:rightChars="2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录像回放：支持录像查询及显示、回放控制、录像下载、录像存储等功能</w:t>
            </w:r>
          </w:p>
          <w:p w14:paraId="516C9948">
            <w:pPr>
              <w:numPr>
                <w:ilvl w:val="0"/>
                <w:numId w:val="1"/>
              </w:numPr>
              <w:ind w:left="0" w:leftChars="0" w:right="42" w:rightChars="2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视频上墙：支持即时上墙；支持上墙轮巡计划；支持屏幕开关、电视墙任务；支持开窗，分割，清屏功能；支持上墙回显；支持开启所有屏幕通道轮巡</w:t>
            </w:r>
          </w:p>
          <w:p w14:paraId="4F3A34BF">
            <w:pPr>
              <w:numPr>
                <w:ilvl w:val="0"/>
                <w:numId w:val="1"/>
              </w:numPr>
              <w:ind w:left="0" w:leftChars="0" w:right="42" w:rightChars="2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云存储：支持录像云存储，对通道根据时间进行配额配置</w:t>
            </w:r>
          </w:p>
          <w:p w14:paraId="6FFE2244">
            <w:pPr>
              <w:numPr>
                <w:ilvl w:val="0"/>
                <w:numId w:val="1"/>
              </w:numPr>
              <w:ind w:left="0" w:leftChars="0" w:right="42" w:rightChars="2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热成像：支持热成像预览实时测温；支持热图分析</w:t>
            </w:r>
          </w:p>
          <w:p w14:paraId="303B084E">
            <w:pPr>
              <w:numPr>
                <w:ilvl w:val="0"/>
                <w:numId w:val="1"/>
              </w:numPr>
              <w:ind w:left="0" w:leftChars="0" w:right="42" w:rightChars="2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流媒体：支持视频流转发，录像回放和下载，发送RTSP协议实时码流；支持HLS/FLV/RTMP协议码流转发</w:t>
            </w:r>
          </w:p>
          <w:p w14:paraId="6E13C2D3">
            <w:pPr>
              <w:numPr>
                <w:ilvl w:val="0"/>
                <w:numId w:val="1"/>
              </w:numPr>
              <w:ind w:left="0" w:leftChars="0" w:right="42" w:rightChars="20" w:firstLine="191"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ascii="仿宋_GB2312" w:hAnsi="仿宋_GB2312" w:eastAsia="仿宋_GB2312" w:cs="仿宋_GB2312"/>
              </w:rPr>
              <w:t>★</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须与原有大华平台无缝对接</w:t>
            </w:r>
          </w:p>
          <w:p w14:paraId="0BD73EDD">
            <w:pPr>
              <w:numPr>
                <w:ilvl w:val="0"/>
                <w:numId w:val="0"/>
              </w:numPr>
              <w:ind w:left="0" w:leftChars="0" w:right="42" w:rightChars="2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2.性能参数：</w:t>
            </w:r>
          </w:p>
          <w:p w14:paraId="732C503F">
            <w:pPr>
              <w:numPr>
                <w:ilvl w:val="0"/>
                <w:numId w:val="2"/>
              </w:numPr>
              <w:ind w:left="0" w:leftChars="0" w:right="42" w:rightChars="2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大华设备：单节点最大支持接入4000个视频设备或1万路通道</w:t>
            </w:r>
          </w:p>
          <w:p w14:paraId="5ABC7675">
            <w:pPr>
              <w:numPr>
                <w:ilvl w:val="0"/>
                <w:numId w:val="2"/>
              </w:numPr>
              <w:ind w:left="0" w:leftChars="0" w:right="42" w:rightChars="2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主动注册：单节点最大支持接入3000个视频设备或6000路通道</w:t>
            </w:r>
          </w:p>
          <w:p w14:paraId="706A15A4">
            <w:pPr>
              <w:numPr>
                <w:ilvl w:val="0"/>
                <w:numId w:val="2"/>
              </w:numPr>
              <w:ind w:left="0" w:leftChars="0" w:right="42" w:rightChars="2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GB28181：单节点最大支持接入2000个视频设备或4000路通道</w:t>
            </w:r>
          </w:p>
          <w:p w14:paraId="7D7D971F">
            <w:pPr>
              <w:numPr>
                <w:ilvl w:val="0"/>
                <w:numId w:val="2"/>
              </w:numPr>
              <w:ind w:left="0" w:leftChars="0" w:right="42" w:rightChars="2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ONVIF：单节点最大支持接入2000个视频设备或4000路通道</w:t>
            </w:r>
          </w:p>
          <w:p w14:paraId="79B6A8C9">
            <w:pPr>
              <w:numPr>
                <w:ilvl w:val="0"/>
                <w:numId w:val="2"/>
              </w:numPr>
              <w:ind w:left="0" w:leftChars="0" w:right="42" w:rightChars="2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解码器：单节点最大支持接入解码设备200个</w:t>
            </w:r>
          </w:p>
          <w:p w14:paraId="73E9D7B2">
            <w:pPr>
              <w:numPr>
                <w:ilvl w:val="0"/>
                <w:numId w:val="2"/>
              </w:numPr>
              <w:ind w:left="0" w:leftChars="0" w:right="42" w:rightChars="20" w:firstLine="218" w:firstLineChars="91"/>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分布式最大数量：50个</w:t>
            </w:r>
          </w:p>
          <w:p w14:paraId="3A5F410B">
            <w:pPr>
              <w:numPr>
                <w:ilvl w:val="0"/>
                <w:numId w:val="0"/>
              </w:numPr>
              <w:spacing w:line="276" w:lineRule="auto"/>
              <w:ind w:leftChars="0" w:right="42" w:rightChars="20"/>
              <w:jc w:val="left"/>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t>(</w:t>
            </w:r>
            <w:r>
              <w:rPr>
                <w:rFonts w:hint="eastAsia" w:ascii="仿宋" w:hAnsi="仿宋" w:eastAsia="仿宋" w:cs="宋体"/>
                <w:b/>
                <w:bCs/>
                <w:color w:val="000000" w:themeColor="text1"/>
                <w:kern w:val="0"/>
                <w:sz w:val="24"/>
                <w:szCs w:val="24"/>
                <w:highlight w:val="none"/>
                <w:lang w:val="en-US" w:eastAsia="zh-CN" w:bidi="ar-SA"/>
                <w14:textFill>
                  <w14:solidFill>
                    <w14:schemeClr w14:val="tx1"/>
                  </w14:solidFill>
                </w14:textFill>
              </w:rPr>
              <w:t>六</w:t>
            </w:r>
            <w:r>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t xml:space="preserve">)36盘位磁盘阵列 </w:t>
            </w:r>
          </w:p>
          <w:p w14:paraId="3AEE92F9">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1</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单颗64位多核高性能处理器，默认2个内存条，共8GB内存，可扩展至2个内存条，64GB内存</w:t>
            </w:r>
          </w:p>
          <w:p w14:paraId="4E82E01E">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2</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4U机箱，36盘位，1+1冗余电源，可支持对硬盘、电源、风扇、控制器模块热插拔维护</w:t>
            </w:r>
          </w:p>
          <w:p w14:paraId="09A62D7B">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3</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默认4个10/100/1000Mbps自适应以太网电口，1个10/100Mbps自适用管理网口，可选配2张PCIE标卡（标卡需客户自行购买，如SAS卡、网卡）</w:t>
            </w:r>
          </w:p>
          <w:p w14:paraId="68ABC2F2">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4</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可适配CMR&amp;SMR硬盘，支持SATA硬盘，CMR单盘最大支持24TB硬盘，SMR单盘最大支持30TB</w:t>
            </w:r>
          </w:p>
          <w:p w14:paraId="48EFAF21">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5</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1个HDMI，4个USB，1个eSATA，1个RS232</w:t>
            </w:r>
          </w:p>
          <w:p w14:paraId="3E015924">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6</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支持RAID0/1/5/6/10/50/60，SRAID，支持全局热备和局部热备盘</w:t>
            </w:r>
          </w:p>
          <w:p w14:paraId="2777368C">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7</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支持450路H.264/H.265混合接入，网络带宽1024Mbps接入，1024Mbps存储，1024Mbps转发</w:t>
            </w:r>
          </w:p>
          <w:p w14:paraId="632256F2">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8</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可通过ONVIF、GB28181、RTSP、视图库、主动注册等协议管理不同厂家前端摄像头，实现视频存储；</w:t>
            </w:r>
          </w:p>
          <w:p w14:paraId="1313CC40">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9、仅CMR硬盘支持通过IPSAN、NAS（Samba、FTP、NFS）、视频直存模式访问存储资源</w:t>
            </w:r>
          </w:p>
          <w:p w14:paraId="6D4D6E41">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w w:val="95"/>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10</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w w:val="95"/>
                <w:kern w:val="0"/>
                <w:sz w:val="24"/>
                <w:szCs w:val="24"/>
                <w:highlight w:val="none"/>
                <w:lang w:val="en-US" w:eastAsia="zh-CN" w:bidi="ar-SA"/>
                <w14:textFill>
                  <w14:solidFill>
                    <w14:schemeClr w14:val="tx1"/>
                  </w14:solidFill>
                </w14:textFill>
              </w:rPr>
              <w:t>支持iSCSI客户端模式，访问第三方存储资源，增加存储空间，延长存储周期</w:t>
            </w:r>
          </w:p>
          <w:p w14:paraId="320F94D1">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11</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支持硬盘健康状态监测，定期巡检，针对异常硬盘风险预警，支持系统盘、风扇、电源等异常告警</w:t>
            </w:r>
          </w:p>
          <w:p w14:paraId="6FB28FC6">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12</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可结合硬盘状态、RAID配置、存储模式、网络状态、录像状态等信息，智能诊断用户配置合规性，保障整机可靠运行</w:t>
            </w:r>
          </w:p>
          <w:p w14:paraId="5CC4260C">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13</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可配合智能前端摄像头，实现结构化告警、周界告警、入户电梯告警等多种报警事件、图片透传平台</w:t>
            </w:r>
          </w:p>
          <w:p w14:paraId="143F83C2">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14</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支持关键录像加锁，确保不被循环覆盖</w:t>
            </w:r>
          </w:p>
          <w:p w14:paraId="7D926342">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15</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支持N+M集群模式，可实现单台或多台设备故障时，故障设备业务自动迁移到其它健康设备上，保障业务不中断</w:t>
            </w:r>
          </w:p>
          <w:p w14:paraId="216AAF51">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16</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采用国产操作系统，性能高、稳定、可控，安全性高</w:t>
            </w:r>
          </w:p>
          <w:p w14:paraId="341CB983">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17.</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▲支持 NL-SAS 硬盘、 空气硬盘、 14T、16T、 18T、 20T、 22T 氦气硬盘接入；支持接入容量为 1TB、 2TB、 3TB、 4TB、5TB、 6TB、 8TB、 10TB、 12TB、 14TB、16TB、 18T、 20T、 22T 的 SATA/SAS 磁盘；（提供公安部有效检测报告复印件加盖原厂公章或投标专用章）</w:t>
            </w:r>
          </w:p>
          <w:p w14:paraId="43D0DF24">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18.</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▲默认支持4个千兆RJ45自适应网络接口，支持1个百兆RJ45自适应管理网口。选配支持1个Mini SAS HD接口。前面板具有锁止功能，加锁后硬盘无法取出，具有可拆卸式防尘滤网（提供公安部有效检测报告复印件加盖原厂公章或投标专用章）</w:t>
            </w:r>
            <w:bookmarkStart w:id="0" w:name="_GoBack"/>
            <w:bookmarkEnd w:id="0"/>
          </w:p>
          <w:p w14:paraId="69B94830">
            <w:pPr>
              <w:numPr>
                <w:ilvl w:val="0"/>
                <w:numId w:val="0"/>
              </w:numPr>
              <w:spacing w:line="276" w:lineRule="auto"/>
              <w:ind w:leftChars="0" w:right="42" w:rightChars="20"/>
              <w:jc w:val="left"/>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t>(</w:t>
            </w:r>
            <w:r>
              <w:rPr>
                <w:rFonts w:hint="eastAsia" w:ascii="仿宋" w:hAnsi="仿宋" w:eastAsia="仿宋" w:cs="宋体"/>
                <w:b/>
                <w:bCs/>
                <w:color w:val="000000" w:themeColor="text1"/>
                <w:kern w:val="0"/>
                <w:sz w:val="24"/>
                <w:szCs w:val="24"/>
                <w:highlight w:val="none"/>
                <w:lang w:val="en-US" w:eastAsia="zh-CN" w:bidi="ar-SA"/>
                <w14:textFill>
                  <w14:solidFill>
                    <w14:schemeClr w14:val="tx1"/>
                  </w14:solidFill>
                </w14:textFill>
              </w:rPr>
              <w:t>七</w:t>
            </w:r>
            <w:r>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t>)</w:t>
            </w:r>
            <w:r>
              <w:rPr>
                <w:rFonts w:hint="eastAsia" w:ascii="仿宋" w:hAnsi="仿宋" w:eastAsia="仿宋" w:cs="宋体"/>
                <w:b/>
                <w:bCs/>
                <w:color w:val="000000" w:themeColor="text1"/>
                <w:kern w:val="0"/>
                <w:sz w:val="24"/>
                <w:szCs w:val="24"/>
                <w:highlight w:val="none"/>
                <w:lang w:val="en-US" w:eastAsia="zh-CN" w:bidi="ar-SA"/>
                <w14:textFill>
                  <w14:solidFill>
                    <w14:schemeClr w14:val="tx1"/>
                  </w14:solidFill>
                </w14:textFill>
              </w:rPr>
              <w:t>16</w:t>
            </w:r>
            <w:r>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t>T企业级硬盘</w:t>
            </w:r>
          </w:p>
          <w:p w14:paraId="35A8119F">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单盘容量：</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16</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TB</w:t>
            </w:r>
          </w:p>
          <w:p w14:paraId="71092BB8">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2.</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缓存：</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512</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MB</w:t>
            </w:r>
          </w:p>
          <w:p w14:paraId="748F8DB7">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3.</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转速：7200RPM</w:t>
            </w:r>
          </w:p>
          <w:p w14:paraId="7F38211C">
            <w:pPr>
              <w:numPr>
                <w:ilvl w:val="0"/>
                <w:numId w:val="0"/>
              </w:numPr>
              <w:spacing w:line="276" w:lineRule="auto"/>
              <w:ind w:left="0" w:leftChars="0" w:right="42" w:rightChars="20" w:firstLine="218"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4.</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硬盘接口：SATA</w:t>
            </w:r>
          </w:p>
          <w:p w14:paraId="1133C453">
            <w:pPr>
              <w:numPr>
                <w:ilvl w:val="0"/>
                <w:numId w:val="0"/>
              </w:numPr>
              <w:spacing w:line="276" w:lineRule="auto"/>
              <w:ind w:left="0" w:leftChars="0" w:right="42" w:rightChars="20" w:firstLine="191" w:firstLineChars="91"/>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ascii="仿宋_GB2312" w:hAnsi="仿宋_GB2312" w:eastAsia="仿宋_GB2312" w:cs="仿宋_GB2312"/>
              </w:rPr>
              <w:t>★</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具备</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与原有大华平台</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及相关设备</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无缝对接</w:t>
            </w:r>
          </w:p>
          <w:p w14:paraId="10AE772F">
            <w:pPr>
              <w:numPr>
                <w:ilvl w:val="0"/>
                <w:numId w:val="0"/>
              </w:numPr>
              <w:spacing w:line="276" w:lineRule="auto"/>
              <w:ind w:right="42" w:rightChars="20"/>
              <w:jc w:val="left"/>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t>(</w:t>
            </w:r>
            <w:r>
              <w:rPr>
                <w:rFonts w:hint="eastAsia" w:ascii="仿宋" w:hAnsi="仿宋" w:eastAsia="仿宋" w:cs="宋体"/>
                <w:b/>
                <w:bCs/>
                <w:color w:val="000000" w:themeColor="text1"/>
                <w:kern w:val="0"/>
                <w:sz w:val="24"/>
                <w:szCs w:val="24"/>
                <w:highlight w:val="none"/>
                <w:lang w:val="en-US" w:eastAsia="zh-CN" w:bidi="ar-SA"/>
                <w14:textFill>
                  <w14:solidFill>
                    <w14:schemeClr w14:val="tx1"/>
                  </w14:solidFill>
                </w14:textFill>
              </w:rPr>
              <w:t>八</w:t>
            </w:r>
            <w:r>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t xml:space="preserve">)网线 </w:t>
            </w:r>
          </w:p>
          <w:p w14:paraId="1E2EFE24">
            <w:pPr>
              <w:numPr>
                <w:ilvl w:val="0"/>
                <w:numId w:val="0"/>
              </w:numPr>
              <w:ind w:left="0" w:leftChars="0" w:right="42" w:rightChars="20" w:firstLine="218" w:firstLineChars="91"/>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1.导体直径：0.515±0.01mm (24AWG)</w:t>
            </w:r>
          </w:p>
          <w:p w14:paraId="2FDB82E2">
            <w:pPr>
              <w:numPr>
                <w:ilvl w:val="0"/>
                <w:numId w:val="0"/>
              </w:numPr>
              <w:ind w:left="0" w:leftChars="0" w:right="42" w:rightChars="20" w:firstLine="218" w:firstLineChars="91"/>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2.</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绝缘材料：实心PE</w:t>
            </w:r>
          </w:p>
          <w:p w14:paraId="4B63AEC6">
            <w:pPr>
              <w:numPr>
                <w:ilvl w:val="0"/>
                <w:numId w:val="0"/>
              </w:numPr>
              <w:ind w:left="0" w:leftChars="0" w:right="42" w:rightChars="20" w:firstLine="218" w:firstLineChars="91"/>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3.</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护套材料：PVC/LSZH</w:t>
            </w:r>
          </w:p>
          <w:p w14:paraId="089EE5E1">
            <w:pPr>
              <w:numPr>
                <w:ilvl w:val="0"/>
                <w:numId w:val="0"/>
              </w:numPr>
              <w:ind w:left="0" w:leftChars="0" w:right="42" w:rightChars="20" w:firstLine="218" w:firstLineChars="91"/>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4.</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电缆外径：6.0±0.3mm</w:t>
            </w:r>
          </w:p>
          <w:p w14:paraId="3327D08D">
            <w:pPr>
              <w:numPr>
                <w:ilvl w:val="0"/>
                <w:numId w:val="0"/>
              </w:numPr>
              <w:ind w:left="0" w:leftChars="0" w:right="42" w:rightChars="20" w:firstLine="218" w:firstLineChars="91"/>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5.含实施相关材料及实施内容，满足医院布线规范和验收，材料包含且不限于KBG管，桥架等</w:t>
            </w:r>
          </w:p>
          <w:p w14:paraId="587C06A6">
            <w:pPr>
              <w:numPr>
                <w:ilvl w:val="0"/>
                <w:numId w:val="0"/>
              </w:numPr>
              <w:spacing w:line="276" w:lineRule="auto"/>
              <w:ind w:leftChars="0" w:right="42" w:rightChars="20"/>
              <w:jc w:val="left"/>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t>(</w:t>
            </w:r>
            <w:r>
              <w:rPr>
                <w:rFonts w:hint="eastAsia" w:ascii="仿宋" w:hAnsi="仿宋" w:eastAsia="仿宋" w:cs="宋体"/>
                <w:b/>
                <w:bCs/>
                <w:color w:val="000000" w:themeColor="text1"/>
                <w:kern w:val="0"/>
                <w:sz w:val="24"/>
                <w:szCs w:val="24"/>
                <w:highlight w:val="none"/>
                <w:lang w:val="en-US" w:eastAsia="zh-CN" w:bidi="ar-SA"/>
                <w14:textFill>
                  <w14:solidFill>
                    <w14:schemeClr w14:val="tx1"/>
                  </w14:solidFill>
                </w14:textFill>
              </w:rPr>
              <w:t>九</w:t>
            </w:r>
            <w:r>
              <w:rPr>
                <w:rFonts w:hint="default" w:ascii="仿宋" w:hAnsi="仿宋" w:eastAsia="仿宋" w:cs="宋体"/>
                <w:b/>
                <w:bCs/>
                <w:color w:val="000000" w:themeColor="text1"/>
                <w:kern w:val="0"/>
                <w:sz w:val="24"/>
                <w:szCs w:val="24"/>
                <w:highlight w:val="none"/>
                <w:lang w:val="en-US" w:eastAsia="zh-CN" w:bidi="ar-SA"/>
                <w14:textFill>
                  <w14:solidFill>
                    <w14:schemeClr w14:val="tx1"/>
                  </w14:solidFill>
                </w14:textFill>
              </w:rPr>
              <w:t xml:space="preserve">)24口POE交换机 </w:t>
            </w:r>
          </w:p>
          <w:p w14:paraId="078BE76E">
            <w:pPr>
              <w:numPr>
                <w:ilvl w:val="0"/>
                <w:numId w:val="0"/>
              </w:numPr>
              <w:spacing w:line="276" w:lineRule="auto"/>
              <w:ind w:leftChars="0" w:right="42" w:rightChars="20" w:firstLine="240" w:firstLineChars="100"/>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1</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为保障设备线速转发能力，设备的交换容量≥672Gbps/6.72Tbps，包转发率≥126Mpps/179Mpps，提供官网截图并加盖原厂公章</w:t>
            </w:r>
          </w:p>
          <w:p w14:paraId="028B086D">
            <w:pPr>
              <w:numPr>
                <w:ilvl w:val="0"/>
                <w:numId w:val="0"/>
              </w:numPr>
              <w:spacing w:line="276" w:lineRule="auto"/>
              <w:ind w:leftChars="0" w:right="42" w:rightChars="20" w:firstLine="240" w:firstLineChars="100"/>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2</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为保障足够的接入能力，24个千兆POE端口，4个1G/2.5G SFP光口</w:t>
            </w:r>
          </w:p>
          <w:p w14:paraId="26297F3B">
            <w:pPr>
              <w:numPr>
                <w:ilvl w:val="0"/>
                <w:numId w:val="0"/>
              </w:numPr>
              <w:spacing w:line="276" w:lineRule="auto"/>
              <w:ind w:leftChars="0" w:right="42" w:rightChars="20" w:firstLine="240" w:firstLineChars="100"/>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3</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支持IEEE802.3af/at供电标准，单端口最大输出PoE功率30W，整机最大输出PoE功率370W；</w:t>
            </w:r>
          </w:p>
          <w:p w14:paraId="20CB114E">
            <w:pPr>
              <w:numPr>
                <w:ilvl w:val="0"/>
                <w:numId w:val="0"/>
              </w:numPr>
              <w:spacing w:line="276" w:lineRule="auto"/>
              <w:ind w:leftChars="0" w:right="42" w:rightChars="20" w:firstLine="240" w:firstLineChars="100"/>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4</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▲支持通过APP进行远程管理，并且可以修改交换机网络配置，提供功能截图证明</w:t>
            </w:r>
          </w:p>
          <w:p w14:paraId="1E61DFE4">
            <w:pPr>
              <w:numPr>
                <w:ilvl w:val="0"/>
                <w:numId w:val="0"/>
              </w:numPr>
              <w:spacing w:line="276" w:lineRule="auto"/>
              <w:ind w:leftChars="0" w:right="42" w:rightChars="20" w:firstLine="240" w:firstLineChars="100"/>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5</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上线方式：支持云发现、支持配置网关IP或通过网关DNS域名自动发现上线；提供功能截图证明</w:t>
            </w:r>
          </w:p>
          <w:p w14:paraId="2FE91319">
            <w:pPr>
              <w:numPr>
                <w:ilvl w:val="0"/>
                <w:numId w:val="0"/>
              </w:numPr>
              <w:spacing w:line="276" w:lineRule="auto"/>
              <w:ind w:leftChars="0" w:right="42" w:rightChars="20" w:firstLine="240" w:firstLineChars="100"/>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6</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▲支持通过在网管中心平台的Web页面对交换机进行可视化管理查看，包括交换机的端口状态及配置、vlan信息，提供功能截图证明</w:t>
            </w:r>
          </w:p>
          <w:p w14:paraId="1989ADF3">
            <w:pPr>
              <w:numPr>
                <w:ilvl w:val="0"/>
                <w:numId w:val="0"/>
              </w:numPr>
              <w:spacing w:line="276" w:lineRule="auto"/>
              <w:ind w:leftChars="0" w:right="42" w:rightChars="20" w:firstLine="240" w:firstLineChars="100"/>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7</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▲支持通过网管中心平台一键替换“按钮”即可完成故障设备替换，提供功能截图证明</w:t>
            </w:r>
          </w:p>
          <w:p w14:paraId="7D431EEB">
            <w:pPr>
              <w:numPr>
                <w:ilvl w:val="0"/>
                <w:numId w:val="0"/>
              </w:numPr>
              <w:spacing w:line="276" w:lineRule="auto"/>
              <w:ind w:leftChars="0" w:right="42" w:rightChars="20" w:firstLine="240" w:firstLineChars="100"/>
              <w:jc w:val="left"/>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8</w:t>
            </w: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w:t>
            </w: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支持IEEE802.3az标准的EEE节能技术：当EEE使能时，大幅度减小端口在该阶段的功耗，达到节能目的</w:t>
            </w:r>
          </w:p>
          <w:p w14:paraId="3BF854B3">
            <w:pPr>
              <w:numPr>
                <w:ilvl w:val="0"/>
                <w:numId w:val="0"/>
              </w:numPr>
              <w:ind w:left="0" w:leftChars="0" w:right="42" w:rightChars="20" w:firstLine="218" w:firstLineChars="91"/>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9.含实施相关材料及实施内容，满足医院布线规范和验收，材料包含且不限于配线架、跳线、光模块等</w:t>
            </w:r>
          </w:p>
        </w:tc>
      </w:tr>
      <w:tr w14:paraId="6E3D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8658" w:type="dxa"/>
            <w:tcBorders>
              <w:top w:val="single" w:color="auto" w:sz="4" w:space="0"/>
              <w:bottom w:val="single" w:color="auto" w:sz="4" w:space="0"/>
            </w:tcBorders>
          </w:tcPr>
          <w:p w14:paraId="738149F4">
            <w:pPr>
              <w:rPr>
                <w:rFonts w:hint="eastAsia" w:ascii="新宋体" w:hAnsi="新宋体" w:eastAsia="新宋体" w:cs="新宋体"/>
                <w:color w:val="000000" w:themeColor="text1"/>
                <w:sz w:val="24"/>
                <w:szCs w:val="24"/>
                <w:highlight w:val="none"/>
                <w14:textFill>
                  <w14:solidFill>
                    <w14:schemeClr w14:val="tx1"/>
                  </w14:solidFill>
                </w14:textFill>
              </w:rPr>
            </w:pPr>
            <w:r>
              <w:rPr>
                <w:rFonts w:hint="eastAsia" w:ascii="新宋体" w:hAnsi="新宋体" w:eastAsia="新宋体" w:cs="新宋体"/>
                <w:color w:val="000000" w:themeColor="text1"/>
                <w:sz w:val="24"/>
                <w:szCs w:val="24"/>
                <w:highlight w:val="none"/>
                <w14:textFill>
                  <w14:solidFill>
                    <w14:schemeClr w14:val="tx1"/>
                  </w14:solidFill>
                </w14:textFill>
              </w:rPr>
              <w:t>四、</w:t>
            </w:r>
            <w:r>
              <w:rPr>
                <w:rFonts w:hint="eastAsia" w:ascii="新宋体" w:hAnsi="新宋体" w:eastAsia="新宋体" w:cs="新宋体"/>
                <w:color w:val="000000" w:themeColor="text1"/>
                <w:sz w:val="24"/>
                <w:szCs w:val="24"/>
                <w:highlight w:val="none"/>
                <w:lang w:val="en-US" w:eastAsia="zh-CN"/>
                <w14:textFill>
                  <w14:solidFill>
                    <w14:schemeClr w14:val="tx1"/>
                  </w14:solidFill>
                </w14:textFill>
              </w:rPr>
              <w:t>服务</w:t>
            </w:r>
            <w:r>
              <w:rPr>
                <w:rFonts w:hint="eastAsia" w:ascii="新宋体" w:hAnsi="新宋体" w:eastAsia="新宋体" w:cs="新宋体"/>
                <w:color w:val="000000" w:themeColor="text1"/>
                <w:sz w:val="24"/>
                <w:szCs w:val="24"/>
                <w:highlight w:val="none"/>
                <w14:textFill>
                  <w14:solidFill>
                    <w14:schemeClr w14:val="tx1"/>
                  </w14:solidFill>
                </w14:textFill>
              </w:rPr>
              <w:t>要求：</w:t>
            </w:r>
          </w:p>
          <w:p w14:paraId="17B0848E">
            <w:pPr>
              <w:pStyle w:val="12"/>
              <w:jc w:val="both"/>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1.项目验收合格后，每年不低于4次的例行维护及巡检。例行维护内容包括：软件的功能增强性维护等应用软件系统扩充升级（其中包括系统维护、跟踪检测），保证系统正常运行。</w:t>
            </w:r>
          </w:p>
          <w:p w14:paraId="6AD259D2">
            <w:pPr>
              <w:pStyle w:val="12"/>
              <w:jc w:val="both"/>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highlight w:val="none"/>
                <w:lang w:val="en-US" w:eastAsia="zh-CN" w:bidi="ar-SA"/>
                <w14:textFill>
                  <w14:solidFill>
                    <w14:schemeClr w14:val="tx1"/>
                  </w14:solidFill>
                </w14:textFill>
              </w:rPr>
              <w:t>2.在质保期内对售后服务需求提供10分钟内响应，1小时内到达现场实施维修。24小时仍未排除故障、恢复正常运转的，由供货商提供同类型备品、备件等。</w:t>
            </w:r>
          </w:p>
        </w:tc>
      </w:tr>
    </w:tbl>
    <w:p w14:paraId="0BC31F57">
      <w:pPr>
        <w:rPr>
          <w:rFonts w:ascii="仿宋" w:hAnsi="仿宋" w:eastAsia="仿宋" w:cs="宋体"/>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07409"/>
    <w:multiLevelType w:val="singleLevel"/>
    <w:tmpl w:val="D2D07409"/>
    <w:lvl w:ilvl="0" w:tentative="0">
      <w:start w:val="1"/>
      <w:numFmt w:val="decimal"/>
      <w:lvlText w:val="(%1)"/>
      <w:lvlJc w:val="left"/>
      <w:pPr>
        <w:ind w:left="454" w:leftChars="0" w:hanging="171" w:firstLineChars="0"/>
      </w:pPr>
      <w:rPr>
        <w:rFonts w:hint="default"/>
      </w:rPr>
    </w:lvl>
  </w:abstractNum>
  <w:abstractNum w:abstractNumId="1">
    <w:nsid w:val="4B19B00F"/>
    <w:multiLevelType w:val="singleLevel"/>
    <w:tmpl w:val="4B19B00F"/>
    <w:lvl w:ilvl="0" w:tentative="0">
      <w:start w:val="1"/>
      <w:numFmt w:val="decimal"/>
      <w:lvlText w:val="(%1)"/>
      <w:lvlJc w:val="left"/>
      <w:pPr>
        <w:ind w:left="454" w:leftChars="0" w:hanging="171"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MDEwOGI5N2FiZDEzNmY1ZmZiMzNjNWViODBiYmQifQ=="/>
  </w:docVars>
  <w:rsids>
    <w:rsidRoot w:val="00662ABF"/>
    <w:rsid w:val="00006ECA"/>
    <w:rsid w:val="0001413A"/>
    <w:rsid w:val="00036A7B"/>
    <w:rsid w:val="0005073D"/>
    <w:rsid w:val="00051AC0"/>
    <w:rsid w:val="000B311D"/>
    <w:rsid w:val="001032FE"/>
    <w:rsid w:val="00104A82"/>
    <w:rsid w:val="00130F04"/>
    <w:rsid w:val="00240FD8"/>
    <w:rsid w:val="002414C7"/>
    <w:rsid w:val="002521A0"/>
    <w:rsid w:val="00275FC4"/>
    <w:rsid w:val="002A034D"/>
    <w:rsid w:val="002A5595"/>
    <w:rsid w:val="002D4004"/>
    <w:rsid w:val="002F1214"/>
    <w:rsid w:val="003030BB"/>
    <w:rsid w:val="0032760A"/>
    <w:rsid w:val="003476DC"/>
    <w:rsid w:val="003A70EB"/>
    <w:rsid w:val="003E44AE"/>
    <w:rsid w:val="003E6DCD"/>
    <w:rsid w:val="003F11F2"/>
    <w:rsid w:val="003F6901"/>
    <w:rsid w:val="00415741"/>
    <w:rsid w:val="00425B35"/>
    <w:rsid w:val="004806D6"/>
    <w:rsid w:val="004A55D8"/>
    <w:rsid w:val="004C360D"/>
    <w:rsid w:val="004D1D71"/>
    <w:rsid w:val="00555904"/>
    <w:rsid w:val="00575171"/>
    <w:rsid w:val="00583129"/>
    <w:rsid w:val="005F108E"/>
    <w:rsid w:val="005F557C"/>
    <w:rsid w:val="00642193"/>
    <w:rsid w:val="00662ABF"/>
    <w:rsid w:val="0067764C"/>
    <w:rsid w:val="0068395D"/>
    <w:rsid w:val="007614FC"/>
    <w:rsid w:val="007F4CEF"/>
    <w:rsid w:val="00847BDB"/>
    <w:rsid w:val="0087508B"/>
    <w:rsid w:val="008E3C88"/>
    <w:rsid w:val="00997048"/>
    <w:rsid w:val="009B66EC"/>
    <w:rsid w:val="009E4BE9"/>
    <w:rsid w:val="00A239B5"/>
    <w:rsid w:val="00A82F44"/>
    <w:rsid w:val="00AC0E86"/>
    <w:rsid w:val="00AE4FAF"/>
    <w:rsid w:val="00B7337A"/>
    <w:rsid w:val="00C07C5F"/>
    <w:rsid w:val="00C13698"/>
    <w:rsid w:val="00C87B69"/>
    <w:rsid w:val="00C95738"/>
    <w:rsid w:val="00CA59A9"/>
    <w:rsid w:val="00CD4255"/>
    <w:rsid w:val="00D84755"/>
    <w:rsid w:val="00DA38CA"/>
    <w:rsid w:val="00E02D55"/>
    <w:rsid w:val="00E07044"/>
    <w:rsid w:val="00E075FA"/>
    <w:rsid w:val="00E904DA"/>
    <w:rsid w:val="00ED56D9"/>
    <w:rsid w:val="00F335C2"/>
    <w:rsid w:val="00FE23D5"/>
    <w:rsid w:val="00FE76EB"/>
    <w:rsid w:val="025263E9"/>
    <w:rsid w:val="028C1015"/>
    <w:rsid w:val="02F833AC"/>
    <w:rsid w:val="0F891808"/>
    <w:rsid w:val="174041D6"/>
    <w:rsid w:val="18EA6F23"/>
    <w:rsid w:val="1EB70A07"/>
    <w:rsid w:val="21144E54"/>
    <w:rsid w:val="21FF018F"/>
    <w:rsid w:val="276B700C"/>
    <w:rsid w:val="2DD9580E"/>
    <w:rsid w:val="2E613D9E"/>
    <w:rsid w:val="2F275838"/>
    <w:rsid w:val="30336AD6"/>
    <w:rsid w:val="364D1E96"/>
    <w:rsid w:val="3787423F"/>
    <w:rsid w:val="3BD7198C"/>
    <w:rsid w:val="3CC73AC6"/>
    <w:rsid w:val="3DF31B27"/>
    <w:rsid w:val="3EFE1546"/>
    <w:rsid w:val="4077259B"/>
    <w:rsid w:val="4AE8116F"/>
    <w:rsid w:val="4F0D4BDC"/>
    <w:rsid w:val="5D2B01AA"/>
    <w:rsid w:val="639F1D47"/>
    <w:rsid w:val="64601415"/>
    <w:rsid w:val="6EF2535F"/>
    <w:rsid w:val="6F3518C1"/>
    <w:rsid w:val="6FA830EB"/>
    <w:rsid w:val="70B2124A"/>
    <w:rsid w:val="73BD0F7E"/>
    <w:rsid w:val="740426BD"/>
    <w:rsid w:val="75976C60"/>
    <w:rsid w:val="78482365"/>
    <w:rsid w:val="7A264028"/>
    <w:rsid w:val="7EC15F02"/>
    <w:rsid w:val="7EDA4DF2"/>
    <w:rsid w:val="F767A9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0"/>
    <w:autoRedefine/>
    <w:qFormat/>
    <w:uiPriority w:val="0"/>
    <w:rPr>
      <w:rFonts w:ascii="宋体" w:hAnsi="Courier New" w:eastAsia="宋体" w:cs="宋体"/>
      <w:szCs w:val="21"/>
    </w:rPr>
  </w:style>
  <w:style w:type="paragraph" w:styleId="3">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semiHidden/>
    <w:qFormat/>
    <w:uiPriority w:val="99"/>
    <w:rPr>
      <w:sz w:val="18"/>
      <w:szCs w:val="18"/>
    </w:rPr>
  </w:style>
  <w:style w:type="character" w:customStyle="1" w:styleId="9">
    <w:name w:val="页脚 Char"/>
    <w:basedOn w:val="7"/>
    <w:link w:val="3"/>
    <w:autoRedefine/>
    <w:semiHidden/>
    <w:qFormat/>
    <w:uiPriority w:val="99"/>
    <w:rPr>
      <w:sz w:val="18"/>
      <w:szCs w:val="18"/>
    </w:rPr>
  </w:style>
  <w:style w:type="character" w:customStyle="1" w:styleId="10">
    <w:name w:val="纯文本 Char"/>
    <w:basedOn w:val="7"/>
    <w:link w:val="2"/>
    <w:autoRedefine/>
    <w:qFormat/>
    <w:uiPriority w:val="0"/>
    <w:rPr>
      <w:rFonts w:ascii="宋体" w:hAnsi="Courier New" w:eastAsia="宋体" w:cs="宋体"/>
      <w:szCs w:val="21"/>
    </w:rPr>
  </w:style>
  <w:style w:type="paragraph" w:styleId="11">
    <w:name w:val="List Paragraph"/>
    <w:basedOn w:val="1"/>
    <w:autoRedefine/>
    <w:qFormat/>
    <w:uiPriority w:val="34"/>
    <w:pPr>
      <w:ind w:firstLine="420" w:firstLineChars="200"/>
    </w:p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5</Pages>
  <Words>3966</Words>
  <Characters>4608</Characters>
  <Lines>7</Lines>
  <Paragraphs>2</Paragraphs>
  <TotalTime>1</TotalTime>
  <ScaleCrop>false</ScaleCrop>
  <LinksUpToDate>false</LinksUpToDate>
  <CharactersWithSpaces>4655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2020-08-13T17:52:00Z</dcterms:created>
  <dc:creator>王路</dc:creator>
  <cp:lastModifiedBy>17758</cp:lastModifiedBy>
  <dcterms:modified xsi:type="dcterms:W3CDTF">2025-11-12T07:36:36Z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98FE70F57B0445FAA75866323BC803CC_13</vt:lpwstr>
  </property>
  <property fmtid="{D5CDD505-2E9C-101B-9397-08002B2CF9AE}" pid="4" name="KSOTemplateDocerSaveRecord">
    <vt:lpwstr>eyJoZGlkIjoiMzEwNTM5NzYwMDRjMzkwZTVkZjY2ODkwMGIxNGU0OTUiLCJ1c2VySWQiOiI0MzM4MTIyMDYifQ==</vt:lpwstr>
  </property>
</Properties>
</file>