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978D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w:t>
      </w:r>
    </w:p>
    <w:p w14:paraId="71D4469D">
      <w:pPr>
        <w:widowControl w:val="0"/>
        <w:spacing w:before="163" w:line="360" w:lineRule="auto"/>
        <w:ind w:firstLine="498"/>
        <w:outlineLvl w:val="1"/>
        <w:rPr>
          <w:rFonts w:ascii="仿宋" w:hAnsi="仿宋" w:eastAsia="仿宋" w:cs="仿宋"/>
          <w:b/>
          <w:bCs/>
          <w:spacing w:val="8"/>
          <w:position w:val="15"/>
          <w:sz w:val="24"/>
          <w:szCs w:val="24"/>
          <w:lang w:eastAsia="zh-CN"/>
        </w:rPr>
      </w:pPr>
      <w:bookmarkStart w:id="0" w:name="_Toc11642"/>
      <w:r>
        <w:rPr>
          <w:rFonts w:hint="eastAsia" w:ascii="仿宋" w:hAnsi="仿宋" w:eastAsia="仿宋" w:cs="仿宋"/>
          <w:b/>
          <w:bCs/>
          <w:spacing w:val="8"/>
          <w:position w:val="15"/>
          <w:sz w:val="24"/>
          <w:szCs w:val="24"/>
          <w:lang w:val="en-US" w:eastAsia="zh-CN"/>
        </w:rPr>
        <w:t>一、</w:t>
      </w:r>
      <w:r>
        <w:rPr>
          <w:rFonts w:hint="eastAsia" w:ascii="仿宋" w:hAnsi="仿宋" w:eastAsia="仿宋" w:cs="仿宋"/>
          <w:b/>
          <w:bCs/>
          <w:spacing w:val="8"/>
          <w:position w:val="15"/>
          <w:sz w:val="24"/>
          <w:szCs w:val="24"/>
          <w:lang w:eastAsia="zh-CN"/>
        </w:rPr>
        <w:t>采购项目概况</w:t>
      </w:r>
      <w:bookmarkEnd w:id="0"/>
    </w:p>
    <w:p w14:paraId="3040C0A3">
      <w:pPr>
        <w:pStyle w:val="2"/>
        <w:widowControl w:val="0"/>
        <w:spacing w:line="377" w:lineRule="auto"/>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1、工程名称：秦始皇帝陵博物院二号坑展陈提升项目</w:t>
      </w:r>
    </w:p>
    <w:p w14:paraId="3DC34870">
      <w:pPr>
        <w:pStyle w:val="2"/>
        <w:widowControl w:val="0"/>
        <w:spacing w:line="377" w:lineRule="auto"/>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lang w:eastAsia="zh-CN"/>
        </w:rPr>
        <w:t>2、工程地点：秦始皇帝陵博物院二号坑</w:t>
      </w:r>
    </w:p>
    <w:p w14:paraId="7399B920">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工程概况：项目位于秦始皇帝陵博物院二号坑，总面积约11150平方米（坑内遗址区约6700平方米，一层坑沿环廊面积约4450平方米），采用先进的展陈理念和现代化的展陈手段，对二号坑遗址本体及考古进行全新的展示，增强观众参与感、临场感与考古知识的传播力，并能有效分流参观人群，缓解节假日人流拥堵。</w:t>
      </w:r>
    </w:p>
    <w:p w14:paraId="0411D619">
      <w:pPr>
        <w:pStyle w:val="3"/>
        <w:keepNext w:val="0"/>
        <w:keepLines w:val="0"/>
        <w:pageBreakBefore w:val="0"/>
        <w:widowControl w:val="0"/>
        <w:kinsoku/>
        <w:wordWrap/>
        <w:overflowPunct/>
        <w:topLinePunct w:val="0"/>
        <w:autoSpaceDE/>
        <w:autoSpaceDN w:val="0"/>
        <w:bidi w:val="0"/>
        <w:adjustRightInd w:val="0"/>
        <w:snapToGrid w:val="0"/>
        <w:textAlignment w:val="auto"/>
        <w:rPr>
          <w:highlight w:val="none"/>
        </w:rPr>
      </w:pPr>
      <w:r>
        <w:rPr>
          <w:rFonts w:hint="eastAsia"/>
          <w:highlight w:val="none"/>
        </w:rPr>
        <w:t>本项目总投资</w:t>
      </w:r>
      <w:r>
        <w:rPr>
          <w:rFonts w:hint="eastAsia"/>
          <w:highlight w:val="none"/>
          <w:lang w:eastAsia="zh-CN"/>
        </w:rPr>
        <w:t>1497.00</w:t>
      </w:r>
      <w:r>
        <w:rPr>
          <w:rFonts w:hint="eastAsia"/>
          <w:highlight w:val="none"/>
        </w:rPr>
        <w:t>万元，为二号坑陈列展览及装饰装修设计与施工一体化工程。其中：设计费用</w:t>
      </w:r>
      <w:r>
        <w:rPr>
          <w:rFonts w:hint="eastAsia"/>
          <w:highlight w:val="none"/>
          <w:lang w:eastAsia="zh-CN"/>
        </w:rPr>
        <w:t>60.00</w:t>
      </w:r>
      <w:r>
        <w:rPr>
          <w:rFonts w:hint="eastAsia"/>
          <w:highlight w:val="none"/>
        </w:rPr>
        <w:t>万元是对二号坑进行全面整体的展陈及装饰装修设计，设计范围包括：一层环廊展示区（含东西门厅）、遗址展示区、二层</w:t>
      </w:r>
      <w:r>
        <w:rPr>
          <w:rFonts w:hint="eastAsia"/>
          <w:highlight w:val="none"/>
          <w:lang w:eastAsia="zh-CN"/>
        </w:rPr>
        <w:t>环廊外立面</w:t>
      </w:r>
      <w:r>
        <w:rPr>
          <w:rFonts w:hint="eastAsia"/>
          <w:highlight w:val="none"/>
        </w:rPr>
        <w:t>等。施工费用</w:t>
      </w:r>
      <w:r>
        <w:rPr>
          <w:rFonts w:hint="eastAsia"/>
          <w:highlight w:val="none"/>
          <w:lang w:eastAsia="zh-CN"/>
        </w:rPr>
        <w:t>1437.00</w:t>
      </w:r>
      <w:r>
        <w:rPr>
          <w:rFonts w:hint="eastAsia"/>
          <w:highlight w:val="none"/>
        </w:rPr>
        <w:t>万元用于一层环廊展示区（含东西门厅）及遗址展示区、二层</w:t>
      </w:r>
      <w:r>
        <w:rPr>
          <w:rFonts w:hint="eastAsia"/>
          <w:highlight w:val="none"/>
          <w:lang w:eastAsia="zh-CN"/>
        </w:rPr>
        <w:t>环廊外立面</w:t>
      </w:r>
      <w:r>
        <w:rPr>
          <w:rFonts w:hint="eastAsia"/>
          <w:highlight w:val="none"/>
        </w:rPr>
        <w:t>的展陈施工、布展及装饰装修。</w:t>
      </w:r>
    </w:p>
    <w:p w14:paraId="6B9A4026">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工程范围：</w:t>
      </w:r>
    </w:p>
    <w:p w14:paraId="6342C893">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秦始皇帝陵博物院二号坑展厅提升工程，要求按照《陈列大纲》（二号坑展览方案）、《展厅平面图》及设计要求进行。具体工作范围包括但不限于：</w:t>
      </w:r>
    </w:p>
    <w:p w14:paraId="00E2D48F">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A、总体设计：展览总体概念设计，深化设计、施工图设计、竣工图编制等（包括展厅环境装饰设计、艺术品设计，多媒体设计、展柜设计、照明设计、海报等平面设计等）。</w:t>
      </w:r>
    </w:p>
    <w:p w14:paraId="415F2382">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B、装饰施工：原展厅的所有展览设备、设施的拆除及垃圾清运；天花，墙体，局部地面等装饰施工；展厅环境装饰制作；电气电路，弱电等装饰施工；展柜、照明灯具的采购及安装调试；艺术品、模型、沙盘等辅助展品制作安装；多媒体、音效影视文件、科技展示设施等陈列配套项目的制作及设备的安装调试等。</w:t>
      </w:r>
    </w:p>
    <w:p w14:paraId="6F944061">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C、陈列布展；展台、展具及支架的设计制作；图文展板及说明牌的设计制作；展览标识、消防标识、安防标识等设计制作；陈列布展及其他辅助项目等。</w:t>
      </w:r>
    </w:p>
    <w:p w14:paraId="3C7E95C4">
      <w:pPr>
        <w:pStyle w:val="2"/>
        <w:widowControl w:val="0"/>
        <w:spacing w:line="377" w:lineRule="auto"/>
        <w:ind w:firstLine="512" w:firstLineChars="200"/>
        <w:rPr>
          <w:rFonts w:ascii="仿宋" w:hAnsi="仿宋" w:eastAsia="仿宋" w:cs="仿宋"/>
          <w:spacing w:val="8"/>
          <w:sz w:val="24"/>
          <w:szCs w:val="24"/>
          <w:highlight w:val="none"/>
          <w:lang w:eastAsia="zh-CN"/>
        </w:rPr>
      </w:pPr>
      <w:bookmarkStart w:id="1" w:name="_Toc288"/>
      <w:r>
        <w:rPr>
          <w:rFonts w:hint="eastAsia" w:ascii="仿宋" w:hAnsi="仿宋" w:eastAsia="仿宋" w:cs="仿宋"/>
          <w:spacing w:val="8"/>
          <w:sz w:val="24"/>
          <w:szCs w:val="24"/>
          <w:highlight w:val="none"/>
          <w:lang w:eastAsia="zh-CN"/>
        </w:rPr>
        <w:t>4、技术标准及要求</w:t>
      </w:r>
      <w:bookmarkEnd w:id="1"/>
    </w:p>
    <w:p w14:paraId="5B7E5052">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（1）深化设计并绘制效果图、施工图。</w:t>
      </w:r>
    </w:p>
    <w:p w14:paraId="5DC9DAE3">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（2）符合《室内装饰装修施工规范》《建筑装饰装修工程质量验收规范》（GB50210-2018）《民用建筑工程室内环境污染控制规范》（GB50325-2020）《音视频、信息技术和通信技术设备 第1部分：安全要求》（GB 4943.1-2022）。</w:t>
      </w:r>
    </w:p>
    <w:p w14:paraId="27658D3A">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（3）其他要求：有完整的文物保护方案及灯光方案。</w:t>
      </w:r>
    </w:p>
    <w:p w14:paraId="14EA2930">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（4）工程量清单及限价：根据施工图纸自行核实工程量、根据施工图纸自行报价。</w:t>
      </w:r>
    </w:p>
    <w:p w14:paraId="489FE46D">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（5）图纸：根据要求自行设计出具相应的效果图及施工图。</w:t>
      </w:r>
    </w:p>
    <w:p w14:paraId="7F94BA21">
      <w:pPr>
        <w:widowControl w:val="0"/>
        <w:spacing w:before="163" w:line="228" w:lineRule="auto"/>
        <w:ind w:firstLine="498"/>
        <w:outlineLvl w:val="1"/>
        <w:rPr>
          <w:rFonts w:ascii="仿宋" w:hAnsi="仿宋" w:eastAsia="仿宋" w:cs="仿宋"/>
          <w:b/>
          <w:bCs/>
          <w:spacing w:val="8"/>
          <w:position w:val="15"/>
          <w:sz w:val="24"/>
          <w:szCs w:val="24"/>
          <w:highlight w:val="none"/>
          <w:lang w:eastAsia="zh-CN"/>
        </w:rPr>
      </w:pPr>
      <w:bookmarkStart w:id="2" w:name="_Toc28699"/>
      <w:r>
        <w:rPr>
          <w:rFonts w:hint="eastAsia" w:ascii="仿宋" w:hAnsi="仿宋" w:eastAsia="仿宋" w:cs="仿宋"/>
          <w:b/>
          <w:bCs/>
          <w:spacing w:val="8"/>
          <w:position w:val="15"/>
          <w:sz w:val="24"/>
          <w:szCs w:val="24"/>
          <w:highlight w:val="none"/>
          <w:lang w:val="en-US" w:eastAsia="zh-CN"/>
        </w:rPr>
        <w:t>二、</w:t>
      </w:r>
      <w:r>
        <w:rPr>
          <w:rFonts w:hint="eastAsia" w:ascii="仿宋" w:hAnsi="仿宋" w:eastAsia="仿宋" w:cs="仿宋"/>
          <w:b/>
          <w:bCs/>
          <w:spacing w:val="8"/>
          <w:position w:val="15"/>
          <w:sz w:val="24"/>
          <w:szCs w:val="24"/>
          <w:highlight w:val="none"/>
          <w:lang w:eastAsia="zh-CN"/>
        </w:rPr>
        <w:t>采购内容</w:t>
      </w:r>
      <w:bookmarkEnd w:id="2"/>
    </w:p>
    <w:p w14:paraId="7A14EFA0">
      <w:pPr>
        <w:widowControl w:val="0"/>
        <w:spacing w:before="224" w:line="228" w:lineRule="auto"/>
        <w:ind w:left="2" w:firstLine="49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采购预算金额（元）：</w:t>
      </w:r>
      <w:r>
        <w:rPr>
          <w:rFonts w:hint="eastAsia" w:ascii="仿宋" w:hAnsi="仿宋" w:eastAsia="仿宋" w:cs="仿宋"/>
          <w:spacing w:val="5"/>
          <w:sz w:val="24"/>
          <w:szCs w:val="24"/>
          <w:highlight w:val="none"/>
          <w:lang w:val="en-US" w:eastAsia="zh-CN"/>
        </w:rPr>
        <w:t>14970000.00</w:t>
      </w:r>
      <w:r>
        <w:rPr>
          <w:rFonts w:hint="eastAsia" w:ascii="仿宋" w:hAnsi="仿宋" w:eastAsia="仿宋" w:cs="仿宋"/>
          <w:spacing w:val="5"/>
          <w:sz w:val="24"/>
          <w:szCs w:val="24"/>
          <w:highlight w:val="none"/>
          <w:lang w:eastAsia="zh-CN"/>
        </w:rPr>
        <w:t>元，其中：</w:t>
      </w:r>
    </w:p>
    <w:p w14:paraId="0BB9545D">
      <w:pPr>
        <w:widowControl w:val="0"/>
        <w:spacing w:before="224" w:line="228" w:lineRule="auto"/>
        <w:ind w:left="2" w:firstLine="49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1、设计费最高投标限价：600000.00元；</w:t>
      </w:r>
    </w:p>
    <w:p w14:paraId="702AF7BF">
      <w:pPr>
        <w:widowControl w:val="0"/>
        <w:spacing w:before="224" w:line="228" w:lineRule="auto"/>
        <w:ind w:left="2" w:firstLine="490"/>
        <w:rPr>
          <w:rFonts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lang w:eastAsia="zh-CN"/>
        </w:rPr>
        <w:t>2、施工费最高投标限价：14370000.00元。</w:t>
      </w:r>
    </w:p>
    <w:p w14:paraId="0BD43870">
      <w:pPr>
        <w:widowControl w:val="0"/>
        <w:spacing w:before="162" w:line="226" w:lineRule="auto"/>
        <w:ind w:left="2" w:firstLine="490"/>
        <w:rPr>
          <w:rFonts w:ascii="仿宋" w:hAnsi="仿宋" w:eastAsia="仿宋" w:cs="仿宋"/>
          <w:sz w:val="24"/>
          <w:szCs w:val="24"/>
          <w:highlight w:val="none"/>
          <w:lang w:eastAsia="zh-CN"/>
        </w:rPr>
      </w:pPr>
      <w:r>
        <w:rPr>
          <w:rFonts w:hint="eastAsia" w:ascii="仿宋" w:hAnsi="仿宋" w:eastAsia="仿宋" w:cs="仿宋"/>
          <w:spacing w:val="5"/>
          <w:sz w:val="24"/>
          <w:szCs w:val="24"/>
          <w:highlight w:val="none"/>
          <w:lang w:eastAsia="zh-CN"/>
        </w:rPr>
        <w:t>最高限价（元</w:t>
      </w:r>
      <w:r>
        <w:rPr>
          <w:rFonts w:hint="eastAsia" w:ascii="仿宋" w:hAnsi="仿宋" w:eastAsia="仿宋" w:cs="仿宋"/>
          <w:spacing w:val="16"/>
          <w:sz w:val="24"/>
          <w:szCs w:val="24"/>
          <w:highlight w:val="none"/>
          <w:lang w:eastAsia="zh-CN"/>
        </w:rPr>
        <w:t>）：</w:t>
      </w:r>
      <w:r>
        <w:rPr>
          <w:rFonts w:hint="eastAsia" w:ascii="仿宋" w:hAnsi="仿宋" w:eastAsia="仿宋" w:cs="仿宋"/>
          <w:spacing w:val="5"/>
          <w:sz w:val="24"/>
          <w:szCs w:val="24"/>
          <w:highlight w:val="none"/>
          <w:lang w:eastAsia="zh-CN"/>
        </w:rPr>
        <w:t>同采购预算。</w:t>
      </w:r>
    </w:p>
    <w:p w14:paraId="7B92F58B">
      <w:pPr>
        <w:widowControl w:val="0"/>
        <w:spacing w:before="163" w:line="226" w:lineRule="auto"/>
        <w:ind w:left="2" w:firstLine="498"/>
        <w:rPr>
          <w:rFonts w:ascii="仿宋" w:hAnsi="仿宋" w:eastAsia="仿宋" w:cs="仿宋"/>
          <w:sz w:val="24"/>
          <w:szCs w:val="24"/>
          <w:highlight w:val="none"/>
          <w:lang w:eastAsia="zh-CN"/>
        </w:rPr>
      </w:pPr>
      <w:r>
        <w:rPr>
          <w:rFonts w:hint="eastAsia" w:ascii="仿宋" w:hAnsi="仿宋" w:eastAsia="仿宋" w:cs="仿宋"/>
          <w:spacing w:val="9"/>
          <w:sz w:val="24"/>
          <w:szCs w:val="24"/>
          <w:highlight w:val="none"/>
          <w:lang w:eastAsia="zh-CN"/>
        </w:rPr>
        <w:t>投标人报价不允许超过标的金额。</w:t>
      </w:r>
    </w:p>
    <w:tbl>
      <w:tblPr>
        <w:tblStyle w:val="7"/>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3214"/>
        <w:gridCol w:w="830"/>
        <w:gridCol w:w="1855"/>
        <w:gridCol w:w="1281"/>
        <w:gridCol w:w="1500"/>
      </w:tblGrid>
      <w:tr w14:paraId="2B972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23" w:type="dxa"/>
            <w:vAlign w:val="center"/>
          </w:tcPr>
          <w:p w14:paraId="5F5317A5">
            <w:pPr>
              <w:pStyle w:val="6"/>
              <w:widowControl w:val="0"/>
              <w:spacing w:before="65"/>
              <w:jc w:val="center"/>
              <w:rPr>
                <w:rFonts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序号</w:t>
            </w:r>
          </w:p>
        </w:tc>
        <w:tc>
          <w:tcPr>
            <w:tcW w:w="3214" w:type="dxa"/>
            <w:vAlign w:val="center"/>
          </w:tcPr>
          <w:p w14:paraId="209BAA58">
            <w:pPr>
              <w:pStyle w:val="6"/>
              <w:widowControl w:val="0"/>
              <w:spacing w:before="65"/>
              <w:jc w:val="center"/>
              <w:rPr>
                <w:rFonts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标的名称</w:t>
            </w:r>
          </w:p>
        </w:tc>
        <w:tc>
          <w:tcPr>
            <w:tcW w:w="830" w:type="dxa"/>
            <w:vAlign w:val="center"/>
          </w:tcPr>
          <w:p w14:paraId="5CEE3F5C">
            <w:pPr>
              <w:pStyle w:val="6"/>
              <w:widowControl w:val="0"/>
              <w:spacing w:before="65"/>
              <w:jc w:val="center"/>
              <w:rPr>
                <w:rFonts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数量</w:t>
            </w:r>
          </w:p>
        </w:tc>
        <w:tc>
          <w:tcPr>
            <w:tcW w:w="1855" w:type="dxa"/>
            <w:vAlign w:val="center"/>
          </w:tcPr>
          <w:p w14:paraId="5668EDF2">
            <w:pPr>
              <w:pStyle w:val="6"/>
              <w:widowControl w:val="0"/>
              <w:spacing w:before="65"/>
              <w:jc w:val="center"/>
              <w:rPr>
                <w:rFonts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标的金额（元）</w:t>
            </w:r>
          </w:p>
        </w:tc>
        <w:tc>
          <w:tcPr>
            <w:tcW w:w="1281" w:type="dxa"/>
            <w:vAlign w:val="center"/>
          </w:tcPr>
          <w:p w14:paraId="47B84F0E">
            <w:pPr>
              <w:pStyle w:val="6"/>
              <w:widowControl w:val="0"/>
              <w:spacing w:before="65"/>
              <w:jc w:val="center"/>
              <w:rPr>
                <w:rFonts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计量单位</w:t>
            </w:r>
          </w:p>
        </w:tc>
        <w:tc>
          <w:tcPr>
            <w:tcW w:w="1500" w:type="dxa"/>
            <w:vAlign w:val="center"/>
          </w:tcPr>
          <w:p w14:paraId="67DD7E7B">
            <w:pPr>
              <w:pStyle w:val="6"/>
              <w:widowControl w:val="0"/>
              <w:spacing w:before="65"/>
              <w:jc w:val="center"/>
              <w:rPr>
                <w:rFonts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所属行业</w:t>
            </w:r>
          </w:p>
        </w:tc>
      </w:tr>
      <w:tr w14:paraId="341F6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3" w:type="dxa"/>
            <w:vAlign w:val="center"/>
          </w:tcPr>
          <w:p w14:paraId="3FA4FB30">
            <w:pPr>
              <w:widowControl w:val="0"/>
              <w:spacing w:before="61"/>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3214" w:type="dxa"/>
            <w:vAlign w:val="center"/>
          </w:tcPr>
          <w:p w14:paraId="3D5D11F1">
            <w:pPr>
              <w:pStyle w:val="6"/>
              <w:widowControl w:val="0"/>
              <w:spacing w:before="65"/>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二号坑展陈提升项目</w:t>
            </w:r>
          </w:p>
        </w:tc>
        <w:tc>
          <w:tcPr>
            <w:tcW w:w="830" w:type="dxa"/>
            <w:vAlign w:val="center"/>
          </w:tcPr>
          <w:p w14:paraId="6FF565FE">
            <w:pPr>
              <w:widowControl w:val="0"/>
              <w:spacing w:before="61"/>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855" w:type="dxa"/>
            <w:vAlign w:val="center"/>
          </w:tcPr>
          <w:p w14:paraId="5AB49433">
            <w:pPr>
              <w:widowControl w:val="0"/>
              <w:spacing w:before="61"/>
              <w:jc w:val="center"/>
              <w:rPr>
                <w:rFonts w:ascii="仿宋" w:hAnsi="仿宋" w:eastAsia="仿宋" w:cs="仿宋"/>
                <w:sz w:val="24"/>
                <w:szCs w:val="24"/>
                <w:highlight w:val="none"/>
                <w:lang w:eastAsia="zh-CN"/>
              </w:rPr>
            </w:pPr>
            <w:r>
              <w:rPr>
                <w:rFonts w:hint="eastAsia" w:ascii="仿宋" w:hAnsi="仿宋" w:eastAsia="仿宋" w:cs="仿宋"/>
                <w:spacing w:val="4"/>
                <w:sz w:val="24"/>
                <w:szCs w:val="24"/>
                <w:highlight w:val="none"/>
                <w:lang w:val="en-US" w:eastAsia="zh-CN"/>
              </w:rPr>
              <w:t>14970000.00</w:t>
            </w:r>
          </w:p>
        </w:tc>
        <w:tc>
          <w:tcPr>
            <w:tcW w:w="1281" w:type="dxa"/>
            <w:vAlign w:val="center"/>
          </w:tcPr>
          <w:p w14:paraId="4F1FC08D">
            <w:pPr>
              <w:pStyle w:val="6"/>
              <w:widowControl w:val="0"/>
              <w:spacing w:before="65"/>
              <w:jc w:val="center"/>
              <w:rPr>
                <w:rFonts w:ascii="仿宋" w:hAnsi="仿宋" w:eastAsia="仿宋" w:cs="仿宋"/>
                <w:sz w:val="24"/>
                <w:szCs w:val="24"/>
                <w:highlight w:val="none"/>
              </w:rPr>
            </w:pPr>
            <w:r>
              <w:rPr>
                <w:rFonts w:hint="eastAsia" w:ascii="仿宋" w:hAnsi="仿宋" w:eastAsia="仿宋" w:cs="仿宋"/>
                <w:sz w:val="24"/>
                <w:szCs w:val="24"/>
                <w:highlight w:val="none"/>
              </w:rPr>
              <w:t>项</w:t>
            </w:r>
          </w:p>
        </w:tc>
        <w:tc>
          <w:tcPr>
            <w:tcW w:w="1500" w:type="dxa"/>
            <w:vAlign w:val="center"/>
          </w:tcPr>
          <w:p w14:paraId="285E2E11">
            <w:pPr>
              <w:pStyle w:val="6"/>
              <w:widowControl w:val="0"/>
              <w:spacing w:before="65"/>
              <w:jc w:val="center"/>
              <w:rPr>
                <w:rFonts w:ascii="仿宋" w:hAnsi="仿宋" w:eastAsia="仿宋" w:cs="仿宋"/>
                <w:sz w:val="24"/>
                <w:szCs w:val="24"/>
                <w:highlight w:val="none"/>
              </w:rPr>
            </w:pPr>
            <w:r>
              <w:rPr>
                <w:rFonts w:hint="eastAsia" w:ascii="仿宋" w:hAnsi="仿宋" w:eastAsia="仿宋" w:cs="仿宋"/>
                <w:spacing w:val="6"/>
                <w:sz w:val="24"/>
                <w:szCs w:val="24"/>
                <w:highlight w:val="none"/>
              </w:rPr>
              <w:t>建筑业</w:t>
            </w:r>
          </w:p>
        </w:tc>
      </w:tr>
    </w:tbl>
    <w:p w14:paraId="34BEFD81">
      <w:pPr>
        <w:widowControl w:val="0"/>
        <w:spacing w:before="163" w:line="228" w:lineRule="auto"/>
        <w:ind w:firstLine="498"/>
        <w:outlineLvl w:val="1"/>
        <w:rPr>
          <w:rFonts w:ascii="仿宋" w:hAnsi="仿宋" w:eastAsia="仿宋" w:cs="仿宋"/>
          <w:b/>
          <w:bCs/>
          <w:spacing w:val="8"/>
          <w:position w:val="15"/>
          <w:sz w:val="24"/>
          <w:szCs w:val="24"/>
          <w:highlight w:val="none"/>
          <w:lang w:eastAsia="zh-CN"/>
        </w:rPr>
      </w:pPr>
      <w:bookmarkStart w:id="3" w:name="_Toc2834"/>
      <w:r>
        <w:rPr>
          <w:rFonts w:hint="eastAsia" w:ascii="仿宋" w:hAnsi="仿宋" w:eastAsia="仿宋" w:cs="仿宋"/>
          <w:b/>
          <w:bCs/>
          <w:spacing w:val="8"/>
          <w:position w:val="15"/>
          <w:sz w:val="24"/>
          <w:szCs w:val="24"/>
          <w:highlight w:val="none"/>
          <w:lang w:val="en-US" w:eastAsia="zh-CN"/>
        </w:rPr>
        <w:t>三、</w:t>
      </w:r>
      <w:r>
        <w:rPr>
          <w:rFonts w:hint="eastAsia" w:ascii="仿宋" w:hAnsi="仿宋" w:eastAsia="仿宋" w:cs="仿宋"/>
          <w:b/>
          <w:bCs/>
          <w:spacing w:val="8"/>
          <w:position w:val="15"/>
          <w:sz w:val="24"/>
          <w:szCs w:val="24"/>
          <w:highlight w:val="none"/>
          <w:lang w:eastAsia="zh-CN"/>
        </w:rPr>
        <w:t>技术要求</w:t>
      </w:r>
      <w:bookmarkEnd w:id="3"/>
    </w:p>
    <w:p w14:paraId="63EEF160">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bookmarkStart w:id="4" w:name="_Toc31301"/>
      <w:r>
        <w:rPr>
          <w:rFonts w:hint="eastAsia" w:ascii="仿宋" w:hAnsi="仿宋" w:eastAsia="仿宋" w:cs="仿宋"/>
          <w:spacing w:val="8"/>
          <w:sz w:val="24"/>
          <w:szCs w:val="24"/>
          <w:highlight w:val="none"/>
          <w:lang w:eastAsia="zh-CN"/>
        </w:rPr>
        <w:t>（一）陈列设计基本要求：</w:t>
      </w:r>
    </w:p>
    <w:p w14:paraId="46155224">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需在充分理解陈列大纲的基础上，结合以下要求进行设计。</w:t>
      </w:r>
    </w:p>
    <w:p w14:paraId="6DBC9ECD">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1、设计标准，形式设计理念新颖，合理吸收利用先进的科技和艺术成果，力争达到国内一流水平。 </w:t>
      </w:r>
    </w:p>
    <w:p w14:paraId="67C2834E">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2、设计风格，形式与内容协调而统一，雅俗共赏；艺术风格鲜明，既雄浑大气，又雅致脱俗。 </w:t>
      </w:r>
    </w:p>
    <w:p w14:paraId="7E7AC308">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 xml:space="preserve">3、空间规划、展线设计、展览分项设计，空间规划合理，有效利用建筑空间，合理安排展览内容与文物展品；展线设计合理流畅，突出重点，并适合观众参观习惯；平面、艺术品、多媒体等各个分项设计，紧密结合主题与内容，创意科学、新颖、独特，布局设计合理。 </w:t>
      </w:r>
    </w:p>
    <w:p w14:paraId="12EB5A6D">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（二）展柜设计要求：</w:t>
      </w:r>
    </w:p>
    <w:p w14:paraId="6814E66B">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符合文物保护与陈列展示要求，坚固美观，密闭性达标，开启方便，安全防火，部分展柜要有隔震装置。必须采用国内外知名品牌，玻璃采用低反射玻璃。柜内灯具、电源等基本硬件符合文物保护与陈列展示要求。</w:t>
      </w:r>
    </w:p>
    <w:p w14:paraId="73D98EE7">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1、质量优良，做工精细，被国内省级以上博物馆采用，具有良好的密封性；</w:t>
      </w:r>
    </w:p>
    <w:p w14:paraId="161286DB">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2、展柜要求坚固、美观、实用，具有高可靠性，高安全性，符合文物保护、环保、节能、防火、防盗等有关要求；</w:t>
      </w:r>
    </w:p>
    <w:p w14:paraId="5A78F174">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3、展柜、展板须根据招标方确认的设计方案进行定制、安装；</w:t>
      </w:r>
    </w:p>
    <w:p w14:paraId="5F8DFFC6">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4、有特殊要求的文物展柜须符合恒温、恒湿及隔震等要求，有技术支撑和安全保障；</w:t>
      </w:r>
    </w:p>
    <w:p w14:paraId="21A5054D">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5、展柜玻璃的使用，必须确保展柜玻璃采用低反射玻璃。低反射玻璃采用6+6mm夹胶及以上，透光率97%及以上，反射率不高于2%，夹胶胶片必须采用抗弯胶片。</w:t>
      </w:r>
    </w:p>
    <w:p w14:paraId="61BB3455">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6、须有多种灯光组合供选择（如光导纤维照明，灯箱照明等）；</w:t>
      </w:r>
    </w:p>
    <w:p w14:paraId="29DEA14F">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7、须提供所有展柜材质、结构、灯光设计方案图及相关说明；</w:t>
      </w:r>
    </w:p>
    <w:p w14:paraId="659F1293">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8．满足采购人的其他需求。</w:t>
      </w:r>
    </w:p>
    <w:p w14:paraId="4FE72446">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（三）照明设计要求：</w:t>
      </w:r>
    </w:p>
    <w:p w14:paraId="0BD9AC45">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1、展厅照明设计要求</w:t>
      </w:r>
    </w:p>
    <w:p w14:paraId="28E81105">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（1）符合《博物馆照明设计规范》要求。</w:t>
      </w:r>
    </w:p>
    <w:p w14:paraId="376DA01C">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专业展览照明系统设计合理，性能好，操作简单，易维护且技术成熟，经久耐用，安全度高，满足招标文件要求。照明设计契合展示手段需要，各个空间、展柜灯光设计合理，灯光效果模拟图纸完整、明确、专业化程度高。</w:t>
      </w:r>
    </w:p>
    <w:p w14:paraId="60B0906A">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灯光效果应根据展项整体的设定，应考虑被照射物体表面质感进行设计，灯具和光源要考虑避免眩光和对展品的损害最小化，体现节能原则和方便维护保养。</w:t>
      </w:r>
    </w:p>
    <w:p w14:paraId="5F0B4DA3">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深化设计方案中进行具有针对性的展示灯效设计，充分考虑灯光对展品的影响及观众的视觉感受，并考虑与建筑结构的完美统一，同时需提供灯具型号及相应技术参数。</w:t>
      </w:r>
    </w:p>
    <w:p w14:paraId="0EB5A1A8">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灯光系统：负责该项目所有灯光系统的总体设计实施和协调管理，设计需符合展示主题的要求，并具体负责展区环境灯效及灯控系统的软硬件设计、开发、布线、采购、集成、安装、调试、维护、技术支持和服务。需提出对灯光效果的建议和要求，灯具和光源要考虑避免眩光和对展品的损害最小化，体现节能原则和方便维护保养。</w:t>
      </w:r>
    </w:p>
    <w:p w14:paraId="2C017C2F">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（4）使用专业照明品牌、质量方案；提供相应的设备资料、原厂质保函等。</w:t>
      </w:r>
    </w:p>
    <w:p w14:paraId="7356EDD3">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（5）专业照明的质保期及售后服务承诺。</w:t>
      </w:r>
    </w:p>
    <w:p w14:paraId="75B01DDD">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（6）专业照明灯具选择范围为国内博物馆专业品牌灯具及配套产品，且全部采用LED光源；如个别情况下需要使用参考品牌外的其他品牌，则该品牌应为行业内主流或同档次的品牌产品，并须采购人考察同意。</w:t>
      </w:r>
    </w:p>
    <w:p w14:paraId="4C46025B">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（7）专业照明灯具要求</w:t>
      </w:r>
    </w:p>
    <w:p w14:paraId="485CEBD8">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①专业灯具的外观材质（外壳）需为高纯铝合金外壳。</w:t>
      </w:r>
    </w:p>
    <w:p w14:paraId="0C22A887">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②轨道灯具应全部满足水平可调节角度最大为360.00度，垂直可调角度最大90度。</w:t>
      </w:r>
    </w:p>
    <w:p w14:paraId="1DF0EF67">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③选择的灯具应采取紫外/红外防护措施，从根本上最大程度避免红外线/紫外线对展品的损害。必须提供与所选灯具同一厂家的光学透镜及相应光学特性参数。</w:t>
      </w:r>
    </w:p>
    <w:p w14:paraId="51BDD734">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④根据陈列对象及环境对照明的要求选择灯具。灯具应具高显色性，色温适中，灯体材料及设计应利于散热，手动调节灵活，拆装方便，操作便捷，性能稳定。灯具单灯应具备手动调光旋钮，可进行单灯调光。</w:t>
      </w:r>
    </w:p>
    <w:p w14:paraId="5EFC2A89">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⑤功能扩展性：针对展品的不同尺寸，灯具应具备可应对不同配光的光学措施，如：可通过更换不同透镜或变焦的手段，达到在不增加灯具数量的情况下，满足不同陈列照明要求。这些配光包括：极窄角度、窄角度、中光角度、泛光角度、椭圆形角度、洗墙角度。</w:t>
      </w:r>
    </w:p>
    <w:p w14:paraId="718FEB9B">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⑥在同一展厅内，为了整体美观和安装维护方便，同一光源类型的灯具必须使用同一系列灯具、光源。</w:t>
      </w:r>
    </w:p>
    <w:p w14:paraId="012D8B3D">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⑦灯具输出光形无二次光斑，均匀度良好，配光准确，边缘退晕柔和自然。</w:t>
      </w:r>
    </w:p>
    <w:p w14:paraId="5C92150E">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（8）展柜照明灯具要求</w:t>
      </w:r>
    </w:p>
    <w:p w14:paraId="5DDE15DD">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根据不同展柜类型配置最适用该展柜的灯具，要求如下：</w:t>
      </w:r>
    </w:p>
    <w:p w14:paraId="3623234E">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①柜内灯光色温不小于3000K，紫外线相对含量≤20μW/lm。</w:t>
      </w:r>
    </w:p>
    <w:p w14:paraId="7B44175E">
      <w:pPr>
        <w:pStyle w:val="2"/>
        <w:keepNext w:val="0"/>
        <w:keepLines w:val="0"/>
        <w:pageBreakBefore w:val="0"/>
        <w:widowControl w:val="0"/>
        <w:kinsoku w:val="0"/>
        <w:wordWrap/>
        <w:overflowPunct/>
        <w:topLinePunct w:val="0"/>
        <w:autoSpaceDE w:val="0"/>
        <w:autoSpaceDN w:val="0"/>
        <w:bidi w:val="0"/>
        <w:adjustRightInd w:val="0"/>
        <w:snapToGrid w:val="0"/>
        <w:spacing w:line="377" w:lineRule="auto"/>
        <w:ind w:firstLine="512" w:firstLineChars="200"/>
        <w:textAlignment w:val="baseline"/>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②展柜内LED射灯照明采用国内知名品牌。显色指数Ra应≧90。寿命≧50000小时。</w:t>
      </w:r>
    </w:p>
    <w:p w14:paraId="51F6F35C">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③柜内光源的照度须可调，并要求必须在不开启展柜的情况下进行调节，且不同的光源须能分别进行调节。</w:t>
      </w:r>
    </w:p>
    <w:p w14:paraId="6BE04029">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④文物照度应控制在对光特别敏感的展品（织绣品、绘画、纸质物品、彩绘陶（石）器、染色皮革、动物标本等）≤50lx；对光敏感的展品（油画、蛋清画、不染色皮革、银制品、牙骨角器、象牙制品、宝玉石器、竹木制品和漆器等）≤150lx；对光不敏感的展品（其他金属制品、石质器物、陶瓷器、岩矿标本、玻璃制品、搪瓷制品、珐琅器等）≤300lx。多种材质展品同处一个展柜或复合材料制品，应按照对光敏感等级高的材料选择照度。</w:t>
      </w:r>
    </w:p>
    <w:p w14:paraId="23719217">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⑤根据不同的展柜类型设计搭配使用不同功能的灯具，如洗墙灯，重点照明变焦射灯，洗桌灯等。</w:t>
      </w:r>
    </w:p>
    <w:p w14:paraId="27229EEC">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（9）以上各项均须采购人同意方可实施。</w:t>
      </w:r>
    </w:p>
    <w:p w14:paraId="6E6C1452">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2、展厅环境照明设备采购项目技术需求书</w:t>
      </w:r>
    </w:p>
    <w:p w14:paraId="575D21E2">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合理控制展厅环境的照明水平。展厅环境照明应按展品照度值的20%～30%选取，紫外线相对含量≤20μW/lm。</w:t>
      </w:r>
    </w:p>
    <w:p w14:paraId="067311C1">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在环境照明设计上，应充分考虑各种光线对文物和人的影响，合理选择相应的灯光、灯源和防范措施。</w:t>
      </w:r>
    </w:p>
    <w:p w14:paraId="22206084">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3、工作照明</w:t>
      </w:r>
    </w:p>
    <w:p w14:paraId="47E4EB9F">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工作照明是指安装在展厅内除展品、环境照明以外用于展厅维护的工作用光，工作照明应满足普通照明要求。</w:t>
      </w:r>
    </w:p>
    <w:p w14:paraId="616DF955">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（四）多媒体设计：</w:t>
      </w:r>
    </w:p>
    <w:p w14:paraId="194E83C8">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1、基本要求</w:t>
      </w:r>
    </w:p>
    <w:p w14:paraId="0EEBF666">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①策划方案：紧扣内容，科学而适当，体现重点和亮点。</w:t>
      </w:r>
    </w:p>
    <w:p w14:paraId="5C8553F8">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②须提供设计图纸、三维演示、系统原理图及说明、施工安装方案、技术保障措施及相关资料。</w:t>
      </w:r>
    </w:p>
    <w:p w14:paraId="3548E59A">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2、硬件要求</w:t>
      </w:r>
    </w:p>
    <w:p w14:paraId="2251EBF6">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①采用目前型号最新、性能最优的品牌。详细标明品牌、产地、技术参数、规格型号、数量及单价等。</w:t>
      </w:r>
    </w:p>
    <w:p w14:paraId="22C78BDE">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②凡能采购到的品牌设备，不允许使用定制，且要详细标明采用的技术手段及系统原理等。特殊需要定制的产品须经采购人同意，且要有厂家提供相关技术及售后服务承诺资料。</w:t>
      </w:r>
    </w:p>
    <w:p w14:paraId="2DD98632">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③投标人所提供的设备应是符合国家标准的全新设备。</w:t>
      </w:r>
    </w:p>
    <w:p w14:paraId="3EB99A0D">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④所有设备必须具备出厂合格证、保修卡、说明书等。</w:t>
      </w:r>
    </w:p>
    <w:p w14:paraId="2DEBBCA2">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3、软件要求</w:t>
      </w:r>
    </w:p>
    <w:p w14:paraId="5049EA37">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①控制性软件：中标人应向采购人提供所有项目完整的控制性软件及其知识产权，在工程竣工时，给采购人提供软件完全备份文件，一旦系统崩溃，采购人能够自行恢复。</w:t>
      </w:r>
    </w:p>
    <w:p w14:paraId="3788A65E">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②游戏软件：软件的内容形式要由采购人审定；中标人应向采购人提供所有游戏软件的完整系统和知识产权，工程验收时，给采购人提供软件的完全备份文件；游戏必须可靠稳定，若在质保期内出现频繁死机掉线，中标人应对软件进行重新编制。</w:t>
      </w:r>
    </w:p>
    <w:p w14:paraId="3F964BB9">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③软件设计须实用、易操作，可对数据库进行备份，并便于维护，操作界面友好，配色方案与环境相协调，凡观众可直接操作的软件须设置防观众误操作功能。</w:t>
      </w:r>
    </w:p>
    <w:p w14:paraId="3AD46189">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④中标人须提供多媒体动态电子演示光盘。同时，软件部分要符合国家有关游戏娱乐产品和设施的规定。</w:t>
      </w:r>
    </w:p>
    <w:p w14:paraId="3F77EAE9">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⑤所有软件（控制软件、视频软件、系统软件）必须提供备份。</w:t>
      </w:r>
    </w:p>
    <w:p w14:paraId="2027D730">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⑥在工程质保期内，出现故障，中标人应在24小时内提供相关软件免费系统升级、技术服务等，并在48小时之内解决问题，重大问题须在一周内解决，恢复正常使用。</w:t>
      </w:r>
    </w:p>
    <w:p w14:paraId="0F2229D8">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4、设计专利权及软件使用权说明</w:t>
      </w:r>
    </w:p>
    <w:p w14:paraId="18B6B306">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①中标人应保证采购人不受到第三方关于侵犯设计权的指控，任何第三方如果提出侵权指控，中标人应与第三方交涉并承担可能发生的一切法律责任以及造成的后果和费用，并赔偿由此给采购人带来的名誉和经济等一切损失。</w:t>
      </w:r>
    </w:p>
    <w:p w14:paraId="1DCDD286">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②中标人不得以任何形式向采购人以外的任何单位和个人提供中标设计资料，如有违反必须赔偿采购人的损失。</w:t>
      </w:r>
    </w:p>
    <w:p w14:paraId="0B4AB979">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③采购人不承担设计专利权及软件使用权任何费用，此项费用均由中标人承担。</w:t>
      </w:r>
    </w:p>
    <w:p w14:paraId="13772AAC">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（五）文保措施要求：</w:t>
      </w:r>
    </w:p>
    <w:p w14:paraId="3308F3F5">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在追求展览艺术效果的同时，应为不同类别的文物制定合理、安全、高效的文物保护方案。设备选择、展陈展台及柜内文物支架必须充分考虑文物保护的需求，所有陶俑、陶马展柜，需要配置整体隔振装置，以保证文物长期展出的安全性。</w:t>
      </w:r>
    </w:p>
    <w:p w14:paraId="46B07FA2">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（六）其他要求：</w:t>
      </w:r>
    </w:p>
    <w:bookmarkEnd w:id="4"/>
    <w:p w14:paraId="592FD60E">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1、不得减少展厅的现有面积，不得影响现有空调系统的效果。</w:t>
      </w:r>
    </w:p>
    <w:p w14:paraId="3B82A6ED">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2、要有展厅消音措施。</w:t>
      </w:r>
    </w:p>
    <w:p w14:paraId="102B9074">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3、展厅设计要求简洁大方、色调明快，对原展厅杂乱的墙面进行美化、优化，保留有原展厅的部分特色。</w:t>
      </w:r>
    </w:p>
    <w:p w14:paraId="092E08EB">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七）设计要求：投标时投标人根据要求自行设计出具相应的装饰效果图、装饰施工图、灯光设计图及针对文物保护的专项施工图，中标后中标人根据需要和采购人要求在原设计图纸基础上进行优化深化设计，提供满足采购人需求和施工要求的施工详图，经采购人确认后，根据确认的详图进行施工。</w:t>
      </w:r>
    </w:p>
    <w:p w14:paraId="283FBF19">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（八）工程量清单及报价：投标时投标人根据施工图纸自行核实工程量、根据施工图纸自行报价。中标后施工图审图完成后中标人编制施工图预算并交由采购人委派的第三方有造价咨询能力的机构审定。</w:t>
      </w:r>
    </w:p>
    <w:p w14:paraId="00C9F201">
      <w:pPr>
        <w:pStyle w:val="2"/>
        <w:widowControl w:val="0"/>
        <w:spacing w:line="377" w:lineRule="auto"/>
        <w:ind w:firstLine="498"/>
        <w:outlineLvl w:val="1"/>
        <w:rPr>
          <w:rFonts w:ascii="仿宋" w:hAnsi="仿宋" w:eastAsia="仿宋" w:cs="仿宋"/>
          <w:b/>
          <w:bCs/>
          <w:spacing w:val="8"/>
          <w:position w:val="15"/>
          <w:sz w:val="24"/>
          <w:szCs w:val="24"/>
          <w:highlight w:val="none"/>
          <w:lang w:eastAsia="zh-CN"/>
        </w:rPr>
      </w:pPr>
      <w:bookmarkStart w:id="5" w:name="_Toc12590"/>
      <w:r>
        <w:rPr>
          <w:rFonts w:hint="eastAsia" w:ascii="仿宋" w:hAnsi="仿宋" w:eastAsia="仿宋" w:cs="仿宋"/>
          <w:b/>
          <w:bCs/>
          <w:spacing w:val="8"/>
          <w:position w:val="15"/>
          <w:sz w:val="24"/>
          <w:szCs w:val="24"/>
          <w:highlight w:val="none"/>
          <w:lang w:val="en-US" w:eastAsia="zh-CN"/>
        </w:rPr>
        <w:t>四、</w:t>
      </w:r>
      <w:r>
        <w:rPr>
          <w:rFonts w:hint="eastAsia" w:ascii="仿宋" w:hAnsi="仿宋" w:eastAsia="仿宋" w:cs="仿宋"/>
          <w:b/>
          <w:bCs/>
          <w:spacing w:val="8"/>
          <w:position w:val="15"/>
          <w:sz w:val="24"/>
          <w:szCs w:val="24"/>
          <w:highlight w:val="none"/>
          <w:lang w:eastAsia="zh-CN"/>
        </w:rPr>
        <w:t>商务要求</w:t>
      </w:r>
      <w:bookmarkEnd w:id="5"/>
    </w:p>
    <w:p w14:paraId="5E577297">
      <w:pPr>
        <w:pStyle w:val="2"/>
        <w:widowControl w:val="0"/>
        <w:spacing w:line="377" w:lineRule="auto"/>
        <w:ind w:firstLine="512" w:firstLineChars="200"/>
        <w:rPr>
          <w:rFonts w:ascii="仿宋" w:hAnsi="仿宋" w:eastAsia="仿宋" w:cs="仿宋"/>
          <w:color w:val="FF0000"/>
          <w:spacing w:val="8"/>
          <w:sz w:val="24"/>
          <w:szCs w:val="24"/>
          <w:highlight w:val="none"/>
          <w:lang w:eastAsia="zh-CN"/>
        </w:rPr>
      </w:pPr>
      <w:r>
        <w:rPr>
          <w:rFonts w:hint="eastAsia" w:ascii="仿宋" w:hAnsi="仿宋" w:eastAsia="仿宋" w:cs="仿宋"/>
          <w:spacing w:val="8"/>
          <w:sz w:val="24"/>
          <w:szCs w:val="24"/>
          <w:highlight w:val="none"/>
          <w:lang w:eastAsia="zh-CN"/>
        </w:rPr>
        <w:t>1、工期：150日历天，其中设计周期：自合同签订之日起30日历天，施工周期：接到采购人进场通知120日历天（局部半封闭施工，保证游客正常参观，夜间施工）。</w:t>
      </w:r>
    </w:p>
    <w:p w14:paraId="05A849AE">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2、施工地点：秦始皇帝陵博物院二号坑</w:t>
      </w:r>
    </w:p>
    <w:p w14:paraId="19BD915B">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3、质量：</w:t>
      </w:r>
      <w:r>
        <w:rPr>
          <w:rFonts w:hint="eastAsia" w:ascii="仿宋" w:hAnsi="仿宋" w:eastAsia="仿宋" w:cs="仿宋"/>
          <w:color w:val="auto"/>
          <w:sz w:val="24"/>
          <w:szCs w:val="24"/>
          <w:highlight w:val="none"/>
          <w:lang w:eastAsia="zh-CN"/>
        </w:rPr>
        <w:t>符合国家现行施工及验收规范的合格标准。</w:t>
      </w:r>
    </w:p>
    <w:p w14:paraId="45A73720">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4、支付约定</w:t>
      </w:r>
    </w:p>
    <w:p w14:paraId="158EF14C">
      <w:pPr>
        <w:spacing w:line="360" w:lineRule="auto"/>
        <w:ind w:firstLine="480" w:firstLineChars="200"/>
        <w:rPr>
          <w:rFonts w:ascii="仿宋" w:hAnsi="仿宋" w:eastAsia="仿宋" w:cs="仿宋"/>
          <w:bCs/>
          <w:color w:val="auto"/>
          <w:sz w:val="24"/>
          <w:szCs w:val="24"/>
          <w:highlight w:val="none"/>
          <w:lang w:eastAsia="zh-CN"/>
        </w:rPr>
      </w:pPr>
      <w:bookmarkStart w:id="6" w:name="_Toc4309"/>
      <w:r>
        <w:rPr>
          <w:rFonts w:hint="eastAsia" w:ascii="仿宋" w:hAnsi="仿宋" w:eastAsia="仿宋" w:cs="仿宋"/>
          <w:bCs/>
          <w:color w:val="auto"/>
          <w:sz w:val="24"/>
          <w:szCs w:val="24"/>
          <w:highlight w:val="none"/>
          <w:lang w:eastAsia="zh-CN"/>
        </w:rPr>
        <w:t>（1）合同签订后，甲方向乙方支付合同总金额的</w:t>
      </w:r>
      <w:r>
        <w:rPr>
          <w:rFonts w:hint="eastAsia" w:ascii="仿宋" w:hAnsi="仿宋" w:eastAsia="仿宋" w:cs="仿宋"/>
          <w:bCs/>
          <w:color w:val="auto"/>
          <w:sz w:val="24"/>
          <w:szCs w:val="24"/>
          <w:highlight w:val="none"/>
          <w:lang w:val="en-US" w:eastAsia="zh-CN"/>
        </w:rPr>
        <w:t>40</w:t>
      </w:r>
      <w:r>
        <w:rPr>
          <w:rFonts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eastAsia="zh-CN"/>
        </w:rPr>
        <w:t>作为预付款；</w:t>
      </w:r>
    </w:p>
    <w:p w14:paraId="5B1F2321">
      <w:pPr>
        <w:spacing w:line="360" w:lineRule="auto"/>
        <w:ind w:firstLine="480" w:firstLine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（2）设计方案效果图达到审核条件后，甲方向乙方支付合同总金额的</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lang w:eastAsia="zh-CN"/>
        </w:rPr>
        <w:t>%；</w:t>
      </w:r>
    </w:p>
    <w:p w14:paraId="372CE015">
      <w:pPr>
        <w:spacing w:line="360" w:lineRule="auto"/>
        <w:ind w:firstLine="480" w:firstLine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（3）项目完工验收交付后，甲方向乙方支付合同总金额的</w:t>
      </w:r>
      <w:r>
        <w:rPr>
          <w:rFonts w:hint="eastAsia" w:ascii="仿宋" w:hAnsi="仿宋" w:eastAsia="仿宋" w:cs="仿宋"/>
          <w:bCs/>
          <w:color w:val="auto"/>
          <w:sz w:val="24"/>
          <w:szCs w:val="24"/>
          <w:highlight w:val="none"/>
          <w:lang w:val="en-US" w:eastAsia="zh-CN"/>
        </w:rPr>
        <w:t>25</w:t>
      </w:r>
      <w:r>
        <w:rPr>
          <w:rFonts w:hint="eastAsia" w:ascii="仿宋" w:hAnsi="仿宋" w:eastAsia="仿宋" w:cs="仿宋"/>
          <w:bCs/>
          <w:color w:val="auto"/>
          <w:sz w:val="24"/>
          <w:szCs w:val="24"/>
          <w:highlight w:val="none"/>
          <w:lang w:eastAsia="zh-CN"/>
        </w:rPr>
        <w:t>%；</w:t>
      </w:r>
    </w:p>
    <w:p w14:paraId="0A09B94C">
      <w:pPr>
        <w:spacing w:line="360" w:lineRule="auto"/>
        <w:ind w:firstLine="480" w:firstLine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）经审计部门结算审计后，甲方向乙方支付审定金额的97%；</w:t>
      </w:r>
    </w:p>
    <w:p w14:paraId="6D9E93BF">
      <w:pPr>
        <w:spacing w:line="360" w:lineRule="auto"/>
        <w:ind w:firstLine="480" w:firstLine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）质保期满后，甲方向乙方支付审定金额的3%。</w:t>
      </w:r>
    </w:p>
    <w:p w14:paraId="7C5874E6">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5、验收标准和方法：按照招标文件要求及合同约定执行。</w:t>
      </w:r>
      <w:bookmarkEnd w:id="6"/>
    </w:p>
    <w:p w14:paraId="59363C44">
      <w:pPr>
        <w:pStyle w:val="2"/>
        <w:widowControl w:val="0"/>
        <w:spacing w:line="377" w:lineRule="auto"/>
        <w:ind w:firstLine="498"/>
        <w:outlineLvl w:val="1"/>
        <w:rPr>
          <w:rFonts w:ascii="仿宋" w:hAnsi="仿宋" w:eastAsia="仿宋" w:cs="仿宋"/>
          <w:b/>
          <w:bCs/>
          <w:spacing w:val="8"/>
          <w:position w:val="15"/>
          <w:sz w:val="24"/>
          <w:szCs w:val="24"/>
          <w:highlight w:val="none"/>
          <w:lang w:eastAsia="zh-CN"/>
        </w:rPr>
      </w:pPr>
      <w:bookmarkStart w:id="7" w:name="_Toc31149"/>
      <w:r>
        <w:rPr>
          <w:rFonts w:hint="eastAsia" w:ascii="仿宋" w:hAnsi="仿宋" w:eastAsia="仿宋" w:cs="仿宋"/>
          <w:b/>
          <w:bCs/>
          <w:spacing w:val="8"/>
          <w:position w:val="15"/>
          <w:sz w:val="24"/>
          <w:szCs w:val="24"/>
          <w:highlight w:val="none"/>
          <w:lang w:val="en-US" w:eastAsia="zh-CN"/>
        </w:rPr>
        <w:t>五、</w:t>
      </w:r>
      <w:r>
        <w:rPr>
          <w:rFonts w:hint="eastAsia" w:ascii="仿宋" w:hAnsi="仿宋" w:eastAsia="仿宋" w:cs="仿宋"/>
          <w:b/>
          <w:bCs/>
          <w:spacing w:val="8"/>
          <w:position w:val="15"/>
          <w:sz w:val="24"/>
          <w:szCs w:val="24"/>
          <w:highlight w:val="none"/>
          <w:lang w:eastAsia="zh-CN"/>
        </w:rPr>
        <w:t>施工要求</w:t>
      </w:r>
      <w:bookmarkEnd w:id="7"/>
    </w:p>
    <w:p w14:paraId="479B30F3">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1、在施工期间，中标人必须注意院内人员安全,加强安全措施，并对施工人员进行安全教育。施工人员必须持证上岗。因采购人工作的特殊性，要求中标投标人在施工中做到封闭性施工。</w:t>
      </w:r>
    </w:p>
    <w:p w14:paraId="165A4F4B">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2、中标人应完成所需设备、材料的供应、运输至采购人指定地点，并按照国家相关规范完成施工安装并交付采购人验收合格。中标人应当保证所供材料的来源渠道正常，因中标人施工不善或材料使用不当发生工程事故的，责任由中标人全权负责。</w:t>
      </w:r>
    </w:p>
    <w:p w14:paraId="57885BE4">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3、中标人应当做到文明施工，合理安排作业时间，合理降低噪音污染、粉尘污染，确保施工现场周围的正常工作与休息，按国家有关施工时间规定进行施工，施工中避免给他人带来干扰。</w:t>
      </w:r>
    </w:p>
    <w:p w14:paraId="161EB1AA">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4、根据实际需要，中标人应在工程施工实施期间进行巡查，若出现质量问题，中标人应及时对工程出现的问题进行维修，期间产生的费用由中标人承担。</w:t>
      </w:r>
    </w:p>
    <w:p w14:paraId="6CCACFE9">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5、中标人负责办理建筑垃圾外运有关手续并承担所有费用，建筑垃圾日产日清。</w:t>
      </w:r>
    </w:p>
    <w:p w14:paraId="43999B30">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6、中标人应切实加强施工安全管理，如因措施不力造成人员伤亡或财产损失等一切事故，中标人负全责并承担所有费用。</w:t>
      </w:r>
    </w:p>
    <w:p w14:paraId="7EB67828">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7、工程实施完全符合合同规定的技术、方案、质量、规格、材质等要求。因中标人原因工程质量达不到约定的质量标准，中标人承担违约责任。</w:t>
      </w:r>
    </w:p>
    <w:p w14:paraId="7EA9E18A">
      <w:pPr>
        <w:pStyle w:val="2"/>
        <w:widowControl w:val="0"/>
        <w:spacing w:line="377" w:lineRule="auto"/>
        <w:ind w:firstLine="498"/>
        <w:outlineLvl w:val="1"/>
        <w:rPr>
          <w:rFonts w:ascii="仿宋" w:hAnsi="仿宋" w:eastAsia="仿宋" w:cs="仿宋"/>
          <w:b/>
          <w:bCs/>
          <w:spacing w:val="8"/>
          <w:position w:val="15"/>
          <w:sz w:val="24"/>
          <w:szCs w:val="24"/>
          <w:highlight w:val="none"/>
          <w:lang w:eastAsia="zh-CN"/>
        </w:rPr>
      </w:pPr>
      <w:bookmarkStart w:id="8" w:name="_Toc10475"/>
      <w:r>
        <w:rPr>
          <w:rFonts w:hint="eastAsia" w:ascii="仿宋" w:hAnsi="仿宋" w:eastAsia="仿宋" w:cs="仿宋"/>
          <w:b/>
          <w:bCs/>
          <w:spacing w:val="8"/>
          <w:position w:val="15"/>
          <w:sz w:val="24"/>
          <w:szCs w:val="24"/>
          <w:highlight w:val="none"/>
          <w:lang w:val="en-US" w:eastAsia="zh-CN"/>
        </w:rPr>
        <w:t>六、</w:t>
      </w:r>
      <w:r>
        <w:rPr>
          <w:rFonts w:hint="eastAsia" w:ascii="仿宋" w:hAnsi="仿宋" w:eastAsia="仿宋" w:cs="仿宋"/>
          <w:b/>
          <w:bCs/>
          <w:spacing w:val="8"/>
          <w:position w:val="15"/>
          <w:sz w:val="24"/>
          <w:szCs w:val="24"/>
          <w:highlight w:val="none"/>
          <w:lang w:eastAsia="zh-CN"/>
        </w:rPr>
        <w:t>其它需要说明的事项</w:t>
      </w:r>
      <w:bookmarkEnd w:id="8"/>
    </w:p>
    <w:p w14:paraId="281A75C5">
      <w:pPr>
        <w:pStyle w:val="2"/>
        <w:widowControl w:val="0"/>
        <w:spacing w:line="377" w:lineRule="auto"/>
        <w:ind w:firstLine="512" w:firstLineChars="200"/>
        <w:outlineLvl w:val="2"/>
        <w:rPr>
          <w:rFonts w:ascii="仿宋" w:hAnsi="仿宋" w:eastAsia="仿宋" w:cs="仿宋"/>
          <w:spacing w:val="8"/>
          <w:sz w:val="24"/>
          <w:szCs w:val="24"/>
          <w:highlight w:val="none"/>
          <w:lang w:eastAsia="zh-CN"/>
        </w:rPr>
      </w:pPr>
      <w:bookmarkStart w:id="9" w:name="_Toc6740"/>
      <w:r>
        <w:rPr>
          <w:rFonts w:hint="eastAsia" w:ascii="仿宋" w:hAnsi="仿宋" w:eastAsia="仿宋" w:cs="仿宋"/>
          <w:spacing w:val="8"/>
          <w:sz w:val="24"/>
          <w:szCs w:val="24"/>
          <w:highlight w:val="none"/>
          <w:lang w:eastAsia="zh-CN"/>
        </w:rPr>
        <w:t>1、质量验收标准或规范</w:t>
      </w:r>
      <w:bookmarkEnd w:id="9"/>
    </w:p>
    <w:p w14:paraId="728471E7">
      <w:pPr>
        <w:pStyle w:val="2"/>
        <w:widowControl w:val="0"/>
        <w:spacing w:line="377" w:lineRule="auto"/>
        <w:ind w:firstLine="512" w:firstLineChars="200"/>
        <w:rPr>
          <w:rFonts w:ascii="仿宋" w:hAnsi="仿宋" w:eastAsia="仿宋" w:cs="仿宋"/>
          <w:spacing w:val="8"/>
          <w:sz w:val="24"/>
          <w:szCs w:val="24"/>
          <w:highlight w:val="none"/>
          <w:lang w:eastAsia="zh-CN"/>
        </w:rPr>
      </w:pPr>
      <w:r>
        <w:rPr>
          <w:rFonts w:hint="eastAsia" w:ascii="仿宋" w:hAnsi="仿宋" w:eastAsia="仿宋" w:cs="仿宋"/>
          <w:spacing w:val="8"/>
          <w:sz w:val="24"/>
          <w:szCs w:val="24"/>
          <w:highlight w:val="none"/>
          <w:lang w:eastAsia="zh-CN"/>
        </w:rPr>
        <w:t>符合国家及陕西省、西安市相关规定，完成验收后，进行工程竣工验收。竣工验收后一个月内，提交竣工图及完整资料文件</w:t>
      </w:r>
      <w:r>
        <w:rPr>
          <w:rFonts w:hint="eastAsia" w:ascii="仿宋" w:hAnsi="仿宋" w:eastAsia="仿宋" w:cs="仿宋"/>
          <w:color w:val="auto"/>
          <w:sz w:val="24"/>
          <w:szCs w:val="24"/>
          <w:lang w:eastAsia="zh-CN"/>
        </w:rPr>
        <w:t>捌套</w:t>
      </w:r>
      <w:r>
        <w:rPr>
          <w:rFonts w:hint="eastAsia" w:ascii="仿宋" w:hAnsi="仿宋" w:eastAsia="仿宋" w:cs="仿宋"/>
          <w:spacing w:val="8"/>
          <w:sz w:val="24"/>
          <w:szCs w:val="24"/>
          <w:highlight w:val="none"/>
          <w:lang w:eastAsia="zh-CN"/>
        </w:rPr>
        <w:t>。</w:t>
      </w:r>
    </w:p>
    <w:p w14:paraId="480F2C2A">
      <w:pPr>
        <w:pStyle w:val="2"/>
        <w:widowControl w:val="0"/>
        <w:spacing w:line="377" w:lineRule="auto"/>
        <w:ind w:firstLine="512" w:firstLineChars="200"/>
        <w:rPr>
          <w:rFonts w:ascii="仿宋" w:hAnsi="仿宋" w:eastAsia="仿宋" w:cs="仿宋"/>
          <w:spacing w:val="8"/>
          <w:sz w:val="24"/>
          <w:szCs w:val="24"/>
          <w:lang w:eastAsia="zh-CN"/>
        </w:rPr>
      </w:pPr>
      <w:r>
        <w:rPr>
          <w:rFonts w:hint="eastAsia" w:ascii="仿宋" w:hAnsi="仿宋" w:eastAsia="仿宋" w:cs="仿宋"/>
          <w:spacing w:val="8"/>
          <w:sz w:val="24"/>
          <w:szCs w:val="24"/>
          <w:highlight w:val="none"/>
          <w:lang w:eastAsia="zh-CN"/>
        </w:rPr>
        <w:t>2、质量保修要求自工程竣工验收合格之日进入免费保修期，免费保修内容为由中标人负责的本工程全部质量问题。</w:t>
      </w:r>
      <w:r>
        <w:rPr>
          <w:rFonts w:hint="eastAsia" w:ascii="仿宋" w:hAnsi="仿宋" w:eastAsia="仿宋" w:cs="仿宋"/>
          <w:spacing w:val="8"/>
          <w:sz w:val="24"/>
          <w:szCs w:val="24"/>
          <w:lang w:eastAsia="zh-CN"/>
        </w:rPr>
        <w:t>响应时间为正常工作日2小时内答复，12小时内到现场处理。节假日及法定休息日6小时内答复，24小时内到现场处理。</w:t>
      </w:r>
    </w:p>
    <w:p w14:paraId="4ED64E31">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spacing w:val="8"/>
          <w:kern w:val="2"/>
          <w:sz w:val="24"/>
          <w:szCs w:val="24"/>
          <w:highlight w:val="none"/>
          <w:lang w:val="en-US" w:eastAsia="zh-CN" w:bidi="ar-SA"/>
        </w:rPr>
        <w:t>3、本工程的施工过程和成果必须符合国家有关工程建设标准强制性条文和国家或有关部门关于工程施工方面现行的标准、规范、规程、定额、办法、示例，以及陕西省关于工程</w:t>
      </w:r>
      <w:bookmarkStart w:id="10" w:name="_GoBack"/>
      <w:bookmarkEnd w:id="10"/>
      <w:r>
        <w:rPr>
          <w:rFonts w:hint="eastAsia" w:ascii="仿宋" w:hAnsi="仿宋" w:eastAsia="仿宋" w:cs="仿宋"/>
          <w:spacing w:val="8"/>
          <w:kern w:val="2"/>
          <w:sz w:val="24"/>
          <w:szCs w:val="24"/>
          <w:highlight w:val="none"/>
          <w:lang w:val="en-US" w:eastAsia="zh-CN" w:bidi="ar-SA"/>
        </w:rPr>
        <w:t>施工方面的文件、规定。中标人在施工过程中使用或参考上述标准、规范以外的技术标准、规范时，应征得采购人指定代表人的同意。在施工过程中，如果国家或有关部门颁布了新的技术标准或规范，则中标人应采用新的标准或规范进行施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96486"/>
    <w:rsid w:val="5E09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styleId="3">
    <w:name w:val="Normal (Web)"/>
    <w:basedOn w:val="1"/>
    <w:qFormat/>
    <w:uiPriority w:val="0"/>
    <w:pPr>
      <w:widowControl w:val="0"/>
      <w:kinsoku/>
      <w:autoSpaceDE/>
      <w:autoSpaceDN/>
      <w:spacing w:line="360" w:lineRule="auto"/>
      <w:ind w:firstLine="480" w:firstLineChars="200"/>
      <w:textAlignment w:val="auto"/>
    </w:pPr>
    <w:rPr>
      <w:rFonts w:ascii="仿宋" w:hAnsi="仿宋" w:eastAsia="仿宋" w:cs="仿宋"/>
      <w:snapToGrid/>
      <w:color w:val="auto"/>
      <w:sz w:val="24"/>
      <w:szCs w:val="24"/>
      <w:lang w:eastAsia="zh-CN"/>
    </w:rPr>
  </w:style>
  <w:style w:type="paragraph" w:customStyle="1" w:styleId="6">
    <w:name w:val="Table Text"/>
    <w:basedOn w:val="1"/>
    <w:autoRedefine/>
    <w:semiHidden/>
    <w:qFormat/>
    <w:uiPriority w:val="0"/>
    <w:rPr>
      <w:rFonts w:ascii="宋体" w:hAnsi="宋体" w:eastAsia="宋体" w:cs="宋体"/>
      <w:sz w:val="20"/>
      <w:szCs w:val="20"/>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2025-11-12T09:01:00Z</dcterms:created>
  <dc:creator>陕西华采招标有限公司</dc:creator>
  <cp:lastModifiedBy>陕西华采招标有限公司</cp:lastModifiedBy>
  <dcterms:modified xsi:type="dcterms:W3CDTF">2025-11-12T09:02:47Z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ABB47D59B8D84473B2E58BD8DA26198C_11</vt:lpwstr>
  </property>
  <property fmtid="{D5CDD505-2E9C-101B-9397-08002B2CF9AE}" pid="4" name="KSOTemplateDocerSaveRecord">
    <vt:lpwstr>eyJoZGlkIjoiZWMxNWU5MTM1NDJhMzM3NzZlNjAyMmRiMjcyMmY4OWYiLCJ1c2VySWQiOiI5MzY1NjA0ODAifQ==</vt:lpwstr>
  </property>
</Properties>
</file>