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E1DF4">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采购需求</w:t>
      </w:r>
    </w:p>
    <w:p w14:paraId="56C21D9E">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5F234B">
      <w:pPr>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一</w:t>
      </w:r>
      <w:r>
        <w:rPr>
          <w:rFonts w:hint="eastAsia" w:ascii="Times New Roman" w:hAnsi="Times New Roman" w:cs="Times New Roman"/>
          <w:lang w:eastAsia="zh-CN"/>
        </w:rPr>
        <w:t>）</w:t>
      </w:r>
      <w:r>
        <w:rPr>
          <w:rFonts w:ascii="Times New Roman" w:hAnsi="Times New Roman" w:cs="Times New Roman"/>
        </w:rPr>
        <w:t>项目概况与背景</w:t>
      </w:r>
      <w:bookmarkStart w:id="0" w:name="_GoBack"/>
      <w:bookmarkEnd w:id="0"/>
    </w:p>
    <w:p w14:paraId="6F2F7E0B">
      <w:pPr>
        <w:rPr>
          <w:rFonts w:hint="eastAsia" w:ascii="Times New Roman" w:hAnsi="Times New Roman" w:eastAsia="宋体" w:cs="Times New Roman"/>
          <w:lang w:eastAsia="zh-CN"/>
        </w:rPr>
      </w:pPr>
      <w:r>
        <w:rPr>
          <w:rFonts w:ascii="Times New Roman" w:hAnsi="Times New Roman" w:cs="Times New Roman"/>
        </w:rPr>
        <w:t>1. 项目名称：</w:t>
      </w:r>
      <w:r>
        <w:rPr>
          <w:rFonts w:hint="eastAsia" w:cs="Times New Roman"/>
          <w:lang w:eastAsia="zh-CN"/>
        </w:rPr>
        <w:t>在役交通设施非干扰式维养关键技术</w:t>
      </w:r>
    </w:p>
    <w:p w14:paraId="769D3BFB">
      <w:pPr>
        <w:rPr>
          <w:rFonts w:ascii="Times New Roman" w:hAnsi="Times New Roman" w:cs="Times New Roman"/>
        </w:rPr>
      </w:pPr>
      <w:r>
        <w:rPr>
          <w:rFonts w:ascii="Times New Roman" w:hAnsi="Times New Roman" w:cs="Times New Roman"/>
        </w:rPr>
        <w:t xml:space="preserve">2. 立项背景与必要性： </w:t>
      </w:r>
    </w:p>
    <w:p w14:paraId="686DC145">
      <w:pPr>
        <w:ind w:firstLine="480" w:firstLineChars="200"/>
        <w:rPr>
          <w:rFonts w:ascii="Times New Roman" w:hAnsi="Times New Roman" w:cs="Times New Roman"/>
        </w:rPr>
      </w:pPr>
      <w:r>
        <w:rPr>
          <w:rFonts w:ascii="Times New Roman" w:hAnsi="Times New Roman" w:cs="Times New Roman"/>
        </w:rPr>
        <w:t>随着我国综合交通基础设施的快速建设与运营规模持续扩大，隧道工程已成为山岭、公路及城市地下交通网络中的关键控制性工程。据交通运输部统计，截至2023年底，全国公路隧道数量已超过2.7万座、总里程超过3万公里，运营隧道进入集中养护与维修阶段。长期服役的隧道衬砌在复杂地质、水文及荷载耦合作用下，普遍出现裂缝、渗漏水、空洞、脱空等多类型病害，导致结构韧性衰减与安全风险升高。传统依赖人工巡检和单一仪器检测的模式已难以满足大规模、高频次、智能化的隧道病害检测需求，亟需发展高效、精准、可视化的智能检测与修复技术体系。</w:t>
      </w:r>
    </w:p>
    <w:p w14:paraId="7E019895">
      <w:pPr>
        <w:ind w:firstLine="482" w:firstLineChars="200"/>
        <w:rPr>
          <w:rFonts w:ascii="Times New Roman" w:hAnsi="Times New Roman" w:cs="Times New Roman"/>
        </w:rPr>
      </w:pPr>
      <w:r>
        <w:rPr>
          <w:rFonts w:ascii="Times New Roman" w:hAnsi="Times New Roman" w:cs="Times New Roman"/>
          <w:b/>
          <w:bCs/>
        </w:rPr>
        <w:t>当前我国在隧道衬砌病害检测领域仍存在三大技术瓶颈：</w:t>
      </w:r>
    </w:p>
    <w:p w14:paraId="466D98D0">
      <w:pPr>
        <w:numPr>
          <w:ilvl w:val="0"/>
          <w:numId w:val="1"/>
        </w:numPr>
        <w:ind w:firstLine="480" w:firstLineChars="200"/>
        <w:rPr>
          <w:rFonts w:ascii="Times New Roman" w:hAnsi="Times New Roman" w:cs="Times New Roman"/>
        </w:rPr>
      </w:pPr>
      <w:r>
        <w:rPr>
          <w:rFonts w:ascii="Times New Roman" w:hAnsi="Times New Roman" w:cs="Times New Roman"/>
        </w:rPr>
        <w:t>检测效率与智能化水平低。</w:t>
      </w:r>
    </w:p>
    <w:p w14:paraId="26EE30CA">
      <w:pPr>
        <w:numPr>
          <w:ilvl w:val="0"/>
          <w:numId w:val="1"/>
        </w:numPr>
        <w:ind w:firstLine="480" w:firstLineChars="200"/>
        <w:rPr>
          <w:rFonts w:ascii="Times New Roman" w:hAnsi="Times New Roman" w:cs="Times New Roman"/>
        </w:rPr>
      </w:pPr>
      <w:r>
        <w:rPr>
          <w:rFonts w:ascii="Times New Roman" w:hAnsi="Times New Roman" w:cs="Times New Roman"/>
        </w:rPr>
        <w:t>多源病害定量表征与关联机理研究不足。</w:t>
      </w:r>
    </w:p>
    <w:p w14:paraId="00ECFF13">
      <w:pPr>
        <w:ind w:firstLine="480" w:firstLineChars="200"/>
        <w:rPr>
          <w:rFonts w:ascii="Times New Roman" w:hAnsi="Times New Roman" w:cs="Times New Roman"/>
        </w:rPr>
      </w:pPr>
      <w:r>
        <w:rPr>
          <w:rFonts w:ascii="Times New Roman" w:hAnsi="Times New Roman" w:cs="Times New Roman"/>
        </w:rPr>
        <w:t>（3）处治加固缺乏靶向性与科学性。</w:t>
      </w:r>
    </w:p>
    <w:p w14:paraId="359EDD82">
      <w:pPr>
        <w:ind w:firstLine="480" w:firstLineChars="200"/>
        <w:rPr>
          <w:rFonts w:ascii="Times New Roman" w:hAnsi="Times New Roman" w:cs="Times New Roman"/>
        </w:rPr>
      </w:pPr>
      <w:r>
        <w:rPr>
          <w:rFonts w:ascii="Times New Roman" w:hAnsi="Times New Roman" w:cs="Times New Roman"/>
        </w:rPr>
        <w:t>从国家战略层面看，《国家综合立体交通网规划纲要》《交通强国建设纲要》《公路隧道养护技术规范（JTG H12-2015）》等文件均明确提出，要“加强交通基础设施预防性养护与健康监测”“推进智慧交通与智能养护技术体系建设”。这对隧道工程的数字化运维、结构健康监测与智能加固提出了更高要求。陕西作为西部山区隧道工程密集省份，部分典型隧道服役年限已超过15年，结构老化与病害频发问题突出，迫切需要形成可推广、可复制的运营隧道病害高效检测与韧性修复技术路径，以服务区域交通基础设施安全运营。</w:t>
      </w:r>
    </w:p>
    <w:p w14:paraId="5BDDEEBB">
      <w:pPr>
        <w:rPr>
          <w:rFonts w:ascii="Times New Roman" w:hAnsi="Times New Roman" w:cs="Times New Roman"/>
        </w:rPr>
      </w:pPr>
      <w:r>
        <w:rPr>
          <w:rFonts w:ascii="Times New Roman" w:hAnsi="Times New Roman" w:cs="Times New Roman"/>
        </w:rPr>
        <w:t>3. 研究目标与考核指标：</w:t>
      </w:r>
    </w:p>
    <w:p w14:paraId="131A318A">
      <w:pPr>
        <w:rPr>
          <w:rFonts w:ascii="Times New Roman" w:hAnsi="Times New Roman" w:cs="Times New Roman"/>
        </w:rPr>
      </w:pPr>
      <w:r>
        <w:rPr>
          <w:rFonts w:hint="eastAsia" w:ascii="Times New Roman" w:hAnsi="Times New Roman" w:cs="Times New Roman"/>
        </w:rPr>
        <w:t>3.1</w:t>
      </w:r>
      <w:r>
        <w:rPr>
          <w:rFonts w:ascii="Times New Roman" w:hAnsi="Times New Roman" w:cs="Times New Roman"/>
        </w:rPr>
        <w:t>总体目标：</w:t>
      </w:r>
    </w:p>
    <w:p w14:paraId="493386EB">
      <w:pPr>
        <w:ind w:firstLine="480" w:firstLineChars="200"/>
        <w:rPr>
          <w:rFonts w:ascii="Times New Roman" w:hAnsi="Times New Roman" w:cs="Times New Roman"/>
        </w:rPr>
      </w:pPr>
      <w:r>
        <w:rPr>
          <w:rFonts w:ascii="Times New Roman" w:hAnsi="Times New Roman" w:cs="Times New Roman"/>
        </w:rPr>
        <w:t>（1）提出隧道衬砌病害智能高效检测与表征关键方法；</w:t>
      </w:r>
    </w:p>
    <w:p w14:paraId="19F4BE25">
      <w:pPr>
        <w:ind w:firstLine="480" w:firstLineChars="20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提出病害定位与表征分级驱动的靶向性注浆修复技术；</w:t>
      </w:r>
    </w:p>
    <w:p w14:paraId="5782EBB8">
      <w:pPr>
        <w:ind w:firstLine="480" w:firstLineChars="20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提出深度学习和高光谱图像技术驱动的韧性提升评价体系。</w:t>
      </w:r>
    </w:p>
    <w:p w14:paraId="56B38CD5">
      <w:pPr>
        <w:rPr>
          <w:rFonts w:ascii="Times New Roman" w:hAnsi="Times New Roman" w:cs="Times New Roman"/>
        </w:rPr>
      </w:pPr>
      <w:r>
        <w:rPr>
          <w:rFonts w:hint="eastAsia" w:ascii="Times New Roman" w:hAnsi="Times New Roman" w:cs="Times New Roman"/>
        </w:rPr>
        <w:t>3.2</w:t>
      </w:r>
      <w:r>
        <w:rPr>
          <w:rFonts w:ascii="Times New Roman" w:hAnsi="Times New Roman" w:cs="Times New Roman"/>
        </w:rPr>
        <w:t>具体考核指标：</w:t>
      </w:r>
    </w:p>
    <w:p w14:paraId="7756E2A6">
      <w:pPr>
        <w:numPr>
          <w:ilvl w:val="0"/>
          <w:numId w:val="2"/>
        </w:numPr>
        <w:ind w:firstLine="480" w:firstLineChars="200"/>
        <w:rPr>
          <w:rFonts w:ascii="Times New Roman" w:hAnsi="Times New Roman" w:cs="Times New Roman"/>
        </w:rPr>
      </w:pPr>
      <w:r>
        <w:rPr>
          <w:rFonts w:ascii="Times New Roman" w:hAnsi="Times New Roman" w:cs="Times New Roman"/>
        </w:rPr>
        <w:t>发表论文</w:t>
      </w:r>
      <w:r>
        <w:rPr>
          <w:rFonts w:hint="eastAsia" w:ascii="Times New Roman" w:hAnsi="Times New Roman" w:cs="Times New Roman"/>
        </w:rPr>
        <w:t>1~2</w:t>
      </w:r>
      <w:r>
        <w:rPr>
          <w:rFonts w:ascii="Times New Roman" w:hAnsi="Times New Roman" w:cs="Times New Roman"/>
        </w:rPr>
        <w:t>篇；</w:t>
      </w:r>
    </w:p>
    <w:p w14:paraId="35C39CA0">
      <w:pPr>
        <w:numPr>
          <w:ilvl w:val="0"/>
          <w:numId w:val="2"/>
        </w:numPr>
        <w:ind w:firstLine="480" w:firstLineChars="200"/>
        <w:rPr>
          <w:rFonts w:ascii="Times New Roman" w:hAnsi="Times New Roman" w:cs="Times New Roman"/>
        </w:rPr>
      </w:pPr>
      <w:r>
        <w:rPr>
          <w:rFonts w:ascii="Times New Roman" w:hAnsi="Times New Roman" w:cs="Times New Roman"/>
        </w:rPr>
        <w:t>申请</w:t>
      </w:r>
      <w:r>
        <w:rPr>
          <w:rFonts w:hint="eastAsia" w:ascii="Times New Roman" w:hAnsi="Times New Roman" w:cs="Times New Roman"/>
        </w:rPr>
        <w:t>相关专利1~2</w:t>
      </w:r>
      <w:r>
        <w:rPr>
          <w:rFonts w:ascii="Times New Roman" w:hAnsi="Times New Roman" w:cs="Times New Roman"/>
        </w:rPr>
        <w:t>项。</w:t>
      </w:r>
    </w:p>
    <w:p w14:paraId="2901E4C1">
      <w:pPr>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二</w:t>
      </w:r>
      <w:r>
        <w:rPr>
          <w:rFonts w:hint="eastAsia" w:ascii="Times New Roman" w:hAnsi="Times New Roman" w:cs="Times New Roman"/>
          <w:lang w:eastAsia="zh-CN"/>
        </w:rPr>
        <w:t>）</w:t>
      </w:r>
      <w:r>
        <w:rPr>
          <w:rFonts w:ascii="Times New Roman" w:hAnsi="Times New Roman" w:cs="Times New Roman"/>
        </w:rPr>
        <w:t>主要研究内容与技术要求</w:t>
      </w:r>
    </w:p>
    <w:p w14:paraId="76F83F3B">
      <w:pPr>
        <w:rPr>
          <w:rFonts w:ascii="Times New Roman" w:hAnsi="Times New Roman" w:cs="Times New Roman"/>
        </w:rPr>
      </w:pPr>
      <w:r>
        <w:rPr>
          <w:rFonts w:ascii="Times New Roman" w:hAnsi="Times New Roman" w:cs="Times New Roman"/>
        </w:rPr>
        <w:t>1. 研究范畴界定：</w:t>
      </w:r>
    </w:p>
    <w:p w14:paraId="6F1EBB6E">
      <w:pPr>
        <w:rPr>
          <w:rFonts w:ascii="Times New Roman" w:hAnsi="Times New Roman" w:cs="Times New Roman"/>
        </w:rPr>
      </w:pPr>
      <w:r>
        <w:rPr>
          <w:rFonts w:hint="eastAsia" w:ascii="Times New Roman" w:hAnsi="Times New Roman" w:cs="Times New Roman"/>
        </w:rPr>
        <w:t>1.1 研究内容及范畴</w:t>
      </w:r>
    </w:p>
    <w:p w14:paraId="6C087363">
      <w:pPr>
        <w:ind w:firstLine="482" w:firstLineChars="200"/>
        <w:rPr>
          <w:rFonts w:ascii="Times New Roman" w:hAnsi="Times New Roman" w:cs="Times New Roman"/>
        </w:rPr>
      </w:pPr>
      <w:r>
        <w:rPr>
          <w:rFonts w:ascii="Times New Roman" w:hAnsi="Times New Roman" w:cs="Times New Roman"/>
          <w:b/>
          <w:bCs/>
        </w:rPr>
        <w:t>本项目围绕运营期隧道衬砌结构在长期服役过程中出现的裂缝、渗漏、空洞、脱空等典型病害，针对检测—表征—修复—评价全链条中的关键科学与技术问题，</w:t>
      </w:r>
      <w:r>
        <w:rPr>
          <w:rFonts w:ascii="Times New Roman" w:hAnsi="Times New Roman" w:cs="Times New Roman"/>
        </w:rPr>
        <w:t>拟开展系统性研究。研究范畴主要涵盖以下</w:t>
      </w:r>
      <w:r>
        <w:rPr>
          <w:rFonts w:hint="eastAsia" w:ascii="Times New Roman" w:hAnsi="Times New Roman" w:cs="Times New Roman"/>
        </w:rPr>
        <w:t>三</w:t>
      </w:r>
      <w:r>
        <w:rPr>
          <w:rFonts w:ascii="Times New Roman" w:hAnsi="Times New Roman" w:cs="Times New Roman"/>
        </w:rPr>
        <w:t>个层面：</w:t>
      </w:r>
    </w:p>
    <w:p w14:paraId="446FF9C7">
      <w:pPr>
        <w:rPr>
          <w:rFonts w:ascii="Times New Roman" w:hAnsi="Times New Roman" w:cs="Times New Roman"/>
        </w:rPr>
      </w:pPr>
      <w:r>
        <w:rPr>
          <w:rFonts w:ascii="Times New Roman" w:hAnsi="Times New Roman" w:cs="Times New Roman"/>
        </w:rPr>
        <w:t>（1）运营隧道衬砌病害分布规律与图像特征研究</w:t>
      </w:r>
    </w:p>
    <w:p w14:paraId="77B17F52">
      <w:pPr>
        <w:rPr>
          <w:rFonts w:ascii="Times New Roman" w:hAnsi="Times New Roman" w:cs="Times New Roman"/>
        </w:rPr>
      </w:pPr>
      <w:r>
        <w:rPr>
          <w:rFonts w:ascii="Times New Roman" w:hAnsi="Times New Roman" w:cs="Times New Roman"/>
        </w:rPr>
        <w:t>（2）基于深度学习技术的衬砌病害高效检测方法研究</w:t>
      </w:r>
    </w:p>
    <w:p w14:paraId="74F4AE4C">
      <w:pPr>
        <w:rPr>
          <w:rFonts w:ascii="Times New Roman" w:hAnsi="Times New Roman" w:cs="Times New Roman"/>
        </w:rPr>
      </w:pPr>
      <w:r>
        <w:rPr>
          <w:rFonts w:ascii="Times New Roman" w:hAnsi="Times New Roman" w:cs="Times New Roman"/>
        </w:rPr>
        <w:t>（3）基于衬砌病害识别定位与表征分级的靶向性注浆修复技术</w:t>
      </w:r>
    </w:p>
    <w:p w14:paraId="404EC2A3">
      <w:pPr>
        <w:rPr>
          <w:rFonts w:ascii="Times New Roman" w:hAnsi="Times New Roman" w:cs="Times New Roman"/>
        </w:rPr>
      </w:pPr>
      <w:r>
        <w:rPr>
          <w:rFonts w:hint="eastAsia" w:ascii="Times New Roman" w:hAnsi="Times New Roman" w:cs="Times New Roman"/>
        </w:rPr>
        <w:t>1.2 拟解决的科学问题</w:t>
      </w:r>
    </w:p>
    <w:p w14:paraId="58D1C2B9">
      <w:pPr>
        <w:ind w:firstLine="480" w:firstLineChars="200"/>
        <w:rPr>
          <w:rFonts w:ascii="Times New Roman" w:hAnsi="Times New Roman" w:cs="Times New Roman"/>
        </w:rPr>
      </w:pPr>
      <w:r>
        <w:rPr>
          <w:rFonts w:ascii="Times New Roman" w:hAnsi="Times New Roman" w:cs="Times New Roman"/>
        </w:rPr>
        <w:t>本项目聚焦运营隧道衬砌结构病害的智能检测与服役韧性提升，主要研究并解决以下两个科学问题：</w:t>
      </w:r>
    </w:p>
    <w:p w14:paraId="50920B93">
      <w:pPr>
        <w:ind w:firstLine="482" w:firstLineChars="200"/>
        <w:rPr>
          <w:rFonts w:ascii="Times New Roman" w:hAnsi="Times New Roman" w:cs="Times New Roman"/>
          <w:b/>
          <w:bCs/>
        </w:rPr>
      </w:pPr>
      <w:r>
        <w:rPr>
          <w:rFonts w:ascii="Times New Roman" w:hAnsi="Times New Roman" w:cs="Times New Roman"/>
          <w:b/>
          <w:bCs/>
        </w:rPr>
        <w:t>（1）衬砌病害多源信息的融合识别机理问题。</w:t>
      </w:r>
    </w:p>
    <w:p w14:paraId="603C6A06">
      <w:pPr>
        <w:ind w:firstLine="480" w:firstLineChars="200"/>
        <w:rPr>
          <w:rFonts w:ascii="Times New Roman" w:hAnsi="Times New Roman" w:cs="Times New Roman"/>
        </w:rPr>
      </w:pPr>
      <w:r>
        <w:rPr>
          <w:rFonts w:ascii="Times New Roman" w:hAnsi="Times New Roman" w:cs="Times New Roman"/>
        </w:rPr>
        <w:t>如何在复杂光照、曲面成像及多噪声环境下，实现裂缝、脱空、渗漏等病害的高效、多模态识别，是提升检测精度与智能化水平的核心科学问题。</w:t>
      </w:r>
    </w:p>
    <w:p w14:paraId="2DEF136E">
      <w:pPr>
        <w:ind w:firstLine="482" w:firstLineChars="200"/>
        <w:rPr>
          <w:rFonts w:ascii="Times New Roman" w:hAnsi="Times New Roman" w:cs="Times New Roman"/>
          <w:b/>
          <w:bCs/>
        </w:rPr>
      </w:pPr>
      <w:r>
        <w:rPr>
          <w:rFonts w:ascii="Times New Roman" w:hAnsi="Times New Roman" w:cs="Times New Roman"/>
          <w:b/>
          <w:bCs/>
        </w:rPr>
        <w:t>（2）靶向修复过程中的材料扩散与结构韧性协同演化机制。</w:t>
      </w:r>
    </w:p>
    <w:p w14:paraId="411B38C8">
      <w:pPr>
        <w:ind w:firstLine="480" w:firstLineChars="200"/>
        <w:rPr>
          <w:rFonts w:ascii="Times New Roman" w:hAnsi="Times New Roman" w:cs="Times New Roman"/>
        </w:rPr>
      </w:pPr>
      <w:r>
        <w:rPr>
          <w:rFonts w:ascii="Times New Roman" w:hAnsi="Times New Roman" w:cs="Times New Roman"/>
        </w:rPr>
        <w:t>注浆修复中浆液扩散规律与衬砌力学性能恢复的耦合关系尚不清晰，亟需揭示修复参数、微观结构演化与服役韧性提升之间的内在机理。</w:t>
      </w:r>
    </w:p>
    <w:p w14:paraId="6A15629C">
      <w:pPr>
        <w:rPr>
          <w:rFonts w:ascii="Times New Roman" w:hAnsi="Times New Roman" w:cs="Times New Roman"/>
        </w:rPr>
      </w:pPr>
      <w:r>
        <w:rPr>
          <w:rFonts w:ascii="Times New Roman" w:hAnsi="Times New Roman" w:cs="Times New Roman"/>
        </w:rPr>
        <w:t xml:space="preserve">2. 关键技术攻关路线： </w:t>
      </w:r>
    </w:p>
    <w:p w14:paraId="6C56FBEB">
      <w:pPr>
        <w:ind w:firstLine="480" w:firstLineChars="200"/>
        <w:rPr>
          <w:rFonts w:ascii="Times New Roman" w:hAnsi="Times New Roman" w:cs="Times New Roman"/>
        </w:rPr>
      </w:pPr>
      <w:r>
        <w:rPr>
          <w:rFonts w:hint="eastAsia" w:ascii="Times New Roman" w:hAnsi="Times New Roman" w:cs="Times New Roman"/>
        </w:rPr>
        <w:t>本</w:t>
      </w:r>
      <w:r>
        <w:rPr>
          <w:rFonts w:ascii="Times New Roman" w:hAnsi="Times New Roman" w:cs="Times New Roman"/>
        </w:rPr>
        <w:t>项目以运营隧道衬砌结构病害的智能检测与韧性提升为核心，拟通过多源信息融合与深度学习算法相结合，突破复杂环境下病害识别精度低、表征定量化不足的技术瓶颈；基于探地雷达与光学成像数据构建病害信号与结构响应的关联模型，实现衬砌损伤状态的精准评估；进一步研究靶向注浆修复机理，优化浆液扩散与力学性能恢复过程，形成检测、修复与韧性演化一体化的技术路线，支撑隧道结构的智能化养护与安全运营。</w:t>
      </w:r>
    </w:p>
    <w:p w14:paraId="564E90FA">
      <w:pPr>
        <w:rPr>
          <w:rFonts w:ascii="Times New Roman" w:hAnsi="Times New Roman" w:cs="Times New Roman"/>
        </w:rPr>
      </w:pPr>
      <w:r>
        <w:rPr>
          <w:rFonts w:ascii="Times New Roman" w:hAnsi="Times New Roman" w:cs="Times New Roman"/>
        </w:rPr>
        <w:t xml:space="preserve">3. 技术指标与性能要求： </w:t>
      </w:r>
    </w:p>
    <w:p w14:paraId="1C58302F">
      <w:pPr>
        <w:ind w:firstLine="480" w:firstLineChars="200"/>
        <w:rPr>
          <w:rFonts w:ascii="Times New Roman" w:hAnsi="Times New Roman" w:cs="Times New Roman"/>
        </w:rPr>
      </w:pPr>
      <w:r>
        <w:rPr>
          <w:rFonts w:ascii="Times New Roman" w:hAnsi="Times New Roman" w:cs="Times New Roman"/>
        </w:rPr>
        <w:t>项目拟形成一套面向运营隧道衬砌结构的智能检测与靶向修复系统，整体技术要求强调检测的准确性、稳定性与环境适应性。系统应能够实现多源信息的融合处理，具备对典型病害的自动识别与定位能力；软件平台应具备病害图像可视化、结构状态分析及结果管理等功能，响应快速、运行可靠；靶向修复技术应能显著提升衬砌结构的服役韧性与安全性能，具备良好的可操作性与可推广性。整体技术体系应达到隧道病害“检测—表征—修复—评价”一体化目标，为后续工程化应用提供支撑。</w:t>
      </w:r>
    </w:p>
    <w:p w14:paraId="761E155F">
      <w:pPr>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三</w:t>
      </w:r>
      <w:r>
        <w:rPr>
          <w:rFonts w:hint="eastAsia" w:ascii="Times New Roman" w:hAnsi="Times New Roman" w:cs="Times New Roman"/>
          <w:lang w:eastAsia="zh-CN"/>
        </w:rPr>
        <w:t>）</w:t>
      </w:r>
      <w:r>
        <w:rPr>
          <w:rFonts w:ascii="Times New Roman" w:hAnsi="Times New Roman" w:cs="Times New Roman"/>
        </w:rPr>
        <w:t>项目成果及交付物要求</w:t>
      </w:r>
    </w:p>
    <w:p w14:paraId="0E634A0B">
      <w:pPr>
        <w:rPr>
          <w:rFonts w:ascii="Times New Roman" w:hAnsi="Times New Roman" w:cs="Times New Roman"/>
        </w:rPr>
      </w:pPr>
      <w:r>
        <w:rPr>
          <w:rFonts w:ascii="Times New Roman" w:hAnsi="Times New Roman" w:cs="Times New Roman"/>
        </w:rPr>
        <w:t>明确研究结束后需要交付的所有有形和无形成果。</w:t>
      </w:r>
    </w:p>
    <w:p w14:paraId="651CB24C">
      <w:pPr>
        <w:rPr>
          <w:rFonts w:ascii="Times New Roman" w:hAnsi="Times New Roman" w:cs="Times New Roman"/>
        </w:rPr>
      </w:pPr>
      <w:r>
        <w:rPr>
          <w:rFonts w:ascii="Times New Roman" w:hAnsi="Times New Roman" w:cs="Times New Roman"/>
        </w:rPr>
        <w:t>1. 有形交付物：</w:t>
      </w:r>
    </w:p>
    <w:p w14:paraId="0D6BCE8E">
      <w:pPr>
        <w:rPr>
          <w:rFonts w:ascii="Times New Roman" w:hAnsi="Times New Roman" w:cs="Times New Roman"/>
        </w:rPr>
      </w:pPr>
      <w:r>
        <w:rPr>
          <w:rFonts w:ascii="Times New Roman" w:hAnsi="Times New Roman" w:cs="Times New Roman"/>
        </w:rPr>
        <w:t xml:space="preserve">   · 研究报告： </w:t>
      </w:r>
      <w:r>
        <w:rPr>
          <w:rFonts w:hint="eastAsia" w:ascii="Times New Roman" w:hAnsi="Times New Roman" w:cs="Times New Roman"/>
        </w:rPr>
        <w:t>“</w:t>
      </w:r>
      <w:r>
        <w:rPr>
          <w:rFonts w:hint="eastAsia" w:cs="Times New Roman"/>
          <w:lang w:eastAsia="zh-CN"/>
        </w:rPr>
        <w:t>在役交通设施非干扰式维养关键技术</w:t>
      </w:r>
      <w:r>
        <w:rPr>
          <w:rFonts w:ascii="Times New Roman" w:hAnsi="Times New Roman" w:cs="Times New Roman"/>
        </w:rPr>
        <w:t>”项目的</w:t>
      </w:r>
      <w:r>
        <w:rPr>
          <w:rFonts w:hint="eastAsia" w:ascii="Times New Roman" w:hAnsi="Times New Roman" w:cs="Times New Roman"/>
        </w:rPr>
        <w:t>中期、结题报告</w:t>
      </w:r>
      <w:r>
        <w:rPr>
          <w:rFonts w:ascii="Times New Roman" w:hAnsi="Times New Roman" w:cs="Times New Roman"/>
        </w:rPr>
        <w:t>等。</w:t>
      </w:r>
    </w:p>
    <w:p w14:paraId="44B4AF32">
      <w:pPr>
        <w:rPr>
          <w:rFonts w:ascii="Times New Roman" w:hAnsi="Times New Roman" w:cs="Times New Roman"/>
        </w:rPr>
      </w:pPr>
      <w:r>
        <w:rPr>
          <w:rFonts w:ascii="Times New Roman" w:hAnsi="Times New Roman" w:cs="Times New Roman"/>
        </w:rPr>
        <w:t xml:space="preserve">   · </w:t>
      </w:r>
      <w:r>
        <w:rPr>
          <w:rFonts w:hint="eastAsia" w:ascii="Times New Roman" w:hAnsi="Times New Roman" w:cs="Times New Roman"/>
        </w:rPr>
        <w:t>论文</w:t>
      </w:r>
      <w:r>
        <w:rPr>
          <w:rFonts w:ascii="Times New Roman" w:hAnsi="Times New Roman" w:cs="Times New Roman"/>
        </w:rPr>
        <w:t xml:space="preserve">： </w:t>
      </w:r>
      <w:r>
        <w:rPr>
          <w:rFonts w:hint="eastAsia" w:ascii="Times New Roman" w:hAnsi="Times New Roman" w:cs="Times New Roman"/>
        </w:rPr>
        <w:t>高水平论文1~2篇；</w:t>
      </w:r>
    </w:p>
    <w:p w14:paraId="6C0B24C8">
      <w:pPr>
        <w:rPr>
          <w:rFonts w:ascii="Times New Roman" w:hAnsi="Times New Roman" w:cs="Times New Roman"/>
        </w:rPr>
      </w:pPr>
      <w:r>
        <w:rPr>
          <w:rFonts w:ascii="Times New Roman" w:hAnsi="Times New Roman" w:cs="Times New Roman"/>
        </w:rPr>
        <w:t xml:space="preserve">   · </w:t>
      </w:r>
      <w:r>
        <w:rPr>
          <w:rFonts w:hint="eastAsia" w:ascii="Times New Roman" w:hAnsi="Times New Roman" w:cs="Times New Roman"/>
        </w:rPr>
        <w:t>专利软著：相关专利1~2项。</w:t>
      </w:r>
    </w:p>
    <w:p w14:paraId="601C470E">
      <w:pPr>
        <w:rPr>
          <w:rFonts w:ascii="Times New Roman" w:hAnsi="Times New Roman" w:cs="Times New Roman"/>
        </w:rPr>
      </w:pPr>
      <w:r>
        <w:rPr>
          <w:rFonts w:ascii="Times New Roman" w:hAnsi="Times New Roman" w:cs="Times New Roman"/>
        </w:rPr>
        <w:t>2. 无形交付物：</w:t>
      </w:r>
    </w:p>
    <w:p w14:paraId="3E3379E3">
      <w:pPr>
        <w:rPr>
          <w:rFonts w:ascii="Times New Roman" w:hAnsi="Times New Roman" w:cs="Times New Roman"/>
        </w:rPr>
      </w:pPr>
      <w:r>
        <w:rPr>
          <w:rFonts w:ascii="Times New Roman" w:hAnsi="Times New Roman" w:cs="Times New Roman"/>
        </w:rPr>
        <w:t xml:space="preserve">   · 知识产权： 明确知识产权的归属（通常归甲方所有或双方共有），并要求提交专利申请受理通知书、授权证书等证明文件。</w:t>
      </w:r>
    </w:p>
    <w:p w14:paraId="648B402B">
      <w:pPr>
        <w:rPr>
          <w:rFonts w:ascii="Times New Roman" w:hAnsi="Times New Roman" w:cs="Times New Roman"/>
        </w:rPr>
      </w:pPr>
      <w:r>
        <w:rPr>
          <w:rFonts w:ascii="Times New Roman" w:hAnsi="Times New Roman" w:cs="Times New Roman"/>
        </w:rPr>
        <w:t xml:space="preserve">   · 论文著作： 要求标注资助来源，并提交发表刊物的封面、目录和论文首页。</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7A11C40E">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377C8F5A">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6E81BF00">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0C7DAF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项目概况与背景</w:t>
      </w:r>
    </w:p>
    <w:p w14:paraId="5E111C9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项目名称：不中断交通条件下空心板梁抗剪加固成套技术研究。</w:t>
      </w:r>
    </w:p>
    <w:p w14:paraId="66FBD39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立项背景与必要性：</w:t>
      </w:r>
    </w:p>
    <w:p w14:paraId="0017C7E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我国早期公路及市政道路建设中，装配式钢筋混凝土空心板梁桥和装配式预应力混凝土空心板梁桥以其结构形式简单、施工便捷、工程造价低、可标准化设计、工厂机械化施工等优势应用广泛。随着运营年限的增加，服役至今的空心板梁桥主要存在以下两方面问题：一是早期空心板截面高度低、腹板薄、箍筋配筋率小、随着交通量增加及重载车辆载重量的大幅提升，桥梁在运营过程中支点附近出现腹板斜裂缝，导致桥梁的抗剪能力明显下降，给行车安全带来严重隐患。二是对于道路的升级改造而言，改扩建的既有空心板梁在进行结构验算时，往往由于现行技术标准的提高，导致抗剪验算结果无法满足要求，但对于梁体本身而言，却无明显病害。如何有效提高空心板桥梁抗剪承载力，已成为桥梁工程研究的重要方向。</w:t>
      </w:r>
    </w:p>
    <w:p w14:paraId="5BBFCFB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研究提出不中断交通条件下空心板梁自下而上的注浆加固法。通过在加固区间端部增设封头营造封闭的加固区间，并向加固区间灌注填充材料以此来增大截面、提高主梁刚度、改善主梁力学性能，有效解决了空心板中板因加固空间受限，抗剪加固难度大的工程问题，最大程度的保障了既有交通的正常运营。</w:t>
      </w:r>
    </w:p>
    <w:p w14:paraId="1EFBA8B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研究目标与考核指标：</w:t>
      </w:r>
    </w:p>
    <w:p w14:paraId="663CA21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总体目标：在不中断交通条件下，提高既有老旧空心板梁使用性能，避免大规模拆除重建，降本增效，减少工程污染。</w:t>
      </w:r>
    </w:p>
    <w:p w14:paraId="7F97448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具体考核指标： 发表论文不少于1篇；申请国家发明专利不少于1项。</w:t>
      </w:r>
    </w:p>
    <w:p w14:paraId="3066A39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主要研究内容与技术要求</w:t>
      </w:r>
    </w:p>
    <w:p w14:paraId="5FC586BE">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研究范畴界定： </w:t>
      </w:r>
    </w:p>
    <w:p w14:paraId="3147267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研究内容一：高性能水性环氧混凝土材料研究</w:t>
      </w:r>
    </w:p>
    <w:p w14:paraId="119B77A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（1）低收缩环氧混凝土材料配合比研究；</w:t>
      </w:r>
    </w:p>
    <w:p w14:paraId="144AF68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（2）环氧混凝土材料力学性能及本构关系研究；</w:t>
      </w:r>
    </w:p>
    <w:p w14:paraId="1AE041E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（3）环氧混凝土实际应用研究。</w:t>
      </w:r>
    </w:p>
    <w:p w14:paraId="284C2E5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研究内容二：不中断交通条件下空心板梁抗剪加固试验研究</w:t>
      </w:r>
    </w:p>
    <w:p w14:paraId="0D9B15D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（1）未加固标准空心板梁抗剪性能研究；</w:t>
      </w:r>
    </w:p>
    <w:p w14:paraId="11A1256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（2）注浆加固后空心板梁抗剪加固效果研究。</w:t>
      </w:r>
    </w:p>
    <w:p w14:paraId="6E24D3E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研究内容三：加固后空心板梁抗剪承载力理论计算方法研究</w:t>
      </w:r>
    </w:p>
    <w:p w14:paraId="32C1943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梳理国内现有规范对增大截面法加固梁承载力计算方法并与试验结果进行对比，结合现有研究和规范提出适用于空心板梁注浆加固抗剪承载力理论计算公式。</w:t>
      </w:r>
    </w:p>
    <w:p w14:paraId="619E499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研究内容四：不中断交通条件下空心板梁抗剪加固施工关键技术研究</w:t>
      </w:r>
    </w:p>
    <w:p w14:paraId="5195E4C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（1）不中断交通条件下空心板梁注浆加固施工技术与工艺研究；</w:t>
      </w:r>
    </w:p>
    <w:p w14:paraId="400B644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（2）注浆加固施工工艺适用性研究。</w:t>
      </w:r>
    </w:p>
    <w:p w14:paraId="546E8F6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关键技术攻关路线： </w:t>
      </w:r>
    </w:p>
    <w:p w14:paraId="2947D87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（1）所研发材料需确保与既有混凝土有效结合、协同工作。</w:t>
      </w:r>
    </w:p>
    <w:p w14:paraId="0A8997A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（2）从灌浆材料、封堵设备等方面进行探索，优化自下而上空心板梁灌浆填充法的施工工艺，在确保加固效果的前提下，最大限度的减少交通干扰。</w:t>
      </w:r>
    </w:p>
    <w:p w14:paraId="210888E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3. 技术指标与性能要求：</w:t>
      </w:r>
    </w:p>
    <w:p w14:paraId="488F3DE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研发一种流动性高、粘结性、强度、弹性模量均满足要求的空心板灌浆材料。</w:t>
      </w:r>
    </w:p>
    <w:p w14:paraId="03BC45A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项目成果及交付物要求</w:t>
      </w:r>
    </w:p>
    <w:p w14:paraId="37BD14D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有形交付物：</w:t>
      </w:r>
    </w:p>
    <w:p w14:paraId="5D8381B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立项申请书、可行性研究报告、研究结题报告、《不中断交通条件下空心板桥注浆加固技术指南》、施工技术文件。</w:t>
      </w:r>
    </w:p>
    <w:p w14:paraId="2BB4374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无形交付物：</w:t>
      </w:r>
    </w:p>
    <w:p w14:paraId="5902C25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知识产权：授权发明专利不少于1项（知识产权双方共有，提交受理通知书、授权证书等证明文件）。</w:t>
      </w:r>
    </w:p>
    <w:p w14:paraId="080F518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论文著作：发表论文不少于1篇（标注资助来源，并提交发表刊物的封面、目录和论文首页）。</w:t>
      </w:r>
    </w:p>
    <w:p w14:paraId="0DD688D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技术标准： 形成《不中断交通条件下空心板桥注浆加固技术指南》。</w:t>
      </w:r>
    </w:p>
    <w:p w14:paraId="47CED634">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6557CA3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7F5A03C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1C66A77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63D49BE">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0E36CCA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4C02A97">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52AEF5E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1309F2C">
      <w:pPr>
        <w:rPr>
          <w:rFonts w:hint="default"/>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26C051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52C0E"/>
    <w:multiLevelType w:val="singleLevel"/>
    <w:tmpl w:val="91352C0E"/>
    <w:lvl w:ilvl="0" w:tentative="0">
      <w:start w:val="1"/>
      <w:numFmt w:val="decimal"/>
      <w:suff w:val="nothing"/>
      <w:lvlText w:val="（%1）"/>
      <w:lvlJc w:val="left"/>
    </w:lvl>
  </w:abstractNum>
  <w:abstractNum w:abstractNumId="1">
    <w:nsid w:val="35581C54"/>
    <w:multiLevelType w:val="singleLevel"/>
    <w:tmpl w:val="35581C54"/>
    <w:lvl w:ilvl="0" w:tentative="0">
      <w:start w:val="1"/>
      <w:numFmt w:val="decimal"/>
      <w:suff w:val="nothing"/>
      <w:lvlText w:val="（%1）"/>
      <w:lvlJc w:val="left"/>
    </w:lvl>
  </w:abstractNum>
  <w:abstractNum w:abstractNumId="2">
    <w:nsid w:val="451A2D12"/>
    <w:multiLevelType w:val="multilevel"/>
    <w:tmpl w:val="451A2D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34818"/>
    <w:rsid w:val="64034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2025-11-14T02:43:00Z</dcterms:created>
  <dc:creator>百看不厌</dc:creator>
  <cp:lastModifiedBy>百看不厌</cp:lastModifiedBy>
  <dcterms:modified xsi:type="dcterms:W3CDTF">2025-11-14T02:43:55Z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64185FC0B5D44E1AB78D032F47DF306D_11</vt:lpwstr>
  </property>
  <property fmtid="{D5CDD505-2E9C-101B-9397-08002B2CF9AE}" pid="4" name="KSOTemplateDocerSaveRecord">
    <vt:lpwstr>eyJoZGlkIjoiNjVmMjEzZDNmMGZiZDAwOWVlMDJjYThiMzRlOTNmMjYiLCJ1c2VySWQiOiIxMDc2MzQwNzE3In0=</vt:lpwstr>
  </property>
</Properties>
</file>