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CEE53">
      <w:pPr>
        <w:jc w:val="left"/>
        <w:rPr>
          <w:rFonts w:hint="default" w:ascii="宋体" w:hAnsi="宋体" w:eastAsia="宋体" w:cs="宋体"/>
          <w:b/>
          <w:bCs/>
          <w:color w:val="FF0000"/>
          <w:sz w:val="32"/>
          <w:szCs w:val="32"/>
          <w:highlight w:val="none"/>
          <w:lang w:val="en-US"/>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ZHGJ-2025-154</w:t>
      </w:r>
    </w:p>
    <w:p w14:paraId="3BA244C7">
      <w:pPr>
        <w:jc w:val="left"/>
        <w:rPr>
          <w:rFonts w:hint="eastAsia" w:ascii="宋体" w:hAnsi="宋体" w:eastAsia="宋体" w:cs="宋体"/>
          <w:b/>
          <w:bCs/>
          <w:color w:val="FF0000"/>
          <w:sz w:val="32"/>
          <w:szCs w:val="32"/>
          <w:highlight w:val="none"/>
        </w:rPr>
      </w:pPr>
    </w:p>
    <w:p w14:paraId="68FF6B6F">
      <w:pPr>
        <w:jc w:val="center"/>
        <w:rPr>
          <w:rFonts w:hint="eastAsia" w:ascii="宋体" w:hAnsi="宋体" w:cs="宋体"/>
          <w:b/>
          <w:bCs/>
          <w:spacing w:val="-20"/>
          <w:sz w:val="56"/>
          <w:szCs w:val="56"/>
          <w:highlight w:val="none"/>
          <w:lang w:eastAsia="zh-CN"/>
        </w:rPr>
      </w:pPr>
      <w:bookmarkStart w:id="0" w:name="OLE_LINK4"/>
    </w:p>
    <w:p w14:paraId="4472874B">
      <w:pPr>
        <w:jc w:val="both"/>
        <w:rPr>
          <w:rFonts w:hint="eastAsia" w:ascii="宋体" w:hAnsi="宋体" w:cs="宋体"/>
          <w:b/>
          <w:bCs/>
          <w:spacing w:val="-20"/>
          <w:sz w:val="56"/>
          <w:szCs w:val="56"/>
          <w:highlight w:val="none"/>
          <w:lang w:val="en-US" w:eastAsia="zh-CN"/>
        </w:rPr>
      </w:pPr>
    </w:p>
    <w:p w14:paraId="5F5E30F9">
      <w:pPr>
        <w:pStyle w:val="2"/>
        <w:jc w:val="center"/>
        <w:rPr>
          <w:rFonts w:hint="eastAsia"/>
          <w:highlight w:val="none"/>
          <w:lang w:eastAsia="zh-CN"/>
        </w:rPr>
      </w:pPr>
      <w:r>
        <w:rPr>
          <w:rFonts w:hint="eastAsia" w:ascii="宋体" w:hAnsi="宋体" w:cs="宋体"/>
          <w:b/>
          <w:bCs/>
          <w:spacing w:val="-20"/>
          <w:sz w:val="44"/>
          <w:szCs w:val="44"/>
          <w:highlight w:val="none"/>
          <w:lang w:val="en-US" w:eastAsia="zh-CN"/>
        </w:rPr>
        <w:t>黄陵县大院子区域补充勘探和瓦窑坪区域煤炭资源普查项目技术服务</w:t>
      </w:r>
    </w:p>
    <w:p w14:paraId="407F21B1">
      <w:pPr>
        <w:pStyle w:val="2"/>
        <w:rPr>
          <w:rFonts w:hint="eastAsia"/>
          <w:highlight w:val="none"/>
          <w:lang w:eastAsia="zh-CN"/>
        </w:rPr>
      </w:pPr>
    </w:p>
    <w:p w14:paraId="67390930">
      <w:pPr>
        <w:rPr>
          <w:rFonts w:hint="eastAsia" w:ascii="宋体" w:hAnsi="宋体" w:eastAsia="宋体" w:cs="宋体"/>
          <w:highlight w:val="none"/>
          <w:lang w:eastAsia="zh-CN"/>
        </w:rPr>
      </w:pPr>
    </w:p>
    <w:p w14:paraId="313D9C51">
      <w:pPr>
        <w:pStyle w:val="12"/>
        <w:rPr>
          <w:rFonts w:hint="eastAsia" w:ascii="宋体" w:hAnsi="宋体" w:eastAsia="宋体" w:cs="宋体"/>
          <w:highlight w:val="none"/>
        </w:rPr>
      </w:pPr>
    </w:p>
    <w:bookmarkEnd w:id="0"/>
    <w:p w14:paraId="332154A5">
      <w:pPr>
        <w:jc w:val="center"/>
        <w:rPr>
          <w:rFonts w:hint="eastAsia" w:ascii="宋体" w:hAnsi="宋体" w:eastAsia="宋体" w:cs="宋体"/>
          <w:b/>
          <w:sz w:val="72"/>
          <w:szCs w:val="72"/>
          <w:highlight w:val="none"/>
        </w:rPr>
      </w:pPr>
    </w:p>
    <w:p w14:paraId="3BDF7B56">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14:paraId="20DBAA3F">
      <w:pPr>
        <w:pStyle w:val="17"/>
        <w:ind w:left="0" w:leftChars="0" w:firstLine="0" w:firstLineChars="0"/>
        <w:rPr>
          <w:rFonts w:hint="eastAsia" w:ascii="宋体" w:hAnsi="宋体" w:eastAsia="宋体" w:cs="宋体"/>
          <w:sz w:val="44"/>
          <w:szCs w:val="44"/>
          <w:highlight w:val="none"/>
        </w:rPr>
      </w:pPr>
    </w:p>
    <w:p w14:paraId="66194082">
      <w:pPr>
        <w:rPr>
          <w:rFonts w:hint="eastAsia" w:ascii="宋体" w:hAnsi="宋体" w:eastAsia="宋体" w:cs="宋体"/>
          <w:highlight w:val="none"/>
        </w:rPr>
      </w:pPr>
    </w:p>
    <w:p w14:paraId="480223AF">
      <w:pPr>
        <w:rPr>
          <w:rFonts w:hint="eastAsia" w:ascii="宋体" w:hAnsi="宋体" w:eastAsia="宋体" w:cs="宋体"/>
          <w:highlight w:val="none"/>
        </w:rPr>
      </w:pPr>
    </w:p>
    <w:p w14:paraId="4159B8DE">
      <w:pPr>
        <w:pStyle w:val="29"/>
        <w:rPr>
          <w:rFonts w:hint="eastAsia" w:ascii="宋体" w:hAnsi="宋体" w:eastAsia="宋体" w:cs="宋体"/>
          <w:highlight w:val="none"/>
        </w:rPr>
      </w:pPr>
    </w:p>
    <w:p w14:paraId="132170D9">
      <w:pPr>
        <w:rPr>
          <w:rFonts w:hint="eastAsia"/>
          <w:highlight w:val="none"/>
        </w:rPr>
      </w:pPr>
    </w:p>
    <w:p w14:paraId="40D1BA10">
      <w:pPr>
        <w:pStyle w:val="10"/>
        <w:rPr>
          <w:rFonts w:hint="eastAsia" w:ascii="宋体" w:hAnsi="宋体" w:eastAsia="宋体" w:cs="宋体"/>
          <w:highlight w:val="none"/>
        </w:rPr>
      </w:pPr>
    </w:p>
    <w:p w14:paraId="7C428782">
      <w:pPr>
        <w:pStyle w:val="12"/>
        <w:rPr>
          <w:rFonts w:hint="eastAsia" w:ascii="宋体" w:hAnsi="宋体" w:eastAsia="宋体" w:cs="宋体"/>
          <w:highlight w:val="none"/>
        </w:rPr>
      </w:pPr>
    </w:p>
    <w:p w14:paraId="5D7608E0">
      <w:pPr>
        <w:pStyle w:val="43"/>
        <w:rPr>
          <w:rFonts w:hint="eastAsia" w:ascii="宋体" w:hAnsi="宋体" w:eastAsia="宋体" w:cs="宋体"/>
          <w:highlight w:val="none"/>
        </w:rPr>
      </w:pPr>
    </w:p>
    <w:p w14:paraId="7F95740D">
      <w:pPr>
        <w:pStyle w:val="43"/>
        <w:rPr>
          <w:rFonts w:hint="eastAsia" w:ascii="宋体" w:hAnsi="宋体" w:eastAsia="宋体" w:cs="宋体"/>
          <w:highlight w:val="none"/>
        </w:rPr>
      </w:pPr>
    </w:p>
    <w:p w14:paraId="5D5870C5">
      <w:pPr>
        <w:pStyle w:val="43"/>
        <w:rPr>
          <w:rFonts w:hint="eastAsia" w:ascii="宋体" w:hAnsi="宋体" w:eastAsia="宋体" w:cs="宋体"/>
          <w:highlight w:val="none"/>
        </w:rPr>
      </w:pPr>
    </w:p>
    <w:p w14:paraId="05FB17B5">
      <w:pPr>
        <w:ind w:firstLine="321" w:firstLineChars="1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采购代理机构：陕西中桓国际项目管理有限公司</w:t>
      </w:r>
    </w:p>
    <w:p w14:paraId="01EFAA95">
      <w:pPr>
        <w:tabs>
          <w:tab w:val="left" w:pos="525"/>
        </w:tabs>
        <w:ind w:left="-2" w:leftChars="-1" w:firstLine="1"/>
        <w:jc w:val="center"/>
        <w:rPr>
          <w:rFonts w:hint="eastAsia" w:ascii="宋体" w:hAnsi="宋体" w:eastAsia="宋体" w:cs="宋体"/>
          <w:b/>
          <w:bCs/>
          <w:color w:val="FF0000"/>
          <w:sz w:val="32"/>
          <w:szCs w:val="32"/>
          <w:highlight w:val="none"/>
        </w:rPr>
      </w:pPr>
    </w:p>
    <w:p w14:paraId="3008B6BB">
      <w:pPr>
        <w:tabs>
          <w:tab w:val="left" w:pos="525"/>
        </w:tabs>
        <w:ind w:left="-2" w:leftChars="-1" w:firstLine="1"/>
        <w:jc w:val="center"/>
        <w:rPr>
          <w:rFonts w:hint="eastAsia" w:ascii="宋体" w:hAnsi="宋体" w:eastAsia="宋体" w:cs="宋体"/>
          <w:b/>
          <w:bCs/>
          <w:sz w:val="30"/>
          <w:szCs w:val="30"/>
          <w:highlight w:val="none"/>
          <w:lang w:eastAsia="zh-CN"/>
        </w:rPr>
      </w:pPr>
      <w:bookmarkStart w:id="1" w:name="_Toc20666"/>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lang w:eastAsia="zh-CN"/>
        </w:rPr>
        <w:t>年</w:t>
      </w:r>
      <w:r>
        <w:rPr>
          <w:rFonts w:hint="eastAsia" w:ascii="宋体" w:hAnsi="宋体" w:cs="宋体"/>
          <w:b/>
          <w:bCs/>
          <w:sz w:val="32"/>
          <w:szCs w:val="32"/>
          <w:highlight w:val="none"/>
          <w:lang w:val="en-US" w:eastAsia="zh-CN"/>
        </w:rPr>
        <w:t>十一</w:t>
      </w:r>
      <w:r>
        <w:rPr>
          <w:rFonts w:hint="eastAsia" w:ascii="宋体" w:hAnsi="宋体" w:cs="宋体"/>
          <w:b/>
          <w:bCs/>
          <w:sz w:val="32"/>
          <w:szCs w:val="32"/>
          <w:highlight w:val="none"/>
          <w:lang w:eastAsia="zh-CN"/>
        </w:rPr>
        <w:t>月</w:t>
      </w:r>
    </w:p>
    <w:p w14:paraId="7B4FEB4B">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806" w:bottom="1418" w:left="1701" w:header="1134" w:footer="851" w:gutter="0"/>
          <w:pgNumType w:start="2"/>
          <w:cols w:space="720" w:num="1"/>
          <w:docGrid w:linePitch="286" w:charSpace="0"/>
        </w:sectPr>
      </w:pPr>
    </w:p>
    <w:p w14:paraId="09EBD678">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14:paraId="043E0076">
      <w:pPr>
        <w:spacing w:line="46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各供应商，在此我们特别提醒您注意以下事项：</w:t>
      </w:r>
    </w:p>
    <w:p w14:paraId="16C305E9">
      <w:pPr>
        <w:spacing w:line="46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一、有关谈判文件</w:t>
      </w:r>
    </w:p>
    <w:p w14:paraId="4BC70A59">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1、请仔细阅读谈判文件并正确理解谈判文件中各项具体要求。如您对谈判文件有疑问，请在谈判文件规定的时间内以书面形式提出，逾期将被拒绝受理。</w:t>
      </w:r>
    </w:p>
    <w:p w14:paraId="4BCC3602">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2、请严格按照谈判文件载明的谈判响应标文件的格式要求编制谈判响应文件，谈判响应文件须胶装成册。</w:t>
      </w:r>
    </w:p>
    <w:p w14:paraId="4E91DBA5">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3、请仔细核对谈判响应文件是否已按照谈判文件的要求签字、签章和加盖单位公章，实质性条款是否满足谈判文件要求，谈判响应文件中所附资格证明等资料是否齐全、有效且是否满足谈判文件要求。</w:t>
      </w:r>
    </w:p>
    <w:p w14:paraId="61CF9FCC">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4、请按照谈判文件要求密封谈判响应文件，并正确标记。</w:t>
      </w:r>
    </w:p>
    <w:p w14:paraId="4691C5E6">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提示：谈判响应文件若不满足以上条件将有被否决的风险。</w:t>
      </w:r>
    </w:p>
    <w:p w14:paraId="4366E42F">
      <w:pPr>
        <w:spacing w:line="46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二、有关开标</w:t>
      </w:r>
    </w:p>
    <w:p w14:paraId="644B0396">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1、请务必考虑天气情况、交通情况以及您对开标地址的路线熟悉等情况于谈判公告规定的时间及地点递交谈判响应文件，谈判响应文件逾期到达，将被拒绝接收。</w:t>
      </w:r>
    </w:p>
    <w:p w14:paraId="2C18C5EF">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2、请到达文件递交地点后及时到谈判响应文件接收处签字登记。</w:t>
      </w:r>
    </w:p>
    <w:p w14:paraId="4A429C12">
      <w:pPr>
        <w:spacing w:line="46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三、关于弃标的说明</w:t>
      </w:r>
    </w:p>
    <w:p w14:paraId="332D7F7B">
      <w:pPr>
        <w:spacing w:line="4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若您因为一些特殊原因不能参加本次竞争性谈判活动，请务必以书面形式告知我们，以便我们正常开展后期工作，同时也避免再次打扰您，感谢您的配合。</w:t>
      </w:r>
    </w:p>
    <w:p w14:paraId="54E4D63A">
      <w:pPr>
        <w:spacing w:line="460" w:lineRule="atLeas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四、关于供应商注册登记提醒</w:t>
      </w:r>
    </w:p>
    <w:p w14:paraId="7ED7A28E">
      <w:pPr>
        <w:spacing w:line="460" w:lineRule="atLeas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根据陕西省财政厅关于政府采购供应商注册登记有关事项的通知，如所投本项目的投标人未在陕西省政府采购网</w:t>
      </w:r>
      <w:r>
        <w:rPr>
          <w:rFonts w:hint="eastAsia" w:ascii="宋体" w:hAnsi="宋体" w:eastAsia="宋体" w:cs="宋体"/>
          <w:b/>
          <w:bCs/>
          <w:szCs w:val="21"/>
          <w:highlight w:val="none"/>
        </w:rPr>
        <w:t>（http://www.ccgp-shaanxi.gov.cn/）</w:t>
      </w:r>
      <w:r>
        <w:rPr>
          <w:rFonts w:hint="eastAsia" w:ascii="宋体" w:hAnsi="宋体" w:eastAsia="宋体" w:cs="宋体"/>
          <w:b/>
          <w:bCs/>
          <w:sz w:val="24"/>
          <w:szCs w:val="24"/>
          <w:highlight w:val="none"/>
        </w:rPr>
        <w:t>注册登记加入陕西省政府采购供应商库的，应按要求及时办理注册登记，并接受财政部门监督管理。</w:t>
      </w:r>
    </w:p>
    <w:p w14:paraId="102B0C01">
      <w:pPr>
        <w:spacing w:line="460" w:lineRule="atLeas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请各</w:t>
      </w:r>
      <w:r>
        <w:rPr>
          <w:rFonts w:hint="eastAsia" w:ascii="宋体" w:hAnsi="宋体" w:eastAsia="宋体" w:cs="宋体"/>
          <w:b/>
          <w:bCs/>
          <w:kern w:val="2"/>
          <w:sz w:val="24"/>
          <w:szCs w:val="24"/>
          <w:highlight w:val="none"/>
          <w:lang w:val="en-US" w:eastAsia="zh-CN" w:bidi="ar"/>
        </w:rPr>
        <w:t>供应商</w:t>
      </w:r>
      <w:r>
        <w:rPr>
          <w:rFonts w:hint="eastAsia" w:ascii="宋体" w:hAnsi="宋体" w:eastAsia="宋体" w:cs="宋体"/>
          <w:b/>
          <w:bCs/>
          <w:sz w:val="24"/>
          <w:szCs w:val="24"/>
          <w:highlight w:val="none"/>
        </w:rPr>
        <w:t>仔细阅读上述提示。如需帮助，请您与我们的工作人员联系，我们将非常高兴地为您服务。</w:t>
      </w:r>
    </w:p>
    <w:p w14:paraId="15C81338">
      <w:pPr>
        <w:spacing w:line="360" w:lineRule="auto"/>
        <w:jc w:val="center"/>
        <w:rPr>
          <w:rFonts w:hint="eastAsia" w:ascii="宋体" w:hAnsi="宋体" w:eastAsia="宋体" w:cs="宋体"/>
          <w:b/>
          <w:bCs/>
          <w:sz w:val="32"/>
          <w:szCs w:val="32"/>
          <w:highlight w:val="none"/>
        </w:rPr>
        <w:sectPr>
          <w:footerReference r:id="rId6" w:type="default"/>
          <w:pgSz w:w="11906" w:h="16838"/>
          <w:pgMar w:top="1417" w:right="1417" w:bottom="1417" w:left="1701" w:header="851" w:footer="992" w:gutter="0"/>
          <w:pgNumType w:start="1"/>
          <w:cols w:space="720" w:num="1"/>
          <w:docGrid w:type="lines" w:linePitch="312" w:charSpace="0"/>
        </w:sectPr>
      </w:pPr>
    </w:p>
    <w:p w14:paraId="25A70B9C">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
    </w:p>
    <w:p w14:paraId="637063F8">
      <w:pPr>
        <w:rPr>
          <w:rFonts w:hint="eastAsia" w:ascii="宋体" w:hAnsi="宋体" w:eastAsia="宋体" w:cs="宋体"/>
          <w:highlight w:val="none"/>
          <w:lang w:val="zh-CN"/>
        </w:rPr>
      </w:pPr>
    </w:p>
    <w:p w14:paraId="0B27B778">
      <w:pPr>
        <w:pStyle w:val="21"/>
        <w:tabs>
          <w:tab w:val="right" w:leader="dot" w:pos="8788"/>
        </w:tabs>
        <w:spacing w:line="90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"_Toc29766"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fldChar w:fldCharType="end"/>
      </w:r>
    </w:p>
    <w:p w14:paraId="32ECE683">
      <w:pPr>
        <w:pStyle w:val="21"/>
        <w:tabs>
          <w:tab w:val="right" w:leader="dot" w:pos="8788"/>
        </w:tabs>
        <w:spacing w:line="900" w:lineRule="exact"/>
        <w:rPr>
          <w:rFonts w:hint="eastAsia" w:ascii="宋体" w:hAnsi="宋体" w:eastAsia="宋体" w:cs="宋体"/>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"_Toc21911"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第二章 供应商须知</w:t>
      </w:r>
      <w:r>
        <w:rPr>
          <w:rFonts w:hint="eastAsia" w:ascii="宋体" w:hAnsi="宋体" w:eastAsia="宋体" w:cs="宋体"/>
          <w:sz w:val="30"/>
          <w:szCs w:val="30"/>
          <w:highlight w:val="none"/>
        </w:rPr>
        <w:tab/>
      </w:r>
      <w:r>
        <w:rPr>
          <w:rFonts w:hint="eastAsia" w:ascii="宋体" w:hAnsi="宋体" w:cs="宋体"/>
          <w:sz w:val="30"/>
          <w:szCs w:val="30"/>
          <w:highlight w:val="none"/>
          <w:lang w:val="en-US" w:eastAsia="zh-CN"/>
        </w:rPr>
        <w:t>5</w:t>
      </w:r>
      <w:r>
        <w:rPr>
          <w:rFonts w:hint="eastAsia" w:ascii="宋体" w:hAnsi="宋体" w:eastAsia="宋体" w:cs="宋体"/>
          <w:sz w:val="30"/>
          <w:szCs w:val="30"/>
          <w:highlight w:val="none"/>
        </w:rPr>
        <w:fldChar w:fldCharType="end"/>
      </w:r>
    </w:p>
    <w:p w14:paraId="37E27D3E">
      <w:pPr>
        <w:pStyle w:val="21"/>
        <w:tabs>
          <w:tab w:val="right" w:leader="dot" w:pos="8788"/>
        </w:tabs>
        <w:spacing w:line="900" w:lineRule="exact"/>
        <w:rPr>
          <w:rFonts w:hint="eastAsia" w:ascii="宋体" w:hAnsi="宋体" w:eastAsia="宋体" w:cs="宋体"/>
          <w:sz w:val="30"/>
          <w:szCs w:val="30"/>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"_Toc8912"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61C19594">
      <w:pPr>
        <w:pStyle w:val="21"/>
        <w:tabs>
          <w:tab w:val="right" w:leader="dot" w:pos="8788"/>
        </w:tabs>
        <w:spacing w:line="900" w:lineRule="exact"/>
        <w:rPr>
          <w:rFonts w:hint="eastAsia"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"_Toc32341"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竞争性谈判内容及服务要求</w:t>
      </w:r>
      <w:r>
        <w:rPr>
          <w:rFonts w:hint="eastAsia" w:ascii="宋体" w:hAnsi="宋体" w:eastAsia="宋体" w:cs="宋体"/>
          <w:sz w:val="30"/>
          <w:szCs w:val="30"/>
          <w:highlight w:val="none"/>
        </w:rPr>
        <w:tab/>
      </w: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8</w:t>
      </w:r>
    </w:p>
    <w:p w14:paraId="2CC2320E">
      <w:pPr>
        <w:pStyle w:val="21"/>
        <w:tabs>
          <w:tab w:val="right" w:leader="dot" w:pos="8788"/>
        </w:tabs>
        <w:spacing w:line="900" w:lineRule="exact"/>
        <w:rPr>
          <w:rFonts w:hint="eastAsia"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"_Toc22294"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9</w:t>
      </w:r>
    </w:p>
    <w:p w14:paraId="0B6EFC1A">
      <w:pPr>
        <w:pStyle w:val="21"/>
        <w:tabs>
          <w:tab w:val="right" w:leader="dot" w:pos="8788"/>
        </w:tabs>
        <w:spacing w:line="900" w:lineRule="exact"/>
        <w:rPr>
          <w:rFonts w:hint="eastAsia" w:ascii="宋体" w:hAnsi="宋体" w:eastAsia="宋体" w:cs="宋体"/>
          <w:sz w:val="30"/>
          <w:szCs w:val="30"/>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"_Toc20805" </w:instrText>
      </w:r>
      <w:r>
        <w:rPr>
          <w:rFonts w:hint="eastAsia" w:ascii="宋体" w:hAnsi="宋体" w:eastAsia="宋体" w:cs="宋体"/>
          <w:highlight w:val="none"/>
        </w:rPr>
        <w:fldChar w:fldCharType="separate"/>
      </w:r>
      <w:r>
        <w:rPr>
          <w:rFonts w:hint="eastAsia" w:ascii="宋体" w:hAnsi="宋体" w:eastAsia="宋体" w:cs="宋体"/>
          <w:bCs/>
          <w:sz w:val="30"/>
          <w:szCs w:val="30"/>
          <w:highlight w:val="none"/>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6</w:t>
      </w:r>
    </w:p>
    <w:p w14:paraId="398C174A">
      <w:pPr>
        <w:spacing w:line="90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14:paraId="0271A6A8">
      <w:pPr>
        <w:rPr>
          <w:rFonts w:hint="eastAsia" w:ascii="宋体" w:hAnsi="宋体" w:eastAsia="宋体" w:cs="宋体"/>
          <w:sz w:val="36"/>
          <w:szCs w:val="36"/>
          <w:highlight w:val="none"/>
        </w:rPr>
      </w:pPr>
    </w:p>
    <w:p w14:paraId="3E4100C0">
      <w:pPr>
        <w:tabs>
          <w:tab w:val="left" w:pos="525"/>
        </w:tabs>
        <w:ind w:left="-2" w:leftChars="-1" w:firstLine="1"/>
        <w:jc w:val="center"/>
        <w:rPr>
          <w:rFonts w:hint="eastAsia" w:ascii="宋体" w:hAnsi="宋体" w:eastAsia="宋体" w:cs="宋体"/>
          <w:b/>
          <w:bCs/>
          <w:sz w:val="30"/>
          <w:szCs w:val="30"/>
          <w:highlight w:val="none"/>
        </w:rPr>
      </w:pPr>
    </w:p>
    <w:p w14:paraId="7AC12E43">
      <w:pPr>
        <w:spacing w:line="360" w:lineRule="auto"/>
        <w:ind w:right="240"/>
        <w:jc w:val="center"/>
        <w:rPr>
          <w:rFonts w:hint="eastAsia" w:ascii="宋体" w:hAnsi="宋体" w:eastAsia="宋体" w:cs="宋体"/>
          <w:sz w:val="24"/>
          <w:szCs w:val="24"/>
          <w:highlight w:val="none"/>
        </w:rPr>
      </w:pPr>
      <w:bookmarkStart w:id="2" w:name="_Toc393284672"/>
      <w:bookmarkStart w:id="3" w:name="_Toc393284379"/>
      <w:bookmarkStart w:id="4" w:name="_Toc389836551"/>
    </w:p>
    <w:p w14:paraId="4EF14D27">
      <w:pPr>
        <w:spacing w:line="360" w:lineRule="auto"/>
        <w:jc w:val="center"/>
        <w:rPr>
          <w:rFonts w:hint="eastAsia" w:ascii="宋体" w:hAnsi="宋体" w:eastAsia="宋体" w:cs="宋体"/>
          <w:b/>
          <w:sz w:val="36"/>
          <w:highlight w:val="none"/>
        </w:rPr>
      </w:pPr>
    </w:p>
    <w:p w14:paraId="46CE9231">
      <w:pPr>
        <w:spacing w:line="360" w:lineRule="auto"/>
        <w:rPr>
          <w:rFonts w:hint="eastAsia" w:ascii="宋体" w:hAnsi="宋体" w:eastAsia="宋体" w:cs="宋体"/>
          <w:b/>
          <w:sz w:val="36"/>
          <w:highlight w:val="none"/>
        </w:rPr>
      </w:pPr>
    </w:p>
    <w:p w14:paraId="7B8F6860">
      <w:pPr>
        <w:keepLines/>
        <w:pageBreakBefore/>
        <w:tabs>
          <w:tab w:val="left" w:pos="525"/>
        </w:tabs>
        <w:spacing w:afterLines="50" w:line="360" w:lineRule="auto"/>
        <w:jc w:val="center"/>
        <w:outlineLvl w:val="0"/>
        <w:rPr>
          <w:rFonts w:hint="eastAsia" w:ascii="宋体" w:hAnsi="宋体" w:eastAsia="宋体" w:cs="宋体"/>
          <w:b/>
          <w:sz w:val="36"/>
          <w:szCs w:val="36"/>
          <w:highlight w:val="none"/>
        </w:rPr>
        <w:sectPr>
          <w:headerReference r:id="rId7" w:type="default"/>
          <w:footerReference r:id="rId8" w:type="default"/>
          <w:pgSz w:w="11907" w:h="16840"/>
          <w:pgMar w:top="1418" w:right="1386" w:bottom="1418" w:left="1701" w:header="1134" w:footer="851" w:gutter="0"/>
          <w:pgNumType w:start="2"/>
          <w:cols w:space="720" w:num="1"/>
          <w:docGrid w:linePitch="286" w:charSpace="0"/>
        </w:sectPr>
      </w:pPr>
      <w:bookmarkStart w:id="5" w:name="_Toc425781306"/>
      <w:bookmarkStart w:id="6" w:name="_Toc409690875"/>
      <w:bookmarkStart w:id="7" w:name="_Toc405358614"/>
    </w:p>
    <w:bookmarkEnd w:id="5"/>
    <w:p w14:paraId="7CAABADB">
      <w:pPr>
        <w:widowControl/>
        <w:spacing w:line="360" w:lineRule="auto"/>
        <w:ind w:firstLine="482" w:firstLineChars="150"/>
        <w:jc w:val="center"/>
        <w:outlineLvl w:val="0"/>
        <w:rPr>
          <w:rFonts w:hint="eastAsia" w:ascii="宋体" w:hAnsi="宋体" w:eastAsia="宋体" w:cs="宋体"/>
          <w:b/>
          <w:bCs/>
          <w:sz w:val="32"/>
          <w:szCs w:val="32"/>
          <w:highlight w:val="none"/>
        </w:rPr>
      </w:pPr>
      <w:bookmarkStart w:id="8" w:name="_Toc2360"/>
      <w:bookmarkStart w:id="9" w:name="_Toc452384741"/>
      <w:bookmarkStart w:id="10" w:name="_Toc1988"/>
      <w:bookmarkStart w:id="11" w:name="_Toc27034"/>
      <w:bookmarkStart w:id="12" w:name="_Toc21911"/>
      <w:bookmarkStart w:id="13" w:name="_Toc425781307"/>
      <w:r>
        <w:rPr>
          <w:rFonts w:hint="eastAsia" w:ascii="宋体" w:hAnsi="宋体" w:eastAsia="宋体" w:cs="宋体"/>
          <w:b/>
          <w:bCs/>
          <w:sz w:val="32"/>
          <w:szCs w:val="32"/>
          <w:highlight w:val="none"/>
        </w:rPr>
        <w:t>第一章</w:t>
      </w:r>
      <w:bookmarkEnd w:id="8"/>
      <w:bookmarkEnd w:id="9"/>
      <w:r>
        <w:rPr>
          <w:rFonts w:hint="eastAsia" w:ascii="宋体" w:hAnsi="宋体" w:eastAsia="宋体" w:cs="宋体"/>
          <w:b/>
          <w:bCs/>
          <w:sz w:val="32"/>
          <w:szCs w:val="32"/>
          <w:highlight w:val="none"/>
        </w:rPr>
        <w:t xml:space="preserve">  竞争性谈判公告</w:t>
      </w:r>
      <w:bookmarkEnd w:id="10"/>
      <w:bookmarkEnd w:id="11"/>
    </w:p>
    <w:p w14:paraId="5B5E1F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r>
        <w:rPr>
          <w:rStyle w:val="33"/>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29B6D81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r>
        <w:rPr>
          <w:rFonts w:hint="eastAsia" w:ascii="宋体" w:hAnsi="宋体" w:cs="宋体"/>
          <w:i w:val="0"/>
          <w:iCs w:val="0"/>
          <w:caps w:val="0"/>
          <w:color w:val="333333"/>
          <w:spacing w:val="0"/>
          <w:sz w:val="24"/>
          <w:szCs w:val="24"/>
          <w:highlight w:val="none"/>
          <w:shd w:val="clear" w:fill="FFFFFF"/>
          <w:vertAlign w:val="baseline"/>
          <w:lang w:val="en-US" w:eastAsia="zh-CN"/>
        </w:rPr>
        <w:t>采购项目的</w:t>
      </w:r>
      <w:r>
        <w:rPr>
          <w:rFonts w:hint="eastAsia" w:ascii="宋体" w:hAnsi="宋体" w:eastAsia="宋体" w:cs="宋体"/>
          <w:i w:val="0"/>
          <w:iCs w:val="0"/>
          <w:caps w:val="0"/>
          <w:color w:val="333333"/>
          <w:spacing w:val="0"/>
          <w:sz w:val="24"/>
          <w:szCs w:val="24"/>
          <w:highlight w:val="none"/>
          <w:shd w:val="clear" w:fill="FFFFFF"/>
          <w:vertAlign w:val="baseline"/>
        </w:rPr>
        <w:t>潜在供应商应在</w:t>
      </w:r>
      <w:r>
        <w:rPr>
          <w:rFonts w:hint="eastAsia" w:ascii="Times New Roman" w:hAnsi="Times New Roman" w:eastAsia="宋体" w:cs="Times New Roman"/>
          <w:kern w:val="2"/>
          <w:sz w:val="24"/>
          <w:szCs w:val="32"/>
          <w:highlight w:val="none"/>
          <w:lang w:val="en-US" w:eastAsia="zh-CN" w:bidi="ar"/>
        </w:rPr>
        <w:t>黄陵县轩辕大道原石油公司办公楼二楼</w:t>
      </w:r>
      <w:r>
        <w:rPr>
          <w:rFonts w:hint="eastAsia" w:cs="Times New Roman"/>
          <w:kern w:val="2"/>
          <w:sz w:val="24"/>
          <w:szCs w:val="32"/>
          <w:highlight w:val="none"/>
          <w:lang w:val="en-US" w:eastAsia="zh-CN" w:bidi="ar"/>
        </w:rPr>
        <w:t>业务室</w:t>
      </w:r>
      <w:r>
        <w:rPr>
          <w:rFonts w:hint="eastAsia" w:ascii="Times New Roman" w:hAnsi="Times New Roman" w:eastAsia="宋体" w:cs="Times New Roman"/>
          <w:kern w:val="2"/>
          <w:sz w:val="24"/>
          <w:szCs w:val="32"/>
          <w:highlight w:val="none"/>
          <w:lang w:val="en-US" w:eastAsia="zh-CN" w:bidi="ar"/>
        </w:rPr>
        <w:t>（</w:t>
      </w:r>
      <w:r>
        <w:rPr>
          <w:rFonts w:hint="eastAsia" w:cs="Times New Roman"/>
          <w:kern w:val="2"/>
          <w:sz w:val="24"/>
          <w:szCs w:val="32"/>
          <w:highlight w:val="none"/>
          <w:lang w:val="en-US" w:eastAsia="zh-CN" w:bidi="ar"/>
        </w:rPr>
        <w:t>二</w:t>
      </w:r>
      <w:r>
        <w:rPr>
          <w:rFonts w:hint="eastAsia" w:ascii="Times New Roman" w:hAnsi="Times New Roman" w:eastAsia="宋体" w:cs="Times New Roman"/>
          <w:kern w:val="2"/>
          <w:sz w:val="24"/>
          <w:szCs w:val="32"/>
          <w:highlight w:val="none"/>
          <w:lang w:val="en-US" w:eastAsia="zh-CN" w:bidi="ar"/>
        </w:rPr>
        <w:t>）</w:t>
      </w:r>
      <w:r>
        <w:rPr>
          <w:rFonts w:hint="eastAsia" w:ascii="宋体" w:hAnsi="宋体" w:eastAsia="宋体" w:cs="宋体"/>
          <w:i w:val="0"/>
          <w:iCs w:val="0"/>
          <w:caps w:val="0"/>
          <w:color w:val="333333"/>
          <w:spacing w:val="0"/>
          <w:sz w:val="24"/>
          <w:szCs w:val="24"/>
          <w:highlight w:val="none"/>
          <w:shd w:val="clear" w:fill="FFFFFF"/>
          <w:vertAlign w:val="baseline"/>
        </w:rPr>
        <w:t>获取采购文件，并于</w:t>
      </w:r>
      <w:bookmarkStart w:id="14" w:name="OLE_LINK11"/>
      <w:r>
        <w:rPr>
          <w:rFonts w:hint="eastAsia" w:cs="Times New Roman"/>
          <w:color w:val="auto"/>
          <w:kern w:val="2"/>
          <w:sz w:val="24"/>
          <w:szCs w:val="32"/>
          <w:highlight w:val="none"/>
          <w:shd w:val="clear" w:color="auto" w:fill="auto"/>
          <w:lang w:val="en-US" w:eastAsia="zh-CN" w:bidi="ar"/>
        </w:rPr>
        <w:t>2025年 11月14日09时30分00 秒</w:t>
      </w:r>
      <w:bookmarkEnd w:id="14"/>
      <w:r>
        <w:rPr>
          <w:rFonts w:hint="eastAsia" w:ascii="宋体" w:hAnsi="宋体" w:eastAsia="宋体" w:cs="宋体"/>
          <w:i w:val="0"/>
          <w:iCs w:val="0"/>
          <w:caps w:val="0"/>
          <w:color w:val="333333"/>
          <w:spacing w:val="0"/>
          <w:sz w:val="24"/>
          <w:szCs w:val="24"/>
          <w:highlight w:val="none"/>
          <w:shd w:val="clear" w:fill="FFFFFF"/>
          <w:vertAlign w:val="baseline"/>
        </w:rPr>
        <w:t>（北京时间）前提交响应文件。</w:t>
      </w:r>
    </w:p>
    <w:p w14:paraId="7F4728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482" w:firstLineChars="20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3"/>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2F157A0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宋体" w:hAnsi="宋体" w:cs="宋体"/>
          <w:i w:val="0"/>
          <w:iCs w:val="0"/>
          <w:caps w:val="0"/>
          <w:color w:val="333333"/>
          <w:spacing w:val="0"/>
          <w:sz w:val="24"/>
          <w:szCs w:val="24"/>
          <w:highlight w:val="none"/>
          <w:shd w:val="clear" w:fill="FFFFFF"/>
          <w:vertAlign w:val="baseline"/>
          <w:lang w:eastAsia="zh-CN"/>
        </w:rPr>
        <w:t>ZHGJ-2025-154</w:t>
      </w:r>
    </w:p>
    <w:p w14:paraId="7E211D1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cs="宋体"/>
          <w:i w:val="0"/>
          <w:iCs w:val="0"/>
          <w:caps w:val="0"/>
          <w:color w:val="333333"/>
          <w:spacing w:val="0"/>
          <w:sz w:val="24"/>
          <w:szCs w:val="24"/>
          <w:highlight w:val="none"/>
          <w:shd w:val="clear" w:fill="FFFFFF"/>
          <w:vertAlign w:val="baseline"/>
          <w:lang w:eastAsia="zh-CN"/>
        </w:rPr>
      </w:pPr>
      <w:bookmarkStart w:id="15" w:name="OLE_LINK12"/>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p>
    <w:p w14:paraId="714F57C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采购方式：竞争性谈判</w:t>
      </w:r>
    </w:p>
    <w:p w14:paraId="1C9898D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ascii="宋体" w:hAnsi="宋体" w:cs="宋体"/>
          <w:i w:val="0"/>
          <w:iCs w:val="0"/>
          <w:caps w:val="0"/>
          <w:color w:val="333333"/>
          <w:spacing w:val="0"/>
          <w:sz w:val="24"/>
          <w:szCs w:val="24"/>
          <w:highlight w:val="none"/>
          <w:shd w:val="clear" w:fill="FFFFFF"/>
          <w:vertAlign w:val="baseline"/>
          <w:lang w:val="en-US" w:eastAsia="zh-CN"/>
        </w:rPr>
        <w:t>1000000.00</w:t>
      </w:r>
      <w:r>
        <w:rPr>
          <w:rFonts w:hint="eastAsia" w:ascii="宋体" w:hAnsi="宋体" w:eastAsia="宋体" w:cs="宋体"/>
          <w:i w:val="0"/>
          <w:iCs w:val="0"/>
          <w:caps w:val="0"/>
          <w:color w:val="333333"/>
          <w:spacing w:val="0"/>
          <w:sz w:val="24"/>
          <w:szCs w:val="24"/>
          <w:highlight w:val="none"/>
          <w:shd w:val="clear" w:fill="FFFFFF"/>
          <w:vertAlign w:val="baseline"/>
        </w:rPr>
        <w:t>元</w:t>
      </w:r>
    </w:p>
    <w:bookmarkEnd w:id="15"/>
    <w:p w14:paraId="3DF65A7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1A417C3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r>
        <w:rPr>
          <w:rFonts w:hint="eastAsia" w:ascii="宋体" w:hAnsi="宋体" w:eastAsia="宋体" w:cs="宋体"/>
          <w:i w:val="0"/>
          <w:iCs w:val="0"/>
          <w:caps w:val="0"/>
          <w:color w:val="333333"/>
          <w:spacing w:val="0"/>
          <w:sz w:val="24"/>
          <w:szCs w:val="24"/>
          <w:highlight w:val="none"/>
          <w:shd w:val="clear" w:fill="FFFFFF"/>
          <w:vertAlign w:val="baseline"/>
        </w:rPr>
        <w:t>):</w:t>
      </w:r>
    </w:p>
    <w:p w14:paraId="7EB8427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ascii="宋体" w:hAnsi="宋体" w:cs="宋体"/>
          <w:i w:val="0"/>
          <w:iCs w:val="0"/>
          <w:caps w:val="0"/>
          <w:color w:val="333333"/>
          <w:spacing w:val="0"/>
          <w:sz w:val="24"/>
          <w:szCs w:val="24"/>
          <w:highlight w:val="none"/>
          <w:shd w:val="clear" w:fill="FFFFFF"/>
          <w:vertAlign w:val="baseline"/>
          <w:lang w:val="en-US" w:eastAsia="zh-CN"/>
        </w:rPr>
        <w:t>1000000.00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1E152BC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ascii="宋体" w:hAnsi="宋体" w:cs="宋体"/>
          <w:i w:val="0"/>
          <w:iCs w:val="0"/>
          <w:caps w:val="0"/>
          <w:color w:val="333333"/>
          <w:spacing w:val="0"/>
          <w:sz w:val="24"/>
          <w:szCs w:val="24"/>
          <w:highlight w:val="none"/>
          <w:shd w:val="clear" w:fill="FFFFFF"/>
          <w:vertAlign w:val="baseline"/>
          <w:lang w:val="en-US" w:eastAsia="zh-CN"/>
        </w:rPr>
        <w:t>1000000.00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30"/>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1"/>
        <w:gridCol w:w="1172"/>
        <w:gridCol w:w="2188"/>
        <w:gridCol w:w="839"/>
        <w:gridCol w:w="1434"/>
        <w:gridCol w:w="1590"/>
        <w:gridCol w:w="1515"/>
      </w:tblGrid>
      <w:tr w14:paraId="4FFF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blHeader/>
        </w:trPr>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862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2E0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2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3FE0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B49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898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4FD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A2D1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553E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758A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8928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其他专业技术服务</w:t>
            </w:r>
          </w:p>
        </w:tc>
        <w:tc>
          <w:tcPr>
            <w:tcW w:w="2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D16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p>
        </w:tc>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B6E1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ED98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2F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1000000.00</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360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1000000.00</w:t>
            </w:r>
          </w:p>
        </w:tc>
      </w:tr>
    </w:tbl>
    <w:p w14:paraId="5A06163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EFBEDD8">
      <w:pPr>
        <w:numPr>
          <w:ilvl w:val="0"/>
          <w:numId w:val="0"/>
        </w:numPr>
        <w:spacing w:line="360" w:lineRule="auto"/>
        <w:ind w:leftChars="200"/>
        <w:rPr>
          <w:rFonts w:hint="eastAsia" w:ascii="宋体" w:hAnsi="宋体" w:cs="宋体"/>
          <w:b w:val="0"/>
          <w:bCs w:val="0"/>
          <w:sz w:val="24"/>
          <w:szCs w:val="24"/>
          <w:highlight w:val="none"/>
          <w:lang w:val="en-US" w:eastAsia="zh-CN"/>
        </w:rPr>
      </w:pPr>
      <w:bookmarkStart w:id="16" w:name="OLE_LINK22"/>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合同签订后随同地质勘查进程在90个日历日内完成全部工作量，技术服务工作验收合格为止。</w:t>
      </w:r>
    </w:p>
    <w:bookmarkEnd w:id="16"/>
    <w:p w14:paraId="3B33DD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right="0" w:firstLine="482" w:firstLineChars="20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3"/>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5B116F8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4E1D13F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06699A7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55940E5E">
      <w:pPr>
        <w:pStyle w:val="97"/>
        <w:widowControl w:val="0"/>
        <w:kinsoku/>
        <w:autoSpaceDE/>
        <w:autoSpaceDN/>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（1）《政府采购促进中小企业发展管理办法》（财库〔2020〕46号）、《关于进一步加大政府采购支持中小企业力度的通知》（财库〔2022〕19号）。</w:t>
      </w:r>
    </w:p>
    <w:p w14:paraId="516C708E">
      <w:pPr>
        <w:pStyle w:val="97"/>
        <w:widowControl w:val="0"/>
        <w:kinsoku/>
        <w:autoSpaceDE/>
        <w:autoSpaceDN/>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（2）《关于政府采购支持监狱企业发展有关问题的通知》（财库〔2014〕68号）以及《关于促进残疾人就业政府采购政策的通知》（财库〔2017〕141号）。</w:t>
      </w:r>
    </w:p>
    <w:p w14:paraId="6D5E8AF6">
      <w:pPr>
        <w:pStyle w:val="97"/>
        <w:widowControl w:val="0"/>
        <w:kinsoku/>
        <w:autoSpaceDE/>
        <w:autoSpaceDN/>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0B52F030">
      <w:pPr>
        <w:pStyle w:val="97"/>
        <w:widowControl w:val="0"/>
        <w:kinsoku/>
        <w:autoSpaceDE/>
        <w:autoSpaceDN/>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（4）陕西省财政厅关于印发《陕西省中小企业政府采购信用融资办法》（陕财办采〔2018〕23号）。</w:t>
      </w:r>
    </w:p>
    <w:p w14:paraId="1A992B8D">
      <w:pPr>
        <w:pStyle w:val="97"/>
        <w:widowControl w:val="0"/>
        <w:kinsoku/>
        <w:autoSpaceDE/>
        <w:autoSpaceDN/>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（5）其他需要落实的政府采购政策，如有最新颁布的政府采购政策，按最新的文件执行。</w:t>
      </w:r>
    </w:p>
    <w:p w14:paraId="4B61D5D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0089C98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cs="宋体"/>
          <w:i w:val="0"/>
          <w:iCs w:val="0"/>
          <w:caps w:val="0"/>
          <w:color w:val="333333"/>
          <w:spacing w:val="0"/>
          <w:sz w:val="24"/>
          <w:szCs w:val="24"/>
          <w:highlight w:val="none"/>
          <w:shd w:val="clear" w:fill="FFFFFF"/>
          <w:vertAlign w:val="baseline"/>
          <w:lang w:eastAsia="zh-CN"/>
        </w:rPr>
        <w:t>黄陵县大院子区域补充勘探和瓦窑坪区域煤炭资源普查项目技术服务</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14:paraId="06897D49">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bookmarkStart w:id="17" w:name="OLE_LINK26"/>
      <w:r>
        <w:rPr>
          <w:rFonts w:hint="eastAsia" w:ascii="宋体" w:hAnsi="宋体" w:eastAsia="宋体" w:cs="宋体"/>
          <w:i w:val="0"/>
          <w:iCs w:val="0"/>
          <w:caps w:val="0"/>
          <w:color w:val="333333"/>
          <w:spacing w:val="0"/>
          <w:sz w:val="24"/>
          <w:szCs w:val="24"/>
          <w:highlight w:val="none"/>
          <w:shd w:val="clear" w:fill="FFFFFF"/>
          <w:vertAlign w:val="baseline"/>
        </w:rPr>
        <w:t>供应商须具有独立承担民事责任的能力，提供营业执照、税务登记证、组织结构代码证或登载有统一社会信用代码的营业执照（或《事业单位法人证书》或其他合法组织登记证书、自然人只须提交身份证）；</w:t>
      </w:r>
    </w:p>
    <w:p w14:paraId="4C74DA77">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法定代表人授权书（附法定代表人、被授权人身份证复印件）及被授权人身份证（法定代表人直接参加谈判，须提供法定代表人身份证明及身份证原件）；</w:t>
      </w:r>
    </w:p>
    <w:p w14:paraId="3C4D91F9">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cs="宋体"/>
          <w:i w:val="0"/>
          <w:iCs w:val="0"/>
          <w:caps w:val="0"/>
          <w:color w:val="auto"/>
          <w:spacing w:val="0"/>
          <w:sz w:val="24"/>
          <w:szCs w:val="24"/>
          <w:highlight w:val="none"/>
          <w:shd w:val="clear" w:fill="FFFFFF"/>
          <w:vertAlign w:val="baseline"/>
          <w:lang w:eastAsia="zh-CN"/>
        </w:rPr>
        <w:t>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w:t>
      </w:r>
      <w:r>
        <w:rPr>
          <w:rFonts w:hint="eastAsia" w:ascii="宋体" w:hAnsi="宋体" w:cs="宋体"/>
          <w:i w:val="0"/>
          <w:iCs w:val="0"/>
          <w:caps w:val="0"/>
          <w:color w:val="333333"/>
          <w:spacing w:val="0"/>
          <w:sz w:val="24"/>
          <w:szCs w:val="24"/>
          <w:highlight w:val="none"/>
          <w:shd w:val="clear" w:fill="FFFFFF"/>
          <w:vertAlign w:val="baseline"/>
          <w:lang w:eastAsia="zh-CN"/>
        </w:rPr>
        <w:t>证明文件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00DF464B">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提供谈判响应文件递交截止日前一年内已缴存的至少一个月的社会保障资金缴存单据或社保机构开具的社会保险参保缴费情况证明，依法不需要缴纳社会保障资金的单位应提供相关证明材料；</w:t>
      </w:r>
    </w:p>
    <w:p w14:paraId="52D331F9">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cs="宋体"/>
          <w:i w:val="0"/>
          <w:iCs w:val="0"/>
          <w:caps w:val="0"/>
          <w:color w:val="333333"/>
          <w:spacing w:val="0"/>
          <w:sz w:val="24"/>
          <w:szCs w:val="24"/>
          <w:highlight w:val="none"/>
          <w:shd w:val="clear" w:fill="FFFFFF"/>
          <w:vertAlign w:val="baseline"/>
          <w:lang w:eastAsia="zh-CN"/>
        </w:rPr>
        <w:t>提供2023年度或2024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附《基本存款账户信息》或《银行开户许可证》复印件）。</w:t>
      </w:r>
    </w:p>
    <w:p w14:paraId="6AE96C34">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参加政府活动近三年内，在经营活动中无重大违法记录的书面声明；</w:t>
      </w:r>
    </w:p>
    <w:p w14:paraId="5C2F8446">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27CEDA51">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单位负责人为同一人或者存在直接控股、管理关系的不同供应商，不得参加同一合同项下的政府采购活动。</w:t>
      </w:r>
    </w:p>
    <w:p w14:paraId="569BF898">
      <w:pPr>
        <w:pStyle w:val="2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本项目为专门面向中小企业采购的采购项目。 </w:t>
      </w:r>
    </w:p>
    <w:bookmarkEnd w:id="17"/>
    <w:p w14:paraId="226DA5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482" w:firstLineChars="20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3"/>
          <w:rFonts w:hint="eastAsia" w:ascii="宋体" w:hAnsi="宋体" w:eastAsia="宋体" w:cs="宋体"/>
          <w:b/>
          <w:bCs/>
          <w:i w:val="0"/>
          <w:iCs w:val="0"/>
          <w:caps w:val="0"/>
          <w:color w:val="333333"/>
          <w:spacing w:val="0"/>
          <w:sz w:val="24"/>
          <w:szCs w:val="24"/>
          <w:highlight w:val="none"/>
          <w:shd w:val="clear" w:fill="FFFFFF"/>
          <w:vertAlign w:val="baseline"/>
        </w:rPr>
        <w:t>三、</w:t>
      </w:r>
      <w:bookmarkStart w:id="18" w:name="OLE_LINK13"/>
      <w:r>
        <w:rPr>
          <w:rStyle w:val="33"/>
          <w:rFonts w:hint="eastAsia" w:ascii="宋体" w:hAnsi="宋体" w:eastAsia="宋体" w:cs="宋体"/>
          <w:b/>
          <w:bCs/>
          <w:i w:val="0"/>
          <w:iCs w:val="0"/>
          <w:caps w:val="0"/>
          <w:color w:val="333333"/>
          <w:spacing w:val="0"/>
          <w:sz w:val="24"/>
          <w:szCs w:val="24"/>
          <w:highlight w:val="none"/>
          <w:shd w:val="clear" w:fill="FFFFFF"/>
          <w:vertAlign w:val="baseline"/>
          <w:lang w:val="en-US" w:eastAsia="zh-CN"/>
        </w:rPr>
        <w:t>获取采购文件</w:t>
      </w:r>
    </w:p>
    <w:p w14:paraId="328474C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Times New Roman" w:hAnsi="Times New Roman" w:eastAsia="宋体" w:cs="宋体"/>
          <w:color w:val="auto"/>
          <w:kern w:val="2"/>
          <w:sz w:val="24"/>
          <w:szCs w:val="32"/>
          <w:highlight w:val="none"/>
          <w:lang w:val="en-US" w:eastAsia="zh-CN" w:bidi="ar"/>
        </w:rPr>
      </w:pPr>
      <w:r>
        <w:rPr>
          <w:rFonts w:hint="eastAsia" w:ascii="宋体" w:hAnsi="宋体" w:eastAsia="宋体" w:cs="宋体"/>
          <w:i w:val="0"/>
          <w:iCs w:val="0"/>
          <w:caps w:val="0"/>
          <w:color w:val="333333"/>
          <w:spacing w:val="0"/>
          <w:sz w:val="24"/>
          <w:szCs w:val="24"/>
          <w:highlight w:val="none"/>
          <w:shd w:val="clear" w:fill="FFFFFF"/>
          <w:vertAlign w:val="baseline"/>
        </w:rPr>
        <w:t>时间：</w:t>
      </w:r>
      <w:bookmarkStart w:id="19" w:name="OLE_LINK33"/>
      <w:r>
        <w:rPr>
          <w:rFonts w:hint="eastAsia" w:ascii="Times New Roman" w:hAnsi="Times New Roman" w:eastAsia="宋体" w:cs="宋体"/>
          <w:color w:val="auto"/>
          <w:kern w:val="2"/>
          <w:sz w:val="24"/>
          <w:szCs w:val="32"/>
          <w:highlight w:val="none"/>
          <w:lang w:val="en-US" w:eastAsia="zh-CN" w:bidi="ar"/>
        </w:rPr>
        <w:t>202</w:t>
      </w:r>
      <w:r>
        <w:rPr>
          <w:rFonts w:hint="eastAsia" w:cs="宋体"/>
          <w:color w:val="auto"/>
          <w:kern w:val="2"/>
          <w:sz w:val="24"/>
          <w:szCs w:val="32"/>
          <w:highlight w:val="none"/>
          <w:lang w:val="en-US" w:eastAsia="zh-CN" w:bidi="ar"/>
        </w:rPr>
        <w:t>5</w:t>
      </w:r>
      <w:r>
        <w:rPr>
          <w:rFonts w:hint="eastAsia" w:ascii="Times New Roman" w:hAnsi="Times New Roman" w:eastAsia="宋体" w:cs="宋体"/>
          <w:color w:val="auto"/>
          <w:kern w:val="2"/>
          <w:sz w:val="24"/>
          <w:szCs w:val="32"/>
          <w:highlight w:val="none"/>
          <w:lang w:val="en-US" w:eastAsia="zh-CN" w:bidi="ar"/>
        </w:rPr>
        <w:t>年</w:t>
      </w:r>
      <w:r>
        <w:rPr>
          <w:rFonts w:hint="eastAsia" w:cs="宋体"/>
          <w:color w:val="auto"/>
          <w:kern w:val="2"/>
          <w:sz w:val="24"/>
          <w:szCs w:val="32"/>
          <w:highlight w:val="none"/>
          <w:lang w:val="en-US" w:eastAsia="zh-CN" w:bidi="ar"/>
        </w:rPr>
        <w:t>11</w:t>
      </w:r>
      <w:r>
        <w:rPr>
          <w:rFonts w:hint="eastAsia" w:ascii="Times New Roman" w:hAnsi="Times New Roman" w:eastAsia="宋体" w:cs="宋体"/>
          <w:color w:val="auto"/>
          <w:kern w:val="2"/>
          <w:sz w:val="24"/>
          <w:szCs w:val="32"/>
          <w:highlight w:val="none"/>
          <w:lang w:val="en-US" w:eastAsia="zh-CN" w:bidi="ar"/>
        </w:rPr>
        <w:t>月</w:t>
      </w:r>
      <w:r>
        <w:rPr>
          <w:rFonts w:hint="eastAsia" w:cs="宋体"/>
          <w:color w:val="auto"/>
          <w:kern w:val="2"/>
          <w:sz w:val="24"/>
          <w:szCs w:val="32"/>
          <w:highlight w:val="none"/>
          <w:lang w:val="en-US" w:eastAsia="zh-CN" w:bidi="ar"/>
        </w:rPr>
        <w:t>05</w:t>
      </w:r>
      <w:r>
        <w:rPr>
          <w:rFonts w:hint="eastAsia" w:ascii="Times New Roman" w:hAnsi="Times New Roman" w:eastAsia="宋体" w:cs="宋体"/>
          <w:color w:val="auto"/>
          <w:kern w:val="2"/>
          <w:sz w:val="24"/>
          <w:szCs w:val="32"/>
          <w:highlight w:val="none"/>
          <w:lang w:val="en-US" w:eastAsia="zh-CN" w:bidi="ar"/>
        </w:rPr>
        <w:t>日至202</w:t>
      </w:r>
      <w:r>
        <w:rPr>
          <w:rFonts w:hint="eastAsia" w:cs="宋体"/>
          <w:color w:val="auto"/>
          <w:kern w:val="2"/>
          <w:sz w:val="24"/>
          <w:szCs w:val="32"/>
          <w:highlight w:val="none"/>
          <w:lang w:val="en-US" w:eastAsia="zh-CN" w:bidi="ar"/>
        </w:rPr>
        <w:t>5</w:t>
      </w:r>
      <w:r>
        <w:rPr>
          <w:rFonts w:hint="eastAsia" w:ascii="Times New Roman" w:hAnsi="Times New Roman" w:eastAsia="宋体" w:cs="宋体"/>
          <w:color w:val="auto"/>
          <w:kern w:val="2"/>
          <w:sz w:val="24"/>
          <w:szCs w:val="32"/>
          <w:highlight w:val="none"/>
          <w:lang w:val="en-US" w:eastAsia="zh-CN" w:bidi="ar"/>
        </w:rPr>
        <w:t>年</w:t>
      </w:r>
      <w:bookmarkStart w:id="119" w:name="_GoBack"/>
      <w:bookmarkEnd w:id="119"/>
      <w:r>
        <w:rPr>
          <w:rFonts w:hint="eastAsia" w:cs="宋体"/>
          <w:color w:val="auto"/>
          <w:kern w:val="2"/>
          <w:sz w:val="24"/>
          <w:szCs w:val="32"/>
          <w:highlight w:val="none"/>
          <w:lang w:val="en-US" w:eastAsia="zh-CN" w:bidi="ar"/>
        </w:rPr>
        <w:t>11</w:t>
      </w:r>
      <w:r>
        <w:rPr>
          <w:rFonts w:hint="eastAsia" w:ascii="Times New Roman" w:hAnsi="Times New Roman" w:eastAsia="宋体" w:cs="宋体"/>
          <w:color w:val="auto"/>
          <w:kern w:val="2"/>
          <w:sz w:val="24"/>
          <w:szCs w:val="32"/>
          <w:highlight w:val="none"/>
          <w:lang w:val="en-US" w:eastAsia="zh-CN" w:bidi="ar"/>
        </w:rPr>
        <w:t>月</w:t>
      </w:r>
      <w:r>
        <w:rPr>
          <w:rFonts w:hint="eastAsia" w:cs="宋体"/>
          <w:color w:val="auto"/>
          <w:kern w:val="2"/>
          <w:sz w:val="24"/>
          <w:szCs w:val="32"/>
          <w:highlight w:val="none"/>
          <w:lang w:val="en-US" w:eastAsia="zh-CN" w:bidi="ar"/>
        </w:rPr>
        <w:t>07</w:t>
      </w:r>
      <w:r>
        <w:rPr>
          <w:rFonts w:hint="eastAsia" w:ascii="Times New Roman" w:hAnsi="Times New Roman" w:eastAsia="宋体" w:cs="宋体"/>
          <w:color w:val="auto"/>
          <w:kern w:val="2"/>
          <w:sz w:val="24"/>
          <w:szCs w:val="32"/>
          <w:highlight w:val="none"/>
          <w:lang w:val="en-US" w:eastAsia="zh-CN" w:bidi="ar"/>
        </w:rPr>
        <w:t>日</w:t>
      </w:r>
      <w:bookmarkEnd w:id="19"/>
      <w:r>
        <w:rPr>
          <w:rFonts w:hint="eastAsia" w:ascii="Times New Roman" w:hAnsi="Times New Roman" w:eastAsia="宋体" w:cs="宋体"/>
          <w:color w:val="auto"/>
          <w:kern w:val="2"/>
          <w:sz w:val="24"/>
          <w:szCs w:val="32"/>
          <w:highlight w:val="none"/>
          <w:lang w:val="en-US" w:eastAsia="zh-CN" w:bidi="ar"/>
        </w:rPr>
        <w:t>，每天上午08:00:00至12:00:00，下午</w:t>
      </w:r>
      <w:r>
        <w:rPr>
          <w:rFonts w:hint="eastAsia" w:cs="宋体"/>
          <w:color w:val="auto"/>
          <w:kern w:val="2"/>
          <w:sz w:val="24"/>
          <w:szCs w:val="32"/>
          <w:highlight w:val="none"/>
          <w:lang w:val="en-US" w:eastAsia="zh-CN" w:bidi="ar"/>
        </w:rPr>
        <w:t>14</w:t>
      </w:r>
      <w:r>
        <w:rPr>
          <w:rFonts w:hint="eastAsia" w:ascii="Times New Roman" w:hAnsi="Times New Roman" w:eastAsia="宋体" w:cs="宋体"/>
          <w:color w:val="auto"/>
          <w:kern w:val="2"/>
          <w:sz w:val="24"/>
          <w:szCs w:val="32"/>
          <w:highlight w:val="none"/>
          <w:lang w:val="en-US" w:eastAsia="zh-CN" w:bidi="ar"/>
        </w:rPr>
        <w:t>:</w:t>
      </w:r>
      <w:r>
        <w:rPr>
          <w:rFonts w:hint="eastAsia" w:cs="宋体"/>
          <w:color w:val="auto"/>
          <w:kern w:val="2"/>
          <w:sz w:val="24"/>
          <w:szCs w:val="32"/>
          <w:highlight w:val="none"/>
          <w:lang w:val="en-US" w:eastAsia="zh-CN" w:bidi="ar"/>
        </w:rPr>
        <w:t>00</w:t>
      </w:r>
      <w:r>
        <w:rPr>
          <w:rFonts w:hint="eastAsia" w:ascii="Times New Roman" w:hAnsi="Times New Roman" w:eastAsia="宋体" w:cs="宋体"/>
          <w:color w:val="auto"/>
          <w:kern w:val="2"/>
          <w:sz w:val="24"/>
          <w:szCs w:val="32"/>
          <w:highlight w:val="none"/>
          <w:lang w:val="en-US" w:eastAsia="zh-CN" w:bidi="ar"/>
        </w:rPr>
        <w:t>:00至1</w:t>
      </w:r>
      <w:r>
        <w:rPr>
          <w:rFonts w:hint="eastAsia" w:cs="宋体"/>
          <w:color w:val="auto"/>
          <w:kern w:val="2"/>
          <w:sz w:val="24"/>
          <w:szCs w:val="32"/>
          <w:highlight w:val="none"/>
          <w:lang w:val="en-US" w:eastAsia="zh-CN" w:bidi="ar"/>
        </w:rPr>
        <w:t>8：</w:t>
      </w:r>
      <w:r>
        <w:rPr>
          <w:rFonts w:hint="eastAsia" w:ascii="Times New Roman" w:hAnsi="Times New Roman" w:eastAsia="宋体" w:cs="宋体"/>
          <w:color w:val="auto"/>
          <w:kern w:val="2"/>
          <w:sz w:val="24"/>
          <w:szCs w:val="32"/>
          <w:highlight w:val="none"/>
          <w:lang w:val="en-US" w:eastAsia="zh-CN" w:bidi="ar"/>
        </w:rPr>
        <w:t>00:00（北京时间）</w:t>
      </w:r>
    </w:p>
    <w:bookmarkEnd w:id="18"/>
    <w:p w14:paraId="2821DCC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bookmarkStart w:id="20" w:name="OLE_LINK27"/>
      <w:r>
        <w:rPr>
          <w:rFonts w:hint="eastAsia" w:ascii="Times New Roman" w:hAnsi="Times New Roman" w:eastAsia="宋体" w:cs="Times New Roman"/>
          <w:kern w:val="2"/>
          <w:sz w:val="24"/>
          <w:szCs w:val="32"/>
          <w:highlight w:val="none"/>
          <w:lang w:val="en-US" w:eastAsia="zh-CN" w:bidi="ar"/>
        </w:rPr>
        <w:t>黄</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陵县轩辕大道原石油公司办公楼二楼</w:t>
      </w:r>
      <w:r>
        <w:rPr>
          <w:rFonts w:hint="eastAsia" w:ascii="宋体" w:hAnsi="宋体" w:cs="宋体"/>
          <w:i w:val="0"/>
          <w:iCs w:val="0"/>
          <w:caps w:val="0"/>
          <w:color w:val="333333"/>
          <w:spacing w:val="0"/>
          <w:sz w:val="24"/>
          <w:szCs w:val="24"/>
          <w:highlight w:val="none"/>
          <w:shd w:val="clear" w:fill="FFFFFF"/>
          <w:vertAlign w:val="baseline"/>
          <w:lang w:val="en-US" w:eastAsia="zh-CN"/>
        </w:rPr>
        <w:t>业务室</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w:t>
      </w:r>
      <w:r>
        <w:rPr>
          <w:rFonts w:hint="eastAsia" w:ascii="宋体" w:hAnsi="宋体" w:cs="宋体"/>
          <w:i w:val="0"/>
          <w:iCs w:val="0"/>
          <w:caps w:val="0"/>
          <w:color w:val="333333"/>
          <w:spacing w:val="0"/>
          <w:sz w:val="24"/>
          <w:szCs w:val="24"/>
          <w:highlight w:val="none"/>
          <w:shd w:val="clear" w:fill="FFFFFF"/>
          <w:vertAlign w:val="baseline"/>
          <w:lang w:val="en-US" w:eastAsia="zh-CN"/>
        </w:rPr>
        <w:t>二</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w:t>
      </w:r>
      <w:bookmarkEnd w:id="20"/>
    </w:p>
    <w:p w14:paraId="7B953BC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0DA9F14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售价：500元</w:t>
      </w:r>
    </w:p>
    <w:p w14:paraId="316D4995">
      <w:pPr>
        <w:keepNext w:val="0"/>
        <w:keepLines w:val="0"/>
        <w:widowControl w:val="0"/>
        <w:suppressLineNumbers w:val="0"/>
        <w:spacing w:before="0" w:beforeAutospacing="0" w:after="0" w:afterAutospacing="0" w:line="360" w:lineRule="auto"/>
        <w:ind w:left="0" w:right="0" w:firstLine="482" w:firstLineChars="200"/>
        <w:jc w:val="both"/>
        <w:rPr>
          <w:b/>
          <w:bCs/>
          <w:sz w:val="24"/>
          <w:szCs w:val="32"/>
          <w:highlight w:val="none"/>
          <w:lang w:val="en-US"/>
        </w:rPr>
      </w:pPr>
      <w:r>
        <w:rPr>
          <w:rFonts w:hint="eastAsia" w:ascii="Times New Roman" w:hAnsi="Times New Roman" w:eastAsia="宋体" w:cs="宋体"/>
          <w:b/>
          <w:bCs/>
          <w:kern w:val="2"/>
          <w:sz w:val="24"/>
          <w:szCs w:val="32"/>
          <w:highlight w:val="none"/>
          <w:lang w:val="en-US" w:eastAsia="zh-CN" w:bidi="ar"/>
        </w:rPr>
        <w:t>四、响应文件提交</w:t>
      </w:r>
    </w:p>
    <w:p w14:paraId="324AA8DE">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bookmarkStart w:id="21" w:name="OLE_LINK15"/>
      <w:r>
        <w:rPr>
          <w:rFonts w:hint="eastAsia" w:ascii="Times New Roman" w:hAnsi="Times New Roman" w:eastAsia="宋体" w:cs="宋体"/>
          <w:kern w:val="2"/>
          <w:sz w:val="24"/>
          <w:szCs w:val="32"/>
          <w:highlight w:val="none"/>
          <w:lang w:val="en-US" w:eastAsia="zh-CN" w:bidi="ar"/>
        </w:rPr>
        <w:t>截止时间：</w:t>
      </w:r>
      <w:bookmarkStart w:id="22" w:name="OLE_LINK21"/>
      <w:r>
        <w:rPr>
          <w:rFonts w:hint="eastAsia" w:cs="Times New Roman"/>
          <w:color w:val="auto"/>
          <w:kern w:val="2"/>
          <w:sz w:val="24"/>
          <w:szCs w:val="32"/>
          <w:highlight w:val="none"/>
          <w:shd w:val="clear" w:color="auto" w:fill="auto"/>
          <w:lang w:val="en-US" w:eastAsia="zh-CN" w:bidi="ar"/>
        </w:rPr>
        <w:t>2025年11月14日 09 时30 分00 秒</w:t>
      </w:r>
      <w:bookmarkEnd w:id="22"/>
      <w:r>
        <w:rPr>
          <w:rFonts w:hint="eastAsia" w:ascii="Times New Roman" w:hAnsi="Times New Roman" w:eastAsia="宋体" w:cs="宋体"/>
          <w:kern w:val="2"/>
          <w:sz w:val="24"/>
          <w:szCs w:val="32"/>
          <w:highlight w:val="none"/>
          <w:lang w:val="en-US" w:eastAsia="zh-CN" w:bidi="ar"/>
        </w:rPr>
        <w:t>（北京时间）</w:t>
      </w:r>
    </w:p>
    <w:bookmarkEnd w:id="21"/>
    <w:p w14:paraId="2314A4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i w:val="0"/>
          <w:iCs w:val="0"/>
          <w:caps w:val="0"/>
          <w:color w:val="333333"/>
          <w:spacing w:val="0"/>
          <w:sz w:val="24"/>
          <w:szCs w:val="24"/>
          <w:highlight w:val="none"/>
        </w:rPr>
      </w:pPr>
      <w:bookmarkStart w:id="23" w:name="OLE_LINK14"/>
      <w:r>
        <w:rPr>
          <w:rFonts w:hint="eastAsia" w:ascii="Times New Roman" w:hAnsi="Times New Roman" w:eastAsia="宋体" w:cs="宋体"/>
          <w:kern w:val="2"/>
          <w:sz w:val="24"/>
          <w:szCs w:val="32"/>
          <w:highlight w:val="none"/>
          <w:lang w:val="en-US" w:eastAsia="zh-CN" w:bidi="ar"/>
        </w:rPr>
        <w:t>地点：</w:t>
      </w:r>
      <w:bookmarkStart w:id="24" w:name="OLE_LINK28"/>
      <w:r>
        <w:rPr>
          <w:rFonts w:hint="eastAsia" w:ascii="Times New Roman" w:hAnsi="Times New Roman" w:eastAsia="宋体" w:cs="宋体"/>
          <w:kern w:val="2"/>
          <w:sz w:val="24"/>
          <w:szCs w:val="32"/>
          <w:highlight w:val="none"/>
          <w:lang w:val="en-US" w:eastAsia="zh-CN" w:bidi="ar"/>
        </w:rPr>
        <w:t>黄陵县轩辕大道原石油公司办公楼二楼会议室</w:t>
      </w:r>
      <w:bookmarkEnd w:id="24"/>
    </w:p>
    <w:bookmarkEnd w:id="23"/>
    <w:p w14:paraId="1B78CDEC">
      <w:pPr>
        <w:keepNext w:val="0"/>
        <w:keepLines w:val="0"/>
        <w:widowControl w:val="0"/>
        <w:suppressLineNumbers w:val="0"/>
        <w:spacing w:before="0" w:beforeAutospacing="0" w:after="0" w:afterAutospacing="0" w:line="360" w:lineRule="auto"/>
        <w:ind w:left="0" w:right="0" w:firstLine="482" w:firstLineChars="200"/>
        <w:jc w:val="both"/>
        <w:rPr>
          <w:b/>
          <w:bCs/>
          <w:sz w:val="24"/>
          <w:szCs w:val="32"/>
          <w:highlight w:val="none"/>
          <w:lang w:val="en-US"/>
        </w:rPr>
      </w:pPr>
      <w:r>
        <w:rPr>
          <w:rFonts w:hint="eastAsia" w:ascii="Times New Roman" w:hAnsi="Times New Roman" w:eastAsia="宋体" w:cs="宋体"/>
          <w:b/>
          <w:bCs/>
          <w:kern w:val="2"/>
          <w:sz w:val="24"/>
          <w:szCs w:val="32"/>
          <w:highlight w:val="none"/>
          <w:lang w:val="en-US" w:eastAsia="zh-CN" w:bidi="ar"/>
        </w:rPr>
        <w:t>五、开启</w:t>
      </w:r>
    </w:p>
    <w:p w14:paraId="16E9EC9C">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时间：</w:t>
      </w:r>
      <w:r>
        <w:rPr>
          <w:rFonts w:hint="eastAsia" w:cs="Times New Roman"/>
          <w:color w:val="auto"/>
          <w:kern w:val="2"/>
          <w:sz w:val="24"/>
          <w:szCs w:val="32"/>
          <w:highlight w:val="none"/>
          <w:shd w:val="clear" w:color="auto" w:fill="auto"/>
          <w:lang w:val="en-US" w:eastAsia="zh-CN" w:bidi="ar"/>
        </w:rPr>
        <w:t>2025年11月14日 09时30 分00 秒</w:t>
      </w:r>
      <w:r>
        <w:rPr>
          <w:rFonts w:hint="eastAsia" w:ascii="Times New Roman" w:hAnsi="Times New Roman" w:eastAsia="宋体" w:cs="宋体"/>
          <w:kern w:val="2"/>
          <w:sz w:val="24"/>
          <w:szCs w:val="32"/>
          <w:highlight w:val="none"/>
          <w:lang w:val="en-US" w:eastAsia="zh-CN" w:bidi="ar"/>
        </w:rPr>
        <w:t>（北京时间）</w:t>
      </w:r>
    </w:p>
    <w:p w14:paraId="4E16F226">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地点：黄陵县轩辕大道原石油公司办公楼二楼会议室</w:t>
      </w:r>
    </w:p>
    <w:p w14:paraId="7E9ACC4A">
      <w:pPr>
        <w:keepNext w:val="0"/>
        <w:keepLines w:val="0"/>
        <w:widowControl w:val="0"/>
        <w:suppressLineNumbers w:val="0"/>
        <w:spacing w:before="0" w:beforeAutospacing="0" w:after="0" w:afterAutospacing="0" w:line="360" w:lineRule="auto"/>
        <w:ind w:left="0" w:right="0" w:firstLine="482" w:firstLineChars="200"/>
        <w:jc w:val="both"/>
        <w:rPr>
          <w:b/>
          <w:bCs/>
          <w:sz w:val="24"/>
          <w:szCs w:val="32"/>
          <w:highlight w:val="none"/>
          <w:lang w:val="en-US"/>
        </w:rPr>
      </w:pPr>
      <w:r>
        <w:rPr>
          <w:rFonts w:hint="eastAsia" w:ascii="Times New Roman" w:hAnsi="Times New Roman" w:eastAsia="宋体" w:cs="宋体"/>
          <w:b/>
          <w:bCs/>
          <w:kern w:val="2"/>
          <w:sz w:val="24"/>
          <w:szCs w:val="32"/>
          <w:highlight w:val="none"/>
          <w:lang w:val="en-US" w:eastAsia="zh-CN" w:bidi="ar"/>
        </w:rPr>
        <w:t>六、公告期限</w:t>
      </w:r>
    </w:p>
    <w:p w14:paraId="0B7E37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Times New Roman" w:hAnsi="Times New Roman" w:eastAsia="宋体" w:cs="宋体"/>
          <w:kern w:val="2"/>
          <w:sz w:val="24"/>
          <w:szCs w:val="32"/>
          <w:highlight w:val="none"/>
          <w:lang w:val="en-US" w:eastAsia="zh-CN" w:bidi="ar"/>
        </w:rPr>
        <w:t>自本公告发布之日起</w:t>
      </w:r>
      <w:r>
        <w:rPr>
          <w:rFonts w:hint="default" w:ascii="Times New Roman" w:hAnsi="Times New Roman" w:eastAsia="宋体" w:cs="Times New Roman"/>
          <w:kern w:val="2"/>
          <w:sz w:val="24"/>
          <w:szCs w:val="32"/>
          <w:highlight w:val="none"/>
          <w:lang w:val="en-US" w:eastAsia="zh-CN" w:bidi="ar"/>
        </w:rPr>
        <w:t>3</w:t>
      </w:r>
      <w:r>
        <w:rPr>
          <w:rFonts w:hint="eastAsia" w:ascii="Times New Roman" w:hAnsi="Times New Roman" w:eastAsia="宋体" w:cs="宋体"/>
          <w:kern w:val="2"/>
          <w:sz w:val="24"/>
          <w:szCs w:val="32"/>
          <w:highlight w:val="none"/>
          <w:lang w:val="en-US" w:eastAsia="zh-CN" w:bidi="ar"/>
        </w:rPr>
        <w:t>个工作日。</w:t>
      </w:r>
    </w:p>
    <w:p w14:paraId="3CC13F21">
      <w:pPr>
        <w:keepNext w:val="0"/>
        <w:keepLines w:val="0"/>
        <w:widowControl w:val="0"/>
        <w:suppressLineNumbers w:val="0"/>
        <w:spacing w:before="0" w:beforeAutospacing="0" w:after="0" w:afterAutospacing="0" w:line="360" w:lineRule="auto"/>
        <w:ind w:left="0" w:right="0" w:firstLine="482" w:firstLineChars="200"/>
        <w:jc w:val="both"/>
        <w:rPr>
          <w:b/>
          <w:bCs/>
          <w:sz w:val="24"/>
          <w:szCs w:val="32"/>
          <w:highlight w:val="none"/>
          <w:lang w:val="en-US"/>
        </w:rPr>
      </w:pPr>
      <w:r>
        <w:rPr>
          <w:rFonts w:hint="eastAsia" w:ascii="Times New Roman" w:hAnsi="Times New Roman" w:eastAsia="宋体" w:cs="宋体"/>
          <w:b/>
          <w:bCs/>
          <w:kern w:val="2"/>
          <w:sz w:val="24"/>
          <w:szCs w:val="32"/>
          <w:highlight w:val="none"/>
          <w:lang w:val="en-US" w:eastAsia="zh-CN" w:bidi="ar"/>
        </w:rPr>
        <w:t>七、其他补充事宜</w:t>
      </w:r>
    </w:p>
    <w:p w14:paraId="6EB903B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bookmarkStart w:id="25" w:name="OLE_LINK29"/>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注：购买竞争性谈判文件请携带单位介绍信原件</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经办人身份证原件及加盖供应商公章的复印件。</w:t>
      </w:r>
    </w:p>
    <w:bookmarkEnd w:id="25"/>
    <w:p w14:paraId="56D77B80">
      <w:pPr>
        <w:keepNext w:val="0"/>
        <w:keepLines w:val="0"/>
        <w:widowControl w:val="0"/>
        <w:numPr>
          <w:ilvl w:val="0"/>
          <w:numId w:val="2"/>
        </w:numPr>
        <w:suppressLineNumbers w:val="0"/>
        <w:spacing w:before="0" w:beforeAutospacing="0" w:after="0" w:afterAutospacing="0" w:line="360" w:lineRule="auto"/>
        <w:ind w:left="0" w:right="0" w:firstLine="482" w:firstLineChars="200"/>
        <w:jc w:val="both"/>
        <w:rPr>
          <w:b/>
          <w:bCs/>
          <w:sz w:val="24"/>
          <w:szCs w:val="32"/>
          <w:highlight w:val="none"/>
          <w:lang w:val="en-US"/>
        </w:rPr>
      </w:pPr>
      <w:r>
        <w:rPr>
          <w:rFonts w:hint="eastAsia" w:ascii="Times New Roman" w:hAnsi="Times New Roman" w:eastAsia="宋体" w:cs="宋体"/>
          <w:b/>
          <w:bCs/>
          <w:kern w:val="2"/>
          <w:sz w:val="24"/>
          <w:szCs w:val="32"/>
          <w:highlight w:val="none"/>
          <w:lang w:val="en-US" w:eastAsia="zh-CN" w:bidi="ar"/>
        </w:rPr>
        <w:t>八、对本次采购提出询问，请按以下方式联系。</w:t>
      </w:r>
    </w:p>
    <w:p w14:paraId="45E1EB4A">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default" w:ascii="Times New Roman" w:hAnsi="Times New Roman" w:eastAsia="宋体" w:cs="Times New Roman"/>
          <w:kern w:val="2"/>
          <w:sz w:val="24"/>
          <w:szCs w:val="32"/>
          <w:highlight w:val="none"/>
          <w:lang w:val="en-US" w:eastAsia="zh-CN" w:bidi="ar"/>
        </w:rPr>
        <w:t>1.</w:t>
      </w:r>
      <w:r>
        <w:rPr>
          <w:rFonts w:hint="eastAsia" w:ascii="Times New Roman" w:hAnsi="Times New Roman" w:eastAsia="宋体" w:cs="宋体"/>
          <w:kern w:val="2"/>
          <w:sz w:val="24"/>
          <w:szCs w:val="32"/>
          <w:highlight w:val="none"/>
          <w:lang w:val="en-US" w:eastAsia="zh-CN" w:bidi="ar"/>
        </w:rPr>
        <w:t>采购人信息</w:t>
      </w:r>
    </w:p>
    <w:p w14:paraId="3AA1DC49">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名称：</w:t>
      </w:r>
      <w:bookmarkStart w:id="26" w:name="OLE_LINK3"/>
      <w:r>
        <w:rPr>
          <w:rFonts w:hint="eastAsia" w:cs="宋体"/>
          <w:kern w:val="2"/>
          <w:sz w:val="24"/>
          <w:szCs w:val="32"/>
          <w:highlight w:val="none"/>
          <w:lang w:val="en-US" w:eastAsia="zh-CN" w:bidi="ar"/>
        </w:rPr>
        <w:t>黄陵县工业和煤炭局</w:t>
      </w:r>
    </w:p>
    <w:bookmarkEnd w:id="26"/>
    <w:p w14:paraId="17229EA2">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地址：</w:t>
      </w:r>
      <w:r>
        <w:rPr>
          <w:rFonts w:hint="eastAsia" w:cs="宋体"/>
          <w:kern w:val="2"/>
          <w:sz w:val="24"/>
          <w:szCs w:val="32"/>
          <w:highlight w:val="none"/>
          <w:lang w:val="en-US" w:eastAsia="zh-CN" w:bidi="ar"/>
        </w:rPr>
        <w:t>黄陵县黄花沟</w:t>
      </w:r>
    </w:p>
    <w:p w14:paraId="629BD480">
      <w:pPr>
        <w:keepNext w:val="0"/>
        <w:keepLines w:val="0"/>
        <w:widowControl w:val="0"/>
        <w:suppressLineNumbers w:val="0"/>
        <w:spacing w:before="0" w:beforeAutospacing="0" w:after="0" w:afterAutospacing="0" w:line="360" w:lineRule="auto"/>
        <w:ind w:left="0" w:right="0" w:firstLine="480" w:firstLineChars="200"/>
        <w:jc w:val="both"/>
        <w:rPr>
          <w:rFonts w:hint="default"/>
          <w:sz w:val="24"/>
          <w:szCs w:val="32"/>
          <w:highlight w:val="none"/>
          <w:lang w:val="en-US"/>
        </w:rPr>
      </w:pPr>
      <w:r>
        <w:rPr>
          <w:rFonts w:hint="eastAsia" w:ascii="Times New Roman" w:hAnsi="Times New Roman" w:eastAsia="宋体" w:cs="宋体"/>
          <w:kern w:val="2"/>
          <w:sz w:val="24"/>
          <w:szCs w:val="32"/>
          <w:highlight w:val="none"/>
          <w:lang w:val="en-US" w:eastAsia="zh-CN" w:bidi="ar"/>
        </w:rPr>
        <w:t>联系方式</w:t>
      </w:r>
      <w:r>
        <w:rPr>
          <w:rFonts w:hint="eastAsia" w:cs="宋体"/>
          <w:kern w:val="2"/>
          <w:sz w:val="24"/>
          <w:szCs w:val="32"/>
          <w:highlight w:val="none"/>
          <w:lang w:val="en-US" w:eastAsia="zh-CN" w:bidi="ar"/>
        </w:rPr>
        <w:t>：18691174605</w:t>
      </w:r>
    </w:p>
    <w:p w14:paraId="79AB29E5">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bookmarkStart w:id="27" w:name="OLE_LINK16"/>
      <w:r>
        <w:rPr>
          <w:rFonts w:hint="default" w:ascii="Times New Roman" w:hAnsi="Times New Roman" w:eastAsia="宋体" w:cs="Times New Roman"/>
          <w:kern w:val="2"/>
          <w:sz w:val="24"/>
          <w:szCs w:val="32"/>
          <w:highlight w:val="none"/>
          <w:lang w:val="en-US" w:eastAsia="zh-CN" w:bidi="ar"/>
        </w:rPr>
        <w:t>2.</w:t>
      </w:r>
      <w:r>
        <w:rPr>
          <w:rFonts w:hint="eastAsia" w:ascii="Times New Roman" w:hAnsi="Times New Roman" w:eastAsia="宋体" w:cs="宋体"/>
          <w:kern w:val="2"/>
          <w:sz w:val="24"/>
          <w:szCs w:val="32"/>
          <w:highlight w:val="none"/>
          <w:lang w:val="en-US" w:eastAsia="zh-CN" w:bidi="ar"/>
        </w:rPr>
        <w:t>采购代理机构信息</w:t>
      </w:r>
    </w:p>
    <w:p w14:paraId="3A0656AE">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名称：陕西中桓国际项目管理有限公司</w:t>
      </w:r>
    </w:p>
    <w:p w14:paraId="1FC0814A">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地址：</w:t>
      </w:r>
      <w:bookmarkStart w:id="28" w:name="OLE_LINK30"/>
      <w:r>
        <w:rPr>
          <w:rFonts w:hint="eastAsia" w:ascii="Times New Roman" w:hAnsi="Times New Roman" w:eastAsia="宋体" w:cs="宋体"/>
          <w:kern w:val="2"/>
          <w:sz w:val="24"/>
          <w:szCs w:val="32"/>
          <w:highlight w:val="none"/>
          <w:lang w:val="en-US" w:eastAsia="zh-CN" w:bidi="ar"/>
        </w:rPr>
        <w:t>陕西省西安市未央区凤城七路长和国际</w:t>
      </w:r>
      <w:r>
        <w:rPr>
          <w:rFonts w:hint="default" w:ascii="Times New Roman" w:hAnsi="Times New Roman" w:eastAsia="宋体" w:cs="Times New Roman"/>
          <w:kern w:val="2"/>
          <w:sz w:val="24"/>
          <w:szCs w:val="32"/>
          <w:highlight w:val="none"/>
          <w:lang w:val="en-US" w:eastAsia="zh-CN" w:bidi="ar"/>
        </w:rPr>
        <w:t>A</w:t>
      </w:r>
      <w:r>
        <w:rPr>
          <w:rFonts w:hint="eastAsia" w:ascii="Times New Roman" w:hAnsi="Times New Roman" w:eastAsia="宋体" w:cs="宋体"/>
          <w:kern w:val="2"/>
          <w:sz w:val="24"/>
          <w:szCs w:val="32"/>
          <w:highlight w:val="none"/>
          <w:lang w:val="en-US" w:eastAsia="zh-CN" w:bidi="ar"/>
        </w:rPr>
        <w:t>座</w:t>
      </w:r>
      <w:r>
        <w:rPr>
          <w:rFonts w:hint="default" w:ascii="Times New Roman" w:hAnsi="Times New Roman" w:eastAsia="宋体" w:cs="Times New Roman"/>
          <w:kern w:val="2"/>
          <w:sz w:val="24"/>
          <w:szCs w:val="32"/>
          <w:highlight w:val="none"/>
          <w:lang w:val="en-US" w:eastAsia="zh-CN" w:bidi="ar"/>
        </w:rPr>
        <w:t>25</w:t>
      </w:r>
      <w:r>
        <w:rPr>
          <w:rFonts w:hint="eastAsia" w:ascii="Times New Roman" w:hAnsi="Times New Roman" w:eastAsia="宋体" w:cs="宋体"/>
          <w:kern w:val="2"/>
          <w:sz w:val="24"/>
          <w:szCs w:val="32"/>
          <w:highlight w:val="none"/>
          <w:lang w:val="en-US" w:eastAsia="zh-CN" w:bidi="ar"/>
        </w:rPr>
        <w:t>层</w:t>
      </w:r>
      <w:bookmarkEnd w:id="28"/>
    </w:p>
    <w:p w14:paraId="3A6F894E">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联系方式：</w:t>
      </w:r>
      <w:bookmarkStart w:id="29" w:name="OLE_LINK31"/>
      <w:r>
        <w:rPr>
          <w:rFonts w:hint="eastAsia" w:cs="Times New Roman"/>
          <w:kern w:val="2"/>
          <w:sz w:val="24"/>
          <w:szCs w:val="32"/>
          <w:highlight w:val="none"/>
          <w:lang w:val="en-US" w:eastAsia="zh-CN" w:bidi="ar"/>
        </w:rPr>
        <w:t>18291188695</w:t>
      </w:r>
      <w:bookmarkEnd w:id="29"/>
    </w:p>
    <w:p w14:paraId="597404A0">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default" w:ascii="Times New Roman" w:hAnsi="Times New Roman" w:eastAsia="宋体" w:cs="Times New Roman"/>
          <w:kern w:val="2"/>
          <w:sz w:val="24"/>
          <w:szCs w:val="32"/>
          <w:highlight w:val="none"/>
          <w:lang w:val="en-US" w:eastAsia="zh-CN" w:bidi="ar"/>
        </w:rPr>
        <w:t>3.</w:t>
      </w:r>
      <w:r>
        <w:rPr>
          <w:rFonts w:hint="eastAsia" w:ascii="Times New Roman" w:hAnsi="Times New Roman" w:eastAsia="宋体" w:cs="宋体"/>
          <w:kern w:val="2"/>
          <w:sz w:val="24"/>
          <w:szCs w:val="32"/>
          <w:highlight w:val="none"/>
          <w:lang w:val="en-US" w:eastAsia="zh-CN" w:bidi="ar"/>
        </w:rPr>
        <w:t>项目联系方式</w:t>
      </w:r>
    </w:p>
    <w:p w14:paraId="0F7B1951">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项目联系人：</w:t>
      </w:r>
      <w:bookmarkStart w:id="30" w:name="OLE_LINK32"/>
      <w:r>
        <w:rPr>
          <w:rFonts w:hint="eastAsia" w:cs="宋体"/>
          <w:kern w:val="2"/>
          <w:sz w:val="24"/>
          <w:szCs w:val="32"/>
          <w:highlight w:val="none"/>
          <w:lang w:val="en-US" w:eastAsia="zh-CN" w:bidi="ar"/>
        </w:rPr>
        <w:t>张改霞</w:t>
      </w:r>
      <w:bookmarkEnd w:id="30"/>
    </w:p>
    <w:p w14:paraId="535AC30F">
      <w:pPr>
        <w:keepNext w:val="0"/>
        <w:keepLines w:val="0"/>
        <w:widowControl w:val="0"/>
        <w:suppressLineNumbers w:val="0"/>
        <w:spacing w:before="0" w:beforeAutospacing="0" w:after="0" w:afterAutospacing="0" w:line="360" w:lineRule="auto"/>
        <w:ind w:left="0" w:right="0" w:firstLine="480" w:firstLineChars="200"/>
        <w:jc w:val="both"/>
        <w:rPr>
          <w:sz w:val="24"/>
          <w:szCs w:val="32"/>
          <w:highlight w:val="none"/>
          <w:lang w:val="en-US"/>
        </w:rPr>
      </w:pPr>
      <w:r>
        <w:rPr>
          <w:rFonts w:hint="eastAsia" w:ascii="Times New Roman" w:hAnsi="Times New Roman" w:eastAsia="宋体" w:cs="宋体"/>
          <w:kern w:val="2"/>
          <w:sz w:val="24"/>
          <w:szCs w:val="32"/>
          <w:highlight w:val="none"/>
          <w:lang w:val="en-US" w:eastAsia="zh-CN" w:bidi="ar"/>
        </w:rPr>
        <w:t>电话：</w:t>
      </w:r>
      <w:r>
        <w:rPr>
          <w:rFonts w:hint="eastAsia" w:cs="Times New Roman"/>
          <w:kern w:val="2"/>
          <w:sz w:val="24"/>
          <w:szCs w:val="32"/>
          <w:highlight w:val="none"/>
          <w:lang w:val="en-US" w:eastAsia="zh-CN" w:bidi="ar"/>
        </w:rPr>
        <w:t>18291188695</w:t>
      </w:r>
    </w:p>
    <w:bookmarkEnd w:id="27"/>
    <w:p w14:paraId="761E32E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highlight w:val="none"/>
          <w:shd w:val="clear" w:fill="FFFFFF"/>
          <w:vertAlign w:val="baseline"/>
        </w:rPr>
      </w:pPr>
    </w:p>
    <w:p w14:paraId="053D20F5">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05D129">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供应商须知</w:t>
      </w:r>
      <w:bookmarkEnd w:id="6"/>
      <w:bookmarkEnd w:id="12"/>
      <w:bookmarkEnd w:id="13"/>
    </w:p>
    <w:p w14:paraId="15B41899">
      <w:pPr>
        <w:spacing w:afterLines="50" w:line="360" w:lineRule="auto"/>
        <w:jc w:val="center"/>
        <w:outlineLvl w:val="1"/>
        <w:rPr>
          <w:rFonts w:hint="eastAsia" w:ascii="宋体" w:hAnsi="宋体" w:eastAsia="宋体" w:cs="宋体"/>
          <w:b/>
          <w:kern w:val="0"/>
          <w:sz w:val="32"/>
          <w:szCs w:val="32"/>
          <w:highlight w:val="none"/>
        </w:rPr>
      </w:pPr>
      <w:bookmarkStart w:id="31" w:name="_Toc5265"/>
      <w:bookmarkStart w:id="32" w:name="_Toc425781308"/>
      <w:r>
        <w:rPr>
          <w:rFonts w:hint="eastAsia" w:ascii="宋体" w:hAnsi="宋体" w:eastAsia="宋体" w:cs="宋体"/>
          <w:b/>
          <w:kern w:val="0"/>
          <w:sz w:val="32"/>
          <w:szCs w:val="32"/>
          <w:highlight w:val="none"/>
        </w:rPr>
        <w:t>供应商须知前附表</w:t>
      </w:r>
      <w:bookmarkEnd w:id="2"/>
      <w:bookmarkEnd w:id="3"/>
      <w:bookmarkEnd w:id="4"/>
      <w:bookmarkEnd w:id="7"/>
      <w:bookmarkEnd w:id="31"/>
      <w:bookmarkEnd w:id="32"/>
    </w:p>
    <w:p w14:paraId="4CBA4676">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本表是对供应商须知的具体补充和修改，如有矛盾，应以本资料表为准。</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2"/>
        <w:gridCol w:w="1755"/>
        <w:gridCol w:w="6294"/>
      </w:tblGrid>
      <w:tr w14:paraId="190A6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723" w:type="pct"/>
            <w:noWrap/>
            <w:vAlign w:val="center"/>
          </w:tcPr>
          <w:p w14:paraId="40A13BDD">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932" w:type="pct"/>
            <w:noWrap/>
            <w:vAlign w:val="center"/>
          </w:tcPr>
          <w:p w14:paraId="2082CB3E">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条款内容提示</w:t>
            </w:r>
          </w:p>
        </w:tc>
        <w:tc>
          <w:tcPr>
            <w:tcW w:w="3343" w:type="pct"/>
            <w:noWrap/>
            <w:vAlign w:val="center"/>
          </w:tcPr>
          <w:p w14:paraId="6930860E">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14:paraId="7331E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723" w:type="pct"/>
            <w:noWrap/>
            <w:vAlign w:val="center"/>
          </w:tcPr>
          <w:p w14:paraId="56A279DA">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Cs/>
                <w:sz w:val="24"/>
                <w:szCs w:val="24"/>
                <w:highlight w:val="none"/>
              </w:rPr>
              <w:t>2.1</w:t>
            </w:r>
          </w:p>
        </w:tc>
        <w:tc>
          <w:tcPr>
            <w:tcW w:w="932" w:type="pct"/>
            <w:noWrap/>
            <w:vAlign w:val="center"/>
          </w:tcPr>
          <w:p w14:paraId="1F7FC857">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Cs/>
                <w:sz w:val="24"/>
                <w:szCs w:val="24"/>
                <w:highlight w:val="none"/>
              </w:rPr>
              <w:t>采购人</w:t>
            </w:r>
          </w:p>
        </w:tc>
        <w:tc>
          <w:tcPr>
            <w:tcW w:w="3343" w:type="pct"/>
            <w:noWrap/>
            <w:vAlign w:val="center"/>
          </w:tcPr>
          <w:p w14:paraId="55BC40B7">
            <w:pPr>
              <w:pStyle w:val="26"/>
              <w:keepNext w:val="0"/>
              <w:keepLines w:val="0"/>
              <w:widowControl/>
              <w:suppressLineNumbers w:val="0"/>
              <w:spacing w:before="0" w:beforeAutospacing="0" w:after="0" w:afterAutospacing="0" w:line="440" w:lineRule="exact"/>
              <w:ind w:left="0" w:right="0"/>
              <w:rPr>
                <w:szCs w:val="22"/>
                <w:highlight w:val="none"/>
                <w:lang w:val="en-US" w:eastAsia="zh-CN"/>
              </w:rPr>
            </w:pPr>
            <w:r>
              <w:rPr>
                <w:szCs w:val="22"/>
                <w:highlight w:val="none"/>
                <w:lang w:eastAsia="zh-CN"/>
              </w:rPr>
              <w:t>名称：</w:t>
            </w:r>
            <w:r>
              <w:rPr>
                <w:rFonts w:hint="eastAsia"/>
                <w:szCs w:val="22"/>
                <w:highlight w:val="none"/>
                <w:lang w:eastAsia="zh-CN"/>
              </w:rPr>
              <w:t>黄陵县工业和煤炭局</w:t>
            </w:r>
          </w:p>
          <w:p w14:paraId="3E0BAE29">
            <w:pPr>
              <w:pStyle w:val="26"/>
              <w:keepNext w:val="0"/>
              <w:keepLines w:val="0"/>
              <w:widowControl/>
              <w:suppressLineNumbers w:val="0"/>
              <w:spacing w:before="0" w:beforeAutospacing="0" w:after="0" w:afterAutospacing="0" w:line="440" w:lineRule="exact"/>
              <w:ind w:left="0" w:right="0"/>
              <w:rPr>
                <w:szCs w:val="22"/>
                <w:highlight w:val="none"/>
                <w:lang w:eastAsia="zh-CN"/>
              </w:rPr>
            </w:pPr>
            <w:r>
              <w:rPr>
                <w:szCs w:val="22"/>
                <w:highlight w:val="none"/>
                <w:lang w:eastAsia="zh-CN"/>
              </w:rPr>
              <w:t>地址：</w:t>
            </w:r>
            <w:r>
              <w:rPr>
                <w:rFonts w:hint="eastAsia"/>
                <w:szCs w:val="22"/>
                <w:highlight w:val="none"/>
                <w:lang w:eastAsia="zh-CN"/>
              </w:rPr>
              <w:t>黄陵县黄花沟</w:t>
            </w:r>
          </w:p>
          <w:p w14:paraId="2CAF4BC3">
            <w:pPr>
              <w:pStyle w:val="26"/>
              <w:keepNext w:val="0"/>
              <w:keepLines w:val="0"/>
              <w:widowControl/>
              <w:suppressLineNumbers w:val="0"/>
              <w:spacing w:before="0" w:beforeAutospacing="0" w:after="0" w:afterAutospacing="0" w:line="440" w:lineRule="exact"/>
              <w:ind w:left="0" w:right="0"/>
              <w:rPr>
                <w:rFonts w:hint="default"/>
                <w:szCs w:val="22"/>
                <w:highlight w:val="none"/>
                <w:lang w:val="en-US" w:eastAsia="zh-CN"/>
              </w:rPr>
            </w:pPr>
            <w:r>
              <w:rPr>
                <w:szCs w:val="22"/>
                <w:highlight w:val="none"/>
                <w:lang w:eastAsia="zh-CN"/>
              </w:rPr>
              <w:t>联系人：</w:t>
            </w:r>
            <w:r>
              <w:rPr>
                <w:rFonts w:hint="eastAsia"/>
                <w:szCs w:val="22"/>
                <w:highlight w:val="none"/>
                <w:lang w:val="en-US" w:eastAsia="zh-CN"/>
              </w:rPr>
              <w:t>张贺龙</w:t>
            </w:r>
          </w:p>
          <w:p w14:paraId="0A0660D1">
            <w:pPr>
              <w:pStyle w:val="26"/>
              <w:keepNext w:val="0"/>
              <w:keepLines w:val="0"/>
              <w:widowControl/>
              <w:suppressLineNumbers w:val="0"/>
              <w:spacing w:before="0" w:beforeAutospacing="0" w:after="0" w:afterAutospacing="0" w:line="440" w:lineRule="exact"/>
              <w:ind w:left="0" w:right="0"/>
              <w:rPr>
                <w:rFonts w:hint="default" w:ascii="宋体" w:hAnsi="宋体" w:eastAsia="宋体" w:cs="宋体"/>
                <w:sz w:val="24"/>
                <w:szCs w:val="24"/>
                <w:highlight w:val="none"/>
                <w:lang w:val="en-US"/>
              </w:rPr>
            </w:pPr>
            <w:r>
              <w:rPr>
                <w:rFonts w:hint="eastAsia"/>
                <w:szCs w:val="22"/>
                <w:highlight w:val="none"/>
                <w:lang w:val="en-US" w:eastAsia="zh-CN"/>
              </w:rPr>
              <w:t>电话：18691174605</w:t>
            </w:r>
          </w:p>
        </w:tc>
      </w:tr>
      <w:tr w14:paraId="73E06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723" w:type="pct"/>
            <w:noWrap/>
            <w:vAlign w:val="center"/>
          </w:tcPr>
          <w:p w14:paraId="429D1E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932" w:type="pct"/>
            <w:noWrap/>
            <w:vAlign w:val="center"/>
          </w:tcPr>
          <w:p w14:paraId="318CC7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3343" w:type="pct"/>
            <w:noWrap/>
            <w:vAlign w:val="center"/>
          </w:tcPr>
          <w:p w14:paraId="4B72F2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名称：陕西中桓国际项目管理有限公司</w:t>
            </w:r>
          </w:p>
          <w:p w14:paraId="767BD8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地址：</w:t>
            </w:r>
            <w:r>
              <w:rPr>
                <w:rFonts w:hint="eastAsia" w:ascii="Times New Roman" w:hAnsi="Times New Roman" w:eastAsia="宋体" w:cs="宋体"/>
                <w:kern w:val="2"/>
                <w:sz w:val="24"/>
                <w:szCs w:val="32"/>
                <w:highlight w:val="none"/>
                <w:lang w:val="en-US" w:eastAsia="zh-CN" w:bidi="ar"/>
              </w:rPr>
              <w:t>陕西省西安市未央区凤城七路长和国际</w:t>
            </w:r>
            <w:r>
              <w:rPr>
                <w:rFonts w:hint="default" w:ascii="Times New Roman" w:hAnsi="Times New Roman" w:eastAsia="宋体" w:cs="Times New Roman"/>
                <w:kern w:val="2"/>
                <w:sz w:val="24"/>
                <w:szCs w:val="32"/>
                <w:highlight w:val="none"/>
                <w:lang w:val="en-US" w:eastAsia="zh-CN" w:bidi="ar"/>
              </w:rPr>
              <w:t>A</w:t>
            </w:r>
            <w:r>
              <w:rPr>
                <w:rFonts w:hint="eastAsia" w:ascii="Times New Roman" w:hAnsi="Times New Roman" w:eastAsia="宋体" w:cs="宋体"/>
                <w:kern w:val="2"/>
                <w:sz w:val="24"/>
                <w:szCs w:val="32"/>
                <w:highlight w:val="none"/>
                <w:lang w:val="en-US" w:eastAsia="zh-CN" w:bidi="ar"/>
              </w:rPr>
              <w:t>座</w:t>
            </w:r>
            <w:r>
              <w:rPr>
                <w:rFonts w:hint="default" w:ascii="Times New Roman" w:hAnsi="Times New Roman" w:eastAsia="宋体" w:cs="Times New Roman"/>
                <w:kern w:val="2"/>
                <w:sz w:val="24"/>
                <w:szCs w:val="32"/>
                <w:highlight w:val="none"/>
                <w:lang w:val="en-US" w:eastAsia="zh-CN" w:bidi="ar"/>
              </w:rPr>
              <w:t>25</w:t>
            </w:r>
            <w:r>
              <w:rPr>
                <w:rFonts w:hint="eastAsia" w:ascii="Times New Roman" w:hAnsi="Times New Roman" w:eastAsia="宋体" w:cs="宋体"/>
                <w:kern w:val="2"/>
                <w:sz w:val="24"/>
                <w:szCs w:val="32"/>
                <w:highlight w:val="none"/>
                <w:lang w:val="en-US" w:eastAsia="zh-CN" w:bidi="ar"/>
              </w:rPr>
              <w:t>层</w:t>
            </w:r>
          </w:p>
          <w:p w14:paraId="7C1037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联系人：</w:t>
            </w:r>
            <w:r>
              <w:rPr>
                <w:rFonts w:hint="eastAsia" w:ascii="宋体" w:hAnsi="宋体" w:cs="宋体"/>
                <w:kern w:val="2"/>
                <w:sz w:val="24"/>
                <w:szCs w:val="24"/>
                <w:highlight w:val="none"/>
                <w:lang w:val="en-US" w:eastAsia="zh-CN" w:bidi="ar"/>
              </w:rPr>
              <w:t>张改霞</w:t>
            </w:r>
          </w:p>
          <w:p w14:paraId="6F61904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电话：</w:t>
            </w:r>
            <w:r>
              <w:rPr>
                <w:rFonts w:hint="eastAsia" w:ascii="宋体" w:hAnsi="宋体" w:cs="宋体"/>
                <w:kern w:val="2"/>
                <w:sz w:val="24"/>
                <w:szCs w:val="24"/>
                <w:highlight w:val="none"/>
                <w:lang w:val="en-US" w:eastAsia="zh-CN" w:bidi="ar"/>
              </w:rPr>
              <w:t>18291188695</w:t>
            </w:r>
          </w:p>
        </w:tc>
      </w:tr>
      <w:tr w14:paraId="16AA6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723" w:type="pct"/>
            <w:noWrap/>
            <w:vAlign w:val="center"/>
          </w:tcPr>
          <w:p w14:paraId="6F28D5E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932" w:type="pct"/>
            <w:noWrap/>
            <w:vAlign w:val="center"/>
          </w:tcPr>
          <w:p w14:paraId="219496B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联合体谈判</w:t>
            </w:r>
          </w:p>
        </w:tc>
        <w:tc>
          <w:tcPr>
            <w:tcW w:w="3343" w:type="pct"/>
            <w:noWrap/>
            <w:vAlign w:val="center"/>
          </w:tcPr>
          <w:p w14:paraId="247A041F">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本项目不接受联合体谈判。</w:t>
            </w:r>
          </w:p>
        </w:tc>
      </w:tr>
      <w:tr w14:paraId="5E817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23" w:type="pct"/>
            <w:noWrap/>
            <w:vAlign w:val="center"/>
          </w:tcPr>
          <w:p w14:paraId="6B50CB3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6.2</w:t>
            </w:r>
          </w:p>
        </w:tc>
        <w:tc>
          <w:tcPr>
            <w:tcW w:w="932" w:type="pct"/>
            <w:noWrap/>
            <w:vAlign w:val="center"/>
          </w:tcPr>
          <w:p w14:paraId="3766665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谈判内容的实质性响应要求</w:t>
            </w:r>
          </w:p>
        </w:tc>
        <w:tc>
          <w:tcPr>
            <w:tcW w:w="3343" w:type="pct"/>
            <w:noWrap/>
            <w:vAlign w:val="center"/>
          </w:tcPr>
          <w:p w14:paraId="23A219E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谈判文件第三章“合同条款及格式”和第四章“竞争性谈判内容及服务要求”为不允许偏离的技术和商务的实质性要求和条件，不满足实质性要求和条件的投标为无效响应文件。</w:t>
            </w:r>
          </w:p>
        </w:tc>
      </w:tr>
      <w:tr w14:paraId="2A91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723" w:type="pct"/>
            <w:noWrap/>
            <w:vAlign w:val="center"/>
          </w:tcPr>
          <w:p w14:paraId="69B2DBD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932" w:type="pct"/>
            <w:noWrap/>
            <w:vAlign w:val="center"/>
          </w:tcPr>
          <w:p w14:paraId="15E53F1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是否允许备选方案</w:t>
            </w:r>
          </w:p>
        </w:tc>
        <w:tc>
          <w:tcPr>
            <w:tcW w:w="3343" w:type="pct"/>
            <w:noWrap/>
            <w:vAlign w:val="center"/>
          </w:tcPr>
          <w:p w14:paraId="1A020FD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36C8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723" w:type="pct"/>
            <w:noWrap/>
            <w:vAlign w:val="center"/>
          </w:tcPr>
          <w:p w14:paraId="652DD47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10.3</w:t>
            </w:r>
          </w:p>
        </w:tc>
        <w:tc>
          <w:tcPr>
            <w:tcW w:w="932" w:type="pct"/>
            <w:noWrap/>
            <w:vAlign w:val="center"/>
          </w:tcPr>
          <w:p w14:paraId="7F80EFA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本次谈判的最小单元</w:t>
            </w:r>
          </w:p>
        </w:tc>
        <w:tc>
          <w:tcPr>
            <w:tcW w:w="3343" w:type="pct"/>
            <w:noWrap/>
          </w:tcPr>
          <w:p w14:paraId="5543AB6B">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本次谈判的最小单元为“项目全部内容”。任何不完全的响应将按照无效文件处理。</w:t>
            </w:r>
          </w:p>
        </w:tc>
      </w:tr>
      <w:tr w14:paraId="48F96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22" w:hRule="atLeast"/>
          <w:jc w:val="center"/>
        </w:trPr>
        <w:tc>
          <w:tcPr>
            <w:tcW w:w="723" w:type="pct"/>
            <w:tcBorders>
              <w:bottom w:val="single" w:color="auto" w:sz="4" w:space="0"/>
            </w:tcBorders>
            <w:noWrap/>
            <w:vAlign w:val="center"/>
          </w:tcPr>
          <w:p w14:paraId="2C07DE3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932" w:type="pct"/>
            <w:tcBorders>
              <w:bottom w:val="single" w:color="auto" w:sz="4" w:space="0"/>
            </w:tcBorders>
            <w:noWrap/>
            <w:vAlign w:val="center"/>
          </w:tcPr>
          <w:p w14:paraId="1F4F1A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2"/>
                <w:highlight w:val="none"/>
              </w:rPr>
            </w:pPr>
            <w:r>
              <w:rPr>
                <w:rFonts w:hint="eastAsia" w:ascii="宋体" w:hAnsi="宋体" w:eastAsia="宋体" w:cs="宋体"/>
                <w:sz w:val="24"/>
                <w:szCs w:val="24"/>
                <w:highlight w:val="none"/>
              </w:rPr>
              <w:t>谈判报价</w:t>
            </w:r>
          </w:p>
        </w:tc>
        <w:tc>
          <w:tcPr>
            <w:tcW w:w="3343" w:type="pct"/>
            <w:tcBorders>
              <w:bottom w:val="single" w:color="auto" w:sz="4" w:space="0"/>
            </w:tcBorders>
            <w:noWrap/>
          </w:tcPr>
          <w:p w14:paraId="16410B1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报价是供应商为完成本项目要求的全部谈判内容最终价格的体现。供应商所报的价格应考虑到可能发生的所有与完成本项目相关服务及履行合同义务有关的一切费用。任何有选择的报价将不予接受，按无效谈判处理。</w:t>
            </w:r>
          </w:p>
        </w:tc>
      </w:tr>
      <w:tr w14:paraId="49CBA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23" w:type="pct"/>
            <w:tcBorders>
              <w:top w:val="single" w:color="auto" w:sz="4" w:space="0"/>
              <w:bottom w:val="single" w:color="auto" w:sz="4" w:space="0"/>
            </w:tcBorders>
            <w:noWrap/>
            <w:vAlign w:val="center"/>
          </w:tcPr>
          <w:p w14:paraId="544136F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932" w:type="pct"/>
            <w:tcBorders>
              <w:top w:val="single" w:color="auto" w:sz="4" w:space="0"/>
              <w:bottom w:val="single" w:color="auto" w:sz="4" w:space="0"/>
            </w:tcBorders>
            <w:noWrap/>
            <w:vAlign w:val="center"/>
          </w:tcPr>
          <w:p w14:paraId="58AE4E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供应商资格证明文件</w:t>
            </w:r>
          </w:p>
        </w:tc>
        <w:tc>
          <w:tcPr>
            <w:tcW w:w="3343" w:type="pct"/>
            <w:tcBorders>
              <w:top w:val="single" w:color="auto" w:sz="4" w:space="0"/>
              <w:bottom w:val="single" w:color="auto" w:sz="4" w:space="0"/>
            </w:tcBorders>
            <w:noWrap/>
          </w:tcPr>
          <w:p w14:paraId="5D2ABE6B">
            <w:pPr>
              <w:pStyle w:val="12"/>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rPr>
              <w:t>基本资格条件：</w:t>
            </w:r>
            <w:r>
              <w:rPr>
                <w:rFonts w:hint="eastAsia" w:ascii="宋体" w:hAnsi="宋体" w:eastAsia="宋体" w:cs="宋体"/>
                <w:sz w:val="24"/>
                <w:szCs w:val="24"/>
                <w:highlight w:val="none"/>
              </w:rPr>
              <w:t>满足《中华人民共和国政府采购法》第二十二条规定。</w:t>
            </w:r>
          </w:p>
          <w:p w14:paraId="78A764E9">
            <w:pPr>
              <w:pStyle w:val="12"/>
              <w:keepNext w:val="0"/>
              <w:keepLines w:val="0"/>
              <w:suppressLineNumbers w:val="0"/>
              <w:spacing w:before="0" w:beforeAutospacing="0" w:after="0" w:afterAutospacing="0" w:line="360" w:lineRule="auto"/>
              <w:ind w:left="0" w:right="0"/>
              <w:rPr>
                <w:rFonts w:hint="eastAsia" w:ascii="宋体" w:hAnsi="宋体" w:eastAsia="宋体" w:cs="宋体"/>
                <w:b/>
                <w:bCs/>
                <w:szCs w:val="22"/>
                <w:highlight w:val="none"/>
              </w:rPr>
            </w:pPr>
            <w:r>
              <w:rPr>
                <w:rFonts w:hint="eastAsia" w:ascii="宋体" w:hAnsi="宋体" w:eastAsia="宋体" w:cs="宋体"/>
                <w:b/>
                <w:bCs/>
                <w:sz w:val="24"/>
                <w:szCs w:val="24"/>
                <w:highlight w:val="none"/>
              </w:rPr>
              <w:t>（2）特定资格条件：</w:t>
            </w:r>
          </w:p>
          <w:p w14:paraId="05C00DA0">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w:t>
            </w:r>
            <w:r>
              <w:rPr>
                <w:rFonts w:hint="eastAsia" w:ascii="宋体" w:hAnsi="宋体" w:eastAsia="宋体" w:cs="宋体"/>
                <w:i w:val="0"/>
                <w:iCs w:val="0"/>
                <w:caps w:val="0"/>
                <w:color w:val="333333"/>
                <w:spacing w:val="0"/>
                <w:sz w:val="24"/>
                <w:szCs w:val="24"/>
                <w:highlight w:val="none"/>
                <w:shd w:val="clear" w:fill="FFFFFF"/>
                <w:vertAlign w:val="baseline"/>
              </w:rPr>
              <w:t>供应商须具有独立承担民事责任的能力，提供营业执照、税务登记证、组织结构代码证或登载有统一社会信用代码的营业执照（或《事业单位法人证书》或其他合法组织登记证书、自然人只须提交身份证）；</w:t>
            </w:r>
          </w:p>
          <w:p w14:paraId="0CB0B580">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w:t>
            </w:r>
            <w:r>
              <w:rPr>
                <w:rFonts w:hint="eastAsia" w:ascii="宋体" w:hAnsi="宋体" w:eastAsia="宋体" w:cs="宋体"/>
                <w:i w:val="0"/>
                <w:iCs w:val="0"/>
                <w:caps w:val="0"/>
                <w:color w:val="333333"/>
                <w:spacing w:val="0"/>
                <w:sz w:val="24"/>
                <w:szCs w:val="24"/>
                <w:highlight w:val="none"/>
                <w:shd w:val="clear" w:fill="FFFFFF"/>
                <w:vertAlign w:val="baseline"/>
              </w:rPr>
              <w:t>法定代表人授权书（附法定代表人、被授权人身份证复印件）及被授权人身份证（法定代表人直接参加谈判，须提供法定代表人身份证明及身份证原件）；</w:t>
            </w:r>
          </w:p>
          <w:p w14:paraId="70FBCBA3">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cs="宋体"/>
                <w:i w:val="0"/>
                <w:iCs w:val="0"/>
                <w:caps w:val="0"/>
                <w:color w:val="auto"/>
                <w:spacing w:val="0"/>
                <w:sz w:val="24"/>
                <w:szCs w:val="24"/>
                <w:highlight w:val="none"/>
                <w:shd w:val="clear" w:fill="FFFFFF"/>
                <w:vertAlign w:val="baseline"/>
                <w:lang w:eastAsia="zh-CN"/>
              </w:rPr>
              <w:t>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w:t>
            </w:r>
            <w:r>
              <w:rPr>
                <w:rFonts w:hint="eastAsia" w:ascii="宋体" w:hAnsi="宋体" w:cs="宋体"/>
                <w:i w:val="0"/>
                <w:iCs w:val="0"/>
                <w:caps w:val="0"/>
                <w:color w:val="333333"/>
                <w:spacing w:val="0"/>
                <w:sz w:val="24"/>
                <w:szCs w:val="24"/>
                <w:highlight w:val="none"/>
                <w:shd w:val="clear" w:fill="FFFFFF"/>
                <w:vertAlign w:val="baseline"/>
                <w:lang w:eastAsia="zh-CN"/>
              </w:rPr>
              <w:t>证明文件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5BEA9F48">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提供谈判响应文件递交截止日前一年内已缴存的至少一个月的社会保障资金缴存单据或社保机构开具的社会保险参保缴费情况证明，依法不需要缴纳社会保障资金的单位应提供相关证明材料；</w:t>
            </w:r>
          </w:p>
          <w:p w14:paraId="7DD9868A">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5</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sz w:val="24"/>
                <w:szCs w:val="24"/>
                <w:highlight w:val="none"/>
                <w:shd w:val="clear" w:fill="FFFFFF"/>
                <w:vertAlign w:val="baseline"/>
                <w:lang w:eastAsia="zh-CN"/>
              </w:rPr>
              <w:t>提供2023年度或2024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附《基本存款账户信息》或《银行开户许可证》复印件）。</w:t>
            </w:r>
          </w:p>
          <w:p w14:paraId="344ACED5">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参加政府活动近三年内，在经营活动中无重大违法记录的书面声明；</w:t>
            </w:r>
          </w:p>
          <w:p w14:paraId="2492154D">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051F5B1A">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单位负责人为同一人或者存在直接控股、管理关系的不同供应商，不得参加同一合同项下的政府采购活动。</w:t>
            </w:r>
          </w:p>
          <w:p w14:paraId="47994DF3">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本项目为专门面向中小企业采购的采购项目。 </w:t>
            </w:r>
          </w:p>
          <w:p w14:paraId="2D8FC1B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sz w:val="24"/>
                <w:szCs w:val="24"/>
                <w:highlight w:val="none"/>
              </w:rPr>
              <w:t>以上为必备资格要求，缺一项或某项达不到要求，按无效谈判处理。除法定代表人授权书需将原件装订在响应文件正本中外，其他所有资质证件的复印件必须加盖单位公章附在响应文件中</w:t>
            </w:r>
            <w:r>
              <w:rPr>
                <w:rFonts w:hint="eastAsia" w:ascii="宋体" w:hAnsi="宋体" w:eastAsia="宋体" w:cs="宋体"/>
                <w:sz w:val="24"/>
                <w:szCs w:val="24"/>
                <w:highlight w:val="none"/>
              </w:rPr>
              <w:t>。</w:t>
            </w:r>
          </w:p>
        </w:tc>
      </w:tr>
      <w:tr w14:paraId="5BF98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6" w:hRule="atLeast"/>
          <w:jc w:val="center"/>
        </w:trPr>
        <w:tc>
          <w:tcPr>
            <w:tcW w:w="723" w:type="pct"/>
            <w:tcBorders>
              <w:top w:val="single" w:color="auto" w:sz="4" w:space="0"/>
              <w:bottom w:val="single" w:color="auto" w:sz="4" w:space="0"/>
            </w:tcBorders>
            <w:noWrap/>
            <w:vAlign w:val="center"/>
          </w:tcPr>
          <w:p w14:paraId="6359FDA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15.1</w:t>
            </w:r>
          </w:p>
        </w:tc>
        <w:tc>
          <w:tcPr>
            <w:tcW w:w="932" w:type="pct"/>
            <w:tcBorders>
              <w:top w:val="single" w:color="auto" w:sz="4" w:space="0"/>
              <w:bottom w:val="single" w:color="auto" w:sz="4" w:space="0"/>
            </w:tcBorders>
            <w:noWrap/>
            <w:vAlign w:val="center"/>
          </w:tcPr>
          <w:p w14:paraId="5D46848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谈判保证金</w:t>
            </w:r>
          </w:p>
        </w:tc>
        <w:tc>
          <w:tcPr>
            <w:tcW w:w="3343" w:type="pct"/>
            <w:tcBorders>
              <w:top w:val="single" w:color="auto" w:sz="4" w:space="0"/>
              <w:bottom w:val="single" w:color="auto" w:sz="4" w:space="0"/>
            </w:tcBorders>
            <w:noWrap/>
          </w:tcPr>
          <w:p w14:paraId="2AB8C30D">
            <w:pPr>
              <w:keepNext w:val="0"/>
              <w:keepLines w:val="0"/>
              <w:suppressLineNumbers w:val="0"/>
              <w:spacing w:before="0" w:beforeAutospacing="0" w:after="0" w:afterAutospacing="0" w:line="720" w:lineRule="auto"/>
              <w:ind w:left="0" w:right="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本项目免收投标保证金</w:t>
            </w:r>
          </w:p>
        </w:tc>
      </w:tr>
      <w:tr w14:paraId="461E0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723" w:type="pct"/>
            <w:tcBorders>
              <w:top w:val="single" w:color="auto" w:sz="4" w:space="0"/>
              <w:bottom w:val="single" w:color="auto" w:sz="4" w:space="0"/>
            </w:tcBorders>
            <w:noWrap/>
            <w:vAlign w:val="center"/>
          </w:tcPr>
          <w:p w14:paraId="4933595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932" w:type="pct"/>
            <w:tcBorders>
              <w:top w:val="single" w:color="auto" w:sz="4" w:space="0"/>
              <w:bottom w:val="single" w:color="auto" w:sz="4" w:space="0"/>
            </w:tcBorders>
            <w:noWrap/>
            <w:vAlign w:val="center"/>
          </w:tcPr>
          <w:p w14:paraId="206853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谈判有效期</w:t>
            </w:r>
          </w:p>
        </w:tc>
        <w:tc>
          <w:tcPr>
            <w:tcW w:w="3343" w:type="pct"/>
            <w:tcBorders>
              <w:top w:val="single" w:color="auto" w:sz="4" w:space="0"/>
              <w:bottom w:val="single" w:color="auto" w:sz="4" w:space="0"/>
            </w:tcBorders>
            <w:noWrap/>
            <w:vAlign w:val="center"/>
          </w:tcPr>
          <w:p w14:paraId="7493822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谈判响应文件的递交截止之日起90天。</w:t>
            </w:r>
          </w:p>
        </w:tc>
      </w:tr>
      <w:tr w14:paraId="64A22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723" w:type="pct"/>
            <w:noWrap/>
            <w:vAlign w:val="center"/>
          </w:tcPr>
          <w:p w14:paraId="0E7C26D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932" w:type="pct"/>
            <w:noWrap/>
            <w:vAlign w:val="center"/>
          </w:tcPr>
          <w:p w14:paraId="5D205E6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谈判响应文件的份数及要求</w:t>
            </w:r>
          </w:p>
        </w:tc>
        <w:tc>
          <w:tcPr>
            <w:tcW w:w="3343" w:type="pct"/>
            <w:noWrap/>
            <w:vAlign w:val="center"/>
          </w:tcPr>
          <w:p w14:paraId="72FBB66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正本的份数：壹份；</w:t>
            </w:r>
          </w:p>
          <w:p w14:paraId="769A7BC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副本的份数：贰份；</w:t>
            </w:r>
          </w:p>
          <w:p w14:paraId="061425C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kern w:val="2"/>
                <w:sz w:val="24"/>
                <w:szCs w:val="24"/>
                <w:highlight w:val="none"/>
                <w:lang w:val="en-US" w:eastAsia="zh-CN" w:bidi="ar"/>
              </w:rPr>
              <w:t>谈判</w:t>
            </w:r>
            <w:r>
              <w:rPr>
                <w:rFonts w:hint="eastAsia" w:ascii="宋体" w:hAnsi="宋体" w:eastAsia="宋体" w:cs="宋体"/>
                <w:color w:val="000000" w:themeColor="text1"/>
                <w:sz w:val="24"/>
                <w:szCs w:val="24"/>
                <w:highlight w:val="none"/>
              </w:rPr>
              <w:t>报价一览表：壹份；</w:t>
            </w:r>
          </w:p>
          <w:p w14:paraId="3BDDBCBB">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电子版（U盘）：贰份（需在盘面上标注供应商全称）。</w:t>
            </w:r>
          </w:p>
          <w:p w14:paraId="54E77D9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电子版包括：word版谈判响应文件；</w:t>
            </w:r>
          </w:p>
        </w:tc>
      </w:tr>
      <w:tr w14:paraId="3C6E1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723" w:type="pct"/>
            <w:noWrap/>
            <w:vAlign w:val="center"/>
          </w:tcPr>
          <w:p w14:paraId="2C05B43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932" w:type="pct"/>
            <w:noWrap/>
            <w:vAlign w:val="center"/>
          </w:tcPr>
          <w:p w14:paraId="54EF6C7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谈判响应文件的密封和标记</w:t>
            </w:r>
          </w:p>
        </w:tc>
        <w:tc>
          <w:tcPr>
            <w:tcW w:w="3343" w:type="pct"/>
            <w:noWrap/>
            <w:vAlign w:val="center"/>
          </w:tcPr>
          <w:p w14:paraId="3D087B3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1、密封包装方式：</w:t>
            </w:r>
          </w:p>
          <w:p w14:paraId="7529DE8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供应商应将谈判响应文件正本、所有副本、电子版本、</w:t>
            </w:r>
            <w:r>
              <w:rPr>
                <w:rFonts w:hint="eastAsia" w:ascii="宋体" w:hAnsi="宋体" w:eastAsia="宋体" w:cs="宋体"/>
                <w:color w:val="000000"/>
                <w:kern w:val="2"/>
                <w:sz w:val="24"/>
                <w:szCs w:val="24"/>
                <w:highlight w:val="none"/>
                <w:lang w:val="en-US" w:eastAsia="zh-CN" w:bidi="ar"/>
              </w:rPr>
              <w:t>谈判</w:t>
            </w:r>
            <w:r>
              <w:rPr>
                <w:rFonts w:hint="eastAsia" w:ascii="宋体" w:hAnsi="宋体" w:eastAsia="宋体" w:cs="宋体"/>
                <w:color w:val="000000" w:themeColor="text1"/>
                <w:sz w:val="24"/>
                <w:szCs w:val="24"/>
                <w:highlight w:val="none"/>
              </w:rPr>
              <w:t>报价一览表分别单独密封在封袋中（封袋不得有破损），封袋应加贴封条，并在封线处加盖供应商公章。</w:t>
            </w:r>
          </w:p>
          <w:p w14:paraId="5CA35484">
            <w:pPr>
              <w:pStyle w:val="12"/>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2、外层包装请按以下要求标记：</w:t>
            </w:r>
          </w:p>
          <w:p w14:paraId="4E7D1AF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（1）供应商名称；</w:t>
            </w:r>
          </w:p>
          <w:p w14:paraId="3812F88D">
            <w:pPr>
              <w:pStyle w:val="12"/>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（2）采购项目名称、采购项目编号；</w:t>
            </w:r>
          </w:p>
          <w:p w14:paraId="2D38354A">
            <w:pPr>
              <w:pStyle w:val="12"/>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（3）“正本”、“副本”、“电子版本”、“</w:t>
            </w:r>
            <w:r>
              <w:rPr>
                <w:rFonts w:hint="eastAsia" w:ascii="宋体" w:hAnsi="宋体" w:eastAsia="宋体" w:cs="宋体"/>
                <w:color w:val="000000"/>
                <w:kern w:val="2"/>
                <w:sz w:val="24"/>
                <w:szCs w:val="24"/>
                <w:highlight w:val="none"/>
                <w:lang w:val="en-US" w:eastAsia="zh-CN" w:bidi="ar"/>
              </w:rPr>
              <w:t>谈判</w:t>
            </w:r>
            <w:r>
              <w:rPr>
                <w:rFonts w:hint="eastAsia" w:ascii="宋体" w:hAnsi="宋体" w:eastAsia="宋体" w:cs="宋体"/>
                <w:color w:val="000000" w:themeColor="text1"/>
                <w:sz w:val="24"/>
                <w:szCs w:val="24"/>
                <w:highlight w:val="none"/>
              </w:rPr>
              <w:t>报价一览表”字样，密封处应加盖供应商公章。“请勿在＿＿＿＿(谈判时间)之前启封”字样。</w:t>
            </w:r>
          </w:p>
        </w:tc>
      </w:tr>
      <w:tr w14:paraId="72BE6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72409B8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932" w:type="pct"/>
            <w:noWrap/>
            <w:vAlign w:val="center"/>
          </w:tcPr>
          <w:p w14:paraId="4AB082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谈判响应文件的递交</w:t>
            </w:r>
          </w:p>
        </w:tc>
        <w:tc>
          <w:tcPr>
            <w:tcW w:w="3343" w:type="pct"/>
            <w:noWrap/>
            <w:vAlign w:val="center"/>
          </w:tcPr>
          <w:p w14:paraId="1E60F9C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谈判响应文件递交截止时间：详见竞争性谈判公告。</w:t>
            </w:r>
          </w:p>
          <w:p w14:paraId="2C7AA2D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4"/>
                <w:szCs w:val="24"/>
                <w:highlight w:val="none"/>
              </w:rPr>
            </w:pPr>
            <w:r>
              <w:rPr>
                <w:rFonts w:hint="eastAsia" w:ascii="宋体" w:hAnsi="宋体" w:eastAsia="宋体" w:cs="宋体"/>
                <w:color w:val="000000" w:themeColor="text1"/>
                <w:sz w:val="24"/>
                <w:szCs w:val="24"/>
                <w:highlight w:val="none"/>
              </w:rPr>
              <w:t>谈判响应文件递交地址：详见竞争性谈判公告。</w:t>
            </w:r>
          </w:p>
          <w:p w14:paraId="643266D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谈判响应文件接收人：陕西中桓国际项目管理有限公司</w:t>
            </w:r>
          </w:p>
        </w:tc>
      </w:tr>
      <w:tr w14:paraId="1AA25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723" w:type="pct"/>
            <w:noWrap/>
            <w:vAlign w:val="center"/>
          </w:tcPr>
          <w:p w14:paraId="412F27B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932" w:type="pct"/>
            <w:noWrap/>
            <w:vAlign w:val="center"/>
          </w:tcPr>
          <w:p w14:paraId="0C27C88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谈判时间和地点</w:t>
            </w:r>
          </w:p>
        </w:tc>
        <w:tc>
          <w:tcPr>
            <w:tcW w:w="3343" w:type="pct"/>
            <w:noWrap/>
            <w:vAlign w:val="center"/>
          </w:tcPr>
          <w:p w14:paraId="55F715AC">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谈判时间：详见竞争性谈判公告。</w:t>
            </w:r>
          </w:p>
          <w:p w14:paraId="66B8EC85">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谈判地点：详见竞争性谈判公告。</w:t>
            </w:r>
          </w:p>
        </w:tc>
      </w:tr>
      <w:tr w14:paraId="59A32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23" w:type="pct"/>
            <w:noWrap/>
            <w:vAlign w:val="center"/>
          </w:tcPr>
          <w:p w14:paraId="3C630A7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25.1</w:t>
            </w:r>
          </w:p>
        </w:tc>
        <w:tc>
          <w:tcPr>
            <w:tcW w:w="932" w:type="pct"/>
            <w:noWrap/>
            <w:vAlign w:val="center"/>
          </w:tcPr>
          <w:p w14:paraId="6DA9461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评审方法</w:t>
            </w:r>
          </w:p>
        </w:tc>
        <w:tc>
          <w:tcPr>
            <w:tcW w:w="3343" w:type="pct"/>
            <w:noWrap/>
            <w:vAlign w:val="center"/>
          </w:tcPr>
          <w:p w14:paraId="5EA8AA1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评审方法：最低评标价法 （详见第五章）。</w:t>
            </w:r>
          </w:p>
        </w:tc>
      </w:tr>
      <w:tr w14:paraId="3AE51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3D74C05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932" w:type="pct"/>
            <w:noWrap/>
            <w:vAlign w:val="center"/>
          </w:tcPr>
          <w:p w14:paraId="02C4515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招标代理服务费</w:t>
            </w:r>
          </w:p>
        </w:tc>
        <w:tc>
          <w:tcPr>
            <w:tcW w:w="3343" w:type="pct"/>
            <w:noWrap/>
            <w:vAlign w:val="center"/>
          </w:tcPr>
          <w:p w14:paraId="6FE52F6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参照</w:t>
            </w:r>
            <w:r>
              <w:rPr>
                <w:rFonts w:hint="eastAsia" w:ascii="宋体" w:hAnsi="宋体" w:eastAsia="宋体" w:cs="宋体"/>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14:paraId="1371333B">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20"/>
                <w:sz w:val="24"/>
                <w:szCs w:val="24"/>
                <w:highlight w:val="none"/>
              </w:rPr>
            </w:pPr>
            <w:r>
              <w:rPr>
                <w:rFonts w:hint="eastAsia" w:ascii="宋体" w:hAnsi="宋体" w:eastAsia="宋体" w:cs="宋体"/>
                <w:sz w:val="24"/>
                <w:szCs w:val="24"/>
                <w:highlight w:val="none"/>
              </w:rPr>
              <w:t>2</w:t>
            </w:r>
            <w:bookmarkStart w:id="33" w:name="OLE_LINK17"/>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在招标工作结束后，须向招标代理机构一次性支付招标代理服务费。</w:t>
            </w:r>
            <w:bookmarkEnd w:id="33"/>
          </w:p>
        </w:tc>
      </w:tr>
      <w:tr w14:paraId="1843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1DF100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35</w:t>
            </w:r>
          </w:p>
        </w:tc>
        <w:tc>
          <w:tcPr>
            <w:tcW w:w="4276" w:type="pct"/>
            <w:gridSpan w:val="2"/>
            <w:noWrap/>
            <w:vAlign w:val="center"/>
          </w:tcPr>
          <w:p w14:paraId="5CDEB70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rPr>
              <w:t>需要补充的其他内容</w:t>
            </w:r>
          </w:p>
        </w:tc>
      </w:tr>
      <w:tr w14:paraId="698D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656" w:type="pct"/>
            <w:gridSpan w:val="2"/>
            <w:noWrap/>
            <w:vAlign w:val="center"/>
          </w:tcPr>
          <w:p w14:paraId="32EB844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招标代理服务费账户</w:t>
            </w:r>
          </w:p>
        </w:tc>
        <w:tc>
          <w:tcPr>
            <w:tcW w:w="3343" w:type="pct"/>
            <w:noWrap/>
            <w:vAlign w:val="center"/>
          </w:tcPr>
          <w:p w14:paraId="7A4EDB4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户</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名：</w:t>
            </w:r>
            <w:r>
              <w:rPr>
                <w:rFonts w:hint="eastAsia" w:ascii="宋体" w:hAnsi="宋体" w:eastAsia="宋体" w:cs="宋体"/>
                <w:b/>
                <w:bCs/>
                <w:sz w:val="24"/>
                <w:szCs w:val="24"/>
                <w:highlight w:val="none"/>
              </w:rPr>
              <w:t>陕西中桓国际项目管理有限公司</w:t>
            </w:r>
          </w:p>
          <w:p w14:paraId="0C71C0E5">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b/>
                <w:bCs/>
                <w:sz w:val="24"/>
                <w:szCs w:val="22"/>
                <w:highlight w:val="none"/>
              </w:rPr>
              <w:t>上海浦东发展银行股份有限公司西安唐延路支行</w:t>
            </w:r>
          </w:p>
          <w:p w14:paraId="2E390452">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账</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号：</w:t>
            </w:r>
            <w:r>
              <w:rPr>
                <w:rFonts w:hint="eastAsia" w:ascii="宋体" w:hAnsi="宋体" w:eastAsia="宋体" w:cs="宋体"/>
                <w:b/>
                <w:bCs/>
                <w:sz w:val="24"/>
                <w:szCs w:val="22"/>
                <w:highlight w:val="none"/>
              </w:rPr>
              <w:t>72120078801100001757</w:t>
            </w:r>
          </w:p>
          <w:p w14:paraId="61484241">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sz w:val="24"/>
                <w:szCs w:val="24"/>
                <w:highlight w:val="none"/>
              </w:rPr>
              <w:t>请供应商按照要求将服务费汇入以上指定账户。</w:t>
            </w:r>
          </w:p>
        </w:tc>
      </w:tr>
      <w:tr w14:paraId="76360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1656" w:type="pct"/>
            <w:gridSpan w:val="2"/>
            <w:noWrap/>
            <w:vAlign w:val="center"/>
          </w:tcPr>
          <w:p w14:paraId="5ADF465C">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履约担保</w:t>
            </w:r>
          </w:p>
        </w:tc>
        <w:tc>
          <w:tcPr>
            <w:tcW w:w="3343" w:type="pct"/>
            <w:noWrap/>
            <w:vAlign w:val="center"/>
          </w:tcPr>
          <w:p w14:paraId="798050A6">
            <w:pPr>
              <w:pStyle w:val="15"/>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☑不要求提供</w:t>
            </w:r>
          </w:p>
          <w:p w14:paraId="124A77C2">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t>□要求提供</w:t>
            </w:r>
          </w:p>
        </w:tc>
      </w:tr>
      <w:tr w14:paraId="44A0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1656" w:type="pct"/>
            <w:gridSpan w:val="2"/>
            <w:noWrap/>
            <w:vAlign w:val="center"/>
          </w:tcPr>
          <w:p w14:paraId="13E51AF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343" w:type="pct"/>
            <w:noWrap/>
            <w:vAlign w:val="center"/>
          </w:tcPr>
          <w:p w14:paraId="7035C410">
            <w:pPr>
              <w:pStyle w:val="12"/>
              <w:keepNext w:val="0"/>
              <w:keepLines w:val="0"/>
              <w:suppressLineNumbers w:val="0"/>
              <w:spacing w:before="0" w:beforeAutospacing="0" w:after="0" w:afterAutospacing="0" w:line="360" w:lineRule="auto"/>
              <w:ind w:left="42" w:leftChars="20" w:right="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00FE"/>
            </w:r>
            <w:r>
              <w:rPr>
                <w:rFonts w:hint="eastAsia" w:ascii="宋体" w:hAnsi="宋体" w:eastAsia="宋体" w:cs="宋体"/>
                <w:kern w:val="0"/>
                <w:sz w:val="24"/>
                <w:szCs w:val="24"/>
                <w:highlight w:val="none"/>
              </w:rPr>
              <w:t>不踏勘</w:t>
            </w:r>
          </w:p>
          <w:p w14:paraId="70EA5F18">
            <w:pPr>
              <w:pStyle w:val="12"/>
              <w:keepNext w:val="0"/>
              <w:keepLines w:val="0"/>
              <w:suppressLineNumbers w:val="0"/>
              <w:spacing w:before="0" w:beforeAutospacing="0" w:after="0" w:afterAutospacing="0" w:line="360" w:lineRule="auto"/>
              <w:ind w:left="42" w:leftChars="20" w:right="0"/>
              <w:rPr>
                <w:rFonts w:hint="eastAsia" w:ascii="宋体" w:hAnsi="宋体" w:eastAsia="宋体" w:cs="宋体"/>
                <w:szCs w:val="21"/>
                <w:highlight w:val="none"/>
              </w:rPr>
            </w:pPr>
            <w:r>
              <w:rPr>
                <w:rFonts w:hint="eastAsia" w:ascii="宋体" w:hAnsi="宋体" w:eastAsia="宋体" w:cs="宋体"/>
                <w:kern w:val="0"/>
                <w:sz w:val="24"/>
                <w:szCs w:val="24"/>
                <w:highlight w:val="none"/>
              </w:rPr>
              <w:sym w:font="Wingdings" w:char="00A8"/>
            </w:r>
            <w:r>
              <w:rPr>
                <w:rFonts w:hint="eastAsia" w:ascii="宋体" w:hAnsi="宋体" w:eastAsia="宋体" w:cs="宋体"/>
                <w:kern w:val="0"/>
                <w:sz w:val="24"/>
                <w:szCs w:val="24"/>
                <w:highlight w:val="none"/>
              </w:rPr>
              <w:t>自行踏勘</w:t>
            </w:r>
          </w:p>
        </w:tc>
      </w:tr>
      <w:tr w14:paraId="7FB86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1656" w:type="pct"/>
            <w:gridSpan w:val="2"/>
            <w:noWrap/>
            <w:vAlign w:val="center"/>
          </w:tcPr>
          <w:p w14:paraId="26B444D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一致性</w:t>
            </w:r>
          </w:p>
        </w:tc>
        <w:tc>
          <w:tcPr>
            <w:tcW w:w="3343" w:type="pct"/>
            <w:noWrap/>
            <w:vAlign w:val="center"/>
          </w:tcPr>
          <w:p w14:paraId="30ACBC4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供应商须知前附表和供应商须知不一致的地方，以供应商须知前附表为准</w:t>
            </w:r>
          </w:p>
        </w:tc>
      </w:tr>
      <w:tr w14:paraId="656AA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5000" w:type="pct"/>
            <w:gridSpan w:val="3"/>
            <w:noWrap/>
            <w:vAlign w:val="center"/>
          </w:tcPr>
          <w:p w14:paraId="3F8E1A1B">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highlight w:val="none"/>
              </w:rPr>
            </w:pPr>
            <w:bookmarkStart w:id="34" w:name="_Toc393284673"/>
            <w:bookmarkStart w:id="35" w:name="_Toc370906267"/>
            <w:bookmarkStart w:id="36" w:name="_Toc389836556"/>
            <w:bookmarkStart w:id="37" w:name="_Toc393284380"/>
            <w:bookmarkStart w:id="38" w:name="_Toc393281138"/>
            <w:r>
              <w:rPr>
                <w:rFonts w:hint="eastAsia" w:ascii="宋体" w:hAnsi="宋体" w:eastAsia="宋体" w:cs="宋体"/>
                <w:b/>
                <w:bCs/>
                <w:sz w:val="24"/>
                <w:szCs w:val="24"/>
                <w:highlight w:val="none"/>
                <w:lang w:val="en-US" w:eastAsia="zh-CN"/>
              </w:rPr>
              <w:t>本项目所属行业：其他未列明行业</w:t>
            </w:r>
            <w:r>
              <w:rPr>
                <w:rFonts w:hint="default" w:ascii="宋体" w:hAnsi="宋体" w:eastAsia="宋体" w:cs="宋体"/>
                <w:b/>
                <w:bCs/>
                <w:sz w:val="24"/>
                <w:szCs w:val="24"/>
                <w:highlight w:val="none"/>
                <w:lang w:val="en-US" w:eastAsia="zh-CN"/>
              </w:rPr>
              <w:t xml:space="preserve"> </w:t>
            </w:r>
          </w:p>
          <w:p w14:paraId="4EBC785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r w14:paraId="56406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5000" w:type="pct"/>
            <w:gridSpan w:val="3"/>
            <w:noWrap/>
            <w:vAlign w:val="center"/>
          </w:tcPr>
          <w:p w14:paraId="74093F8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注：本项目为专门面向中小企业采购的项目，不再进行价格扣除；供应商应填写中小企业声明函并对真实性负责。未按要求提供视为未响应竞谈文件要求。</w:t>
            </w:r>
          </w:p>
        </w:tc>
      </w:tr>
    </w:tbl>
    <w:p w14:paraId="67D3F506">
      <w:pPr>
        <w:spacing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14:paraId="4539DC2D">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14:paraId="202F991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1.1本次竞争性谈判采购所签合同使用自筹资金支付，资金已落实到位。</w:t>
      </w:r>
    </w:p>
    <w:p w14:paraId="0CCD5401">
      <w:pPr>
        <w:numPr>
          <w:ilvl w:val="0"/>
          <w:numId w:val="4"/>
        </w:num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名词解释</w:t>
      </w:r>
    </w:p>
    <w:p w14:paraId="4A9752A8">
      <w:pPr>
        <w:tabs>
          <w:tab w:val="left" w:pos="7665"/>
        </w:tabs>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2.1采购人：见供应商须知前附表</w:t>
      </w:r>
    </w:p>
    <w:p w14:paraId="769B4463">
      <w:pPr>
        <w:tabs>
          <w:tab w:val="left" w:pos="7665"/>
        </w:tabs>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2.2采购代理机构：陕西中桓国际项目管理有限公司</w:t>
      </w:r>
    </w:p>
    <w:p w14:paraId="7751F4BD">
      <w:pPr>
        <w:tabs>
          <w:tab w:val="left" w:pos="7665"/>
        </w:tabs>
        <w:spacing w:line="500" w:lineRule="exact"/>
        <w:ind w:firstLine="480" w:firstLineChars="200"/>
        <w:rPr>
          <w:rFonts w:hint="eastAsia" w:ascii="宋体" w:hAnsi="宋体" w:eastAsia="宋体" w:cs="宋体"/>
          <w:highlight w:val="none"/>
        </w:rPr>
      </w:pPr>
      <w:r>
        <w:rPr>
          <w:rFonts w:hint="eastAsia" w:ascii="宋体" w:hAnsi="宋体" w:eastAsia="宋体" w:cs="宋体"/>
          <w:color w:val="000000"/>
          <w:sz w:val="24"/>
          <w:highlight w:val="none"/>
        </w:rPr>
        <w:t>2.3监督机构：同级人民政府财政部门及有关部门</w:t>
      </w:r>
    </w:p>
    <w:p w14:paraId="69E37AC3">
      <w:pPr>
        <w:tabs>
          <w:tab w:val="left" w:pos="7665"/>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2.4供应商：是指响应和符合谈判</w:t>
      </w:r>
      <w:r>
        <w:rPr>
          <w:rFonts w:hint="eastAsia" w:ascii="宋体" w:hAnsi="宋体" w:eastAsia="宋体" w:cs="宋体"/>
          <w:color w:val="000000"/>
          <w:sz w:val="24"/>
          <w:szCs w:val="24"/>
          <w:highlight w:val="none"/>
        </w:rPr>
        <w:t>文件规定资格条件且参与谈判竞争的法人、</w:t>
      </w:r>
      <w:r>
        <w:rPr>
          <w:rFonts w:hint="eastAsia" w:ascii="宋体" w:hAnsi="宋体" w:eastAsia="宋体" w:cs="宋体"/>
          <w:sz w:val="24"/>
          <w:szCs w:val="24"/>
          <w:highlight w:val="none"/>
        </w:rPr>
        <w:t>其他组织或者自然人。</w:t>
      </w:r>
    </w:p>
    <w:p w14:paraId="20A8B32A">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rPr>
        <w:t>是指本竞争性谈判文件中第四</w:t>
      </w:r>
      <w:r>
        <w:rPr>
          <w:rFonts w:hint="eastAsia" w:ascii="宋体" w:hAnsi="宋体" w:eastAsia="宋体" w:cs="宋体"/>
          <w:color w:val="000000"/>
          <w:sz w:val="24"/>
          <w:highlight w:val="none"/>
        </w:rPr>
        <w:t>章所述所有</w:t>
      </w:r>
      <w:r>
        <w:rPr>
          <w:rFonts w:hint="eastAsia" w:ascii="宋体" w:hAnsi="宋体" w:eastAsia="宋体" w:cs="宋体"/>
          <w:color w:val="000000"/>
          <w:sz w:val="24"/>
          <w:szCs w:val="24"/>
          <w:highlight w:val="none"/>
        </w:rPr>
        <w:t>产品</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highlight w:val="none"/>
        </w:rPr>
        <w:t>。</w:t>
      </w:r>
    </w:p>
    <w:p w14:paraId="24D808E5">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2.6服务是指供应商为满足竞争性谈判文件文件要求而提供的服务。</w:t>
      </w:r>
    </w:p>
    <w:p w14:paraId="2BCC0BE5">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14:paraId="77141445">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2.8进口产品是指通过中国海关报关验放进入中国境内且产自关境外的产品，详见《关于政府采购进口产品管理有关问题的通知》(财库[2007]119号)。</w:t>
      </w:r>
    </w:p>
    <w:p w14:paraId="6C83BF02">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14:paraId="02BB8633">
      <w:pPr>
        <w:adjustRightInd w:val="0"/>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31BC23">
      <w:pPr>
        <w:adjustRightInd w:val="0"/>
        <w:snapToGrid w:val="0"/>
        <w:spacing w:line="500" w:lineRule="exact"/>
        <w:ind w:firstLine="480" w:firstLineChars="200"/>
        <w:rPr>
          <w:rFonts w:hint="eastAsia" w:ascii="宋体" w:hAnsi="宋体" w:eastAsia="宋体" w:cs="宋体"/>
          <w:b/>
          <w:sz w:val="24"/>
          <w:szCs w:val="24"/>
          <w:highlight w:val="none"/>
        </w:rPr>
      </w:pPr>
      <w:r>
        <w:rPr>
          <w:rFonts w:hint="eastAsia" w:ascii="宋体" w:hAnsi="宋体" w:eastAsia="宋体" w:cs="宋体"/>
          <w:color w:val="000000"/>
          <w:sz w:val="24"/>
          <w:highlight w:val="none"/>
        </w:rPr>
        <w:t>2.11残疾人福利性单位是指符合《三部门联合发布关于促进残疾人就业政府采购政策的通知》财库〔2017〕141号规定的对残疾人福利性单位划分标准的单位。</w:t>
      </w:r>
    </w:p>
    <w:p w14:paraId="3D565F25">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3.合格的谈判供应商</w:t>
      </w:r>
    </w:p>
    <w:p w14:paraId="707870D4">
      <w:pPr>
        <w:spacing w:line="50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3.1《政府采购法》第二十二条第一款规定的供应商基本资格条件:</w:t>
      </w:r>
    </w:p>
    <w:p w14:paraId="093D40F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6FCC048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30654BE1">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14:paraId="3E6E5C7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7DF0886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0798A1D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08E5C31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3.2根据本次采购项目的特殊要求，规定的供应商特殊条件（见供应商须知前附表）。</w:t>
      </w:r>
    </w:p>
    <w:p w14:paraId="6576CAB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单位负责人为同一人或者存在直接控股、管理关系的不同供应商，不得参加同一合同项下的政府采购活动。供应商须按照格式要求填写企业关系关联承诺书除单一来源采购项目外，为采购项目提供整体设计、规范编制或者项目管理、监理、检测等服务的供应商，不得再参加该采购项目的其他采购活动，否则均为无效谈判。</w:t>
      </w:r>
    </w:p>
    <w:p w14:paraId="67906A2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3.4谈判供应商必须在陕西中桓国际项目管理有限公司购买竞争性谈判文件，方可参加竞争性谈判。竞争性谈判文件售后不退。</w:t>
      </w:r>
    </w:p>
    <w:p w14:paraId="0E9F306B">
      <w:pPr>
        <w:tabs>
          <w:tab w:val="left" w:pos="7665"/>
        </w:tabs>
        <w:spacing w:line="500" w:lineRule="exact"/>
        <w:ind w:firstLine="480" w:firstLineChars="200"/>
        <w:rPr>
          <w:rFonts w:hint="eastAsia" w:eastAsia="宋体"/>
          <w:highlight w:val="none"/>
          <w:lang w:val="en-US" w:eastAsia="zh-CN"/>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联合体谈判</w:t>
      </w:r>
      <w:r>
        <w:rPr>
          <w:rFonts w:hint="eastAsia" w:ascii="宋体" w:hAnsi="宋体" w:eastAsia="宋体" w:cs="宋体"/>
          <w:sz w:val="24"/>
          <w:szCs w:val="24"/>
          <w:highlight w:val="none"/>
          <w:lang w:eastAsia="zh-CN"/>
        </w:rPr>
        <w:t>：</w:t>
      </w:r>
      <w:r>
        <w:rPr>
          <w:rFonts w:hint="eastAsia" w:ascii="宋体" w:hAnsi="宋体" w:eastAsia="宋体" w:cs="宋体"/>
          <w:color w:val="000000"/>
          <w:sz w:val="24"/>
          <w:highlight w:val="none"/>
        </w:rPr>
        <w:t>见供应商须知前附表</w:t>
      </w:r>
    </w:p>
    <w:p w14:paraId="5B5CF506">
      <w:pPr>
        <w:tabs>
          <w:tab w:val="left" w:pos="747"/>
        </w:tabs>
        <w:snapToGrid w:val="0"/>
        <w:spacing w:line="500" w:lineRule="exact"/>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14:paraId="0A90D734">
      <w:pPr>
        <w:tabs>
          <w:tab w:val="left" w:pos="747"/>
        </w:tabs>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供应商提供的服务（包含为完成服务所提供的产品），必须是合法生产、合法来源，符合国家有关标准要求，并满足竞争性谈判文件规定的规格、参数、质量、价格、有效期、售后服务及供应商须承担的运输、安装、技术支持、培训和竞争性谈判文件规定的其它伴随服务等要求。</w:t>
      </w:r>
    </w:p>
    <w:p w14:paraId="07522D58">
      <w:pPr>
        <w:tabs>
          <w:tab w:val="left" w:pos="747"/>
        </w:tabs>
        <w:snapToGrid w:val="0"/>
        <w:spacing w:line="5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4.2采购人有权拒绝接受任何不合格的产品和服务，由此产生的费用及相关后果均由供应商自行承担。</w:t>
      </w:r>
    </w:p>
    <w:p w14:paraId="6C061CD9">
      <w:pPr>
        <w:pStyle w:val="12"/>
        <w:spacing w:line="360" w:lineRule="auto"/>
        <w:outlineLvl w:val="2"/>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22"/>
          <w:highlight w:val="none"/>
        </w:rPr>
        <w:t>5.供应商信用记录查询及使用</w:t>
      </w:r>
    </w:p>
    <w:p w14:paraId="6AFFE63F">
      <w:pPr>
        <w:pStyle w:val="12"/>
        <w:spacing w:line="360" w:lineRule="auto"/>
        <w:ind w:firstLine="480" w:firstLineChars="200"/>
        <w:rPr>
          <w:rFonts w:hint="eastAsia" w:ascii="宋体" w:hAnsi="宋体" w:eastAsia="宋体" w:cs="宋体"/>
          <w:highlight w:val="none"/>
        </w:rPr>
      </w:pPr>
      <w:r>
        <w:rPr>
          <w:rFonts w:hint="eastAsia" w:ascii="宋体" w:hAnsi="宋体" w:eastAsia="宋体" w:cs="宋体"/>
          <w:color w:val="000000"/>
          <w:sz w:val="24"/>
          <w:szCs w:val="22"/>
          <w:highlight w:val="none"/>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14:paraId="20BD856A">
      <w:pPr>
        <w:spacing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6.竞争性谈判响应文件内容的真实性和谈判内容的实质性要求</w:t>
      </w:r>
    </w:p>
    <w:p w14:paraId="3ABBC81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谈判供应商应保证其竞争性谈判响应文件中所提供的所有有关谈判的资料、信息是真实的、并且来源于合法的渠道。因竞争性谈判响应文件中所提供的有关谈判的资料、信息不真实、或者其来源不合法而导致的所有法律责任，由谈判供应商自行承担。</w:t>
      </w:r>
    </w:p>
    <w:p w14:paraId="5CD76E5A">
      <w:pPr>
        <w:pStyle w:val="12"/>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6.2谈判内容的实质性响应要求：谈判文件第三章“合同条款及格式”和第四章“竞争性谈判内容及服务要求”为不允许偏离的技术和商务的实质性要求和条件，不满足实质性要求和条件的为无效响应文件。</w:t>
      </w:r>
    </w:p>
    <w:p w14:paraId="38A2954B">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14:paraId="31AFD581">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7.竞争性谈判文件构成</w:t>
      </w:r>
    </w:p>
    <w:p w14:paraId="3A57F5B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 竞争性谈判文件规定了要求提供的货物和服务，竞争性谈判程序和合同条件在竞争性谈判文件中均有说明。竞争性谈判文件共六章，内容如下：</w:t>
      </w:r>
    </w:p>
    <w:p w14:paraId="31BA239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14:paraId="5D4ED4C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第二章 供应商须知</w:t>
      </w:r>
    </w:p>
    <w:p w14:paraId="0AE4B2D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14:paraId="2B1E999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竞争性谈判内容及服务要求 </w:t>
      </w:r>
    </w:p>
    <w:p w14:paraId="5950510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14:paraId="4B9E4A0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14:paraId="5C356B1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谈判供应商应认真阅读竞争性谈判文件中所有的事项、格式、条款和规范等要求。如果谈判供应商没有按照竞争性谈判文件要求提交全部资料，或者竞争性谈判响应文件没有对竞争性谈判文件在各方面都做出实质性响应，由此带来的不利于谈判供应商的谈判结果，其风险由谈判供应商承担。</w:t>
      </w:r>
    </w:p>
    <w:p w14:paraId="1373563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7.3本竞争性谈判文件的解释权归陕西中桓国际项目管理有限公司，如发现谈判文件内容与现行法律法规不相符的情况，以现行法律法规为准。</w:t>
      </w:r>
    </w:p>
    <w:p w14:paraId="50D79293">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8.竞争性谈判文件的修改和澄清</w:t>
      </w:r>
    </w:p>
    <w:p w14:paraId="06D3589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在谈判响应文件递交截止时间前，采购代理机构可以视采购具体情况，延长谈判响应文件递交截止时间和谈判时间并在谈判公告的发布媒体上发布变更公告，同时将变更时间书面通知所有获取竞争性谈判文件的供应商。</w:t>
      </w:r>
    </w:p>
    <w:p w14:paraId="441BABC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A61058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8.3已经购买竞争性谈判文件的供应商对竞争性谈判文件有疑问的，均应在谈判截止日期2日前以书面形式向采购代理机构提出。采购代理机构视情况必要时将书面答复传送给所有获取竞争性谈判文件的供应商。</w:t>
      </w:r>
    </w:p>
    <w:p w14:paraId="01C7540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8.4供应商在收到上述通知后，应立即向采购代理机构回函确认。</w:t>
      </w:r>
    </w:p>
    <w:p w14:paraId="092EFB43">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14:paraId="20010C16">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9. 谈判语言和谈判货币</w:t>
      </w:r>
    </w:p>
    <w:p w14:paraId="655A3272">
      <w:pPr>
        <w:spacing w:line="50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9.1供应商提交的竞争性谈判响应文件以及供应商与采购代理机构就有关谈判的所有来往函电均应使用中文。</w:t>
      </w:r>
    </w:p>
    <w:p w14:paraId="5903BCD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9.2谈判应以人民币报价。任何包含非人民币报价的谈判将被作无效响应处理。</w:t>
      </w:r>
    </w:p>
    <w:p w14:paraId="0182C9FB">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10.竞争性谈判响应文件的构成</w:t>
      </w:r>
    </w:p>
    <w:p w14:paraId="5BA14C1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 供应商提交的竞争性谈判响应文件应包括下列部分的内容：</w:t>
      </w:r>
    </w:p>
    <w:p w14:paraId="78B6212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按照供应商须知的要求和竞争性谈判文件规定格式填写的谈判响应函、谈判报价表、法定代表人授权书。</w:t>
      </w:r>
    </w:p>
    <w:p w14:paraId="69FD033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w:t>
      </w:r>
      <w:r>
        <w:rPr>
          <w:rFonts w:hint="eastAsia" w:ascii="宋体" w:hAnsi="宋体" w:cs="宋体"/>
          <w:sz w:val="24"/>
          <w:szCs w:val="24"/>
          <w:highlight w:val="none"/>
          <w:lang w:val="en-US" w:eastAsia="zh-CN"/>
        </w:rPr>
        <w:t>含但不仅限于要求内容</w:t>
      </w:r>
      <w:r>
        <w:rPr>
          <w:rFonts w:hint="eastAsia" w:ascii="宋体" w:hAnsi="宋体" w:eastAsia="宋体" w:cs="宋体"/>
          <w:sz w:val="24"/>
          <w:szCs w:val="24"/>
          <w:highlight w:val="none"/>
        </w:rPr>
        <w:t>。</w:t>
      </w:r>
    </w:p>
    <w:p w14:paraId="2DA0BA9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（3）按照竞争性谈判文件供应商须知前附表的要求提交的资格证明文件；</w:t>
      </w:r>
    </w:p>
    <w:p w14:paraId="2494D41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（4）按照本须知第15条要求提交的谈判保证金。</w:t>
      </w:r>
    </w:p>
    <w:p w14:paraId="0FE63714">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（5）竞争性谈判文件中要求的其他证明文件</w:t>
      </w:r>
      <w:r>
        <w:rPr>
          <w:rFonts w:hint="eastAsia" w:ascii="宋体" w:hAnsi="宋体" w:cs="宋体"/>
          <w:sz w:val="24"/>
          <w:szCs w:val="24"/>
          <w:highlight w:val="none"/>
          <w:lang w:eastAsia="zh-CN"/>
        </w:rPr>
        <w:t>。</w:t>
      </w:r>
    </w:p>
    <w:p w14:paraId="6BAF0648">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供应商性质。</w:t>
      </w:r>
    </w:p>
    <w:p w14:paraId="2BD53B0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10.2 如果在竞争性谈判文件中没有允许提供备选方案，则每个谈判供应商只允许提交一个谈判方案，否则，其谈判将被作谈判无效处理。</w:t>
      </w:r>
    </w:p>
    <w:p w14:paraId="529FB1B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10.3本次谈判的最小单元：见供应商须知前附表，供应商可根据自身的资质情况和经营范围对本次项目进行响应，不得将其子目再行分解或只对本次项目中的品目进行不完全响应，任何不完全的响应将按无效响应处理。</w:t>
      </w:r>
    </w:p>
    <w:p w14:paraId="1B98B5E2">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11.竞争性谈判响应文件格式</w:t>
      </w:r>
    </w:p>
    <w:p w14:paraId="0C6117D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供应商应按照竞争性谈判文件中“竞争性谈判响应文件格式及构成”所提供的格式和要求制作竞争性谈判响应文件，明确表达谈判意愿，详细说明谈判方案、承诺及价格。</w:t>
      </w:r>
    </w:p>
    <w:p w14:paraId="18DFD04D">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11.2供应商应完整地提供谈判文件要求的所有数据和资料。</w:t>
      </w:r>
    </w:p>
    <w:p w14:paraId="65B5C4AE">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12.谈判报价</w:t>
      </w:r>
    </w:p>
    <w:p w14:paraId="548A4A65">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12.1谈判报价：见供应商须知前附表</w:t>
      </w:r>
    </w:p>
    <w:p w14:paraId="169F015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12.2谈判报价表成交明的价格应为履行合同的固定价格，不得以任何理由予以变更。以可调整的价格提交的竞争性谈判响应文件按无效响应处理。</w:t>
      </w:r>
    </w:p>
    <w:p w14:paraId="79B733E0">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13.证明供应商合格和资格的文件</w:t>
      </w:r>
    </w:p>
    <w:p w14:paraId="4FFC018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13.1供应商应按照竞争性谈判文件“供应商须知前附表”的要求，在竞争性谈判响应文件中提交合格的资格证明文件。如果资格证明文件不全或不合格的，其谈判按无效响应处理。</w:t>
      </w:r>
    </w:p>
    <w:p w14:paraId="65333733">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14.证明服务符合竞争性谈判文件规定的文件</w:t>
      </w:r>
    </w:p>
    <w:p w14:paraId="342B04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14.1供应商应在竞争性谈判响应文件中提交产品和服务满足竞争性谈判文件要求并符合国家法律法规、行业管理部门要求的其他强制性标准的证明文件。</w:t>
      </w:r>
    </w:p>
    <w:p w14:paraId="17FB5E3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14.2上述证明文件包括：</w:t>
      </w:r>
    </w:p>
    <w:p w14:paraId="652BC70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服务主要技术指标和性能的详细说明；</w:t>
      </w:r>
    </w:p>
    <w:p w14:paraId="4E3F2D0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逐条对竞争性谈判文件提出的技术要求和商务要求进行应答，说明所提供的产品和服务对竞争性谈判的技术和商务要求是否做出了实质性响应并提供支持文件；</w:t>
      </w:r>
    </w:p>
    <w:p w14:paraId="28C573F7">
      <w:pPr>
        <w:spacing w:line="50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 服务内容、服务实施方案等的详细说明。</w:t>
      </w:r>
    </w:p>
    <w:p w14:paraId="3061316B">
      <w:pPr>
        <w:spacing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15.谈判保证金</w:t>
      </w:r>
    </w:p>
    <w:p w14:paraId="395B7156">
      <w:pPr>
        <w:pStyle w:val="2"/>
        <w:spacing w:line="360" w:lineRule="auto"/>
        <w:ind w:firstLine="241" w:firstLineChars="100"/>
        <w:rPr>
          <w:rFonts w:hint="default" w:ascii="宋体" w:hAnsi="宋体" w:eastAsia="宋体" w:cs="宋体"/>
          <w:kern w:val="2"/>
          <w:sz w:val="24"/>
          <w:szCs w:val="24"/>
          <w:highlight w:val="none"/>
          <w:lang w:val="en-US" w:eastAsia="zh-CN" w:bidi="ar-SA"/>
        </w:rPr>
      </w:pPr>
      <w:r>
        <w:rPr>
          <w:rFonts w:hint="eastAsia" w:ascii="宋体" w:hAnsi="宋体" w:cs="宋体"/>
          <w:b/>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15.1本项目免收投标保证金</w:t>
      </w:r>
    </w:p>
    <w:p w14:paraId="1A66794F">
      <w:pPr>
        <w:tabs>
          <w:tab w:val="right" w:pos="8788"/>
        </w:tabs>
        <w:spacing w:line="360" w:lineRule="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16.谈判有效期</w:t>
      </w:r>
      <w:r>
        <w:rPr>
          <w:rFonts w:hint="eastAsia" w:ascii="宋体" w:hAnsi="宋体" w:eastAsia="宋体" w:cs="宋体"/>
          <w:b/>
          <w:sz w:val="24"/>
          <w:szCs w:val="24"/>
          <w:highlight w:val="none"/>
        </w:rPr>
        <w:tab/>
      </w:r>
    </w:p>
    <w:p w14:paraId="7235A29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16.1谈判有效期：见供应商须知前附表。谈判有效期不满足规定有效期的谈判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14:paraId="7C4DB8B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在特殊情况下，在原谈判有效期期满之前，采购代理机构可向供应商提出延长谈判有效期的要求。这种要求与答复均应以书面的形式。供应商可以拒绝采购代理机构的这种要求,其谈判保证金也不被没收。同意延长的供应商既不能要求也不允许修改其竞争性谈判响应文件，但要相应延长其谈判保证金的有效期。</w:t>
      </w:r>
      <w:r>
        <w:rPr>
          <w:rFonts w:hint="eastAsia" w:ascii="宋体" w:hAnsi="宋体" w:eastAsia="宋体" w:cs="宋体"/>
          <w:sz w:val="24"/>
          <w:highlight w:val="none"/>
        </w:rPr>
        <w:t>在这种情况下，本须知第15条有关谈判保证金的退还和没收的规定将在延长了的有效期内继续有效。</w:t>
      </w:r>
    </w:p>
    <w:p w14:paraId="3CDC5029">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17.竞争性谈判响应文件的式样和签署</w:t>
      </w:r>
    </w:p>
    <w:p w14:paraId="6F76E2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17.1谈判响应文件正本、副本、电子版、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报价一览表份数及要求详见“供应商须知前附表”。</w:t>
      </w:r>
    </w:p>
    <w:p w14:paraId="4844F08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竞争性谈判响应文件正本均需打印或用不褪色、不变质的墨水书写，由供应商的法定代表人或被授权人按谈判文件的规定签署（谈判文件要求谈判响应文件中签章的统一为签字或盖章）。竞争性谈判响应文件副本可采用正本的复印件。</w:t>
      </w:r>
    </w:p>
    <w:p w14:paraId="602C1C2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17.3任何行间插字、涂改和增删，必须由供应商的法定代表人或其授权代表在旁边签字才有效。</w:t>
      </w:r>
    </w:p>
    <w:p w14:paraId="3EA4D692">
      <w:pPr>
        <w:spacing w:line="50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17.4竞争性谈判响应文件正本和副本按照竞争性谈判文件第六章规定的顺序编排、并应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14:paraId="7BB87D2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17.5因字迹潦草、表述不清或不按竞争性谈判文件格式编制的竞争性谈判响应文件，所引起的对供应商不利的后果，由供应商自行负责。</w:t>
      </w:r>
    </w:p>
    <w:p w14:paraId="66CE408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17.6谈判响应文件的副本、电子版须和正本保持一致。若正本、副本和电子版有不一致的内容，以正本为准。</w:t>
      </w:r>
    </w:p>
    <w:p w14:paraId="38678B70">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14:paraId="76A998EC">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18.竞争性谈判响应文件的密封和标记</w:t>
      </w:r>
    </w:p>
    <w:p w14:paraId="6440FBBE">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18.1</w:t>
      </w:r>
      <w:r>
        <w:rPr>
          <w:rFonts w:hint="eastAsia" w:ascii="宋体" w:hAnsi="宋体" w:cs="宋体"/>
          <w:sz w:val="24"/>
          <w:szCs w:val="24"/>
          <w:highlight w:val="none"/>
          <w:lang w:eastAsia="zh-CN"/>
        </w:rPr>
        <w:t>谈判</w:t>
      </w:r>
      <w:r>
        <w:rPr>
          <w:rFonts w:hint="eastAsia" w:ascii="宋体" w:hAnsi="宋体" w:eastAsia="宋体" w:cs="宋体"/>
          <w:sz w:val="24"/>
          <w:highlight w:val="none"/>
        </w:rPr>
        <w:t>报价一览表除在竞争性谈判响应文件内装订外，再单独制作一份单独密封在封袋中。封线处加贴封条并加盖谈判供应商公章，封袋正面要粘贴标识，单独递交（该单独密封</w:t>
      </w:r>
      <w:r>
        <w:rPr>
          <w:rFonts w:hint="eastAsia" w:ascii="宋体" w:hAnsi="宋体" w:cs="宋体"/>
          <w:sz w:val="24"/>
          <w:szCs w:val="24"/>
          <w:highlight w:val="none"/>
          <w:lang w:eastAsia="zh-CN"/>
        </w:rPr>
        <w:t>谈判</w:t>
      </w:r>
      <w:r>
        <w:rPr>
          <w:rFonts w:hint="eastAsia" w:ascii="宋体" w:hAnsi="宋体" w:eastAsia="宋体" w:cs="宋体"/>
          <w:sz w:val="24"/>
          <w:highlight w:val="none"/>
        </w:rPr>
        <w:t>报价一览表的谈判报价必须与竞争性谈判响应文件正本中的</w:t>
      </w:r>
      <w:r>
        <w:rPr>
          <w:rFonts w:hint="eastAsia" w:ascii="宋体" w:hAnsi="宋体" w:cs="宋体"/>
          <w:sz w:val="24"/>
          <w:szCs w:val="24"/>
          <w:highlight w:val="none"/>
          <w:lang w:eastAsia="zh-CN"/>
        </w:rPr>
        <w:t>谈判</w:t>
      </w:r>
      <w:r>
        <w:rPr>
          <w:rFonts w:hint="eastAsia" w:ascii="宋体" w:hAnsi="宋体" w:eastAsia="宋体" w:cs="宋体"/>
          <w:sz w:val="24"/>
          <w:highlight w:val="none"/>
        </w:rPr>
        <w:t>报价一览表谈判报价一致，若不一致，则按单独密封的</w:t>
      </w:r>
      <w:r>
        <w:rPr>
          <w:rFonts w:hint="eastAsia" w:ascii="宋体" w:hAnsi="宋体" w:cs="宋体"/>
          <w:sz w:val="24"/>
          <w:szCs w:val="24"/>
          <w:highlight w:val="none"/>
          <w:lang w:eastAsia="zh-CN"/>
        </w:rPr>
        <w:t>谈判</w:t>
      </w:r>
      <w:r>
        <w:rPr>
          <w:rFonts w:hint="eastAsia" w:ascii="宋体" w:hAnsi="宋体" w:eastAsia="宋体" w:cs="宋体"/>
          <w:sz w:val="24"/>
          <w:highlight w:val="none"/>
        </w:rPr>
        <w:t>报价一览表为准。）</w:t>
      </w:r>
    </w:p>
    <w:p w14:paraId="1BCF2E8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18.2谈判响应文件的密封和标记：详见“供应商须知前附表”。</w:t>
      </w:r>
    </w:p>
    <w:p w14:paraId="6E76A4A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18.3如果谈判供应商未对竞争性谈判响应文件按上述要求进行完好密封，由此产生的不利后果由供应商自行承担。</w:t>
      </w:r>
    </w:p>
    <w:p w14:paraId="392A3B72">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19.竞争性谈判响应文件的递交</w:t>
      </w:r>
    </w:p>
    <w:p w14:paraId="5DFE05E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19.1供应商应按照竞争性谈判公告中规定的时间、地点，在规定的竞争性谈判响应文件递交截止时间前将全部竞争性谈判响应文件和谈判资料递交至采购代理机构接收人处。</w:t>
      </w:r>
    </w:p>
    <w:p w14:paraId="196EE24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19.2采购代理机构在竞争性谈判文件规定的竞争性谈判响应文件递交截止时间前，只负责竞争性谈判响应文件的接收、清点、造册登记工作，并请递交人签字确认，对其有效性不负任何责任；</w:t>
      </w:r>
    </w:p>
    <w:p w14:paraId="10FC7F0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19.3无论供应商成交与否，其竞争性谈判响应文件概不退还。</w:t>
      </w:r>
    </w:p>
    <w:p w14:paraId="73547DEA">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20.迟交的竞争性谈判响应文件</w:t>
      </w:r>
    </w:p>
    <w:p w14:paraId="6D313CA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20.1按照供应商须知的规定，在递交谈判响应文件截止时间后送达的竞争性谈判响应文件，为无效响应文件，采购代理机构将拒绝接受。</w:t>
      </w:r>
    </w:p>
    <w:p w14:paraId="59311C02">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21.谈判的修改与撤回</w:t>
      </w:r>
    </w:p>
    <w:p w14:paraId="420EBF7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 在谈判响应文件递交截止时间前，供应商可以修改或撤回其已递交的谈判响应文件，也可以提出价格变动声明，但供应商必须在规定的谈判截止时间之前将修改或撤回或变动价格的书面通知文件递交到采购代理机构。</w:t>
      </w:r>
    </w:p>
    <w:p w14:paraId="49E0D40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 供应商的修改或撤回或变动价格的通知应按本须知第18条的规定编制、密封、标记和递交。</w:t>
      </w:r>
    </w:p>
    <w:p w14:paraId="40CA230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 在谈判响应文件递交截止时间之后，供应商不得对其谈判做任何修改或撤回。</w:t>
      </w:r>
    </w:p>
    <w:p w14:paraId="7920507D">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14:paraId="7876BA55">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22.谈判大会</w:t>
      </w:r>
    </w:p>
    <w:p w14:paraId="0A7491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 采购代理机构在规定的时间和地点组织竞争性谈判。谈判时所有供应商代表自愿参加，参加谈判的代表应签名报到以证明其出席。</w:t>
      </w:r>
    </w:p>
    <w:p w14:paraId="008E2AC3">
      <w:pPr>
        <w:spacing w:line="500" w:lineRule="exact"/>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22.2在谈判时没有启封的竞争性谈判响应文件将原封退回给供应商。</w:t>
      </w:r>
    </w:p>
    <w:p w14:paraId="11946C2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22.3采购代理机构将做谈判记录，存档备查。</w:t>
      </w:r>
    </w:p>
    <w:p w14:paraId="34BCD65E">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23．评审组织及评审原则</w:t>
      </w:r>
    </w:p>
    <w:p w14:paraId="38AD1BF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23.1按照《中华人民共和国政府采购法》及实施条例和中华人民共和国财政部令第74号--《政府采购非招标采购方式管理办法》的规定，依法组建谈判小组。谈判小组由采购人代表和有关技术、经济等方面的专家组成。谈判小组按照竞争性谈判文件规定的评审方法独立进行评审工作。</w:t>
      </w:r>
    </w:p>
    <w:p w14:paraId="0EA90AD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23.2竞争性谈判文件和竞争性谈判响应文件是评审的依据。在评审中，不得改变竞争性谈判文件中规定的评审标准、方法和成交条件。</w:t>
      </w:r>
    </w:p>
    <w:p w14:paraId="4A6B29C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23.3在谈判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6A4683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23.4如果供应商在澄清规定期限内，未能答复或拒绝答复谈判小组提出的澄清要求，将由谈判小组根据其竞争性谈判响应文件按最大风险进行评审。</w:t>
      </w:r>
    </w:p>
    <w:p w14:paraId="19D1935A">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24．评审过程的保密</w:t>
      </w:r>
    </w:p>
    <w:p w14:paraId="170F549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14:paraId="7D4A9B89">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25．评审方法</w:t>
      </w:r>
    </w:p>
    <w:p w14:paraId="2DE3FB2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按照《中华人民共和国政府采购法》及实施条例、中华人民共和国财政部令第74号--《政府采购非招标采购方式管理办法》的规定，本次评审采用最低评标价法。</w:t>
      </w:r>
    </w:p>
    <w:p w14:paraId="5B796D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44A0532D">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26．评审程序</w:t>
      </w:r>
    </w:p>
    <w:p w14:paraId="72B43286">
      <w:pPr>
        <w:spacing w:line="50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按照竞争性谈判响应文件初审、澄清有关问题、分别谈判、二次报价、推荐成交候选供应商名单的工作程序进行评审。在上一步评审中被认定无效文件者，不进入下一步的评审。</w:t>
      </w:r>
    </w:p>
    <w:p w14:paraId="2D657A76">
      <w:pPr>
        <w:pStyle w:val="12"/>
        <w:rPr>
          <w:rFonts w:hint="eastAsia" w:ascii="宋体" w:hAnsi="宋体" w:eastAsia="宋体" w:cs="宋体"/>
          <w:highlight w:val="none"/>
        </w:rPr>
      </w:pPr>
    </w:p>
    <w:p w14:paraId="1413AAD9">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14:paraId="15AFAAD1">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27．成交程序</w:t>
      </w:r>
    </w:p>
    <w:p w14:paraId="46AC5B4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27.1谈判小组根据评审方法的规定对谈判供应商进行评审排序，推荐3名成交候选人，作为评审结果。评审结果由全体评委签字确认。</w:t>
      </w:r>
    </w:p>
    <w:p w14:paraId="16F568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27.2采购人根据谈判报告中推荐的成交候选人排列顺序，确定排名第一的为成交人。采购人也可以授权谈判小组评审后直接确定成交人。</w:t>
      </w:r>
    </w:p>
    <w:p w14:paraId="7BD847F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14:paraId="4EB13EB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27.4成交人确定之后，成交结果将在财政部门指定的政府采购信息发布媒体上公告。</w:t>
      </w:r>
    </w:p>
    <w:p w14:paraId="0E5A055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27.5供应商或者其他利害关系人对评审结果有异议的，应当在法律规定的时间内提出。</w:t>
      </w:r>
    </w:p>
    <w:p w14:paraId="05C086D3">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28．成交通知</w:t>
      </w:r>
    </w:p>
    <w:p w14:paraId="444C137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28.1 采购代理机构向成交人发出《成交通知书》。 </w:t>
      </w:r>
      <w:r>
        <w:rPr>
          <w:rFonts w:hint="eastAsia" w:ascii="宋体" w:hAnsi="宋体" w:eastAsia="宋体" w:cs="宋体"/>
          <w:b/>
          <w:bCs/>
          <w:sz w:val="24"/>
          <w:szCs w:val="24"/>
          <w:highlight w:val="none"/>
        </w:rPr>
        <w:t>成交人领取成交通知书时须携带法定代表人授权书及加盖单位公章的被授权人身份证复印件。</w:t>
      </w:r>
    </w:p>
    <w:p w14:paraId="73D06F1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28.2成交通知书对采购人和成交人具有同等法律效力。成交通知书发出之后，采购人改变成交结果，或者成交人放弃成交，应当承担相应的法律责任。</w:t>
      </w:r>
    </w:p>
    <w:p w14:paraId="38F514C0">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29. 采购合同的签订</w:t>
      </w:r>
    </w:p>
    <w:p w14:paraId="5F4F5A4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29.1采购人应当自成交通知书发出之日起</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024C58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29.2采购人自政府采购合同签订之日起2个工作日内，将政府采购合同在省级以上人民政府财政部门指定的媒体上公告，但政府采购合同中涉及国家秘密、商业秘密的内容除外。</w:t>
      </w:r>
    </w:p>
    <w:p w14:paraId="158A81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29.3</w:t>
      </w:r>
      <w:r>
        <w:rPr>
          <w:rFonts w:hint="eastAsia" w:ascii="宋体" w:hAnsi="宋体" w:eastAsia="宋体" w:cs="宋体"/>
          <w:sz w:val="24"/>
          <w:szCs w:val="24"/>
          <w:highlight w:val="none"/>
        </w:rPr>
        <w:t>信用融资政策</w:t>
      </w:r>
    </w:p>
    <w:p w14:paraId="13432F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根据《陕西省财政厅关于印发</w:t>
      </w:r>
      <w:r>
        <w:rPr>
          <w:rFonts w:hint="eastAsia" w:ascii="宋体" w:hAnsi="宋体" w:eastAsia="宋体" w:cs="宋体"/>
          <w:sz w:val="24"/>
          <w:szCs w:val="24"/>
          <w:highlight w:val="none"/>
        </w:rPr>
        <w:t>&lt;</w:t>
      </w:r>
      <w:r>
        <w:rPr>
          <w:rFonts w:hint="eastAsia" w:ascii="宋体" w:hAnsi="宋体" w:eastAsia="宋体" w:cs="宋体"/>
          <w:sz w:val="24"/>
          <w:szCs w:val="24"/>
          <w:highlight w:val="none"/>
          <w:lang w:val="zh-CN"/>
        </w:rPr>
        <w:t>陕西省中小企业政府采购信用融资办法</w:t>
      </w:r>
      <w:r>
        <w:rPr>
          <w:rFonts w:hint="eastAsia" w:ascii="宋体" w:hAnsi="宋体" w:eastAsia="宋体" w:cs="宋体"/>
          <w:sz w:val="24"/>
          <w:szCs w:val="24"/>
          <w:highlight w:val="none"/>
        </w:rPr>
        <w:t>&gt;</w:t>
      </w:r>
      <w:r>
        <w:rPr>
          <w:rFonts w:hint="eastAsia" w:ascii="宋体" w:hAnsi="宋体" w:eastAsia="宋体" w:cs="宋体"/>
          <w:sz w:val="24"/>
          <w:szCs w:val="24"/>
          <w:highlight w:val="none"/>
          <w:lang w:val="zh-CN"/>
        </w:rPr>
        <w:t>的通知》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陕财办采〔</w:t>
      </w:r>
      <w:r>
        <w:rPr>
          <w:rFonts w:hint="eastAsia" w:ascii="宋体" w:hAnsi="宋体" w:eastAsia="宋体" w:cs="宋体"/>
          <w:sz w:val="24"/>
          <w:szCs w:val="24"/>
          <w:highlight w:val="none"/>
        </w:rPr>
        <w:t>2018</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23</w:t>
      </w:r>
      <w:r>
        <w:rPr>
          <w:rFonts w:hint="eastAsia" w:ascii="宋体" w:hAnsi="宋体" w:eastAsia="宋体" w:cs="宋体"/>
          <w:sz w:val="24"/>
          <w:szCs w:val="24"/>
          <w:highlight w:val="none"/>
          <w:lang w:val="zh-CN"/>
        </w:rPr>
        <w:t>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相关规定</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有融资需求的供应商可根据自身情况</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在陕西省政府采购信用融资平台</w:t>
      </w:r>
      <w:r>
        <w:rPr>
          <w:rFonts w:hint="eastAsia" w:ascii="宋体" w:hAnsi="宋体" w:eastAsia="宋体" w:cs="宋体"/>
          <w:sz w:val="24"/>
          <w:szCs w:val="24"/>
          <w:highlight w:val="none"/>
        </w:rPr>
        <w:t>（http://www.ccgp-shaanxi.gov.cn/</w:t>
      </w:r>
    </w:p>
    <w:p w14:paraId="41CAC2C1">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zcdservice/zcd/shanxi/）自主选择金融机构及其融资产品，凭政府采购中标（成交）通知书或政府采购合同提出融资申请。</w:t>
      </w:r>
    </w:p>
    <w:p w14:paraId="383BD531">
      <w:pPr>
        <w:pStyle w:val="2"/>
        <w:rPr>
          <w:rFonts w:hint="eastAsia"/>
          <w:highlight w:val="none"/>
        </w:rPr>
      </w:pPr>
    </w:p>
    <w:p w14:paraId="0F29D4B7">
      <w:pPr>
        <w:spacing w:line="500" w:lineRule="exact"/>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30．招标代理服务费：详见“供应商须知前附表”。</w:t>
      </w:r>
    </w:p>
    <w:p w14:paraId="53ED0012">
      <w:pPr>
        <w:spacing w:line="50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31.合同鉴证费</w:t>
      </w:r>
    </w:p>
    <w:p w14:paraId="076433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31.1委托人和成交供应商签订的合同需经受托人审核并加盖鉴证方业务专用章。</w:t>
      </w:r>
    </w:p>
    <w:p w14:paraId="1D7ACE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31.2成交金额在500万元以下的项目，合同鉴证费收费标准为成交金额的万分之一，按规定计算低于300元的按300元收取；成交金额在500万元及以上的项目，合同鉴证费收费标准为成交金额的万分之一点五。</w:t>
      </w:r>
    </w:p>
    <w:p w14:paraId="78CB5A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31.3合同鉴证费由成交供应商支付。</w:t>
      </w:r>
    </w:p>
    <w:p w14:paraId="25A7B5E2">
      <w:pPr>
        <w:spacing w:line="60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32.履约验收</w:t>
      </w:r>
    </w:p>
    <w:p w14:paraId="66980C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32.1政府采购合同的履行、违约责任和解决争议的方法等适用《中华人民共和国民法典》。采购人按照政府采购合同规定的技术、服务、安全标准组织对供应商履约情况进行验收，并出具验收书。</w:t>
      </w:r>
    </w:p>
    <w:p w14:paraId="5BB7C1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32.2履约验收的费用及要求详见“供应商须知前附表”。</w:t>
      </w:r>
    </w:p>
    <w:p w14:paraId="22B3295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33.质疑</w:t>
      </w:r>
    </w:p>
    <w:p w14:paraId="20C8D0D5">
      <w:pPr>
        <w:spacing w:line="500" w:lineRule="exact"/>
        <w:ind w:right="12"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33.1供应商认为谈判文件、采购过程、成交结果使自己的权益受到损害的，可以在知道或者应知其权益受到损害之日起7个工作日内，以书面形式向采购人、采购代理机构提出质疑。</w:t>
      </w:r>
    </w:p>
    <w:p w14:paraId="613EF566">
      <w:pPr>
        <w:spacing w:line="500" w:lineRule="exact"/>
        <w:ind w:right="12" w:firstLine="480"/>
        <w:rPr>
          <w:rStyle w:val="33"/>
          <w:rFonts w:hint="eastAsia" w:ascii="宋体" w:hAnsi="宋体" w:eastAsia="宋体" w:cs="宋体"/>
          <w:b/>
          <w:bCs w:val="0"/>
          <w:color w:val="0000FF"/>
          <w:sz w:val="24"/>
          <w:szCs w:val="24"/>
          <w:highlight w:val="none"/>
          <w:shd w:val="clear" w:color="auto" w:fill="FFFFFF"/>
        </w:rPr>
      </w:pPr>
      <w:r>
        <w:rPr>
          <w:rFonts w:hint="eastAsia" w:ascii="宋体" w:hAnsi="宋体" w:eastAsia="宋体" w:cs="宋体"/>
          <w:sz w:val="24"/>
          <w:szCs w:val="24"/>
          <w:highlight w:val="none"/>
        </w:rPr>
        <w:t>33.2供应商必须在法定质疑期内一次性提出针对同一采购程序环节的质疑。</w:t>
      </w:r>
    </w:p>
    <w:p w14:paraId="303AF211">
      <w:pPr>
        <w:spacing w:line="500" w:lineRule="exact"/>
        <w:ind w:left="3" w:firstLine="518" w:firstLineChars="216"/>
        <w:rPr>
          <w:rStyle w:val="33"/>
          <w:rFonts w:hint="eastAsia" w:ascii="宋体" w:hAnsi="宋体" w:eastAsia="宋体" w:cs="宋体"/>
          <w:color w:val="000000"/>
          <w:sz w:val="24"/>
          <w:szCs w:val="24"/>
          <w:highlight w:val="none"/>
          <w:shd w:val="clear" w:color="auto" w:fill="FFFFFF"/>
        </w:rPr>
      </w:pPr>
      <w:r>
        <w:rPr>
          <w:rStyle w:val="33"/>
          <w:rFonts w:hint="eastAsia" w:ascii="宋体" w:hAnsi="宋体" w:eastAsia="宋体" w:cs="宋体"/>
          <w:color w:val="000000"/>
          <w:sz w:val="24"/>
          <w:szCs w:val="24"/>
          <w:highlight w:val="none"/>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9049AFC">
      <w:pPr>
        <w:spacing w:line="500" w:lineRule="exact"/>
        <w:ind w:left="3" w:firstLine="518" w:firstLineChars="216"/>
        <w:rPr>
          <w:rStyle w:val="33"/>
          <w:rFonts w:hint="eastAsia" w:ascii="宋体" w:hAnsi="宋体" w:eastAsia="宋体" w:cs="宋体"/>
          <w:color w:val="000000"/>
          <w:sz w:val="24"/>
          <w:szCs w:val="24"/>
          <w:highlight w:val="none"/>
          <w:shd w:val="clear" w:color="auto" w:fill="FFFFFF"/>
        </w:rPr>
      </w:pPr>
      <w:r>
        <w:rPr>
          <w:rStyle w:val="33"/>
          <w:rFonts w:hint="eastAsia" w:ascii="宋体" w:hAnsi="宋体" w:eastAsia="宋体" w:cs="宋体"/>
          <w:color w:val="000000"/>
          <w:sz w:val="24"/>
          <w:szCs w:val="24"/>
          <w:highlight w:val="none"/>
          <w:shd w:val="clear" w:color="auto" w:fill="FFFFFF"/>
        </w:rPr>
        <w:t>33.4以联合体形式参加政府采购活动的，其质疑应当由组成联合体的所有供应商共同提出。</w:t>
      </w:r>
    </w:p>
    <w:p w14:paraId="39CB568A">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33.5供应商提出质疑应当提交质疑函和必要的证明材料。质疑函应当包括下列内容：</w:t>
      </w:r>
    </w:p>
    <w:p w14:paraId="06332926">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33.5.1供应商的姓名或者名称、地址、邮编、联系人及联系电话；</w:t>
      </w:r>
    </w:p>
    <w:p w14:paraId="26184027">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33.5.2质疑项目的名称、编号；</w:t>
      </w:r>
    </w:p>
    <w:p w14:paraId="4C7357CF">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33.5.3具体、明确的质疑事项和与质疑事项相关的请求；</w:t>
      </w:r>
    </w:p>
    <w:p w14:paraId="533F2DD0">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33.5.4事实依据；</w:t>
      </w:r>
    </w:p>
    <w:p w14:paraId="3462FC4E">
      <w:pPr>
        <w:spacing w:line="500" w:lineRule="exact"/>
        <w:ind w:right="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33.5.5必要的法律依据；</w:t>
      </w:r>
    </w:p>
    <w:p w14:paraId="050978C9">
      <w:pPr>
        <w:spacing w:line="500" w:lineRule="exact"/>
        <w:ind w:right="12" w:firstLine="480" w:firstLineChars="200"/>
        <w:rPr>
          <w:rStyle w:val="33"/>
          <w:rFonts w:hint="eastAsia" w:ascii="宋体" w:hAnsi="宋体" w:eastAsia="宋体" w:cs="宋体"/>
          <w:color w:val="000000"/>
          <w:sz w:val="24"/>
          <w:szCs w:val="24"/>
          <w:highlight w:val="none"/>
          <w:shd w:val="clear" w:color="auto" w:fill="FFFFFF"/>
        </w:rPr>
      </w:pPr>
      <w:r>
        <w:rPr>
          <w:rFonts w:hint="eastAsia" w:ascii="宋体" w:hAnsi="宋体" w:eastAsia="宋体" w:cs="宋体"/>
          <w:sz w:val="24"/>
          <w:szCs w:val="24"/>
          <w:highlight w:val="none"/>
        </w:rPr>
        <w:t>33.5.6提出质疑的日期。</w:t>
      </w:r>
    </w:p>
    <w:p w14:paraId="0E9A9409">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33.6有下列情形之一的，属于无效质疑，采购代理机构和采购人不予受理：</w:t>
      </w:r>
    </w:p>
    <w:p w14:paraId="7EECE749">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33.6.1质疑供应商不是参与本次政府采购项目的供应商；</w:t>
      </w:r>
    </w:p>
    <w:p w14:paraId="4F2BB851">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33.6.2质疑供应商与质疑事项不存在利害关系的；</w:t>
      </w:r>
    </w:p>
    <w:p w14:paraId="00F5482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33.6.3未在法定期限内提出质疑的；</w:t>
      </w:r>
    </w:p>
    <w:p w14:paraId="1D41C07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33.6.4质疑未以书面形式提出，或质疑函主要内容构成不完整的；</w:t>
      </w:r>
    </w:p>
    <w:p w14:paraId="485D00D7">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33.6.5应当提交授权书而未提交的；</w:t>
      </w:r>
    </w:p>
    <w:p w14:paraId="31E80D8A">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33.6.6以非法手段取得证据、材料的；</w:t>
      </w:r>
    </w:p>
    <w:p w14:paraId="662F2E17">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33.6.7质疑答复后，同一质疑人就同一事项或同一采购程序环节再次提出质疑的；</w:t>
      </w:r>
    </w:p>
    <w:p w14:paraId="262F8C33">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Style w:val="33"/>
          <w:rFonts w:hint="eastAsia" w:ascii="宋体" w:hAnsi="宋体" w:eastAsia="宋体" w:cs="宋体"/>
          <w:sz w:val="24"/>
          <w:szCs w:val="24"/>
          <w:highlight w:val="none"/>
          <w:shd w:val="clear" w:color="auto" w:fill="FFFFFF"/>
        </w:rPr>
      </w:pPr>
      <w:r>
        <w:rPr>
          <w:rFonts w:hint="eastAsia" w:ascii="宋体" w:hAnsi="宋体" w:eastAsia="宋体" w:cs="宋体"/>
          <w:sz w:val="24"/>
          <w:highlight w:val="none"/>
        </w:rPr>
        <w:t>33.6.8不符合法律、法规、规章和政府采购监管机构规定的其他条件的。</w:t>
      </w:r>
    </w:p>
    <w:p w14:paraId="1643B71F">
      <w:pPr>
        <w:keepNext w:val="0"/>
        <w:keepLines w:val="0"/>
        <w:pageBreakBefore w:val="0"/>
        <w:kinsoku/>
        <w:wordWrap/>
        <w:overflowPunct/>
        <w:topLinePunct w:val="0"/>
        <w:autoSpaceDE/>
        <w:autoSpaceDN/>
        <w:bidi w:val="0"/>
        <w:adjustRightInd/>
        <w:snapToGrid/>
        <w:spacing w:line="480" w:lineRule="auto"/>
        <w:ind w:right="1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33.7质疑答复</w:t>
      </w:r>
    </w:p>
    <w:p w14:paraId="11BB2756">
      <w:pPr>
        <w:pStyle w:val="80"/>
        <w:keepNext w:val="0"/>
        <w:keepLines w:val="0"/>
        <w:pageBreakBefore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33.7.1采购人或采购代理机构在收到质疑函后7个工作日内作出答复，并以书面形式通知质疑供应商和其他有关供应商。</w:t>
      </w:r>
    </w:p>
    <w:p w14:paraId="289EC1D1">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33.7.2质疑供应商对采购人、采购代理机构的答复不满意，或者采购人、采购代理机构未在规定时间内作出答复的，可以在答复期满后15个工作日内向同级人民政府财政部门提起投诉。</w:t>
      </w:r>
    </w:p>
    <w:p w14:paraId="420248E9">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33.8其他需要说明的事项</w:t>
      </w:r>
    </w:p>
    <w:p w14:paraId="250C47CC">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33.8.1质疑函须按财政部《质疑函范本》给定的格式进行填写，范本下载详见【财政部国库司（gks.mof.gov.cn）】网站〖首页·政府采购管理〗栏目中的《政府采购供应商质疑函范本》。《政府采购供应商质疑函范本》链接地址：</w:t>
      </w:r>
    </w:p>
    <w:p w14:paraId="67759410">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http://gks.mof.gov.cn/zhengfucaigouguanli/201802/t20180201_2804589.html</w:t>
      </w:r>
    </w:p>
    <w:p w14:paraId="0573FCDF">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33.8.2接收质疑函的方式：书面形式</w:t>
      </w:r>
    </w:p>
    <w:p w14:paraId="3B617F77">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33.8.3联系部门：陕西中桓国际项目管理有限公司项目部</w:t>
      </w:r>
    </w:p>
    <w:p w14:paraId="6AB867F1">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33.8.4联系电话：见供应商须知前附表</w:t>
      </w:r>
    </w:p>
    <w:p w14:paraId="473D3F06">
      <w:pPr>
        <w:pStyle w:val="80"/>
        <w:keepNext w:val="0"/>
        <w:keepLines w:val="0"/>
        <w:pageBreakBefore w:val="0"/>
        <w:kinsoku/>
        <w:wordWrap/>
        <w:overflowPunct/>
        <w:topLinePunct w:val="0"/>
        <w:autoSpaceDE/>
        <w:autoSpaceDN/>
        <w:bidi w:val="0"/>
        <w:adjustRightInd/>
        <w:snapToGrid/>
        <w:spacing w:line="480" w:lineRule="auto"/>
        <w:ind w:firstLine="480" w:firstLineChars="0"/>
        <w:jc w:val="left"/>
        <w:textAlignment w:val="auto"/>
        <w:rPr>
          <w:rFonts w:hint="eastAsia" w:ascii="宋体" w:hAnsi="宋体" w:eastAsia="宋体" w:cs="宋体"/>
          <w:szCs w:val="24"/>
          <w:highlight w:val="none"/>
        </w:rPr>
      </w:pPr>
      <w:r>
        <w:rPr>
          <w:rFonts w:hint="eastAsia" w:ascii="宋体" w:hAnsi="宋体" w:eastAsia="宋体" w:cs="宋体"/>
          <w:sz w:val="24"/>
          <w:szCs w:val="24"/>
          <w:highlight w:val="none"/>
        </w:rPr>
        <w:t>33.8.5通讯地址：</w:t>
      </w:r>
      <w:r>
        <w:rPr>
          <w:rFonts w:hint="eastAsia" w:ascii="宋体" w:hAnsi="宋体" w:eastAsia="宋体" w:cs="宋体"/>
          <w:color w:val="000000"/>
          <w:sz w:val="24"/>
          <w:szCs w:val="24"/>
          <w:highlight w:val="none"/>
        </w:rPr>
        <w:t>黄陵县轩辕大道原石油公司办公楼二楼</w:t>
      </w:r>
    </w:p>
    <w:p w14:paraId="4AECBA7D">
      <w:pPr>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34.其他</w:t>
      </w:r>
    </w:p>
    <w:p w14:paraId="08E8C3A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34.1谈判步骤为：第一次报价---分别谈判---第二次报价---评审推荐成交人。（注：谈判响应文件拆封时的价格为第一次报价，无效谈判供应商将不得进入第二次报价）。</w:t>
      </w:r>
    </w:p>
    <w:p w14:paraId="080D88E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34.2当第二次报价全部超过谈判文件规定的采购预算（或最高限价）或均低于公认的制作成本时，谈判小组有权决定是否谈判失败或进行第三次报价。当第三次报价若超出财政预算，且采购人又无力支付，谈判小组有权决定谈判失败。</w:t>
      </w:r>
    </w:p>
    <w:p w14:paraId="7F619D9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rPr>
        <w:t>34.3</w:t>
      </w:r>
      <w:r>
        <w:rPr>
          <w:rFonts w:hint="eastAsia" w:ascii="宋体" w:hAnsi="宋体" w:eastAsia="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4D62321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14:paraId="48B8577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35.</w:t>
      </w:r>
      <w:r>
        <w:rPr>
          <w:rFonts w:hint="eastAsia" w:ascii="宋体" w:hAnsi="宋体" w:eastAsia="宋体" w:cs="宋体"/>
          <w:b/>
          <w:bCs/>
          <w:sz w:val="24"/>
          <w:szCs w:val="24"/>
          <w:highlight w:val="none"/>
        </w:rPr>
        <w:t>需要补充的其他内容：</w:t>
      </w:r>
      <w:bookmarkStart w:id="39" w:name="_Toc356305901"/>
      <w:r>
        <w:rPr>
          <w:rFonts w:hint="eastAsia" w:ascii="宋体" w:hAnsi="宋体" w:eastAsia="宋体" w:cs="宋体"/>
          <w:b/>
          <w:bCs/>
          <w:sz w:val="24"/>
          <w:szCs w:val="24"/>
          <w:highlight w:val="none"/>
        </w:rPr>
        <w:t>详见供应商须知前附表</w:t>
      </w:r>
      <w:bookmarkEnd w:id="39"/>
      <w:r>
        <w:rPr>
          <w:rFonts w:hint="eastAsia" w:ascii="宋体" w:hAnsi="宋体" w:eastAsia="宋体" w:cs="宋体"/>
          <w:b/>
          <w:bCs/>
          <w:sz w:val="24"/>
          <w:szCs w:val="24"/>
          <w:highlight w:val="none"/>
        </w:rPr>
        <w:t>。</w:t>
      </w:r>
    </w:p>
    <w:p w14:paraId="220E7715">
      <w:pPr>
        <w:spacing w:line="360" w:lineRule="auto"/>
        <w:rPr>
          <w:rFonts w:hint="eastAsia" w:ascii="宋体" w:hAnsi="宋体" w:eastAsia="宋体" w:cs="宋体"/>
          <w:b/>
          <w:kern w:val="0"/>
          <w:sz w:val="24"/>
          <w:szCs w:val="24"/>
          <w:highlight w:val="none"/>
        </w:rPr>
      </w:pPr>
    </w:p>
    <w:p w14:paraId="520092C1">
      <w:pPr>
        <w:rPr>
          <w:rFonts w:hint="eastAsia" w:ascii="宋体" w:hAnsi="宋体" w:eastAsia="宋体" w:cs="宋体"/>
          <w:b/>
          <w:kern w:val="0"/>
          <w:sz w:val="24"/>
          <w:szCs w:val="24"/>
          <w:highlight w:val="none"/>
        </w:rPr>
      </w:pPr>
    </w:p>
    <w:p w14:paraId="09933C87">
      <w:pPr>
        <w:rPr>
          <w:rFonts w:hint="eastAsia" w:ascii="宋体" w:hAnsi="宋体" w:eastAsia="宋体" w:cs="宋体"/>
          <w:b/>
          <w:bCs/>
          <w:sz w:val="36"/>
          <w:szCs w:val="36"/>
          <w:highlight w:val="none"/>
        </w:rPr>
      </w:pPr>
      <w:bookmarkStart w:id="40" w:name="_Toc409690876"/>
      <w:bookmarkStart w:id="41" w:name="_Toc20645"/>
      <w:bookmarkStart w:id="42" w:name="_Toc31299"/>
      <w:bookmarkStart w:id="43" w:name="_Toc8912"/>
      <w:bookmarkStart w:id="44" w:name="_Toc425781309"/>
      <w:bookmarkStart w:id="45" w:name="_Toc405358615"/>
      <w:bookmarkStart w:id="46" w:name="_Toc7665"/>
      <w:bookmarkStart w:id="47" w:name="_Toc25472"/>
      <w:bookmarkStart w:id="48" w:name="_Toc409690877"/>
      <w:bookmarkStart w:id="49" w:name="_Toc75232033"/>
      <w:bookmarkStart w:id="50" w:name="_Toc19921"/>
      <w:r>
        <w:rPr>
          <w:rFonts w:hint="eastAsia" w:ascii="宋体" w:hAnsi="宋体" w:eastAsia="宋体" w:cs="宋体"/>
          <w:b/>
          <w:bCs/>
          <w:sz w:val="36"/>
          <w:szCs w:val="36"/>
          <w:highlight w:val="none"/>
        </w:rPr>
        <w:br w:type="page"/>
      </w:r>
    </w:p>
    <w:p w14:paraId="35607A58">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第三章 合同条款</w:t>
      </w:r>
      <w:bookmarkEnd w:id="40"/>
      <w:bookmarkEnd w:id="41"/>
      <w:bookmarkEnd w:id="42"/>
      <w:r>
        <w:rPr>
          <w:rFonts w:hint="eastAsia" w:ascii="宋体" w:hAnsi="宋体" w:eastAsia="宋体" w:cs="宋体"/>
          <w:b/>
          <w:bCs/>
          <w:sz w:val="36"/>
          <w:szCs w:val="36"/>
          <w:highlight w:val="none"/>
        </w:rPr>
        <w:t>及格式</w:t>
      </w:r>
      <w:bookmarkEnd w:id="43"/>
      <w:bookmarkEnd w:id="44"/>
    </w:p>
    <w:bookmarkEnd w:id="45"/>
    <w:p w14:paraId="0254D1A8">
      <w:pPr>
        <w:jc w:val="both"/>
        <w:rPr>
          <w:rFonts w:hint="eastAsia" w:ascii="宋体" w:hAnsi="宋体" w:cs="宋体"/>
          <w:b/>
          <w:spacing w:val="-23"/>
          <w:sz w:val="52"/>
          <w:szCs w:val="52"/>
          <w:highlight w:val="none"/>
          <w:lang w:eastAsia="zh-CN"/>
        </w:rPr>
      </w:pPr>
    </w:p>
    <w:p w14:paraId="1169C6B5">
      <w:pPr>
        <w:jc w:val="center"/>
        <w:rPr>
          <w:rFonts w:hint="eastAsia" w:ascii="宋体" w:hAnsi="宋体" w:cs="宋体"/>
          <w:b/>
          <w:spacing w:val="-23"/>
          <w:sz w:val="52"/>
          <w:szCs w:val="52"/>
          <w:highlight w:val="none"/>
          <w:lang w:eastAsia="zh-CN"/>
        </w:rPr>
      </w:pPr>
    </w:p>
    <w:p w14:paraId="4E115B31">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黄陵县大院子区域补充勘探和瓦窑坪区域煤炭资源普查项目技术服务</w:t>
      </w:r>
    </w:p>
    <w:p w14:paraId="29630067">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sz w:val="52"/>
          <w:szCs w:val="52"/>
          <w:highlight w:val="none"/>
        </w:rPr>
      </w:pPr>
      <w:r>
        <w:rPr>
          <w:rFonts w:hint="eastAsia" w:ascii="宋体" w:hAnsi="宋体" w:eastAsia="宋体" w:cs="宋体"/>
          <w:b/>
          <w:sz w:val="48"/>
          <w:szCs w:val="48"/>
          <w:highlight w:val="none"/>
        </w:rPr>
        <w:t>采购合同</w:t>
      </w:r>
    </w:p>
    <w:p w14:paraId="5049A9BB">
      <w:pPr>
        <w:jc w:val="center"/>
        <w:rPr>
          <w:rFonts w:hint="eastAsia" w:ascii="宋体" w:hAnsi="宋体" w:eastAsia="宋体" w:cs="宋体"/>
          <w:sz w:val="28"/>
          <w:szCs w:val="24"/>
          <w:highlight w:val="none"/>
        </w:rPr>
      </w:pPr>
    </w:p>
    <w:p w14:paraId="4E41E198">
      <w:pPr>
        <w:ind w:firstLine="480" w:firstLineChars="200"/>
        <w:rPr>
          <w:rFonts w:hint="eastAsia" w:ascii="宋体" w:hAnsi="宋体" w:eastAsia="宋体" w:cs="宋体"/>
          <w:sz w:val="24"/>
          <w:highlight w:val="none"/>
        </w:rPr>
      </w:pPr>
    </w:p>
    <w:p w14:paraId="5B38AC6E">
      <w:pPr>
        <w:ind w:firstLine="480" w:firstLineChars="200"/>
        <w:rPr>
          <w:rFonts w:hint="eastAsia" w:ascii="宋体" w:hAnsi="宋体" w:eastAsia="宋体" w:cs="宋体"/>
          <w:sz w:val="24"/>
          <w:highlight w:val="none"/>
        </w:rPr>
      </w:pPr>
    </w:p>
    <w:p w14:paraId="1CEB233E">
      <w:pPr>
        <w:ind w:firstLine="480" w:firstLineChars="200"/>
        <w:rPr>
          <w:rFonts w:hint="eastAsia" w:ascii="宋体" w:hAnsi="宋体" w:eastAsia="宋体" w:cs="宋体"/>
          <w:sz w:val="24"/>
          <w:highlight w:val="none"/>
        </w:rPr>
      </w:pPr>
    </w:p>
    <w:p w14:paraId="78287AF8">
      <w:pPr>
        <w:rPr>
          <w:rFonts w:hint="eastAsia" w:ascii="宋体" w:hAnsi="宋体" w:eastAsia="宋体" w:cs="宋体"/>
          <w:sz w:val="24"/>
          <w:highlight w:val="none"/>
        </w:rPr>
      </w:pPr>
    </w:p>
    <w:p w14:paraId="58332C77">
      <w:pPr>
        <w:ind w:firstLine="480" w:firstLineChars="200"/>
        <w:rPr>
          <w:rFonts w:hint="eastAsia" w:ascii="宋体" w:hAnsi="宋体" w:eastAsia="宋体" w:cs="宋体"/>
          <w:sz w:val="24"/>
          <w:highlight w:val="none"/>
        </w:rPr>
      </w:pPr>
    </w:p>
    <w:p w14:paraId="7EBBE503">
      <w:pPr>
        <w:ind w:firstLine="480" w:firstLineChars="200"/>
        <w:rPr>
          <w:rFonts w:hint="eastAsia" w:ascii="宋体" w:hAnsi="宋体" w:eastAsia="宋体" w:cs="宋体"/>
          <w:sz w:val="24"/>
          <w:highlight w:val="none"/>
        </w:rPr>
      </w:pPr>
    </w:p>
    <w:p w14:paraId="49DE76B9">
      <w:pPr>
        <w:ind w:firstLine="480" w:firstLineChars="200"/>
        <w:rPr>
          <w:rFonts w:hint="eastAsia" w:ascii="宋体" w:hAnsi="宋体" w:eastAsia="宋体" w:cs="宋体"/>
          <w:sz w:val="24"/>
          <w:highlight w:val="none"/>
        </w:rPr>
      </w:pPr>
    </w:p>
    <w:p w14:paraId="74C953BC">
      <w:pPr>
        <w:ind w:firstLine="480" w:firstLineChars="200"/>
        <w:rPr>
          <w:rFonts w:hint="eastAsia" w:ascii="宋体" w:hAnsi="宋体" w:eastAsia="宋体" w:cs="宋体"/>
          <w:sz w:val="24"/>
          <w:highlight w:val="none"/>
        </w:rPr>
      </w:pPr>
    </w:p>
    <w:p w14:paraId="5D5EFC1D">
      <w:pPr>
        <w:ind w:firstLine="480" w:firstLineChars="200"/>
        <w:rPr>
          <w:rFonts w:hint="eastAsia" w:ascii="宋体" w:hAnsi="宋体" w:eastAsia="宋体" w:cs="宋体"/>
          <w:sz w:val="24"/>
          <w:highlight w:val="none"/>
        </w:rPr>
      </w:pPr>
    </w:p>
    <w:p w14:paraId="335B1BAE">
      <w:pPr>
        <w:ind w:firstLine="480" w:firstLineChars="200"/>
        <w:rPr>
          <w:rFonts w:hint="eastAsia" w:ascii="宋体" w:hAnsi="宋体" w:eastAsia="宋体" w:cs="宋体"/>
          <w:sz w:val="24"/>
          <w:highlight w:val="none"/>
        </w:rPr>
      </w:pPr>
    </w:p>
    <w:p w14:paraId="69F17048">
      <w:pPr>
        <w:ind w:firstLine="480" w:firstLineChars="200"/>
        <w:rPr>
          <w:rFonts w:hint="eastAsia" w:ascii="宋体" w:hAnsi="宋体" w:eastAsia="宋体" w:cs="宋体"/>
          <w:sz w:val="24"/>
          <w:highlight w:val="none"/>
        </w:rPr>
      </w:pPr>
    </w:p>
    <w:p w14:paraId="5211D134">
      <w:pPr>
        <w:ind w:firstLine="480" w:firstLineChars="200"/>
        <w:rPr>
          <w:rFonts w:hint="eastAsia" w:ascii="宋体" w:hAnsi="宋体" w:eastAsia="宋体" w:cs="宋体"/>
          <w:sz w:val="24"/>
          <w:highlight w:val="none"/>
        </w:rPr>
      </w:pPr>
    </w:p>
    <w:p w14:paraId="67FAB9C0">
      <w:pPr>
        <w:ind w:firstLine="480" w:firstLineChars="200"/>
        <w:rPr>
          <w:rFonts w:hint="eastAsia" w:ascii="宋体" w:hAnsi="宋体" w:eastAsia="宋体" w:cs="宋体"/>
          <w:sz w:val="24"/>
          <w:highlight w:val="none"/>
        </w:rPr>
      </w:pPr>
    </w:p>
    <w:p w14:paraId="37C4574E">
      <w:pPr>
        <w:ind w:firstLine="480" w:firstLineChars="200"/>
        <w:rPr>
          <w:rFonts w:hint="eastAsia" w:ascii="宋体" w:hAnsi="宋体" w:eastAsia="宋体" w:cs="宋体"/>
          <w:sz w:val="24"/>
          <w:highlight w:val="none"/>
        </w:rPr>
      </w:pPr>
    </w:p>
    <w:p w14:paraId="76DFD116">
      <w:pPr>
        <w:ind w:firstLine="480" w:firstLineChars="200"/>
        <w:rPr>
          <w:rFonts w:hint="eastAsia" w:ascii="宋体" w:hAnsi="宋体" w:eastAsia="宋体" w:cs="宋体"/>
          <w:sz w:val="24"/>
          <w:highlight w:val="none"/>
        </w:rPr>
      </w:pPr>
    </w:p>
    <w:p w14:paraId="1F6176C4">
      <w:pPr>
        <w:ind w:firstLine="480" w:firstLineChars="200"/>
        <w:rPr>
          <w:rFonts w:hint="eastAsia" w:ascii="宋体" w:hAnsi="宋体" w:eastAsia="宋体" w:cs="宋体"/>
          <w:sz w:val="24"/>
          <w:highlight w:val="none"/>
        </w:rPr>
      </w:pPr>
    </w:p>
    <w:p w14:paraId="6172062E">
      <w:pPr>
        <w:ind w:firstLine="480" w:firstLineChars="200"/>
        <w:rPr>
          <w:rFonts w:hint="eastAsia" w:ascii="宋体" w:hAnsi="宋体" w:eastAsia="宋体" w:cs="宋体"/>
          <w:sz w:val="24"/>
          <w:highlight w:val="none"/>
        </w:rPr>
      </w:pPr>
    </w:p>
    <w:p w14:paraId="1659A729">
      <w:pPr>
        <w:ind w:firstLine="1687" w:firstLineChars="60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u w:val="single"/>
          <w:lang w:val="en-US" w:eastAsia="zh-CN"/>
        </w:rPr>
        <w:t xml:space="preserve">                       </w:t>
      </w:r>
    </w:p>
    <w:p w14:paraId="1132061E">
      <w:pPr>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br w:type="page"/>
      </w:r>
    </w:p>
    <w:p w14:paraId="078CAB14">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委托</w:t>
      </w:r>
      <w:r>
        <w:rPr>
          <w:rFonts w:hint="eastAsia" w:ascii="宋体" w:hAnsi="宋体" w:eastAsia="宋体" w:cs="宋体"/>
          <w:b/>
          <w:bCs/>
          <w:sz w:val="24"/>
          <w:szCs w:val="24"/>
          <w:highlight w:val="none"/>
          <w:lang w:eastAsia="zh-CN"/>
        </w:rPr>
        <w:t>方：</w:t>
      </w:r>
      <w:r>
        <w:rPr>
          <w:rFonts w:hint="eastAsia" w:ascii="宋体" w:hAnsi="宋体" w:cs="宋体"/>
          <w:b/>
          <w:bCs/>
          <w:color w:val="000000"/>
          <w:sz w:val="24"/>
          <w:szCs w:val="24"/>
          <w:highlight w:val="none"/>
          <w:u w:val="single"/>
          <w:lang w:eastAsia="zh-CN"/>
        </w:rPr>
        <w:t>黄陵县工业和煤炭局</w:t>
      </w:r>
      <w:r>
        <w:rPr>
          <w:rFonts w:hint="eastAsia" w:ascii="宋体" w:hAnsi="宋体" w:eastAsia="宋体" w:cs="宋体"/>
          <w:b/>
          <w:bCs/>
          <w:sz w:val="24"/>
          <w:szCs w:val="24"/>
          <w:highlight w:val="none"/>
        </w:rPr>
        <w:t>（以下称为甲方）</w:t>
      </w:r>
    </w:p>
    <w:p w14:paraId="4FF9F05A">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受托方：</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（以下称为乙方）</w:t>
      </w:r>
    </w:p>
    <w:p w14:paraId="3B34A8B4">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w:t>
      </w:r>
      <w:r>
        <w:rPr>
          <w:rFonts w:hint="eastAsia" w:ascii="宋体" w:hAnsi="宋体" w:cs="宋体"/>
          <w:sz w:val="24"/>
          <w:szCs w:val="24"/>
          <w:highlight w:val="none"/>
          <w:lang w:val="en-US" w:eastAsia="zh-CN"/>
        </w:rPr>
        <w:t>政府采购法</w:t>
      </w:r>
      <w:r>
        <w:rPr>
          <w:rFonts w:hint="eastAsia" w:ascii="宋体" w:hAnsi="宋体" w:eastAsia="宋体" w:cs="宋体"/>
          <w:sz w:val="24"/>
          <w:szCs w:val="24"/>
          <w:highlight w:val="none"/>
        </w:rPr>
        <w:t>》等相关法律法规，经甲乙双方协商一致，签订本合同。</w:t>
      </w:r>
    </w:p>
    <w:p w14:paraId="45612D0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服务内容和范围</w:t>
      </w:r>
    </w:p>
    <w:p w14:paraId="754D79B2">
      <w:pPr>
        <w:keepNext w:val="0"/>
        <w:keepLines w:val="0"/>
        <w:pageBreakBefore w:val="0"/>
        <w:numPr>
          <w:ilvl w:val="0"/>
          <w:numId w:val="5"/>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 xml:space="preserve">                         </w:t>
      </w:r>
    </w:p>
    <w:p w14:paraId="1815949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720" w:firstLineChars="300"/>
        <w:jc w:val="both"/>
        <w:rPr>
          <w:rFonts w:hint="eastAsia" w:ascii="宋体" w:hAnsi="宋体" w:cs="宋体"/>
          <w:sz w:val="24"/>
          <w:szCs w:val="24"/>
          <w:highlight w:val="none"/>
          <w:u w:val="single"/>
          <w:lang w:val="en-US" w:eastAsia="zh-CN"/>
        </w:rPr>
      </w:pPr>
      <w:r>
        <w:rPr>
          <w:rFonts w:hint="eastAsia" w:ascii="宋体" w:hAnsi="宋体" w:eastAsia="宋体" w:cs="宋体"/>
          <w:sz w:val="24"/>
          <w:szCs w:val="24"/>
          <w:highlight w:val="none"/>
        </w:rPr>
        <w:t>工作内容：</w:t>
      </w:r>
      <w:r>
        <w:rPr>
          <w:rFonts w:hint="eastAsia" w:ascii="宋体" w:hAnsi="宋体" w:cs="宋体"/>
          <w:sz w:val="24"/>
          <w:szCs w:val="24"/>
          <w:highlight w:val="none"/>
          <w:u w:val="single"/>
          <w:lang w:val="en-US" w:eastAsia="zh-CN"/>
        </w:rPr>
        <w:t xml:space="preserve">                        </w:t>
      </w:r>
    </w:p>
    <w:p w14:paraId="27E0604B">
      <w:pPr>
        <w:spacing w:line="360" w:lineRule="auto"/>
        <w:ind w:firstLine="480" w:firstLineChars="200"/>
        <w:rPr>
          <w:rFonts w:hint="eastAsia" w:ascii="宋体" w:hAnsi="宋体" w:cs="宋体"/>
          <w:sz w:val="24"/>
          <w:szCs w:val="24"/>
          <w:highlight w:val="none"/>
        </w:rPr>
      </w:pPr>
      <w:bookmarkStart w:id="51" w:name="OLE_LINK8"/>
      <w:r>
        <w:rPr>
          <w:rFonts w:hint="eastAsia" w:ascii="宋体" w:hAnsi="宋体" w:eastAsia="宋体" w:cs="宋体"/>
          <w:sz w:val="24"/>
          <w:szCs w:val="24"/>
          <w:highlight w:val="none"/>
          <w:lang w:val="en-US" w:eastAsia="zh-CN"/>
        </w:rPr>
        <w:t>二、</w:t>
      </w:r>
      <w:bookmarkStart w:id="52" w:name="OLE_LINK9"/>
      <w:r>
        <w:rPr>
          <w:rFonts w:hint="eastAsia" w:ascii="宋体" w:hAnsi="宋体" w:cs="宋体"/>
          <w:sz w:val="24"/>
          <w:szCs w:val="24"/>
          <w:highlight w:val="none"/>
        </w:rPr>
        <w:t>技术规范及质量标准</w:t>
      </w:r>
    </w:p>
    <w:bookmarkEnd w:id="51"/>
    <w:bookmarkEnd w:id="52"/>
    <w:p w14:paraId="0A9428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（1）技术规范</w:t>
      </w:r>
    </w:p>
    <w:p w14:paraId="0301FB9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技术服务遵循国家有关技术规范规程如下：</w:t>
      </w:r>
    </w:p>
    <w:p w14:paraId="1BB01C4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1、《煤，泥炭矿产资源勘查规范》（DZ/T0215-2020)</w:t>
      </w:r>
    </w:p>
    <w:p w14:paraId="7FE77D2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2、《地质勘查测量规范》（GB/T18341-2021)</w:t>
      </w:r>
    </w:p>
    <w:p w14:paraId="5DC1D3C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3、《煤炭地质钻探规程》（MT/T1076-2008)</w:t>
      </w:r>
    </w:p>
    <w:p w14:paraId="6BF0BDA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4、《煤田地震勘探规范》（DZ/T0030-2017)</w:t>
      </w:r>
    </w:p>
    <w:p w14:paraId="7BB9B82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5、《固体矿产资源储量分类》（GB/T17766-2020)</w:t>
      </w:r>
    </w:p>
    <w:p w14:paraId="609552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6、《煤炭地球物理测井规范》（DZ/T0080-2010)</w:t>
      </w:r>
    </w:p>
    <w:p w14:paraId="3E79C6B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7、《绿色地质勘查工作规范》（TZ/T0374-2021)</w:t>
      </w:r>
    </w:p>
    <w:p w14:paraId="63C9D81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8.其他国家现行的技术规范及行业现行的技术规定</w:t>
      </w:r>
      <w:r>
        <w:rPr>
          <w:rFonts w:hint="eastAsia"/>
          <w:sz w:val="24"/>
          <w:szCs w:val="32"/>
          <w:highlight w:val="none"/>
          <w:lang w:bidi="ar"/>
        </w:rPr>
        <w:t>（如有最新颁布的政府采购政策，按最新的文件执行）</w:t>
      </w:r>
      <w:r>
        <w:rPr>
          <w:rFonts w:hint="eastAsia" w:ascii="宋体" w:hAnsi="宋体"/>
          <w:sz w:val="24"/>
          <w:szCs w:val="24"/>
          <w:highlight w:val="none"/>
        </w:rPr>
        <w:t>。</w:t>
      </w:r>
    </w:p>
    <w:p w14:paraId="51C93BF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（2）质量标准</w:t>
      </w:r>
      <w:r>
        <w:rPr>
          <w:rFonts w:hint="eastAsia" w:ascii="宋体" w:hAnsi="宋体" w:cs="宋体"/>
          <w:sz w:val="24"/>
          <w:szCs w:val="24"/>
          <w:highlight w:val="none"/>
          <w:lang w:eastAsia="zh-CN"/>
        </w:rPr>
        <w:t>：</w:t>
      </w:r>
      <w:r>
        <w:rPr>
          <w:rFonts w:hint="eastAsia" w:ascii="宋体" w:hAnsi="宋体" w:cs="宋体"/>
          <w:sz w:val="24"/>
          <w:szCs w:val="24"/>
          <w:highlight w:val="none"/>
        </w:rPr>
        <w:t>方案成果需经上级主管部门验收通过。</w:t>
      </w:r>
    </w:p>
    <w:p w14:paraId="0DB042D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成果</w:t>
      </w:r>
      <w:r>
        <w:rPr>
          <w:rFonts w:hint="eastAsia" w:ascii="宋体" w:hAnsi="宋体" w:cs="宋体"/>
          <w:sz w:val="24"/>
          <w:szCs w:val="24"/>
          <w:highlight w:val="none"/>
          <w:lang w:val="en-US" w:eastAsia="zh-CN"/>
        </w:rPr>
        <w:t>要求</w:t>
      </w:r>
    </w:p>
    <w:p w14:paraId="5FA7BB5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1、煤田普查中各个环节不同类型的设计、报告的审查意见及批复文稿；</w:t>
      </w:r>
    </w:p>
    <w:p w14:paraId="10FB57B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2、煤田普查中各个环节、不同类型勘查工程质量验收，提交质量验收报告；</w:t>
      </w:r>
    </w:p>
    <w:p w14:paraId="116529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3、煤田普查各类勘查工程经费预算及决算报告；</w:t>
      </w:r>
    </w:p>
    <w:p w14:paraId="35C6DB90">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eastAsia="zh-CN"/>
        </w:rPr>
        <w:t>黄陵县大院子区域补充勘探和瓦窑坪区域煤炭资源普查项目技术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报告</w:t>
      </w:r>
    </w:p>
    <w:p w14:paraId="14DFEEF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5、成果知识产权归属：本项目完成后知识权归采购人所有，中标人所提供的成果不得有任何侵害第三方知识产权或其他合法权益之处，如有上述问题，由中标人承担相关法律法规责任。</w:t>
      </w:r>
    </w:p>
    <w:p w14:paraId="5AD8F78E">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bookmarkStart w:id="53" w:name="OLE_LINK10"/>
      <w:r>
        <w:rPr>
          <w:rFonts w:hint="eastAsia" w:ascii="宋体" w:hAnsi="宋体" w:cs="宋体"/>
          <w:sz w:val="24"/>
          <w:szCs w:val="24"/>
          <w:highlight w:val="none"/>
          <w:lang w:val="en-US" w:eastAsia="zh-CN"/>
        </w:rPr>
        <w:t>成果载体一采购人需求为准。</w:t>
      </w:r>
      <w:bookmarkEnd w:id="53"/>
    </w:p>
    <w:p w14:paraId="02DE719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合同价款及支付流程</w:t>
      </w:r>
    </w:p>
    <w:p w14:paraId="0DC7E255">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、合同总价即成交价，谈判供应商应在谈判报价表</w:t>
      </w:r>
      <w:r>
        <w:rPr>
          <w:rFonts w:hint="eastAsia" w:ascii="宋体" w:hAnsi="宋体" w:cs="宋体"/>
          <w:sz w:val="24"/>
          <w:szCs w:val="24"/>
          <w:highlight w:val="none"/>
          <w:lang w:eastAsia="zh-CN"/>
        </w:rPr>
        <w:t>中</w:t>
      </w:r>
      <w:r>
        <w:rPr>
          <w:rFonts w:hint="eastAsia" w:ascii="宋体" w:hAnsi="宋体" w:eastAsia="宋体" w:cs="宋体"/>
          <w:sz w:val="24"/>
          <w:szCs w:val="24"/>
          <w:highlight w:val="none"/>
          <w:lang w:eastAsia="zh-CN"/>
        </w:rPr>
        <w:t>列明</w:t>
      </w:r>
      <w:r>
        <w:rPr>
          <w:rFonts w:hint="eastAsia" w:ascii="宋体" w:hAnsi="宋体" w:eastAsia="宋体" w:cs="宋体"/>
          <w:sz w:val="24"/>
          <w:szCs w:val="24"/>
          <w:highlight w:val="none"/>
        </w:rPr>
        <w:t>完成本次谈判所要求的服务并验收至合格的所有费用。</w:t>
      </w:r>
    </w:p>
    <w:p w14:paraId="550D8F8F">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合同总价一次包死，不受市场价变化或实际工作量变化的影响。</w:t>
      </w:r>
    </w:p>
    <w:p w14:paraId="3BDE7996">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、付款方式</w:t>
      </w:r>
      <w:r>
        <w:rPr>
          <w:rFonts w:hint="eastAsia" w:ascii="宋体" w:hAnsi="宋体" w:eastAsia="宋体" w:cs="宋体"/>
          <w:sz w:val="24"/>
          <w:szCs w:val="24"/>
          <w:highlight w:val="none"/>
        </w:rPr>
        <w:t>和程序：</w:t>
      </w:r>
    </w:p>
    <w:p w14:paraId="3E75069E">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1在双方协议签定后，由甲方向乙方账户支付总预算金额的40%，在普查工作全部完成，成果验收通过后，再支付总预算金额的40%，在普查报告获得省自然资源厅评审机构评审通过后，再按决算的总金额减去已经支付部分，将剩余部分支付乙方账户。</w:t>
      </w:r>
    </w:p>
    <w:p w14:paraId="3C5EF5F1">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3.2</w:t>
      </w:r>
      <w:r>
        <w:rPr>
          <w:rFonts w:hint="eastAsia" w:ascii="宋体" w:hAnsi="宋体" w:eastAsia="宋体" w:cs="宋体"/>
          <w:color w:val="auto"/>
          <w:sz w:val="24"/>
          <w:szCs w:val="24"/>
          <w:highlight w:val="none"/>
          <w:lang w:val="zh-CN" w:eastAsia="zh-CN"/>
        </w:rPr>
        <w:t>甲方凭乙方提供的合格有效的增值税发票付款。</w:t>
      </w:r>
    </w:p>
    <w:p w14:paraId="5C7D3122">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采购人完成政府采购合同备案，且收到正式发票后，按照上述程序进行支付。</w:t>
      </w:r>
    </w:p>
    <w:p w14:paraId="028BB4A9">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结算方式：银行转账。</w:t>
      </w:r>
    </w:p>
    <w:p w14:paraId="02FCC4E0">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结算单位：由采购人负责结算，</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须向采购人出具合法有效的完税发票，采购人进行支付结算。</w:t>
      </w:r>
    </w:p>
    <w:p w14:paraId="700999D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甲方的职责</w:t>
      </w:r>
    </w:p>
    <w:p w14:paraId="74BADE86">
      <w:pPr>
        <w:keepNext w:val="0"/>
        <w:keepLines w:val="0"/>
        <w:pageBreakBefore w:val="0"/>
        <w:numPr>
          <w:ilvl w:val="0"/>
          <w:numId w:val="6"/>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甲方须确定具体的</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范围，避免漏</w:t>
      </w:r>
      <w:r>
        <w:rPr>
          <w:rFonts w:hint="eastAsia" w:ascii="宋体" w:hAnsi="宋体" w:cs="宋体"/>
          <w:sz w:val="24"/>
          <w:szCs w:val="24"/>
          <w:highlight w:val="none"/>
          <w:lang w:val="en-US" w:eastAsia="zh-CN"/>
        </w:rPr>
        <w:t>项</w:t>
      </w:r>
      <w:r>
        <w:rPr>
          <w:rFonts w:hint="eastAsia" w:ascii="宋体" w:hAnsi="宋体" w:eastAsia="宋体" w:cs="宋体"/>
          <w:sz w:val="24"/>
          <w:szCs w:val="24"/>
          <w:highlight w:val="none"/>
        </w:rPr>
        <w:t>或超出范围；须向乙方提供工作范围内相关资料。</w:t>
      </w:r>
    </w:p>
    <w:p w14:paraId="6E4BBF7A">
      <w:pPr>
        <w:keepNext w:val="0"/>
        <w:keepLines w:val="0"/>
        <w:pageBreakBefore w:val="0"/>
        <w:numPr>
          <w:ilvl w:val="0"/>
          <w:numId w:val="6"/>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甲方应全力支持乙方的工作，并负责</w:t>
      </w:r>
      <w:r>
        <w:rPr>
          <w:rFonts w:hint="eastAsia" w:ascii="宋体" w:hAnsi="宋体" w:cs="宋体"/>
          <w:sz w:val="24"/>
          <w:szCs w:val="24"/>
          <w:highlight w:val="none"/>
          <w:lang w:val="en-US" w:eastAsia="zh-CN"/>
        </w:rPr>
        <w:t>工作</w:t>
      </w:r>
      <w:r>
        <w:rPr>
          <w:rFonts w:hint="eastAsia" w:ascii="宋体" w:hAnsi="宋体" w:eastAsia="宋体" w:cs="宋体"/>
          <w:sz w:val="24"/>
          <w:szCs w:val="24"/>
          <w:highlight w:val="none"/>
        </w:rPr>
        <w:t>范围内的单位及群众协调工作，遇到问题及时处理，协助乙方顺利进行</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工作。</w:t>
      </w:r>
    </w:p>
    <w:p w14:paraId="4486DC62">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乙方的职责</w:t>
      </w:r>
    </w:p>
    <w:p w14:paraId="55DDDEBA">
      <w:pPr>
        <w:keepNext w:val="0"/>
        <w:keepLines w:val="0"/>
        <w:pageBreakBefore w:val="0"/>
        <w:numPr>
          <w:ilvl w:val="0"/>
          <w:numId w:val="8"/>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乙方负责</w:t>
      </w:r>
      <w:r>
        <w:rPr>
          <w:rFonts w:hint="eastAsia" w:ascii="宋体" w:hAnsi="宋体" w:cs="宋体"/>
          <w:sz w:val="24"/>
          <w:szCs w:val="24"/>
          <w:highlight w:val="none"/>
          <w:lang w:val="en-US" w:eastAsia="zh-CN"/>
        </w:rPr>
        <w:t>编制工作</w:t>
      </w:r>
      <w:r>
        <w:rPr>
          <w:rFonts w:hint="eastAsia" w:ascii="宋体" w:hAnsi="宋体" w:eastAsia="宋体" w:cs="宋体"/>
          <w:sz w:val="24"/>
          <w:szCs w:val="24"/>
          <w:highlight w:val="none"/>
        </w:rPr>
        <w:t>范围内数据的获取与处理，保障数据的完整性、真实性，及时完成</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数据的生产。</w:t>
      </w:r>
    </w:p>
    <w:p w14:paraId="352F5A99">
      <w:pPr>
        <w:keepNext w:val="0"/>
        <w:keepLines w:val="0"/>
        <w:pageBreakBefore w:val="0"/>
        <w:numPr>
          <w:ilvl w:val="0"/>
          <w:numId w:val="8"/>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乙方负责项目实施阶段乙方的人员与设备安全。</w:t>
      </w:r>
    </w:p>
    <w:p w14:paraId="7E21AE15">
      <w:pPr>
        <w:keepNext w:val="0"/>
        <w:keepLines w:val="0"/>
        <w:pageBreakBefore w:val="0"/>
        <w:numPr>
          <w:ilvl w:val="0"/>
          <w:numId w:val="8"/>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对于甲方提供技术资料以及属于甲方的</w:t>
      </w:r>
      <w:r>
        <w:rPr>
          <w:rFonts w:hint="eastAsia" w:ascii="宋体" w:hAnsi="宋体" w:cs="宋体"/>
          <w:sz w:val="24"/>
          <w:szCs w:val="24"/>
          <w:highlight w:val="none"/>
          <w:lang w:val="en-US" w:eastAsia="zh-CN"/>
        </w:rPr>
        <w:t>编制</w:t>
      </w:r>
      <w:r>
        <w:rPr>
          <w:rFonts w:hint="eastAsia" w:ascii="宋体" w:hAnsi="宋体" w:eastAsia="宋体" w:cs="宋体"/>
          <w:sz w:val="24"/>
          <w:szCs w:val="24"/>
          <w:highlight w:val="none"/>
        </w:rPr>
        <w:t>成果，乙方有义务保密，未经甲方书面同意，不得向第三方转让。本合同终止、失效、到期或解除后，双方仍应继续履行此保密义务。</w:t>
      </w:r>
    </w:p>
    <w:p w14:paraId="405E558A">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甲方违约责任</w:t>
      </w:r>
    </w:p>
    <w:p w14:paraId="0C0CA8B2">
      <w:pPr>
        <w:keepNext w:val="0"/>
        <w:keepLines w:val="0"/>
        <w:pageBreakBefore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1、由于甲方未按时向乙方提供符合技术要求的生产资料，对乙方造成工期延误的，延误的天数应在总工期中相应顺延，乙方不承担违约责任。</w:t>
      </w:r>
    </w:p>
    <w:p w14:paraId="26EB3E3E">
      <w:pPr>
        <w:keepNext w:val="0"/>
        <w:keepLines w:val="0"/>
        <w:pageBreakBefore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2、在乙方提交经甲方验收合格的后，甲方未按期向乙方支付项目经费时，每延期一天应向乙方支付应付未付金额万分之一的违约金，最高不超过合同金额的10%。</w:t>
      </w:r>
    </w:p>
    <w:p w14:paraId="6E626C38">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乙方违约责任</w:t>
      </w:r>
    </w:p>
    <w:p w14:paraId="3FF8F7A4">
      <w:pPr>
        <w:keepNext w:val="0"/>
        <w:keepLines w:val="0"/>
        <w:pageBreakBefore w:val="0"/>
        <w:numPr>
          <w:ilvl w:val="0"/>
          <w:numId w:val="9"/>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合同生效后，如乙方擅自中止或解除合同，乙方应向甲方退还甲方已支付的款项并赔付项目总款额的</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0%违约金。</w:t>
      </w:r>
    </w:p>
    <w:p w14:paraId="4C5B0A7B">
      <w:pPr>
        <w:keepNext w:val="0"/>
        <w:keepLines w:val="0"/>
        <w:pageBreakBefore w:val="0"/>
        <w:numPr>
          <w:ilvl w:val="0"/>
          <w:numId w:val="9"/>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乙方擅自转包合同的，甲方有权解除合同，并可要求乙方退还甲方已支付的款项和偿付项目总款额的</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0%违约金。</w:t>
      </w:r>
    </w:p>
    <w:p w14:paraId="7166AC17">
      <w:pPr>
        <w:keepNext w:val="0"/>
        <w:keepLines w:val="0"/>
        <w:pageBreakBefore w:val="0"/>
        <w:numPr>
          <w:ilvl w:val="0"/>
          <w:numId w:val="9"/>
        </w:numPr>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未能按双方协商的日期提交成果时，应向甲方偿付拖期损失费，每天的拖期损失费按本合同约定的工程总价款的0.5%计算。因天气、交通、政府行为等原因或甲方提供的资料不准确等影响作业的客观原因造成的工程拖期，乙方不承担赔偿责任。</w:t>
      </w:r>
    </w:p>
    <w:p w14:paraId="0157DF4C">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不可抗力事件处理</w:t>
      </w:r>
    </w:p>
    <w:p w14:paraId="5E47761A">
      <w:pPr>
        <w:keepNext w:val="0"/>
        <w:keepLines w:val="0"/>
        <w:pageBreakBefore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1、在合同有效期内，任何一方因不可抗力事件导致不能履行合同，则合同履约执行期可延长，其延长期与不可抗力影响期相同。</w:t>
      </w:r>
    </w:p>
    <w:p w14:paraId="68A1853A">
      <w:pPr>
        <w:keepNext w:val="0"/>
        <w:keepLines w:val="0"/>
        <w:pageBreakBefore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2、不可抗力事件发生后，应立即通知对方。</w:t>
      </w:r>
    </w:p>
    <w:p w14:paraId="3E5100CF">
      <w:pPr>
        <w:keepNext w:val="0"/>
        <w:keepLines w:val="0"/>
        <w:pageBreakBefore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3、不可抗力事件延续30天以上，双方应通过友好协商，确定是否继续履行合同。</w:t>
      </w:r>
    </w:p>
    <w:p w14:paraId="660B5A42">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争议解决方式</w:t>
      </w:r>
    </w:p>
    <w:p w14:paraId="56E4A8AA">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若本合同执行过程中双方发生纠纷，可由双方协商解决或由双方主管部门调解，若达不成协议，双方同意就本合同产生的纠纷向</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方所在当地行政仲裁机关申请仲裁。</w:t>
      </w:r>
    </w:p>
    <w:p w14:paraId="3FE8EE3E">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关于补充协议</w:t>
      </w:r>
    </w:p>
    <w:p w14:paraId="50B36A33">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本合同执行过程中的未尽事宜，双方应本着实事求是、友好协商的态度加以解决。双方协商一致的，签订补充协议。补充协议与本合同具有同等效力。</w:t>
      </w:r>
    </w:p>
    <w:p w14:paraId="32A03777">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合同的生效与终止</w:t>
      </w:r>
    </w:p>
    <w:p w14:paraId="1413DF25">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本合同经甲、乙双方法定代表人或其委托代理人签名并加盖双方公章之日起生效。全部成果交接完毕和项目工程费结算完成后，本合同终止。</w:t>
      </w:r>
    </w:p>
    <w:p w14:paraId="31936594">
      <w:pPr>
        <w:keepNext w:val="0"/>
        <w:keepLines w:val="0"/>
        <w:pageBreakBefore w:val="0"/>
        <w:numPr>
          <w:ilvl w:val="0"/>
          <w:numId w:val="7"/>
        </w:numPr>
        <w:kinsoku/>
        <w:wordWrap/>
        <w:overflowPunct/>
        <w:topLinePunct w:val="0"/>
        <w:autoSpaceDE/>
        <w:autoSpaceDN/>
        <w:bidi w:val="0"/>
        <w:adjustRightInd/>
        <w:snapToGrid/>
        <w:spacing w:line="360" w:lineRule="auto"/>
        <w:ind w:left="210" w:leftChars="0"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附则</w:t>
      </w:r>
    </w:p>
    <w:p w14:paraId="34AE3C78">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本合同壹式肆份，甲、乙方双方各执贰份，具有同等效力。</w:t>
      </w:r>
    </w:p>
    <w:p w14:paraId="7FA17446">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5F5152FA">
      <w:pPr>
        <w:pStyle w:val="10"/>
        <w:rPr>
          <w:rFonts w:hint="eastAsia" w:ascii="宋体" w:hAnsi="宋体" w:eastAsia="宋体" w:cs="宋体"/>
          <w:sz w:val="24"/>
          <w:szCs w:val="24"/>
          <w:highlight w:val="none"/>
        </w:rPr>
      </w:pPr>
    </w:p>
    <w:p w14:paraId="1FBEE52E">
      <w:pPr>
        <w:rPr>
          <w:rFonts w:hint="eastAsia" w:ascii="宋体" w:hAnsi="宋体" w:eastAsia="宋体" w:cs="宋体"/>
          <w:sz w:val="24"/>
          <w:szCs w:val="24"/>
          <w:highlight w:val="none"/>
        </w:rPr>
      </w:pPr>
    </w:p>
    <w:p w14:paraId="4F60D8E9">
      <w:pPr>
        <w:pStyle w:val="10"/>
        <w:rPr>
          <w:rFonts w:hint="eastAsia" w:ascii="宋体" w:hAnsi="宋体" w:eastAsia="宋体" w:cs="宋体"/>
          <w:sz w:val="24"/>
          <w:szCs w:val="24"/>
          <w:highlight w:val="none"/>
        </w:rPr>
      </w:pPr>
    </w:p>
    <w:p w14:paraId="53C1C5F6">
      <w:pPr>
        <w:rPr>
          <w:rFonts w:hint="eastAsia" w:ascii="宋体" w:hAnsi="宋体" w:eastAsia="宋体" w:cs="宋体"/>
          <w:sz w:val="24"/>
          <w:szCs w:val="24"/>
          <w:highlight w:val="none"/>
        </w:rPr>
      </w:pPr>
      <w:r>
        <w:rPr>
          <w:rFonts w:hint="eastAsia" w:ascii="宋体" w:hAnsi="宋体" w:eastAsia="宋体" w:cs="宋体"/>
          <w:sz w:val="24"/>
          <w:szCs w:val="24"/>
          <w:highlight w:val="none"/>
        </w:rPr>
        <w:t>合同签章</w:t>
      </w:r>
    </w:p>
    <w:tbl>
      <w:tblPr>
        <w:tblStyle w:val="30"/>
        <w:tblW w:w="9451" w:type="dxa"/>
        <w:tblInd w:w="0" w:type="dxa"/>
        <w:tblLayout w:type="fixed"/>
        <w:tblCellMar>
          <w:top w:w="0" w:type="dxa"/>
          <w:left w:w="108" w:type="dxa"/>
          <w:bottom w:w="0" w:type="dxa"/>
          <w:right w:w="108" w:type="dxa"/>
        </w:tblCellMar>
      </w:tblPr>
      <w:tblGrid>
        <w:gridCol w:w="4711"/>
        <w:gridCol w:w="4740"/>
      </w:tblGrid>
      <w:tr w14:paraId="0D1C9207">
        <w:tblPrEx>
          <w:tblCellMar>
            <w:top w:w="0" w:type="dxa"/>
            <w:left w:w="108" w:type="dxa"/>
            <w:bottom w:w="0" w:type="dxa"/>
            <w:right w:w="108" w:type="dxa"/>
          </w:tblCellMar>
        </w:tblPrEx>
        <w:trPr>
          <w:trHeight w:val="1737" w:hRule="atLeast"/>
        </w:trPr>
        <w:tc>
          <w:tcPr>
            <w:tcW w:w="4711" w:type="dxa"/>
          </w:tcPr>
          <w:p w14:paraId="2C6E2DE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委托方：  （公章）</w:t>
            </w:r>
          </w:p>
          <w:p w14:paraId="112883D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lang w:val="en-US" w:eastAsia="zh-CN"/>
              </w:rPr>
            </w:pPr>
          </w:p>
        </w:tc>
        <w:tc>
          <w:tcPr>
            <w:tcW w:w="4740" w:type="dxa"/>
          </w:tcPr>
          <w:p w14:paraId="16B3B92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受托方：  （公章）</w:t>
            </w:r>
          </w:p>
          <w:p w14:paraId="397AFFE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r>
      <w:tr w14:paraId="7FDB3F5B">
        <w:tblPrEx>
          <w:tblCellMar>
            <w:top w:w="0" w:type="dxa"/>
            <w:left w:w="108" w:type="dxa"/>
            <w:bottom w:w="0" w:type="dxa"/>
            <w:right w:w="108" w:type="dxa"/>
          </w:tblCellMar>
        </w:tblPrEx>
        <w:trPr>
          <w:trHeight w:val="1352" w:hRule="atLeast"/>
        </w:trPr>
        <w:tc>
          <w:tcPr>
            <w:tcW w:w="4711" w:type="dxa"/>
          </w:tcPr>
          <w:p w14:paraId="7DDED585">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法定代表人或其委托代理人：  </w:t>
            </w:r>
          </w:p>
          <w:p w14:paraId="5A186417">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（签名或盖章）</w:t>
            </w:r>
          </w:p>
        </w:tc>
        <w:tc>
          <w:tcPr>
            <w:tcW w:w="4740" w:type="dxa"/>
          </w:tcPr>
          <w:p w14:paraId="3991E0F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（签名或盖章）</w:t>
            </w:r>
          </w:p>
        </w:tc>
      </w:tr>
      <w:tr w14:paraId="1D00F8B8">
        <w:tblPrEx>
          <w:tblCellMar>
            <w:top w:w="0" w:type="dxa"/>
            <w:left w:w="108" w:type="dxa"/>
            <w:bottom w:w="0" w:type="dxa"/>
            <w:right w:w="108" w:type="dxa"/>
          </w:tblCellMar>
        </w:tblPrEx>
        <w:trPr>
          <w:trHeight w:val="1248" w:hRule="atLeast"/>
        </w:trPr>
        <w:tc>
          <w:tcPr>
            <w:tcW w:w="4711" w:type="dxa"/>
          </w:tcPr>
          <w:p w14:paraId="2C172C4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开户银行：</w:t>
            </w:r>
          </w:p>
          <w:p w14:paraId="282A26A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账号：</w:t>
            </w:r>
            <w:r>
              <w:rPr>
                <w:rFonts w:hint="eastAsia" w:ascii="宋体" w:hAnsi="宋体" w:eastAsia="宋体" w:cs="宋体"/>
                <w:color w:val="000000"/>
                <w:sz w:val="24"/>
                <w:szCs w:val="24"/>
                <w:highlight w:val="none"/>
              </w:rPr>
              <w:t xml:space="preserve">   </w:t>
            </w:r>
          </w:p>
        </w:tc>
        <w:tc>
          <w:tcPr>
            <w:tcW w:w="4740" w:type="dxa"/>
          </w:tcPr>
          <w:p w14:paraId="64ED32FD">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开户银行：</w:t>
            </w:r>
          </w:p>
          <w:p w14:paraId="2BFF83DD">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rPr>
            </w:pPr>
            <w:r>
              <w:rPr>
                <w:rFonts w:hint="eastAsia" w:ascii="宋体" w:hAnsi="宋体" w:eastAsia="宋体" w:cs="宋体"/>
                <w:sz w:val="24"/>
                <w:szCs w:val="24"/>
                <w:highlight w:val="none"/>
                <w:u w:val="none"/>
                <w:lang w:val="en-US" w:eastAsia="zh-CN"/>
              </w:rPr>
              <w:t>账户：</w:t>
            </w:r>
          </w:p>
        </w:tc>
      </w:tr>
      <w:tr w14:paraId="4308532E">
        <w:tblPrEx>
          <w:tblCellMar>
            <w:top w:w="0" w:type="dxa"/>
            <w:left w:w="108" w:type="dxa"/>
            <w:bottom w:w="0" w:type="dxa"/>
            <w:right w:w="108" w:type="dxa"/>
          </w:tblCellMar>
        </w:tblPrEx>
        <w:trPr>
          <w:trHeight w:val="616" w:hRule="atLeast"/>
        </w:trPr>
        <w:tc>
          <w:tcPr>
            <w:tcW w:w="4711" w:type="dxa"/>
          </w:tcPr>
          <w:p w14:paraId="4FC4B7D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4740" w:type="dxa"/>
          </w:tcPr>
          <w:p w14:paraId="185B3F3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sz w:val="24"/>
                <w:szCs w:val="24"/>
                <w:highlight w:val="none"/>
                <w:u w:val="none"/>
              </w:rPr>
              <w:t xml:space="preserve"> </w:t>
            </w:r>
          </w:p>
        </w:tc>
      </w:tr>
      <w:tr w14:paraId="6A267F17">
        <w:tblPrEx>
          <w:tblCellMar>
            <w:top w:w="0" w:type="dxa"/>
            <w:left w:w="108" w:type="dxa"/>
            <w:bottom w:w="0" w:type="dxa"/>
            <w:right w:w="108" w:type="dxa"/>
          </w:tblCellMar>
        </w:tblPrEx>
        <w:trPr>
          <w:trHeight w:val="616" w:hRule="atLeast"/>
        </w:trPr>
        <w:tc>
          <w:tcPr>
            <w:tcW w:w="4711" w:type="dxa"/>
          </w:tcPr>
          <w:p w14:paraId="57B23D0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p>
        </w:tc>
        <w:tc>
          <w:tcPr>
            <w:tcW w:w="4740" w:type="dxa"/>
          </w:tcPr>
          <w:p w14:paraId="41030E2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  话：</w:t>
            </w:r>
          </w:p>
        </w:tc>
      </w:tr>
      <w:tr w14:paraId="6AED02C1">
        <w:tblPrEx>
          <w:tblCellMar>
            <w:top w:w="0" w:type="dxa"/>
            <w:left w:w="108" w:type="dxa"/>
            <w:bottom w:w="0" w:type="dxa"/>
            <w:right w:w="108" w:type="dxa"/>
          </w:tblCellMar>
        </w:tblPrEx>
        <w:trPr>
          <w:trHeight w:val="616" w:hRule="atLeast"/>
        </w:trPr>
        <w:tc>
          <w:tcPr>
            <w:tcW w:w="4711" w:type="dxa"/>
          </w:tcPr>
          <w:p w14:paraId="7F0383E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 xml:space="preserve">传  真：    /         </w:t>
            </w:r>
          </w:p>
        </w:tc>
        <w:tc>
          <w:tcPr>
            <w:tcW w:w="4740" w:type="dxa"/>
          </w:tcPr>
          <w:p w14:paraId="79F8C21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传  真：</w:t>
            </w:r>
            <w:r>
              <w:rPr>
                <w:rStyle w:val="105"/>
                <w:rFonts w:hint="eastAsia" w:ascii="宋体" w:hAnsi="宋体" w:eastAsia="宋体" w:cs="宋体"/>
                <w:sz w:val="24"/>
                <w:szCs w:val="24"/>
                <w:highlight w:val="none"/>
                <w:u w:val="none"/>
              </w:rPr>
              <w:t xml:space="preserve">     /            </w:t>
            </w:r>
          </w:p>
        </w:tc>
      </w:tr>
      <w:tr w14:paraId="0C584234">
        <w:tblPrEx>
          <w:tblCellMar>
            <w:top w:w="0" w:type="dxa"/>
            <w:left w:w="108" w:type="dxa"/>
            <w:bottom w:w="0" w:type="dxa"/>
            <w:right w:w="108" w:type="dxa"/>
          </w:tblCellMar>
        </w:tblPrEx>
        <w:trPr>
          <w:trHeight w:val="616" w:hRule="atLeast"/>
        </w:trPr>
        <w:tc>
          <w:tcPr>
            <w:tcW w:w="4711" w:type="dxa"/>
          </w:tcPr>
          <w:p w14:paraId="240DBF2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时  间：    年   月   日</w:t>
            </w:r>
          </w:p>
        </w:tc>
        <w:tc>
          <w:tcPr>
            <w:tcW w:w="4740" w:type="dxa"/>
          </w:tcPr>
          <w:p w14:paraId="7C9DE980">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时  间：    年   月   日</w:t>
            </w:r>
          </w:p>
        </w:tc>
      </w:tr>
    </w:tbl>
    <w:p w14:paraId="7FF0A65A">
      <w:pPr>
        <w:jc w:val="left"/>
        <w:rPr>
          <w:rFonts w:hint="eastAsia" w:ascii="宋体" w:hAnsi="宋体" w:eastAsia="宋体" w:cs="宋体"/>
          <w:sz w:val="24"/>
          <w:szCs w:val="24"/>
          <w:highlight w:val="none"/>
          <w:u w:val="single"/>
        </w:rPr>
      </w:pPr>
    </w:p>
    <w:p w14:paraId="5ECB116E">
      <w:pPr>
        <w:adjustRightInd w:val="0"/>
        <w:snapToGrid w:val="0"/>
        <w:spacing w:line="360" w:lineRule="auto"/>
        <w:ind w:firstLine="415" w:firstLineChars="198"/>
        <w:rPr>
          <w:rFonts w:hint="eastAsia" w:ascii="宋体" w:hAnsi="宋体" w:eastAsia="宋体" w:cs="宋体"/>
          <w:highlight w:val="none"/>
        </w:rPr>
      </w:pPr>
    </w:p>
    <w:p w14:paraId="5A7D9052">
      <w:pPr>
        <w:adjustRightInd w:val="0"/>
        <w:snapToGrid w:val="0"/>
        <w:spacing w:line="360" w:lineRule="auto"/>
        <w:ind w:firstLine="415" w:firstLineChars="198"/>
        <w:rPr>
          <w:rFonts w:hint="eastAsia" w:ascii="宋体" w:hAnsi="宋体" w:eastAsia="宋体" w:cs="宋体"/>
          <w:highlight w:val="none"/>
          <w:u w:val="single"/>
        </w:rPr>
        <w:sectPr>
          <w:headerReference r:id="rId9" w:type="default"/>
          <w:footerReference r:id="rId10" w:type="default"/>
          <w:pgSz w:w="11906" w:h="16838"/>
          <w:pgMar w:top="1417" w:right="1134" w:bottom="1417" w:left="1417" w:header="851" w:footer="992" w:gutter="0"/>
          <w:pgNumType w:fmt="decimal" w:start="1"/>
          <w:cols w:space="720" w:num="1"/>
          <w:docGrid w:type="lines" w:linePitch="312" w:charSpace="0"/>
        </w:sectPr>
      </w:pPr>
    </w:p>
    <w:bookmarkEnd w:id="46"/>
    <w:bookmarkEnd w:id="47"/>
    <w:bookmarkEnd w:id="48"/>
    <w:bookmarkEnd w:id="49"/>
    <w:p w14:paraId="1D9B6E35">
      <w:pPr>
        <w:pStyle w:val="3"/>
        <w:rPr>
          <w:rFonts w:hint="eastAsia" w:ascii="宋体" w:hAnsi="宋体" w:eastAsia="宋体" w:cs="宋体"/>
          <w:b/>
          <w:bCs/>
          <w:sz w:val="36"/>
          <w:szCs w:val="36"/>
          <w:highlight w:val="none"/>
        </w:rPr>
      </w:pPr>
      <w:bookmarkStart w:id="54" w:name="_Toc425781311"/>
      <w:bookmarkStart w:id="55" w:name="_Toc405358616"/>
      <w:bookmarkStart w:id="56" w:name="_Toc32341"/>
      <w:r>
        <w:rPr>
          <w:rFonts w:hint="eastAsia" w:ascii="宋体" w:hAnsi="宋体" w:eastAsia="宋体" w:cs="宋体"/>
          <w:b/>
          <w:bCs/>
          <w:sz w:val="36"/>
          <w:szCs w:val="36"/>
          <w:highlight w:val="none"/>
        </w:rPr>
        <w:t>第四章</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竞争性谈判内容及服务要求</w:t>
      </w:r>
      <w:bookmarkEnd w:id="50"/>
      <w:bookmarkEnd w:id="54"/>
      <w:bookmarkEnd w:id="55"/>
      <w:bookmarkEnd w:id="56"/>
      <w:bookmarkStart w:id="57" w:name="_Toc405191192"/>
      <w:bookmarkStart w:id="58" w:name="_Toc405358632"/>
    </w:p>
    <w:p w14:paraId="4CF199FB">
      <w:pPr>
        <w:spacing w:line="360" w:lineRule="auto"/>
        <w:rPr>
          <w:rFonts w:hint="eastAsia" w:ascii="宋体" w:hAnsi="宋体" w:eastAsia="宋体" w:cs="宋体"/>
          <w:b/>
          <w:bCs/>
          <w:sz w:val="24"/>
          <w:szCs w:val="24"/>
          <w:highlight w:val="none"/>
        </w:rPr>
      </w:pPr>
    </w:p>
    <w:p w14:paraId="1FAD5E3F">
      <w:pPr>
        <w:numPr>
          <w:ilvl w:val="0"/>
          <w:numId w:val="10"/>
        </w:numPr>
        <w:spacing w:line="360" w:lineRule="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w:t>
      </w:r>
      <w:r>
        <w:rPr>
          <w:rFonts w:hint="eastAsia" w:ascii="宋体" w:hAnsi="宋体" w:eastAsia="宋体" w:cs="宋体"/>
          <w:b/>
          <w:bCs/>
          <w:sz w:val="32"/>
          <w:szCs w:val="32"/>
          <w:highlight w:val="none"/>
          <w:lang w:eastAsia="zh-CN"/>
        </w:rPr>
        <w:t>名称</w:t>
      </w:r>
    </w:p>
    <w:p w14:paraId="55E956C6">
      <w:pPr>
        <w:numPr>
          <w:ilvl w:val="0"/>
          <w:numId w:val="0"/>
        </w:numPr>
        <w:spacing w:line="360" w:lineRule="auto"/>
        <w:rPr>
          <w:rFonts w:hint="eastAsia" w:ascii="宋体" w:hAnsi="宋体" w:eastAsia="宋体" w:cs="宋体"/>
          <w:b/>
          <w:bCs/>
          <w:sz w:val="32"/>
          <w:szCs w:val="32"/>
          <w:highlight w:val="none"/>
          <w:lang w:val="en-US" w:eastAsia="zh-CN"/>
        </w:rPr>
      </w:pPr>
      <w:r>
        <w:rPr>
          <w:rFonts w:hint="eastAsia" w:ascii="宋体" w:hAnsi="宋体" w:cs="宋体"/>
          <w:sz w:val="24"/>
          <w:szCs w:val="24"/>
          <w:highlight w:val="none"/>
          <w:lang w:eastAsia="zh-CN"/>
        </w:rPr>
        <w:t>黄陵县大院子区域补充勘探和瓦窑坪区域煤炭资源普查项目技术服务</w:t>
      </w:r>
    </w:p>
    <w:p w14:paraId="25ACC2F3">
      <w:pPr>
        <w:numPr>
          <w:ilvl w:val="0"/>
          <w:numId w:val="11"/>
        </w:numPr>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服务内容及要求</w:t>
      </w:r>
    </w:p>
    <w:p w14:paraId="2C48090E">
      <w:pPr>
        <w:numPr>
          <w:ilvl w:val="0"/>
          <w:numId w:val="12"/>
        </w:num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工作内容：</w:t>
      </w:r>
    </w:p>
    <w:p w14:paraId="64565795">
      <w:pPr>
        <w:spacing w:line="360" w:lineRule="auto"/>
        <w:rPr>
          <w:rFonts w:hint="eastAsia" w:ascii="宋体" w:hAnsi="宋体" w:cs="宋体"/>
          <w:sz w:val="24"/>
          <w:szCs w:val="24"/>
          <w:highlight w:val="none"/>
        </w:rPr>
      </w:pPr>
      <w:r>
        <w:rPr>
          <w:rFonts w:hint="eastAsia" w:ascii="宋体" w:hAnsi="宋体" w:cs="宋体"/>
          <w:sz w:val="24"/>
          <w:szCs w:val="24"/>
          <w:highlight w:val="none"/>
        </w:rPr>
        <w:t>1、协助投资方进行普查过程中的技术管理工作，调整普查设计和施工顺序。</w:t>
      </w:r>
    </w:p>
    <w:p w14:paraId="0AC4A9FD">
      <w:pPr>
        <w:spacing w:line="360" w:lineRule="auto"/>
        <w:rPr>
          <w:rFonts w:hint="eastAsia" w:ascii="宋体" w:hAnsi="宋体" w:cs="宋体"/>
          <w:sz w:val="24"/>
          <w:szCs w:val="24"/>
          <w:highlight w:val="none"/>
        </w:rPr>
      </w:pPr>
      <w:r>
        <w:rPr>
          <w:rFonts w:hint="eastAsia" w:ascii="宋体" w:hAnsi="宋体" w:cs="宋体"/>
          <w:sz w:val="24"/>
          <w:szCs w:val="24"/>
          <w:highlight w:val="none"/>
        </w:rPr>
        <w:t>2、按照批准的设计在野外对勘查项目施工实施监督管理，核实野外施工方法、施工进度、工程质量及完成的工作量。</w:t>
      </w:r>
    </w:p>
    <w:p w14:paraId="56C950D5">
      <w:pPr>
        <w:spacing w:line="360" w:lineRule="auto"/>
        <w:rPr>
          <w:rFonts w:hint="eastAsia" w:ascii="宋体" w:hAnsi="宋体" w:cs="宋体"/>
          <w:sz w:val="24"/>
          <w:szCs w:val="24"/>
          <w:highlight w:val="none"/>
        </w:rPr>
      </w:pPr>
      <w:r>
        <w:rPr>
          <w:rFonts w:hint="eastAsia" w:ascii="宋体" w:hAnsi="宋体" w:cs="宋体"/>
          <w:sz w:val="24"/>
          <w:szCs w:val="24"/>
          <w:highlight w:val="none"/>
        </w:rPr>
        <w:t>3、组织各类勘查工程野外检查及验收，评定不同类型勘查工程的质量，保证外业工作经过验收后能够满足勘查报告编写要求。</w:t>
      </w:r>
    </w:p>
    <w:p w14:paraId="7984DBBB">
      <w:pPr>
        <w:spacing w:line="360" w:lineRule="auto"/>
        <w:rPr>
          <w:rFonts w:hint="eastAsia" w:ascii="宋体" w:hAnsi="宋体" w:cs="宋体"/>
          <w:sz w:val="24"/>
          <w:szCs w:val="24"/>
          <w:highlight w:val="none"/>
        </w:rPr>
      </w:pPr>
      <w:r>
        <w:rPr>
          <w:rFonts w:hint="eastAsia" w:ascii="宋体" w:hAnsi="宋体" w:cs="宋体"/>
          <w:sz w:val="24"/>
          <w:szCs w:val="24"/>
          <w:highlight w:val="none"/>
        </w:rPr>
        <w:t>4、按照安全生产规程，监督施工单位切实落实安全管理措施及相关制度。</w:t>
      </w:r>
    </w:p>
    <w:p w14:paraId="500E4ED7">
      <w:pPr>
        <w:spacing w:line="360" w:lineRule="auto"/>
        <w:rPr>
          <w:rFonts w:hint="eastAsia" w:ascii="宋体" w:hAnsi="宋体" w:cs="宋体"/>
          <w:sz w:val="24"/>
          <w:szCs w:val="24"/>
          <w:highlight w:val="none"/>
        </w:rPr>
      </w:pPr>
      <w:r>
        <w:rPr>
          <w:rFonts w:hint="eastAsia" w:ascii="宋体" w:hAnsi="宋体" w:cs="宋体"/>
          <w:sz w:val="24"/>
          <w:szCs w:val="24"/>
          <w:highlight w:val="none"/>
        </w:rPr>
        <w:t>5、认真负责地根据设计和相关规范开展监理工作，公平公正地指出施工过程中的问题，并采取措施及时合理地解决问题，科学和谐的配合工作；按照“守法、诚信、公正、科学”的准则执业。</w:t>
      </w:r>
    </w:p>
    <w:p w14:paraId="0417D14A">
      <w:pPr>
        <w:numPr>
          <w:ilvl w:val="0"/>
          <w:numId w:val="0"/>
        </w:num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技术规范及质量标准</w:t>
      </w:r>
      <w:bookmarkStart w:id="59" w:name="_Toc9452628"/>
      <w:r>
        <w:rPr>
          <w:rFonts w:hint="eastAsia" w:ascii="宋体" w:hAnsi="宋体" w:cs="宋体"/>
          <w:b/>
          <w:bCs/>
          <w:sz w:val="24"/>
          <w:szCs w:val="24"/>
          <w:highlight w:val="none"/>
          <w:lang w:val="en-US" w:eastAsia="zh-CN"/>
        </w:rPr>
        <w:t>：</w:t>
      </w:r>
      <w:bookmarkEnd w:id="59"/>
    </w:p>
    <w:p w14:paraId="1C118642">
      <w:pPr>
        <w:spacing w:line="360" w:lineRule="auto"/>
        <w:ind w:firstLine="480" w:firstLineChars="200"/>
        <w:rPr>
          <w:rFonts w:hint="eastAsia" w:ascii="宋体" w:hAnsi="宋体" w:cs="宋体"/>
          <w:sz w:val="24"/>
          <w:szCs w:val="24"/>
          <w:highlight w:val="none"/>
        </w:rPr>
      </w:pPr>
      <w:bookmarkStart w:id="60" w:name="OLE_LINK5"/>
      <w:r>
        <w:rPr>
          <w:rFonts w:hint="eastAsia" w:ascii="宋体" w:hAnsi="宋体" w:cs="宋体"/>
          <w:sz w:val="24"/>
          <w:szCs w:val="24"/>
          <w:highlight w:val="none"/>
        </w:rPr>
        <w:t>（1）技术规范</w:t>
      </w:r>
    </w:p>
    <w:p w14:paraId="654D02F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技术服务遵循国家有关技术规范规程如下：</w:t>
      </w:r>
    </w:p>
    <w:p w14:paraId="3A03690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1、《煤，泥炭矿产资源勘查规范》（DZ/T0215-2020)</w:t>
      </w:r>
    </w:p>
    <w:p w14:paraId="074117B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2、《地质勘查测量规范》（GB/T18341-2021)</w:t>
      </w:r>
    </w:p>
    <w:p w14:paraId="214D405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3、《煤炭地质钻探规程》（MT/T1076-2008)</w:t>
      </w:r>
    </w:p>
    <w:p w14:paraId="24B913C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4、《煤田地震勘探规范》（DZ/T0030-2017)</w:t>
      </w:r>
    </w:p>
    <w:p w14:paraId="165C7FF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5、《固体矿产资源储量分类》（GB/T17766-2020)</w:t>
      </w:r>
    </w:p>
    <w:p w14:paraId="468C1D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6、《煤炭地球物理测井规范》（DZ/T0080-2010)</w:t>
      </w:r>
    </w:p>
    <w:p w14:paraId="48F2E17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7、《绿色地质勘查工作规范》（TZ/T0374-2021)</w:t>
      </w:r>
    </w:p>
    <w:p w14:paraId="5DCB537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8.其他国家现行的技术规范及行业现行的技术规定</w:t>
      </w:r>
      <w:r>
        <w:rPr>
          <w:rFonts w:hint="eastAsia"/>
          <w:sz w:val="24"/>
          <w:szCs w:val="32"/>
          <w:highlight w:val="none"/>
          <w:lang w:bidi="ar"/>
        </w:rPr>
        <w:t>（如有最新颁布的政府采购政策，按最新的文件执行）</w:t>
      </w:r>
      <w:r>
        <w:rPr>
          <w:rFonts w:hint="eastAsia" w:ascii="宋体" w:hAnsi="宋体"/>
          <w:sz w:val="24"/>
          <w:szCs w:val="24"/>
          <w:highlight w:val="none"/>
        </w:rPr>
        <w:t>。</w:t>
      </w:r>
    </w:p>
    <w:p w14:paraId="0C64D2A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（2）质量标准</w:t>
      </w:r>
      <w:r>
        <w:rPr>
          <w:rFonts w:hint="eastAsia" w:ascii="宋体" w:hAnsi="宋体" w:cs="宋体"/>
          <w:sz w:val="24"/>
          <w:szCs w:val="24"/>
          <w:highlight w:val="none"/>
          <w:lang w:eastAsia="zh-CN"/>
        </w:rPr>
        <w:t>：</w:t>
      </w:r>
      <w:r>
        <w:rPr>
          <w:rFonts w:hint="eastAsia" w:ascii="宋体" w:hAnsi="宋体" w:cs="宋体"/>
          <w:sz w:val="24"/>
          <w:szCs w:val="24"/>
          <w:highlight w:val="none"/>
        </w:rPr>
        <w:t>方案成果需经上级主管部门验收通过。</w:t>
      </w:r>
    </w:p>
    <w:bookmarkEnd w:id="60"/>
    <w:p w14:paraId="044124C2">
      <w:pPr>
        <w:pStyle w:val="2"/>
        <w:rPr>
          <w:rFonts w:hint="default"/>
          <w:highlight w:val="none"/>
          <w:lang w:val="en-US" w:eastAsia="zh-CN"/>
        </w:rPr>
      </w:pPr>
    </w:p>
    <w:p w14:paraId="543AE1F8">
      <w:pPr>
        <w:spacing w:line="360" w:lineRule="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三、成果要求</w:t>
      </w:r>
    </w:p>
    <w:p w14:paraId="3A59AFD7">
      <w:pPr>
        <w:spacing w:line="360" w:lineRule="auto"/>
        <w:ind w:firstLine="480" w:firstLineChars="200"/>
        <w:rPr>
          <w:rFonts w:hint="eastAsia" w:ascii="宋体" w:hAnsi="宋体" w:cs="宋体"/>
          <w:sz w:val="24"/>
          <w:szCs w:val="24"/>
          <w:highlight w:val="none"/>
        </w:rPr>
      </w:pPr>
      <w:bookmarkStart w:id="61" w:name="OLE_LINK6"/>
      <w:r>
        <w:rPr>
          <w:rFonts w:hint="eastAsia" w:ascii="宋体" w:hAnsi="宋体" w:cs="宋体"/>
          <w:sz w:val="24"/>
          <w:szCs w:val="24"/>
          <w:highlight w:val="none"/>
        </w:rPr>
        <w:t>1、煤田普查中各个环节不同类型的设计、报告的审查意见及批复文稿；</w:t>
      </w:r>
    </w:p>
    <w:p w14:paraId="73A1325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2、煤田普查中各个环节、不同类型勘查工程质量验收，提交质量验收报告；</w:t>
      </w:r>
    </w:p>
    <w:p w14:paraId="0C5DEC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3、煤田普查各类勘查工程经费预算及决算报告；</w:t>
      </w:r>
    </w:p>
    <w:p w14:paraId="4769C3DF">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eastAsia="zh-CN"/>
        </w:rPr>
        <w:t>黄陵县大院子区域补充勘探和瓦窑坪区域煤炭资源普查项目技术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报告</w:t>
      </w:r>
    </w:p>
    <w:p w14:paraId="65B5C29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5、成果知识产权归属：本项目完成后知识权归采购人所有，中标人所提供的成果不得有任何侵害第三方知识产权或其他合法权益之处，如有上述问题，由中标人承担相关法律法规责任。</w:t>
      </w:r>
    </w:p>
    <w:p w14:paraId="1E90F67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6、成果载体以采购人需求为准。</w:t>
      </w:r>
    </w:p>
    <w:bookmarkEnd w:id="61"/>
    <w:p w14:paraId="031C9A31">
      <w:pPr>
        <w:spacing w:line="360" w:lineRule="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四、商务条款及要求</w:t>
      </w:r>
    </w:p>
    <w:p w14:paraId="2EF9199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bookmarkStart w:id="62" w:name="OLE_LINK24"/>
      <w:r>
        <w:rPr>
          <w:rFonts w:hint="eastAsia" w:ascii="宋体" w:hAnsi="宋体" w:eastAsia="宋体" w:cs="宋体"/>
          <w:sz w:val="24"/>
          <w:szCs w:val="24"/>
          <w:highlight w:val="none"/>
          <w:lang w:val="en-US" w:eastAsia="zh-CN"/>
        </w:rPr>
        <w:t>服务期限：</w:t>
      </w:r>
      <w:r>
        <w:rPr>
          <w:rFonts w:hint="eastAsia" w:ascii="宋体" w:hAnsi="宋体" w:cs="宋体"/>
          <w:sz w:val="24"/>
          <w:szCs w:val="24"/>
          <w:highlight w:val="none"/>
          <w:lang w:val="en-US" w:eastAsia="zh-CN"/>
        </w:rPr>
        <w:t>合同签订后随同地质勘查进程在90个日历日内完成全部工作量，技术服务工作验收合格为止。</w:t>
      </w:r>
      <w:bookmarkEnd w:id="62"/>
    </w:p>
    <w:p w14:paraId="7770FC94">
      <w:pPr>
        <w:spacing w:line="360" w:lineRule="auto"/>
        <w:ind w:firstLine="480" w:firstLineChars="200"/>
        <w:rPr>
          <w:rFonts w:hint="eastAsia" w:ascii="宋体" w:hAnsi="宋体" w:eastAsia="宋体" w:cs="宋体"/>
          <w:sz w:val="24"/>
          <w:szCs w:val="24"/>
          <w:highlight w:val="none"/>
        </w:rPr>
      </w:pPr>
      <w:bookmarkStart w:id="63" w:name="OLE_LINK18"/>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、合同总价即成交价，谈判供应商应在谈判报价表</w:t>
      </w:r>
      <w:r>
        <w:rPr>
          <w:rFonts w:hint="eastAsia" w:ascii="宋体" w:hAnsi="宋体" w:cs="宋体"/>
          <w:sz w:val="24"/>
          <w:szCs w:val="24"/>
          <w:highlight w:val="none"/>
          <w:lang w:eastAsia="zh-CN"/>
        </w:rPr>
        <w:t>中</w:t>
      </w:r>
      <w:r>
        <w:rPr>
          <w:rFonts w:hint="eastAsia" w:ascii="宋体" w:hAnsi="宋体" w:eastAsia="宋体" w:cs="宋体"/>
          <w:sz w:val="24"/>
          <w:szCs w:val="24"/>
          <w:highlight w:val="none"/>
          <w:lang w:eastAsia="zh-CN"/>
        </w:rPr>
        <w:t>列明</w:t>
      </w:r>
      <w:r>
        <w:rPr>
          <w:rFonts w:hint="eastAsia" w:ascii="宋体" w:hAnsi="宋体" w:eastAsia="宋体" w:cs="宋体"/>
          <w:sz w:val="24"/>
          <w:szCs w:val="24"/>
          <w:highlight w:val="none"/>
        </w:rPr>
        <w:t>完成本次谈判所要求的服务并验收至合格的所有费用。</w:t>
      </w:r>
    </w:p>
    <w:p w14:paraId="58EEE012">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合同总价一次包死，不受市场价变化或实际工作量变化的影响。</w:t>
      </w:r>
    </w:p>
    <w:p w14:paraId="7A949884">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、付款方式</w:t>
      </w:r>
      <w:r>
        <w:rPr>
          <w:rFonts w:hint="eastAsia" w:ascii="宋体" w:hAnsi="宋体" w:eastAsia="宋体" w:cs="宋体"/>
          <w:sz w:val="24"/>
          <w:szCs w:val="24"/>
          <w:highlight w:val="none"/>
        </w:rPr>
        <w:t>和程序：</w:t>
      </w:r>
    </w:p>
    <w:p w14:paraId="0E642BD6">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color w:val="auto"/>
          <w:sz w:val="24"/>
          <w:szCs w:val="24"/>
          <w:highlight w:val="none"/>
          <w:lang w:val="en-US" w:eastAsia="zh-CN"/>
        </w:rPr>
      </w:pPr>
      <w:bookmarkStart w:id="64" w:name="OLE_LINK19"/>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1</w:t>
      </w:r>
      <w:bookmarkEnd w:id="64"/>
      <w:r>
        <w:rPr>
          <w:rFonts w:hint="eastAsia" w:cs="宋体"/>
          <w:color w:val="auto"/>
          <w:sz w:val="24"/>
          <w:szCs w:val="24"/>
          <w:highlight w:val="none"/>
          <w:lang w:val="en-US" w:eastAsia="zh-CN"/>
        </w:rPr>
        <w:t>在双方协议签定后，由甲方向乙方账户支付总预算金额的40%，在普查工作全部完成，成果验收通过后，再支付总预算金额的40%，在普查报告获得省自然资源厅评审机构评审通过后，再按决算的总金额减去已经支付部分，将剩余部分支付乙方账户。</w:t>
      </w:r>
    </w:p>
    <w:p w14:paraId="11A2FE30">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4.2</w:t>
      </w:r>
      <w:r>
        <w:rPr>
          <w:rFonts w:hint="eastAsia" w:ascii="宋体" w:hAnsi="宋体" w:eastAsia="宋体" w:cs="宋体"/>
          <w:color w:val="auto"/>
          <w:sz w:val="24"/>
          <w:szCs w:val="24"/>
          <w:highlight w:val="none"/>
          <w:lang w:val="zh-CN" w:eastAsia="zh-CN"/>
        </w:rPr>
        <w:t>甲方凭乙方提供的合格有效的增值税发票付款。</w:t>
      </w:r>
    </w:p>
    <w:p w14:paraId="42B21B5A">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采购人完成政府采购合同备案，且收到正式发票后，按照上述程序进行支付。</w:t>
      </w:r>
    </w:p>
    <w:p w14:paraId="6B717F4C">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结算方式：银行转账。</w:t>
      </w:r>
    </w:p>
    <w:p w14:paraId="71531218">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结算单位：由采购人负责结算，</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须向采购人出具合法有效的完税发票，采购人进行支付结算。</w:t>
      </w:r>
    </w:p>
    <w:bookmarkEnd w:id="63"/>
    <w:p w14:paraId="5F76F6AD">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、验收要求：</w:t>
      </w:r>
    </w:p>
    <w:p w14:paraId="49B679A0">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.1</w:t>
      </w:r>
      <w:bookmarkStart w:id="65" w:name="OLE_LINK7"/>
      <w:r>
        <w:rPr>
          <w:rFonts w:hint="eastAsia" w:ascii="宋体" w:hAnsi="宋体" w:eastAsia="宋体" w:cs="宋体"/>
          <w:color w:val="auto"/>
          <w:sz w:val="24"/>
          <w:szCs w:val="24"/>
          <w:highlight w:val="none"/>
          <w:lang w:val="zh-CN" w:eastAsia="zh-CN"/>
        </w:rPr>
        <w:t>甲方依据双方协议要求及提交普查成果质量为验收依据；</w:t>
      </w:r>
    </w:p>
    <w:bookmarkEnd w:id="65"/>
    <w:p w14:paraId="0CE7573C">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5.2</w:t>
      </w:r>
      <w:r>
        <w:rPr>
          <w:rFonts w:hint="eastAsia" w:cs="宋体"/>
          <w:color w:val="auto"/>
          <w:sz w:val="24"/>
          <w:szCs w:val="24"/>
          <w:highlight w:val="none"/>
          <w:lang w:val="zh-CN" w:eastAsia="zh-CN"/>
        </w:rPr>
        <w:t>成交</w:t>
      </w:r>
      <w:r>
        <w:rPr>
          <w:rFonts w:hint="eastAsia" w:ascii="宋体" w:hAnsi="宋体" w:eastAsia="宋体" w:cs="宋体"/>
          <w:color w:val="auto"/>
          <w:sz w:val="24"/>
          <w:szCs w:val="24"/>
          <w:highlight w:val="none"/>
          <w:lang w:val="zh-CN" w:eastAsia="zh-CN"/>
        </w:rPr>
        <w:t>供应商</w:t>
      </w:r>
      <w:r>
        <w:rPr>
          <w:rFonts w:hint="eastAsia" w:cs="宋体"/>
          <w:color w:val="auto"/>
          <w:sz w:val="24"/>
          <w:szCs w:val="24"/>
          <w:highlight w:val="none"/>
          <w:lang w:val="zh-CN" w:eastAsia="zh-CN"/>
        </w:rPr>
        <w:t>须</w:t>
      </w:r>
      <w:r>
        <w:rPr>
          <w:rFonts w:hint="eastAsia" w:ascii="宋体" w:hAnsi="宋体" w:eastAsia="宋体" w:cs="宋体"/>
          <w:color w:val="auto"/>
          <w:sz w:val="24"/>
          <w:szCs w:val="24"/>
          <w:highlight w:val="none"/>
          <w:lang w:val="zh-CN" w:eastAsia="zh-CN"/>
        </w:rPr>
        <w:t>保证顺利通过相关部门验收，并验收合格</w:t>
      </w:r>
      <w:r>
        <w:rPr>
          <w:rFonts w:hint="eastAsia" w:cs="宋体"/>
          <w:color w:val="auto"/>
          <w:sz w:val="24"/>
          <w:szCs w:val="24"/>
          <w:highlight w:val="none"/>
          <w:lang w:val="zh-CN" w:eastAsia="zh-CN"/>
        </w:rPr>
        <w:t>。</w:t>
      </w:r>
    </w:p>
    <w:p w14:paraId="47E26564">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采购人组成验收小组按国家有关规定、规范进行验收，必要时邀请相关的专业人员或机构参与验收。</w:t>
      </w:r>
    </w:p>
    <w:p w14:paraId="2A575E06">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color w:val="auto"/>
          <w:sz w:val="24"/>
          <w:szCs w:val="24"/>
          <w:highlight w:val="none"/>
          <w:lang w:val="zh-CN"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4</w:t>
      </w:r>
      <w:r>
        <w:rPr>
          <w:rFonts w:hint="eastAsia" w:cs="宋体"/>
          <w:color w:val="auto"/>
          <w:sz w:val="24"/>
          <w:szCs w:val="24"/>
          <w:highlight w:val="none"/>
          <w:lang w:val="zh-CN" w:eastAsia="zh-CN"/>
        </w:rPr>
        <w:t>成交</w:t>
      </w:r>
      <w:r>
        <w:rPr>
          <w:rFonts w:hint="eastAsia" w:ascii="宋体" w:hAnsi="宋体" w:eastAsia="宋体" w:cs="宋体"/>
          <w:color w:val="auto"/>
          <w:sz w:val="24"/>
          <w:szCs w:val="24"/>
          <w:highlight w:val="none"/>
          <w:lang w:val="zh-CN" w:eastAsia="zh-CN"/>
        </w:rPr>
        <w:t>供应商须负责本项目日常工作中的资料及相关数据的定时收集上报，以及评估、验收资料收集、整理、汇编等工作</w:t>
      </w:r>
      <w:r>
        <w:rPr>
          <w:rFonts w:hint="eastAsia" w:cs="宋体"/>
          <w:color w:val="auto"/>
          <w:sz w:val="24"/>
          <w:szCs w:val="24"/>
          <w:highlight w:val="none"/>
          <w:lang w:val="zh-CN" w:eastAsia="zh-CN"/>
        </w:rPr>
        <w:t>。</w:t>
      </w:r>
    </w:p>
    <w:p w14:paraId="2B5464AD">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color w:val="auto"/>
          <w:sz w:val="24"/>
          <w:szCs w:val="24"/>
          <w:highlight w:val="none"/>
          <w:lang w:val="zh-CN" w:eastAsia="zh-CN"/>
        </w:rPr>
      </w:pPr>
    </w:p>
    <w:p w14:paraId="78A34DB8">
      <w:pPr>
        <w:pStyle w:val="3"/>
        <w:numPr>
          <w:ilvl w:val="0"/>
          <w:numId w:val="13"/>
        </w:numPr>
        <w:rPr>
          <w:rFonts w:hint="eastAsia" w:ascii="宋体" w:hAnsi="宋体" w:eastAsia="宋体" w:cs="宋体"/>
          <w:b/>
          <w:bCs/>
          <w:sz w:val="36"/>
          <w:szCs w:val="36"/>
          <w:highlight w:val="none"/>
        </w:rPr>
      </w:pPr>
      <w:r>
        <w:rPr>
          <w:rFonts w:hint="eastAsia" w:ascii="宋体" w:hAnsi="宋体" w:eastAsia="宋体" w:cs="宋体"/>
          <w:sz w:val="24"/>
          <w:szCs w:val="24"/>
          <w:highlight w:val="none"/>
        </w:rPr>
        <w:br w:type="page"/>
      </w:r>
      <w:bookmarkEnd w:id="57"/>
      <w:bookmarkStart w:id="66" w:name="_Toc405191193"/>
      <w:bookmarkStart w:id="67" w:name="_Toc393284381"/>
      <w:bookmarkStart w:id="68" w:name="_Toc393284674"/>
      <w:bookmarkStart w:id="69" w:name="_Toc389568492"/>
      <w:bookmarkStart w:id="70" w:name="_Toc393281139"/>
      <w:bookmarkStart w:id="71" w:name="_Toc425781312"/>
      <w:bookmarkStart w:id="72" w:name="_Toc389836557"/>
      <w:bookmarkStart w:id="73" w:name="_Toc22294"/>
      <w:bookmarkStart w:id="74" w:name="_Toc26400"/>
      <w:bookmarkStart w:id="75" w:name="_Toc370906268"/>
      <w:bookmarkStart w:id="76" w:name="_Toc393284675"/>
      <w:bookmarkStart w:id="77" w:name="_Toc389836558"/>
      <w:bookmarkStart w:id="78" w:name="_Toc393371572"/>
      <w:bookmarkStart w:id="79" w:name="_Toc370906269"/>
      <w:bookmarkStart w:id="80" w:name="_Toc393285042"/>
      <w:bookmarkStart w:id="81" w:name="_Toc389568493"/>
      <w:bookmarkStart w:id="82" w:name="_Toc393284382"/>
      <w:bookmarkStart w:id="83" w:name="_Toc393281140"/>
      <w:r>
        <w:rPr>
          <w:rFonts w:hint="eastAsia" w:ascii="宋体" w:hAnsi="宋体" w:eastAsia="宋体" w:cs="宋体"/>
          <w:b/>
          <w:bCs/>
          <w:sz w:val="36"/>
          <w:szCs w:val="36"/>
          <w:highlight w:val="none"/>
        </w:rPr>
        <w:t>评审方法</w:t>
      </w:r>
      <w:bookmarkEnd w:id="58"/>
      <w:bookmarkEnd w:id="66"/>
      <w:bookmarkEnd w:id="67"/>
      <w:bookmarkEnd w:id="68"/>
      <w:bookmarkEnd w:id="69"/>
      <w:bookmarkEnd w:id="70"/>
      <w:bookmarkEnd w:id="71"/>
      <w:bookmarkEnd w:id="72"/>
      <w:bookmarkEnd w:id="73"/>
      <w:bookmarkEnd w:id="74"/>
      <w:bookmarkEnd w:id="75"/>
    </w:p>
    <w:p w14:paraId="69711937">
      <w:pPr>
        <w:spacing w:line="360" w:lineRule="auto"/>
        <w:rPr>
          <w:rFonts w:hint="eastAsia" w:ascii="宋体" w:hAnsi="宋体" w:eastAsia="宋体" w:cs="宋体"/>
          <w:highlight w:val="none"/>
        </w:rPr>
      </w:pPr>
    </w:p>
    <w:bookmarkEnd w:id="76"/>
    <w:bookmarkEnd w:id="77"/>
    <w:bookmarkEnd w:id="78"/>
    <w:bookmarkEnd w:id="79"/>
    <w:bookmarkEnd w:id="80"/>
    <w:bookmarkEnd w:id="81"/>
    <w:bookmarkEnd w:id="82"/>
    <w:bookmarkEnd w:id="83"/>
    <w:p w14:paraId="0B8F3F6F">
      <w:pPr>
        <w:spacing w:line="360" w:lineRule="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14:paraId="076BFB70">
      <w:pPr>
        <w:spacing w:line="360" w:lineRule="auto"/>
        <w:ind w:firstLine="496" w:firstLineChars="20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按照《中华人民共和国政府采购法》及实施条例、</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即质量和服务均能满足谈判文件要求的供应商中，按照最后报价由低到高的顺序依次排序，推荐3名成交候选人。</w:t>
      </w:r>
    </w:p>
    <w:p w14:paraId="5183776A">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二、评审标准</w:t>
      </w:r>
    </w:p>
    <w:p w14:paraId="2944AD03">
      <w:pPr>
        <w:tabs>
          <w:tab w:val="left" w:pos="0"/>
        </w:tabs>
        <w:adjustRightInd w:val="0"/>
        <w:snapToGrid w:val="0"/>
        <w:spacing w:line="360" w:lineRule="auto"/>
        <w:ind w:firstLine="472" w:firstLineChars="196"/>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2.1初步评审标准</w:t>
      </w:r>
    </w:p>
    <w:p w14:paraId="1E342C13">
      <w:pPr>
        <w:tabs>
          <w:tab w:val="left" w:pos="0"/>
        </w:tabs>
        <w:adjustRightInd w:val="0"/>
        <w:snapToGrid w:val="0"/>
        <w:spacing w:line="360" w:lineRule="auto"/>
        <w:ind w:firstLine="470" w:firstLineChars="196"/>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2.1.1资格性审查标准：见附件1初步审查要素表</w:t>
      </w:r>
    </w:p>
    <w:p w14:paraId="650B4C53">
      <w:pPr>
        <w:tabs>
          <w:tab w:val="left" w:pos="0"/>
        </w:tabs>
        <w:adjustRightInd w:val="0"/>
        <w:snapToGrid w:val="0"/>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2.1.2符合性审查标准：见附件1初步审查要素表</w:t>
      </w:r>
    </w:p>
    <w:p w14:paraId="160E6548">
      <w:pPr>
        <w:tabs>
          <w:tab w:val="left" w:pos="0"/>
        </w:tabs>
        <w:adjustRightInd w:val="0"/>
        <w:snapToGrid w:val="0"/>
        <w:spacing w:line="360" w:lineRule="auto"/>
        <w:ind w:firstLine="472" w:firstLineChars="196"/>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2.2成交标准</w:t>
      </w:r>
    </w:p>
    <w:p w14:paraId="61326FF7">
      <w:pPr>
        <w:pStyle w:val="12"/>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根据质量和服务均能满足采购文件实质性响应要求且最后报价最低的原则确定成交供应商。</w:t>
      </w:r>
    </w:p>
    <w:p w14:paraId="33D3D5B1">
      <w:pPr>
        <w:spacing w:line="360" w:lineRule="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三、评审程序</w:t>
      </w:r>
    </w:p>
    <w:p w14:paraId="6EC3D439">
      <w:pPr>
        <w:pStyle w:val="22"/>
        <w:spacing w:after="0" w:line="360" w:lineRule="auto"/>
        <w:ind w:left="0" w:leftChars="0" w:firstLine="444"/>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按照初审、澄清有关问题、分别谈判、推荐成交候选人名单。在上一步评审中被作无效响应处理者，不得进入下一步的评审。</w:t>
      </w:r>
    </w:p>
    <w:p w14:paraId="645E2AE3">
      <w:pPr>
        <w:spacing w:line="360" w:lineRule="auto"/>
        <w:ind w:left="420" w:leftChars="200"/>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1、对谈判响应文件的初审</w:t>
      </w:r>
    </w:p>
    <w:p w14:paraId="2B100B2F">
      <w:pPr>
        <w:tabs>
          <w:tab w:val="left" w:pos="0"/>
        </w:tabs>
        <w:adjustRightInd w:val="0"/>
        <w:snapToGrid w:val="0"/>
        <w:spacing w:line="360" w:lineRule="auto"/>
        <w:ind w:firstLine="472" w:firstLineChars="196"/>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rPr>
        <w:t>1.1资格性审查：谈判小组将依据本章第 2.1.1 项规定的评审标准对谈判响应文件进行资格性审查。有一项不符合评审标准的，</w:t>
      </w:r>
      <w:r>
        <w:rPr>
          <w:rFonts w:hint="eastAsia" w:ascii="宋体" w:hAnsi="宋体" w:eastAsia="宋体" w:cs="宋体"/>
          <w:b/>
          <w:bCs/>
          <w:color w:val="000000"/>
          <w:kern w:val="0"/>
          <w:sz w:val="24"/>
          <w:szCs w:val="24"/>
          <w:highlight w:val="none"/>
        </w:rPr>
        <w:t>将被视为未实质性响应谈判文件，其谈判响应文件将按无效文件处理。</w:t>
      </w:r>
    </w:p>
    <w:p w14:paraId="45D41C66">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1.2符合性审查：谈判小组根据本章第 2.1.2 项规定的评审标准对谈判响应文件进行符合性评审。有一项不符合评审标准的，将被视为未实质性响应谈判文件，其谈判响应文件将按无效文件处理。</w:t>
      </w:r>
    </w:p>
    <w:p w14:paraId="4BB55ED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在资格性审查阶段，不符合谈判文件要求的，不得进入符合性审查，在符合性审查时未通过的，不得进入后续评审环节。</w:t>
      </w:r>
    </w:p>
    <w:p w14:paraId="5214061C">
      <w:pPr>
        <w:spacing w:line="360" w:lineRule="auto"/>
        <w:ind w:firstLine="482" w:firstLineChars="200"/>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2、谈判响应文件的澄清</w:t>
      </w:r>
    </w:p>
    <w:p w14:paraId="5B4C6D6C">
      <w:pPr>
        <w:spacing w:line="360" w:lineRule="auto"/>
        <w:ind w:firstLine="496" w:firstLineChars="200"/>
        <w:rPr>
          <w:rFonts w:hint="eastAsia" w:ascii="宋体" w:hAnsi="宋体" w:eastAsia="宋体" w:cs="宋体"/>
          <w:bCs/>
          <w:spacing w:val="4"/>
          <w:sz w:val="24"/>
          <w:szCs w:val="24"/>
          <w:highlight w:val="none"/>
        </w:rPr>
      </w:pPr>
      <w:r>
        <w:rPr>
          <w:rFonts w:hint="eastAsia" w:ascii="宋体" w:hAnsi="宋体" w:eastAsia="宋体" w:cs="宋体"/>
          <w:bCs/>
          <w:spacing w:val="4"/>
          <w:sz w:val="24"/>
          <w:szCs w:val="24"/>
          <w:highlight w:val="none"/>
        </w:rPr>
        <w:t>2.1谈判小组发现供应商的报价明显低于其他通过符合性审查的供应商的报价，有可能影响产品质量或者不能诚信履约的，应当要求其在谈判现场合理的时间内做出书面说明，必要时提交相关证明材料。供应商不能证明其报价合理性的，谈判小组应当将其作为无效响应处理。</w:t>
      </w:r>
    </w:p>
    <w:p w14:paraId="36A9752E">
      <w:pPr>
        <w:spacing w:line="360" w:lineRule="auto"/>
        <w:ind w:firstLine="480" w:firstLineChars="200"/>
        <w:rPr>
          <w:rFonts w:hint="eastAsia" w:ascii="宋体" w:hAnsi="宋体" w:eastAsia="宋体" w:cs="宋体"/>
          <w:highlight w:val="none"/>
        </w:rPr>
      </w:pPr>
      <w:r>
        <w:rPr>
          <w:rFonts w:hint="eastAsia" w:ascii="宋体" w:hAnsi="宋体" w:eastAsia="宋体" w:cs="宋体"/>
          <w:color w:val="000000"/>
          <w:sz w:val="24"/>
          <w:szCs w:val="24"/>
          <w:highlight w:val="none"/>
        </w:rPr>
        <w:t>2.2有效的书面澄清材料，是谈判响应文件的补充材料，成为谈判响应文件的组成部分。</w:t>
      </w:r>
    </w:p>
    <w:p w14:paraId="14A31DBC">
      <w:pPr>
        <w:pStyle w:val="13"/>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14:paraId="1486FCF0">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14:paraId="3D9A5617">
      <w:pPr>
        <w:pStyle w:val="13"/>
        <w:spacing w:line="360" w:lineRule="auto"/>
        <w:ind w:firstLine="498" w:firstLineChars="200"/>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4、谈判过程中的实质性变动</w:t>
      </w:r>
    </w:p>
    <w:p w14:paraId="4A9747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14:paraId="1FD86B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4.2对竞争性谈判文件做出的实质性变动是谈判文件的有效组成部分，谈判小组应当及时以书面形式通知所有参加谈判的供应商。</w:t>
      </w:r>
    </w:p>
    <w:p w14:paraId="7D7802E5">
      <w:pPr>
        <w:pStyle w:val="13"/>
        <w:spacing w:line="360" w:lineRule="auto"/>
        <w:ind w:firstLine="498" w:firstLineChars="200"/>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5、推荐成交候选人</w:t>
      </w:r>
    </w:p>
    <w:p w14:paraId="7A89D1C7">
      <w:pPr>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由谈判小组依据谈判响应文件，从质量和服务均能满足谈判文件要求的供应商中，按照最后报价由低到高的顺序依次排序，推荐3名成交候选人，并标明顺序。谈判报价相同的，按照技术指标优劣顺序排序或由全体谈判小组成员无记名投票，得票高者排序在前。</w:t>
      </w:r>
    </w:p>
    <w:p w14:paraId="18DE1716">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四、谈判小组当履行下列义务</w:t>
      </w:r>
    </w:p>
    <w:p w14:paraId="4AE534F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1、遵纪守法，客观、公正、廉洁地履行职责；</w:t>
      </w:r>
    </w:p>
    <w:p w14:paraId="67A454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2、根据采购文件的规定独立进行评审，对个人的评审意见承担法律责任；</w:t>
      </w:r>
    </w:p>
    <w:p w14:paraId="3FC1292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3、参与评审报告的起草；</w:t>
      </w:r>
    </w:p>
    <w:p w14:paraId="5A2989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4、配合采购人、采购代理机构答复供应商提出的质疑；</w:t>
      </w:r>
    </w:p>
    <w:p w14:paraId="002E90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5、配合财政部门的投诉处理和监督检查工作。</w:t>
      </w:r>
    </w:p>
    <w:p w14:paraId="77F6ED36">
      <w:pPr>
        <w:pStyle w:val="13"/>
        <w:spacing w:line="360" w:lineRule="auto"/>
        <w:ind w:firstLine="0"/>
        <w:outlineLvl w:val="1"/>
        <w:rPr>
          <w:rFonts w:hint="eastAsia" w:ascii="宋体" w:hAnsi="宋体" w:eastAsia="宋体" w:cs="宋体"/>
          <w:b/>
          <w:bCs/>
          <w:spacing w:val="4"/>
          <w:sz w:val="24"/>
          <w:szCs w:val="24"/>
          <w:highlight w:val="none"/>
        </w:rPr>
      </w:pPr>
      <w:r>
        <w:rPr>
          <w:rFonts w:hint="eastAsia" w:ascii="宋体" w:hAnsi="宋体" w:eastAsia="宋体" w:cs="宋体"/>
          <w:b/>
          <w:sz w:val="24"/>
          <w:szCs w:val="24"/>
          <w:highlight w:val="none"/>
        </w:rPr>
        <w:t>五、</w:t>
      </w:r>
      <w:r>
        <w:rPr>
          <w:rFonts w:hint="eastAsia" w:ascii="宋体" w:hAnsi="宋体" w:eastAsia="宋体" w:cs="宋体"/>
          <w:b/>
          <w:bCs/>
          <w:spacing w:val="4"/>
          <w:sz w:val="24"/>
          <w:szCs w:val="24"/>
          <w:highlight w:val="none"/>
        </w:rPr>
        <w:t>无效响应文件</w:t>
      </w:r>
    </w:p>
    <w:p w14:paraId="742FD046">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出现下列情形之一的，谈判响应文件无效：</w:t>
      </w:r>
    </w:p>
    <w:p w14:paraId="3F6502F7">
      <w:pPr>
        <w:tabs>
          <w:tab w:val="left" w:pos="12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竞争性谈判响应文件未按竞争性谈判文件要求密封、签署、盖章的；</w:t>
      </w:r>
    </w:p>
    <w:p w14:paraId="0088F29A">
      <w:pPr>
        <w:tabs>
          <w:tab w:val="left" w:pos="1260"/>
        </w:tabs>
        <w:spacing w:line="360" w:lineRule="auto"/>
        <w:ind w:firstLine="480" w:firstLineChars="200"/>
        <w:rPr>
          <w:rFonts w:hint="eastAsia" w:ascii="宋体" w:hAnsi="宋体" w:eastAsia="宋体" w:cs="宋体"/>
          <w:spacing w:val="-6"/>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供应商未按竞争性谈判文件要求提交谈判保证金或保函的；</w:t>
      </w:r>
    </w:p>
    <w:p w14:paraId="32522934">
      <w:pPr>
        <w:tabs>
          <w:tab w:val="left" w:pos="12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3、不具备谈判文件中规定的资格要求或资格证明文件不全的或无效的；</w:t>
      </w:r>
    </w:p>
    <w:p w14:paraId="0B2C485C">
      <w:pPr>
        <w:tabs>
          <w:tab w:val="left" w:pos="12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6"/>
          <w:sz w:val="24"/>
          <w:highlight w:val="none"/>
        </w:rPr>
        <w:t>无谈判有效期或有效期达不到竞争性谈判文件要求的</w:t>
      </w:r>
      <w:r>
        <w:rPr>
          <w:rFonts w:hint="eastAsia" w:ascii="宋体" w:hAnsi="宋体" w:eastAsia="宋体" w:cs="宋体"/>
          <w:sz w:val="24"/>
          <w:szCs w:val="24"/>
          <w:highlight w:val="none"/>
        </w:rPr>
        <w:t>；</w:t>
      </w:r>
    </w:p>
    <w:p w14:paraId="0F7A181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5、谈判总报价超过竞争性谈判文件公布的采购预算的；</w:t>
      </w:r>
    </w:p>
    <w:p w14:paraId="6B77C2FA">
      <w:pPr>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6、</w:t>
      </w:r>
      <w:r>
        <w:rPr>
          <w:rFonts w:hint="eastAsia" w:ascii="宋体" w:hAnsi="宋体" w:eastAsia="宋体" w:cs="宋体"/>
          <w:spacing w:val="4"/>
          <w:sz w:val="24"/>
          <w:szCs w:val="24"/>
          <w:highlight w:val="none"/>
        </w:rPr>
        <w:t>响应文件含有采购人不能接受的附加条件的；</w:t>
      </w:r>
    </w:p>
    <w:p w14:paraId="182551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7、单位负责人为同一人或者存在直接控股、管理关系的不同供应商，参加本项目同一合同项下的谈判的；</w:t>
      </w:r>
    </w:p>
    <w:p w14:paraId="093D10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8、为本采购项目提供整体设计、规范编制或者项目管理、监理、检测等服务的供应商，参加本采购项目谈判的；</w:t>
      </w:r>
    </w:p>
    <w:p w14:paraId="1E5D9F8C">
      <w:pPr>
        <w:tabs>
          <w:tab w:val="left" w:pos="1260"/>
        </w:tabs>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9、</w:t>
      </w:r>
      <w:r>
        <w:rPr>
          <w:rFonts w:hint="eastAsia" w:ascii="宋体" w:hAnsi="宋体" w:eastAsia="宋体" w:cs="宋体"/>
          <w:sz w:val="24"/>
          <w:highlight w:val="none"/>
        </w:rPr>
        <w:t>提供虚假文件和资料的；</w:t>
      </w:r>
    </w:p>
    <w:p w14:paraId="42AB23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10、法律、法规规定的其他无效情形。</w:t>
      </w:r>
    </w:p>
    <w:p w14:paraId="4DB895F3">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六、政策性扣减</w:t>
      </w:r>
    </w:p>
    <w:p w14:paraId="5B2EF716">
      <w:pPr>
        <w:spacing w:line="46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1、政策性扣减范围</w:t>
      </w:r>
    </w:p>
    <w:p w14:paraId="7A8E504A">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1.1供应商符合小型、微型企业或监狱企业、残疾人福利性单位条件的，其谈判报价价格评审时将按相应比例进行扣减。</w:t>
      </w:r>
    </w:p>
    <w:p w14:paraId="34C59EA4">
      <w:pPr>
        <w:spacing w:line="360" w:lineRule="auto"/>
        <w:ind w:firstLine="496" w:firstLineChars="200"/>
        <w:rPr>
          <w:rFonts w:hint="eastAsia" w:ascii="宋体" w:hAnsi="宋体" w:eastAsia="宋体" w:cs="宋体"/>
          <w:bCs/>
          <w:spacing w:val="4"/>
          <w:sz w:val="24"/>
          <w:szCs w:val="24"/>
          <w:highlight w:val="none"/>
        </w:rPr>
      </w:pPr>
      <w:r>
        <w:rPr>
          <w:rFonts w:hint="eastAsia" w:ascii="宋体" w:hAnsi="宋体" w:eastAsia="宋体" w:cs="宋体"/>
          <w:bCs/>
          <w:spacing w:val="4"/>
          <w:sz w:val="24"/>
          <w:szCs w:val="24"/>
          <w:highlight w:val="none"/>
        </w:rPr>
        <w:t>1.2依照&lt;关于印发《政府采购促进中小企业发展管理办法》的通知&gt;（财库〔2020〕46号）</w:t>
      </w:r>
      <w:r>
        <w:rPr>
          <w:rFonts w:hint="eastAsia" w:ascii="宋体" w:hAnsi="宋体" w:eastAsia="宋体" w:cs="宋体"/>
          <w:bCs/>
          <w:spacing w:val="4"/>
          <w:sz w:val="24"/>
          <w:szCs w:val="24"/>
          <w:highlight w:val="none"/>
          <w:lang w:val="zh-CN"/>
        </w:rPr>
        <w:t>的办法及《关于进一步加大政府采购支持中小企业力度的通知》（财库【2022】19号）的通知</w:t>
      </w:r>
      <w:r>
        <w:rPr>
          <w:rFonts w:hint="eastAsia" w:ascii="宋体" w:hAnsi="宋体" w:eastAsia="宋体" w:cs="宋体"/>
          <w:bCs/>
          <w:spacing w:val="4"/>
          <w:sz w:val="24"/>
          <w:szCs w:val="24"/>
          <w:highlight w:val="none"/>
        </w:rPr>
        <w:t>小型、微型企业应当同时符合以下条件：</w:t>
      </w:r>
    </w:p>
    <w:p w14:paraId="5D1CF769">
      <w:pPr>
        <w:spacing w:line="460" w:lineRule="exact"/>
        <w:ind w:firstLine="496" w:firstLineChars="200"/>
        <w:jc w:val="left"/>
        <w:rPr>
          <w:rFonts w:hint="eastAsia" w:ascii="宋体" w:hAnsi="宋体" w:eastAsia="宋体" w:cs="宋体"/>
          <w:sz w:val="24"/>
          <w:szCs w:val="24"/>
          <w:highlight w:val="none"/>
        </w:rPr>
      </w:pPr>
      <w:r>
        <w:rPr>
          <w:rFonts w:hint="eastAsia" w:ascii="宋体" w:hAnsi="宋体" w:eastAsia="宋体" w:cs="宋体"/>
          <w:bCs/>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14:paraId="1FE4AB3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1.2.2提供本企业制造的货物、承担的工程或者服务，或者提供其他中小企业制造的货物，不包括提供或使用大型企业注册商标的货物。</w:t>
      </w:r>
    </w:p>
    <w:p w14:paraId="3ED00F5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1.2.3小型、微型企业提供中型企业制造的货物的，视同为中型企业；小型、微型、中型企业提供大型企业制造的货物的，视同为大型企业。</w:t>
      </w:r>
    </w:p>
    <w:p w14:paraId="46BA043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1.3采购人拟采购产品属于优先采购节能、环境标志产品范围的，应当优先采购节能、环境标志产品；拟采购产品符合政府采购强制采购政策的，实行强制采购。</w:t>
      </w:r>
    </w:p>
    <w:p w14:paraId="6DB332E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1.3.1采购人依据节能产品、环境标志产品品目清单和节能、环境标志产品认证证书实施政府优先采购和强制采购。</w:t>
      </w:r>
    </w:p>
    <w:p w14:paraId="1782747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28FB426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F67B964">
      <w:pPr>
        <w:spacing w:line="360" w:lineRule="auto"/>
        <w:ind w:right="-166" w:rightChars="-79" w:firstLine="480" w:firstLineChars="200"/>
        <w:rPr>
          <w:rFonts w:hint="eastAsia" w:ascii="宋体" w:hAnsi="宋体" w:eastAsia="宋体" w:cs="宋体"/>
          <w:spacing w:val="4"/>
          <w:sz w:val="24"/>
          <w:szCs w:val="24"/>
          <w:highlight w:val="none"/>
        </w:rPr>
      </w:pPr>
      <w:r>
        <w:rPr>
          <w:rFonts w:hint="eastAsia" w:ascii="宋体" w:hAnsi="宋体" w:eastAsia="宋体" w:cs="宋体"/>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3E4BA02F">
      <w:pPr>
        <w:numPr>
          <w:ilvl w:val="0"/>
          <w:numId w:val="14"/>
        </w:numPr>
        <w:spacing w:line="360" w:lineRule="auto"/>
        <w:ind w:left="0" w:leftChars="0" w:firstLine="0" w:firstLineChars="0"/>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政策性扣减方式</w:t>
      </w:r>
    </w:p>
    <w:p w14:paraId="225A7925">
      <w:pPr>
        <w:numPr>
          <w:ilvl w:val="0"/>
          <w:numId w:val="0"/>
        </w:numPr>
        <w:spacing w:line="360" w:lineRule="auto"/>
        <w:ind w:leftChars="0"/>
        <w:outlineLvl w:val="2"/>
        <w:rPr>
          <w:rFonts w:hint="eastAsia" w:ascii="宋体" w:hAnsi="宋体" w:eastAsia="宋体" w:cs="宋体"/>
          <w:b/>
          <w:spacing w:val="4"/>
          <w:sz w:val="24"/>
          <w:szCs w:val="24"/>
          <w:highlight w:val="none"/>
          <w:lang w:eastAsia="zh-CN"/>
        </w:rPr>
      </w:pPr>
      <w:r>
        <w:rPr>
          <w:rFonts w:hint="eastAsia" w:ascii="宋体" w:hAnsi="宋体" w:cs="宋体"/>
          <w:b/>
          <w:spacing w:val="4"/>
          <w:sz w:val="24"/>
          <w:szCs w:val="24"/>
          <w:highlight w:val="none"/>
          <w:lang w:eastAsia="zh-CN"/>
        </w:rPr>
        <w:t>（</w:t>
      </w:r>
      <w:r>
        <w:rPr>
          <w:rFonts w:hint="eastAsia" w:ascii="宋体" w:hAnsi="宋体" w:cs="宋体"/>
          <w:b/>
          <w:spacing w:val="4"/>
          <w:sz w:val="24"/>
          <w:szCs w:val="24"/>
          <w:highlight w:val="none"/>
          <w:lang w:val="en-US" w:eastAsia="zh-CN"/>
        </w:rPr>
        <w:t>本项目</w:t>
      </w:r>
      <w:r>
        <w:rPr>
          <w:rFonts w:hint="eastAsia" w:ascii="宋体" w:hAnsi="宋体" w:cs="宋体"/>
          <w:b/>
          <w:spacing w:val="4"/>
          <w:sz w:val="24"/>
          <w:szCs w:val="24"/>
          <w:highlight w:val="none"/>
          <w:lang w:eastAsia="zh-CN"/>
        </w:rPr>
        <w:t>为专门面向中小企业采购的项目，</w:t>
      </w:r>
      <w:r>
        <w:rPr>
          <w:rFonts w:hint="eastAsia" w:ascii="宋体" w:hAnsi="宋体" w:cs="宋体"/>
          <w:b/>
          <w:spacing w:val="4"/>
          <w:sz w:val="24"/>
          <w:szCs w:val="24"/>
          <w:highlight w:val="none"/>
          <w:lang w:val="en-US" w:eastAsia="zh-CN"/>
        </w:rPr>
        <w:t>不再进行价格扣除</w:t>
      </w:r>
      <w:r>
        <w:rPr>
          <w:rFonts w:hint="eastAsia" w:ascii="宋体" w:hAnsi="宋体" w:cs="宋体"/>
          <w:b/>
          <w:spacing w:val="4"/>
          <w:sz w:val="24"/>
          <w:szCs w:val="24"/>
          <w:highlight w:val="none"/>
          <w:lang w:eastAsia="zh-CN"/>
        </w:rPr>
        <w:t>；供应商应填写中小企业声明函并对真实性负责。）</w:t>
      </w:r>
    </w:p>
    <w:p w14:paraId="1688140A">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zh-CN"/>
        </w:rPr>
        <w:t>）小微企业的价格评分标准</w:t>
      </w:r>
    </w:p>
    <w:p w14:paraId="567AAB77">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根据《政府采购促进中小企业发展管理办法》（财库【2020】46号）的办法及《关于进一步加大政府采购支持中小企业力度的通知》（财库【2022】19号）的通知，对于非专门面向中小企业的货物服务项目，对小型、微型企业产品的价格给予10%的扣除，用扣除后的价格参与评审，其评标价=投标报价*（1-10%）。</w:t>
      </w:r>
    </w:p>
    <w:p w14:paraId="63CBF6FB">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14:paraId="0D0C92A3">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14:paraId="20ABDA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2.3小微企业、监狱企业、残疾人福利性单位不重复享受优惠政策；</w:t>
      </w:r>
    </w:p>
    <w:p w14:paraId="130A39A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2.4谈判产品属于优先采购的节能、环境标志产品范围的，须按照本章“四、政策性扣减 1、政策性扣减范围第1.3.2条规定提供相应的证明材料；</w:t>
      </w:r>
    </w:p>
    <w:p w14:paraId="4B122D2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2.5、在报价相同的前提下，应优先采购“两个清单”内的产品；对于同时列入“两个清单”的产品，应当优先于只获得其中一项认证的产品。</w:t>
      </w:r>
    </w:p>
    <w:p w14:paraId="1E99ED2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2.6供应商享受支持中小型企业发展政策优惠的，可以同时享受节能、环境标志产品优先采购政策。</w:t>
      </w:r>
    </w:p>
    <w:p w14:paraId="2BB58006">
      <w:pPr>
        <w:spacing w:line="360" w:lineRule="auto"/>
        <w:ind w:firstLine="482" w:firstLineChars="20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3、成交价格=成交供应商的有效谈判报价。</w:t>
      </w:r>
    </w:p>
    <w:p w14:paraId="0B904666">
      <w:pPr>
        <w:spacing w:line="360" w:lineRule="auto"/>
        <w:outlineLvl w:val="1"/>
        <w:rPr>
          <w:rFonts w:hint="eastAsia" w:ascii="宋体" w:hAnsi="宋体" w:eastAsia="宋体" w:cs="宋体"/>
          <w:b/>
          <w:color w:val="FF0000"/>
          <w:kern w:val="0"/>
          <w:sz w:val="24"/>
          <w:szCs w:val="24"/>
          <w:highlight w:val="none"/>
        </w:rPr>
      </w:pPr>
      <w:bookmarkStart w:id="84" w:name="_Toc1474"/>
      <w:bookmarkStart w:id="85" w:name="_Toc24123"/>
      <w:bookmarkStart w:id="86" w:name="_Toc409690878"/>
      <w:bookmarkStart w:id="87" w:name="_Toc425781313"/>
      <w:r>
        <w:rPr>
          <w:rFonts w:hint="eastAsia" w:ascii="宋体" w:hAnsi="宋体" w:eastAsia="宋体" w:cs="宋体"/>
          <w:b/>
          <w:kern w:val="0"/>
          <w:sz w:val="24"/>
          <w:szCs w:val="24"/>
          <w:highlight w:val="none"/>
        </w:rPr>
        <w:t>七、成交</w:t>
      </w:r>
    </w:p>
    <w:p w14:paraId="3C396D37">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1、谈判结果报告由谈判小组签字确认。</w:t>
      </w:r>
    </w:p>
    <w:p w14:paraId="31CF1E8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2、采购人根据谈判结果报告中推荐的成交候选人排列顺序确定成交人，以复函通知采购代理机构。</w:t>
      </w:r>
    </w:p>
    <w:p w14:paraId="3D2D9FC4">
      <w:pPr>
        <w:spacing w:line="360" w:lineRule="auto"/>
        <w:outlineLvl w:val="1"/>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八、特殊情况的处理</w:t>
      </w:r>
    </w:p>
    <w:p w14:paraId="6C1D42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1、计算错误将按以下方法更正：</w:t>
      </w:r>
    </w:p>
    <w:p w14:paraId="404A102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（1）谈判响应文件中</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报价一览表(报价表)内容与谈判响应文件中相应内容总金额不一致的，以</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报价一览表(报价表)为准；如果单独密封的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报价一览表与谈判响应文件正本的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报价一览表(报价表)不一致，以单独密封的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报价一览表(报价表)为准。</w:t>
      </w:r>
    </w:p>
    <w:p w14:paraId="032CA8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（2）谈判响应文件的大写金额和小写金额不一致的，以大写金额为准；</w:t>
      </w:r>
    </w:p>
    <w:p w14:paraId="622D73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（3）单价金额小数点或者百分比有明显错位的，以单独密封的报价一览表的总价为准，并修改单价；</w:t>
      </w:r>
    </w:p>
    <w:p w14:paraId="7C130B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387BD4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按上述修正的顺序和方法调整的报价应对供应商具有约束力。如果供应商不接受修正后的价格，其响应文件将按无效响应处理。</w:t>
      </w:r>
    </w:p>
    <w:p w14:paraId="326C5C5B">
      <w:pPr>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2、对于竞争性谈判响应文件中明显的标点符号错误或不构成实质性偏差的不正规、不一致或不规则，采购人可以接受。</w:t>
      </w:r>
    </w:p>
    <w:p w14:paraId="2CF70F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3、出现下列情形之一的，采购人或者采购代理机构应当终止竞争性谈判采购活动，发布项目终止公告并说明原因，重新开展采购活动：</w:t>
      </w:r>
    </w:p>
    <w:p w14:paraId="7BA2C0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（一）因情况变化，不再符合规定的竞争性谈判采购方式适用情形的；</w:t>
      </w:r>
    </w:p>
    <w:p w14:paraId="27F936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（二）出现影响采购公正的违法、违规行为的；</w:t>
      </w:r>
    </w:p>
    <w:p w14:paraId="345686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（三）在采购过程中符合竞争要求的供应商或者报价未超过采购预算的供应商不足3家的，但《政府采购非招标采购方式管理办法》（财政部74号令）第二十七条第二款规定的情形除外。</w:t>
      </w:r>
    </w:p>
    <w:p w14:paraId="734D4A36">
      <w:pPr>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4、谈判过程中，若出现本评审方法以外的特殊情况时，将暂停评审，待谈判小组商榷后，再进行评定。</w:t>
      </w:r>
    </w:p>
    <w:p w14:paraId="15C0A544">
      <w:pPr>
        <w:pStyle w:val="12"/>
        <w:spacing w:line="360" w:lineRule="auto"/>
        <w:rPr>
          <w:rFonts w:hint="eastAsia" w:ascii="宋体" w:hAnsi="宋体" w:eastAsia="宋体" w:cs="宋体"/>
          <w:spacing w:val="4"/>
          <w:sz w:val="24"/>
          <w:szCs w:val="24"/>
          <w:highlight w:val="none"/>
        </w:rPr>
      </w:pPr>
    </w:p>
    <w:p w14:paraId="3157A8CA">
      <w:pPr>
        <w:pStyle w:val="12"/>
        <w:spacing w:line="360" w:lineRule="auto"/>
        <w:rPr>
          <w:rFonts w:hint="eastAsia" w:ascii="宋体" w:hAnsi="宋体" w:eastAsia="宋体" w:cs="宋体"/>
          <w:spacing w:val="4"/>
          <w:sz w:val="24"/>
          <w:szCs w:val="24"/>
          <w:highlight w:val="none"/>
        </w:rPr>
      </w:pPr>
    </w:p>
    <w:p w14:paraId="5D988036">
      <w:pPr>
        <w:pStyle w:val="12"/>
        <w:spacing w:line="360" w:lineRule="auto"/>
        <w:rPr>
          <w:rFonts w:hint="eastAsia" w:ascii="宋体" w:hAnsi="宋体" w:eastAsia="宋体" w:cs="宋体"/>
          <w:spacing w:val="4"/>
          <w:sz w:val="24"/>
          <w:szCs w:val="24"/>
          <w:highlight w:val="none"/>
        </w:rPr>
      </w:pPr>
    </w:p>
    <w:p w14:paraId="50D1AB88">
      <w:pPr>
        <w:pStyle w:val="12"/>
        <w:spacing w:line="360" w:lineRule="auto"/>
        <w:rPr>
          <w:rFonts w:hint="eastAsia" w:ascii="宋体" w:hAnsi="宋体" w:eastAsia="宋体" w:cs="宋体"/>
          <w:spacing w:val="4"/>
          <w:sz w:val="24"/>
          <w:szCs w:val="24"/>
          <w:highlight w:val="none"/>
        </w:rPr>
      </w:pPr>
    </w:p>
    <w:p w14:paraId="03F166ED">
      <w:pPr>
        <w:pStyle w:val="12"/>
        <w:spacing w:line="360" w:lineRule="auto"/>
        <w:rPr>
          <w:rFonts w:hint="eastAsia" w:ascii="宋体" w:hAnsi="宋体" w:eastAsia="宋体" w:cs="宋体"/>
          <w:spacing w:val="4"/>
          <w:sz w:val="24"/>
          <w:szCs w:val="24"/>
          <w:highlight w:val="none"/>
        </w:rPr>
      </w:pPr>
    </w:p>
    <w:p w14:paraId="65E8D9FD">
      <w:pPr>
        <w:pStyle w:val="43"/>
        <w:rPr>
          <w:rFonts w:hint="eastAsia"/>
          <w:highlight w:val="none"/>
        </w:rPr>
      </w:pPr>
    </w:p>
    <w:p w14:paraId="6A9495B6">
      <w:pPr>
        <w:pStyle w:val="12"/>
        <w:spacing w:line="360" w:lineRule="auto"/>
        <w:rPr>
          <w:rFonts w:hint="eastAsia" w:ascii="宋体" w:hAnsi="宋体" w:eastAsia="宋体" w:cs="宋体"/>
          <w:spacing w:val="4"/>
          <w:sz w:val="24"/>
          <w:szCs w:val="24"/>
          <w:highlight w:val="none"/>
        </w:rPr>
      </w:pPr>
    </w:p>
    <w:p w14:paraId="55C2EF40">
      <w:pPr>
        <w:pStyle w:val="12"/>
        <w:outlineLvl w:val="2"/>
        <w:rPr>
          <w:rFonts w:hint="eastAsia" w:ascii="宋体" w:hAnsi="宋体" w:eastAsia="宋体" w:cs="宋体"/>
          <w:szCs w:val="24"/>
          <w:highlight w:val="none"/>
        </w:rPr>
      </w:pPr>
      <w:r>
        <w:rPr>
          <w:rFonts w:hint="eastAsia" w:ascii="宋体" w:hAnsi="宋体" w:eastAsia="宋体" w:cs="宋体"/>
          <w:b/>
          <w:bCs/>
          <w:sz w:val="24"/>
          <w:szCs w:val="24"/>
          <w:highlight w:val="none"/>
        </w:rPr>
        <w:t>附件1：</w:t>
      </w:r>
    </w:p>
    <w:p w14:paraId="769EF470">
      <w:pPr>
        <w:pStyle w:val="12"/>
        <w:jc w:val="center"/>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初步审查要素表</w:t>
      </w:r>
    </w:p>
    <w:tbl>
      <w:tblPr>
        <w:tblStyle w:val="3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14:paraId="0FF3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ign w:val="center"/>
          </w:tcPr>
          <w:p w14:paraId="199985FE">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823" w:type="dxa"/>
            <w:gridSpan w:val="2"/>
            <w:noWrap/>
            <w:vAlign w:val="center"/>
          </w:tcPr>
          <w:p w14:paraId="6A48D95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280" w:type="dxa"/>
            <w:noWrap/>
            <w:vAlign w:val="center"/>
          </w:tcPr>
          <w:p w14:paraId="67AE7F26">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4F89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ign w:val="center"/>
          </w:tcPr>
          <w:p w14:paraId="63EE5D5C">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w:t>
            </w:r>
          </w:p>
        </w:tc>
        <w:tc>
          <w:tcPr>
            <w:tcW w:w="596" w:type="dxa"/>
            <w:vMerge w:val="restart"/>
            <w:noWrap/>
            <w:vAlign w:val="center"/>
          </w:tcPr>
          <w:p w14:paraId="1C04A6B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资格评审</w:t>
            </w:r>
          </w:p>
          <w:p w14:paraId="709FE2DA">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w:t>
            </w:r>
          </w:p>
        </w:tc>
        <w:tc>
          <w:tcPr>
            <w:tcW w:w="1823" w:type="dxa"/>
            <w:gridSpan w:val="2"/>
            <w:noWrap/>
            <w:vAlign w:val="center"/>
          </w:tcPr>
          <w:p w14:paraId="445ABFD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基本资格条件</w:t>
            </w:r>
          </w:p>
        </w:tc>
        <w:tc>
          <w:tcPr>
            <w:tcW w:w="6280" w:type="dxa"/>
            <w:noWrap/>
            <w:vAlign w:val="center"/>
          </w:tcPr>
          <w:p w14:paraId="6FEE4400">
            <w:pPr>
              <w:pStyle w:val="12"/>
              <w:keepNext w:val="0"/>
              <w:keepLines w:val="0"/>
              <w:suppressLineNumbers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满足《中华人民共和国政府采购法》第二十二条规定；</w:t>
            </w:r>
          </w:p>
        </w:tc>
      </w:tr>
      <w:tr w14:paraId="7CDC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14:paraId="0EB2A359">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230EC9FE">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restart"/>
            <w:tcBorders>
              <w:top w:val="nil"/>
            </w:tcBorders>
            <w:noWrap/>
            <w:vAlign w:val="center"/>
          </w:tcPr>
          <w:p w14:paraId="626740C4">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特定资格条件</w:t>
            </w:r>
          </w:p>
        </w:tc>
        <w:tc>
          <w:tcPr>
            <w:tcW w:w="6280" w:type="dxa"/>
            <w:noWrap/>
            <w:vAlign w:val="center"/>
          </w:tcPr>
          <w:p w14:paraId="10D2A073">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cs="宋体"/>
                <w:i w:val="0"/>
                <w:iCs w:val="0"/>
                <w:caps w:val="0"/>
                <w:color w:val="333333"/>
                <w:spacing w:val="0"/>
                <w:sz w:val="24"/>
                <w:szCs w:val="24"/>
                <w:highlight w:val="none"/>
                <w:shd w:val="clear" w:fill="FFFFFF"/>
                <w:vertAlign w:val="baseline"/>
                <w:lang w:val="en-US" w:eastAsia="zh-CN"/>
              </w:rPr>
              <w:t>1</w:t>
            </w: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供应商须具有独立承担民事责任的能力，提供营业执照、税务登记证、组织结构代码证或登载有统一社会信用代码的营业执照（或《事业单位法人证书》或其他合法组织登记证书、自然人只须提交身份证）；</w:t>
            </w:r>
          </w:p>
        </w:tc>
      </w:tr>
      <w:tr w14:paraId="0AEB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59" w:type="dxa"/>
            <w:vMerge w:val="continue"/>
            <w:noWrap/>
            <w:vAlign w:val="center"/>
          </w:tcPr>
          <w:p w14:paraId="34D67B56">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22E6C77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67FB5541">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noWrap/>
            <w:vAlign w:val="center"/>
          </w:tcPr>
          <w:p w14:paraId="5F1574DF">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cs="宋体"/>
                <w:i w:val="0"/>
                <w:iCs w:val="0"/>
                <w:caps w:val="0"/>
                <w:color w:val="333333"/>
                <w:spacing w:val="0"/>
                <w:sz w:val="24"/>
                <w:szCs w:val="24"/>
                <w:highlight w:val="none"/>
                <w:shd w:val="clear" w:fill="FFFFFF"/>
                <w:vertAlign w:val="baseline"/>
                <w:lang w:val="en-US" w:eastAsia="zh-CN"/>
              </w:rPr>
              <w:t>2</w:t>
            </w: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法定代表人授权书（附法定代表人、被授权人身份证复印件）及被授权人身份证（法定代表人直接参加谈判，须提供法定代表人身份证明及身份证原件）；</w:t>
            </w:r>
          </w:p>
        </w:tc>
      </w:tr>
      <w:tr w14:paraId="038C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14:paraId="721EF696">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48D34819">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7E918350">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60AADE8B">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cs="宋体"/>
                <w:i w:val="0"/>
                <w:iCs w:val="0"/>
                <w:caps w:val="0"/>
                <w:color w:val="auto"/>
                <w:spacing w:val="0"/>
                <w:sz w:val="24"/>
                <w:szCs w:val="24"/>
                <w:highlight w:val="none"/>
                <w:shd w:val="clear" w:fill="FFFFFF"/>
                <w:vertAlign w:val="baseline"/>
                <w:lang w:val="en-US" w:eastAsia="zh-CN"/>
              </w:rPr>
              <w:t>（3）</w:t>
            </w:r>
            <w:r>
              <w:rPr>
                <w:rFonts w:hint="eastAsia" w:ascii="宋体" w:hAnsi="宋体" w:cs="宋体"/>
                <w:i w:val="0"/>
                <w:iCs w:val="0"/>
                <w:caps w:val="0"/>
                <w:color w:val="auto"/>
                <w:spacing w:val="0"/>
                <w:sz w:val="24"/>
                <w:szCs w:val="24"/>
                <w:highlight w:val="none"/>
                <w:shd w:val="clear" w:fill="FFFFFF"/>
                <w:vertAlign w:val="baseline"/>
                <w:lang w:eastAsia="zh-CN"/>
              </w:rPr>
              <w:t>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w:t>
            </w:r>
            <w:r>
              <w:rPr>
                <w:rFonts w:hint="eastAsia" w:ascii="宋体" w:hAnsi="宋体" w:cs="宋体"/>
                <w:i w:val="0"/>
                <w:iCs w:val="0"/>
                <w:caps w:val="0"/>
                <w:color w:val="333333"/>
                <w:spacing w:val="0"/>
                <w:sz w:val="24"/>
                <w:szCs w:val="24"/>
                <w:highlight w:val="none"/>
                <w:shd w:val="clear" w:fill="FFFFFF"/>
                <w:vertAlign w:val="baseline"/>
                <w:lang w:eastAsia="zh-CN"/>
              </w:rPr>
              <w:t>证明文件</w:t>
            </w:r>
            <w:r>
              <w:rPr>
                <w:rFonts w:hint="eastAsia" w:ascii="宋体" w:hAnsi="宋体" w:eastAsia="宋体" w:cs="宋体"/>
                <w:i w:val="0"/>
                <w:iCs w:val="0"/>
                <w:caps w:val="0"/>
                <w:color w:val="333333"/>
                <w:spacing w:val="0"/>
                <w:sz w:val="24"/>
                <w:szCs w:val="24"/>
                <w:highlight w:val="none"/>
                <w:shd w:val="clear" w:fill="FFFFFF"/>
                <w:vertAlign w:val="baseline"/>
              </w:rPr>
              <w:t>；</w:t>
            </w:r>
          </w:p>
        </w:tc>
      </w:tr>
      <w:tr w14:paraId="3EB8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14:paraId="65AAFB8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7F8ADE99">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5E583C9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0DEDB1E1">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4</w:t>
            </w:r>
            <w:r>
              <w:rPr>
                <w:rFonts w:hint="eastAsia" w:ascii="宋体" w:hAnsi="宋体" w:eastAsia="宋体" w:cs="宋体"/>
                <w:bCs/>
                <w:color w:val="3D3D3D"/>
                <w:kern w:val="0"/>
                <w:sz w:val="24"/>
                <w:szCs w:val="24"/>
                <w:highlight w:val="no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提供谈判响应文件递交截止日前一年内已缴存的至少一个月的社会保障资金缴存单据或社保机构开具的社会保险参保缴费情况证明，依法不需要缴纳社会保障资金的单位应提供相关证明材料；</w:t>
            </w:r>
          </w:p>
        </w:tc>
      </w:tr>
      <w:tr w14:paraId="63B9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14:paraId="2CBF962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0787C61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4DE1BA7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4E2B2B30">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5</w:t>
            </w: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i w:val="0"/>
                <w:iCs w:val="0"/>
                <w:caps w:val="0"/>
                <w:color w:val="333333"/>
                <w:spacing w:val="0"/>
                <w:sz w:val="24"/>
                <w:szCs w:val="24"/>
                <w:highlight w:val="none"/>
                <w:shd w:val="clear" w:fill="FFFFFF"/>
                <w:vertAlign w:val="baseline"/>
                <w:lang w:eastAsia="zh-CN"/>
              </w:rPr>
              <w:t>提供2023年度或2024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附《基本存款账户信息》或《银行开户许可证》复印件）。</w:t>
            </w:r>
          </w:p>
        </w:tc>
      </w:tr>
      <w:tr w14:paraId="4C31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14:paraId="442C07C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3F8B0BFA">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5BBE454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1FF3BAA5">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lang w:eastAsia="zh-CN"/>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6</w:t>
            </w:r>
            <w:r>
              <w:rPr>
                <w:rFonts w:hint="eastAsia" w:ascii="宋体" w:hAnsi="宋体" w:eastAsia="宋体" w:cs="宋体"/>
                <w:bCs/>
                <w:color w:val="3D3D3D"/>
                <w:kern w:val="0"/>
                <w:sz w:val="24"/>
                <w:szCs w:val="24"/>
                <w:highlight w:val="no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参加政府活动近三年内，在经营活动中无重大违法记录的书面声明；</w:t>
            </w:r>
          </w:p>
        </w:tc>
      </w:tr>
      <w:tr w14:paraId="3407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ign w:val="center"/>
          </w:tcPr>
          <w:p w14:paraId="65CB577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vMerge w:val="continue"/>
            <w:noWrap/>
            <w:vAlign w:val="center"/>
          </w:tcPr>
          <w:p w14:paraId="2974D8CE">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vMerge w:val="continue"/>
            <w:noWrap/>
            <w:vAlign w:val="center"/>
          </w:tcPr>
          <w:p w14:paraId="285C8FCE">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58EF76DB">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7</w:t>
            </w:r>
            <w:r>
              <w:rPr>
                <w:rFonts w:hint="eastAsia" w:ascii="宋体" w:hAnsi="宋体" w:eastAsia="宋体" w:cs="宋体"/>
                <w:bCs/>
                <w:color w:val="3D3D3D"/>
                <w:kern w:val="0"/>
                <w:sz w:val="24"/>
                <w:szCs w:val="24"/>
                <w:highlight w:val="no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供应商不得为中国执行信息公开网（http://zxgk.court.gov.cn/shixin/）失信被执行人及“信用中国”网站（www.creditchina.gov.cn）重大税收违法失信主体；不得为中国政府采购网（www.ccgp.gov.cn）政府采购严重违法失信行为记录名单中的供应商。</w:t>
            </w:r>
          </w:p>
        </w:tc>
      </w:tr>
      <w:tr w14:paraId="68AE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noWrap/>
            <w:vAlign w:val="center"/>
          </w:tcPr>
          <w:p w14:paraId="1312308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noWrap/>
            <w:vAlign w:val="center"/>
          </w:tcPr>
          <w:p w14:paraId="1CB6D6FC">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noWrap/>
            <w:vAlign w:val="center"/>
          </w:tcPr>
          <w:p w14:paraId="0A69C18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6280" w:type="dxa"/>
            <w:tcBorders>
              <w:left w:val="nil"/>
            </w:tcBorders>
            <w:noWrap/>
            <w:vAlign w:val="center"/>
          </w:tcPr>
          <w:p w14:paraId="4A3F7AE4">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8</w:t>
            </w:r>
            <w:r>
              <w:rPr>
                <w:rFonts w:hint="eastAsia" w:ascii="宋体" w:hAnsi="宋体" w:eastAsia="宋体" w:cs="宋体"/>
                <w:bCs/>
                <w:color w:val="3D3D3D"/>
                <w:kern w:val="0"/>
                <w:sz w:val="24"/>
                <w:szCs w:val="24"/>
                <w:highlight w:val="none"/>
                <w:lang w:val="en-US" w:eastAsia="zh-CN" w:bidi="ar-SA"/>
              </w:rPr>
              <w:t>）</w:t>
            </w:r>
            <w:r>
              <w:rPr>
                <w:rFonts w:hint="eastAsia" w:ascii="宋体" w:hAnsi="宋体" w:eastAsia="宋体" w:cs="宋体"/>
                <w:i w:val="0"/>
                <w:iCs w:val="0"/>
                <w:caps w:val="0"/>
                <w:color w:val="333333"/>
                <w:spacing w:val="0"/>
                <w:sz w:val="24"/>
                <w:szCs w:val="24"/>
                <w:highlight w:val="none"/>
                <w:shd w:val="clear" w:fill="FFFFFF"/>
                <w:vertAlign w:val="baseline"/>
              </w:rPr>
              <w:t>单位负责人为同一人或者存在直接控股、管理关系的不同供应商，不得参加同一合同项下的政府采购活动。</w:t>
            </w:r>
          </w:p>
        </w:tc>
      </w:tr>
      <w:tr w14:paraId="1A2D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noWrap/>
            <w:vAlign w:val="center"/>
          </w:tcPr>
          <w:p w14:paraId="2D933B9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96" w:type="dxa"/>
            <w:noWrap/>
            <w:vAlign w:val="center"/>
          </w:tcPr>
          <w:p w14:paraId="18CB00C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1823" w:type="dxa"/>
            <w:gridSpan w:val="2"/>
            <w:noWrap/>
            <w:vAlign w:val="center"/>
          </w:tcPr>
          <w:p w14:paraId="3B8C6AF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供应商性质</w:t>
            </w:r>
          </w:p>
          <w:p w14:paraId="5FDDAC26">
            <w:pPr>
              <w:keepNext w:val="0"/>
              <w:keepLines w:val="0"/>
              <w:suppressLineNumbers w:val="0"/>
              <w:tabs>
                <w:tab w:val="left" w:pos="0"/>
              </w:tabs>
              <w:adjustRightInd w:val="0"/>
              <w:snapToGrid w:val="0"/>
              <w:spacing w:before="0" w:beforeAutospacing="0" w:after="0" w:afterAutospacing="0"/>
              <w:ind w:left="0" w:right="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判定</w:t>
            </w:r>
          </w:p>
        </w:tc>
        <w:tc>
          <w:tcPr>
            <w:tcW w:w="6280" w:type="dxa"/>
            <w:tcBorders>
              <w:left w:val="nil"/>
            </w:tcBorders>
            <w:noWrap/>
            <w:vAlign w:val="center"/>
          </w:tcPr>
          <w:p w14:paraId="7664DB61">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rightChars="0"/>
              <w:jc w:val="both"/>
              <w:textAlignment w:val="baseline"/>
              <w:rPr>
                <w:rFonts w:hint="eastAsia" w:ascii="宋体" w:hAnsi="宋体" w:eastAsia="宋体" w:cs="宋体"/>
                <w:bCs/>
                <w:sz w:val="24"/>
                <w:szCs w:val="24"/>
                <w:highlight w:val="none"/>
                <w:lang w:val="en-US" w:eastAsia="zh-CN"/>
              </w:rPr>
            </w:pPr>
            <w:r>
              <w:rPr>
                <w:rFonts w:hint="eastAsia" w:ascii="宋体" w:hAnsi="宋体" w:eastAsia="宋体" w:cs="宋体"/>
                <w:bCs/>
                <w:color w:val="3D3D3D"/>
                <w:kern w:val="0"/>
                <w:sz w:val="24"/>
                <w:szCs w:val="24"/>
                <w:highlight w:val="none"/>
                <w:lang w:val="en-US" w:eastAsia="zh-CN" w:bidi="ar-SA"/>
              </w:rPr>
              <w:t>（</w:t>
            </w:r>
            <w:r>
              <w:rPr>
                <w:rFonts w:hint="eastAsia" w:ascii="宋体" w:hAnsi="宋体" w:cs="宋体"/>
                <w:bCs/>
                <w:color w:val="3D3D3D"/>
                <w:kern w:val="0"/>
                <w:sz w:val="24"/>
                <w:szCs w:val="24"/>
                <w:highlight w:val="none"/>
                <w:lang w:val="en-US" w:eastAsia="zh-CN" w:bidi="ar-SA"/>
              </w:rPr>
              <w:t>9</w:t>
            </w:r>
            <w:r>
              <w:rPr>
                <w:rFonts w:hint="eastAsia" w:ascii="宋体" w:hAnsi="宋体" w:eastAsia="宋体" w:cs="宋体"/>
                <w:bCs/>
                <w:color w:val="3D3D3D"/>
                <w:kern w:val="0"/>
                <w:sz w:val="24"/>
                <w:szCs w:val="24"/>
                <w:highlight w:val="none"/>
                <w:lang w:val="en-US" w:eastAsia="zh-CN" w:bidi="ar-SA"/>
              </w:rPr>
              <w:t>）</w:t>
            </w:r>
            <w:r>
              <w:rPr>
                <w:rFonts w:hint="eastAsia" w:ascii="宋体" w:hAnsi="宋体" w:eastAsia="宋体" w:cs="宋体"/>
                <w:bCs/>
                <w:sz w:val="24"/>
                <w:szCs w:val="24"/>
                <w:highlight w:val="none"/>
                <w:lang w:val="en-US" w:eastAsia="zh-CN"/>
              </w:rPr>
              <w:t>本项目为专门面向中小企业采购的项目。 </w:t>
            </w:r>
          </w:p>
          <w:p w14:paraId="08E4CEBC">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240" w:firstLineChars="100"/>
              <w:jc w:val="both"/>
              <w:textAlignment w:val="baseline"/>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参与的供应商全部由符合政策要求的中小企业承接。供应商应为中型企业、小型企业、微型企业或监狱企业或残疾人福利性单位。供应商为中小企业的，</w:t>
            </w:r>
            <w:r>
              <w:rPr>
                <w:rFonts w:hint="eastAsia" w:ascii="宋体" w:hAnsi="宋体" w:cs="宋体"/>
                <w:bCs/>
                <w:sz w:val="24"/>
                <w:szCs w:val="24"/>
                <w:highlight w:val="none"/>
                <w:lang w:val="en-US" w:eastAsia="zh-CN"/>
              </w:rPr>
              <w:t>须</w:t>
            </w:r>
            <w:r>
              <w:rPr>
                <w:rFonts w:hint="eastAsia" w:ascii="宋体" w:hAnsi="宋体" w:eastAsia="宋体" w:cs="宋体"/>
                <w:bCs/>
                <w:sz w:val="24"/>
                <w:szCs w:val="24"/>
                <w:highlight w:val="none"/>
                <w:lang w:val="en-US" w:eastAsia="zh-CN"/>
              </w:rPr>
              <w:t>提供《中小企业声明函》，且中小企业的划分标准所属行业为</w:t>
            </w:r>
            <w:r>
              <w:rPr>
                <w:rFonts w:hint="eastAsia" w:ascii="宋体" w:hAnsi="宋体" w:cs="宋体"/>
                <w:bCs/>
                <w:sz w:val="24"/>
                <w:szCs w:val="24"/>
                <w:highlight w:val="none"/>
                <w:lang w:val="en-US" w:eastAsia="zh-CN"/>
              </w:rPr>
              <w:t>其他未列明行业</w:t>
            </w:r>
            <w:r>
              <w:rPr>
                <w:rFonts w:hint="eastAsia" w:ascii="宋体" w:hAnsi="宋体" w:eastAsia="宋体" w:cs="宋体"/>
                <w:bCs/>
                <w:sz w:val="24"/>
                <w:szCs w:val="24"/>
                <w:highlight w:val="none"/>
                <w:lang w:val="en-US" w:eastAsia="zh-CN"/>
              </w:rPr>
              <w:t>；供应商为监狱企业的，应提供监狱企业的证明文件；供应商为残疾人福利性单位的，应提供《残疾人福利性单位声明函》（监狱企业或残疾人福利性单位视同小型、微型企业）。</w:t>
            </w:r>
          </w:p>
          <w:p w14:paraId="3F3D4E62">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jc w:val="both"/>
              <w:textAlignment w:val="baseline"/>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潜在供应商</w:t>
            </w:r>
            <w:r>
              <w:rPr>
                <w:rFonts w:ascii="宋体" w:hAnsi="宋体" w:eastAsia="宋体" w:cs="宋体"/>
                <w:sz w:val="24"/>
                <w:szCs w:val="24"/>
                <w:highlight w:val="none"/>
              </w:rPr>
              <w:t>可根据自身情况</w:t>
            </w:r>
            <w:r>
              <w:rPr>
                <w:rFonts w:hint="eastAsia" w:ascii="宋体" w:hAnsi="宋体" w:eastAsia="宋体" w:cs="宋体"/>
                <w:sz w:val="24"/>
                <w:szCs w:val="24"/>
                <w:highlight w:val="none"/>
                <w:lang w:val="en-US" w:eastAsia="zh-CN"/>
              </w:rPr>
              <w:t>填写并在</w:t>
            </w:r>
            <w:r>
              <w:rPr>
                <w:rFonts w:ascii="宋体" w:hAnsi="宋体" w:eastAsia="宋体" w:cs="宋体"/>
                <w:sz w:val="24"/>
                <w:szCs w:val="24"/>
                <w:highlight w:val="none"/>
              </w:rPr>
              <w:t>响应文件中提供。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格式详见竞争性谈判响应文件八、供应商性质</w:t>
            </w:r>
            <w:r>
              <w:rPr>
                <w:rFonts w:hint="eastAsia" w:ascii="宋体" w:hAnsi="宋体" w:eastAsia="宋体" w:cs="宋体"/>
                <w:sz w:val="24"/>
                <w:szCs w:val="24"/>
                <w:highlight w:val="none"/>
                <w:lang w:eastAsia="zh-CN"/>
              </w:rPr>
              <w:t>）。</w:t>
            </w:r>
          </w:p>
        </w:tc>
      </w:tr>
      <w:tr w14:paraId="5D44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ign w:val="center"/>
          </w:tcPr>
          <w:p w14:paraId="3CF1E1C7">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sz w:val="24"/>
                <w:szCs w:val="24"/>
                <w:highlight w:val="none"/>
              </w:rPr>
            </w:pPr>
            <w:r>
              <w:rPr>
                <w:rFonts w:hint="eastAsia" w:ascii="宋体" w:hAnsi="宋体" w:eastAsia="宋体" w:cs="宋体"/>
                <w:b/>
                <w:sz w:val="24"/>
                <w:szCs w:val="24"/>
                <w:highlight w:val="none"/>
              </w:rPr>
              <w:t>注：以上为必备资格条件，缺一项或某项达不到要求，按无效文件处理。资格审查时以谈判响应文件中所附证明材料（信用中国和中国政府采购网信用记录可不提供，由代理机构查询并留存）为准。</w:t>
            </w:r>
          </w:p>
        </w:tc>
      </w:tr>
      <w:tr w14:paraId="6F29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ign w:val="center"/>
          </w:tcPr>
          <w:p w14:paraId="79DD083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w:t>
            </w:r>
          </w:p>
        </w:tc>
        <w:tc>
          <w:tcPr>
            <w:tcW w:w="596" w:type="dxa"/>
            <w:vMerge w:val="restart"/>
            <w:noWrap/>
            <w:vAlign w:val="center"/>
          </w:tcPr>
          <w:p w14:paraId="6585736C">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符合性评审标准</w:t>
            </w:r>
          </w:p>
        </w:tc>
        <w:tc>
          <w:tcPr>
            <w:tcW w:w="563" w:type="dxa"/>
            <w:vMerge w:val="restart"/>
            <w:noWrap/>
            <w:vAlign w:val="center"/>
          </w:tcPr>
          <w:p w14:paraId="423AAD4B">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有效性审查</w:t>
            </w:r>
          </w:p>
        </w:tc>
        <w:tc>
          <w:tcPr>
            <w:tcW w:w="1260" w:type="dxa"/>
            <w:noWrap/>
            <w:vAlign w:val="center"/>
          </w:tcPr>
          <w:p w14:paraId="22E47CA8">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谈判响应文件的签署盖章</w:t>
            </w:r>
          </w:p>
        </w:tc>
        <w:tc>
          <w:tcPr>
            <w:tcW w:w="6280" w:type="dxa"/>
            <w:noWrap/>
            <w:vAlign w:val="center"/>
          </w:tcPr>
          <w:p w14:paraId="0E580AD2">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谈判响应文件上法定代表人或其授权代表人的签字齐全并加盖公章</w:t>
            </w:r>
          </w:p>
        </w:tc>
      </w:tr>
      <w:tr w14:paraId="42D4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14:paraId="4B80783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2BC6573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65A3957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4548F8DA">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谈判响应文件格式</w:t>
            </w:r>
          </w:p>
        </w:tc>
        <w:tc>
          <w:tcPr>
            <w:tcW w:w="6280" w:type="dxa"/>
            <w:noWrap/>
            <w:vAlign w:val="center"/>
          </w:tcPr>
          <w:p w14:paraId="59C543C7">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应符合“谈判响应文件格式”要求</w:t>
            </w:r>
          </w:p>
        </w:tc>
      </w:tr>
      <w:tr w14:paraId="5470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tcPr>
          <w:p w14:paraId="794F3BE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5C7178A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1E7B05C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2F4D6BC2">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报价唯一</w:t>
            </w:r>
          </w:p>
        </w:tc>
        <w:tc>
          <w:tcPr>
            <w:tcW w:w="6280" w:type="dxa"/>
            <w:noWrap/>
            <w:vAlign w:val="center"/>
          </w:tcPr>
          <w:p w14:paraId="51CC6A44">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只能有一个有效报价，不得提交选择性报价，按要求提交二次或多次报价，且每轮报价不超过采购预算金额或最高限价。</w:t>
            </w:r>
          </w:p>
        </w:tc>
      </w:tr>
      <w:tr w14:paraId="6D8E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ign w:val="center"/>
          </w:tcPr>
          <w:p w14:paraId="31EB9DFB">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596" w:type="dxa"/>
            <w:vMerge w:val="continue"/>
            <w:noWrap/>
            <w:vAlign w:val="center"/>
          </w:tcPr>
          <w:p w14:paraId="26941B7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63" w:type="dxa"/>
            <w:vMerge w:val="restart"/>
            <w:noWrap/>
            <w:vAlign w:val="center"/>
          </w:tcPr>
          <w:p w14:paraId="4BB75B8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完整性审查</w:t>
            </w:r>
          </w:p>
        </w:tc>
        <w:tc>
          <w:tcPr>
            <w:tcW w:w="1260" w:type="dxa"/>
            <w:noWrap/>
            <w:vAlign w:val="center"/>
          </w:tcPr>
          <w:p w14:paraId="5B2E1346">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谈判响应文件份数</w:t>
            </w:r>
          </w:p>
        </w:tc>
        <w:tc>
          <w:tcPr>
            <w:tcW w:w="6280" w:type="dxa"/>
            <w:noWrap/>
            <w:vAlign w:val="center"/>
          </w:tcPr>
          <w:p w14:paraId="32F910B7">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应符合“供应商须知前附表”规定的正本、副本、电子文件数量</w:t>
            </w:r>
          </w:p>
        </w:tc>
      </w:tr>
      <w:tr w14:paraId="7275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tcPr>
          <w:p w14:paraId="6C9B98F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16A5478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28749CA3">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27972255">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谈判响应文件内容</w:t>
            </w:r>
          </w:p>
        </w:tc>
        <w:tc>
          <w:tcPr>
            <w:tcW w:w="6280" w:type="dxa"/>
            <w:noWrap/>
            <w:vAlign w:val="center"/>
          </w:tcPr>
          <w:p w14:paraId="7C8F8D82">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谈判响应文件内容齐全、无遗漏，符合谈判文件要求</w:t>
            </w:r>
          </w:p>
        </w:tc>
      </w:tr>
      <w:tr w14:paraId="04A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ign w:val="center"/>
          </w:tcPr>
          <w:p w14:paraId="0E82B0F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Cs/>
                <w:sz w:val="24"/>
                <w:szCs w:val="24"/>
                <w:highlight w:val="none"/>
              </w:rPr>
            </w:pPr>
          </w:p>
        </w:tc>
        <w:tc>
          <w:tcPr>
            <w:tcW w:w="596" w:type="dxa"/>
            <w:vMerge w:val="continue"/>
            <w:noWrap/>
            <w:vAlign w:val="center"/>
          </w:tcPr>
          <w:p w14:paraId="1203C57E">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p>
        </w:tc>
        <w:tc>
          <w:tcPr>
            <w:tcW w:w="563" w:type="dxa"/>
            <w:vMerge w:val="restart"/>
            <w:noWrap/>
            <w:vAlign w:val="center"/>
          </w:tcPr>
          <w:p w14:paraId="1C08A3D8">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响应性审查</w:t>
            </w:r>
          </w:p>
        </w:tc>
        <w:tc>
          <w:tcPr>
            <w:tcW w:w="1260" w:type="dxa"/>
            <w:noWrap/>
            <w:vAlign w:val="center"/>
          </w:tcPr>
          <w:p w14:paraId="7A5030D3">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对谈判文件响应程度</w:t>
            </w:r>
          </w:p>
        </w:tc>
        <w:tc>
          <w:tcPr>
            <w:tcW w:w="6280" w:type="dxa"/>
            <w:noWrap/>
            <w:vAlign w:val="center"/>
          </w:tcPr>
          <w:p w14:paraId="3312B855">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要求实质性条款全部响应，不能有采购人不能接受的附加条件</w:t>
            </w:r>
          </w:p>
        </w:tc>
      </w:tr>
      <w:tr w14:paraId="605C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14:paraId="69C8020D">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4A418D4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32F06CF3">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43D0F305">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服务期</w:t>
            </w:r>
          </w:p>
        </w:tc>
        <w:tc>
          <w:tcPr>
            <w:tcW w:w="6280" w:type="dxa"/>
            <w:noWrap/>
            <w:vAlign w:val="center"/>
          </w:tcPr>
          <w:p w14:paraId="6D4CE736">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应满足谈判文件中要求的服务期</w:t>
            </w:r>
          </w:p>
        </w:tc>
      </w:tr>
      <w:tr w14:paraId="688B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tcPr>
          <w:p w14:paraId="34E142B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0F252FD9">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6CAE75F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442ADFC5">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实施地点</w:t>
            </w:r>
          </w:p>
        </w:tc>
        <w:tc>
          <w:tcPr>
            <w:tcW w:w="6280" w:type="dxa"/>
            <w:noWrap/>
            <w:vAlign w:val="center"/>
          </w:tcPr>
          <w:p w14:paraId="47E21510">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应满足谈判文件中要求的实施地点</w:t>
            </w:r>
          </w:p>
        </w:tc>
      </w:tr>
      <w:tr w14:paraId="47C3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tcPr>
          <w:p w14:paraId="1ED52B79">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96" w:type="dxa"/>
            <w:vMerge w:val="continue"/>
            <w:noWrap/>
          </w:tcPr>
          <w:p w14:paraId="2C0C194D">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563" w:type="dxa"/>
            <w:vMerge w:val="continue"/>
            <w:noWrap/>
          </w:tcPr>
          <w:p w14:paraId="52AEAE0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4"/>
                <w:szCs w:val="24"/>
                <w:highlight w:val="none"/>
              </w:rPr>
            </w:pPr>
          </w:p>
        </w:tc>
        <w:tc>
          <w:tcPr>
            <w:tcW w:w="1260" w:type="dxa"/>
            <w:noWrap/>
            <w:vAlign w:val="center"/>
          </w:tcPr>
          <w:p w14:paraId="42FD32FF">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谈判</w:t>
            </w:r>
            <w:r>
              <w:rPr>
                <w:rFonts w:hint="eastAsia" w:ascii="宋体" w:hAnsi="宋体" w:eastAsia="宋体" w:cs="宋体"/>
                <w:bCs/>
                <w:sz w:val="24"/>
                <w:szCs w:val="24"/>
                <w:highlight w:val="none"/>
              </w:rPr>
              <w:t>有效期</w:t>
            </w:r>
          </w:p>
        </w:tc>
        <w:tc>
          <w:tcPr>
            <w:tcW w:w="6280" w:type="dxa"/>
            <w:noWrap/>
            <w:vAlign w:val="center"/>
          </w:tcPr>
          <w:p w14:paraId="7FC3B7DD">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应满足谈判文件中的规定</w:t>
            </w:r>
          </w:p>
        </w:tc>
      </w:tr>
    </w:tbl>
    <w:p w14:paraId="59746D88">
      <w:pPr>
        <w:pStyle w:val="12"/>
        <w:jc w:val="center"/>
        <w:rPr>
          <w:rFonts w:hint="eastAsia" w:ascii="宋体" w:hAnsi="宋体" w:eastAsia="宋体" w:cs="宋体"/>
          <w:b/>
          <w:bCs/>
          <w:sz w:val="24"/>
          <w:szCs w:val="24"/>
          <w:highlight w:val="none"/>
        </w:rPr>
      </w:pPr>
    </w:p>
    <w:p w14:paraId="7974DB2A">
      <w:pPr>
        <w:pStyle w:val="12"/>
        <w:rPr>
          <w:rFonts w:hint="eastAsia" w:ascii="宋体" w:hAnsi="宋体" w:eastAsia="宋体" w:cs="宋体"/>
          <w:color w:val="FF0000"/>
          <w:spacing w:val="4"/>
          <w:sz w:val="24"/>
          <w:szCs w:val="24"/>
          <w:highlight w:val="none"/>
        </w:rPr>
        <w:sectPr>
          <w:pgSz w:w="11907" w:h="16840"/>
          <w:pgMar w:top="1417" w:right="1250" w:bottom="1417" w:left="1417" w:header="851" w:footer="850" w:gutter="0"/>
          <w:pgNumType w:fmt="decimal"/>
          <w:cols w:space="720" w:num="1"/>
          <w:docGrid w:linePitch="286" w:charSpace="0"/>
        </w:sectPr>
      </w:pPr>
    </w:p>
    <w:bookmarkEnd w:id="84"/>
    <w:bookmarkEnd w:id="85"/>
    <w:bookmarkEnd w:id="86"/>
    <w:p w14:paraId="7687B81C">
      <w:pPr>
        <w:pStyle w:val="3"/>
        <w:numPr>
          <w:ilvl w:val="0"/>
          <w:numId w:val="13"/>
        </w:numPr>
        <w:rPr>
          <w:rFonts w:hint="eastAsia" w:ascii="宋体" w:hAnsi="宋体" w:eastAsia="宋体" w:cs="宋体"/>
          <w:b/>
          <w:sz w:val="36"/>
          <w:szCs w:val="36"/>
          <w:highlight w:val="none"/>
        </w:rPr>
      </w:pPr>
      <w:bookmarkStart w:id="88" w:name="_Toc20805"/>
      <w:bookmarkStart w:id="89" w:name="_Toc404670157"/>
      <w:r>
        <w:rPr>
          <w:rFonts w:hint="eastAsia" w:ascii="宋体" w:hAnsi="宋体" w:eastAsia="宋体" w:cs="宋体"/>
          <w:b/>
          <w:bCs/>
          <w:sz w:val="36"/>
          <w:szCs w:val="36"/>
          <w:highlight w:val="none"/>
        </w:rPr>
        <w:t>竞争性谈判响应文件格式及构成</w:t>
      </w:r>
      <w:bookmarkEnd w:id="87"/>
      <w:bookmarkEnd w:id="88"/>
      <w:bookmarkEnd w:id="89"/>
    </w:p>
    <w:p w14:paraId="40774BEA">
      <w:pPr>
        <w:rPr>
          <w:rFonts w:hint="eastAsia" w:ascii="宋体" w:hAnsi="宋体" w:eastAsia="宋体" w:cs="宋体"/>
          <w:b/>
          <w:sz w:val="32"/>
          <w:szCs w:val="32"/>
          <w:highlight w:val="none"/>
        </w:rPr>
      </w:pPr>
    </w:p>
    <w:p w14:paraId="39DF579D">
      <w:pPr>
        <w:rPr>
          <w:rFonts w:hint="eastAsia" w:ascii="宋体" w:hAnsi="宋体" w:eastAsia="宋体" w:cs="宋体"/>
          <w:b/>
          <w:sz w:val="32"/>
          <w:szCs w:val="32"/>
          <w:highlight w:val="none"/>
        </w:rPr>
      </w:pPr>
    </w:p>
    <w:p w14:paraId="31F994A1">
      <w:pPr>
        <w:rPr>
          <w:rFonts w:hint="eastAsia" w:ascii="宋体" w:hAnsi="宋体" w:eastAsia="宋体" w:cs="宋体"/>
          <w:b/>
          <w:sz w:val="32"/>
          <w:szCs w:val="32"/>
          <w:highlight w:val="none"/>
        </w:rPr>
      </w:pPr>
    </w:p>
    <w:p w14:paraId="199E9F70">
      <w:pPr>
        <w:rPr>
          <w:rFonts w:hint="eastAsia" w:ascii="宋体" w:hAnsi="宋体" w:eastAsia="宋体" w:cs="宋体"/>
          <w:b/>
          <w:sz w:val="32"/>
          <w:szCs w:val="32"/>
          <w:highlight w:val="none"/>
        </w:rPr>
      </w:pPr>
    </w:p>
    <w:p w14:paraId="45B09F21">
      <w:pPr>
        <w:rPr>
          <w:rFonts w:hint="eastAsia" w:ascii="宋体" w:hAnsi="宋体" w:eastAsia="宋体" w:cs="宋体"/>
          <w:b/>
          <w:sz w:val="36"/>
          <w:szCs w:val="36"/>
          <w:highlight w:val="none"/>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eastAsia="zh-CN"/>
        </w:rPr>
        <w:t>ZHGJ-2025-154</w:t>
      </w:r>
      <w:r>
        <w:rPr>
          <w:rFonts w:hint="eastAsia" w:ascii="宋体" w:hAnsi="宋体" w:cs="宋体"/>
          <w:b/>
          <w:sz w:val="32"/>
          <w:szCs w:val="32"/>
          <w:highlight w:val="none"/>
          <w:lang w:val="en-US" w:eastAsia="zh-CN"/>
        </w:rPr>
        <w:t xml:space="preserve">                  </w:t>
      </w:r>
      <w:r>
        <w:rPr>
          <w:rFonts w:hint="eastAsia" w:ascii="宋体" w:hAnsi="宋体" w:eastAsia="宋体" w:cs="宋体"/>
          <w:b/>
          <w:sz w:val="28"/>
          <w:szCs w:val="28"/>
          <w:highlight w:val="none"/>
        </w:rPr>
        <w:t>（正本或副本）</w:t>
      </w:r>
    </w:p>
    <w:p w14:paraId="2BBB1E71">
      <w:pPr>
        <w:jc w:val="center"/>
        <w:rPr>
          <w:rFonts w:hint="eastAsia" w:ascii="宋体" w:hAnsi="宋体" w:eastAsia="宋体" w:cs="宋体"/>
          <w:b/>
          <w:sz w:val="36"/>
          <w:szCs w:val="36"/>
          <w:highlight w:val="none"/>
        </w:rPr>
      </w:pPr>
    </w:p>
    <w:p w14:paraId="6D4B7643">
      <w:pPr>
        <w:jc w:val="both"/>
        <w:rPr>
          <w:rFonts w:hint="eastAsia" w:ascii="宋体" w:hAnsi="宋体" w:eastAsia="宋体" w:cs="宋体"/>
          <w:b/>
          <w:sz w:val="36"/>
          <w:szCs w:val="36"/>
          <w:highlight w:val="none"/>
        </w:rPr>
      </w:pPr>
    </w:p>
    <w:p w14:paraId="5A5E7767">
      <w:pPr>
        <w:jc w:val="center"/>
        <w:rPr>
          <w:rFonts w:hint="eastAsia" w:ascii="宋体" w:hAnsi="宋体" w:eastAsia="宋体" w:cs="宋体"/>
          <w:b/>
          <w:sz w:val="52"/>
          <w:szCs w:val="52"/>
          <w:highlight w:val="none"/>
        </w:rPr>
      </w:pPr>
    </w:p>
    <w:p w14:paraId="4622E95E">
      <w:pPr>
        <w:jc w:val="center"/>
        <w:rPr>
          <w:rFonts w:hint="eastAsia" w:ascii="宋体" w:hAnsi="宋体" w:eastAsia="宋体" w:cs="宋体"/>
          <w:highlight w:val="none"/>
          <w:lang w:eastAsia="zh-CN"/>
        </w:rPr>
      </w:pPr>
      <w:r>
        <w:rPr>
          <w:rFonts w:hint="eastAsia" w:ascii="宋体" w:hAnsi="宋体" w:cs="宋体"/>
          <w:b/>
          <w:bCs/>
          <w:spacing w:val="-20"/>
          <w:sz w:val="44"/>
          <w:szCs w:val="44"/>
          <w:highlight w:val="none"/>
          <w:lang w:val="en-US" w:eastAsia="zh-CN"/>
        </w:rPr>
        <w:t>黄陵县大院子区域补充勘探和瓦窑坪区域煤炭资源普查项目技术服务</w:t>
      </w:r>
    </w:p>
    <w:p w14:paraId="7C1556F2">
      <w:pPr>
        <w:jc w:val="center"/>
        <w:rPr>
          <w:rFonts w:hint="eastAsia" w:ascii="宋体" w:hAnsi="宋体" w:eastAsia="宋体" w:cs="宋体"/>
          <w:b/>
          <w:sz w:val="52"/>
          <w:szCs w:val="52"/>
          <w:highlight w:val="none"/>
        </w:rPr>
      </w:pPr>
    </w:p>
    <w:p w14:paraId="2F69E48A">
      <w:pPr>
        <w:jc w:val="center"/>
        <w:rPr>
          <w:rFonts w:hint="eastAsia" w:ascii="宋体" w:hAnsi="宋体" w:eastAsia="宋体" w:cs="宋体"/>
          <w:b/>
          <w:sz w:val="52"/>
          <w:szCs w:val="52"/>
          <w:highlight w:val="none"/>
        </w:rPr>
      </w:pPr>
    </w:p>
    <w:p w14:paraId="148F2659">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14:paraId="2C6CD0B9">
      <w:pPr>
        <w:jc w:val="center"/>
        <w:rPr>
          <w:rFonts w:hint="eastAsia" w:ascii="宋体" w:hAnsi="宋体" w:eastAsia="宋体" w:cs="宋体"/>
          <w:b/>
          <w:sz w:val="36"/>
          <w:szCs w:val="36"/>
          <w:highlight w:val="none"/>
        </w:rPr>
      </w:pPr>
    </w:p>
    <w:p w14:paraId="402117CF">
      <w:pPr>
        <w:jc w:val="center"/>
        <w:rPr>
          <w:rFonts w:hint="eastAsia" w:ascii="宋体" w:hAnsi="宋体" w:eastAsia="宋体" w:cs="宋体"/>
          <w:b/>
          <w:sz w:val="36"/>
          <w:szCs w:val="36"/>
          <w:highlight w:val="none"/>
        </w:rPr>
      </w:pPr>
    </w:p>
    <w:p w14:paraId="15242097">
      <w:pPr>
        <w:jc w:val="center"/>
        <w:rPr>
          <w:rFonts w:hint="eastAsia" w:ascii="宋体" w:hAnsi="宋体" w:eastAsia="宋体" w:cs="宋体"/>
          <w:b/>
          <w:sz w:val="36"/>
          <w:szCs w:val="36"/>
          <w:highlight w:val="none"/>
        </w:rPr>
      </w:pPr>
    </w:p>
    <w:p w14:paraId="7E1E2A8E">
      <w:pPr>
        <w:jc w:val="center"/>
        <w:rPr>
          <w:rFonts w:hint="eastAsia" w:ascii="宋体" w:hAnsi="宋体" w:eastAsia="宋体" w:cs="宋体"/>
          <w:b/>
          <w:sz w:val="36"/>
          <w:szCs w:val="36"/>
          <w:highlight w:val="none"/>
        </w:rPr>
      </w:pPr>
    </w:p>
    <w:p w14:paraId="663FDE1B">
      <w:pPr>
        <w:rPr>
          <w:rFonts w:hint="eastAsia" w:ascii="宋体" w:hAnsi="宋体" w:eastAsia="宋体" w:cs="宋体"/>
          <w:b/>
          <w:sz w:val="36"/>
          <w:szCs w:val="36"/>
          <w:highlight w:val="none"/>
        </w:rPr>
      </w:pPr>
    </w:p>
    <w:p w14:paraId="5911C638">
      <w:pPr>
        <w:rPr>
          <w:rFonts w:hint="eastAsia" w:ascii="宋体" w:hAnsi="宋体" w:eastAsia="宋体" w:cs="宋体"/>
          <w:b/>
          <w:sz w:val="36"/>
          <w:szCs w:val="36"/>
          <w:highlight w:val="none"/>
        </w:rPr>
      </w:pPr>
    </w:p>
    <w:p w14:paraId="5227B483">
      <w:pPr>
        <w:rPr>
          <w:rFonts w:hint="eastAsia" w:ascii="宋体" w:hAnsi="宋体" w:eastAsia="宋体" w:cs="宋体"/>
          <w:b/>
          <w:sz w:val="36"/>
          <w:szCs w:val="36"/>
          <w:highlight w:val="none"/>
        </w:rPr>
      </w:pPr>
    </w:p>
    <w:p w14:paraId="22E63812">
      <w:pPr>
        <w:pStyle w:val="6"/>
        <w:rPr>
          <w:rFonts w:hint="eastAsia" w:ascii="宋体" w:hAnsi="宋体" w:eastAsia="宋体" w:cs="宋体"/>
          <w:highlight w:val="none"/>
          <w:lang w:eastAsia="zh-CN"/>
        </w:rPr>
      </w:pPr>
    </w:p>
    <w:p w14:paraId="55649B03">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谈判供应商名称（盖章）</w:t>
      </w:r>
    </w:p>
    <w:p w14:paraId="5AB17FD7">
      <w:pPr>
        <w:jc w:val="center"/>
        <w:rPr>
          <w:rFonts w:hint="eastAsia" w:ascii="宋体" w:hAnsi="宋体" w:eastAsia="宋体" w:cs="宋体"/>
          <w:b/>
          <w:sz w:val="36"/>
          <w:szCs w:val="36"/>
          <w:highlight w:val="none"/>
        </w:rPr>
      </w:pPr>
      <w:r>
        <w:rPr>
          <w:rFonts w:hint="eastAsia" w:ascii="宋体" w:hAnsi="宋体" w:eastAsia="宋体" w:cs="宋体"/>
          <w:b/>
          <w:sz w:val="32"/>
          <w:szCs w:val="32"/>
          <w:highlight w:val="none"/>
        </w:rPr>
        <w:t>年   月   日</w:t>
      </w:r>
    </w:p>
    <w:p w14:paraId="010F0EF7">
      <w:pPr>
        <w:rPr>
          <w:rFonts w:hint="eastAsia" w:ascii="宋体" w:hAnsi="宋体" w:eastAsia="宋体" w:cs="宋体"/>
          <w:b/>
          <w:sz w:val="36"/>
          <w:szCs w:val="36"/>
          <w:highlight w:val="none"/>
        </w:rPr>
      </w:pPr>
    </w:p>
    <w:p w14:paraId="2ABFC4F6">
      <w:pP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br w:type="page"/>
      </w:r>
    </w:p>
    <w:p w14:paraId="240B4F70">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14:paraId="7E3B59EB">
      <w:pPr>
        <w:spacing w:line="480" w:lineRule="auto"/>
        <w:rPr>
          <w:rFonts w:hint="eastAsia" w:ascii="宋体" w:hAnsi="宋体" w:eastAsia="宋体" w:cs="宋体"/>
          <w:b/>
          <w:bCs/>
          <w:spacing w:val="4"/>
          <w:sz w:val="30"/>
          <w:szCs w:val="30"/>
          <w:highlight w:val="none"/>
        </w:rPr>
      </w:pPr>
    </w:p>
    <w:p w14:paraId="5A2F0B10">
      <w:pPr>
        <w:spacing w:line="800" w:lineRule="exact"/>
        <w:ind w:left="161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一、谈判响应函</w:t>
      </w:r>
    </w:p>
    <w:p w14:paraId="310807CB">
      <w:pPr>
        <w:spacing w:line="800" w:lineRule="exact"/>
        <w:ind w:left="161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二、谈判报价表</w:t>
      </w:r>
    </w:p>
    <w:p w14:paraId="22B7D5CE">
      <w:pPr>
        <w:spacing w:line="800" w:lineRule="exact"/>
        <w:ind w:left="161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w:t>
      </w:r>
      <w:r>
        <w:rPr>
          <w:rFonts w:hint="eastAsia" w:ascii="宋体" w:hAnsi="宋体" w:eastAsia="宋体" w:cs="宋体"/>
          <w:sz w:val="28"/>
          <w:szCs w:val="28"/>
          <w:highlight w:val="none"/>
        </w:rPr>
        <w:t>谈判方案说明书</w:t>
      </w:r>
    </w:p>
    <w:p w14:paraId="1BF56968">
      <w:pPr>
        <w:spacing w:line="800" w:lineRule="exact"/>
        <w:ind w:left="1612"/>
        <w:rPr>
          <w:rFonts w:hint="eastAsia" w:ascii="宋体" w:hAnsi="宋体" w:eastAsia="宋体" w:cs="宋体"/>
          <w:sz w:val="28"/>
          <w:szCs w:val="28"/>
          <w:highlight w:val="none"/>
        </w:rPr>
      </w:pPr>
      <w:r>
        <w:rPr>
          <w:rFonts w:hint="eastAsia" w:ascii="宋体" w:hAnsi="宋体" w:eastAsia="宋体" w:cs="宋体"/>
          <w:sz w:val="28"/>
          <w:szCs w:val="28"/>
          <w:highlight w:val="none"/>
        </w:rPr>
        <w:t>四、商务条款偏离表</w:t>
      </w:r>
    </w:p>
    <w:p w14:paraId="74C71475">
      <w:pPr>
        <w:spacing w:line="800" w:lineRule="exact"/>
        <w:ind w:left="1612"/>
        <w:rPr>
          <w:rFonts w:hint="eastAsia" w:ascii="宋体" w:hAnsi="宋体" w:eastAsia="宋体" w:cs="宋体"/>
          <w:sz w:val="28"/>
          <w:szCs w:val="28"/>
          <w:highlight w:val="none"/>
        </w:rPr>
      </w:pPr>
      <w:r>
        <w:rPr>
          <w:rFonts w:hint="eastAsia" w:ascii="宋体" w:hAnsi="宋体" w:eastAsia="宋体" w:cs="宋体"/>
          <w:sz w:val="28"/>
          <w:szCs w:val="28"/>
          <w:highlight w:val="none"/>
        </w:rPr>
        <w:t>五、供应商承诺书</w:t>
      </w:r>
    </w:p>
    <w:p w14:paraId="3FF4D585">
      <w:pPr>
        <w:spacing w:line="800" w:lineRule="exact"/>
        <w:ind w:left="1612"/>
        <w:rPr>
          <w:rFonts w:hint="eastAsia" w:ascii="宋体" w:hAnsi="宋体" w:eastAsia="宋体" w:cs="宋体"/>
          <w:sz w:val="28"/>
          <w:szCs w:val="28"/>
          <w:highlight w:val="none"/>
        </w:rPr>
      </w:pPr>
      <w:r>
        <w:rPr>
          <w:rFonts w:hint="eastAsia" w:ascii="宋体" w:hAnsi="宋体" w:eastAsia="宋体" w:cs="宋体"/>
          <w:sz w:val="28"/>
          <w:szCs w:val="28"/>
          <w:highlight w:val="none"/>
        </w:rPr>
        <w:t>六、资格证明文件</w:t>
      </w:r>
    </w:p>
    <w:p w14:paraId="6702815D">
      <w:pPr>
        <w:spacing w:line="800" w:lineRule="exact"/>
        <w:ind w:left="1612"/>
        <w:rPr>
          <w:rFonts w:hint="eastAsia" w:ascii="宋体" w:hAnsi="宋体" w:eastAsia="宋体" w:cs="宋体"/>
          <w:sz w:val="28"/>
          <w:szCs w:val="28"/>
          <w:highlight w:val="none"/>
        </w:rPr>
      </w:pPr>
      <w:r>
        <w:rPr>
          <w:rFonts w:hint="eastAsia" w:ascii="宋体" w:hAnsi="宋体" w:eastAsia="宋体" w:cs="宋体"/>
          <w:sz w:val="28"/>
          <w:szCs w:val="28"/>
          <w:highlight w:val="none"/>
        </w:rPr>
        <w:t>七、其它资料</w:t>
      </w:r>
    </w:p>
    <w:p w14:paraId="73A15F36">
      <w:pPr>
        <w:spacing w:line="800" w:lineRule="exact"/>
        <w:ind w:left="1612"/>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八、供应商性质</w:t>
      </w:r>
    </w:p>
    <w:p w14:paraId="5CEFDF9F">
      <w:pPr>
        <w:pStyle w:val="12"/>
        <w:rPr>
          <w:rFonts w:hint="default" w:eastAsia="宋体"/>
          <w:sz w:val="22"/>
          <w:szCs w:val="21"/>
          <w:highlight w:val="none"/>
          <w:lang w:val="en-US" w:eastAsia="zh-CN"/>
        </w:rPr>
      </w:pPr>
    </w:p>
    <w:p w14:paraId="3EF8A463">
      <w:pPr>
        <w:spacing w:line="800" w:lineRule="exact"/>
        <w:ind w:left="1612"/>
        <w:rPr>
          <w:rFonts w:hint="eastAsia" w:ascii="宋体" w:hAnsi="宋体" w:eastAsia="宋体" w:cs="宋体"/>
          <w:sz w:val="24"/>
          <w:szCs w:val="24"/>
          <w:highlight w:val="none"/>
        </w:rPr>
      </w:pPr>
    </w:p>
    <w:p w14:paraId="331C4F75">
      <w:pPr>
        <w:spacing w:line="480" w:lineRule="auto"/>
        <w:ind w:firstLine="1574" w:firstLineChars="635"/>
        <w:rPr>
          <w:rFonts w:hint="eastAsia" w:ascii="宋体" w:hAnsi="宋体" w:eastAsia="宋体" w:cs="宋体"/>
          <w:spacing w:val="4"/>
          <w:sz w:val="24"/>
          <w:szCs w:val="24"/>
          <w:highlight w:val="none"/>
        </w:rPr>
      </w:pPr>
    </w:p>
    <w:p w14:paraId="1D399781">
      <w:pPr>
        <w:spacing w:line="480" w:lineRule="auto"/>
        <w:ind w:left="105"/>
        <w:rPr>
          <w:rFonts w:hint="eastAsia" w:ascii="宋体" w:hAnsi="宋体" w:eastAsia="宋体" w:cs="宋体"/>
          <w:spacing w:val="4"/>
          <w:sz w:val="24"/>
          <w:szCs w:val="24"/>
          <w:highlight w:val="none"/>
        </w:rPr>
      </w:pPr>
    </w:p>
    <w:p w14:paraId="2158C643">
      <w:pPr>
        <w:spacing w:line="440" w:lineRule="exact"/>
        <w:jc w:val="center"/>
        <w:rPr>
          <w:rFonts w:hint="eastAsia" w:ascii="宋体" w:hAnsi="宋体" w:eastAsia="宋体" w:cs="宋体"/>
          <w:b/>
          <w:spacing w:val="4"/>
          <w:sz w:val="32"/>
          <w:szCs w:val="32"/>
          <w:highlight w:val="none"/>
        </w:rPr>
      </w:pPr>
    </w:p>
    <w:p w14:paraId="2F3C33C2">
      <w:pPr>
        <w:spacing w:line="440" w:lineRule="exact"/>
        <w:jc w:val="center"/>
        <w:rPr>
          <w:rFonts w:hint="eastAsia" w:ascii="宋体" w:hAnsi="宋体" w:eastAsia="宋体" w:cs="宋体"/>
          <w:b/>
          <w:spacing w:val="4"/>
          <w:sz w:val="32"/>
          <w:szCs w:val="32"/>
          <w:highlight w:val="none"/>
        </w:rPr>
      </w:pPr>
    </w:p>
    <w:p w14:paraId="06537153">
      <w:pPr>
        <w:spacing w:line="440" w:lineRule="exact"/>
        <w:jc w:val="center"/>
        <w:rPr>
          <w:rFonts w:hint="eastAsia" w:ascii="宋体" w:hAnsi="宋体" w:eastAsia="宋体" w:cs="宋体"/>
          <w:b/>
          <w:spacing w:val="4"/>
          <w:sz w:val="32"/>
          <w:szCs w:val="32"/>
          <w:highlight w:val="none"/>
        </w:rPr>
      </w:pPr>
    </w:p>
    <w:p w14:paraId="50B4A3A0">
      <w:pPr>
        <w:spacing w:line="440" w:lineRule="exact"/>
        <w:jc w:val="center"/>
        <w:rPr>
          <w:rFonts w:hint="eastAsia" w:ascii="宋体" w:hAnsi="宋体" w:eastAsia="宋体" w:cs="宋体"/>
          <w:b/>
          <w:spacing w:val="4"/>
          <w:sz w:val="32"/>
          <w:szCs w:val="32"/>
          <w:highlight w:val="none"/>
        </w:rPr>
      </w:pPr>
    </w:p>
    <w:p w14:paraId="1E7DBDE6">
      <w:pPr>
        <w:spacing w:line="440" w:lineRule="exact"/>
        <w:jc w:val="center"/>
        <w:rPr>
          <w:rFonts w:hint="eastAsia" w:ascii="宋体" w:hAnsi="宋体" w:eastAsia="宋体" w:cs="宋体"/>
          <w:b/>
          <w:spacing w:val="4"/>
          <w:sz w:val="32"/>
          <w:szCs w:val="32"/>
          <w:highlight w:val="none"/>
        </w:rPr>
      </w:pPr>
    </w:p>
    <w:p w14:paraId="4BB1F676">
      <w:pPr>
        <w:pStyle w:val="6"/>
        <w:rPr>
          <w:rFonts w:hint="eastAsia" w:ascii="宋体" w:hAnsi="宋体" w:eastAsia="宋体" w:cs="宋体"/>
          <w:b/>
          <w:spacing w:val="4"/>
          <w:sz w:val="32"/>
          <w:szCs w:val="32"/>
          <w:highlight w:val="none"/>
        </w:rPr>
      </w:pPr>
    </w:p>
    <w:p w14:paraId="311594B4">
      <w:pPr>
        <w:pStyle w:val="6"/>
        <w:rPr>
          <w:rFonts w:hint="eastAsia" w:ascii="宋体" w:hAnsi="宋体" w:eastAsia="宋体" w:cs="宋体"/>
          <w:b/>
          <w:spacing w:val="4"/>
          <w:sz w:val="32"/>
          <w:szCs w:val="32"/>
          <w:highlight w:val="none"/>
        </w:rPr>
      </w:pPr>
    </w:p>
    <w:p w14:paraId="44E6A777">
      <w:pPr>
        <w:rPr>
          <w:rFonts w:hint="eastAsia" w:ascii="宋体" w:hAnsi="宋体" w:eastAsia="宋体" w:cs="宋体"/>
          <w:highlight w:val="none"/>
        </w:rPr>
      </w:pPr>
    </w:p>
    <w:p w14:paraId="2AB89B02">
      <w:pPr>
        <w:pStyle w:val="12"/>
        <w:rPr>
          <w:rFonts w:hint="eastAsia" w:ascii="宋体" w:hAnsi="宋体" w:eastAsia="宋体" w:cs="宋体"/>
          <w:highlight w:val="none"/>
        </w:rPr>
      </w:pPr>
    </w:p>
    <w:p w14:paraId="2AF1DBB3">
      <w:pPr>
        <w:spacing w:line="440" w:lineRule="exact"/>
        <w:jc w:val="center"/>
        <w:outlineLvl w:val="1"/>
        <w:rPr>
          <w:rFonts w:hint="eastAsia" w:ascii="宋体" w:hAnsi="宋体" w:eastAsia="宋体" w:cs="宋体"/>
          <w:b/>
          <w:spacing w:val="4"/>
          <w:sz w:val="32"/>
          <w:szCs w:val="32"/>
          <w:highlight w:val="none"/>
        </w:rPr>
      </w:pPr>
    </w:p>
    <w:p w14:paraId="07C7C357">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14:paraId="7128C959">
      <w:pPr>
        <w:spacing w:line="440" w:lineRule="exact"/>
        <w:jc w:val="left"/>
        <w:rPr>
          <w:rFonts w:hint="eastAsia" w:ascii="宋体" w:hAnsi="宋体" w:eastAsia="宋体" w:cs="宋体"/>
          <w:spacing w:val="4"/>
          <w:sz w:val="24"/>
          <w:highlight w:val="none"/>
        </w:rPr>
      </w:pPr>
    </w:p>
    <w:p w14:paraId="674F01FC">
      <w:pPr>
        <w:spacing w:line="440" w:lineRule="exact"/>
        <w:jc w:val="lef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致：</w:t>
      </w:r>
      <w:r>
        <w:rPr>
          <w:rFonts w:hint="eastAsia" w:cs="宋体"/>
          <w:kern w:val="2"/>
          <w:sz w:val="24"/>
          <w:szCs w:val="32"/>
          <w:highlight w:val="none"/>
          <w:u w:val="single"/>
          <w:lang w:val="en-US" w:eastAsia="zh-CN" w:bidi="ar"/>
        </w:rPr>
        <w:t>黄陵县工业和煤炭局</w:t>
      </w:r>
    </w:p>
    <w:p w14:paraId="24A51AF6">
      <w:pPr>
        <w:spacing w:line="440" w:lineRule="exact"/>
        <w:jc w:val="left"/>
        <w:rPr>
          <w:rFonts w:hint="eastAsia" w:ascii="宋体" w:hAnsi="宋体" w:eastAsia="宋体" w:cs="宋体"/>
          <w:spacing w:val="4"/>
          <w:sz w:val="24"/>
          <w:highlight w:val="none"/>
          <w:u w:val="single"/>
        </w:rPr>
      </w:pPr>
    </w:p>
    <w:p w14:paraId="7B8F4EB4">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根据贵方“</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经正式授权并代表谈判供应商</w:t>
      </w:r>
      <w:r>
        <w:rPr>
          <w:rFonts w:hint="eastAsia" w:ascii="宋体" w:hAnsi="宋体" w:eastAsia="宋体" w:cs="宋体"/>
          <w:spacing w:val="4"/>
          <w:sz w:val="24"/>
          <w:highlight w:val="none"/>
          <w:u w:val="single"/>
        </w:rPr>
        <w:t>(谈判供应商名称、地址)</w:t>
      </w:r>
      <w:r>
        <w:rPr>
          <w:rFonts w:hint="eastAsia" w:ascii="宋体" w:hAnsi="宋体" w:eastAsia="宋体" w:cs="宋体"/>
          <w:spacing w:val="4"/>
          <w:sz w:val="24"/>
          <w:highlight w:val="none"/>
        </w:rPr>
        <w:t xml:space="preserve"> 提交竞争性谈判响应文件正本</w:t>
      </w:r>
      <w:r>
        <w:rPr>
          <w:rFonts w:hint="eastAsia" w:ascii="宋体" w:hAnsi="宋体" w:eastAsia="宋体" w:cs="宋体"/>
          <w:color w:val="000000" w:themeColor="text1"/>
          <w:sz w:val="24"/>
          <w:szCs w:val="24"/>
          <w:highlight w:val="none"/>
        </w:rPr>
        <w:t>壹</w:t>
      </w:r>
      <w:r>
        <w:rPr>
          <w:rFonts w:hint="eastAsia" w:ascii="宋体" w:hAnsi="宋体" w:eastAsia="宋体" w:cs="宋体"/>
          <w:spacing w:val="4"/>
          <w:sz w:val="24"/>
          <w:highlight w:val="none"/>
        </w:rPr>
        <w:t>份、副本</w:t>
      </w:r>
      <w:r>
        <w:rPr>
          <w:rFonts w:hint="eastAsia" w:ascii="宋体" w:hAnsi="宋体" w:eastAsia="宋体" w:cs="宋体"/>
          <w:color w:val="000000" w:themeColor="text1"/>
          <w:sz w:val="24"/>
          <w:szCs w:val="24"/>
          <w:highlight w:val="none"/>
        </w:rPr>
        <w:t>贰</w:t>
      </w:r>
      <w:r>
        <w:rPr>
          <w:rFonts w:hint="eastAsia" w:ascii="宋体" w:hAnsi="宋体" w:eastAsia="宋体" w:cs="宋体"/>
          <w:spacing w:val="4"/>
          <w:sz w:val="24"/>
          <w:highlight w:val="none"/>
        </w:rPr>
        <w:t>份，电子版</w:t>
      </w:r>
      <w:r>
        <w:rPr>
          <w:rFonts w:hint="eastAsia" w:ascii="宋体" w:hAnsi="宋体" w:eastAsia="宋体" w:cs="宋体"/>
          <w:color w:val="000000" w:themeColor="text1"/>
          <w:sz w:val="24"/>
          <w:szCs w:val="24"/>
          <w:highlight w:val="none"/>
        </w:rPr>
        <w:t>贰份</w:t>
      </w:r>
      <w:r>
        <w:rPr>
          <w:rFonts w:hint="eastAsia" w:ascii="宋体" w:hAnsi="宋体" w:eastAsia="宋体" w:cs="宋体"/>
          <w:spacing w:val="4"/>
          <w:sz w:val="24"/>
          <w:highlight w:val="none"/>
        </w:rPr>
        <w:t>，</w:t>
      </w:r>
      <w:r>
        <w:rPr>
          <w:rFonts w:hint="eastAsia" w:ascii="宋体" w:hAnsi="宋体" w:cs="宋体"/>
          <w:spacing w:val="4"/>
          <w:sz w:val="24"/>
          <w:highlight w:val="none"/>
          <w:lang w:eastAsia="zh-CN"/>
        </w:rPr>
        <w:t>谈判</w:t>
      </w:r>
      <w:r>
        <w:rPr>
          <w:rFonts w:hint="eastAsia" w:ascii="宋体" w:hAnsi="宋体" w:eastAsia="宋体" w:cs="宋体"/>
          <w:spacing w:val="4"/>
          <w:sz w:val="24"/>
          <w:highlight w:val="none"/>
        </w:rPr>
        <w:t>报价</w:t>
      </w:r>
      <w:r>
        <w:rPr>
          <w:rFonts w:hint="eastAsia" w:ascii="宋体" w:hAnsi="宋体" w:cs="宋体"/>
          <w:spacing w:val="4"/>
          <w:sz w:val="24"/>
          <w:highlight w:val="none"/>
          <w:lang w:eastAsia="zh-CN"/>
        </w:rPr>
        <w:t>一</w:t>
      </w:r>
      <w:r>
        <w:rPr>
          <w:rFonts w:hint="eastAsia" w:ascii="宋体" w:hAnsi="宋体" w:eastAsia="宋体" w:cs="宋体"/>
          <w:spacing w:val="4"/>
          <w:sz w:val="24"/>
          <w:highlight w:val="none"/>
        </w:rPr>
        <w:t>览表</w:t>
      </w:r>
      <w:r>
        <w:rPr>
          <w:rFonts w:hint="eastAsia" w:ascii="宋体" w:hAnsi="宋体" w:eastAsia="宋体" w:cs="宋体"/>
          <w:color w:val="000000" w:themeColor="text1"/>
          <w:sz w:val="24"/>
          <w:szCs w:val="24"/>
          <w:highlight w:val="none"/>
        </w:rPr>
        <w:t>壹</w:t>
      </w:r>
      <w:r>
        <w:rPr>
          <w:rFonts w:hint="eastAsia" w:ascii="宋体" w:hAnsi="宋体" w:eastAsia="宋体" w:cs="宋体"/>
          <w:spacing w:val="4"/>
          <w:sz w:val="24"/>
          <w:highlight w:val="none"/>
        </w:rPr>
        <w:t>份。并提交谈判保证金，金额为</w:t>
      </w:r>
      <w:r>
        <w:rPr>
          <w:rFonts w:hint="eastAsia" w:ascii="宋体" w:hAnsi="宋体" w:eastAsia="宋体" w:cs="宋体"/>
          <w:spacing w:val="4"/>
          <w:sz w:val="24"/>
          <w:highlight w:val="none"/>
          <w:u w:val="single"/>
          <w:lang w:val="en-US" w:eastAsia="zh-CN"/>
        </w:rPr>
        <w:t xml:space="preserve">    </w:t>
      </w:r>
      <w:r>
        <w:rPr>
          <w:rFonts w:hint="eastAsia" w:ascii="宋体" w:hAnsi="宋体" w:cs="宋体"/>
          <w:spacing w:val="4"/>
          <w:sz w:val="24"/>
          <w:highlight w:val="none"/>
          <w:u w:val="singl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w:t>
      </w:r>
    </w:p>
    <w:p w14:paraId="72D1BAA2">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14:paraId="484AB919">
      <w:pPr>
        <w:numPr>
          <w:ilvl w:val="0"/>
          <w:numId w:val="15"/>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报价为小写：</w:t>
      </w:r>
      <w:r>
        <w:rPr>
          <w:rFonts w:hint="eastAsia" w:ascii="宋体" w:hAnsi="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（大写：</w:t>
      </w:r>
      <w:r>
        <w:rPr>
          <w:rFonts w:hint="eastAsia" w:ascii="宋体" w:hAnsi="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14:paraId="1557A641">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14:paraId="36DC89D6">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14:paraId="47C9B1BC">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cs="宋体"/>
          <w:spacing w:val="4"/>
          <w:sz w:val="24"/>
          <w:highlight w:val="none"/>
          <w:u w:val="single"/>
          <w:lang w:val="en-US" w:eastAsia="zh-CN"/>
        </w:rPr>
        <w:t xml:space="preserve">      </w:t>
      </w:r>
      <w:r>
        <w:rPr>
          <w:rFonts w:hint="eastAsia" w:ascii="宋体" w:hAnsi="宋体" w:eastAsia="宋体" w:cs="宋体"/>
          <w:spacing w:val="4"/>
          <w:sz w:val="24"/>
          <w:highlight w:val="none"/>
        </w:rPr>
        <w:t>天），本谈判响应函对我方具有约束力。</w:t>
      </w:r>
    </w:p>
    <w:p w14:paraId="4C3037A9">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如果在谈判后规定的谈判有效期内撤回谈判，我们的谈判保证金可被贵方没收。</w:t>
      </w:r>
    </w:p>
    <w:p w14:paraId="7C63609B">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14:paraId="3D3F17FE">
      <w:pPr>
        <w:numPr>
          <w:ilvl w:val="0"/>
          <w:numId w:val="15"/>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14:paraId="473C5839">
      <w:pPr>
        <w:spacing w:line="440" w:lineRule="exact"/>
        <w:jc w:val="left"/>
        <w:rPr>
          <w:rFonts w:hint="eastAsia" w:ascii="宋体" w:hAnsi="宋体" w:eastAsia="宋体" w:cs="宋体"/>
          <w:spacing w:val="4"/>
          <w:sz w:val="24"/>
          <w:highlight w:val="none"/>
        </w:rPr>
      </w:pPr>
    </w:p>
    <w:p w14:paraId="1A444278">
      <w:pPr>
        <w:spacing w:line="440" w:lineRule="exact"/>
        <w:ind w:firstLine="1240" w:firstLineChars="500"/>
        <w:jc w:val="left"/>
        <w:rPr>
          <w:rFonts w:hint="eastAsia" w:ascii="宋体" w:hAnsi="宋体" w:eastAsia="宋体" w:cs="宋体"/>
          <w:spacing w:val="4"/>
          <w:sz w:val="24"/>
          <w:highlight w:val="none"/>
        </w:rPr>
      </w:pPr>
    </w:p>
    <w:p w14:paraId="51123BA6">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14:paraId="6153C066">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14:paraId="40D5488A">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14:paraId="1E407B2D">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14:paraId="7DB12962">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谈判供应商名称（盖章）：</w:t>
      </w:r>
    </w:p>
    <w:p w14:paraId="4A3FF9F6">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法定代表人或被授权人：（签字或盖章）</w:t>
      </w:r>
    </w:p>
    <w:p w14:paraId="13377443">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14:paraId="090D46DB">
      <w:pPr>
        <w:spacing w:line="440" w:lineRule="exact"/>
        <w:rPr>
          <w:rFonts w:hint="eastAsia" w:ascii="宋体" w:hAnsi="宋体" w:eastAsia="宋体" w:cs="宋体"/>
          <w:sz w:val="28"/>
          <w:highlight w:val="none"/>
        </w:rPr>
      </w:pPr>
    </w:p>
    <w:p w14:paraId="09E7E8AB">
      <w:pPr>
        <w:rPr>
          <w:rFonts w:hint="eastAsia" w:ascii="宋体" w:hAnsi="宋体" w:eastAsia="宋体" w:cs="宋体"/>
          <w:sz w:val="44"/>
          <w:highlight w:val="none"/>
        </w:rPr>
      </w:pPr>
    </w:p>
    <w:p w14:paraId="4179B5AA">
      <w:pPr>
        <w:ind w:left="-199" w:leftChars="-95" w:right="-250" w:rightChars="-119" w:firstLine="199" w:firstLineChars="62"/>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二、谈判报价表</w:t>
      </w:r>
    </w:p>
    <w:p w14:paraId="1DA681B1">
      <w:pPr>
        <w:jc w:val="center"/>
        <w:rPr>
          <w:rFonts w:hint="eastAsia" w:ascii="宋体" w:hAnsi="宋体" w:eastAsia="宋体" w:cs="宋体"/>
          <w:b/>
          <w:sz w:val="36"/>
          <w:szCs w:val="36"/>
          <w:highlight w:val="none"/>
        </w:rPr>
      </w:pPr>
    </w:p>
    <w:p w14:paraId="660DD619">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2.1</w:t>
      </w:r>
      <w:r>
        <w:rPr>
          <w:rFonts w:hint="eastAsia" w:ascii="宋体" w:hAnsi="宋体" w:cs="宋体"/>
          <w:b/>
          <w:bCs/>
          <w:sz w:val="30"/>
          <w:szCs w:val="30"/>
          <w:highlight w:val="none"/>
          <w:lang w:eastAsia="zh-CN"/>
        </w:rPr>
        <w:t>谈判</w:t>
      </w:r>
      <w:r>
        <w:rPr>
          <w:rFonts w:hint="eastAsia" w:ascii="宋体" w:hAnsi="宋体" w:eastAsia="宋体" w:cs="宋体"/>
          <w:b/>
          <w:bCs/>
          <w:sz w:val="30"/>
          <w:szCs w:val="30"/>
          <w:highlight w:val="none"/>
        </w:rPr>
        <w:t>报价一览表</w:t>
      </w:r>
    </w:p>
    <w:p w14:paraId="63382681">
      <w:pPr>
        <w:jc w:val="left"/>
        <w:rPr>
          <w:rFonts w:hint="eastAsia" w:ascii="宋体" w:hAnsi="宋体" w:eastAsia="宋体" w:cs="宋体"/>
          <w:sz w:val="24"/>
          <w:highlight w:val="none"/>
        </w:rPr>
      </w:pPr>
    </w:p>
    <w:p w14:paraId="01DF70EF">
      <w:pPr>
        <w:ind w:firstLine="6746" w:firstLineChars="2800"/>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t>价格单位：人民币</w:t>
      </w:r>
      <w:r>
        <w:rPr>
          <w:rFonts w:hint="eastAsia" w:ascii="宋体" w:hAnsi="宋体" w:eastAsia="宋体" w:cs="宋体"/>
          <w:b/>
          <w:color w:val="000000"/>
          <w:sz w:val="24"/>
          <w:szCs w:val="24"/>
          <w:highlight w:val="none"/>
          <w:lang w:val="en-US" w:eastAsia="zh-CN"/>
        </w:rPr>
        <w:t>/</w:t>
      </w:r>
      <w:r>
        <w:rPr>
          <w:rFonts w:hint="eastAsia" w:ascii="宋体" w:hAnsi="宋体" w:eastAsia="宋体" w:cs="宋体"/>
          <w:b/>
          <w:color w:val="000000"/>
          <w:sz w:val="24"/>
          <w:szCs w:val="24"/>
          <w:highlight w:val="none"/>
        </w:rPr>
        <w:t>元</w:t>
      </w:r>
    </w:p>
    <w:p w14:paraId="155BECE9">
      <w:pPr>
        <w:spacing w:line="120" w:lineRule="exact"/>
        <w:rPr>
          <w:rFonts w:hint="eastAsia" w:ascii="宋体" w:hAnsi="宋体" w:eastAsia="宋体" w:cs="宋体"/>
          <w:sz w:val="24"/>
          <w:highlight w:val="none"/>
        </w:rPr>
      </w:pPr>
    </w:p>
    <w:tbl>
      <w:tblPr>
        <w:tblStyle w:val="30"/>
        <w:tblW w:w="8909" w:type="dxa"/>
        <w:jc w:val="center"/>
        <w:tblLayout w:type="fixed"/>
        <w:tblCellMar>
          <w:top w:w="0" w:type="dxa"/>
          <w:left w:w="108" w:type="dxa"/>
          <w:bottom w:w="0" w:type="dxa"/>
          <w:right w:w="108" w:type="dxa"/>
        </w:tblCellMar>
      </w:tblPr>
      <w:tblGrid>
        <w:gridCol w:w="1892"/>
        <w:gridCol w:w="7017"/>
      </w:tblGrid>
      <w:tr w14:paraId="56769008">
        <w:tblPrEx>
          <w:tblCellMar>
            <w:top w:w="0" w:type="dxa"/>
            <w:left w:w="108" w:type="dxa"/>
            <w:bottom w:w="0" w:type="dxa"/>
            <w:right w:w="108" w:type="dxa"/>
          </w:tblCellMar>
        </w:tblPrEx>
        <w:trPr>
          <w:trHeight w:val="608"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32C937A3">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谈判供应商</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3C62744A">
            <w:pPr>
              <w:pStyle w:val="15"/>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lang w:eastAsia="zh-CN"/>
              </w:rPr>
            </w:pPr>
          </w:p>
        </w:tc>
      </w:tr>
      <w:tr w14:paraId="0E59DD57">
        <w:tblPrEx>
          <w:tblCellMar>
            <w:top w:w="0" w:type="dxa"/>
            <w:left w:w="108" w:type="dxa"/>
            <w:bottom w:w="0" w:type="dxa"/>
            <w:right w:w="108" w:type="dxa"/>
          </w:tblCellMar>
        </w:tblPrEx>
        <w:trPr>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607E2020">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项目名称</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5505DA28">
            <w:pPr>
              <w:pStyle w:val="15"/>
              <w:keepNext w:val="0"/>
              <w:keepLines w:val="0"/>
              <w:suppressLineNumbers w:val="0"/>
              <w:spacing w:before="0" w:beforeAutospacing="0" w:after="0" w:afterAutospacing="0"/>
              <w:ind w:left="0" w:right="0"/>
              <w:rPr>
                <w:rFonts w:hint="eastAsia" w:ascii="宋体" w:hAnsi="宋体" w:eastAsia="宋体" w:cs="宋体"/>
                <w:color w:val="000000"/>
                <w:sz w:val="24"/>
                <w:szCs w:val="24"/>
                <w:highlight w:val="none"/>
              </w:rPr>
            </w:pPr>
          </w:p>
        </w:tc>
      </w:tr>
      <w:tr w14:paraId="0D1F4D88">
        <w:tblPrEx>
          <w:tblCellMar>
            <w:top w:w="0" w:type="dxa"/>
            <w:left w:w="108" w:type="dxa"/>
            <w:bottom w:w="0" w:type="dxa"/>
            <w:right w:w="108" w:type="dxa"/>
          </w:tblCellMar>
        </w:tblPrEx>
        <w:trPr>
          <w:trHeight w:val="766" w:hRule="atLeast"/>
          <w:jc w:val="center"/>
        </w:trPr>
        <w:tc>
          <w:tcPr>
            <w:tcW w:w="1892" w:type="dxa"/>
            <w:tcBorders>
              <w:top w:val="single" w:color="auto" w:sz="4" w:space="0"/>
              <w:left w:val="single" w:color="auto" w:sz="4" w:space="0"/>
              <w:right w:val="single" w:color="auto" w:sz="4" w:space="0"/>
            </w:tcBorders>
            <w:noWrap w:val="0"/>
            <w:vAlign w:val="center"/>
          </w:tcPr>
          <w:p w14:paraId="603A52F9">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highlight w:val="none"/>
              </w:rPr>
            </w:pPr>
            <w:r>
              <w:rPr>
                <w:rFonts w:hint="eastAsia" w:hAnsi="宋体" w:cs="宋体"/>
                <w:b/>
                <w:bCs/>
                <w:color w:val="000000"/>
                <w:sz w:val="24"/>
                <w:szCs w:val="24"/>
                <w:highlight w:val="none"/>
                <w:lang w:eastAsia="zh-CN"/>
              </w:rPr>
              <w:t>项目</w:t>
            </w:r>
            <w:r>
              <w:rPr>
                <w:rFonts w:hint="eastAsia" w:ascii="宋体" w:hAnsi="宋体" w:eastAsia="宋体" w:cs="宋体"/>
                <w:b/>
                <w:bCs/>
                <w:color w:val="000000"/>
                <w:sz w:val="24"/>
                <w:szCs w:val="24"/>
                <w:highlight w:val="none"/>
              </w:rPr>
              <w:t>编号</w:t>
            </w:r>
          </w:p>
        </w:tc>
        <w:tc>
          <w:tcPr>
            <w:tcW w:w="7017" w:type="dxa"/>
            <w:tcBorders>
              <w:top w:val="single" w:color="auto" w:sz="4" w:space="0"/>
              <w:left w:val="single" w:color="auto" w:sz="4" w:space="0"/>
              <w:right w:val="single" w:color="auto" w:sz="4" w:space="0"/>
            </w:tcBorders>
            <w:noWrap w:val="0"/>
            <w:vAlign w:val="center"/>
          </w:tcPr>
          <w:p w14:paraId="6D4CFB4F">
            <w:pPr>
              <w:pStyle w:val="19"/>
              <w:keepNext w:val="0"/>
              <w:keepLines w:val="0"/>
              <w:suppressLineNumbers w:val="0"/>
              <w:spacing w:before="0" w:beforeAutospacing="0" w:after="0" w:afterAutospacing="0"/>
              <w:ind w:left="0" w:right="0"/>
              <w:jc w:val="both"/>
              <w:rPr>
                <w:rFonts w:hint="eastAsia" w:ascii="宋体" w:hAnsi="宋体" w:eastAsia="宋体" w:cs="宋体"/>
                <w:color w:val="000000"/>
                <w:sz w:val="24"/>
                <w:szCs w:val="24"/>
                <w:highlight w:val="none"/>
                <w:u w:val="single"/>
                <w:lang w:eastAsia="zh-CN"/>
              </w:rPr>
            </w:pPr>
          </w:p>
        </w:tc>
      </w:tr>
      <w:tr w14:paraId="39A67F9E">
        <w:tblPrEx>
          <w:tblCellMar>
            <w:top w:w="0" w:type="dxa"/>
            <w:left w:w="108" w:type="dxa"/>
            <w:bottom w:w="0" w:type="dxa"/>
            <w:right w:w="108" w:type="dxa"/>
          </w:tblCellMar>
        </w:tblPrEx>
        <w:trPr>
          <w:cantSplit/>
          <w:trHeight w:val="1712"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0D179447">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总报价</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27D170B2">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highlight w:val="none"/>
                <w:u w:val="single"/>
              </w:rPr>
            </w:pPr>
            <w:r>
              <w:rPr>
                <w:rFonts w:hint="eastAsia" w:ascii="宋体" w:hAnsi="宋体" w:eastAsia="宋体" w:cs="宋体"/>
                <w:color w:val="000000"/>
                <w:sz w:val="24"/>
                <w:szCs w:val="22"/>
                <w:highlight w:val="none"/>
                <w:u w:val="single"/>
              </w:rPr>
              <w:t xml:space="preserve">小写：  </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u w:val="single"/>
              </w:rPr>
              <w:t xml:space="preserve">    </w:t>
            </w:r>
          </w:p>
          <w:p w14:paraId="5CE22103">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highlight w:val="none"/>
                <w:u w:val="single"/>
              </w:rPr>
            </w:pPr>
          </w:p>
          <w:p w14:paraId="6C3BB1D5">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highlight w:val="none"/>
                <w:u w:val="single"/>
                <w:lang w:val="en-US" w:eastAsia="zh-CN"/>
              </w:rPr>
            </w:pPr>
            <w:r>
              <w:rPr>
                <w:rFonts w:hint="eastAsia" w:ascii="宋体" w:hAnsi="宋体" w:eastAsia="宋体" w:cs="宋体"/>
                <w:color w:val="000000"/>
                <w:sz w:val="24"/>
                <w:szCs w:val="22"/>
                <w:highlight w:val="none"/>
                <w:u w:val="single"/>
              </w:rPr>
              <w:t>大写：</w:t>
            </w:r>
            <w:r>
              <w:rPr>
                <w:rFonts w:hint="eastAsia" w:ascii="宋体" w:hAnsi="宋体" w:eastAsia="宋体" w:cs="宋体"/>
                <w:color w:val="000000"/>
                <w:sz w:val="24"/>
                <w:szCs w:val="22"/>
                <w:highlight w:val="none"/>
                <w:u w:val="single"/>
                <w:lang w:val="en-US" w:eastAsia="zh-CN"/>
              </w:rPr>
              <w:t xml:space="preserve">                 </w:t>
            </w:r>
          </w:p>
        </w:tc>
      </w:tr>
      <w:tr w14:paraId="0F0F3430">
        <w:tblPrEx>
          <w:tblCellMar>
            <w:top w:w="0" w:type="dxa"/>
            <w:left w:w="108" w:type="dxa"/>
            <w:bottom w:w="0" w:type="dxa"/>
            <w:right w:w="108" w:type="dxa"/>
          </w:tblCellMar>
        </w:tblPrEx>
        <w:trPr>
          <w:cantSplit/>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79367F85">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期</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3AB56924">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highlight w:val="none"/>
                <w:u w:val="single"/>
                <w:lang w:val="en-US" w:eastAsia="zh-CN"/>
              </w:rPr>
            </w:pPr>
          </w:p>
        </w:tc>
      </w:tr>
      <w:tr w14:paraId="067F4BBE">
        <w:tblPrEx>
          <w:tblCellMar>
            <w:top w:w="0" w:type="dxa"/>
            <w:left w:w="108" w:type="dxa"/>
            <w:bottom w:w="0" w:type="dxa"/>
            <w:right w:w="108" w:type="dxa"/>
          </w:tblCellMar>
        </w:tblPrEx>
        <w:trPr>
          <w:cantSplit/>
          <w:trHeight w:val="610"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797C52E2">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 注</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44D2403D">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2"/>
                <w:highlight w:val="none"/>
                <w:u w:val="single"/>
              </w:rPr>
            </w:pPr>
          </w:p>
        </w:tc>
      </w:tr>
    </w:tbl>
    <w:p w14:paraId="04906416">
      <w:pPr>
        <w:pStyle w:val="15"/>
        <w:spacing w:line="38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2AFE0F01">
      <w:pPr>
        <w:pStyle w:val="15"/>
        <w:spacing w:line="38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1、第一次报价表随响应性文件一起递交，以便谈判时使用，其内容应与谈判文件中的第一次报价表一致。</w:t>
      </w:r>
    </w:p>
    <w:p w14:paraId="6C517F8E">
      <w:pPr>
        <w:pStyle w:val="15"/>
        <w:spacing w:line="38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2、谈判供应商应在谈判报价表</w:t>
      </w:r>
      <w:r>
        <w:rPr>
          <w:rFonts w:hint="eastAsia" w:ascii="宋体" w:hAnsi="宋体" w:eastAsia="宋体" w:cs="宋体"/>
          <w:color w:val="000000"/>
          <w:szCs w:val="21"/>
          <w:highlight w:val="none"/>
          <w:lang w:eastAsia="zh-CN"/>
        </w:rPr>
        <w:t>中</w:t>
      </w:r>
      <w:r>
        <w:rPr>
          <w:rFonts w:hint="eastAsia" w:hAnsi="宋体" w:cs="宋体"/>
          <w:color w:val="000000"/>
          <w:szCs w:val="21"/>
          <w:highlight w:val="none"/>
          <w:lang w:eastAsia="zh-CN"/>
        </w:rPr>
        <w:t>列</w:t>
      </w:r>
      <w:r>
        <w:rPr>
          <w:rFonts w:hint="eastAsia" w:ascii="宋体" w:hAnsi="宋体" w:eastAsia="宋体" w:cs="宋体"/>
          <w:color w:val="000000"/>
          <w:szCs w:val="21"/>
          <w:highlight w:val="none"/>
          <w:lang w:eastAsia="zh-CN"/>
        </w:rPr>
        <w:t>明</w:t>
      </w:r>
      <w:r>
        <w:rPr>
          <w:rFonts w:hint="eastAsia" w:ascii="宋体" w:hAnsi="宋体" w:eastAsia="宋体" w:cs="宋体"/>
          <w:color w:val="000000"/>
          <w:szCs w:val="21"/>
          <w:highlight w:val="none"/>
        </w:rPr>
        <w:t>完成本次谈判所要求的服务并验收至合格的所有费用。</w:t>
      </w:r>
    </w:p>
    <w:p w14:paraId="723C12DC">
      <w:pPr>
        <w:pStyle w:val="15"/>
        <w:spacing w:line="380" w:lineRule="exact"/>
        <w:ind w:firstLine="420" w:firstLineChars="200"/>
        <w:rPr>
          <w:rFonts w:hint="eastAsia" w:ascii="宋体" w:hAnsi="宋体" w:eastAsia="宋体" w:cs="宋体"/>
          <w:sz w:val="24"/>
          <w:highlight w:val="none"/>
        </w:rPr>
      </w:pPr>
      <w:r>
        <w:rPr>
          <w:rFonts w:hint="eastAsia" w:ascii="宋体" w:hAnsi="宋体" w:eastAsia="宋体" w:cs="宋体"/>
          <w:color w:val="000000"/>
          <w:szCs w:val="21"/>
          <w:highlight w:val="none"/>
        </w:rPr>
        <w:t>3、报价不得超出项目</w:t>
      </w:r>
      <w:r>
        <w:rPr>
          <w:rFonts w:hint="eastAsia" w:ascii="宋体" w:hAnsi="宋体" w:eastAsia="宋体" w:cs="宋体"/>
          <w:color w:val="000000"/>
          <w:szCs w:val="21"/>
          <w:highlight w:val="none"/>
          <w:lang w:val="en-US" w:eastAsia="zh-CN"/>
        </w:rPr>
        <w:t>采购限价</w:t>
      </w:r>
      <w:r>
        <w:rPr>
          <w:rFonts w:hint="eastAsia" w:ascii="宋体" w:hAnsi="宋体" w:eastAsia="宋体" w:cs="宋体"/>
          <w:color w:val="000000"/>
          <w:szCs w:val="21"/>
          <w:highlight w:val="none"/>
        </w:rPr>
        <w:t>。</w:t>
      </w:r>
    </w:p>
    <w:p w14:paraId="0E540A38">
      <w:pPr>
        <w:rPr>
          <w:rFonts w:hint="eastAsia" w:ascii="宋体" w:hAnsi="宋体" w:eastAsia="宋体" w:cs="宋体"/>
          <w:sz w:val="24"/>
          <w:highlight w:val="none"/>
        </w:rPr>
      </w:pPr>
    </w:p>
    <w:p w14:paraId="12D01306">
      <w:pPr>
        <w:pStyle w:val="6"/>
        <w:rPr>
          <w:rFonts w:hint="eastAsia" w:ascii="宋体" w:hAnsi="宋体" w:eastAsia="宋体" w:cs="宋体"/>
          <w:highlight w:val="none"/>
        </w:rPr>
      </w:pPr>
    </w:p>
    <w:p w14:paraId="57ED5126">
      <w:pPr>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（加盖单位公章）</w:t>
      </w:r>
    </w:p>
    <w:p w14:paraId="3283085D">
      <w:pPr>
        <w:ind w:right="540" w:rightChars="257"/>
        <w:jc w:val="left"/>
        <w:rPr>
          <w:rFonts w:hint="eastAsia" w:ascii="宋体" w:hAnsi="宋体" w:eastAsia="宋体" w:cs="宋体"/>
          <w:sz w:val="24"/>
          <w:highlight w:val="none"/>
        </w:rPr>
      </w:pPr>
    </w:p>
    <w:p w14:paraId="450CC128">
      <w:pPr>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rPr>
        <w:t>法定代表人或被授权人：  （签字或盖章）</w:t>
      </w:r>
    </w:p>
    <w:p w14:paraId="616AC962">
      <w:pPr>
        <w:ind w:right="540" w:rightChars="257"/>
        <w:jc w:val="left"/>
        <w:rPr>
          <w:rFonts w:hint="eastAsia" w:ascii="宋体" w:hAnsi="宋体" w:eastAsia="宋体" w:cs="宋体"/>
          <w:sz w:val="24"/>
          <w:highlight w:val="none"/>
        </w:rPr>
      </w:pPr>
    </w:p>
    <w:p w14:paraId="367FA842">
      <w:pPr>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14:paraId="1D697EB1">
      <w:pPr>
        <w:jc w:val="center"/>
        <w:rPr>
          <w:rFonts w:hint="eastAsia" w:ascii="宋体" w:hAnsi="宋体" w:eastAsia="宋体" w:cs="宋体"/>
          <w:sz w:val="30"/>
          <w:szCs w:val="30"/>
          <w:highlight w:val="none"/>
        </w:rPr>
      </w:pPr>
    </w:p>
    <w:p w14:paraId="01AD75C9">
      <w:pPr>
        <w:spacing w:beforeLines="50" w:afterLines="50" w:line="400" w:lineRule="atLeast"/>
        <w:rPr>
          <w:rFonts w:hint="eastAsia" w:ascii="宋体" w:hAnsi="宋体" w:eastAsia="宋体" w:cs="宋体"/>
          <w:szCs w:val="21"/>
          <w:highlight w:val="none"/>
          <w:u w:val="single"/>
        </w:rPr>
      </w:pPr>
      <w:r>
        <w:rPr>
          <w:rFonts w:hint="eastAsia" w:ascii="宋体" w:hAnsi="宋体" w:eastAsia="宋体" w:cs="宋体"/>
          <w:sz w:val="24"/>
          <w:highlight w:val="none"/>
        </w:rPr>
        <w:t>注：本表应按“供应商须知”的规定密封单独提交。</w:t>
      </w:r>
    </w:p>
    <w:p w14:paraId="48D4F7CE">
      <w:pPr>
        <w:jc w:val="center"/>
        <w:rPr>
          <w:rFonts w:hint="eastAsia" w:ascii="宋体" w:hAnsi="宋体" w:eastAsia="宋体" w:cs="宋体"/>
          <w:sz w:val="30"/>
          <w:szCs w:val="30"/>
          <w:highlight w:val="none"/>
        </w:rPr>
      </w:pPr>
    </w:p>
    <w:p w14:paraId="0FDB38A2">
      <w:pPr>
        <w:jc w:val="center"/>
        <w:outlineLvl w:val="1"/>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bookmarkStart w:id="90" w:name="_Toc112177215"/>
      <w:r>
        <w:rPr>
          <w:rFonts w:hint="eastAsia" w:ascii="宋体" w:hAnsi="宋体" w:eastAsia="宋体" w:cs="宋体"/>
          <w:b/>
          <w:bCs/>
          <w:sz w:val="30"/>
          <w:szCs w:val="30"/>
          <w:highlight w:val="none"/>
        </w:rPr>
        <w:t>2.2谈判分项报价表</w:t>
      </w:r>
      <w:bookmarkEnd w:id="90"/>
    </w:p>
    <w:p w14:paraId="215C0221">
      <w:pPr>
        <w:jc w:val="center"/>
        <w:rPr>
          <w:rFonts w:hint="eastAsia" w:ascii="宋体" w:hAnsi="宋体" w:eastAsia="宋体" w:cs="宋体"/>
          <w:color w:val="FF0000"/>
          <w:sz w:val="30"/>
          <w:szCs w:val="30"/>
          <w:highlight w:val="none"/>
        </w:rPr>
      </w:pPr>
    </w:p>
    <w:p w14:paraId="656AF49F">
      <w:pPr>
        <w:jc w:val="left"/>
        <w:rPr>
          <w:rFonts w:hint="eastAsia" w:ascii="宋体" w:hAnsi="宋体" w:eastAsia="宋体" w:cs="宋体"/>
          <w:sz w:val="24"/>
          <w:szCs w:val="24"/>
          <w:highlight w:val="none"/>
        </w:rPr>
      </w:pPr>
      <w:r>
        <w:rPr>
          <w:rFonts w:hint="eastAsia" w:ascii="宋体" w:hAnsi="宋体" w:eastAsia="宋体" w:cs="宋体"/>
          <w:sz w:val="24"/>
          <w:highlight w:val="none"/>
        </w:rPr>
        <w:t>项目名称：</w:t>
      </w:r>
      <w:r>
        <w:rPr>
          <w:rFonts w:hint="eastAsia" w:ascii="宋体" w:hAnsi="宋体" w:eastAsia="宋体" w:cs="宋体"/>
          <w:sz w:val="24"/>
          <w:szCs w:val="24"/>
          <w:highlight w:val="none"/>
        </w:rPr>
        <w:t xml:space="preserve"> </w:t>
      </w:r>
    </w:p>
    <w:p w14:paraId="763759ED">
      <w:pPr>
        <w:jc w:val="left"/>
        <w:rPr>
          <w:rFonts w:hint="eastAsia" w:ascii="宋体" w:hAnsi="宋体" w:eastAsia="宋体" w:cs="宋体"/>
          <w:sz w:val="24"/>
          <w:highlight w:val="none"/>
        </w:rPr>
      </w:pPr>
      <w:r>
        <w:rPr>
          <w:rFonts w:hint="eastAsia" w:ascii="宋体" w:hAnsi="宋体" w:eastAsia="宋体" w:cs="宋体"/>
          <w:sz w:val="24"/>
          <w:szCs w:val="32"/>
          <w:highlight w:val="none"/>
        </w:rPr>
        <w:t xml:space="preserve">    </w:t>
      </w:r>
    </w:p>
    <w:p w14:paraId="4B819606">
      <w:pPr>
        <w:rPr>
          <w:rFonts w:hint="eastAsia" w:ascii="宋体" w:hAnsi="宋体" w:eastAsia="宋体" w:cs="宋体"/>
          <w:sz w:val="24"/>
          <w:highlight w:val="none"/>
        </w:rPr>
      </w:pPr>
      <w:r>
        <w:rPr>
          <w:rFonts w:hint="eastAsia" w:ascii="宋体" w:hAnsi="宋体" w:eastAsia="宋体" w:cs="宋体"/>
          <w:sz w:val="24"/>
          <w:highlight w:val="none"/>
        </w:rPr>
        <w:t>项目编号：</w:t>
      </w:r>
    </w:p>
    <w:p w14:paraId="367F0169">
      <w:pPr>
        <w:jc w:val="center"/>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单位：元</w:t>
      </w:r>
    </w:p>
    <w:tbl>
      <w:tblPr>
        <w:tblStyle w:val="30"/>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4251"/>
        <w:gridCol w:w="3085"/>
        <w:gridCol w:w="1467"/>
      </w:tblGrid>
      <w:tr w14:paraId="616C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15" w:type="pct"/>
            <w:noWrap/>
            <w:vAlign w:val="center"/>
          </w:tcPr>
          <w:p w14:paraId="5D6F0927">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bookmarkStart w:id="91" w:name="_Toc13040"/>
            <w:bookmarkStart w:id="92" w:name="_Toc106994057"/>
            <w:r>
              <w:rPr>
                <w:rFonts w:hint="eastAsia" w:ascii="宋体" w:hAnsi="宋体" w:eastAsia="宋体" w:cs="宋体"/>
                <w:kern w:val="0"/>
                <w:sz w:val="24"/>
                <w:szCs w:val="24"/>
                <w:highlight w:val="none"/>
              </w:rPr>
              <w:t>序号</w:t>
            </w:r>
            <w:bookmarkEnd w:id="91"/>
            <w:bookmarkEnd w:id="92"/>
          </w:p>
        </w:tc>
        <w:tc>
          <w:tcPr>
            <w:tcW w:w="2261" w:type="pct"/>
            <w:noWrap/>
            <w:vAlign w:val="center"/>
          </w:tcPr>
          <w:p w14:paraId="49E65297">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bookmarkStart w:id="93" w:name="_Toc106994058"/>
            <w:r>
              <w:rPr>
                <w:rFonts w:hint="eastAsia" w:ascii="宋体" w:hAnsi="宋体" w:eastAsia="宋体" w:cs="宋体"/>
                <w:kern w:val="0"/>
                <w:sz w:val="24"/>
                <w:szCs w:val="24"/>
                <w:highlight w:val="none"/>
              </w:rPr>
              <w:t>内容</w:t>
            </w:r>
            <w:bookmarkEnd w:id="93"/>
          </w:p>
        </w:tc>
        <w:tc>
          <w:tcPr>
            <w:tcW w:w="1641" w:type="pct"/>
            <w:noWrap/>
            <w:vAlign w:val="center"/>
          </w:tcPr>
          <w:p w14:paraId="772ECBD2">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bookmarkStart w:id="94" w:name="_Toc106994059"/>
            <w:r>
              <w:rPr>
                <w:rFonts w:hint="eastAsia" w:ascii="宋体" w:hAnsi="宋体" w:eastAsia="宋体" w:cs="宋体"/>
                <w:kern w:val="0"/>
                <w:sz w:val="24"/>
                <w:szCs w:val="24"/>
                <w:highlight w:val="none"/>
              </w:rPr>
              <w:t>报价（单位：元）</w:t>
            </w:r>
            <w:bookmarkEnd w:id="94"/>
          </w:p>
        </w:tc>
        <w:tc>
          <w:tcPr>
            <w:tcW w:w="781" w:type="pct"/>
            <w:noWrap/>
            <w:vAlign w:val="center"/>
          </w:tcPr>
          <w:p w14:paraId="7ADF74A7">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bookmarkStart w:id="95" w:name="_Toc106994060"/>
            <w:bookmarkStart w:id="96" w:name="_Toc10155"/>
            <w:r>
              <w:rPr>
                <w:rFonts w:hint="eastAsia" w:ascii="宋体" w:hAnsi="宋体" w:eastAsia="宋体" w:cs="宋体"/>
                <w:kern w:val="0"/>
                <w:sz w:val="24"/>
                <w:szCs w:val="24"/>
                <w:highlight w:val="none"/>
              </w:rPr>
              <w:t>备注</w:t>
            </w:r>
            <w:bookmarkEnd w:id="95"/>
            <w:bookmarkEnd w:id="96"/>
          </w:p>
        </w:tc>
      </w:tr>
      <w:tr w14:paraId="3093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15" w:type="pct"/>
            <w:noWrap/>
            <w:vAlign w:val="center"/>
          </w:tcPr>
          <w:p w14:paraId="658CB2BD">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261" w:type="pct"/>
            <w:noWrap/>
            <w:vAlign w:val="center"/>
          </w:tcPr>
          <w:p w14:paraId="725A42F2">
            <w:pPr>
              <w:pStyle w:val="19"/>
              <w:keepNext w:val="0"/>
              <w:keepLines w:val="0"/>
              <w:suppressLineNumbers w:val="0"/>
              <w:spacing w:before="0" w:beforeAutospacing="0" w:after="0" w:afterAutospacing="0"/>
              <w:ind w:left="0" w:right="0"/>
              <w:jc w:val="center"/>
              <w:rPr>
                <w:rFonts w:hint="eastAsia" w:ascii="宋体" w:hAnsi="宋体" w:eastAsia="宋体" w:cs="宋体"/>
                <w:b w:val="0"/>
                <w:bCs/>
                <w:kern w:val="0"/>
                <w:sz w:val="24"/>
                <w:szCs w:val="24"/>
                <w:highlight w:val="none"/>
              </w:rPr>
            </w:pPr>
          </w:p>
        </w:tc>
        <w:tc>
          <w:tcPr>
            <w:tcW w:w="1641" w:type="pct"/>
            <w:noWrap/>
            <w:vAlign w:val="center"/>
          </w:tcPr>
          <w:p w14:paraId="6132FE8B">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81" w:type="pct"/>
            <w:noWrap/>
            <w:vAlign w:val="center"/>
          </w:tcPr>
          <w:p w14:paraId="553A4ECB">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r>
      <w:tr w14:paraId="627F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315" w:type="pct"/>
            <w:noWrap/>
            <w:vAlign w:val="center"/>
          </w:tcPr>
          <w:p w14:paraId="2961CA66">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261" w:type="pct"/>
            <w:noWrap/>
            <w:vAlign w:val="center"/>
          </w:tcPr>
          <w:p w14:paraId="573D685A">
            <w:pPr>
              <w:pStyle w:val="19"/>
              <w:keepNext w:val="0"/>
              <w:keepLines w:val="0"/>
              <w:suppressLineNumbers w:val="0"/>
              <w:spacing w:before="0" w:beforeAutospacing="0" w:after="0" w:afterAutospacing="0"/>
              <w:ind w:left="0" w:right="0"/>
              <w:jc w:val="center"/>
              <w:rPr>
                <w:rFonts w:hint="eastAsia" w:ascii="宋体" w:hAnsi="宋体" w:eastAsia="宋体" w:cs="宋体"/>
                <w:b w:val="0"/>
                <w:bCs/>
                <w:kern w:val="0"/>
                <w:sz w:val="24"/>
                <w:szCs w:val="24"/>
                <w:highlight w:val="none"/>
              </w:rPr>
            </w:pPr>
          </w:p>
        </w:tc>
        <w:tc>
          <w:tcPr>
            <w:tcW w:w="1641" w:type="pct"/>
            <w:noWrap/>
            <w:vAlign w:val="center"/>
          </w:tcPr>
          <w:p w14:paraId="43294698">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81" w:type="pct"/>
            <w:noWrap/>
            <w:vAlign w:val="center"/>
          </w:tcPr>
          <w:p w14:paraId="204F1F6D">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r>
      <w:tr w14:paraId="6341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315" w:type="pct"/>
            <w:noWrap/>
            <w:vAlign w:val="center"/>
          </w:tcPr>
          <w:p w14:paraId="0113DE3A">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lang w:val="en-US" w:eastAsia="zh-CN"/>
              </w:rPr>
            </w:pPr>
            <w:bookmarkStart w:id="97" w:name="_Toc106994061"/>
            <w:bookmarkStart w:id="98" w:name="_Toc13698"/>
            <w:r>
              <w:rPr>
                <w:rFonts w:hint="eastAsia" w:ascii="宋体" w:hAnsi="宋体" w:cs="宋体"/>
                <w:kern w:val="0"/>
                <w:sz w:val="24"/>
                <w:szCs w:val="24"/>
                <w:highlight w:val="none"/>
                <w:lang w:val="en-US" w:eastAsia="zh-CN"/>
              </w:rPr>
              <w:t>3</w:t>
            </w:r>
          </w:p>
        </w:tc>
        <w:tc>
          <w:tcPr>
            <w:tcW w:w="2261" w:type="pct"/>
            <w:noWrap/>
            <w:vAlign w:val="center"/>
          </w:tcPr>
          <w:p w14:paraId="3E3EF4C8">
            <w:pPr>
              <w:pStyle w:val="19"/>
              <w:keepNext w:val="0"/>
              <w:keepLines w:val="0"/>
              <w:suppressLineNumbers w:val="0"/>
              <w:spacing w:before="0" w:beforeAutospacing="0" w:after="0" w:afterAutospacing="0"/>
              <w:ind w:left="0" w:right="0"/>
              <w:jc w:val="center"/>
              <w:rPr>
                <w:rFonts w:hint="eastAsia" w:ascii="宋体" w:hAnsi="宋体" w:eastAsia="宋体" w:cs="宋体"/>
                <w:b w:val="0"/>
                <w:bCs/>
                <w:kern w:val="0"/>
                <w:sz w:val="24"/>
                <w:szCs w:val="24"/>
                <w:highlight w:val="none"/>
              </w:rPr>
            </w:pPr>
          </w:p>
        </w:tc>
        <w:tc>
          <w:tcPr>
            <w:tcW w:w="1641" w:type="pct"/>
            <w:noWrap/>
            <w:vAlign w:val="center"/>
          </w:tcPr>
          <w:p w14:paraId="502530F2">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81" w:type="pct"/>
            <w:noWrap/>
            <w:vAlign w:val="center"/>
          </w:tcPr>
          <w:p w14:paraId="07DF71CD">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r>
      <w:tr w14:paraId="393F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15" w:type="pct"/>
            <w:noWrap/>
            <w:vAlign w:val="center"/>
          </w:tcPr>
          <w:p w14:paraId="6C080571">
            <w:pPr>
              <w:keepNext w:val="0"/>
              <w:keepLines w:val="0"/>
              <w:suppressLineNumbers w:val="0"/>
              <w:spacing w:before="0" w:beforeAutospacing="0" w:after="0" w:afterAutospacing="0"/>
              <w:ind w:left="0" w:right="0"/>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合计</w:t>
            </w:r>
            <w:bookmarkEnd w:id="97"/>
            <w:bookmarkEnd w:id="98"/>
          </w:p>
        </w:tc>
        <w:tc>
          <w:tcPr>
            <w:tcW w:w="4684" w:type="pct"/>
            <w:gridSpan w:val="3"/>
            <w:noWrap/>
            <w:vAlign w:val="center"/>
          </w:tcPr>
          <w:p w14:paraId="5B9C5E38">
            <w:pPr>
              <w:keepNext w:val="0"/>
              <w:keepLines w:val="0"/>
              <w:suppressLineNumbers w:val="0"/>
              <w:spacing w:before="0" w:beforeAutospacing="0" w:after="0" w:afterAutospacing="0"/>
              <w:ind w:left="0" w:right="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w:t>
            </w:r>
          </w:p>
          <w:p w14:paraId="61855936">
            <w:pPr>
              <w:keepNext w:val="0"/>
              <w:keepLines w:val="0"/>
              <w:suppressLineNumbers w:val="0"/>
              <w:spacing w:before="0" w:beforeAutospacing="0" w:after="0" w:afterAutospacing="0"/>
              <w:ind w:left="0" w:right="0"/>
              <w:rPr>
                <w:rFonts w:hint="eastAsia" w:ascii="宋体" w:hAnsi="宋体" w:eastAsia="宋体" w:cs="宋体"/>
                <w:kern w:val="0"/>
                <w:sz w:val="28"/>
                <w:szCs w:val="28"/>
                <w:highlight w:val="none"/>
              </w:rPr>
            </w:pPr>
            <w:r>
              <w:rPr>
                <w:rFonts w:hint="eastAsia" w:ascii="宋体" w:hAnsi="宋体" w:eastAsia="宋体" w:cs="宋体"/>
                <w:kern w:val="0"/>
                <w:sz w:val="24"/>
                <w:szCs w:val="24"/>
                <w:highlight w:val="none"/>
              </w:rPr>
              <w:t xml:space="preserve">小写： </w:t>
            </w:r>
          </w:p>
        </w:tc>
      </w:tr>
    </w:tbl>
    <w:p w14:paraId="322ACB5F">
      <w:pPr>
        <w:rPr>
          <w:rFonts w:hint="eastAsia" w:ascii="宋体" w:hAnsi="宋体" w:eastAsia="宋体" w:cs="宋体"/>
          <w:highlight w:val="none"/>
        </w:rPr>
      </w:pPr>
    </w:p>
    <w:p w14:paraId="46D71F03">
      <w:pPr>
        <w:rPr>
          <w:rFonts w:hint="eastAsia" w:ascii="宋体" w:hAnsi="宋体" w:eastAsia="宋体" w:cs="宋体"/>
          <w:sz w:val="24"/>
          <w:highlight w:val="none"/>
        </w:rPr>
      </w:pPr>
    </w:p>
    <w:p w14:paraId="00EBABE0">
      <w:pPr>
        <w:spacing w:line="280" w:lineRule="exact"/>
        <w:ind w:right="540" w:rightChars="257"/>
        <w:jc w:val="left"/>
        <w:rPr>
          <w:rFonts w:hint="eastAsia" w:ascii="宋体" w:hAnsi="宋体" w:eastAsia="宋体" w:cs="宋体"/>
          <w:sz w:val="24"/>
          <w:highlight w:val="none"/>
        </w:rPr>
      </w:pPr>
    </w:p>
    <w:p w14:paraId="3EC0C504">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（加盖单位公章）      </w:t>
      </w:r>
    </w:p>
    <w:p w14:paraId="708437C9">
      <w:pPr>
        <w:spacing w:line="280" w:lineRule="exact"/>
        <w:ind w:right="540" w:rightChars="257"/>
        <w:jc w:val="left"/>
        <w:rPr>
          <w:rFonts w:hint="eastAsia" w:ascii="宋体" w:hAnsi="宋体" w:eastAsia="宋体" w:cs="宋体"/>
          <w:sz w:val="24"/>
          <w:highlight w:val="none"/>
        </w:rPr>
      </w:pPr>
    </w:p>
    <w:p w14:paraId="11CD655A">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法定代表人或被授权人：</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（签字或盖章）</w:t>
      </w:r>
    </w:p>
    <w:p w14:paraId="6324AE07">
      <w:pPr>
        <w:spacing w:line="280" w:lineRule="exact"/>
        <w:ind w:right="540" w:rightChars="257"/>
        <w:jc w:val="left"/>
        <w:rPr>
          <w:rFonts w:hint="eastAsia" w:ascii="宋体" w:hAnsi="宋体" w:eastAsia="宋体" w:cs="宋体"/>
          <w:sz w:val="24"/>
          <w:highlight w:val="none"/>
        </w:rPr>
      </w:pPr>
    </w:p>
    <w:p w14:paraId="538F181D">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14:paraId="54EF64BE">
      <w:pPr>
        <w:spacing w:line="440" w:lineRule="exact"/>
        <w:rPr>
          <w:rFonts w:hint="eastAsia" w:ascii="宋体" w:hAnsi="宋体" w:eastAsia="宋体" w:cs="宋体"/>
          <w:sz w:val="36"/>
          <w:highlight w:val="none"/>
        </w:rPr>
      </w:pPr>
    </w:p>
    <w:p w14:paraId="2B7A2713">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14:paraId="57653025">
      <w:pPr>
        <w:spacing w:line="44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2 .详细分项报价内容依据项目编制服务内容具体列报。</w:t>
      </w:r>
    </w:p>
    <w:p w14:paraId="48D9CC5E">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．如果不提供详细分项报价将视为没有实质性响应竞争性谈判文件。</w:t>
      </w:r>
    </w:p>
    <w:p w14:paraId="0753FB34">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．供应商可适当调整该表格式，但不得减少信息内容。</w:t>
      </w:r>
    </w:p>
    <w:p w14:paraId="52542AB6">
      <w:pPr>
        <w:spacing w:line="360" w:lineRule="auto"/>
        <w:rPr>
          <w:rFonts w:hint="eastAsia" w:ascii="宋体" w:hAnsi="宋体" w:eastAsia="宋体" w:cs="宋体"/>
          <w:sz w:val="24"/>
          <w:highlight w:val="none"/>
        </w:rPr>
      </w:pPr>
    </w:p>
    <w:p w14:paraId="1593B621">
      <w:pPr>
        <w:spacing w:line="360" w:lineRule="auto"/>
        <w:rPr>
          <w:rFonts w:hint="eastAsia" w:ascii="宋体" w:hAnsi="宋体" w:eastAsia="宋体" w:cs="宋体"/>
          <w:sz w:val="24"/>
          <w:highlight w:val="none"/>
        </w:rPr>
      </w:pPr>
    </w:p>
    <w:p w14:paraId="35A82933">
      <w:pPr>
        <w:spacing w:line="360" w:lineRule="auto"/>
        <w:jc w:val="center"/>
        <w:outlineLvl w:val="1"/>
        <w:rPr>
          <w:rFonts w:hint="eastAsia" w:ascii="宋体" w:hAnsi="宋体" w:eastAsia="宋体" w:cs="宋体"/>
          <w:b/>
          <w:sz w:val="32"/>
          <w:szCs w:val="32"/>
          <w:highlight w:val="none"/>
        </w:rPr>
      </w:pPr>
    </w:p>
    <w:p w14:paraId="1DB203E0">
      <w:pPr>
        <w:numPr>
          <w:ilvl w:val="0"/>
          <w:numId w:val="16"/>
        </w:numPr>
        <w:spacing w:line="360" w:lineRule="auto"/>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谈判方案说明书</w:t>
      </w:r>
    </w:p>
    <w:p w14:paraId="3B83A8BA">
      <w:pPr>
        <w:rPr>
          <w:rFonts w:hint="eastAsia" w:ascii="宋体" w:hAnsi="宋体" w:eastAsia="宋体" w:cs="宋体"/>
          <w:highlight w:val="none"/>
        </w:rPr>
      </w:pPr>
    </w:p>
    <w:p w14:paraId="348034BF">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按照谈判文件的要求编制的谈判方案说明书，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w:t>
      </w:r>
      <w:r>
        <w:rPr>
          <w:rFonts w:hint="eastAsia" w:ascii="宋体" w:hAnsi="宋体" w:cs="宋体"/>
          <w:b/>
          <w:sz w:val="24"/>
          <w:szCs w:val="24"/>
          <w:highlight w:val="none"/>
          <w:lang w:val="en-US" w:eastAsia="zh-CN"/>
        </w:rPr>
        <w:t>但不限于以下内容</w:t>
      </w:r>
      <w:r>
        <w:rPr>
          <w:rFonts w:hint="eastAsia" w:ascii="宋体" w:hAnsi="宋体" w:eastAsia="宋体" w:cs="宋体"/>
          <w:sz w:val="24"/>
          <w:szCs w:val="24"/>
          <w:highlight w:val="none"/>
        </w:rPr>
        <w:t>：</w:t>
      </w:r>
    </w:p>
    <w:p w14:paraId="4E1CC8D4">
      <w:pPr>
        <w:spacing w:line="5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、完成项目的服务和技术方案，要求供应商针对本项目的需求提出全面、完整的服务和技术方案；</w:t>
      </w:r>
    </w:p>
    <w:p w14:paraId="1E88D6C4">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2、填写服务应答表（见附表1）；</w:t>
      </w:r>
    </w:p>
    <w:p w14:paraId="347E25E7">
      <w:pPr>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3、拟为本项目配备的人员（见附表2）；</w:t>
      </w:r>
    </w:p>
    <w:p w14:paraId="6AA2265C">
      <w:pPr>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、供应商质量保证和服务承诺；</w:t>
      </w:r>
    </w:p>
    <w:p w14:paraId="7323FDC9">
      <w:pPr>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、供应商认为有必要说明的问题。</w:t>
      </w:r>
    </w:p>
    <w:p w14:paraId="53117376">
      <w:pPr>
        <w:spacing w:line="480" w:lineRule="exact"/>
        <w:ind w:left="3259" w:leftChars="1552"/>
        <w:rPr>
          <w:rFonts w:hint="eastAsia" w:ascii="宋体" w:hAnsi="宋体" w:eastAsia="宋体" w:cs="宋体"/>
          <w:sz w:val="24"/>
          <w:szCs w:val="24"/>
          <w:highlight w:val="none"/>
        </w:rPr>
      </w:pPr>
    </w:p>
    <w:p w14:paraId="1307AAD3">
      <w:pPr>
        <w:spacing w:line="280" w:lineRule="exact"/>
        <w:ind w:right="540" w:rightChars="257" w:firstLine="3360" w:firstLineChars="1400"/>
        <w:jc w:val="left"/>
        <w:rPr>
          <w:rFonts w:hint="eastAsia" w:ascii="宋体" w:hAnsi="宋体" w:eastAsia="宋体" w:cs="宋体"/>
          <w:sz w:val="24"/>
          <w:highlight w:val="none"/>
        </w:rPr>
      </w:pPr>
    </w:p>
    <w:p w14:paraId="574A6AE8">
      <w:pPr>
        <w:spacing w:line="280" w:lineRule="exact"/>
        <w:ind w:right="540" w:rightChars="257" w:firstLine="3360" w:firstLineChars="1400"/>
        <w:jc w:val="left"/>
        <w:rPr>
          <w:rFonts w:hint="eastAsia" w:ascii="宋体" w:hAnsi="宋体" w:eastAsia="宋体" w:cs="宋体"/>
          <w:sz w:val="24"/>
          <w:highlight w:val="none"/>
        </w:rPr>
      </w:pPr>
    </w:p>
    <w:p w14:paraId="7488882F">
      <w:pPr>
        <w:spacing w:line="280" w:lineRule="exact"/>
        <w:ind w:right="540" w:rightChars="257" w:firstLine="3360" w:firstLineChars="1400"/>
        <w:jc w:val="left"/>
        <w:rPr>
          <w:rFonts w:hint="eastAsia" w:ascii="宋体" w:hAnsi="宋体" w:eastAsia="宋体" w:cs="宋体"/>
          <w:sz w:val="24"/>
          <w:highlight w:val="none"/>
        </w:rPr>
      </w:pPr>
    </w:p>
    <w:p w14:paraId="10132BF7">
      <w:pPr>
        <w:spacing w:line="280" w:lineRule="exact"/>
        <w:ind w:right="540" w:rightChars="257" w:firstLine="3360" w:firstLineChars="1400"/>
        <w:jc w:val="left"/>
        <w:rPr>
          <w:rFonts w:hint="eastAsia" w:ascii="宋体" w:hAnsi="宋体" w:eastAsia="宋体" w:cs="宋体"/>
          <w:sz w:val="24"/>
          <w:highlight w:val="none"/>
        </w:rPr>
      </w:pPr>
    </w:p>
    <w:p w14:paraId="37CEB854">
      <w:pPr>
        <w:spacing w:line="280" w:lineRule="exact"/>
        <w:ind w:right="540" w:rightChars="257" w:firstLine="3360" w:firstLineChars="1400"/>
        <w:jc w:val="left"/>
        <w:rPr>
          <w:rFonts w:hint="eastAsia" w:ascii="宋体" w:hAnsi="宋体" w:eastAsia="宋体" w:cs="宋体"/>
          <w:sz w:val="24"/>
          <w:highlight w:val="none"/>
        </w:rPr>
      </w:pPr>
    </w:p>
    <w:p w14:paraId="20FFB051">
      <w:pPr>
        <w:spacing w:line="280" w:lineRule="exact"/>
        <w:ind w:right="540" w:rightChars="257" w:firstLine="3360" w:firstLineChars="1400"/>
        <w:jc w:val="left"/>
        <w:rPr>
          <w:rFonts w:hint="eastAsia" w:ascii="宋体" w:hAnsi="宋体" w:eastAsia="宋体" w:cs="宋体"/>
          <w:sz w:val="24"/>
          <w:highlight w:val="none"/>
        </w:rPr>
      </w:pPr>
    </w:p>
    <w:p w14:paraId="06E9714F">
      <w:pPr>
        <w:spacing w:line="280" w:lineRule="exact"/>
        <w:ind w:right="540" w:rightChars="257" w:firstLine="3360" w:firstLineChars="1400"/>
        <w:jc w:val="left"/>
        <w:rPr>
          <w:rFonts w:hint="eastAsia" w:ascii="宋体" w:hAnsi="宋体" w:eastAsia="宋体" w:cs="宋体"/>
          <w:sz w:val="24"/>
          <w:highlight w:val="none"/>
        </w:rPr>
      </w:pPr>
    </w:p>
    <w:p w14:paraId="42FDF865">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（加盖单位公章）      </w:t>
      </w:r>
    </w:p>
    <w:p w14:paraId="55F71BF6">
      <w:pPr>
        <w:spacing w:line="280" w:lineRule="exact"/>
        <w:ind w:right="540" w:rightChars="257"/>
        <w:jc w:val="left"/>
        <w:rPr>
          <w:rFonts w:hint="eastAsia" w:ascii="宋体" w:hAnsi="宋体" w:eastAsia="宋体" w:cs="宋体"/>
          <w:sz w:val="24"/>
          <w:highlight w:val="none"/>
        </w:rPr>
      </w:pPr>
    </w:p>
    <w:p w14:paraId="47D71DC9">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rPr>
        <w:t>法定代表人或被授权人：（签字或盖章）</w:t>
      </w:r>
    </w:p>
    <w:p w14:paraId="09DB9602">
      <w:pPr>
        <w:spacing w:line="280" w:lineRule="exact"/>
        <w:ind w:right="540" w:rightChars="257"/>
        <w:jc w:val="left"/>
        <w:rPr>
          <w:rFonts w:hint="eastAsia" w:ascii="宋体" w:hAnsi="宋体" w:eastAsia="宋体" w:cs="宋体"/>
          <w:sz w:val="24"/>
          <w:highlight w:val="none"/>
        </w:rPr>
      </w:pPr>
    </w:p>
    <w:p w14:paraId="5941F5F1">
      <w:pPr>
        <w:spacing w:line="480" w:lineRule="exact"/>
        <w:ind w:left="3259" w:leftChars="1552" w:firstLine="240" w:firstLineChars="100"/>
        <w:rPr>
          <w:rFonts w:hint="eastAsia" w:ascii="宋体" w:hAnsi="宋体" w:eastAsia="宋体" w:cs="宋体"/>
          <w:sz w:val="24"/>
          <w:szCs w:val="24"/>
          <w:highlight w:val="none"/>
        </w:rPr>
      </w:pPr>
      <w:r>
        <w:rPr>
          <w:rFonts w:hint="eastAsia" w:ascii="宋体" w:hAnsi="宋体" w:eastAsia="宋体" w:cs="宋体"/>
          <w:sz w:val="24"/>
          <w:highlight w:val="none"/>
        </w:rPr>
        <w:t>日    期：</w:t>
      </w:r>
    </w:p>
    <w:p w14:paraId="74F1012D">
      <w:pPr>
        <w:tabs>
          <w:tab w:val="left" w:pos="668"/>
        </w:tabs>
        <w:spacing w:line="500" w:lineRule="exact"/>
        <w:ind w:firstLine="723" w:firstLineChars="200"/>
        <w:jc w:val="left"/>
        <w:rPr>
          <w:rFonts w:hint="eastAsia" w:ascii="宋体" w:hAnsi="宋体" w:eastAsia="宋体" w:cs="宋体"/>
          <w:sz w:val="24"/>
          <w:szCs w:val="24"/>
          <w:highlight w:val="none"/>
        </w:rPr>
      </w:pPr>
      <w:r>
        <w:rPr>
          <w:rFonts w:hint="eastAsia" w:ascii="宋体" w:hAnsi="宋体" w:eastAsia="宋体" w:cs="宋体"/>
          <w:b/>
          <w:sz w:val="36"/>
          <w:highlight w:val="none"/>
        </w:rPr>
        <w:br w:type="page"/>
      </w:r>
    </w:p>
    <w:p w14:paraId="5AF80B36">
      <w:pPr>
        <w:spacing w:after="120"/>
        <w:outlineLvl w:val="2"/>
        <w:rPr>
          <w:rFonts w:hint="eastAsia" w:ascii="宋体" w:hAnsi="宋体" w:eastAsia="宋体" w:cs="宋体"/>
          <w:b/>
          <w:sz w:val="24"/>
          <w:szCs w:val="24"/>
          <w:highlight w:val="none"/>
        </w:rPr>
      </w:pPr>
      <w:bookmarkStart w:id="99" w:name="_Toc403077653"/>
      <w:bookmarkStart w:id="100" w:name="_Toc225566702"/>
      <w:bookmarkStart w:id="101" w:name="_Toc225566883"/>
      <w:bookmarkStart w:id="102" w:name="_Toc225412374"/>
      <w:bookmarkStart w:id="103" w:name="_Toc225416062"/>
      <w:bookmarkStart w:id="104" w:name="_Toc426457711"/>
      <w:bookmarkStart w:id="105" w:name="_Toc225567482"/>
      <w:bookmarkStart w:id="106" w:name="_Toc225410808"/>
      <w:bookmarkStart w:id="107" w:name="_Toc225415660"/>
      <w:bookmarkStart w:id="108" w:name="_Toc225409966"/>
      <w:bookmarkStart w:id="109" w:name="_Toc225410182"/>
      <w:bookmarkStart w:id="110" w:name="_Toc341541376"/>
      <w:bookmarkStart w:id="111" w:name="_Toc396304715"/>
      <w:bookmarkStart w:id="112" w:name="_Toc225415861"/>
      <w:bookmarkStart w:id="113" w:name="_Toc225412172"/>
      <w:r>
        <w:rPr>
          <w:rFonts w:hint="eastAsia" w:ascii="宋体" w:hAnsi="宋体" w:eastAsia="宋体" w:cs="宋体"/>
          <w:b/>
          <w:sz w:val="24"/>
          <w:szCs w:val="24"/>
          <w:highlight w:val="none"/>
        </w:rPr>
        <w:t>附表1：</w:t>
      </w:r>
    </w:p>
    <w:p w14:paraId="7F54F70A">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14:paraId="49339E18">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E5DCA4E">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sz w:val="24"/>
          <w:szCs w:val="24"/>
          <w:highlight w:val="none"/>
        </w:rPr>
        <w:t>项目编号：</w:t>
      </w:r>
    </w:p>
    <w:tbl>
      <w:tblPr>
        <w:tblStyle w:val="30"/>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14:paraId="17E6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ign w:val="center"/>
          </w:tcPr>
          <w:p w14:paraId="46B3946E">
            <w:pPr>
              <w:pStyle w:val="8"/>
              <w:keepNext w:val="0"/>
              <w:keepLines w:val="0"/>
              <w:suppressLineNumbers w:val="0"/>
              <w:tabs>
                <w:tab w:val="left" w:pos="6880"/>
              </w:tabs>
              <w:spacing w:before="0" w:beforeAutospacing="0" w:after="0" w:afterAutospacing="0" w:line="360" w:lineRule="auto"/>
              <w:ind w:left="0" w:right="0"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2519" w:type="dxa"/>
            <w:noWrap/>
            <w:vAlign w:val="center"/>
          </w:tcPr>
          <w:p w14:paraId="36A95E3A">
            <w:pPr>
              <w:pStyle w:val="8"/>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谈判文件要求</w:t>
            </w:r>
          </w:p>
        </w:tc>
        <w:tc>
          <w:tcPr>
            <w:tcW w:w="2393" w:type="dxa"/>
            <w:noWrap/>
            <w:vAlign w:val="center"/>
          </w:tcPr>
          <w:p w14:paraId="5FD86ADE">
            <w:pPr>
              <w:pStyle w:val="8"/>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谈判响应文件</w:t>
            </w:r>
          </w:p>
          <w:p w14:paraId="7B66C89C">
            <w:pPr>
              <w:pStyle w:val="8"/>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的应答</w:t>
            </w:r>
          </w:p>
        </w:tc>
        <w:tc>
          <w:tcPr>
            <w:tcW w:w="1815" w:type="dxa"/>
            <w:noWrap/>
            <w:vAlign w:val="center"/>
          </w:tcPr>
          <w:p w14:paraId="5275F19A">
            <w:pPr>
              <w:pStyle w:val="8"/>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响应/偏离</w:t>
            </w:r>
          </w:p>
        </w:tc>
        <w:tc>
          <w:tcPr>
            <w:tcW w:w="1238" w:type="dxa"/>
            <w:noWrap/>
            <w:vAlign w:val="center"/>
          </w:tcPr>
          <w:p w14:paraId="1B0AABFA">
            <w:pPr>
              <w:pStyle w:val="8"/>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14:paraId="1157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DEEBF51">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4FFBCC67">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465A0945">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6B9C804C">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52976B18">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401E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52F7C147">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76B86346">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7A3C0C10">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34FF3665">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43998304">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0537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6A82EB6F">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3F3E4015">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32829A88">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58933D5A">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347D2425">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7E86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42F64604">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0A2E06AC">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160E2436">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587A6CF5">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6033A9E8">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7AC4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5F1FB1FB">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5107F43B">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5F595197">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49CAA4D0">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0E1D67E6">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1252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8333BAC">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0D01E752">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50DD1844">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00CC79B0">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784A955E">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31B8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89761E4">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568A18F6">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323366EC">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08A7FC41">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2855BD62">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4BA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139C3DD">
            <w:pPr>
              <w:pStyle w:val="8"/>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highlight w:val="none"/>
              </w:rPr>
            </w:pPr>
          </w:p>
        </w:tc>
        <w:tc>
          <w:tcPr>
            <w:tcW w:w="2519" w:type="dxa"/>
            <w:noWrap/>
            <w:vAlign w:val="center"/>
          </w:tcPr>
          <w:p w14:paraId="623E2967">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50884C19">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72C7C5CA">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46A01E74">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395E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FEEACE1">
            <w:pPr>
              <w:pStyle w:val="8"/>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highlight w:val="none"/>
              </w:rPr>
            </w:pPr>
          </w:p>
        </w:tc>
        <w:tc>
          <w:tcPr>
            <w:tcW w:w="2519" w:type="dxa"/>
            <w:noWrap/>
            <w:vAlign w:val="center"/>
          </w:tcPr>
          <w:p w14:paraId="2A72781C">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3D2A6E89">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2BEF2352">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73E32897">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r w14:paraId="195E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4F371603">
            <w:pPr>
              <w:pStyle w:val="8"/>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highlight w:val="none"/>
              </w:rPr>
            </w:pPr>
          </w:p>
        </w:tc>
        <w:tc>
          <w:tcPr>
            <w:tcW w:w="2519" w:type="dxa"/>
            <w:noWrap/>
            <w:vAlign w:val="center"/>
          </w:tcPr>
          <w:p w14:paraId="4E339E4F">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2393" w:type="dxa"/>
            <w:noWrap/>
            <w:vAlign w:val="center"/>
          </w:tcPr>
          <w:p w14:paraId="1D702AD0">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815" w:type="dxa"/>
            <w:noWrap/>
            <w:vAlign w:val="center"/>
          </w:tcPr>
          <w:p w14:paraId="0C3381B7">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c>
          <w:tcPr>
            <w:tcW w:w="1238" w:type="dxa"/>
            <w:noWrap/>
            <w:vAlign w:val="center"/>
          </w:tcPr>
          <w:p w14:paraId="152ECE61">
            <w:pPr>
              <w:pStyle w:val="8"/>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highlight w:val="none"/>
              </w:rPr>
            </w:pPr>
          </w:p>
        </w:tc>
      </w:tr>
    </w:tbl>
    <w:p w14:paraId="6E05C29F">
      <w:pPr>
        <w:spacing w:after="120"/>
        <w:ind w:firstLine="120" w:firstLineChars="50"/>
        <w:rPr>
          <w:rFonts w:hint="eastAsia" w:ascii="宋体" w:hAnsi="宋体" w:eastAsia="宋体" w:cs="宋体"/>
          <w:sz w:val="24"/>
          <w:szCs w:val="24"/>
          <w:highlight w:val="none"/>
        </w:rPr>
      </w:pPr>
    </w:p>
    <w:p w14:paraId="4D575BDF">
      <w:pPr>
        <w:rPr>
          <w:rFonts w:hint="eastAsia" w:ascii="宋体" w:hAnsi="宋体" w:eastAsia="宋体" w:cs="宋体"/>
          <w:sz w:val="24"/>
          <w:szCs w:val="24"/>
          <w:highlight w:val="none"/>
        </w:rPr>
      </w:pPr>
    </w:p>
    <w:p w14:paraId="0B5E458E">
      <w:pPr>
        <w:spacing w:line="280" w:lineRule="exact"/>
        <w:ind w:right="540" w:rightChars="257"/>
        <w:jc w:val="left"/>
        <w:rPr>
          <w:rFonts w:hint="eastAsia" w:ascii="宋体" w:hAnsi="宋体" w:eastAsia="宋体" w:cs="宋体"/>
          <w:sz w:val="24"/>
          <w:szCs w:val="24"/>
          <w:highlight w:val="none"/>
        </w:rPr>
      </w:pPr>
    </w:p>
    <w:p w14:paraId="2495DBC4">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（加盖单位公章）      </w:t>
      </w:r>
    </w:p>
    <w:p w14:paraId="3D42E77D">
      <w:pPr>
        <w:spacing w:line="280" w:lineRule="exact"/>
        <w:ind w:right="540" w:rightChars="257"/>
        <w:jc w:val="left"/>
        <w:rPr>
          <w:rFonts w:hint="eastAsia" w:ascii="宋体" w:hAnsi="宋体" w:eastAsia="宋体" w:cs="宋体"/>
          <w:sz w:val="24"/>
          <w:szCs w:val="24"/>
          <w:highlight w:val="none"/>
        </w:rPr>
      </w:pPr>
    </w:p>
    <w:p w14:paraId="57E09D95">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47253315">
      <w:pPr>
        <w:spacing w:line="280" w:lineRule="exact"/>
        <w:ind w:right="540" w:rightChars="257"/>
        <w:jc w:val="left"/>
        <w:rPr>
          <w:rFonts w:hint="eastAsia" w:ascii="宋体" w:hAnsi="宋体" w:eastAsia="宋体" w:cs="宋体"/>
          <w:sz w:val="24"/>
          <w:szCs w:val="24"/>
          <w:highlight w:val="none"/>
        </w:rPr>
      </w:pPr>
    </w:p>
    <w:p w14:paraId="517F0ABB">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2349CCE8">
      <w:pPr>
        <w:spacing w:line="400" w:lineRule="exact"/>
        <w:rPr>
          <w:rFonts w:hint="eastAsia" w:ascii="宋体" w:hAnsi="宋体" w:eastAsia="宋体" w:cs="宋体"/>
          <w:sz w:val="24"/>
          <w:szCs w:val="24"/>
          <w:highlight w:val="none"/>
        </w:rPr>
      </w:pPr>
    </w:p>
    <w:p w14:paraId="20C4FF08">
      <w:pPr>
        <w:spacing w:line="580" w:lineRule="exact"/>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rPr>
        <w:t>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供应商</w:t>
      </w:r>
      <w:r>
        <w:rPr>
          <w:rFonts w:hint="eastAsia" w:ascii="宋体" w:hAnsi="宋体" w:cs="宋体"/>
          <w:sz w:val="24"/>
          <w:szCs w:val="24"/>
          <w:highlight w:val="none"/>
          <w:lang w:val="en-US" w:eastAsia="zh-CN"/>
        </w:rPr>
        <w:t>谈判响应文件与</w:t>
      </w:r>
      <w:r>
        <w:rPr>
          <w:rFonts w:hint="eastAsia" w:ascii="宋体" w:hAnsi="宋体" w:eastAsia="宋体" w:cs="宋体"/>
          <w:b/>
          <w:bCs/>
          <w:sz w:val="24"/>
          <w:szCs w:val="24"/>
          <w:highlight w:val="none"/>
        </w:rPr>
        <w:t>谈判文件中第四章谈判内容及服务要求</w:t>
      </w:r>
      <w:r>
        <w:rPr>
          <w:rFonts w:hint="eastAsia" w:ascii="宋体" w:hAnsi="宋体" w:eastAsia="宋体" w:cs="宋体"/>
          <w:sz w:val="24"/>
          <w:szCs w:val="24"/>
          <w:highlight w:val="none"/>
        </w:rPr>
        <w:t>的全部内容和标准</w:t>
      </w:r>
      <w:r>
        <w:rPr>
          <w:rFonts w:hint="eastAsia" w:ascii="宋体" w:hAnsi="宋体" w:eastAsia="宋体" w:cs="宋体"/>
          <w:highlight w:val="none"/>
        </w:rPr>
        <w:t>要求完全一致的，不用在此表中列出，但必须提交空白表。</w:t>
      </w:r>
    </w:p>
    <w:p w14:paraId="4A08ACEF">
      <w:pPr>
        <w:spacing w:line="580" w:lineRule="exact"/>
        <w:ind w:firstLine="840" w:firstLineChars="400"/>
        <w:jc w:val="left"/>
        <w:rPr>
          <w:rFonts w:hint="eastAsia" w:ascii="宋体" w:hAnsi="宋体" w:eastAsia="宋体" w:cs="宋体"/>
          <w:sz w:val="24"/>
          <w:szCs w:val="24"/>
          <w:highlight w:val="none"/>
        </w:rPr>
      </w:pPr>
      <w:r>
        <w:rPr>
          <w:rFonts w:hint="eastAsia" w:ascii="宋体" w:hAnsi="宋体" w:cs="宋体"/>
          <w:highlight w:val="none"/>
          <w:lang w:val="en-US" w:eastAsia="zh-CN"/>
        </w:rPr>
        <w:t>2.如有优于</w:t>
      </w:r>
      <w:r>
        <w:rPr>
          <w:rFonts w:hint="eastAsia" w:ascii="宋体" w:hAnsi="宋体" w:eastAsia="宋体" w:cs="宋体"/>
          <w:sz w:val="24"/>
          <w:szCs w:val="24"/>
          <w:highlight w:val="none"/>
        </w:rPr>
        <w:t>或偏离</w:t>
      </w:r>
      <w:r>
        <w:rPr>
          <w:rFonts w:hint="eastAsia" w:ascii="宋体" w:hAnsi="宋体" w:cs="宋体"/>
          <w:highlight w:val="none"/>
          <w:lang w:val="en-US" w:eastAsia="zh-CN"/>
        </w:rPr>
        <w:t>谈判文件</w:t>
      </w:r>
      <w:r>
        <w:rPr>
          <w:rFonts w:hint="eastAsia" w:ascii="宋体" w:hAnsi="宋体" w:eastAsia="宋体" w:cs="宋体"/>
          <w:sz w:val="24"/>
          <w:szCs w:val="24"/>
          <w:highlight w:val="none"/>
        </w:rPr>
        <w:t>据实说明优于或偏离谈判要求的指标（如有）；</w:t>
      </w:r>
    </w:p>
    <w:p w14:paraId="6B3492CB">
      <w:pPr>
        <w:pStyle w:val="26"/>
        <w:ind w:firstLine="480" w:firstLineChars="200"/>
        <w:jc w:val="both"/>
        <w:rPr>
          <w:rFonts w:hint="eastAsia" w:ascii="宋体" w:hAnsi="宋体" w:eastAsia="宋体" w:cs="宋体"/>
          <w:highlight w:val="none"/>
        </w:rPr>
      </w:pPr>
    </w:p>
    <w:p w14:paraId="6EE35205">
      <w:pPr>
        <w:spacing w:line="500" w:lineRule="exact"/>
        <w:ind w:left="600" w:leftChars="57" w:hanging="480" w:hangingChars="200"/>
        <w:rPr>
          <w:rFonts w:hint="eastAsia" w:ascii="宋体" w:hAnsi="宋体" w:eastAsia="宋体" w:cs="宋体"/>
          <w:sz w:val="24"/>
          <w:szCs w:val="24"/>
          <w:highlight w:val="none"/>
        </w:rPr>
      </w:pPr>
    </w:p>
    <w:p w14:paraId="535146BC">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5E3908A">
      <w:pPr>
        <w:spacing w:after="12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附表2 :</w:t>
      </w:r>
    </w:p>
    <w:p w14:paraId="431F53A4">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p>
    <w:p w14:paraId="1E6AB331">
      <w:pPr>
        <w:rPr>
          <w:rFonts w:hint="eastAsia" w:ascii="宋体" w:hAnsi="宋体" w:eastAsia="宋体" w:cs="宋体"/>
          <w:highlight w:val="none"/>
        </w:rPr>
      </w:pPr>
    </w:p>
    <w:p w14:paraId="7239D79B">
      <w:pPr>
        <w:pStyle w:val="73"/>
        <w:ind w:firstLine="0" w:firstLineChars="0"/>
        <w:jc w:val="center"/>
        <w:outlineLvl w:val="9"/>
        <w:rPr>
          <w:rFonts w:hint="eastAsia" w:ascii="宋体" w:hAnsi="宋体" w:eastAsia="宋体" w:cs="宋体"/>
          <w:color w:val="auto"/>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14:paraId="3A3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tcMar>
              <w:top w:w="15" w:type="dxa"/>
              <w:left w:w="15" w:type="dxa"/>
              <w:bottom w:w="0" w:type="dxa"/>
              <w:right w:w="15" w:type="dxa"/>
            </w:tcMar>
            <w:vAlign w:val="center"/>
          </w:tcPr>
          <w:p w14:paraId="31949610">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序号</w:t>
            </w:r>
          </w:p>
        </w:tc>
        <w:tc>
          <w:tcPr>
            <w:tcW w:w="1525" w:type="dxa"/>
            <w:noWrap/>
            <w:tcMar>
              <w:top w:w="15" w:type="dxa"/>
              <w:left w:w="15" w:type="dxa"/>
              <w:bottom w:w="0" w:type="dxa"/>
              <w:right w:w="15" w:type="dxa"/>
            </w:tcMar>
            <w:vAlign w:val="center"/>
          </w:tcPr>
          <w:p w14:paraId="72863CD5">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姓  名</w:t>
            </w:r>
          </w:p>
        </w:tc>
        <w:tc>
          <w:tcPr>
            <w:tcW w:w="701" w:type="dxa"/>
            <w:noWrap/>
            <w:tcMar>
              <w:top w:w="15" w:type="dxa"/>
              <w:left w:w="15" w:type="dxa"/>
              <w:bottom w:w="0" w:type="dxa"/>
              <w:right w:w="15" w:type="dxa"/>
            </w:tcMar>
            <w:vAlign w:val="center"/>
          </w:tcPr>
          <w:p w14:paraId="0E2023F3">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性别</w:t>
            </w:r>
          </w:p>
        </w:tc>
        <w:tc>
          <w:tcPr>
            <w:tcW w:w="701" w:type="dxa"/>
            <w:noWrap/>
            <w:tcMar>
              <w:top w:w="15" w:type="dxa"/>
              <w:left w:w="15" w:type="dxa"/>
              <w:bottom w:w="0" w:type="dxa"/>
              <w:right w:w="15" w:type="dxa"/>
            </w:tcMar>
            <w:vAlign w:val="center"/>
          </w:tcPr>
          <w:p w14:paraId="5D7AD275">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年龄</w:t>
            </w:r>
          </w:p>
        </w:tc>
        <w:tc>
          <w:tcPr>
            <w:tcW w:w="701" w:type="dxa"/>
            <w:noWrap/>
            <w:tcMar>
              <w:top w:w="15" w:type="dxa"/>
              <w:left w:w="15" w:type="dxa"/>
              <w:bottom w:w="0" w:type="dxa"/>
              <w:right w:w="15" w:type="dxa"/>
            </w:tcMar>
            <w:vAlign w:val="center"/>
          </w:tcPr>
          <w:p w14:paraId="77EF9D24">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学历</w:t>
            </w:r>
          </w:p>
        </w:tc>
        <w:tc>
          <w:tcPr>
            <w:tcW w:w="920" w:type="dxa"/>
            <w:noWrap/>
            <w:tcMar>
              <w:top w:w="15" w:type="dxa"/>
              <w:left w:w="15" w:type="dxa"/>
              <w:bottom w:w="0" w:type="dxa"/>
              <w:right w:w="15" w:type="dxa"/>
            </w:tcMar>
            <w:vAlign w:val="center"/>
          </w:tcPr>
          <w:p w14:paraId="77A09A08">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工作</w:t>
            </w:r>
          </w:p>
          <w:p w14:paraId="5992A1DB">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年限</w:t>
            </w:r>
          </w:p>
        </w:tc>
        <w:tc>
          <w:tcPr>
            <w:tcW w:w="2309" w:type="dxa"/>
            <w:noWrap/>
            <w:tcMar>
              <w:top w:w="15" w:type="dxa"/>
              <w:left w:w="15" w:type="dxa"/>
              <w:bottom w:w="0" w:type="dxa"/>
              <w:right w:w="15" w:type="dxa"/>
            </w:tcMar>
            <w:vAlign w:val="center"/>
          </w:tcPr>
          <w:p w14:paraId="0B103276">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拟担任的职务</w:t>
            </w:r>
          </w:p>
        </w:tc>
        <w:tc>
          <w:tcPr>
            <w:tcW w:w="836" w:type="dxa"/>
            <w:noWrap/>
            <w:tcMar>
              <w:top w:w="15" w:type="dxa"/>
              <w:left w:w="15" w:type="dxa"/>
              <w:bottom w:w="0" w:type="dxa"/>
              <w:right w:w="15" w:type="dxa"/>
            </w:tcMar>
            <w:vAlign w:val="center"/>
          </w:tcPr>
          <w:p w14:paraId="0C7DFA04">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岗位</w:t>
            </w:r>
          </w:p>
          <w:p w14:paraId="4D99E4B6">
            <w:pPr>
              <w:pStyle w:val="67"/>
              <w:keepNext w:val="0"/>
              <w:keepLines w:val="0"/>
              <w:suppressLineNumbers w:val="0"/>
              <w:spacing w:before="0" w:beforeAutospacing="0" w:after="0" w:afterAutospacing="0" w:line="400" w:lineRule="exact"/>
              <w:ind w:left="0" w:leftChars="0" w:right="0"/>
              <w:rPr>
                <w:rFonts w:hint="eastAsia" w:ascii="宋体" w:hAnsi="宋体" w:eastAsia="宋体" w:cs="宋体"/>
                <w:b w:val="0"/>
                <w:bCs/>
                <w:sz w:val="24"/>
                <w:highlight w:val="none"/>
              </w:rPr>
            </w:pPr>
            <w:r>
              <w:rPr>
                <w:rFonts w:hint="eastAsia" w:ascii="宋体" w:hAnsi="宋体" w:eastAsia="宋体" w:cs="宋体"/>
                <w:b w:val="0"/>
                <w:bCs/>
                <w:sz w:val="24"/>
                <w:highlight w:val="none"/>
              </w:rPr>
              <w:t>情况</w:t>
            </w:r>
          </w:p>
        </w:tc>
      </w:tr>
      <w:tr w14:paraId="633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D0CA6C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778849D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C9D35F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FD8109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8A986D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7D116E4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61741DA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176AD25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5F1A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0985A6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088AD9B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CFA9E2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C466B1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1281CE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33E9B75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046814C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27E2227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7FAE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6667BB9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2AC5774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7438C2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4E5F2E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1EC1A8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686E38C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6703E02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3E3E227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0EC8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1C82E0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4188CC6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6B8B3F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5582AE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A8DE6C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572762F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2A103C1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03B51B2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1A9A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117EB8B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2ED6EFE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09E93F7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409FAC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F54C54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7E43EE6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5640194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E3CF4D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292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01F58F7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7E7B70D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A6DB04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91C72C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4FB907E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F9D649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6AE7C4F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7FF955C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1C4E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DBD34A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362AE27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3E9CD4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A5AADB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73AFBD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74232C5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3781535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68D1F9B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1552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70E1DF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2297F32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85FF5E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0941C2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08C9C21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4DE3981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5BEBAEC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FE0898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1D34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748B2B8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12A1DCD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9DCB0A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1429D8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F2B857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32CE11A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2A168C8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7A116A6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7CC8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7653D37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1ED625A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B4EB8C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B25AD9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6CBF13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5633CDE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51A437E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42E3753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6B6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597A39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59FEAA6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7EBBE8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41622D3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09117DD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602D682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66AE124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35264EC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13D5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7E5D579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2D588A5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5767B8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F53F78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1A2A94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925295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1F3A86E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2D9DB4F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64F7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6230716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182F60D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D94C0C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45FAE7C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0EDA94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4562C85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3097682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915BD6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4DD0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66D7C9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32BE151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B3FD79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E580CB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802749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31C015A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4E18BB6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7D1C23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4379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5530FB7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4DFA0BC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504BC7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4A31A8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02303F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13D245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08C5A21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07EBD13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0DF4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299F921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41AB0E9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7DB115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0EFD620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464371F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76A4127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3AE8BBC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9AF0AB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3C99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1C5B77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15AD5D8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A2F7CA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26078D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3B64682F">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176C39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189C2F3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08F32E9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5321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079CC29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4E3191D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8BA5F6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13948EA">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012F5FD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54DBFE9">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37BAA21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3558C972">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291F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BBFDD95">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30A9575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5C2555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4F458CD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76CD50F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262B3D1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4344B900">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517D02BE">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5DD3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45B958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02FC557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794346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2279B77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1EB9EF57">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19C9BFB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22AC511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7C35E29C">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r w14:paraId="0E17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tcMar>
              <w:top w:w="15" w:type="dxa"/>
              <w:left w:w="15" w:type="dxa"/>
              <w:bottom w:w="0" w:type="dxa"/>
              <w:right w:w="15" w:type="dxa"/>
            </w:tcMar>
            <w:vAlign w:val="bottom"/>
          </w:tcPr>
          <w:p w14:paraId="6AE125A6">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1525" w:type="dxa"/>
            <w:noWrap/>
            <w:tcMar>
              <w:top w:w="15" w:type="dxa"/>
              <w:left w:w="15" w:type="dxa"/>
              <w:bottom w:w="0" w:type="dxa"/>
              <w:right w:w="15" w:type="dxa"/>
            </w:tcMar>
            <w:vAlign w:val="bottom"/>
          </w:tcPr>
          <w:p w14:paraId="5786ACB4">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6CE0A41B">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26F11C8">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701" w:type="dxa"/>
            <w:noWrap/>
            <w:tcMar>
              <w:top w:w="15" w:type="dxa"/>
              <w:left w:w="15" w:type="dxa"/>
              <w:bottom w:w="0" w:type="dxa"/>
              <w:right w:w="15" w:type="dxa"/>
            </w:tcMar>
            <w:vAlign w:val="bottom"/>
          </w:tcPr>
          <w:p w14:paraId="5A5E253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920" w:type="dxa"/>
            <w:noWrap/>
            <w:tcMar>
              <w:top w:w="15" w:type="dxa"/>
              <w:left w:w="15" w:type="dxa"/>
              <w:bottom w:w="0" w:type="dxa"/>
              <w:right w:w="15" w:type="dxa"/>
            </w:tcMar>
            <w:vAlign w:val="bottom"/>
          </w:tcPr>
          <w:p w14:paraId="7C2D87E1">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2309" w:type="dxa"/>
            <w:noWrap/>
            <w:tcMar>
              <w:top w:w="15" w:type="dxa"/>
              <w:left w:w="15" w:type="dxa"/>
              <w:bottom w:w="0" w:type="dxa"/>
              <w:right w:w="15" w:type="dxa"/>
            </w:tcMar>
            <w:vAlign w:val="bottom"/>
          </w:tcPr>
          <w:p w14:paraId="2403C1E3">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c>
          <w:tcPr>
            <w:tcW w:w="836" w:type="dxa"/>
            <w:noWrap/>
            <w:tcMar>
              <w:top w:w="15" w:type="dxa"/>
              <w:left w:w="15" w:type="dxa"/>
              <w:bottom w:w="0" w:type="dxa"/>
              <w:right w:w="15" w:type="dxa"/>
            </w:tcMar>
            <w:vAlign w:val="bottom"/>
          </w:tcPr>
          <w:p w14:paraId="3E31C8AD">
            <w:pPr>
              <w:pStyle w:val="67"/>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highlight w:val="none"/>
              </w:rPr>
            </w:pPr>
          </w:p>
        </w:tc>
      </w:tr>
    </w:tbl>
    <w:p w14:paraId="3E7CF90B">
      <w:pPr>
        <w:pStyle w:val="71"/>
        <w:tabs>
          <w:tab w:val="left" w:pos="2040"/>
        </w:tabs>
        <w:spacing w:beforeLines="0" w:line="50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注：1.“岗位情况”须注明该人在本单位是在岗、返聘还是外聘。</w:t>
      </w:r>
    </w:p>
    <w:p w14:paraId="1526D2BF">
      <w:pPr>
        <w:pStyle w:val="71"/>
        <w:tabs>
          <w:tab w:val="left" w:pos="2040"/>
        </w:tabs>
        <w:spacing w:beforeLines="0" w:line="500" w:lineRule="exact"/>
        <w:ind w:left="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2.供应商可适当调整该表格式，但不得减少信息内容。</w:t>
      </w:r>
    </w:p>
    <w:p w14:paraId="78F8C624">
      <w:pPr>
        <w:pStyle w:val="71"/>
        <w:tabs>
          <w:tab w:val="left" w:pos="2040"/>
        </w:tabs>
        <w:spacing w:beforeLines="0" w:line="500" w:lineRule="exact"/>
        <w:ind w:left="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3.供应商应书面承诺谈判响应文件中人员的真实性。</w:t>
      </w:r>
    </w:p>
    <w:p w14:paraId="1DE70EE4">
      <w:pPr>
        <w:pStyle w:val="71"/>
        <w:tabs>
          <w:tab w:val="left" w:pos="2040"/>
        </w:tabs>
        <w:spacing w:beforeLines="0" w:line="500" w:lineRule="exact"/>
        <w:ind w:left="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4、未书面承诺谈判响应文件中人员真实性的材料视为无效材料。</w:t>
      </w:r>
    </w:p>
    <w:p w14:paraId="3F565223">
      <w:pPr>
        <w:pStyle w:val="73"/>
        <w:spacing w:line="400" w:lineRule="exact"/>
        <w:ind w:firstLine="0" w:firstLineChars="0"/>
        <w:jc w:val="both"/>
        <w:outlineLvl w:val="9"/>
        <w:rPr>
          <w:rFonts w:hint="eastAsia" w:ascii="宋体" w:hAnsi="宋体" w:eastAsia="宋体" w:cs="宋体"/>
          <w:color w:val="auto"/>
          <w:szCs w:val="24"/>
          <w:highlight w:val="none"/>
        </w:rPr>
      </w:pP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1CDCA05">
      <w:pPr>
        <w:pStyle w:val="4"/>
        <w:spacing w:beforeLines="150"/>
        <w:jc w:val="center"/>
        <w:rPr>
          <w:rFonts w:hint="eastAsia" w:ascii="宋体" w:hAnsi="宋体" w:eastAsia="宋体" w:cs="宋体"/>
          <w:highlight w:val="none"/>
        </w:rPr>
      </w:pPr>
      <w:bookmarkStart w:id="114" w:name="_Toc21284"/>
      <w:bookmarkStart w:id="115" w:name="_Toc23455"/>
      <w:bookmarkStart w:id="116" w:name="_Toc2621"/>
      <w:bookmarkStart w:id="117" w:name="_Toc9218"/>
      <w:bookmarkStart w:id="118" w:name="_Toc1379"/>
      <w:r>
        <w:rPr>
          <w:rFonts w:hint="eastAsia" w:ascii="宋体" w:hAnsi="宋体" w:eastAsia="宋体" w:cs="宋体"/>
          <w:highlight w:val="none"/>
        </w:rPr>
        <w:t>四、</w:t>
      </w:r>
      <w:bookmarkEnd w:id="114"/>
      <w:bookmarkEnd w:id="115"/>
      <w:bookmarkEnd w:id="116"/>
      <w:bookmarkEnd w:id="117"/>
      <w:bookmarkEnd w:id="118"/>
      <w:r>
        <w:rPr>
          <w:rFonts w:hint="eastAsia" w:ascii="宋体" w:hAnsi="宋体" w:eastAsia="宋体" w:cs="宋体"/>
          <w:highlight w:val="none"/>
        </w:rPr>
        <w:t>商务条款偏离表</w:t>
      </w:r>
    </w:p>
    <w:p w14:paraId="35DF0B95">
      <w:pPr>
        <w:pStyle w:val="26"/>
        <w:jc w:val="both"/>
        <w:rPr>
          <w:rFonts w:hint="eastAsia" w:ascii="宋体" w:hAnsi="宋体" w:eastAsia="宋体" w:cs="宋体"/>
          <w:highlight w:val="none"/>
        </w:rPr>
      </w:pPr>
    </w:p>
    <w:p w14:paraId="0610D980">
      <w:pPr>
        <w:pStyle w:val="26"/>
        <w:spacing w:beforeLines="50" w:afterLines="50"/>
        <w:rPr>
          <w:rFonts w:hint="eastAsia" w:ascii="宋体" w:hAnsi="宋体" w:eastAsia="宋体" w:cs="宋体"/>
          <w:highlight w:val="none"/>
        </w:rPr>
      </w:pPr>
      <w:r>
        <w:rPr>
          <w:rFonts w:hint="eastAsia" w:ascii="宋体" w:hAnsi="宋体" w:eastAsia="宋体" w:cs="宋体"/>
          <w:highlight w:val="none"/>
        </w:rPr>
        <w:t>项目编号：</w:t>
      </w:r>
    </w:p>
    <w:p w14:paraId="7990C544">
      <w:pPr>
        <w:pStyle w:val="26"/>
        <w:spacing w:beforeLines="50" w:afterLines="50"/>
        <w:rPr>
          <w:rFonts w:hint="eastAsia" w:ascii="宋体" w:hAnsi="宋体" w:eastAsia="宋体" w:cs="宋体"/>
          <w:highlight w:val="none"/>
          <w:u w:val="single"/>
        </w:rPr>
      </w:pPr>
      <w:r>
        <w:rPr>
          <w:rFonts w:hint="eastAsia" w:ascii="宋体" w:hAnsi="宋体" w:eastAsia="宋体" w:cs="宋体"/>
          <w:highlight w:val="none"/>
        </w:rPr>
        <w:t>项目名称：</w:t>
      </w:r>
    </w:p>
    <w:p w14:paraId="1D3FC005">
      <w:pPr>
        <w:pStyle w:val="26"/>
        <w:ind w:firstLine="480" w:firstLineChars="200"/>
        <w:jc w:val="center"/>
        <w:rPr>
          <w:rFonts w:hint="eastAsia" w:ascii="宋体" w:hAnsi="宋体" w:eastAsia="宋体" w:cs="宋体"/>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383"/>
        <w:gridCol w:w="2490"/>
        <w:gridCol w:w="1504"/>
        <w:gridCol w:w="1127"/>
      </w:tblGrid>
      <w:tr w14:paraId="2C36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16EB7339">
            <w:pPr>
              <w:pStyle w:val="26"/>
              <w:keepNext w:val="0"/>
              <w:keepLines w:val="0"/>
              <w:suppressLineNumbers w:val="0"/>
              <w:spacing w:before="0" w:beforeAutospacing="0" w:after="0" w:afterAutospacing="0"/>
              <w:ind w:left="0" w:right="0"/>
              <w:jc w:val="center"/>
              <w:rPr>
                <w:rFonts w:hint="eastAsia" w:ascii="宋体" w:hAnsi="宋体" w:eastAsia="宋体" w:cs="宋体"/>
                <w:szCs w:val="22"/>
                <w:highlight w:val="none"/>
              </w:rPr>
            </w:pPr>
            <w:r>
              <w:rPr>
                <w:rFonts w:hint="eastAsia" w:ascii="宋体" w:hAnsi="宋体" w:eastAsia="宋体" w:cs="宋体"/>
                <w:szCs w:val="22"/>
                <w:highlight w:val="none"/>
              </w:rPr>
              <w:t>序号</w:t>
            </w:r>
          </w:p>
        </w:tc>
        <w:tc>
          <w:tcPr>
            <w:tcW w:w="2383" w:type="dxa"/>
            <w:tcBorders>
              <w:top w:val="single" w:color="auto" w:sz="4" w:space="0"/>
              <w:left w:val="single" w:color="auto" w:sz="4" w:space="0"/>
              <w:bottom w:val="single" w:color="auto" w:sz="4" w:space="0"/>
              <w:right w:val="single" w:color="auto" w:sz="4" w:space="0"/>
            </w:tcBorders>
            <w:noWrap/>
            <w:vAlign w:val="center"/>
          </w:tcPr>
          <w:p w14:paraId="1BDB766A">
            <w:pPr>
              <w:pStyle w:val="26"/>
              <w:keepNext w:val="0"/>
              <w:keepLines w:val="0"/>
              <w:suppressLineNumbers w:val="0"/>
              <w:spacing w:before="0" w:beforeAutospacing="0" w:after="0" w:afterAutospacing="0"/>
              <w:ind w:left="0" w:right="0"/>
              <w:jc w:val="center"/>
              <w:rPr>
                <w:rFonts w:hint="eastAsia" w:ascii="宋体" w:hAnsi="宋体" w:eastAsia="宋体" w:cs="宋体"/>
                <w:szCs w:val="22"/>
                <w:highlight w:val="none"/>
              </w:rPr>
            </w:pPr>
            <w:r>
              <w:rPr>
                <w:rFonts w:hint="eastAsia" w:ascii="宋体" w:hAnsi="宋体" w:eastAsia="宋体" w:cs="宋体"/>
                <w:szCs w:val="22"/>
                <w:highlight w:val="none"/>
              </w:rPr>
              <w:t>谈判文件的商务条款</w:t>
            </w:r>
          </w:p>
        </w:tc>
        <w:tc>
          <w:tcPr>
            <w:tcW w:w="2490" w:type="dxa"/>
            <w:tcBorders>
              <w:top w:val="single" w:color="auto" w:sz="4" w:space="0"/>
              <w:left w:val="single" w:color="auto" w:sz="4" w:space="0"/>
              <w:bottom w:val="single" w:color="auto" w:sz="4" w:space="0"/>
              <w:right w:val="single" w:color="auto" w:sz="4" w:space="0"/>
            </w:tcBorders>
            <w:noWrap/>
            <w:vAlign w:val="center"/>
          </w:tcPr>
          <w:p w14:paraId="672FEC9F">
            <w:pPr>
              <w:pStyle w:val="26"/>
              <w:keepNext w:val="0"/>
              <w:keepLines w:val="0"/>
              <w:suppressLineNumbers w:val="0"/>
              <w:spacing w:before="0" w:beforeAutospacing="0" w:after="0" w:afterAutospacing="0"/>
              <w:ind w:left="0" w:right="0"/>
              <w:jc w:val="center"/>
              <w:rPr>
                <w:rFonts w:hint="eastAsia" w:ascii="宋体" w:hAnsi="宋体" w:eastAsia="宋体" w:cs="宋体"/>
                <w:szCs w:val="22"/>
                <w:highlight w:val="none"/>
              </w:rPr>
            </w:pPr>
            <w:r>
              <w:rPr>
                <w:rFonts w:hint="eastAsia" w:ascii="宋体" w:hAnsi="宋体" w:eastAsia="宋体" w:cs="宋体"/>
                <w:szCs w:val="22"/>
                <w:highlight w:val="none"/>
              </w:rPr>
              <w:t>谈判响应文件的商务条款</w:t>
            </w:r>
          </w:p>
        </w:tc>
        <w:tc>
          <w:tcPr>
            <w:tcW w:w="1504" w:type="dxa"/>
            <w:tcBorders>
              <w:top w:val="single" w:color="auto" w:sz="4" w:space="0"/>
              <w:left w:val="single" w:color="auto" w:sz="4" w:space="0"/>
              <w:bottom w:val="single" w:color="auto" w:sz="4" w:space="0"/>
              <w:right w:val="single" w:color="auto" w:sz="4" w:space="0"/>
            </w:tcBorders>
            <w:noWrap/>
            <w:vAlign w:val="center"/>
          </w:tcPr>
          <w:p w14:paraId="25981533">
            <w:pPr>
              <w:pStyle w:val="26"/>
              <w:keepNext w:val="0"/>
              <w:keepLines w:val="0"/>
              <w:suppressLineNumbers w:val="0"/>
              <w:spacing w:before="0" w:beforeAutospacing="0" w:after="0" w:afterAutospacing="0"/>
              <w:ind w:left="0" w:right="0"/>
              <w:jc w:val="center"/>
              <w:rPr>
                <w:rFonts w:hint="eastAsia" w:ascii="宋体" w:hAnsi="宋体" w:eastAsia="宋体" w:cs="宋体"/>
                <w:szCs w:val="22"/>
                <w:highlight w:val="none"/>
              </w:rPr>
            </w:pPr>
            <w:r>
              <w:rPr>
                <w:rFonts w:hint="eastAsia" w:ascii="宋体" w:hAnsi="宋体" w:eastAsia="宋体" w:cs="宋体"/>
                <w:szCs w:val="22"/>
                <w:highlight w:val="none"/>
              </w:rPr>
              <w:t>偏离</w:t>
            </w:r>
          </w:p>
        </w:tc>
        <w:tc>
          <w:tcPr>
            <w:tcW w:w="1127" w:type="dxa"/>
            <w:tcBorders>
              <w:top w:val="single" w:color="auto" w:sz="4" w:space="0"/>
              <w:left w:val="single" w:color="auto" w:sz="4" w:space="0"/>
              <w:bottom w:val="single" w:color="auto" w:sz="4" w:space="0"/>
              <w:right w:val="single" w:color="auto" w:sz="4" w:space="0"/>
            </w:tcBorders>
            <w:noWrap/>
            <w:vAlign w:val="center"/>
          </w:tcPr>
          <w:p w14:paraId="1FB8A5F2">
            <w:pPr>
              <w:pStyle w:val="26"/>
              <w:keepNext w:val="0"/>
              <w:keepLines w:val="0"/>
              <w:suppressLineNumbers w:val="0"/>
              <w:spacing w:before="0" w:beforeAutospacing="0" w:after="0" w:afterAutospacing="0"/>
              <w:ind w:left="0" w:right="0"/>
              <w:jc w:val="center"/>
              <w:rPr>
                <w:rFonts w:hint="eastAsia" w:ascii="宋体" w:hAnsi="宋体" w:eastAsia="宋体" w:cs="宋体"/>
                <w:szCs w:val="22"/>
                <w:highlight w:val="none"/>
              </w:rPr>
            </w:pPr>
            <w:r>
              <w:rPr>
                <w:rFonts w:hint="eastAsia" w:ascii="宋体" w:hAnsi="宋体" w:eastAsia="宋体" w:cs="宋体"/>
                <w:szCs w:val="22"/>
                <w:highlight w:val="none"/>
              </w:rPr>
              <w:t>说明</w:t>
            </w:r>
          </w:p>
        </w:tc>
      </w:tr>
      <w:tr w14:paraId="4076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44E9397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38B19F31">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4ED92296">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6C4F93C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0AA2F28F">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27BB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5D6BE20D">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6D68B4F5">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46D263EC">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55A31FC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3DA8E221">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08EB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7A99790C">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59BCAFD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447A799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0B4CACB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68ACB8DD">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1E1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38B9E293">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02BB0E3B">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3B4B4A6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0EE05786">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43A4649F">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1388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65314B72">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50C4EFA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6A48E4D6">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624C93AC">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713D347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5C91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01CB0E1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1FE9BF15">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11EDCE9E">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3F3A340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0317C76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r w14:paraId="3540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053" w:type="dxa"/>
            <w:tcBorders>
              <w:top w:val="single" w:color="auto" w:sz="4" w:space="0"/>
              <w:left w:val="single" w:color="auto" w:sz="4" w:space="0"/>
              <w:bottom w:val="single" w:color="auto" w:sz="4" w:space="0"/>
              <w:right w:val="single" w:color="auto" w:sz="4" w:space="0"/>
            </w:tcBorders>
            <w:noWrap/>
            <w:vAlign w:val="center"/>
          </w:tcPr>
          <w:p w14:paraId="3350C4A1">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383" w:type="dxa"/>
            <w:tcBorders>
              <w:top w:val="single" w:color="auto" w:sz="4" w:space="0"/>
              <w:left w:val="single" w:color="auto" w:sz="4" w:space="0"/>
              <w:bottom w:val="single" w:color="auto" w:sz="4" w:space="0"/>
              <w:right w:val="single" w:color="auto" w:sz="4" w:space="0"/>
            </w:tcBorders>
            <w:noWrap/>
            <w:vAlign w:val="center"/>
          </w:tcPr>
          <w:p w14:paraId="62024F25">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2490" w:type="dxa"/>
            <w:tcBorders>
              <w:top w:val="single" w:color="auto" w:sz="4" w:space="0"/>
              <w:left w:val="single" w:color="auto" w:sz="4" w:space="0"/>
              <w:bottom w:val="single" w:color="auto" w:sz="4" w:space="0"/>
              <w:right w:val="single" w:color="auto" w:sz="4" w:space="0"/>
            </w:tcBorders>
            <w:noWrap/>
            <w:vAlign w:val="center"/>
          </w:tcPr>
          <w:p w14:paraId="136C72A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504" w:type="dxa"/>
            <w:tcBorders>
              <w:top w:val="single" w:color="auto" w:sz="4" w:space="0"/>
              <w:left w:val="single" w:color="auto" w:sz="4" w:space="0"/>
              <w:bottom w:val="single" w:color="auto" w:sz="4" w:space="0"/>
              <w:right w:val="single" w:color="auto" w:sz="4" w:space="0"/>
            </w:tcBorders>
            <w:noWrap/>
            <w:vAlign w:val="center"/>
          </w:tcPr>
          <w:p w14:paraId="355ABE1B">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0AFDB0A2">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szCs w:val="22"/>
                <w:highlight w:val="none"/>
              </w:rPr>
            </w:pPr>
          </w:p>
        </w:tc>
      </w:tr>
    </w:tbl>
    <w:p w14:paraId="51B7F6D2">
      <w:pPr>
        <w:pStyle w:val="26"/>
        <w:rPr>
          <w:rFonts w:hint="eastAsia" w:ascii="宋体" w:hAnsi="宋体" w:eastAsia="宋体" w:cs="宋体"/>
          <w:highlight w:val="none"/>
        </w:rPr>
      </w:pPr>
      <w:r>
        <w:rPr>
          <w:rFonts w:hint="eastAsia" w:ascii="宋体" w:hAnsi="宋体" w:eastAsia="宋体" w:cs="宋体"/>
          <w:highlight w:val="none"/>
        </w:rPr>
        <w:t>说明：</w:t>
      </w:r>
    </w:p>
    <w:p w14:paraId="47190910">
      <w:pPr>
        <w:pStyle w:val="26"/>
        <w:ind w:firstLine="480" w:firstLineChars="200"/>
        <w:jc w:val="both"/>
        <w:rPr>
          <w:rFonts w:hint="eastAsia" w:ascii="宋体" w:hAnsi="宋体" w:eastAsia="宋体" w:cs="宋体"/>
          <w:highlight w:val="none"/>
        </w:rPr>
      </w:pPr>
      <w:r>
        <w:rPr>
          <w:rFonts w:hint="eastAsia" w:ascii="宋体" w:hAnsi="宋体" w:eastAsia="宋体" w:cs="宋体"/>
          <w:highlight w:val="none"/>
        </w:rPr>
        <w:t>1.本表只填写谈判响应文件中与谈判文件有偏离（包括正偏离和负偏离）的内容，谈判响应文件</w:t>
      </w:r>
      <w:r>
        <w:rPr>
          <w:rFonts w:hint="eastAsia" w:ascii="宋体" w:hAnsi="宋体" w:eastAsia="宋体" w:cs="宋体"/>
          <w:b w:val="0"/>
          <w:bCs w:val="0"/>
          <w:highlight w:val="none"/>
        </w:rPr>
        <w:t>中商务响应</w:t>
      </w:r>
      <w:r>
        <w:rPr>
          <w:rFonts w:hint="eastAsia" w:ascii="宋体" w:hAnsi="宋体" w:eastAsia="宋体" w:cs="宋体"/>
          <w:b w:val="0"/>
          <w:bCs w:val="0"/>
          <w:color w:val="auto"/>
          <w:szCs w:val="24"/>
          <w:highlight w:val="none"/>
        </w:rPr>
        <w:t>及谈判文件中第三章合同</w:t>
      </w:r>
      <w:r>
        <w:rPr>
          <w:rFonts w:hint="eastAsia" w:ascii="宋体" w:hAnsi="宋体" w:cs="宋体"/>
          <w:b w:val="0"/>
          <w:bCs w:val="0"/>
          <w:color w:val="auto"/>
          <w:szCs w:val="24"/>
          <w:highlight w:val="none"/>
          <w:lang w:val="en-US" w:eastAsia="zh-CN"/>
        </w:rPr>
        <w:t>条款</w:t>
      </w:r>
      <w:r>
        <w:rPr>
          <w:rFonts w:hint="eastAsia" w:ascii="宋体" w:hAnsi="宋体" w:eastAsia="宋体" w:cs="宋体"/>
          <w:b w:val="0"/>
          <w:bCs w:val="0"/>
          <w:highlight w:val="none"/>
        </w:rPr>
        <w:t>与</w:t>
      </w:r>
      <w:r>
        <w:rPr>
          <w:rFonts w:hint="eastAsia" w:ascii="宋体" w:hAnsi="宋体" w:eastAsia="宋体" w:cs="宋体"/>
          <w:highlight w:val="none"/>
        </w:rPr>
        <w:t>谈判文件要求完全一致的，不用在此表中列出，但必须提交空白表。</w:t>
      </w:r>
    </w:p>
    <w:p w14:paraId="0A861CE6">
      <w:pPr>
        <w:pStyle w:val="26"/>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2.供应商必须据实填写，不得虚假响应，否则将取消其谈判或成交资格，并按有关规定进处罚。</w:t>
      </w:r>
    </w:p>
    <w:p w14:paraId="61E86522">
      <w:pPr>
        <w:pStyle w:val="26"/>
        <w:ind w:firstLine="480" w:firstLineChars="200"/>
        <w:jc w:val="center"/>
        <w:rPr>
          <w:rFonts w:hint="eastAsia" w:ascii="宋体" w:hAnsi="宋体" w:eastAsia="宋体" w:cs="宋体"/>
          <w:highlight w:val="none"/>
        </w:rPr>
      </w:pPr>
    </w:p>
    <w:p w14:paraId="788CE551">
      <w:pPr>
        <w:pStyle w:val="26"/>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                     （单位公章）</w:t>
      </w:r>
    </w:p>
    <w:p w14:paraId="0D5AA8F8">
      <w:pPr>
        <w:pStyle w:val="26"/>
        <w:ind w:firstLine="480" w:firstLineChars="200"/>
        <w:jc w:val="center"/>
        <w:rPr>
          <w:rFonts w:hint="eastAsia" w:ascii="宋体" w:hAnsi="宋体" w:eastAsia="宋体" w:cs="宋体"/>
          <w:szCs w:val="24"/>
          <w:highlight w:val="none"/>
        </w:rPr>
      </w:pPr>
    </w:p>
    <w:p w14:paraId="29B5E5FF">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7892F9F3">
      <w:pPr>
        <w:spacing w:line="400" w:lineRule="exact"/>
        <w:ind w:firstLine="480" w:firstLineChars="200"/>
        <w:jc w:val="center"/>
        <w:rPr>
          <w:rFonts w:hint="eastAsia" w:ascii="宋体" w:hAnsi="宋体" w:eastAsia="宋体" w:cs="宋体"/>
          <w:sz w:val="24"/>
          <w:szCs w:val="24"/>
          <w:highlight w:val="none"/>
        </w:rPr>
      </w:pPr>
    </w:p>
    <w:p w14:paraId="1760E3D8">
      <w:pPr>
        <w:spacing w:line="280" w:lineRule="exact"/>
        <w:ind w:right="540" w:rightChars="25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11E2E128">
      <w:pPr>
        <w:spacing w:line="360" w:lineRule="auto"/>
        <w:ind w:left="525" w:leftChars="250"/>
        <w:rPr>
          <w:rFonts w:hint="eastAsia" w:ascii="宋体" w:hAnsi="宋体" w:eastAsia="宋体" w:cs="宋体"/>
          <w:b/>
          <w:bCs/>
          <w:sz w:val="28"/>
          <w:szCs w:val="28"/>
          <w:highlight w:val="none"/>
        </w:rPr>
      </w:pPr>
    </w:p>
    <w:p w14:paraId="1AF8C062">
      <w:pPr>
        <w:spacing w:line="400" w:lineRule="exact"/>
        <w:ind w:firstLine="480" w:firstLineChars="200"/>
        <w:rPr>
          <w:rFonts w:hint="eastAsia" w:ascii="宋体" w:hAnsi="宋体" w:eastAsia="宋体" w:cs="宋体"/>
          <w:sz w:val="24"/>
          <w:szCs w:val="24"/>
          <w:highlight w:val="none"/>
        </w:rPr>
      </w:pPr>
    </w:p>
    <w:p w14:paraId="26518A9D">
      <w:pPr>
        <w:numPr>
          <w:ilvl w:val="0"/>
          <w:numId w:val="17"/>
        </w:numPr>
        <w:jc w:val="center"/>
        <w:outlineLvl w:val="1"/>
        <w:rPr>
          <w:rFonts w:hint="eastAsia" w:ascii="宋体" w:hAnsi="宋体" w:eastAsia="宋体" w:cs="宋体"/>
          <w:b/>
          <w:sz w:val="32"/>
          <w:szCs w:val="32"/>
          <w:highlight w:val="none"/>
        </w:rPr>
      </w:pPr>
      <w:r>
        <w:rPr>
          <w:rFonts w:hint="eastAsia" w:ascii="宋体" w:hAnsi="宋体" w:eastAsia="宋体" w:cs="宋体"/>
          <w:highlight w:val="none"/>
        </w:rPr>
        <w:br w:type="page"/>
      </w:r>
      <w:r>
        <w:rPr>
          <w:rFonts w:hint="eastAsia" w:ascii="宋体" w:hAnsi="宋体" w:eastAsia="宋体" w:cs="宋体"/>
          <w:b/>
          <w:sz w:val="32"/>
          <w:szCs w:val="32"/>
          <w:highlight w:val="none"/>
        </w:rPr>
        <w:t>供应商承诺书</w:t>
      </w:r>
    </w:p>
    <w:p w14:paraId="3E9BDAC1">
      <w:pPr>
        <w:jc w:val="center"/>
        <w:rPr>
          <w:rFonts w:hint="eastAsia" w:ascii="宋体" w:hAnsi="宋体" w:eastAsia="宋体" w:cs="宋体"/>
          <w:b/>
          <w:sz w:val="28"/>
          <w:szCs w:val="28"/>
          <w:highlight w:val="none"/>
        </w:rPr>
      </w:pPr>
    </w:p>
    <w:p w14:paraId="1BE0358E">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14:paraId="5406CDD6">
      <w:pPr>
        <w:widowControl/>
        <w:spacing w:line="408" w:lineRule="auto"/>
        <w:ind w:left="239" w:leftChars="114" w:firstLine="470" w:firstLineChars="196"/>
        <w:jc w:val="left"/>
        <w:rPr>
          <w:rFonts w:hint="eastAsia" w:ascii="宋体" w:hAnsi="宋体" w:eastAsia="宋体" w:cs="宋体"/>
          <w:kern w:val="0"/>
          <w:sz w:val="24"/>
          <w:highlight w:val="none"/>
        </w:rPr>
      </w:pPr>
    </w:p>
    <w:p w14:paraId="4BB61082">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14:paraId="1B759B67">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14:paraId="19BB96C1">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14:paraId="48A2A5B3">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14:paraId="13002F5F">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14:paraId="686FF13E">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14:paraId="7446A64F">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14:paraId="479A52A3">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14:paraId="4FCE9A5D">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14:paraId="71626F4E">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14:paraId="4BA79DA9">
      <w:pPr>
        <w:widowControl/>
        <w:spacing w:line="408" w:lineRule="auto"/>
        <w:ind w:left="239" w:leftChars="114" w:firstLine="470" w:firstLineChars="196"/>
        <w:jc w:val="left"/>
        <w:rPr>
          <w:rFonts w:hint="eastAsia" w:ascii="宋体" w:hAnsi="宋体" w:eastAsia="宋体" w:cs="宋体"/>
          <w:kern w:val="0"/>
          <w:sz w:val="24"/>
          <w:highlight w:val="none"/>
        </w:rPr>
      </w:pPr>
    </w:p>
    <w:p w14:paraId="7B3EAE43">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14:paraId="63D0C0D1">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法定代表人或被授权人：      （签字或盖章）</w:t>
      </w:r>
    </w:p>
    <w:p w14:paraId="320AB7E2">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14:paraId="6F579853">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14:paraId="51D3C596">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14:paraId="14E3A73A">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14:paraId="0667F6C1">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rPr>
        <w:t xml:space="preserve">六、资格证明文件 </w:t>
      </w:r>
    </w:p>
    <w:p w14:paraId="31B77142">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（一）基本资格条件：</w:t>
      </w:r>
      <w:r>
        <w:rPr>
          <w:rFonts w:hint="eastAsia" w:ascii="宋体" w:hAnsi="宋体" w:eastAsia="宋体" w:cs="宋体"/>
          <w:sz w:val="24"/>
          <w:szCs w:val="24"/>
          <w:highlight w:val="none"/>
        </w:rPr>
        <w:t>符合《中华人民共和国政府采购法》第二十二条的规定；</w:t>
      </w:r>
    </w:p>
    <w:p w14:paraId="3B338207">
      <w:pPr>
        <w:pStyle w:val="12"/>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（二）特定资格条件：</w:t>
      </w:r>
    </w:p>
    <w:p w14:paraId="7CF5C95F">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供应商须具有独立承担民事责任的能力，提供营业执照、税务登记证、组织结构代码证或登载有统一社会信用代码的营业执照（或《事业单位法人证书》或其他合法组织登记证书、自然人只须提交身份证）；</w:t>
      </w:r>
    </w:p>
    <w:p w14:paraId="23F5447B">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法定代表人授权书（附法定代表人、被授权人身份证复印件）及被授权人身份证（法定代表人直接参加谈判，须提供法定代表人身份证明及身份证原件）；</w:t>
      </w:r>
      <w:r>
        <w:rPr>
          <w:rFonts w:hint="eastAsia" w:ascii="宋体" w:hAnsi="宋体" w:cs="宋体"/>
          <w:b/>
          <w:bCs/>
          <w:sz w:val="24"/>
          <w:szCs w:val="24"/>
          <w:highlight w:val="none"/>
          <w:lang w:eastAsia="zh-CN"/>
        </w:rPr>
        <w:t>（格式</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lang w:eastAsia="zh-CN"/>
        </w:rPr>
        <w:t>后附）</w:t>
      </w:r>
    </w:p>
    <w:p w14:paraId="65F961D3">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cs="宋体"/>
          <w:i w:val="0"/>
          <w:iCs w:val="0"/>
          <w:caps w:val="0"/>
          <w:color w:val="auto"/>
          <w:spacing w:val="0"/>
          <w:sz w:val="24"/>
          <w:szCs w:val="24"/>
          <w:highlight w:val="none"/>
          <w:shd w:val="clear" w:fill="FFFFFF"/>
          <w:vertAlign w:val="baseline"/>
          <w:lang w:eastAsia="zh-CN"/>
        </w:rPr>
        <w:t>提供谈判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w:t>
      </w:r>
      <w:r>
        <w:rPr>
          <w:rFonts w:hint="eastAsia" w:ascii="宋体" w:hAnsi="宋体" w:cs="宋体"/>
          <w:i w:val="0"/>
          <w:iCs w:val="0"/>
          <w:caps w:val="0"/>
          <w:color w:val="333333"/>
          <w:spacing w:val="0"/>
          <w:sz w:val="24"/>
          <w:szCs w:val="24"/>
          <w:highlight w:val="none"/>
          <w:shd w:val="clear" w:fill="FFFFFF"/>
          <w:vertAlign w:val="baseline"/>
          <w:lang w:eastAsia="zh-CN"/>
        </w:rPr>
        <w:t>证明文件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01EADE15">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提供谈判响应文件递交截止日前一年内已缴存的至少一个月的社会保障资金缴存单据或社保机构开具的社会保险参保缴费情况证明，依法不需要缴纳社会保障资金的单位应提供相关证明材料；</w:t>
      </w:r>
    </w:p>
    <w:p w14:paraId="3A3107E3">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cs="宋体"/>
          <w:i w:val="0"/>
          <w:iCs w:val="0"/>
          <w:caps w:val="0"/>
          <w:color w:val="333333"/>
          <w:spacing w:val="0"/>
          <w:sz w:val="24"/>
          <w:szCs w:val="24"/>
          <w:highlight w:val="none"/>
          <w:shd w:val="clear" w:fill="FFFFFF"/>
          <w:vertAlign w:val="baseline"/>
          <w:lang w:eastAsia="zh-CN"/>
        </w:rPr>
        <w:t>提供2023年度或2024年度经审计的完整财务报告（包括“四表一注”，即资产负债表、利润表、现金流量表、所有者权益变动表及其附注，成立时间至提交投标文件截止时间不足一年的可提供成立后任意时段的资产负债表），或其开标前三个月内基本开户银行出具的资信证明（附《基本存款账户信息》或《银行开户许可证》复印件）。</w:t>
      </w:r>
    </w:p>
    <w:p w14:paraId="681339FA">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参加政府活动近三年内，在经营活动中无重大违法记录的书面声明；</w:t>
      </w:r>
    </w:p>
    <w:p w14:paraId="2E2E076C">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供应商不得为中国执行信息公开网（http://zxgk.court.gov.cn/shixin/）失信被执行人及“信用中国”网站（www.creditchina.gov.cn）重大税收违法失信主体；不得为中国政府采购网（www.ccgp.gov.cn）政府采购严重违法失信行为记录名单中的供应商。</w:t>
      </w:r>
    </w:p>
    <w:p w14:paraId="3B99F45F">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单位负责人为同一人或者存在直接控股、管理关系的不同供应商，不得参加同一合同项下的政府采购活动。</w:t>
      </w:r>
      <w:r>
        <w:rPr>
          <w:rFonts w:hint="eastAsia" w:ascii="宋体" w:hAnsi="宋体" w:cs="宋体"/>
          <w:b/>
          <w:bCs/>
          <w:sz w:val="24"/>
          <w:szCs w:val="24"/>
          <w:highlight w:val="none"/>
          <w:lang w:eastAsia="zh-CN"/>
        </w:rPr>
        <w:t>（格式</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后附）</w:t>
      </w:r>
    </w:p>
    <w:p w14:paraId="4DD4DFEB">
      <w:pPr>
        <w:pStyle w:val="26"/>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20" w:leftChars="0" w:right="0" w:rightChars="0"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本项目为专门面向中小企业采购的采购项目。 </w:t>
      </w:r>
    </w:p>
    <w:p w14:paraId="45B77310">
      <w:pPr>
        <w:pStyle w:val="29"/>
        <w:rPr>
          <w:rFonts w:hint="eastAsia" w:ascii="宋体" w:hAnsi="宋体" w:eastAsia="宋体" w:cs="宋体"/>
          <w:sz w:val="24"/>
          <w:szCs w:val="24"/>
          <w:highlight w:val="none"/>
        </w:rPr>
      </w:pPr>
    </w:p>
    <w:p w14:paraId="1396CCB8">
      <w:pPr>
        <w:rPr>
          <w:rFonts w:hint="eastAsia"/>
          <w:highlight w:val="none"/>
        </w:rPr>
      </w:pPr>
    </w:p>
    <w:p w14:paraId="11DB1C21">
      <w:pPr>
        <w:rPr>
          <w:rFonts w:hint="eastAsia"/>
          <w:highlight w:val="none"/>
        </w:rPr>
      </w:pPr>
    </w:p>
    <w:p w14:paraId="7DC463B0">
      <w:pP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br w:type="page"/>
      </w:r>
    </w:p>
    <w:p w14:paraId="3BFEE136">
      <w:pPr>
        <w:spacing w:line="560" w:lineRule="exact"/>
        <w:jc w:val="both"/>
        <w:outlineLvl w:val="2"/>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格式</w:t>
      </w:r>
      <w:r>
        <w:rPr>
          <w:rFonts w:hint="eastAsia" w:ascii="宋体" w:hAnsi="宋体" w:cs="宋体"/>
          <w:b/>
          <w:bCs/>
          <w:sz w:val="28"/>
          <w:szCs w:val="28"/>
          <w:highlight w:val="none"/>
          <w:lang w:val="en-US" w:eastAsia="zh-CN"/>
        </w:rPr>
        <w:t>1</w:t>
      </w:r>
    </w:p>
    <w:p w14:paraId="7E086DD7">
      <w:pPr>
        <w:spacing w:line="560" w:lineRule="exact"/>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法定代表人身份证明/法定代表人授权书</w:t>
      </w:r>
    </w:p>
    <w:p w14:paraId="6DE5CFA1">
      <w:pPr>
        <w:spacing w:line="440" w:lineRule="exact"/>
        <w:ind w:left="-359" w:leftChars="-171" w:firstLine="496" w:firstLineChars="200"/>
        <w:jc w:val="center"/>
        <w:rPr>
          <w:rFonts w:hint="eastAsia" w:ascii="宋体" w:hAnsi="宋体" w:eastAsia="宋体" w:cs="宋体"/>
          <w:spacing w:val="4"/>
          <w:sz w:val="24"/>
          <w:szCs w:val="32"/>
          <w:highlight w:val="none"/>
        </w:rPr>
      </w:pPr>
    </w:p>
    <w:p w14:paraId="6F6FB49B">
      <w:pPr>
        <w:spacing w:line="440" w:lineRule="exact"/>
        <w:ind w:left="-359" w:leftChars="-171" w:firstLine="643" w:firstLineChars="2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72250FE8">
      <w:pPr>
        <w:autoSpaceDE w:val="0"/>
        <w:autoSpaceDN w:val="0"/>
        <w:adjustRightInd w:val="0"/>
        <w:snapToGrid w:val="0"/>
        <w:spacing w:beforeLines="50" w:line="360" w:lineRule="auto"/>
        <w:jc w:val="left"/>
        <w:rPr>
          <w:rFonts w:hint="eastAsia" w:ascii="宋体" w:hAnsi="宋体" w:eastAsia="宋体" w:cs="宋体"/>
          <w:sz w:val="24"/>
          <w:highlight w:val="none"/>
        </w:rPr>
      </w:pPr>
    </w:p>
    <w:p w14:paraId="5540A4EA">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供应商</w:t>
      </w:r>
      <w:r>
        <w:rPr>
          <w:rFonts w:hint="eastAsia" w:ascii="宋体" w:hAnsi="宋体" w:eastAsia="宋体" w:cs="宋体"/>
          <w:kern w:val="0"/>
          <w:sz w:val="24"/>
          <w:highlight w:val="none"/>
        </w:rPr>
        <w:t>名称：</w:t>
      </w:r>
    </w:p>
    <w:p w14:paraId="494A7963">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p>
    <w:p w14:paraId="3A933874">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p>
    <w:p w14:paraId="52F89C7D">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成立时间：年 月日</w:t>
      </w:r>
    </w:p>
    <w:p w14:paraId="283BE1F6">
      <w:pPr>
        <w:autoSpaceDE w:val="0"/>
        <w:autoSpaceDN w:val="0"/>
        <w:adjustRightInd w:val="0"/>
        <w:snapToGrid w:val="0"/>
        <w:spacing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p>
    <w:p w14:paraId="3E55A1D7">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姓名：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xml:space="preserve">性别：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年龄：</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xml:space="preserve"> 系（供应商名称）的法定代表人。</w:t>
      </w:r>
    </w:p>
    <w:p w14:paraId="72C328E5">
      <w:pPr>
        <w:autoSpaceDE w:val="0"/>
        <w:autoSpaceDN w:val="0"/>
        <w:adjustRightInd w:val="0"/>
        <w:snapToGrid w:val="0"/>
        <w:spacing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6A6D1BD1">
      <w:pPr>
        <w:autoSpaceDE w:val="0"/>
        <w:autoSpaceDN w:val="0"/>
        <w:adjustRightInd w:val="0"/>
        <w:snapToGrid w:val="0"/>
        <w:spacing w:beforeLines="50" w:line="360" w:lineRule="auto"/>
        <w:jc w:val="left"/>
        <w:rPr>
          <w:rFonts w:hint="eastAsia" w:ascii="宋体" w:hAnsi="宋体" w:eastAsia="宋体" w:cs="宋体"/>
          <w:kern w:val="0"/>
          <w:szCs w:val="21"/>
          <w:highlight w:val="none"/>
        </w:rPr>
      </w:pPr>
      <w:r>
        <w:rPr>
          <w:rFonts w:hint="eastAsia" w:ascii="宋体" w:hAnsi="宋体" w:eastAsia="宋体" w:cs="宋体"/>
          <w:szCs w:val="21"/>
          <w:highlight w:val="none"/>
        </w:rPr>
        <w:t>附：法定代表人身份证复印件（正反面）</w:t>
      </w:r>
    </w:p>
    <w:p w14:paraId="04B42228">
      <w:pPr>
        <w:snapToGrid w:val="0"/>
        <w:spacing w:line="480" w:lineRule="auto"/>
        <w:rPr>
          <w:rFonts w:hint="eastAsia" w:ascii="宋体" w:hAnsi="宋体" w:eastAsia="宋体" w:cs="宋体"/>
          <w:szCs w:val="21"/>
          <w:highlight w:val="none"/>
        </w:rPr>
      </w:pPr>
    </w:p>
    <w:p w14:paraId="2C5D3CE3">
      <w:pPr>
        <w:snapToGrid w:val="0"/>
        <w:rPr>
          <w:rFonts w:hint="eastAsia" w:ascii="宋体" w:hAnsi="宋体" w:eastAsia="宋体" w:cs="宋体"/>
          <w:szCs w:val="21"/>
          <w:highlight w:val="none"/>
        </w:rPr>
      </w:pPr>
    </w:p>
    <w:p w14:paraId="6913E5C6">
      <w:pPr>
        <w:snapToGrid w:val="0"/>
        <w:rPr>
          <w:rFonts w:hint="eastAsia" w:ascii="宋体" w:hAnsi="宋体" w:eastAsia="宋体" w:cs="宋体"/>
          <w:szCs w:val="21"/>
          <w:highlight w:val="none"/>
        </w:rPr>
      </w:pPr>
    </w:p>
    <w:p w14:paraId="1476442E">
      <w:pPr>
        <w:snapToGrid w:val="0"/>
        <w:rPr>
          <w:rFonts w:hint="eastAsia" w:ascii="宋体" w:hAnsi="宋体" w:eastAsia="宋体" w:cs="宋体"/>
          <w:szCs w:val="21"/>
          <w:highlight w:val="none"/>
        </w:rPr>
      </w:pPr>
    </w:p>
    <w:p w14:paraId="707BB3B9">
      <w:pPr>
        <w:snapToGrid w:val="0"/>
        <w:rPr>
          <w:rFonts w:hint="eastAsia" w:ascii="宋体" w:hAnsi="宋体" w:eastAsia="宋体" w:cs="宋体"/>
          <w:szCs w:val="21"/>
          <w:highlight w:val="none"/>
        </w:rPr>
      </w:pPr>
    </w:p>
    <w:p w14:paraId="591F5ADB">
      <w:pPr>
        <w:adjustRightInd w:val="0"/>
        <w:snapToGrid w:val="0"/>
        <w:spacing w:line="360" w:lineRule="auto"/>
        <w:rPr>
          <w:rFonts w:hint="eastAsia" w:ascii="宋体" w:hAnsi="宋体" w:eastAsia="宋体" w:cs="宋体"/>
          <w:sz w:val="24"/>
          <w:highlight w:val="none"/>
        </w:rPr>
      </w:pPr>
    </w:p>
    <w:p w14:paraId="67D4ECAF">
      <w:pPr>
        <w:adjustRightInd w:val="0"/>
        <w:snapToGrid w:val="0"/>
        <w:spacing w:line="360" w:lineRule="auto"/>
        <w:ind w:right="420"/>
        <w:rPr>
          <w:rFonts w:hint="eastAsia" w:ascii="宋体" w:hAnsi="宋体" w:eastAsia="宋体" w:cs="宋体"/>
          <w:sz w:val="24"/>
          <w:highlight w:val="none"/>
        </w:rPr>
      </w:pPr>
    </w:p>
    <w:p w14:paraId="29CF34CC">
      <w:pPr>
        <w:adjustRightInd w:val="0"/>
        <w:snapToGrid w:val="0"/>
        <w:spacing w:line="360" w:lineRule="auto"/>
        <w:ind w:right="420"/>
        <w:rPr>
          <w:rFonts w:hint="eastAsia" w:ascii="宋体" w:hAnsi="宋体" w:eastAsia="宋体" w:cs="宋体"/>
          <w:sz w:val="24"/>
          <w:highlight w:val="none"/>
        </w:rPr>
      </w:pPr>
    </w:p>
    <w:p w14:paraId="024495DC">
      <w:pPr>
        <w:adjustRightInd w:val="0"/>
        <w:snapToGrid w:val="0"/>
        <w:spacing w:line="360" w:lineRule="auto"/>
        <w:ind w:right="420"/>
        <w:rPr>
          <w:rFonts w:hint="eastAsia" w:ascii="宋体" w:hAnsi="宋体" w:eastAsia="宋体" w:cs="宋体"/>
          <w:sz w:val="24"/>
          <w:highlight w:val="none"/>
        </w:rPr>
      </w:pPr>
    </w:p>
    <w:p w14:paraId="124D1EFD">
      <w:pPr>
        <w:adjustRightInd w:val="0"/>
        <w:snapToGrid w:val="0"/>
        <w:spacing w:line="360" w:lineRule="auto"/>
        <w:ind w:right="420"/>
        <w:rPr>
          <w:rFonts w:hint="eastAsia" w:ascii="宋体" w:hAnsi="宋体" w:eastAsia="宋体" w:cs="宋体"/>
          <w:sz w:val="24"/>
          <w:highlight w:val="none"/>
        </w:rPr>
      </w:pPr>
    </w:p>
    <w:p w14:paraId="683193A6">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供应商名称（公章）：</w:t>
      </w:r>
    </w:p>
    <w:p w14:paraId="7BFB5ADA">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74B504E1">
      <w:pPr>
        <w:pStyle w:val="12"/>
        <w:rPr>
          <w:rFonts w:hint="eastAsia" w:ascii="宋体" w:hAnsi="宋体" w:eastAsia="宋体" w:cs="宋体"/>
          <w:highlight w:val="none"/>
        </w:rPr>
      </w:pPr>
    </w:p>
    <w:p w14:paraId="2A873BED">
      <w:pPr>
        <w:rPr>
          <w:rFonts w:hint="eastAsia"/>
          <w:highlight w:val="none"/>
        </w:rPr>
      </w:pPr>
    </w:p>
    <w:p w14:paraId="4B2F4FB0">
      <w:pPr>
        <w:spacing w:line="500" w:lineRule="exact"/>
        <w:ind w:firstLine="482" w:firstLineChars="200"/>
        <w:rPr>
          <w:rFonts w:hint="eastAsia" w:ascii="宋体" w:hAnsi="宋体" w:eastAsia="宋体" w:cs="宋体"/>
          <w:b/>
          <w:bCs/>
          <w:sz w:val="24"/>
          <w:szCs w:val="24"/>
          <w:highlight w:val="none"/>
        </w:rPr>
      </w:pPr>
    </w:p>
    <w:p w14:paraId="22AB128B">
      <w:pPr>
        <w:pStyle w:val="12"/>
        <w:rPr>
          <w:rFonts w:hint="eastAsia" w:ascii="宋体" w:hAnsi="宋体" w:eastAsia="宋体" w:cs="宋体"/>
          <w:highlight w:val="none"/>
        </w:rPr>
      </w:pPr>
    </w:p>
    <w:p w14:paraId="02F3BE67">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8FAAC07">
      <w:pPr>
        <w:spacing w:beforeLines="100"/>
        <w:jc w:val="center"/>
        <w:rPr>
          <w:rFonts w:hint="eastAsia" w:ascii="宋体" w:hAnsi="宋体" w:eastAsia="宋体" w:cs="宋体"/>
          <w:b/>
          <w:bCs/>
          <w:spacing w:val="4"/>
          <w:sz w:val="24"/>
          <w:szCs w:val="30"/>
          <w:highlight w:val="none"/>
        </w:rPr>
      </w:pPr>
      <w:r>
        <w:rPr>
          <w:rFonts w:hint="eastAsia" w:ascii="宋体" w:hAnsi="宋体" w:eastAsia="宋体" w:cs="宋体"/>
          <w:b/>
          <w:bCs/>
          <w:sz w:val="32"/>
          <w:szCs w:val="32"/>
          <w:highlight w:val="none"/>
        </w:rPr>
        <w:t>法定代表人授权书</w:t>
      </w:r>
    </w:p>
    <w:p w14:paraId="6D952A1A">
      <w:pPr>
        <w:spacing w:line="500" w:lineRule="exact"/>
        <w:ind w:firstLine="744" w:firstLineChars="300"/>
        <w:jc w:val="left"/>
        <w:rPr>
          <w:rFonts w:hint="eastAsia" w:ascii="宋体" w:hAnsi="宋体" w:eastAsia="宋体" w:cs="宋体"/>
          <w:spacing w:val="4"/>
          <w:sz w:val="24"/>
          <w:szCs w:val="30"/>
          <w:highlight w:val="none"/>
          <w:u w:val="single"/>
        </w:rPr>
      </w:pPr>
    </w:p>
    <w:p w14:paraId="199E8700">
      <w:pPr>
        <w:spacing w:line="500" w:lineRule="exact"/>
        <w:ind w:firstLine="744" w:firstLineChars="300"/>
        <w:jc w:val="left"/>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 xml:space="preserve">(供应商名称)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rPr>
        <w:t>成立。法定代表人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rPr>
        <w:t>特授权</w:t>
      </w:r>
      <w:r>
        <w:rPr>
          <w:rFonts w:hint="eastAsia" w:ascii="宋体" w:hAnsi="宋体" w:eastAsia="宋体" w:cs="宋体"/>
          <w:spacing w:val="4"/>
          <w:sz w:val="24"/>
          <w:szCs w:val="30"/>
          <w:highlight w:val="none"/>
          <w:u w:val="single"/>
        </w:rPr>
        <w:t>被授权人姓名</w:t>
      </w:r>
      <w:r>
        <w:rPr>
          <w:rFonts w:hint="eastAsia" w:ascii="宋体" w:hAnsi="宋体" w:eastAsia="宋体" w:cs="宋体"/>
          <w:spacing w:val="4"/>
          <w:sz w:val="24"/>
          <w:szCs w:val="30"/>
          <w:highlight w:val="none"/>
        </w:rPr>
        <w:t>代表我公司全权办理针对本次</w:t>
      </w:r>
      <w:r>
        <w:rPr>
          <w:rFonts w:hint="eastAsia" w:ascii="宋体" w:hAnsi="宋体" w:eastAsia="宋体" w:cs="宋体"/>
          <w:spacing w:val="4"/>
          <w:sz w:val="24"/>
          <w:szCs w:val="30"/>
          <w:highlight w:val="none"/>
          <w:u w:val="single"/>
        </w:rPr>
        <w:t xml:space="preserve">项目名称、项目编号   </w:t>
      </w:r>
      <w:r>
        <w:rPr>
          <w:rFonts w:hint="eastAsia" w:ascii="宋体" w:hAnsi="宋体" w:eastAsia="宋体" w:cs="宋体"/>
          <w:spacing w:val="4"/>
          <w:sz w:val="24"/>
          <w:szCs w:val="30"/>
          <w:highlight w:val="none"/>
        </w:rPr>
        <w:t>项目的谈判、签约等具体工作，并签署全部有关的文件、协议及合同。</w:t>
      </w:r>
    </w:p>
    <w:p w14:paraId="10EB7B3A">
      <w:pPr>
        <w:spacing w:line="500" w:lineRule="exact"/>
        <w:ind w:firstLine="496" w:firstLineChars="200"/>
        <w:jc w:val="left"/>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14:paraId="4F734A58">
      <w:pPr>
        <w:spacing w:line="500" w:lineRule="exact"/>
        <w:ind w:firstLine="496" w:firstLineChars="200"/>
        <w:jc w:val="left"/>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本授权有效期与谈判有效期一致。</w:t>
      </w:r>
    </w:p>
    <w:tbl>
      <w:tblPr>
        <w:tblStyle w:val="30"/>
        <w:tblW w:w="0" w:type="auto"/>
        <w:tblInd w:w="633" w:type="dxa"/>
        <w:tblLayout w:type="fixed"/>
        <w:tblCellMar>
          <w:top w:w="0" w:type="dxa"/>
          <w:left w:w="108" w:type="dxa"/>
          <w:bottom w:w="0" w:type="dxa"/>
          <w:right w:w="108" w:type="dxa"/>
        </w:tblCellMar>
      </w:tblPr>
      <w:tblGrid>
        <w:gridCol w:w="4200"/>
        <w:gridCol w:w="3990"/>
      </w:tblGrid>
      <w:tr w14:paraId="3BC1A09B">
        <w:tblPrEx>
          <w:tblCellMar>
            <w:top w:w="0" w:type="dxa"/>
            <w:left w:w="108" w:type="dxa"/>
            <w:bottom w:w="0" w:type="dxa"/>
            <w:right w:w="108" w:type="dxa"/>
          </w:tblCellMar>
        </w:tblPrEx>
        <w:trPr>
          <w:trHeight w:val="600" w:hRule="atLeast"/>
        </w:trPr>
        <w:tc>
          <w:tcPr>
            <w:tcW w:w="4200" w:type="dxa"/>
            <w:noWrap/>
          </w:tcPr>
          <w:p w14:paraId="67C595B8">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被授权人签字或盖章：</w:t>
            </w:r>
          </w:p>
        </w:tc>
        <w:tc>
          <w:tcPr>
            <w:tcW w:w="3990" w:type="dxa"/>
            <w:noWrap/>
          </w:tcPr>
          <w:p w14:paraId="514DAF90">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法定代表人签字或盖章：</w:t>
            </w:r>
          </w:p>
        </w:tc>
      </w:tr>
      <w:tr w14:paraId="4943A10B">
        <w:tblPrEx>
          <w:tblCellMar>
            <w:top w:w="0" w:type="dxa"/>
            <w:left w:w="108" w:type="dxa"/>
            <w:bottom w:w="0" w:type="dxa"/>
            <w:right w:w="108" w:type="dxa"/>
          </w:tblCellMar>
        </w:tblPrEx>
        <w:trPr>
          <w:trHeight w:val="600" w:hRule="atLeast"/>
        </w:trPr>
        <w:tc>
          <w:tcPr>
            <w:tcW w:w="4200" w:type="dxa"/>
            <w:noWrap/>
          </w:tcPr>
          <w:p w14:paraId="5C7D9D3E">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职务：</w:t>
            </w:r>
          </w:p>
        </w:tc>
        <w:tc>
          <w:tcPr>
            <w:tcW w:w="3990" w:type="dxa"/>
            <w:noWrap/>
          </w:tcPr>
          <w:p w14:paraId="531D255F">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职务：</w:t>
            </w:r>
          </w:p>
        </w:tc>
      </w:tr>
      <w:tr w14:paraId="64AA7874">
        <w:tblPrEx>
          <w:tblCellMar>
            <w:top w:w="0" w:type="dxa"/>
            <w:left w:w="108" w:type="dxa"/>
            <w:bottom w:w="0" w:type="dxa"/>
            <w:right w:w="108" w:type="dxa"/>
          </w:tblCellMar>
        </w:tblPrEx>
        <w:trPr>
          <w:trHeight w:val="600" w:hRule="atLeast"/>
        </w:trPr>
        <w:tc>
          <w:tcPr>
            <w:tcW w:w="4200" w:type="dxa"/>
            <w:noWrap/>
          </w:tcPr>
          <w:p w14:paraId="33072773">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身份证号：</w:t>
            </w:r>
          </w:p>
        </w:tc>
        <w:tc>
          <w:tcPr>
            <w:tcW w:w="3990" w:type="dxa"/>
            <w:noWrap/>
          </w:tcPr>
          <w:p w14:paraId="600AC5AD">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highlight w:val="none"/>
              </w:rPr>
            </w:pPr>
            <w:r>
              <w:rPr>
                <w:rFonts w:hint="eastAsia" w:ascii="宋体" w:hAnsi="宋体" w:eastAsia="宋体" w:cs="宋体"/>
                <w:spacing w:val="4"/>
                <w:sz w:val="24"/>
                <w:szCs w:val="22"/>
                <w:highlight w:val="none"/>
              </w:rPr>
              <w:t>身份证号：</w:t>
            </w:r>
          </w:p>
        </w:tc>
      </w:tr>
    </w:tbl>
    <w:p w14:paraId="165E32E2">
      <w:pPr>
        <w:spacing w:line="500" w:lineRule="exact"/>
        <w:ind w:firstLine="496" w:firstLineChars="200"/>
        <w:jc w:val="left"/>
        <w:rPr>
          <w:rFonts w:hint="eastAsia" w:ascii="宋体" w:hAnsi="宋体" w:eastAsia="宋体" w:cs="宋体"/>
          <w:spacing w:val="4"/>
          <w:sz w:val="24"/>
          <w:highlight w:val="none"/>
        </w:rPr>
      </w:pPr>
    </w:p>
    <w:p w14:paraId="6A1CA3CF">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附：法定代表人、</w:t>
      </w:r>
      <w:r>
        <w:rPr>
          <w:rFonts w:hint="eastAsia" w:ascii="宋体" w:hAnsi="宋体" w:eastAsia="宋体" w:cs="宋体"/>
          <w:spacing w:val="4"/>
          <w:sz w:val="24"/>
          <w:highlight w:val="none"/>
        </w:rPr>
        <w:t>被授权人</w:t>
      </w:r>
      <w:r>
        <w:rPr>
          <w:rFonts w:hint="eastAsia" w:ascii="宋体" w:hAnsi="宋体" w:eastAsia="宋体" w:cs="宋体"/>
          <w:spacing w:val="4"/>
          <w:sz w:val="24"/>
          <w:szCs w:val="30"/>
          <w:highlight w:val="none"/>
        </w:rPr>
        <w:t>身份证复印件（正反面）</w:t>
      </w:r>
    </w:p>
    <w:p w14:paraId="0DAEF37B">
      <w:pPr>
        <w:spacing w:line="440" w:lineRule="exact"/>
        <w:rPr>
          <w:rFonts w:hint="eastAsia" w:ascii="宋体" w:hAnsi="宋体" w:eastAsia="宋体" w:cs="宋体"/>
          <w:spacing w:val="4"/>
          <w:sz w:val="24"/>
          <w:szCs w:val="30"/>
          <w:highlight w:val="none"/>
        </w:rPr>
      </w:pPr>
    </w:p>
    <w:p w14:paraId="3B775506">
      <w:pPr>
        <w:pStyle w:val="12"/>
        <w:rPr>
          <w:rFonts w:hint="eastAsia" w:ascii="宋体" w:hAnsi="宋体" w:eastAsia="宋体" w:cs="宋体"/>
          <w:spacing w:val="4"/>
          <w:sz w:val="24"/>
          <w:szCs w:val="30"/>
          <w:highlight w:val="none"/>
        </w:rPr>
      </w:pPr>
    </w:p>
    <w:p w14:paraId="5C8EBF6E">
      <w:pPr>
        <w:pStyle w:val="12"/>
        <w:rPr>
          <w:rFonts w:hint="eastAsia" w:ascii="宋体" w:hAnsi="宋体" w:eastAsia="宋体" w:cs="宋体"/>
          <w:spacing w:val="4"/>
          <w:sz w:val="24"/>
          <w:szCs w:val="30"/>
          <w:highlight w:val="none"/>
        </w:rPr>
      </w:pPr>
    </w:p>
    <w:p w14:paraId="16D4017F">
      <w:pPr>
        <w:pStyle w:val="12"/>
        <w:rPr>
          <w:rFonts w:hint="eastAsia" w:ascii="宋体" w:hAnsi="宋体" w:eastAsia="宋体" w:cs="宋体"/>
          <w:spacing w:val="4"/>
          <w:sz w:val="24"/>
          <w:szCs w:val="30"/>
          <w:highlight w:val="none"/>
        </w:rPr>
      </w:pPr>
    </w:p>
    <w:p w14:paraId="3DCE9B6B">
      <w:pPr>
        <w:pStyle w:val="12"/>
        <w:rPr>
          <w:rFonts w:hint="eastAsia" w:ascii="宋体" w:hAnsi="宋体" w:eastAsia="宋体" w:cs="宋体"/>
          <w:spacing w:val="4"/>
          <w:sz w:val="24"/>
          <w:szCs w:val="30"/>
          <w:highlight w:val="none"/>
        </w:rPr>
      </w:pPr>
    </w:p>
    <w:p w14:paraId="33C6B644">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供应商名称（盖章）：</w:t>
      </w:r>
    </w:p>
    <w:p w14:paraId="17CC3458">
      <w:pPr>
        <w:spacing w:line="440" w:lineRule="exact"/>
        <w:ind w:firstLine="496" w:firstLineChars="200"/>
        <w:rPr>
          <w:rFonts w:hint="eastAsia" w:ascii="宋体" w:hAnsi="宋体" w:eastAsia="宋体" w:cs="宋体"/>
          <w:spacing w:val="4"/>
          <w:sz w:val="24"/>
          <w:szCs w:val="24"/>
          <w:highlight w:val="none"/>
        </w:rPr>
      </w:pPr>
    </w:p>
    <w:p w14:paraId="77617235">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日期：</w:t>
      </w:r>
    </w:p>
    <w:p w14:paraId="66A7D072">
      <w:pPr>
        <w:pStyle w:val="12"/>
        <w:rPr>
          <w:rFonts w:hint="eastAsia" w:ascii="宋体" w:hAnsi="宋体" w:eastAsia="宋体" w:cs="宋体"/>
          <w:highlight w:val="none"/>
        </w:rPr>
      </w:pPr>
    </w:p>
    <w:p w14:paraId="3847DB4C">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14:paraId="6B275537">
      <w:pPr>
        <w:pStyle w:val="12"/>
        <w:rPr>
          <w:rFonts w:hint="eastAsia" w:ascii="宋体" w:hAnsi="宋体" w:eastAsia="宋体" w:cs="宋体"/>
          <w:b/>
          <w:bCs/>
          <w:sz w:val="24"/>
          <w:szCs w:val="24"/>
          <w:highlight w:val="none"/>
          <w:lang w:val="zh-CN"/>
        </w:rPr>
      </w:pPr>
    </w:p>
    <w:p w14:paraId="5F18D040">
      <w:pPr>
        <w:pStyle w:val="12"/>
        <w:rPr>
          <w:rFonts w:hint="eastAsia" w:ascii="宋体" w:hAnsi="宋体" w:eastAsia="宋体" w:cs="宋体"/>
          <w:b/>
          <w:bCs/>
          <w:sz w:val="24"/>
          <w:szCs w:val="24"/>
          <w:highlight w:val="none"/>
          <w:lang w:val="zh-CN"/>
        </w:rPr>
      </w:pPr>
    </w:p>
    <w:p w14:paraId="6CBBE2BA">
      <w:pPr>
        <w:rPr>
          <w:rFonts w:hint="eastAsia" w:ascii="宋体" w:hAnsi="宋体" w:eastAsia="宋体" w:cs="宋体"/>
          <w:highlight w:val="none"/>
          <w:lang w:val="zh-CN"/>
        </w:rPr>
      </w:pPr>
    </w:p>
    <w:p w14:paraId="0568C685">
      <w:pPr>
        <w:pStyle w:val="6"/>
        <w:rPr>
          <w:rFonts w:hint="eastAsia" w:ascii="宋体" w:hAnsi="宋体" w:eastAsia="宋体" w:cs="宋体"/>
          <w:highlight w:val="none"/>
          <w:lang w:val="zh-CN" w:eastAsia="zh-CN"/>
        </w:rPr>
      </w:pPr>
    </w:p>
    <w:p w14:paraId="0AFAAC6D">
      <w:pPr>
        <w:rPr>
          <w:rFonts w:hint="eastAsia" w:ascii="宋体" w:hAnsi="宋体" w:eastAsia="宋体" w:cs="宋体"/>
          <w:highlight w:val="none"/>
          <w:lang w:val="zh-CN" w:eastAsia="zh-CN"/>
        </w:rPr>
      </w:pPr>
    </w:p>
    <w:p w14:paraId="04E5BF4A">
      <w:pPr>
        <w:pStyle w:val="29"/>
        <w:rPr>
          <w:rFonts w:hint="eastAsia" w:ascii="宋体" w:hAnsi="宋体" w:eastAsia="宋体" w:cs="宋体"/>
          <w:highlight w:val="none"/>
          <w:lang w:val="zh-CN" w:eastAsia="zh-CN"/>
        </w:rPr>
      </w:pPr>
    </w:p>
    <w:p w14:paraId="61D1E138">
      <w:pPr>
        <w:rPr>
          <w:rFonts w:hint="eastAsia" w:ascii="宋体" w:hAnsi="宋体" w:eastAsia="宋体" w:cs="宋体"/>
          <w:highlight w:val="none"/>
          <w:lang w:val="zh-CN" w:eastAsia="zh-CN"/>
        </w:rPr>
      </w:pPr>
    </w:p>
    <w:p w14:paraId="6EC4D570">
      <w:pPr>
        <w:pStyle w:val="29"/>
        <w:rPr>
          <w:rFonts w:hint="eastAsia" w:ascii="宋体" w:hAnsi="宋体" w:eastAsia="宋体" w:cs="宋体"/>
          <w:highlight w:val="none"/>
          <w:lang w:val="zh-CN" w:eastAsia="zh-CN"/>
        </w:rPr>
      </w:pPr>
    </w:p>
    <w:p w14:paraId="04C1BE15">
      <w:pPr>
        <w:rPr>
          <w:rFonts w:hint="eastAsia" w:ascii="宋体" w:hAnsi="宋体" w:eastAsia="宋体" w:cs="宋体"/>
          <w:highlight w:val="none"/>
          <w:lang w:val="zh-CN" w:eastAsia="zh-CN"/>
        </w:rPr>
      </w:pPr>
    </w:p>
    <w:p w14:paraId="60377986">
      <w:pPr>
        <w:pStyle w:val="29"/>
        <w:rPr>
          <w:rFonts w:hint="eastAsia"/>
          <w:highlight w:val="none"/>
          <w:lang w:val="zh-CN" w:eastAsia="zh-CN"/>
        </w:rPr>
      </w:pPr>
    </w:p>
    <w:p w14:paraId="2AEC0F6B">
      <w:pPr>
        <w:rPr>
          <w:rFonts w:hint="eastAsia" w:ascii="宋体" w:hAnsi="宋体" w:eastAsia="宋体" w:cs="宋体"/>
          <w:highlight w:val="none"/>
          <w:lang w:val="zh-CN" w:eastAsia="zh-CN"/>
        </w:rPr>
      </w:pPr>
    </w:p>
    <w:p w14:paraId="57133F70">
      <w:pPr>
        <w:pStyle w:val="12"/>
        <w:rPr>
          <w:rFonts w:hint="eastAsia" w:ascii="宋体" w:hAnsi="宋体" w:eastAsia="宋体" w:cs="宋体"/>
          <w:highlight w:val="none"/>
        </w:rPr>
      </w:pPr>
    </w:p>
    <w:p w14:paraId="44192CB7">
      <w:pPr>
        <w:spacing w:line="560" w:lineRule="exact"/>
        <w:jc w:val="both"/>
        <w:outlineLvl w:val="2"/>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eastAsia="zh-CN"/>
        </w:rPr>
        <w:t>格式</w:t>
      </w:r>
      <w:r>
        <w:rPr>
          <w:rFonts w:hint="eastAsia" w:ascii="宋体" w:hAnsi="宋体" w:cs="宋体"/>
          <w:b/>
          <w:bCs/>
          <w:sz w:val="28"/>
          <w:szCs w:val="28"/>
          <w:highlight w:val="none"/>
          <w:lang w:val="en-US" w:eastAsia="zh-CN"/>
        </w:rPr>
        <w:t>2</w:t>
      </w:r>
    </w:p>
    <w:p w14:paraId="0167576B">
      <w:pPr>
        <w:rPr>
          <w:rFonts w:hint="eastAsia" w:ascii="宋体" w:hAnsi="宋体" w:eastAsia="宋体" w:cs="宋体"/>
          <w:highlight w:val="none"/>
        </w:rPr>
      </w:pPr>
    </w:p>
    <w:p w14:paraId="1025CE68">
      <w:pPr>
        <w:jc w:val="center"/>
        <w:outlineLvl w:val="2"/>
        <w:rPr>
          <w:rFonts w:hint="eastAsia" w:ascii="宋体" w:hAnsi="宋体" w:eastAsia="宋体" w:cs="宋体"/>
          <w:b/>
          <w:sz w:val="28"/>
          <w:szCs w:val="28"/>
          <w:highlight w:val="none"/>
          <w:lang w:val="zh-CN"/>
        </w:rPr>
      </w:pPr>
    </w:p>
    <w:p w14:paraId="42099BF0">
      <w:pPr>
        <w:jc w:val="center"/>
        <w:outlineLvl w:val="2"/>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企业关系关联承诺书</w:t>
      </w:r>
    </w:p>
    <w:p w14:paraId="09C531F1">
      <w:pPr>
        <w:pStyle w:val="12"/>
        <w:rPr>
          <w:rFonts w:hint="eastAsia" w:ascii="宋体" w:hAnsi="宋体" w:eastAsia="宋体" w:cs="宋体"/>
          <w:highlight w:val="none"/>
        </w:rPr>
      </w:pPr>
    </w:p>
    <w:p w14:paraId="3CC101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1、供应商股东及股权证明。（提供国家企业信用信息公示系统http://www.gsxt.gov.cn/index.html网页截图并加盖供应商红章）</w:t>
      </w:r>
    </w:p>
    <w:p w14:paraId="1A35C17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2、供应商在本项目谈判中，不存在与其它供应商负责人为同一人，有控股、管理等关联关系承诺：</w:t>
      </w:r>
    </w:p>
    <w:p w14:paraId="32ED4F0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2.1管理关系说明：</w:t>
      </w:r>
    </w:p>
    <w:p w14:paraId="723AE886">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我单位管理的具有独立法人的下属单位有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3AA7A4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我单位的上级管理单位有</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6091B9C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2.2股权关系说明：</w:t>
      </w:r>
    </w:p>
    <w:p w14:paraId="5CD4C88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我单位控股的单位有</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0BD6FF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我单位被单位控股</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6778C270">
      <w:pPr>
        <w:spacing w:line="500" w:lineRule="exact"/>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2.3、单位负责人：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6B27212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（是或否） 为采购项目提供整体设计、规范编制或者项目管理、监理、检测等服务的供应商。</w:t>
      </w:r>
    </w:p>
    <w:p w14:paraId="3E3968A9">
      <w:pPr>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4、其他与本项目有关的利害关系说明：</w:t>
      </w:r>
    </w:p>
    <w:p w14:paraId="7E4C3213">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我单位承诺以上说明真实有效，无虚假内容或隐瞒。</w:t>
      </w:r>
    </w:p>
    <w:p w14:paraId="190B6406">
      <w:pPr>
        <w:spacing w:line="500" w:lineRule="exact"/>
        <w:ind w:firstLine="240" w:firstLineChars="100"/>
        <w:rPr>
          <w:rFonts w:hint="eastAsia" w:ascii="宋体" w:hAnsi="宋体" w:eastAsia="宋体" w:cs="宋体"/>
          <w:sz w:val="24"/>
          <w:szCs w:val="24"/>
          <w:highlight w:val="none"/>
        </w:rPr>
      </w:pPr>
    </w:p>
    <w:p w14:paraId="7D199E8C">
      <w:pPr>
        <w:pStyle w:val="12"/>
        <w:rPr>
          <w:rFonts w:hint="eastAsia" w:ascii="宋体" w:hAnsi="宋体" w:eastAsia="宋体" w:cs="宋体"/>
          <w:highlight w:val="none"/>
        </w:rPr>
      </w:pPr>
    </w:p>
    <w:p w14:paraId="4B640316">
      <w:pPr>
        <w:spacing w:line="500" w:lineRule="exact"/>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42C32957">
      <w:pPr>
        <w:spacing w:line="500" w:lineRule="exact"/>
        <w:ind w:firstLine="240" w:firstLineChars="100"/>
        <w:rPr>
          <w:rFonts w:hint="eastAsia" w:ascii="宋体" w:hAnsi="宋体" w:eastAsia="宋体" w:cs="宋体"/>
          <w:sz w:val="24"/>
          <w:szCs w:val="24"/>
          <w:highlight w:val="none"/>
        </w:rPr>
      </w:pPr>
    </w:p>
    <w:p w14:paraId="0A38A0EF">
      <w:pPr>
        <w:spacing w:line="280" w:lineRule="exact"/>
        <w:ind w:right="540" w:rightChars="257"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4AE836C">
      <w:pPr>
        <w:spacing w:line="280" w:lineRule="exact"/>
        <w:ind w:right="540" w:rightChars="257"/>
        <w:rPr>
          <w:rFonts w:hint="eastAsia" w:ascii="宋体" w:hAnsi="宋体" w:eastAsia="宋体" w:cs="宋体"/>
          <w:sz w:val="24"/>
          <w:szCs w:val="24"/>
          <w:highlight w:val="none"/>
        </w:rPr>
      </w:pPr>
    </w:p>
    <w:p w14:paraId="083480FE">
      <w:pPr>
        <w:spacing w:line="280" w:lineRule="exact"/>
        <w:ind w:right="540" w:rightChars="257"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7425D148">
      <w:pPr>
        <w:spacing w:line="500" w:lineRule="exact"/>
        <w:ind w:firstLine="3213" w:firstLineChars="1000"/>
        <w:rPr>
          <w:rFonts w:hint="eastAsia" w:ascii="宋体" w:hAnsi="宋体" w:eastAsia="宋体" w:cs="宋体"/>
          <w:b/>
          <w:sz w:val="32"/>
          <w:szCs w:val="32"/>
          <w:highlight w:val="none"/>
        </w:rPr>
      </w:pPr>
      <w:r>
        <w:rPr>
          <w:rFonts w:hint="eastAsia" w:ascii="宋体" w:hAnsi="宋体" w:cs="宋体"/>
          <w:b/>
          <w:sz w:val="32"/>
          <w:szCs w:val="32"/>
          <w:highlight w:val="none"/>
          <w:lang w:val="en-US" w:eastAsia="zh-CN"/>
        </w:rPr>
        <w:br w:type="page"/>
      </w:r>
    </w:p>
    <w:p w14:paraId="6E1CF9A3">
      <w:pPr>
        <w:rPr>
          <w:rFonts w:hint="eastAsia" w:ascii="宋体" w:hAnsi="宋体" w:eastAsia="宋体" w:cs="宋体"/>
          <w:b/>
          <w:sz w:val="32"/>
          <w:szCs w:val="32"/>
          <w:highlight w:val="none"/>
        </w:rPr>
      </w:pPr>
    </w:p>
    <w:p w14:paraId="5CE91453">
      <w:pPr>
        <w:numPr>
          <w:ilvl w:val="0"/>
          <w:numId w:val="19"/>
        </w:numPr>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其他资料</w:t>
      </w:r>
    </w:p>
    <w:p w14:paraId="34451CC3">
      <w:pPr>
        <w:pStyle w:val="12"/>
        <w:rPr>
          <w:rFonts w:hint="eastAsia" w:ascii="宋体" w:hAnsi="宋体" w:eastAsia="宋体" w:cs="宋体"/>
          <w:highlight w:val="none"/>
        </w:rPr>
      </w:pPr>
    </w:p>
    <w:p w14:paraId="0C213443">
      <w:pPr>
        <w:pStyle w:val="12"/>
        <w:rPr>
          <w:rFonts w:hint="eastAsia" w:ascii="宋体" w:hAnsi="宋体" w:eastAsia="宋体" w:cs="宋体"/>
          <w:highlight w:val="none"/>
        </w:rPr>
      </w:pPr>
    </w:p>
    <w:p w14:paraId="430C97C8">
      <w:pPr>
        <w:pStyle w:val="12"/>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1、依据竞争性谈判文件要求，供应商认为有必要说明的其他内容。</w:t>
      </w:r>
    </w:p>
    <w:p w14:paraId="29EAD941">
      <w:pPr>
        <w:pStyle w:val="12"/>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r>
        <w:rPr>
          <w:rFonts w:hint="eastAsia" w:ascii="宋体" w:hAnsi="宋体" w:cs="宋体"/>
          <w:sz w:val="24"/>
          <w:szCs w:val="24"/>
          <w:highlight w:val="none"/>
          <w:lang w:eastAsia="zh-CN"/>
        </w:rPr>
        <w:t>（如：相关证明业绩、信誉等）</w:t>
      </w:r>
      <w:r>
        <w:rPr>
          <w:rFonts w:hint="eastAsia" w:ascii="宋体" w:hAnsi="宋体" w:eastAsia="宋体" w:cs="宋体"/>
          <w:sz w:val="24"/>
          <w:szCs w:val="24"/>
          <w:highlight w:val="none"/>
        </w:rPr>
        <w:t>。</w:t>
      </w:r>
    </w:p>
    <w:p w14:paraId="51987C00">
      <w:pPr>
        <w:rPr>
          <w:rFonts w:hint="eastAsia" w:ascii="宋体" w:hAnsi="宋体" w:eastAsia="宋体" w:cs="宋体"/>
          <w:b/>
          <w:sz w:val="28"/>
          <w:szCs w:val="28"/>
          <w:highlight w:val="none"/>
        </w:rPr>
      </w:pPr>
    </w:p>
    <w:p w14:paraId="350E0886">
      <w:pPr>
        <w:rPr>
          <w:rFonts w:hint="eastAsia" w:ascii="宋体" w:hAnsi="宋体" w:eastAsia="宋体" w:cs="宋体"/>
          <w:b/>
          <w:sz w:val="28"/>
          <w:szCs w:val="28"/>
          <w:highlight w:val="none"/>
        </w:rPr>
      </w:pPr>
    </w:p>
    <w:p w14:paraId="2994FA63">
      <w:pPr>
        <w:rPr>
          <w:rFonts w:hint="eastAsia" w:ascii="宋体" w:hAnsi="宋体" w:eastAsia="宋体" w:cs="宋体"/>
          <w:b/>
          <w:sz w:val="28"/>
          <w:szCs w:val="28"/>
          <w:highlight w:val="none"/>
        </w:rPr>
      </w:pPr>
    </w:p>
    <w:p w14:paraId="464A7291">
      <w:pPr>
        <w:pStyle w:val="12"/>
        <w:rPr>
          <w:rFonts w:hint="eastAsia" w:ascii="宋体" w:hAnsi="宋体" w:eastAsia="宋体" w:cs="宋体"/>
          <w:b/>
          <w:sz w:val="28"/>
          <w:szCs w:val="28"/>
          <w:highlight w:val="none"/>
        </w:rPr>
      </w:pPr>
    </w:p>
    <w:p w14:paraId="4A55B675">
      <w:pPr>
        <w:pStyle w:val="12"/>
        <w:rPr>
          <w:rFonts w:hint="eastAsia" w:ascii="宋体" w:hAnsi="宋体" w:eastAsia="宋体" w:cs="宋体"/>
          <w:b/>
          <w:sz w:val="28"/>
          <w:szCs w:val="28"/>
          <w:highlight w:val="none"/>
        </w:rPr>
      </w:pPr>
    </w:p>
    <w:p w14:paraId="3F3611F9">
      <w:pPr>
        <w:pStyle w:val="12"/>
        <w:rPr>
          <w:rFonts w:hint="eastAsia" w:ascii="宋体" w:hAnsi="宋体" w:eastAsia="宋体" w:cs="宋体"/>
          <w:b/>
          <w:sz w:val="28"/>
          <w:szCs w:val="28"/>
          <w:highlight w:val="none"/>
        </w:rPr>
      </w:pPr>
    </w:p>
    <w:p w14:paraId="299C640B">
      <w:pPr>
        <w:pStyle w:val="12"/>
        <w:rPr>
          <w:rFonts w:hint="eastAsia" w:ascii="宋体" w:hAnsi="宋体" w:eastAsia="宋体" w:cs="宋体"/>
          <w:b/>
          <w:sz w:val="28"/>
          <w:szCs w:val="28"/>
          <w:highlight w:val="none"/>
        </w:rPr>
      </w:pPr>
    </w:p>
    <w:p w14:paraId="5DA75EC1">
      <w:pPr>
        <w:pStyle w:val="12"/>
        <w:rPr>
          <w:rFonts w:hint="eastAsia" w:ascii="宋体" w:hAnsi="宋体" w:eastAsia="宋体" w:cs="宋体"/>
          <w:b/>
          <w:sz w:val="28"/>
          <w:szCs w:val="28"/>
          <w:highlight w:val="none"/>
        </w:rPr>
      </w:pPr>
    </w:p>
    <w:p w14:paraId="69834EEB">
      <w:pPr>
        <w:pStyle w:val="12"/>
        <w:rPr>
          <w:rFonts w:hint="eastAsia" w:ascii="宋体" w:hAnsi="宋体" w:eastAsia="宋体" w:cs="宋体"/>
          <w:b/>
          <w:sz w:val="28"/>
          <w:szCs w:val="28"/>
          <w:highlight w:val="none"/>
        </w:rPr>
      </w:pPr>
    </w:p>
    <w:p w14:paraId="60D61121">
      <w:pPr>
        <w:pStyle w:val="12"/>
        <w:rPr>
          <w:rFonts w:hint="eastAsia" w:ascii="宋体" w:hAnsi="宋体" w:eastAsia="宋体" w:cs="宋体"/>
          <w:b/>
          <w:sz w:val="28"/>
          <w:szCs w:val="28"/>
          <w:highlight w:val="none"/>
        </w:rPr>
      </w:pPr>
    </w:p>
    <w:p w14:paraId="576BCB5E">
      <w:pPr>
        <w:pStyle w:val="12"/>
        <w:rPr>
          <w:rFonts w:hint="eastAsia" w:ascii="宋体" w:hAnsi="宋体" w:eastAsia="宋体" w:cs="宋体"/>
          <w:b/>
          <w:sz w:val="28"/>
          <w:szCs w:val="28"/>
          <w:highlight w:val="none"/>
        </w:rPr>
      </w:pPr>
    </w:p>
    <w:p w14:paraId="653F2D51">
      <w:pPr>
        <w:pStyle w:val="12"/>
        <w:rPr>
          <w:rFonts w:hint="eastAsia" w:ascii="宋体" w:hAnsi="宋体" w:eastAsia="宋体" w:cs="宋体"/>
          <w:b/>
          <w:sz w:val="28"/>
          <w:szCs w:val="28"/>
          <w:highlight w:val="none"/>
        </w:rPr>
      </w:pPr>
    </w:p>
    <w:p w14:paraId="4A856D6B">
      <w:pPr>
        <w:pStyle w:val="12"/>
        <w:rPr>
          <w:rFonts w:hint="eastAsia" w:ascii="宋体" w:hAnsi="宋体" w:eastAsia="宋体" w:cs="宋体"/>
          <w:b/>
          <w:sz w:val="28"/>
          <w:szCs w:val="28"/>
          <w:highlight w:val="none"/>
        </w:rPr>
      </w:pPr>
    </w:p>
    <w:p w14:paraId="554B2EDE">
      <w:pPr>
        <w:pStyle w:val="12"/>
        <w:rPr>
          <w:rFonts w:hint="eastAsia" w:ascii="宋体" w:hAnsi="宋体" w:eastAsia="宋体" w:cs="宋体"/>
          <w:b/>
          <w:sz w:val="28"/>
          <w:szCs w:val="28"/>
          <w:highlight w:val="none"/>
        </w:rPr>
      </w:pPr>
    </w:p>
    <w:p w14:paraId="02D331E5">
      <w:pPr>
        <w:pStyle w:val="12"/>
        <w:rPr>
          <w:rFonts w:hint="eastAsia" w:ascii="宋体" w:hAnsi="宋体" w:eastAsia="宋体" w:cs="宋体"/>
          <w:b/>
          <w:sz w:val="28"/>
          <w:szCs w:val="28"/>
          <w:highlight w:val="none"/>
        </w:rPr>
      </w:pPr>
    </w:p>
    <w:p w14:paraId="343A28DC">
      <w:pPr>
        <w:pStyle w:val="12"/>
        <w:rPr>
          <w:rFonts w:hint="eastAsia" w:ascii="宋体" w:hAnsi="宋体" w:eastAsia="宋体" w:cs="宋体"/>
          <w:b/>
          <w:sz w:val="28"/>
          <w:szCs w:val="28"/>
          <w:highlight w:val="none"/>
        </w:rPr>
      </w:pPr>
    </w:p>
    <w:p w14:paraId="55A94F07">
      <w:pPr>
        <w:pStyle w:val="12"/>
        <w:rPr>
          <w:rFonts w:hint="eastAsia" w:ascii="宋体" w:hAnsi="宋体" w:eastAsia="宋体" w:cs="宋体"/>
          <w:b/>
          <w:sz w:val="28"/>
          <w:szCs w:val="28"/>
          <w:highlight w:val="none"/>
        </w:rPr>
      </w:pPr>
    </w:p>
    <w:p w14:paraId="597F373C">
      <w:pPr>
        <w:pStyle w:val="12"/>
        <w:rPr>
          <w:rFonts w:hint="eastAsia" w:ascii="宋体" w:hAnsi="宋体" w:eastAsia="宋体" w:cs="宋体"/>
          <w:b/>
          <w:sz w:val="28"/>
          <w:szCs w:val="28"/>
          <w:highlight w:val="none"/>
        </w:rPr>
      </w:pPr>
    </w:p>
    <w:p w14:paraId="01B79066">
      <w:pPr>
        <w:pStyle w:val="12"/>
        <w:rPr>
          <w:rFonts w:hint="eastAsia" w:ascii="宋体" w:hAnsi="宋体" w:eastAsia="宋体" w:cs="宋体"/>
          <w:b/>
          <w:sz w:val="28"/>
          <w:szCs w:val="28"/>
          <w:highlight w:val="none"/>
        </w:rPr>
      </w:pPr>
    </w:p>
    <w:p w14:paraId="00346182">
      <w:pPr>
        <w:pStyle w:val="12"/>
        <w:rPr>
          <w:rFonts w:hint="eastAsia" w:ascii="宋体" w:hAnsi="宋体" w:eastAsia="宋体" w:cs="宋体"/>
          <w:b/>
          <w:sz w:val="28"/>
          <w:szCs w:val="28"/>
          <w:highlight w:val="none"/>
        </w:rPr>
      </w:pPr>
    </w:p>
    <w:p w14:paraId="3FC4466B">
      <w:pPr>
        <w:pStyle w:val="12"/>
        <w:rPr>
          <w:rFonts w:hint="eastAsia" w:ascii="宋体" w:hAnsi="宋体" w:eastAsia="宋体" w:cs="宋体"/>
          <w:b/>
          <w:sz w:val="28"/>
          <w:szCs w:val="28"/>
          <w:highlight w:val="none"/>
        </w:rPr>
      </w:pPr>
    </w:p>
    <w:p w14:paraId="6A7303C3">
      <w:pPr>
        <w:rPr>
          <w:rFonts w:hint="eastAsia" w:ascii="宋体" w:hAnsi="宋体" w:eastAsia="宋体" w:cs="宋体"/>
          <w:b/>
          <w:sz w:val="28"/>
          <w:szCs w:val="28"/>
          <w:highlight w:val="none"/>
        </w:rPr>
      </w:pPr>
    </w:p>
    <w:bookmarkEnd w:id="34"/>
    <w:bookmarkEnd w:id="35"/>
    <w:bookmarkEnd w:id="36"/>
    <w:bookmarkEnd w:id="37"/>
    <w:bookmarkEnd w:id="38"/>
    <w:p w14:paraId="5409582C">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016EB114">
      <w:pPr>
        <w:pStyle w:val="98"/>
        <w:spacing w:before="120" w:after="120"/>
        <w:ind w:firstLine="3534" w:firstLineChars="11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供应商性质</w:t>
      </w:r>
    </w:p>
    <w:p w14:paraId="36A8C4BA">
      <w:pPr>
        <w:pStyle w:val="102"/>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1．中小企业声明函</w:t>
      </w:r>
    </w:p>
    <w:p w14:paraId="6304118F">
      <w:pPr>
        <w:pStyle w:val="102"/>
        <w:spacing w:line="360" w:lineRule="auto"/>
        <w:ind w:firstLine="482" w:firstLineChars="200"/>
        <w:outlineLvl w:val="9"/>
        <w:rPr>
          <w:rFonts w:hint="eastAsia" w:ascii="宋体" w:hAnsi="宋体" w:eastAsia="宋体" w:cs="宋体"/>
          <w:color w:val="auto"/>
          <w:sz w:val="24"/>
          <w:szCs w:val="24"/>
          <w:highlight w:val="none"/>
        </w:rPr>
      </w:pPr>
    </w:p>
    <w:p w14:paraId="554AC4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6E35909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FCF1C0">
      <w:pPr>
        <w:spacing w:before="100" w:beforeAutospacing="1"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中小企业声明函（服务格式）</w:t>
      </w:r>
    </w:p>
    <w:p w14:paraId="4AA96C9F">
      <w:pPr>
        <w:rPr>
          <w:rFonts w:hint="eastAsia" w:ascii="宋体" w:hAnsi="宋体" w:eastAsia="宋体" w:cs="宋体"/>
          <w:color w:val="auto"/>
          <w:sz w:val="24"/>
          <w:szCs w:val="24"/>
          <w:highlight w:val="none"/>
        </w:rPr>
      </w:pPr>
    </w:p>
    <w:p w14:paraId="6BB73860">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FBE4601">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企业（选填中型企业、小型企业、微型企业）；</w:t>
      </w:r>
    </w:p>
    <w:p w14:paraId="451FC3D8">
      <w:pPr>
        <w:spacing w:line="560" w:lineRule="exact"/>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；承接企业为〈企业名称〉，从业人员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企业（选填中型企业、小型企业、微型企业）；</w:t>
      </w:r>
    </w:p>
    <w:p w14:paraId="55CE5956">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816CC89">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EB0615E">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743615A">
      <w:pPr>
        <w:spacing w:line="560" w:lineRule="exact"/>
        <w:jc w:val="both"/>
        <w:rPr>
          <w:rFonts w:hint="eastAsia" w:ascii="宋体" w:hAnsi="宋体" w:eastAsia="宋体" w:cs="宋体"/>
          <w:color w:val="auto"/>
          <w:sz w:val="24"/>
          <w:szCs w:val="24"/>
          <w:highlight w:val="none"/>
        </w:rPr>
      </w:pPr>
    </w:p>
    <w:p w14:paraId="1B0BC0E8">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供应商：（供应商全称并加盖公章）</w:t>
      </w:r>
    </w:p>
    <w:p w14:paraId="4A7D11FC">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26287C8">
      <w:pPr>
        <w:pStyle w:val="2"/>
        <w:rPr>
          <w:rFonts w:hint="eastAsia" w:ascii="宋体" w:hAnsi="宋体" w:eastAsia="宋体" w:cs="宋体"/>
          <w:color w:val="auto"/>
          <w:sz w:val="24"/>
          <w:szCs w:val="24"/>
          <w:highlight w:val="none"/>
        </w:rPr>
      </w:pPr>
    </w:p>
    <w:p w14:paraId="45960FF7">
      <w:pPr>
        <w:pStyle w:val="29"/>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从业人员、营业收入、资产总额填报上一年度数据， 无上一年度数据的新成立企业可不填报</w:t>
      </w:r>
    </w:p>
    <w:p w14:paraId="1C178C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AC58B2">
      <w:pPr>
        <w:pStyle w:val="102"/>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残疾人福利性单位声明函</w:t>
      </w:r>
    </w:p>
    <w:p w14:paraId="50BDD714">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说明：当供应商为残疾人福利性单位的，应按下文给定格式填写声明函。未提供或未按给定格式提供声明函的，将不能享受招标文件规定的价格优惠政策，但不影响投标文件的有效性。</w:t>
      </w:r>
    </w:p>
    <w:p w14:paraId="342052D7">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供应商在填报前请认真阅读《财政部、民政部、中国残疾人联合会关于促进残疾人就业政府采购政策的通知》（财库〔2017〕141号）相关规定。</w:t>
      </w:r>
    </w:p>
    <w:p w14:paraId="121BF15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D4B667">
      <w:pPr>
        <w:spacing w:before="100" w:beforeAutospacing="1"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残疾人福利性单位声明函（格式）</w:t>
      </w:r>
    </w:p>
    <w:p w14:paraId="45E725A9">
      <w:pPr>
        <w:spacing w:line="560" w:lineRule="exact"/>
        <w:ind w:firstLine="480" w:firstLineChars="200"/>
        <w:jc w:val="both"/>
        <w:rPr>
          <w:rFonts w:hint="eastAsia" w:ascii="宋体" w:hAnsi="宋体" w:eastAsia="宋体" w:cs="宋体"/>
          <w:color w:val="auto"/>
          <w:sz w:val="24"/>
          <w:szCs w:val="24"/>
          <w:highlight w:val="none"/>
        </w:rPr>
      </w:pPr>
    </w:p>
    <w:p w14:paraId="4F0AE61E">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项目编号：）采购活动提供本单位制造的货物（由本单位承担工程/提供服务），或者提供其他残疾人福利性单位制造的货物（不包括使用非残疾人福利性单位注册商标的货物）。</w:t>
      </w:r>
    </w:p>
    <w:p w14:paraId="5D1496D7">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2ADDFFA">
      <w:pPr>
        <w:spacing w:line="560" w:lineRule="exact"/>
        <w:ind w:firstLine="480" w:firstLineChars="200"/>
        <w:jc w:val="both"/>
        <w:rPr>
          <w:rFonts w:hint="eastAsia" w:ascii="宋体" w:hAnsi="宋体" w:eastAsia="宋体" w:cs="宋体"/>
          <w:color w:val="auto"/>
          <w:sz w:val="24"/>
          <w:szCs w:val="24"/>
          <w:highlight w:val="none"/>
        </w:rPr>
      </w:pPr>
    </w:p>
    <w:p w14:paraId="5FD839CF">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供应商：（供应商全称并加盖公章）</w:t>
      </w:r>
    </w:p>
    <w:p w14:paraId="356B905E">
      <w:pPr>
        <w:pStyle w:val="29"/>
        <w:ind w:firstLine="2640" w:firstLineChars="1100"/>
        <w:rPr>
          <w:rFonts w:hint="eastAsia" w:ascii="宋体" w:hAnsi="宋体" w:eastAsia="宋体" w:cs="宋体"/>
          <w:b/>
          <w:bCs w:val="0"/>
          <w:spacing w:val="6"/>
          <w:sz w:val="21"/>
          <w:szCs w:val="21"/>
          <w:highlight w:val="none"/>
          <w:lang w:val="en-US" w:eastAsia="zh-CN"/>
        </w:rPr>
      </w:pPr>
      <w:r>
        <w:rPr>
          <w:rFonts w:hint="eastAsia" w:ascii="宋体" w:hAnsi="宋体" w:eastAsia="宋体" w:cs="宋体"/>
          <w:color w:val="auto"/>
          <w:sz w:val="24"/>
          <w:szCs w:val="24"/>
          <w:highlight w:val="none"/>
        </w:rPr>
        <w:t>日  期：    年  月  日</w:t>
      </w:r>
      <w:r>
        <w:rPr>
          <w:rFonts w:hint="eastAsia" w:ascii="宋体" w:hAnsi="宋体" w:eastAsia="宋体" w:cs="宋体"/>
          <w:b/>
          <w:bCs w:val="0"/>
          <w:spacing w:val="6"/>
          <w:sz w:val="21"/>
          <w:szCs w:val="21"/>
          <w:highlight w:val="none"/>
          <w:lang w:val="en-US" w:eastAsia="zh-CN"/>
        </w:rPr>
        <w:t xml:space="preserve">  </w:t>
      </w:r>
    </w:p>
    <w:p w14:paraId="7177F70E">
      <w:pPr>
        <w:pStyle w:val="29"/>
        <w:rPr>
          <w:rFonts w:hint="eastAsia" w:ascii="宋体" w:hAnsi="宋体" w:eastAsia="宋体" w:cs="宋体"/>
          <w:b/>
          <w:bCs w:val="0"/>
          <w:spacing w:val="6"/>
          <w:sz w:val="21"/>
          <w:szCs w:val="21"/>
          <w:highlight w:val="none"/>
          <w:lang w:val="en-US" w:eastAsia="zh-CN"/>
        </w:rPr>
      </w:pPr>
    </w:p>
    <w:p w14:paraId="508C5D8E">
      <w:pPr>
        <w:pStyle w:val="29"/>
        <w:rPr>
          <w:rFonts w:hint="eastAsia" w:ascii="宋体" w:hAnsi="宋体" w:eastAsia="宋体" w:cs="宋体"/>
          <w:b/>
          <w:bCs w:val="0"/>
          <w:spacing w:val="6"/>
          <w:sz w:val="21"/>
          <w:szCs w:val="21"/>
          <w:highlight w:val="none"/>
          <w:lang w:val="en-US" w:eastAsia="zh-CN"/>
        </w:rPr>
      </w:pPr>
    </w:p>
    <w:p w14:paraId="08D03FE3">
      <w:pPr>
        <w:pStyle w:val="29"/>
        <w:rPr>
          <w:rFonts w:hint="eastAsia" w:ascii="宋体" w:hAnsi="宋体" w:eastAsia="宋体" w:cs="宋体"/>
          <w:b/>
          <w:bCs w:val="0"/>
          <w:spacing w:val="6"/>
          <w:sz w:val="21"/>
          <w:szCs w:val="21"/>
          <w:highlight w:val="none"/>
          <w:lang w:val="en-US" w:eastAsia="zh-CN"/>
        </w:rPr>
      </w:pPr>
    </w:p>
    <w:p w14:paraId="7643DBD4">
      <w:pPr>
        <w:pStyle w:val="29"/>
        <w:rPr>
          <w:rFonts w:hint="eastAsia" w:ascii="宋体" w:hAnsi="宋体" w:eastAsia="宋体" w:cs="宋体"/>
          <w:b/>
          <w:bCs w:val="0"/>
          <w:spacing w:val="6"/>
          <w:sz w:val="21"/>
          <w:szCs w:val="21"/>
          <w:highlight w:val="none"/>
          <w:lang w:val="en-US" w:eastAsia="zh-CN"/>
        </w:rPr>
      </w:pPr>
    </w:p>
    <w:p w14:paraId="6B5DE950">
      <w:pPr>
        <w:pStyle w:val="29"/>
        <w:rPr>
          <w:rFonts w:hint="default" w:ascii="宋体" w:hAnsi="宋体" w:eastAsia="宋体" w:cs="宋体"/>
          <w:sz w:val="24"/>
          <w:szCs w:val="24"/>
          <w:highlight w:val="none"/>
          <w:lang w:val="en-US"/>
        </w:rPr>
      </w:pPr>
      <w:r>
        <w:rPr>
          <w:rFonts w:hint="eastAsia" w:ascii="宋体" w:hAnsi="宋体" w:eastAsia="宋体" w:cs="宋体"/>
          <w:b/>
          <w:bCs w:val="0"/>
          <w:spacing w:val="6"/>
          <w:sz w:val="21"/>
          <w:szCs w:val="21"/>
          <w:highlight w:val="none"/>
          <w:lang w:val="en-US" w:eastAsia="zh-CN"/>
        </w:rPr>
        <w:t>备注：如供应商不属于此企业性质，此项内容可以不提供，但不得删除格式</w:t>
      </w:r>
    </w:p>
    <w:p w14:paraId="3D03E8A8">
      <w:pPr>
        <w:spacing w:line="560" w:lineRule="exact"/>
        <w:ind w:firstLine="2445" w:firstLineChars="1019"/>
        <w:jc w:val="both"/>
        <w:rPr>
          <w:rFonts w:hint="eastAsia" w:ascii="宋体" w:hAnsi="宋体" w:eastAsia="宋体" w:cs="宋体"/>
          <w:color w:val="auto"/>
          <w:sz w:val="24"/>
          <w:szCs w:val="24"/>
          <w:highlight w:val="none"/>
        </w:rPr>
      </w:pPr>
    </w:p>
    <w:p w14:paraId="5746CC1D">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AA54A88">
      <w:pPr>
        <w:spacing w:before="100" w:beforeAutospacing="1" w:afterLines="50" w:line="360" w:lineRule="auto"/>
        <w:jc w:val="both"/>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监狱企业证明函</w:t>
      </w:r>
    </w:p>
    <w:p w14:paraId="49D9D716">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43E78253">
      <w:pPr>
        <w:spacing w:line="560" w:lineRule="exact"/>
        <w:ind w:firstLine="480" w:firstLineChars="200"/>
        <w:jc w:val="center"/>
        <w:rPr>
          <w:rFonts w:hint="eastAsia" w:ascii="宋体" w:hAnsi="宋体" w:eastAsia="宋体" w:cs="宋体"/>
          <w:color w:val="auto"/>
          <w:sz w:val="24"/>
          <w:szCs w:val="24"/>
          <w:highlight w:val="none"/>
        </w:rPr>
      </w:pPr>
    </w:p>
    <w:p w14:paraId="607CC06C">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监狱企业证明函</w:t>
      </w:r>
    </w:p>
    <w:p w14:paraId="023D5511">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FCCAA4">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2F3DDC16">
      <w:pPr>
        <w:spacing w:line="360" w:lineRule="auto"/>
        <w:ind w:right="640"/>
        <w:rPr>
          <w:rFonts w:hint="eastAsia" w:ascii="宋体" w:hAnsi="宋体" w:eastAsia="宋体" w:cs="宋体"/>
          <w:sz w:val="24"/>
          <w:szCs w:val="24"/>
          <w:highlight w:val="none"/>
        </w:rPr>
      </w:pPr>
    </w:p>
    <w:p w14:paraId="60FF0A70">
      <w:pPr>
        <w:spacing w:line="360" w:lineRule="auto"/>
        <w:ind w:right="640"/>
        <w:rPr>
          <w:rFonts w:hint="eastAsia" w:ascii="宋体" w:hAnsi="宋体" w:eastAsia="宋体" w:cs="宋体"/>
          <w:sz w:val="24"/>
          <w:szCs w:val="24"/>
          <w:highlight w:val="none"/>
        </w:rPr>
      </w:pPr>
    </w:p>
    <w:p w14:paraId="1A4102C1">
      <w:pPr>
        <w:spacing w:line="360" w:lineRule="auto"/>
        <w:ind w:right="640"/>
        <w:rPr>
          <w:rFonts w:hint="eastAsia" w:ascii="宋体" w:hAnsi="宋体" w:eastAsia="宋体" w:cs="宋体"/>
          <w:sz w:val="24"/>
          <w:szCs w:val="24"/>
          <w:highlight w:val="none"/>
        </w:rPr>
      </w:pPr>
    </w:p>
    <w:p w14:paraId="7B2904F9">
      <w:pPr>
        <w:pStyle w:val="29"/>
        <w:rPr>
          <w:rFonts w:hint="default" w:ascii="宋体" w:hAnsi="宋体" w:eastAsia="宋体" w:cs="宋体"/>
          <w:sz w:val="24"/>
          <w:szCs w:val="24"/>
          <w:highlight w:val="none"/>
          <w:lang w:val="en-US"/>
        </w:rPr>
      </w:pPr>
      <w:r>
        <w:rPr>
          <w:rFonts w:hint="eastAsia" w:ascii="宋体" w:hAnsi="宋体" w:eastAsia="宋体" w:cs="宋体"/>
          <w:b/>
          <w:bCs w:val="0"/>
          <w:spacing w:val="6"/>
          <w:sz w:val="21"/>
          <w:szCs w:val="21"/>
          <w:highlight w:val="none"/>
          <w:lang w:val="en-US" w:eastAsia="zh-CN"/>
        </w:rPr>
        <w:t xml:space="preserve">  备注：如供应商不属于此企业性质，此项内容可以不提供，但不得删除格式</w:t>
      </w:r>
    </w:p>
    <w:sectPr>
      <w:headerReference r:id="rId11" w:type="default"/>
      <w:footerReference r:id="rId12"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2874">
    <w:pPr>
      <w:pStyle w:val="19"/>
    </w:pPr>
    <w:r>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path/>
          <v:fill on="f" focussize="0,0"/>
          <v:stroke on="f" weight="1.25pt" joinstyle="miter"/>
          <v:imagedata o:title=""/>
          <o:lock v:ext="edit"/>
          <v:textbox inset="0mm,0mm,0mm,0mm" style="mso-fit-shape-to-text:t;">
            <w:txbxContent>
              <w:p w14:paraId="25FEDA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B5FD">
    <w:pPr>
      <w:pStyle w:val="19"/>
      <w:tabs>
        <w:tab w:val="center" w:pos="4394"/>
        <w:tab w:val="clear" w:pos="4153"/>
      </w:tabs>
      <w:rPr>
        <w:rFonts w:eastAsia="宋体"/>
        <w:lang w:eastAsia="zh-CN"/>
      </w:rPr>
    </w:pPr>
    <w:r>
      <w:rPr>
        <w:rFonts w:hint="eastAsia"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BA59">
    <w:pPr>
      <w:tabs>
        <w:tab w:val="left" w:pos="5646"/>
      </w:tabs>
      <w:ind w:right="-420" w:rightChars="-2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71AB">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0596B">
    <w:pPr>
      <w:spacing w:line="196" w:lineRule="auto"/>
      <w:ind w:left="4357"/>
      <w:rPr>
        <w:rFonts w:ascii="Times New Roman" w:hAnsi="Times New Roman" w:eastAsia="Times New Roman" w:cs="Times New Roman"/>
        <w:sz w:val="17"/>
        <w:szCs w:val="17"/>
      </w:rPr>
    </w:pPr>
    <w:r>
      <w:rPr>
        <w:sz w:val="17"/>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89BF89">
                <w:pPr>
                  <w:pStyle w:val="19"/>
                </w:pPr>
                <w:r>
                  <w:fldChar w:fldCharType="begin"/>
                </w:r>
                <w:r>
                  <w:instrText xml:space="preserve"> PAGE  \* MERGEFORMAT </w:instrText>
                </w:r>
                <w:r>
                  <w:fldChar w:fldCharType="separate"/>
                </w:r>
                <w: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51DB">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B636">
    <w:pPr>
      <w:pStyle w:val="2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38DF">
    <w:pPr>
      <w:pStyle w:val="20"/>
      <w:pBdr>
        <w:bottom w:val="none" w:color="auto" w:sz="0" w:space="1"/>
      </w:pBdr>
      <w:tabs>
        <w:tab w:val="right" w:pos="8820"/>
        <w:tab w:val="clear" w:pos="8306"/>
      </w:tabs>
      <w:ind w:right="619" w:rightChars="2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E5F9B"/>
    <w:multiLevelType w:val="singleLevel"/>
    <w:tmpl w:val="8F1E5F9B"/>
    <w:lvl w:ilvl="0" w:tentative="0">
      <w:start w:val="6"/>
      <w:numFmt w:val="chineseCounting"/>
      <w:suff w:val="nothing"/>
      <w:lvlText w:val="%1、"/>
      <w:lvlJc w:val="left"/>
      <w:pPr>
        <w:ind w:left="210" w:firstLine="420"/>
      </w:pPr>
      <w:rPr>
        <w:rFonts w:hint="eastAsia"/>
      </w:rPr>
    </w:lvl>
  </w:abstractNum>
  <w:abstractNum w:abstractNumId="1">
    <w:nsid w:val="9030A7EA"/>
    <w:multiLevelType w:val="singleLevel"/>
    <w:tmpl w:val="9030A7EA"/>
    <w:lvl w:ilvl="0" w:tentative="0">
      <w:start w:val="1"/>
      <w:numFmt w:val="decimal"/>
      <w:suff w:val="nothing"/>
      <w:lvlText w:val="%1、"/>
      <w:lvlJc w:val="left"/>
    </w:lvl>
  </w:abstractNum>
  <w:abstractNum w:abstractNumId="2">
    <w:nsid w:val="AED3DFF6"/>
    <w:multiLevelType w:val="singleLevel"/>
    <w:tmpl w:val="AED3DFF6"/>
    <w:lvl w:ilvl="0" w:tentative="0">
      <w:start w:val="2"/>
      <w:numFmt w:val="decimal"/>
      <w:lvlText w:val="%1."/>
      <w:lvlJc w:val="left"/>
      <w:pPr>
        <w:tabs>
          <w:tab w:val="left" w:pos="312"/>
        </w:tabs>
      </w:pPr>
    </w:lvl>
  </w:abstractNum>
  <w:abstractNum w:abstractNumId="3">
    <w:nsid w:val="B8F5144F"/>
    <w:multiLevelType w:val="singleLevel"/>
    <w:tmpl w:val="B8F5144F"/>
    <w:lvl w:ilvl="0" w:tentative="0">
      <w:start w:val="1"/>
      <w:numFmt w:val="decimal"/>
      <w:suff w:val="nothing"/>
      <w:lvlText w:val="%1、"/>
      <w:lvlJc w:val="left"/>
    </w:lvl>
  </w:abstractNum>
  <w:abstractNum w:abstractNumId="4">
    <w:nsid w:val="D959E576"/>
    <w:multiLevelType w:val="singleLevel"/>
    <w:tmpl w:val="D959E576"/>
    <w:lvl w:ilvl="0" w:tentative="0">
      <w:start w:val="1"/>
      <w:numFmt w:val="decimal"/>
      <w:suff w:val="nothing"/>
      <w:lvlText w:val="（%1）"/>
      <w:lvlJc w:val="left"/>
    </w:lvl>
  </w:abstractNum>
  <w:abstractNum w:abstractNumId="5">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6">
    <w:nsid w:val="0BCE8AA0"/>
    <w:multiLevelType w:val="singleLevel"/>
    <w:tmpl w:val="0BCE8AA0"/>
    <w:lvl w:ilvl="0" w:tentative="0">
      <w:start w:val="3"/>
      <w:numFmt w:val="chineseCounting"/>
      <w:suff w:val="nothing"/>
      <w:lvlText w:val="%1、"/>
      <w:lvlJc w:val="left"/>
      <w:rPr>
        <w:rFonts w:hint="eastAsia"/>
      </w:rPr>
    </w:lvl>
  </w:abstractNum>
  <w:abstractNum w:abstractNumId="7">
    <w:nsid w:val="124BB631"/>
    <w:multiLevelType w:val="singleLevel"/>
    <w:tmpl w:val="124BB631"/>
    <w:lvl w:ilvl="0" w:tentative="0">
      <w:start w:val="7"/>
      <w:numFmt w:val="chineseCounting"/>
      <w:suff w:val="nothing"/>
      <w:lvlText w:val="%1、"/>
      <w:lvlJc w:val="left"/>
      <w:rPr>
        <w:rFonts w:hint="eastAsia"/>
      </w:rPr>
    </w:lvl>
  </w:abstractNum>
  <w:abstractNum w:abstractNumId="8">
    <w:nsid w:val="1613A34F"/>
    <w:multiLevelType w:val="singleLevel"/>
    <w:tmpl w:val="1613A34F"/>
    <w:lvl w:ilvl="0" w:tentative="0">
      <w:start w:val="1"/>
      <w:numFmt w:val="decimal"/>
      <w:lvlText w:val="%1."/>
      <w:lvlJc w:val="left"/>
      <w:pPr>
        <w:tabs>
          <w:tab w:val="left" w:pos="312"/>
        </w:tabs>
      </w:pPr>
    </w:lvl>
  </w:abstractNum>
  <w:abstractNum w:abstractNumId="9">
    <w:nsid w:val="21C1F222"/>
    <w:multiLevelType w:val="singleLevel"/>
    <w:tmpl w:val="21C1F222"/>
    <w:lvl w:ilvl="0" w:tentative="0">
      <w:start w:val="1"/>
      <w:numFmt w:val="decimal"/>
      <w:suff w:val="nothing"/>
      <w:lvlText w:val="%1、"/>
      <w:lvlJc w:val="left"/>
    </w:lvl>
  </w:abstractNum>
  <w:abstractNum w:abstractNumId="10">
    <w:nsid w:val="3D39144C"/>
    <w:multiLevelType w:val="singleLevel"/>
    <w:tmpl w:val="3D39144C"/>
    <w:lvl w:ilvl="0" w:tentative="0">
      <w:start w:val="5"/>
      <w:numFmt w:val="chineseCounting"/>
      <w:suff w:val="nothing"/>
      <w:lvlText w:val="%1、"/>
      <w:lvlJc w:val="left"/>
      <w:rPr>
        <w:rFonts w:hint="eastAsia"/>
      </w:rPr>
    </w:lvl>
  </w:abstractNum>
  <w:abstractNum w:abstractNumId="11">
    <w:nsid w:val="471A98D2"/>
    <w:multiLevelType w:val="singleLevel"/>
    <w:tmpl w:val="471A98D2"/>
    <w:lvl w:ilvl="0" w:tentative="0">
      <w:start w:val="1"/>
      <w:numFmt w:val="decimal"/>
      <w:suff w:val="nothing"/>
      <w:lvlText w:val="（%1）"/>
      <w:lvlJc w:val="left"/>
      <w:pPr>
        <w:ind w:left="-60"/>
      </w:pPr>
    </w:lvl>
  </w:abstractNum>
  <w:abstractNum w:abstractNumId="12">
    <w:nsid w:val="4BEB72D5"/>
    <w:multiLevelType w:val="singleLevel"/>
    <w:tmpl w:val="4BEB72D5"/>
    <w:lvl w:ilvl="0" w:tentative="0">
      <w:start w:val="1"/>
      <w:numFmt w:val="decimal"/>
      <w:suff w:val="nothing"/>
      <w:lvlText w:val="%1、"/>
      <w:lvlJc w:val="left"/>
    </w:lvl>
  </w:abstractNum>
  <w:abstractNum w:abstractNumId="13">
    <w:nsid w:val="54CDCAFB"/>
    <w:multiLevelType w:val="singleLevel"/>
    <w:tmpl w:val="54CDCAFB"/>
    <w:lvl w:ilvl="0" w:tentative="0">
      <w:start w:val="2"/>
      <w:numFmt w:val="chineseCounting"/>
      <w:suff w:val="nothing"/>
      <w:lvlText w:val="%1、"/>
      <w:lvlJc w:val="left"/>
      <w:rPr>
        <w:rFonts w:hint="eastAsia"/>
      </w:rPr>
    </w:lvl>
  </w:abstractNum>
  <w:abstractNum w:abstractNumId="14">
    <w:nsid w:val="59B2460E"/>
    <w:multiLevelType w:val="singleLevel"/>
    <w:tmpl w:val="59B2460E"/>
    <w:lvl w:ilvl="0" w:tentative="0">
      <w:start w:val="2"/>
      <w:numFmt w:val="decimal"/>
      <w:suff w:val="nothing"/>
      <w:lvlText w:val="%1."/>
      <w:lvlJc w:val="left"/>
    </w:lvl>
  </w:abstractNum>
  <w:abstractNum w:abstractNumId="15">
    <w:nsid w:val="59CC62DA"/>
    <w:multiLevelType w:val="singleLevel"/>
    <w:tmpl w:val="59CC62DA"/>
    <w:lvl w:ilvl="0" w:tentative="0">
      <w:start w:val="5"/>
      <w:numFmt w:val="chineseCounting"/>
      <w:suff w:val="space"/>
      <w:lvlText w:val="第%1章"/>
      <w:lvlJc w:val="left"/>
    </w:lvl>
  </w:abstractNum>
  <w:abstractNum w:abstractNumId="16">
    <w:nsid w:val="63FC8640"/>
    <w:multiLevelType w:val="singleLevel"/>
    <w:tmpl w:val="63FC8640"/>
    <w:lvl w:ilvl="0" w:tentative="0">
      <w:start w:val="1"/>
      <w:numFmt w:val="decimal"/>
      <w:suff w:val="nothing"/>
      <w:lvlText w:val="%1、"/>
      <w:lvlJc w:val="left"/>
    </w:lvl>
  </w:abstractNum>
  <w:abstractNum w:abstractNumId="17">
    <w:nsid w:val="6EDDEA52"/>
    <w:multiLevelType w:val="singleLevel"/>
    <w:tmpl w:val="6EDDEA52"/>
    <w:lvl w:ilvl="0" w:tentative="0">
      <w:start w:val="1"/>
      <w:numFmt w:val="decimal"/>
      <w:suff w:val="nothing"/>
      <w:lvlText w:val="（%1）"/>
      <w:lvlJc w:val="left"/>
      <w:pPr>
        <w:ind w:left="-60"/>
      </w:pPr>
    </w:lvl>
  </w:abstractNum>
  <w:abstractNum w:abstractNumId="18">
    <w:nsid w:val="7EE790D1"/>
    <w:multiLevelType w:val="singleLevel"/>
    <w:tmpl w:val="7EE790D1"/>
    <w:lvl w:ilvl="0" w:tentative="0">
      <w:start w:val="1"/>
      <w:numFmt w:val="chineseCounting"/>
      <w:suff w:val="nothing"/>
      <w:lvlText w:val="%1、"/>
      <w:lvlJc w:val="left"/>
      <w:rPr>
        <w:rFonts w:hint="eastAsia"/>
      </w:rPr>
    </w:lvl>
  </w:abstractNum>
  <w:num w:numId="1">
    <w:abstractNumId w:val="11"/>
  </w:num>
  <w:num w:numId="2">
    <w:abstractNumId w:val="2"/>
  </w:num>
  <w:num w:numId="3">
    <w:abstractNumId w:val="4"/>
  </w:num>
  <w:num w:numId="4">
    <w:abstractNumId w:val="14"/>
  </w:num>
  <w:num w:numId="5">
    <w:abstractNumId w:val="16"/>
  </w:num>
  <w:num w:numId="6">
    <w:abstractNumId w:val="12"/>
  </w:num>
  <w:num w:numId="7">
    <w:abstractNumId w:val="0"/>
  </w:num>
  <w:num w:numId="8">
    <w:abstractNumId w:val="3"/>
  </w:num>
  <w:num w:numId="9">
    <w:abstractNumId w:val="1"/>
  </w:num>
  <w:num w:numId="10">
    <w:abstractNumId w:val="18"/>
  </w:num>
  <w:num w:numId="11">
    <w:abstractNumId w:val="13"/>
  </w:num>
  <w:num w:numId="12">
    <w:abstractNumId w:val="8"/>
  </w:num>
  <w:num w:numId="13">
    <w:abstractNumId w:val="15"/>
  </w:num>
  <w:num w:numId="14">
    <w:abstractNumId w:val="9"/>
  </w:num>
  <w:num w:numId="15">
    <w:abstractNumId w:val="5"/>
  </w:num>
  <w:num w:numId="16">
    <w:abstractNumId w:val="6"/>
  </w:num>
  <w:num w:numId="17">
    <w:abstractNumId w:val="10"/>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1OTVmZDQyMzc0YWE2YzUzOGMyMTIxZmExNDlkMTYifQ=="/>
  </w:docVars>
  <w:rsids>
    <w:rsidRoot w:val="00172A27"/>
    <w:rsid w:val="00002484"/>
    <w:rsid w:val="00006BA7"/>
    <w:rsid w:val="00006F34"/>
    <w:rsid w:val="00010923"/>
    <w:rsid w:val="000111C7"/>
    <w:rsid w:val="0001276B"/>
    <w:rsid w:val="00014C80"/>
    <w:rsid w:val="00016233"/>
    <w:rsid w:val="00021033"/>
    <w:rsid w:val="00025B34"/>
    <w:rsid w:val="000267AF"/>
    <w:rsid w:val="000273CC"/>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6281"/>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50EAD"/>
    <w:rsid w:val="00161F97"/>
    <w:rsid w:val="001678B3"/>
    <w:rsid w:val="001700C1"/>
    <w:rsid w:val="00170B2B"/>
    <w:rsid w:val="00172A27"/>
    <w:rsid w:val="00173268"/>
    <w:rsid w:val="00174104"/>
    <w:rsid w:val="0018099E"/>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4449"/>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E760C"/>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64AC3"/>
    <w:rsid w:val="0047581D"/>
    <w:rsid w:val="0047700F"/>
    <w:rsid w:val="00480B75"/>
    <w:rsid w:val="00482488"/>
    <w:rsid w:val="00490528"/>
    <w:rsid w:val="00492676"/>
    <w:rsid w:val="004A58AE"/>
    <w:rsid w:val="004B31F6"/>
    <w:rsid w:val="004C2B0E"/>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C4CA9"/>
    <w:rsid w:val="007D0DD1"/>
    <w:rsid w:val="007D19A6"/>
    <w:rsid w:val="007D1C9C"/>
    <w:rsid w:val="007D2D4E"/>
    <w:rsid w:val="007D5019"/>
    <w:rsid w:val="007E0D4C"/>
    <w:rsid w:val="007E4A4D"/>
    <w:rsid w:val="007E4CA5"/>
    <w:rsid w:val="007E4EE7"/>
    <w:rsid w:val="007F25FF"/>
    <w:rsid w:val="00800C29"/>
    <w:rsid w:val="00801792"/>
    <w:rsid w:val="0080314D"/>
    <w:rsid w:val="0080405B"/>
    <w:rsid w:val="0080427A"/>
    <w:rsid w:val="0080546F"/>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142"/>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E514F"/>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2A45"/>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B735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77A8C"/>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1C10"/>
    <w:rsid w:val="00F1682B"/>
    <w:rsid w:val="00F16F91"/>
    <w:rsid w:val="00F20AD3"/>
    <w:rsid w:val="00F23757"/>
    <w:rsid w:val="00F40C3B"/>
    <w:rsid w:val="00F40F9D"/>
    <w:rsid w:val="00F45FE9"/>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15E6884"/>
    <w:rsid w:val="01D03391"/>
    <w:rsid w:val="01E23011"/>
    <w:rsid w:val="01FB0577"/>
    <w:rsid w:val="020411DA"/>
    <w:rsid w:val="022573A2"/>
    <w:rsid w:val="022D20EE"/>
    <w:rsid w:val="024B788D"/>
    <w:rsid w:val="02514FAA"/>
    <w:rsid w:val="027C5214"/>
    <w:rsid w:val="027D062B"/>
    <w:rsid w:val="029370C7"/>
    <w:rsid w:val="029C526B"/>
    <w:rsid w:val="029E0CDB"/>
    <w:rsid w:val="02A5798A"/>
    <w:rsid w:val="02B84D59"/>
    <w:rsid w:val="02E505EF"/>
    <w:rsid w:val="02E876A7"/>
    <w:rsid w:val="02F474A0"/>
    <w:rsid w:val="03103BAE"/>
    <w:rsid w:val="0314419D"/>
    <w:rsid w:val="03190CB5"/>
    <w:rsid w:val="032D4760"/>
    <w:rsid w:val="03324F93"/>
    <w:rsid w:val="03406F5E"/>
    <w:rsid w:val="0342363C"/>
    <w:rsid w:val="034D4E02"/>
    <w:rsid w:val="037B54CB"/>
    <w:rsid w:val="03824AAC"/>
    <w:rsid w:val="038D72DF"/>
    <w:rsid w:val="03A27284"/>
    <w:rsid w:val="03AD764F"/>
    <w:rsid w:val="03B5557A"/>
    <w:rsid w:val="03CE35CB"/>
    <w:rsid w:val="03D305CA"/>
    <w:rsid w:val="03F11C32"/>
    <w:rsid w:val="03FE52CF"/>
    <w:rsid w:val="041026CE"/>
    <w:rsid w:val="04155920"/>
    <w:rsid w:val="04204165"/>
    <w:rsid w:val="042133C7"/>
    <w:rsid w:val="04553F6E"/>
    <w:rsid w:val="046441B2"/>
    <w:rsid w:val="04716658"/>
    <w:rsid w:val="04787C5D"/>
    <w:rsid w:val="04842AA6"/>
    <w:rsid w:val="048552F8"/>
    <w:rsid w:val="04A171B4"/>
    <w:rsid w:val="04A40A52"/>
    <w:rsid w:val="04B30C95"/>
    <w:rsid w:val="04E13A54"/>
    <w:rsid w:val="05573D16"/>
    <w:rsid w:val="056B3C24"/>
    <w:rsid w:val="0583116F"/>
    <w:rsid w:val="059565ED"/>
    <w:rsid w:val="059B1E55"/>
    <w:rsid w:val="05A71363"/>
    <w:rsid w:val="05AA0F8C"/>
    <w:rsid w:val="05AC72D7"/>
    <w:rsid w:val="05F4066D"/>
    <w:rsid w:val="05F467D4"/>
    <w:rsid w:val="05FB5F06"/>
    <w:rsid w:val="062B640B"/>
    <w:rsid w:val="063D115E"/>
    <w:rsid w:val="06585F98"/>
    <w:rsid w:val="065D710A"/>
    <w:rsid w:val="066E4CAE"/>
    <w:rsid w:val="06894CA3"/>
    <w:rsid w:val="068B5F77"/>
    <w:rsid w:val="06925B6D"/>
    <w:rsid w:val="0696660B"/>
    <w:rsid w:val="069C40D7"/>
    <w:rsid w:val="06A42F8B"/>
    <w:rsid w:val="06C26EFB"/>
    <w:rsid w:val="06CE0008"/>
    <w:rsid w:val="06D864CC"/>
    <w:rsid w:val="06FA1444"/>
    <w:rsid w:val="06FC6897"/>
    <w:rsid w:val="0713629D"/>
    <w:rsid w:val="0747745C"/>
    <w:rsid w:val="077566D6"/>
    <w:rsid w:val="078157D1"/>
    <w:rsid w:val="079C0106"/>
    <w:rsid w:val="07AF1BE8"/>
    <w:rsid w:val="07B13BB2"/>
    <w:rsid w:val="07CF65FF"/>
    <w:rsid w:val="07F341CA"/>
    <w:rsid w:val="0802440D"/>
    <w:rsid w:val="08145EEF"/>
    <w:rsid w:val="08195A76"/>
    <w:rsid w:val="08315D7E"/>
    <w:rsid w:val="084367D4"/>
    <w:rsid w:val="085A5FF7"/>
    <w:rsid w:val="085A74C6"/>
    <w:rsid w:val="08712944"/>
    <w:rsid w:val="08962DA7"/>
    <w:rsid w:val="08FB19A4"/>
    <w:rsid w:val="08FB3435"/>
    <w:rsid w:val="09015CED"/>
    <w:rsid w:val="090D12BC"/>
    <w:rsid w:val="09183C9B"/>
    <w:rsid w:val="09362AAF"/>
    <w:rsid w:val="093A119D"/>
    <w:rsid w:val="094B3B92"/>
    <w:rsid w:val="09564F7B"/>
    <w:rsid w:val="09652EA6"/>
    <w:rsid w:val="09694018"/>
    <w:rsid w:val="0978425B"/>
    <w:rsid w:val="097A67FC"/>
    <w:rsid w:val="09811362"/>
    <w:rsid w:val="098B402E"/>
    <w:rsid w:val="098C3863"/>
    <w:rsid w:val="099224C2"/>
    <w:rsid w:val="09993138"/>
    <w:rsid w:val="09BC683E"/>
    <w:rsid w:val="09D92C37"/>
    <w:rsid w:val="09ED4C49"/>
    <w:rsid w:val="0A1F33AB"/>
    <w:rsid w:val="0A1F5B28"/>
    <w:rsid w:val="0A2A19F9"/>
    <w:rsid w:val="0A31212A"/>
    <w:rsid w:val="0A3208AE"/>
    <w:rsid w:val="0A3D4F01"/>
    <w:rsid w:val="0A552B46"/>
    <w:rsid w:val="0A7950D7"/>
    <w:rsid w:val="0A7B04A7"/>
    <w:rsid w:val="0A803FC8"/>
    <w:rsid w:val="0A912549"/>
    <w:rsid w:val="0AA15EAB"/>
    <w:rsid w:val="0AAE27CA"/>
    <w:rsid w:val="0ABB6AF5"/>
    <w:rsid w:val="0AE93662"/>
    <w:rsid w:val="0AF1320B"/>
    <w:rsid w:val="0AF17010"/>
    <w:rsid w:val="0AF53DB5"/>
    <w:rsid w:val="0B077F8D"/>
    <w:rsid w:val="0B2B3C7B"/>
    <w:rsid w:val="0B6E1DBA"/>
    <w:rsid w:val="0B9510F4"/>
    <w:rsid w:val="0B973E91"/>
    <w:rsid w:val="0B9C6927"/>
    <w:rsid w:val="0BB0283D"/>
    <w:rsid w:val="0BFD6FCF"/>
    <w:rsid w:val="0C087B18"/>
    <w:rsid w:val="0C0F0EA7"/>
    <w:rsid w:val="0C46506D"/>
    <w:rsid w:val="0C6D40AD"/>
    <w:rsid w:val="0C8A677F"/>
    <w:rsid w:val="0CBE28CD"/>
    <w:rsid w:val="0CCA1272"/>
    <w:rsid w:val="0CEB10AA"/>
    <w:rsid w:val="0D097FEC"/>
    <w:rsid w:val="0D1C7D1F"/>
    <w:rsid w:val="0D2B0CC3"/>
    <w:rsid w:val="0D3A6AC1"/>
    <w:rsid w:val="0D3F57BC"/>
    <w:rsid w:val="0D5154EF"/>
    <w:rsid w:val="0D523EEC"/>
    <w:rsid w:val="0D631E83"/>
    <w:rsid w:val="0D774F56"/>
    <w:rsid w:val="0D8D29CB"/>
    <w:rsid w:val="0DAD6BC9"/>
    <w:rsid w:val="0DB5041A"/>
    <w:rsid w:val="0DC12C53"/>
    <w:rsid w:val="0DD451C6"/>
    <w:rsid w:val="0DD71E98"/>
    <w:rsid w:val="0DE46F59"/>
    <w:rsid w:val="0E180627"/>
    <w:rsid w:val="0E3F3599"/>
    <w:rsid w:val="0E4868F2"/>
    <w:rsid w:val="0E544833"/>
    <w:rsid w:val="0E580E17"/>
    <w:rsid w:val="0E666D78"/>
    <w:rsid w:val="0E6E1FAD"/>
    <w:rsid w:val="0E7A3FA8"/>
    <w:rsid w:val="0E926395"/>
    <w:rsid w:val="0E9E01A5"/>
    <w:rsid w:val="0EAE0E4B"/>
    <w:rsid w:val="0EC11AEA"/>
    <w:rsid w:val="0ECC5F22"/>
    <w:rsid w:val="0EEC0BE9"/>
    <w:rsid w:val="0F192865"/>
    <w:rsid w:val="0F2920E4"/>
    <w:rsid w:val="0F360424"/>
    <w:rsid w:val="0F4155C6"/>
    <w:rsid w:val="0F7F0EF9"/>
    <w:rsid w:val="0F970C16"/>
    <w:rsid w:val="0F9B0CA3"/>
    <w:rsid w:val="0FCD5301"/>
    <w:rsid w:val="0FD146C5"/>
    <w:rsid w:val="0FD6660F"/>
    <w:rsid w:val="0FDB7A2F"/>
    <w:rsid w:val="0FE9742C"/>
    <w:rsid w:val="0FF7696F"/>
    <w:rsid w:val="100D0BAA"/>
    <w:rsid w:val="106663EC"/>
    <w:rsid w:val="106D0892"/>
    <w:rsid w:val="106D43EE"/>
    <w:rsid w:val="107B45B1"/>
    <w:rsid w:val="10AF0EAA"/>
    <w:rsid w:val="10BE76B9"/>
    <w:rsid w:val="110F7B9B"/>
    <w:rsid w:val="11233F97"/>
    <w:rsid w:val="1137099C"/>
    <w:rsid w:val="11452DE3"/>
    <w:rsid w:val="116E43FC"/>
    <w:rsid w:val="11714C98"/>
    <w:rsid w:val="11A55E09"/>
    <w:rsid w:val="11A6559D"/>
    <w:rsid w:val="11AE1162"/>
    <w:rsid w:val="11B147AE"/>
    <w:rsid w:val="11B5219D"/>
    <w:rsid w:val="11BD5212"/>
    <w:rsid w:val="11D543EE"/>
    <w:rsid w:val="11FE3E97"/>
    <w:rsid w:val="12072620"/>
    <w:rsid w:val="120E39AF"/>
    <w:rsid w:val="120F2660"/>
    <w:rsid w:val="12271C6A"/>
    <w:rsid w:val="12301BDC"/>
    <w:rsid w:val="123F6E4A"/>
    <w:rsid w:val="12423403"/>
    <w:rsid w:val="12490E8B"/>
    <w:rsid w:val="12592048"/>
    <w:rsid w:val="126B7053"/>
    <w:rsid w:val="12922A85"/>
    <w:rsid w:val="12A13F4A"/>
    <w:rsid w:val="12B46304"/>
    <w:rsid w:val="12B5207C"/>
    <w:rsid w:val="12B66520"/>
    <w:rsid w:val="12C7072D"/>
    <w:rsid w:val="12D9642F"/>
    <w:rsid w:val="12E50BB3"/>
    <w:rsid w:val="12E73A02"/>
    <w:rsid w:val="12E94609"/>
    <w:rsid w:val="12EE73D0"/>
    <w:rsid w:val="12FB2185"/>
    <w:rsid w:val="130D65BB"/>
    <w:rsid w:val="130F3E82"/>
    <w:rsid w:val="132A7A92"/>
    <w:rsid w:val="132F4F49"/>
    <w:rsid w:val="135037EB"/>
    <w:rsid w:val="13517FF7"/>
    <w:rsid w:val="135E29E4"/>
    <w:rsid w:val="13791725"/>
    <w:rsid w:val="137F4E4D"/>
    <w:rsid w:val="13904FC3"/>
    <w:rsid w:val="13BE14CF"/>
    <w:rsid w:val="13F015BE"/>
    <w:rsid w:val="143F42F3"/>
    <w:rsid w:val="147A357D"/>
    <w:rsid w:val="147F6DE6"/>
    <w:rsid w:val="14995A19"/>
    <w:rsid w:val="14CD7B51"/>
    <w:rsid w:val="14F0383F"/>
    <w:rsid w:val="14F11BE1"/>
    <w:rsid w:val="15001CD4"/>
    <w:rsid w:val="150A61A4"/>
    <w:rsid w:val="150A6A7F"/>
    <w:rsid w:val="151762C4"/>
    <w:rsid w:val="15365590"/>
    <w:rsid w:val="154F3A6C"/>
    <w:rsid w:val="156E30E2"/>
    <w:rsid w:val="158540DD"/>
    <w:rsid w:val="159077EE"/>
    <w:rsid w:val="159B19FD"/>
    <w:rsid w:val="15AA1C40"/>
    <w:rsid w:val="15C26F8A"/>
    <w:rsid w:val="15F0662A"/>
    <w:rsid w:val="16166263"/>
    <w:rsid w:val="16331C36"/>
    <w:rsid w:val="16442095"/>
    <w:rsid w:val="164B0DF0"/>
    <w:rsid w:val="1651030E"/>
    <w:rsid w:val="16691AFB"/>
    <w:rsid w:val="167A6EE1"/>
    <w:rsid w:val="167B4B5C"/>
    <w:rsid w:val="168F788A"/>
    <w:rsid w:val="16937499"/>
    <w:rsid w:val="16B74615"/>
    <w:rsid w:val="16C136E5"/>
    <w:rsid w:val="16E21383"/>
    <w:rsid w:val="16EE4D8D"/>
    <w:rsid w:val="16F7073B"/>
    <w:rsid w:val="171B1048"/>
    <w:rsid w:val="172E4372"/>
    <w:rsid w:val="17332505"/>
    <w:rsid w:val="17577BA6"/>
    <w:rsid w:val="177B1AE6"/>
    <w:rsid w:val="17902172"/>
    <w:rsid w:val="17982698"/>
    <w:rsid w:val="17D3547E"/>
    <w:rsid w:val="17EC6088"/>
    <w:rsid w:val="1800023D"/>
    <w:rsid w:val="181F726F"/>
    <w:rsid w:val="18357E4C"/>
    <w:rsid w:val="18675F1B"/>
    <w:rsid w:val="187301E8"/>
    <w:rsid w:val="187F72BD"/>
    <w:rsid w:val="18B12C39"/>
    <w:rsid w:val="18D07C10"/>
    <w:rsid w:val="18E616BD"/>
    <w:rsid w:val="195C14A3"/>
    <w:rsid w:val="198A0A74"/>
    <w:rsid w:val="19A741F4"/>
    <w:rsid w:val="19C740EA"/>
    <w:rsid w:val="19CD414F"/>
    <w:rsid w:val="19CE0D96"/>
    <w:rsid w:val="19ED042F"/>
    <w:rsid w:val="19EE47F1"/>
    <w:rsid w:val="1A303D79"/>
    <w:rsid w:val="1A3801B5"/>
    <w:rsid w:val="1A487060"/>
    <w:rsid w:val="1A4E5290"/>
    <w:rsid w:val="1A667B51"/>
    <w:rsid w:val="1A7C004F"/>
    <w:rsid w:val="1A846B3C"/>
    <w:rsid w:val="1A941744"/>
    <w:rsid w:val="1AAC0209"/>
    <w:rsid w:val="1AB6782D"/>
    <w:rsid w:val="1AE249C5"/>
    <w:rsid w:val="1B043BA1"/>
    <w:rsid w:val="1B1425D4"/>
    <w:rsid w:val="1B155FFD"/>
    <w:rsid w:val="1B157B5C"/>
    <w:rsid w:val="1B1970DF"/>
    <w:rsid w:val="1B6712A8"/>
    <w:rsid w:val="1B8E43E1"/>
    <w:rsid w:val="1B9B7CA7"/>
    <w:rsid w:val="1BA535D6"/>
    <w:rsid w:val="1BB905CA"/>
    <w:rsid w:val="1BB97074"/>
    <w:rsid w:val="1BC33A5C"/>
    <w:rsid w:val="1BCF2401"/>
    <w:rsid w:val="1BD2289D"/>
    <w:rsid w:val="1BF63E31"/>
    <w:rsid w:val="1BFA7804"/>
    <w:rsid w:val="1C024584"/>
    <w:rsid w:val="1C0876C1"/>
    <w:rsid w:val="1C11403B"/>
    <w:rsid w:val="1C46561A"/>
    <w:rsid w:val="1C4E77C9"/>
    <w:rsid w:val="1C583D58"/>
    <w:rsid w:val="1C5D17BA"/>
    <w:rsid w:val="1C5D7A0C"/>
    <w:rsid w:val="1C6A440F"/>
    <w:rsid w:val="1CB33AD0"/>
    <w:rsid w:val="1CB42226"/>
    <w:rsid w:val="1CD37CCF"/>
    <w:rsid w:val="1CEC7CE9"/>
    <w:rsid w:val="1CF163A7"/>
    <w:rsid w:val="1CFF7226"/>
    <w:rsid w:val="1D012A8E"/>
    <w:rsid w:val="1D1636D0"/>
    <w:rsid w:val="1D270BA6"/>
    <w:rsid w:val="1D28626C"/>
    <w:rsid w:val="1D994A74"/>
    <w:rsid w:val="1DAF7EB0"/>
    <w:rsid w:val="1DBC198B"/>
    <w:rsid w:val="1DCE386D"/>
    <w:rsid w:val="1DF30DD9"/>
    <w:rsid w:val="1E5135A1"/>
    <w:rsid w:val="1E5B61CE"/>
    <w:rsid w:val="1E625FC7"/>
    <w:rsid w:val="1E79088D"/>
    <w:rsid w:val="1E9B2A6E"/>
    <w:rsid w:val="1EA02CCB"/>
    <w:rsid w:val="1EB452E3"/>
    <w:rsid w:val="1EB51D82"/>
    <w:rsid w:val="1ECE2E43"/>
    <w:rsid w:val="1ED068C7"/>
    <w:rsid w:val="1ED16490"/>
    <w:rsid w:val="1ED92391"/>
    <w:rsid w:val="1EEE53EA"/>
    <w:rsid w:val="1EF309B3"/>
    <w:rsid w:val="1F114ADE"/>
    <w:rsid w:val="1F185E6D"/>
    <w:rsid w:val="1F2532ED"/>
    <w:rsid w:val="1F5275D0"/>
    <w:rsid w:val="1F666BD8"/>
    <w:rsid w:val="1F9D516C"/>
    <w:rsid w:val="1FD55B0C"/>
    <w:rsid w:val="1FE3205D"/>
    <w:rsid w:val="1FF41D4F"/>
    <w:rsid w:val="1FFF74E4"/>
    <w:rsid w:val="20046DF4"/>
    <w:rsid w:val="20672C08"/>
    <w:rsid w:val="20861683"/>
    <w:rsid w:val="208F4B9E"/>
    <w:rsid w:val="20906190"/>
    <w:rsid w:val="20B309B5"/>
    <w:rsid w:val="20CC7A2F"/>
    <w:rsid w:val="20D67D8D"/>
    <w:rsid w:val="20F2333F"/>
    <w:rsid w:val="20F40FA1"/>
    <w:rsid w:val="20FE1478"/>
    <w:rsid w:val="21025613"/>
    <w:rsid w:val="210528FC"/>
    <w:rsid w:val="21180122"/>
    <w:rsid w:val="213F6EF8"/>
    <w:rsid w:val="21472A39"/>
    <w:rsid w:val="218E342C"/>
    <w:rsid w:val="219739C1"/>
    <w:rsid w:val="21B06551"/>
    <w:rsid w:val="21B462BD"/>
    <w:rsid w:val="21C56604"/>
    <w:rsid w:val="21CB366A"/>
    <w:rsid w:val="21CF79E5"/>
    <w:rsid w:val="21DF2183"/>
    <w:rsid w:val="21EB3EFE"/>
    <w:rsid w:val="220940AD"/>
    <w:rsid w:val="221148DD"/>
    <w:rsid w:val="221F6142"/>
    <w:rsid w:val="222C02AA"/>
    <w:rsid w:val="224D407F"/>
    <w:rsid w:val="22580736"/>
    <w:rsid w:val="227C4964"/>
    <w:rsid w:val="227E362E"/>
    <w:rsid w:val="2297354C"/>
    <w:rsid w:val="22AD4B1E"/>
    <w:rsid w:val="22B646E8"/>
    <w:rsid w:val="22BC6BBD"/>
    <w:rsid w:val="22C12F8A"/>
    <w:rsid w:val="22D01E29"/>
    <w:rsid w:val="22DE117B"/>
    <w:rsid w:val="22FB3ADB"/>
    <w:rsid w:val="23007D7C"/>
    <w:rsid w:val="23186C79"/>
    <w:rsid w:val="23203542"/>
    <w:rsid w:val="234611FA"/>
    <w:rsid w:val="23B95696"/>
    <w:rsid w:val="23C95987"/>
    <w:rsid w:val="23EA7CFA"/>
    <w:rsid w:val="23F46EA8"/>
    <w:rsid w:val="23FB441E"/>
    <w:rsid w:val="240750AB"/>
    <w:rsid w:val="24294678"/>
    <w:rsid w:val="242B4894"/>
    <w:rsid w:val="24395BDE"/>
    <w:rsid w:val="243C0FB3"/>
    <w:rsid w:val="24466E5F"/>
    <w:rsid w:val="244F54A0"/>
    <w:rsid w:val="24866F39"/>
    <w:rsid w:val="249B5864"/>
    <w:rsid w:val="24A50A2E"/>
    <w:rsid w:val="24EA02AB"/>
    <w:rsid w:val="24F7063B"/>
    <w:rsid w:val="25070E5D"/>
    <w:rsid w:val="254C7941"/>
    <w:rsid w:val="255E0351"/>
    <w:rsid w:val="256040C9"/>
    <w:rsid w:val="256E4ED7"/>
    <w:rsid w:val="259C1015"/>
    <w:rsid w:val="259D3570"/>
    <w:rsid w:val="25DD07DA"/>
    <w:rsid w:val="25EE7FBB"/>
    <w:rsid w:val="26202593"/>
    <w:rsid w:val="26233A75"/>
    <w:rsid w:val="26D43BAA"/>
    <w:rsid w:val="26E4095C"/>
    <w:rsid w:val="270003D0"/>
    <w:rsid w:val="27182EAE"/>
    <w:rsid w:val="271C7A2D"/>
    <w:rsid w:val="273B6ADE"/>
    <w:rsid w:val="27533EE6"/>
    <w:rsid w:val="27800A53"/>
    <w:rsid w:val="27814EF7"/>
    <w:rsid w:val="278F0C96"/>
    <w:rsid w:val="279D33B3"/>
    <w:rsid w:val="279D398E"/>
    <w:rsid w:val="27A04C51"/>
    <w:rsid w:val="27C052F3"/>
    <w:rsid w:val="27CD66DB"/>
    <w:rsid w:val="27CE17BE"/>
    <w:rsid w:val="27ED371A"/>
    <w:rsid w:val="28277120"/>
    <w:rsid w:val="283A50A6"/>
    <w:rsid w:val="285331FC"/>
    <w:rsid w:val="28676D94"/>
    <w:rsid w:val="28887BBF"/>
    <w:rsid w:val="289C400E"/>
    <w:rsid w:val="28B210E0"/>
    <w:rsid w:val="28C7409B"/>
    <w:rsid w:val="28E955D5"/>
    <w:rsid w:val="28F60FCD"/>
    <w:rsid w:val="2900512A"/>
    <w:rsid w:val="291C4FEB"/>
    <w:rsid w:val="29322093"/>
    <w:rsid w:val="29363ABF"/>
    <w:rsid w:val="293B36DC"/>
    <w:rsid w:val="29423CBE"/>
    <w:rsid w:val="297476BF"/>
    <w:rsid w:val="29A44ECD"/>
    <w:rsid w:val="29AE7AF9"/>
    <w:rsid w:val="29E04A1D"/>
    <w:rsid w:val="29F81E1C"/>
    <w:rsid w:val="2A0B0AA8"/>
    <w:rsid w:val="2A0C2213"/>
    <w:rsid w:val="2A351FC9"/>
    <w:rsid w:val="2A475858"/>
    <w:rsid w:val="2A810D6A"/>
    <w:rsid w:val="2A846F27"/>
    <w:rsid w:val="2AA84549"/>
    <w:rsid w:val="2AD872B4"/>
    <w:rsid w:val="2AE35581"/>
    <w:rsid w:val="2AFE7725"/>
    <w:rsid w:val="2B1A72C1"/>
    <w:rsid w:val="2B2067D5"/>
    <w:rsid w:val="2B2A31B0"/>
    <w:rsid w:val="2B32082B"/>
    <w:rsid w:val="2B4B2633"/>
    <w:rsid w:val="2B7E174D"/>
    <w:rsid w:val="2BAA3A0A"/>
    <w:rsid w:val="2BB71DD4"/>
    <w:rsid w:val="2BD61589"/>
    <w:rsid w:val="2BDD0222"/>
    <w:rsid w:val="2BDD0B86"/>
    <w:rsid w:val="2C07741C"/>
    <w:rsid w:val="2C1602E4"/>
    <w:rsid w:val="2C55425C"/>
    <w:rsid w:val="2C714E0E"/>
    <w:rsid w:val="2CA87275"/>
    <w:rsid w:val="2CC44B48"/>
    <w:rsid w:val="2CDD4A0E"/>
    <w:rsid w:val="2CE43832"/>
    <w:rsid w:val="2CE9341F"/>
    <w:rsid w:val="2CEC36C7"/>
    <w:rsid w:val="2D03199A"/>
    <w:rsid w:val="2D0D48D4"/>
    <w:rsid w:val="2D144117"/>
    <w:rsid w:val="2D214A86"/>
    <w:rsid w:val="2D241E80"/>
    <w:rsid w:val="2D26209C"/>
    <w:rsid w:val="2D4B38B1"/>
    <w:rsid w:val="2D69103B"/>
    <w:rsid w:val="2D8518F4"/>
    <w:rsid w:val="2D9708A4"/>
    <w:rsid w:val="2DB30890"/>
    <w:rsid w:val="2DEE4968"/>
    <w:rsid w:val="2E073C7C"/>
    <w:rsid w:val="2E090714"/>
    <w:rsid w:val="2E1D6FFC"/>
    <w:rsid w:val="2E2744B0"/>
    <w:rsid w:val="2E8669AA"/>
    <w:rsid w:val="2EAE164D"/>
    <w:rsid w:val="2ED00512"/>
    <w:rsid w:val="2F07281F"/>
    <w:rsid w:val="2F324D29"/>
    <w:rsid w:val="2F62392B"/>
    <w:rsid w:val="2F6824F8"/>
    <w:rsid w:val="2F6F3887"/>
    <w:rsid w:val="2F731EE4"/>
    <w:rsid w:val="2F82488D"/>
    <w:rsid w:val="2F8F3F29"/>
    <w:rsid w:val="2FAD2601"/>
    <w:rsid w:val="2FCD4A51"/>
    <w:rsid w:val="2FD249D3"/>
    <w:rsid w:val="2FD65E0E"/>
    <w:rsid w:val="2FFD5337"/>
    <w:rsid w:val="3018109B"/>
    <w:rsid w:val="30235A50"/>
    <w:rsid w:val="302C5C1C"/>
    <w:rsid w:val="303E5A10"/>
    <w:rsid w:val="304D6F7E"/>
    <w:rsid w:val="305D4027"/>
    <w:rsid w:val="30696528"/>
    <w:rsid w:val="307008BB"/>
    <w:rsid w:val="30873FAB"/>
    <w:rsid w:val="30913CD1"/>
    <w:rsid w:val="309541E4"/>
    <w:rsid w:val="30A13F14"/>
    <w:rsid w:val="30B5176D"/>
    <w:rsid w:val="31114F97"/>
    <w:rsid w:val="312471E7"/>
    <w:rsid w:val="312D39F9"/>
    <w:rsid w:val="31480833"/>
    <w:rsid w:val="314E571E"/>
    <w:rsid w:val="316322AE"/>
    <w:rsid w:val="31782CAF"/>
    <w:rsid w:val="31815AF3"/>
    <w:rsid w:val="318654E0"/>
    <w:rsid w:val="31934AD6"/>
    <w:rsid w:val="319B4EBE"/>
    <w:rsid w:val="3207269E"/>
    <w:rsid w:val="3267118D"/>
    <w:rsid w:val="326A259E"/>
    <w:rsid w:val="32700042"/>
    <w:rsid w:val="32905559"/>
    <w:rsid w:val="32933712"/>
    <w:rsid w:val="32C13380"/>
    <w:rsid w:val="32C959A4"/>
    <w:rsid w:val="32CE2CEA"/>
    <w:rsid w:val="32D415F1"/>
    <w:rsid w:val="32E77493"/>
    <w:rsid w:val="3320617E"/>
    <w:rsid w:val="332924F5"/>
    <w:rsid w:val="33401C0F"/>
    <w:rsid w:val="335E5CD2"/>
    <w:rsid w:val="33641229"/>
    <w:rsid w:val="339A7D0A"/>
    <w:rsid w:val="33A53D1B"/>
    <w:rsid w:val="33DF4510"/>
    <w:rsid w:val="33F97BC3"/>
    <w:rsid w:val="3401164F"/>
    <w:rsid w:val="343C732F"/>
    <w:rsid w:val="346210A4"/>
    <w:rsid w:val="34777188"/>
    <w:rsid w:val="34827ADC"/>
    <w:rsid w:val="34856DB9"/>
    <w:rsid w:val="34C401D1"/>
    <w:rsid w:val="34D04DC8"/>
    <w:rsid w:val="34E03C50"/>
    <w:rsid w:val="353B029B"/>
    <w:rsid w:val="35410549"/>
    <w:rsid w:val="3554290A"/>
    <w:rsid w:val="356A099A"/>
    <w:rsid w:val="357A6074"/>
    <w:rsid w:val="357E6FD1"/>
    <w:rsid w:val="358160C2"/>
    <w:rsid w:val="358D5123"/>
    <w:rsid w:val="35C661CB"/>
    <w:rsid w:val="35CD1307"/>
    <w:rsid w:val="35E67FD6"/>
    <w:rsid w:val="35E825E5"/>
    <w:rsid w:val="35F1149A"/>
    <w:rsid w:val="35F74768"/>
    <w:rsid w:val="360E412D"/>
    <w:rsid w:val="361C403D"/>
    <w:rsid w:val="36211653"/>
    <w:rsid w:val="362A0508"/>
    <w:rsid w:val="364D2448"/>
    <w:rsid w:val="36833E48"/>
    <w:rsid w:val="368A57DF"/>
    <w:rsid w:val="36A24542"/>
    <w:rsid w:val="36B936D8"/>
    <w:rsid w:val="370666B6"/>
    <w:rsid w:val="371D1E1A"/>
    <w:rsid w:val="37422EB7"/>
    <w:rsid w:val="37456F21"/>
    <w:rsid w:val="374B2E2B"/>
    <w:rsid w:val="37862E84"/>
    <w:rsid w:val="37AF608F"/>
    <w:rsid w:val="37C329C2"/>
    <w:rsid w:val="37DC7F27"/>
    <w:rsid w:val="37DF5322"/>
    <w:rsid w:val="37EB3CC7"/>
    <w:rsid w:val="37F07439"/>
    <w:rsid w:val="37F27011"/>
    <w:rsid w:val="380B2BA2"/>
    <w:rsid w:val="38190834"/>
    <w:rsid w:val="38367638"/>
    <w:rsid w:val="38683569"/>
    <w:rsid w:val="388B0A6E"/>
    <w:rsid w:val="38B247E4"/>
    <w:rsid w:val="38E30E42"/>
    <w:rsid w:val="39205BF2"/>
    <w:rsid w:val="392F3EDF"/>
    <w:rsid w:val="39581830"/>
    <w:rsid w:val="395A55A8"/>
    <w:rsid w:val="396E39C4"/>
    <w:rsid w:val="399177DC"/>
    <w:rsid w:val="399F120C"/>
    <w:rsid w:val="39A105E9"/>
    <w:rsid w:val="39A93E39"/>
    <w:rsid w:val="39AD2622"/>
    <w:rsid w:val="39C656D7"/>
    <w:rsid w:val="39E43EB9"/>
    <w:rsid w:val="39FC040D"/>
    <w:rsid w:val="39FD5F33"/>
    <w:rsid w:val="3A061A3B"/>
    <w:rsid w:val="3A06303A"/>
    <w:rsid w:val="3A0636E9"/>
    <w:rsid w:val="3A0B7871"/>
    <w:rsid w:val="3A2C3E02"/>
    <w:rsid w:val="3A371445"/>
    <w:rsid w:val="3A8C79E3"/>
    <w:rsid w:val="3AA351FB"/>
    <w:rsid w:val="3AA50AA5"/>
    <w:rsid w:val="3AAD7671"/>
    <w:rsid w:val="3AD35612"/>
    <w:rsid w:val="3AD60D98"/>
    <w:rsid w:val="3AEB1F09"/>
    <w:rsid w:val="3AFA2581"/>
    <w:rsid w:val="3AFD0385"/>
    <w:rsid w:val="3AFD61EB"/>
    <w:rsid w:val="3B0911E6"/>
    <w:rsid w:val="3B305869"/>
    <w:rsid w:val="3B3B1C9B"/>
    <w:rsid w:val="3B464036"/>
    <w:rsid w:val="3B6E0E96"/>
    <w:rsid w:val="3BC66196"/>
    <w:rsid w:val="3BD31641"/>
    <w:rsid w:val="3BD92149"/>
    <w:rsid w:val="3BE473AB"/>
    <w:rsid w:val="3BF1547D"/>
    <w:rsid w:val="3BF84C04"/>
    <w:rsid w:val="3C1E0393"/>
    <w:rsid w:val="3C5462DE"/>
    <w:rsid w:val="3C664263"/>
    <w:rsid w:val="3C666012"/>
    <w:rsid w:val="3C7544A7"/>
    <w:rsid w:val="3C836BC3"/>
    <w:rsid w:val="3CCA034E"/>
    <w:rsid w:val="3CE533DA"/>
    <w:rsid w:val="3D4B5F1A"/>
    <w:rsid w:val="3D540560"/>
    <w:rsid w:val="3D5D315C"/>
    <w:rsid w:val="3DB37034"/>
    <w:rsid w:val="3DCC459A"/>
    <w:rsid w:val="3DF5589F"/>
    <w:rsid w:val="3DF8538F"/>
    <w:rsid w:val="3E131268"/>
    <w:rsid w:val="3E292D05"/>
    <w:rsid w:val="3E2E4EC5"/>
    <w:rsid w:val="3E410AE4"/>
    <w:rsid w:val="3E481E73"/>
    <w:rsid w:val="3E4B38C2"/>
    <w:rsid w:val="3E603030"/>
    <w:rsid w:val="3E9D1661"/>
    <w:rsid w:val="3EA57E41"/>
    <w:rsid w:val="3EC7742B"/>
    <w:rsid w:val="3ED269FF"/>
    <w:rsid w:val="3EDF43A1"/>
    <w:rsid w:val="3EF34430"/>
    <w:rsid w:val="3F495E7A"/>
    <w:rsid w:val="3F7A2BB9"/>
    <w:rsid w:val="3FAB1399"/>
    <w:rsid w:val="3FBF30BC"/>
    <w:rsid w:val="3FC45529"/>
    <w:rsid w:val="3FE51248"/>
    <w:rsid w:val="3FE73792"/>
    <w:rsid w:val="3FEA1609"/>
    <w:rsid w:val="3FEB7AEB"/>
    <w:rsid w:val="3FF664DD"/>
    <w:rsid w:val="40005ECF"/>
    <w:rsid w:val="400637DB"/>
    <w:rsid w:val="400640E5"/>
    <w:rsid w:val="40297A82"/>
    <w:rsid w:val="40551718"/>
    <w:rsid w:val="407B3D6A"/>
    <w:rsid w:val="40890521"/>
    <w:rsid w:val="40991474"/>
    <w:rsid w:val="40AF61D9"/>
    <w:rsid w:val="40BB3175"/>
    <w:rsid w:val="40BF4E05"/>
    <w:rsid w:val="40C61775"/>
    <w:rsid w:val="40CF23D7"/>
    <w:rsid w:val="41327082"/>
    <w:rsid w:val="415C79E3"/>
    <w:rsid w:val="418F7DB9"/>
    <w:rsid w:val="41D3417C"/>
    <w:rsid w:val="41E225DE"/>
    <w:rsid w:val="41F37E7F"/>
    <w:rsid w:val="421D54DF"/>
    <w:rsid w:val="426E3E72"/>
    <w:rsid w:val="427D5E63"/>
    <w:rsid w:val="42935686"/>
    <w:rsid w:val="42A87F43"/>
    <w:rsid w:val="42B31FFC"/>
    <w:rsid w:val="42B809A5"/>
    <w:rsid w:val="42C20897"/>
    <w:rsid w:val="42C2516F"/>
    <w:rsid w:val="42C47DB1"/>
    <w:rsid w:val="42D31F27"/>
    <w:rsid w:val="42DE3D9A"/>
    <w:rsid w:val="43030A5E"/>
    <w:rsid w:val="43432ECC"/>
    <w:rsid w:val="436112E1"/>
    <w:rsid w:val="43655275"/>
    <w:rsid w:val="43686B13"/>
    <w:rsid w:val="437020DC"/>
    <w:rsid w:val="437C019B"/>
    <w:rsid w:val="438967D5"/>
    <w:rsid w:val="439C6B4D"/>
    <w:rsid w:val="43A06F0E"/>
    <w:rsid w:val="43A1299E"/>
    <w:rsid w:val="43FF71E6"/>
    <w:rsid w:val="44114AB5"/>
    <w:rsid w:val="44325EE6"/>
    <w:rsid w:val="44495A5D"/>
    <w:rsid w:val="44896D41"/>
    <w:rsid w:val="44944E80"/>
    <w:rsid w:val="44AC2A30"/>
    <w:rsid w:val="44C45FCB"/>
    <w:rsid w:val="44C51FA7"/>
    <w:rsid w:val="44D51E4A"/>
    <w:rsid w:val="44DA134B"/>
    <w:rsid w:val="44ED5522"/>
    <w:rsid w:val="44EF0953"/>
    <w:rsid w:val="44F608DF"/>
    <w:rsid w:val="450960EF"/>
    <w:rsid w:val="451E392D"/>
    <w:rsid w:val="452024A4"/>
    <w:rsid w:val="45320E4E"/>
    <w:rsid w:val="454C5DC7"/>
    <w:rsid w:val="454F78C2"/>
    <w:rsid w:val="45854404"/>
    <w:rsid w:val="459260C9"/>
    <w:rsid w:val="459F0EDF"/>
    <w:rsid w:val="45A55DFD"/>
    <w:rsid w:val="45A75D52"/>
    <w:rsid w:val="45C13854"/>
    <w:rsid w:val="45C949EF"/>
    <w:rsid w:val="45E510BA"/>
    <w:rsid w:val="460D5750"/>
    <w:rsid w:val="46132D66"/>
    <w:rsid w:val="46190610"/>
    <w:rsid w:val="46503FBA"/>
    <w:rsid w:val="4666290D"/>
    <w:rsid w:val="466D2592"/>
    <w:rsid w:val="46A14816"/>
    <w:rsid w:val="46A95479"/>
    <w:rsid w:val="46D70238"/>
    <w:rsid w:val="46DE4676"/>
    <w:rsid w:val="46EB5A91"/>
    <w:rsid w:val="46F6477A"/>
    <w:rsid w:val="46FE6849"/>
    <w:rsid w:val="47167BA7"/>
    <w:rsid w:val="471843AC"/>
    <w:rsid w:val="472D26D6"/>
    <w:rsid w:val="473B56EE"/>
    <w:rsid w:val="4742580A"/>
    <w:rsid w:val="474451A1"/>
    <w:rsid w:val="474F4272"/>
    <w:rsid w:val="475C14A6"/>
    <w:rsid w:val="475E2707"/>
    <w:rsid w:val="476A59FF"/>
    <w:rsid w:val="47785046"/>
    <w:rsid w:val="47AB0DF7"/>
    <w:rsid w:val="47B6609F"/>
    <w:rsid w:val="47B944B8"/>
    <w:rsid w:val="47C00CCC"/>
    <w:rsid w:val="481276E8"/>
    <w:rsid w:val="481B3258"/>
    <w:rsid w:val="486755EB"/>
    <w:rsid w:val="4871662B"/>
    <w:rsid w:val="48961A2D"/>
    <w:rsid w:val="490C714C"/>
    <w:rsid w:val="492B486B"/>
    <w:rsid w:val="493354CD"/>
    <w:rsid w:val="4939180A"/>
    <w:rsid w:val="493F101F"/>
    <w:rsid w:val="49710197"/>
    <w:rsid w:val="497F0086"/>
    <w:rsid w:val="498D2E30"/>
    <w:rsid w:val="49975C79"/>
    <w:rsid w:val="49BD0AEA"/>
    <w:rsid w:val="49C35B92"/>
    <w:rsid w:val="49CB3958"/>
    <w:rsid w:val="49F033BE"/>
    <w:rsid w:val="49F904C5"/>
    <w:rsid w:val="49FB02FC"/>
    <w:rsid w:val="49FB248F"/>
    <w:rsid w:val="4A0324B3"/>
    <w:rsid w:val="4A3459A1"/>
    <w:rsid w:val="4A58381C"/>
    <w:rsid w:val="4A873352"/>
    <w:rsid w:val="4A875AD1"/>
    <w:rsid w:val="4A8A3813"/>
    <w:rsid w:val="4A90672C"/>
    <w:rsid w:val="4AC6364F"/>
    <w:rsid w:val="4AD25863"/>
    <w:rsid w:val="4AF07B1A"/>
    <w:rsid w:val="4B1A6945"/>
    <w:rsid w:val="4B3054B8"/>
    <w:rsid w:val="4B346994"/>
    <w:rsid w:val="4B3612A5"/>
    <w:rsid w:val="4B55797D"/>
    <w:rsid w:val="4B5E0F27"/>
    <w:rsid w:val="4B6E3E83"/>
    <w:rsid w:val="4B8B15F1"/>
    <w:rsid w:val="4B957C50"/>
    <w:rsid w:val="4B96350F"/>
    <w:rsid w:val="4B9A6686"/>
    <w:rsid w:val="4BFC52F4"/>
    <w:rsid w:val="4BFD56FB"/>
    <w:rsid w:val="4C0513A3"/>
    <w:rsid w:val="4C0D09E6"/>
    <w:rsid w:val="4C0F18E8"/>
    <w:rsid w:val="4C2F01CE"/>
    <w:rsid w:val="4C306771"/>
    <w:rsid w:val="4C60482B"/>
    <w:rsid w:val="4C791583"/>
    <w:rsid w:val="4CA42BB5"/>
    <w:rsid w:val="4CA50490"/>
    <w:rsid w:val="4CA8014C"/>
    <w:rsid w:val="4CAF36BC"/>
    <w:rsid w:val="4CEC603F"/>
    <w:rsid w:val="4D147203"/>
    <w:rsid w:val="4D1473C4"/>
    <w:rsid w:val="4D16138E"/>
    <w:rsid w:val="4D2E60E3"/>
    <w:rsid w:val="4D3A507C"/>
    <w:rsid w:val="4D3D4B6D"/>
    <w:rsid w:val="4D6C1AA7"/>
    <w:rsid w:val="4D9E2C43"/>
    <w:rsid w:val="4DB8213F"/>
    <w:rsid w:val="4DDB3621"/>
    <w:rsid w:val="4DDC6134"/>
    <w:rsid w:val="4DEE55D8"/>
    <w:rsid w:val="4DFF721C"/>
    <w:rsid w:val="4E0D31B4"/>
    <w:rsid w:val="4E1753BE"/>
    <w:rsid w:val="4E3F773E"/>
    <w:rsid w:val="4E9904C8"/>
    <w:rsid w:val="4EA8070C"/>
    <w:rsid w:val="4ED533F8"/>
    <w:rsid w:val="4ED90DD4"/>
    <w:rsid w:val="4EE71234"/>
    <w:rsid w:val="4EEF00E8"/>
    <w:rsid w:val="4F195165"/>
    <w:rsid w:val="4F2B190E"/>
    <w:rsid w:val="4F433A65"/>
    <w:rsid w:val="4F6665FD"/>
    <w:rsid w:val="4F6B03BF"/>
    <w:rsid w:val="4F6B40C7"/>
    <w:rsid w:val="4F9A44F8"/>
    <w:rsid w:val="4FAC1906"/>
    <w:rsid w:val="4FCC508E"/>
    <w:rsid w:val="4FD55530"/>
    <w:rsid w:val="4FDD43E5"/>
    <w:rsid w:val="4FF31BBA"/>
    <w:rsid w:val="50273554"/>
    <w:rsid w:val="5029018E"/>
    <w:rsid w:val="502913D8"/>
    <w:rsid w:val="50357D7D"/>
    <w:rsid w:val="503C735D"/>
    <w:rsid w:val="505F48AC"/>
    <w:rsid w:val="50697A27"/>
    <w:rsid w:val="508D1967"/>
    <w:rsid w:val="50BB2978"/>
    <w:rsid w:val="50D15CF8"/>
    <w:rsid w:val="50DE7320"/>
    <w:rsid w:val="50EA500B"/>
    <w:rsid w:val="50EB072C"/>
    <w:rsid w:val="50F45E8B"/>
    <w:rsid w:val="510734C7"/>
    <w:rsid w:val="510C6D30"/>
    <w:rsid w:val="5114285A"/>
    <w:rsid w:val="51196930"/>
    <w:rsid w:val="51237D2E"/>
    <w:rsid w:val="51320DBA"/>
    <w:rsid w:val="513444D8"/>
    <w:rsid w:val="514864AE"/>
    <w:rsid w:val="51825244"/>
    <w:rsid w:val="51850890"/>
    <w:rsid w:val="51935A63"/>
    <w:rsid w:val="51937DEA"/>
    <w:rsid w:val="519E1B03"/>
    <w:rsid w:val="51A47180"/>
    <w:rsid w:val="51A52F36"/>
    <w:rsid w:val="51AF590D"/>
    <w:rsid w:val="51C93757"/>
    <w:rsid w:val="51CD01CB"/>
    <w:rsid w:val="51D33CF1"/>
    <w:rsid w:val="51D3784E"/>
    <w:rsid w:val="51E23031"/>
    <w:rsid w:val="520410A5"/>
    <w:rsid w:val="520B348B"/>
    <w:rsid w:val="5220694C"/>
    <w:rsid w:val="52592449"/>
    <w:rsid w:val="525E649B"/>
    <w:rsid w:val="52750905"/>
    <w:rsid w:val="52796647"/>
    <w:rsid w:val="5279675E"/>
    <w:rsid w:val="527A5F1B"/>
    <w:rsid w:val="52952D55"/>
    <w:rsid w:val="52AA6800"/>
    <w:rsid w:val="52B753C1"/>
    <w:rsid w:val="53035F10"/>
    <w:rsid w:val="531E4C24"/>
    <w:rsid w:val="535D7D17"/>
    <w:rsid w:val="537B1F4B"/>
    <w:rsid w:val="539443E3"/>
    <w:rsid w:val="53A07C03"/>
    <w:rsid w:val="53AF7E46"/>
    <w:rsid w:val="53B536AF"/>
    <w:rsid w:val="53F3657F"/>
    <w:rsid w:val="54103BF9"/>
    <w:rsid w:val="54263E02"/>
    <w:rsid w:val="544D1B39"/>
    <w:rsid w:val="54501629"/>
    <w:rsid w:val="546E7D01"/>
    <w:rsid w:val="548B6C5C"/>
    <w:rsid w:val="54BA5FB4"/>
    <w:rsid w:val="54D413B8"/>
    <w:rsid w:val="55107147"/>
    <w:rsid w:val="551602BA"/>
    <w:rsid w:val="552E69F8"/>
    <w:rsid w:val="554F368F"/>
    <w:rsid w:val="55634A48"/>
    <w:rsid w:val="556F1F83"/>
    <w:rsid w:val="559D089E"/>
    <w:rsid w:val="55D1587F"/>
    <w:rsid w:val="55D54221"/>
    <w:rsid w:val="55F47291"/>
    <w:rsid w:val="56020701"/>
    <w:rsid w:val="56091739"/>
    <w:rsid w:val="563B606E"/>
    <w:rsid w:val="56686B67"/>
    <w:rsid w:val="567E247E"/>
    <w:rsid w:val="5689104A"/>
    <w:rsid w:val="568C6A5B"/>
    <w:rsid w:val="569C12A7"/>
    <w:rsid w:val="569C6DA8"/>
    <w:rsid w:val="56A47A0A"/>
    <w:rsid w:val="571B0F85"/>
    <w:rsid w:val="573E3DB0"/>
    <w:rsid w:val="574127B6"/>
    <w:rsid w:val="574F6831"/>
    <w:rsid w:val="577A22DD"/>
    <w:rsid w:val="57874D27"/>
    <w:rsid w:val="57C87729"/>
    <w:rsid w:val="57D0245B"/>
    <w:rsid w:val="57DC6531"/>
    <w:rsid w:val="57FD73D2"/>
    <w:rsid w:val="58095461"/>
    <w:rsid w:val="58154293"/>
    <w:rsid w:val="582505BD"/>
    <w:rsid w:val="582A6E3A"/>
    <w:rsid w:val="583B614D"/>
    <w:rsid w:val="585374C7"/>
    <w:rsid w:val="585F66A5"/>
    <w:rsid w:val="588B0E82"/>
    <w:rsid w:val="58982D68"/>
    <w:rsid w:val="58B54151"/>
    <w:rsid w:val="58E862D4"/>
    <w:rsid w:val="591C1ADA"/>
    <w:rsid w:val="593C24DE"/>
    <w:rsid w:val="594076DC"/>
    <w:rsid w:val="59570D64"/>
    <w:rsid w:val="595E20F3"/>
    <w:rsid w:val="597F2FE0"/>
    <w:rsid w:val="598451C7"/>
    <w:rsid w:val="59A6736A"/>
    <w:rsid w:val="59AF2530"/>
    <w:rsid w:val="59C81783"/>
    <w:rsid w:val="59CA6081"/>
    <w:rsid w:val="59DF7D2A"/>
    <w:rsid w:val="59F34F31"/>
    <w:rsid w:val="5A09239E"/>
    <w:rsid w:val="5A193854"/>
    <w:rsid w:val="5A21156A"/>
    <w:rsid w:val="5A2C4568"/>
    <w:rsid w:val="5A6A4AC7"/>
    <w:rsid w:val="5A721036"/>
    <w:rsid w:val="5A7F4A16"/>
    <w:rsid w:val="5A963B0E"/>
    <w:rsid w:val="5A985AD8"/>
    <w:rsid w:val="5AB521E6"/>
    <w:rsid w:val="5AC643F3"/>
    <w:rsid w:val="5ACF5FD5"/>
    <w:rsid w:val="5AE91E90"/>
    <w:rsid w:val="5AEE394A"/>
    <w:rsid w:val="5B392E17"/>
    <w:rsid w:val="5B81031A"/>
    <w:rsid w:val="5BA15428"/>
    <w:rsid w:val="5BB23B5A"/>
    <w:rsid w:val="5BB95D06"/>
    <w:rsid w:val="5BCF552A"/>
    <w:rsid w:val="5BDB5BEC"/>
    <w:rsid w:val="5BE014E5"/>
    <w:rsid w:val="5BFC5BF3"/>
    <w:rsid w:val="5C08720C"/>
    <w:rsid w:val="5C0C052C"/>
    <w:rsid w:val="5C2A2760"/>
    <w:rsid w:val="5C313AEE"/>
    <w:rsid w:val="5C363E3A"/>
    <w:rsid w:val="5C515F3F"/>
    <w:rsid w:val="5C5C71CE"/>
    <w:rsid w:val="5C602C23"/>
    <w:rsid w:val="5C82091C"/>
    <w:rsid w:val="5C8735BF"/>
    <w:rsid w:val="5C8953D3"/>
    <w:rsid w:val="5C8956D8"/>
    <w:rsid w:val="5C8E34A7"/>
    <w:rsid w:val="5C974299"/>
    <w:rsid w:val="5CD43F86"/>
    <w:rsid w:val="5CD87D14"/>
    <w:rsid w:val="5CE70516"/>
    <w:rsid w:val="5CEB6393"/>
    <w:rsid w:val="5D3A5CAB"/>
    <w:rsid w:val="5D6278A3"/>
    <w:rsid w:val="5D6D4FFA"/>
    <w:rsid w:val="5DA07B96"/>
    <w:rsid w:val="5DC7295C"/>
    <w:rsid w:val="5DCB1D21"/>
    <w:rsid w:val="5DFC25F6"/>
    <w:rsid w:val="5E145476"/>
    <w:rsid w:val="5E1B6804"/>
    <w:rsid w:val="5E3C4585"/>
    <w:rsid w:val="5E453881"/>
    <w:rsid w:val="5E492337"/>
    <w:rsid w:val="5E59557E"/>
    <w:rsid w:val="5E631F59"/>
    <w:rsid w:val="5E641530"/>
    <w:rsid w:val="5E7A5C21"/>
    <w:rsid w:val="5E856373"/>
    <w:rsid w:val="5E8C5954"/>
    <w:rsid w:val="5E8F2D4E"/>
    <w:rsid w:val="5E912F6A"/>
    <w:rsid w:val="5EB34C8F"/>
    <w:rsid w:val="5EBB3B43"/>
    <w:rsid w:val="5EBF1885"/>
    <w:rsid w:val="5EC073AC"/>
    <w:rsid w:val="5ECA1FD8"/>
    <w:rsid w:val="5EDB5F93"/>
    <w:rsid w:val="5EE16635"/>
    <w:rsid w:val="5EE71659"/>
    <w:rsid w:val="5EEF7822"/>
    <w:rsid w:val="5EF80BA4"/>
    <w:rsid w:val="5F1050BE"/>
    <w:rsid w:val="5F2343D1"/>
    <w:rsid w:val="5F335DCF"/>
    <w:rsid w:val="5FF24FD6"/>
    <w:rsid w:val="601B0D3D"/>
    <w:rsid w:val="602B0BD5"/>
    <w:rsid w:val="602F7576"/>
    <w:rsid w:val="60317DF6"/>
    <w:rsid w:val="60341DFF"/>
    <w:rsid w:val="604D2EC1"/>
    <w:rsid w:val="60865C34"/>
    <w:rsid w:val="608C3FF4"/>
    <w:rsid w:val="60A027A4"/>
    <w:rsid w:val="60A9153E"/>
    <w:rsid w:val="60A9459B"/>
    <w:rsid w:val="60B91430"/>
    <w:rsid w:val="60B92304"/>
    <w:rsid w:val="60BD2BEB"/>
    <w:rsid w:val="60D4713E"/>
    <w:rsid w:val="60EA0710"/>
    <w:rsid w:val="60F85351"/>
    <w:rsid w:val="6105554A"/>
    <w:rsid w:val="611A0FF5"/>
    <w:rsid w:val="611A2DA3"/>
    <w:rsid w:val="611F485D"/>
    <w:rsid w:val="612D1A7D"/>
    <w:rsid w:val="612D68E5"/>
    <w:rsid w:val="61307F2A"/>
    <w:rsid w:val="616A76ED"/>
    <w:rsid w:val="618648DC"/>
    <w:rsid w:val="619D0329"/>
    <w:rsid w:val="61EF4230"/>
    <w:rsid w:val="620F67EC"/>
    <w:rsid w:val="621B1795"/>
    <w:rsid w:val="62257C51"/>
    <w:rsid w:val="62261C1B"/>
    <w:rsid w:val="6243457B"/>
    <w:rsid w:val="62465E1A"/>
    <w:rsid w:val="626D5A4E"/>
    <w:rsid w:val="626F590C"/>
    <w:rsid w:val="62712E97"/>
    <w:rsid w:val="62947454"/>
    <w:rsid w:val="629F6DAD"/>
    <w:rsid w:val="62AF6920"/>
    <w:rsid w:val="62D80F58"/>
    <w:rsid w:val="62F12229"/>
    <w:rsid w:val="62FB6C04"/>
    <w:rsid w:val="631F0B45"/>
    <w:rsid w:val="633B5253"/>
    <w:rsid w:val="633D2BA7"/>
    <w:rsid w:val="63485C21"/>
    <w:rsid w:val="63500CFE"/>
    <w:rsid w:val="637846F9"/>
    <w:rsid w:val="637B1AF3"/>
    <w:rsid w:val="638E5CCA"/>
    <w:rsid w:val="639F2C1B"/>
    <w:rsid w:val="639F3A33"/>
    <w:rsid w:val="63C74D38"/>
    <w:rsid w:val="63D964CB"/>
    <w:rsid w:val="63E16C2B"/>
    <w:rsid w:val="6407617A"/>
    <w:rsid w:val="641206A9"/>
    <w:rsid w:val="641E13AB"/>
    <w:rsid w:val="641E2BAA"/>
    <w:rsid w:val="643423CE"/>
    <w:rsid w:val="64460FA7"/>
    <w:rsid w:val="645D5E4D"/>
    <w:rsid w:val="646C5D5E"/>
    <w:rsid w:val="646D0843"/>
    <w:rsid w:val="647924D6"/>
    <w:rsid w:val="647B2C03"/>
    <w:rsid w:val="6486646D"/>
    <w:rsid w:val="649D4417"/>
    <w:rsid w:val="64AE3C3D"/>
    <w:rsid w:val="64B452BD"/>
    <w:rsid w:val="64BC23C3"/>
    <w:rsid w:val="64BE438D"/>
    <w:rsid w:val="64CF20F6"/>
    <w:rsid w:val="64E61BEE"/>
    <w:rsid w:val="65094CA5"/>
    <w:rsid w:val="656D720C"/>
    <w:rsid w:val="65764C68"/>
    <w:rsid w:val="658904F7"/>
    <w:rsid w:val="659510F2"/>
    <w:rsid w:val="65B456E9"/>
    <w:rsid w:val="65B732B6"/>
    <w:rsid w:val="65F34046"/>
    <w:rsid w:val="65F86CC8"/>
    <w:rsid w:val="66063E6E"/>
    <w:rsid w:val="661959FD"/>
    <w:rsid w:val="66827D25"/>
    <w:rsid w:val="668C4743"/>
    <w:rsid w:val="66A7352E"/>
    <w:rsid w:val="66A76785"/>
    <w:rsid w:val="66B43C9A"/>
    <w:rsid w:val="66C11F13"/>
    <w:rsid w:val="66D9246B"/>
    <w:rsid w:val="66E05BD7"/>
    <w:rsid w:val="66EA3218"/>
    <w:rsid w:val="66FE6CC3"/>
    <w:rsid w:val="67002A3B"/>
    <w:rsid w:val="670529D2"/>
    <w:rsid w:val="670F7F24"/>
    <w:rsid w:val="67780823"/>
    <w:rsid w:val="67896ED4"/>
    <w:rsid w:val="678D1A58"/>
    <w:rsid w:val="67AC0AC0"/>
    <w:rsid w:val="67AE693B"/>
    <w:rsid w:val="67D20654"/>
    <w:rsid w:val="67ED44E4"/>
    <w:rsid w:val="67F0485E"/>
    <w:rsid w:val="68030A35"/>
    <w:rsid w:val="680B4E12"/>
    <w:rsid w:val="682560DB"/>
    <w:rsid w:val="683D4813"/>
    <w:rsid w:val="68490412"/>
    <w:rsid w:val="687436E1"/>
    <w:rsid w:val="689A2A1B"/>
    <w:rsid w:val="68AA326C"/>
    <w:rsid w:val="68C161FA"/>
    <w:rsid w:val="68C63810"/>
    <w:rsid w:val="69076303"/>
    <w:rsid w:val="690B60DA"/>
    <w:rsid w:val="69197DE4"/>
    <w:rsid w:val="691B1DAE"/>
    <w:rsid w:val="691E2698"/>
    <w:rsid w:val="693469CC"/>
    <w:rsid w:val="693862AF"/>
    <w:rsid w:val="69470DF5"/>
    <w:rsid w:val="6949403B"/>
    <w:rsid w:val="69513F80"/>
    <w:rsid w:val="6951757E"/>
    <w:rsid w:val="698F6CBE"/>
    <w:rsid w:val="69AB2D6B"/>
    <w:rsid w:val="69D501AF"/>
    <w:rsid w:val="69E71C90"/>
    <w:rsid w:val="6A1862EE"/>
    <w:rsid w:val="6A385E52"/>
    <w:rsid w:val="6A4C4605"/>
    <w:rsid w:val="6A6B3213"/>
    <w:rsid w:val="6A723C50"/>
    <w:rsid w:val="6A9260A0"/>
    <w:rsid w:val="6AA162E3"/>
    <w:rsid w:val="6AAE153D"/>
    <w:rsid w:val="6AC7350B"/>
    <w:rsid w:val="6AC771D0"/>
    <w:rsid w:val="6AD27539"/>
    <w:rsid w:val="6ADB7A47"/>
    <w:rsid w:val="6AEE4AB1"/>
    <w:rsid w:val="6AEF4F14"/>
    <w:rsid w:val="6AF44665"/>
    <w:rsid w:val="6B002DB9"/>
    <w:rsid w:val="6B141682"/>
    <w:rsid w:val="6B2036AC"/>
    <w:rsid w:val="6B2F38EF"/>
    <w:rsid w:val="6B321631"/>
    <w:rsid w:val="6B3359C8"/>
    <w:rsid w:val="6B364C7D"/>
    <w:rsid w:val="6B4048A3"/>
    <w:rsid w:val="6B4828A5"/>
    <w:rsid w:val="6B4A24D7"/>
    <w:rsid w:val="6B7A5565"/>
    <w:rsid w:val="6B824366"/>
    <w:rsid w:val="6BC333DB"/>
    <w:rsid w:val="6BE31711"/>
    <w:rsid w:val="6BE446D9"/>
    <w:rsid w:val="6BEF1FF7"/>
    <w:rsid w:val="6C270A6A"/>
    <w:rsid w:val="6C302273"/>
    <w:rsid w:val="6C3C5F3C"/>
    <w:rsid w:val="6C3F7B62"/>
    <w:rsid w:val="6C474C68"/>
    <w:rsid w:val="6C687BEB"/>
    <w:rsid w:val="6CC30793"/>
    <w:rsid w:val="6CE60925"/>
    <w:rsid w:val="6D156B14"/>
    <w:rsid w:val="6D3A6D8A"/>
    <w:rsid w:val="6D73577F"/>
    <w:rsid w:val="6D763A57"/>
    <w:rsid w:val="6D9D6AE0"/>
    <w:rsid w:val="6DBF105C"/>
    <w:rsid w:val="6DC30630"/>
    <w:rsid w:val="6DD64A3D"/>
    <w:rsid w:val="6DD726CA"/>
    <w:rsid w:val="6DE309C1"/>
    <w:rsid w:val="6E0B0643"/>
    <w:rsid w:val="6E364F94"/>
    <w:rsid w:val="6E4C47B8"/>
    <w:rsid w:val="6E4D50B9"/>
    <w:rsid w:val="6E4F0506"/>
    <w:rsid w:val="6E5967B9"/>
    <w:rsid w:val="6E781A51"/>
    <w:rsid w:val="6E9028F6"/>
    <w:rsid w:val="6E930639"/>
    <w:rsid w:val="6EA16692"/>
    <w:rsid w:val="6EB26C3D"/>
    <w:rsid w:val="6EC16F54"/>
    <w:rsid w:val="6EE3336E"/>
    <w:rsid w:val="6F0D3F47"/>
    <w:rsid w:val="6F1868E9"/>
    <w:rsid w:val="6F40431D"/>
    <w:rsid w:val="6F527B79"/>
    <w:rsid w:val="6F655B31"/>
    <w:rsid w:val="6F6D49E6"/>
    <w:rsid w:val="6F7E6BF3"/>
    <w:rsid w:val="6F8011C4"/>
    <w:rsid w:val="6FA757A7"/>
    <w:rsid w:val="6FCF6002"/>
    <w:rsid w:val="6FE00C06"/>
    <w:rsid w:val="700E2DED"/>
    <w:rsid w:val="704476BC"/>
    <w:rsid w:val="70483B44"/>
    <w:rsid w:val="704968A8"/>
    <w:rsid w:val="704A22EC"/>
    <w:rsid w:val="704C0A9F"/>
    <w:rsid w:val="704D5DCD"/>
    <w:rsid w:val="70577F08"/>
    <w:rsid w:val="706332AE"/>
    <w:rsid w:val="70830322"/>
    <w:rsid w:val="70970C45"/>
    <w:rsid w:val="709A7A5C"/>
    <w:rsid w:val="70E57245"/>
    <w:rsid w:val="70F518BA"/>
    <w:rsid w:val="70FA04FB"/>
    <w:rsid w:val="71096990"/>
    <w:rsid w:val="717C1858"/>
    <w:rsid w:val="71AB7A47"/>
    <w:rsid w:val="71B903B6"/>
    <w:rsid w:val="71E01DE7"/>
    <w:rsid w:val="71ED0060"/>
    <w:rsid w:val="71F66F14"/>
    <w:rsid w:val="71FD4747"/>
    <w:rsid w:val="72007D93"/>
    <w:rsid w:val="721F290F"/>
    <w:rsid w:val="72253C9E"/>
    <w:rsid w:val="722B49BB"/>
    <w:rsid w:val="726500DD"/>
    <w:rsid w:val="72B03567"/>
    <w:rsid w:val="72E5585D"/>
    <w:rsid w:val="72F11B8E"/>
    <w:rsid w:val="72F21DD2"/>
    <w:rsid w:val="72FA2A34"/>
    <w:rsid w:val="731C6E4F"/>
    <w:rsid w:val="73534607"/>
    <w:rsid w:val="735D1848"/>
    <w:rsid w:val="737427E7"/>
    <w:rsid w:val="73A3477D"/>
    <w:rsid w:val="73B82C70"/>
    <w:rsid w:val="73DD1CA1"/>
    <w:rsid w:val="73E159A2"/>
    <w:rsid w:val="7404143B"/>
    <w:rsid w:val="740D5AD4"/>
    <w:rsid w:val="743106D8"/>
    <w:rsid w:val="743D52CE"/>
    <w:rsid w:val="74406B6D"/>
    <w:rsid w:val="744E6366"/>
    <w:rsid w:val="74566390"/>
    <w:rsid w:val="746D0674"/>
    <w:rsid w:val="747169C8"/>
    <w:rsid w:val="747B7BA5"/>
    <w:rsid w:val="747E21A4"/>
    <w:rsid w:val="74822CE1"/>
    <w:rsid w:val="748742BE"/>
    <w:rsid w:val="74964153"/>
    <w:rsid w:val="74C45759"/>
    <w:rsid w:val="74CB6BAB"/>
    <w:rsid w:val="74F86EA3"/>
    <w:rsid w:val="750061C9"/>
    <w:rsid w:val="751E6F30"/>
    <w:rsid w:val="75265D63"/>
    <w:rsid w:val="752F3ED9"/>
    <w:rsid w:val="753A7B6F"/>
    <w:rsid w:val="754D1541"/>
    <w:rsid w:val="7566482B"/>
    <w:rsid w:val="757765BE"/>
    <w:rsid w:val="757C2D2F"/>
    <w:rsid w:val="75842A89"/>
    <w:rsid w:val="75890323"/>
    <w:rsid w:val="75B312CC"/>
    <w:rsid w:val="75D2490A"/>
    <w:rsid w:val="75EC0074"/>
    <w:rsid w:val="76143E0D"/>
    <w:rsid w:val="761538FD"/>
    <w:rsid w:val="761E6A3A"/>
    <w:rsid w:val="762A506B"/>
    <w:rsid w:val="763444AF"/>
    <w:rsid w:val="764D4710"/>
    <w:rsid w:val="76592DDA"/>
    <w:rsid w:val="766427CF"/>
    <w:rsid w:val="76746FA2"/>
    <w:rsid w:val="768F7938"/>
    <w:rsid w:val="76A22A13"/>
    <w:rsid w:val="76B33626"/>
    <w:rsid w:val="76C03183"/>
    <w:rsid w:val="76FF3498"/>
    <w:rsid w:val="770411E7"/>
    <w:rsid w:val="7706409E"/>
    <w:rsid w:val="770E7A7F"/>
    <w:rsid w:val="77183DD1"/>
    <w:rsid w:val="771D33C8"/>
    <w:rsid w:val="773437F6"/>
    <w:rsid w:val="77597671"/>
    <w:rsid w:val="775E5C88"/>
    <w:rsid w:val="77760ED9"/>
    <w:rsid w:val="77AF0DED"/>
    <w:rsid w:val="77BE6726"/>
    <w:rsid w:val="785726D7"/>
    <w:rsid w:val="78632E2A"/>
    <w:rsid w:val="78753C71"/>
    <w:rsid w:val="788259A6"/>
    <w:rsid w:val="78830343"/>
    <w:rsid w:val="788E4559"/>
    <w:rsid w:val="78A501F4"/>
    <w:rsid w:val="78B26191"/>
    <w:rsid w:val="78B63BC1"/>
    <w:rsid w:val="78C5495A"/>
    <w:rsid w:val="78C63AB1"/>
    <w:rsid w:val="78E137B8"/>
    <w:rsid w:val="78F22F1D"/>
    <w:rsid w:val="78FF0DA4"/>
    <w:rsid w:val="790A7749"/>
    <w:rsid w:val="79110144"/>
    <w:rsid w:val="79165D8E"/>
    <w:rsid w:val="791A5BDE"/>
    <w:rsid w:val="791B54B2"/>
    <w:rsid w:val="7941716A"/>
    <w:rsid w:val="794E3974"/>
    <w:rsid w:val="795D3D1D"/>
    <w:rsid w:val="79646E59"/>
    <w:rsid w:val="796B11C3"/>
    <w:rsid w:val="797A667D"/>
    <w:rsid w:val="798C63B0"/>
    <w:rsid w:val="79B24069"/>
    <w:rsid w:val="79BB270F"/>
    <w:rsid w:val="79C142AC"/>
    <w:rsid w:val="79C1605A"/>
    <w:rsid w:val="79F521A7"/>
    <w:rsid w:val="7A313C9B"/>
    <w:rsid w:val="7A426386"/>
    <w:rsid w:val="7A636281"/>
    <w:rsid w:val="7A9814B1"/>
    <w:rsid w:val="7AD36766"/>
    <w:rsid w:val="7AD50CD0"/>
    <w:rsid w:val="7AFB04C4"/>
    <w:rsid w:val="7B2E79FD"/>
    <w:rsid w:val="7B31720F"/>
    <w:rsid w:val="7B3665D4"/>
    <w:rsid w:val="7B3D5BB4"/>
    <w:rsid w:val="7B4A02D1"/>
    <w:rsid w:val="7B6334FC"/>
    <w:rsid w:val="7B643141"/>
    <w:rsid w:val="7B670E83"/>
    <w:rsid w:val="7B763128"/>
    <w:rsid w:val="7B763940"/>
    <w:rsid w:val="7B8008AE"/>
    <w:rsid w:val="7BB0282A"/>
    <w:rsid w:val="7BD52323"/>
    <w:rsid w:val="7BDA1655"/>
    <w:rsid w:val="7C072C71"/>
    <w:rsid w:val="7C141DD7"/>
    <w:rsid w:val="7C331CAB"/>
    <w:rsid w:val="7C4879F1"/>
    <w:rsid w:val="7C4C347A"/>
    <w:rsid w:val="7C507B69"/>
    <w:rsid w:val="7C6D071B"/>
    <w:rsid w:val="7C701FB9"/>
    <w:rsid w:val="7C815F74"/>
    <w:rsid w:val="7CC0084B"/>
    <w:rsid w:val="7CC112AE"/>
    <w:rsid w:val="7CC55E61"/>
    <w:rsid w:val="7CCD740C"/>
    <w:rsid w:val="7CD73DE6"/>
    <w:rsid w:val="7CDA1DE4"/>
    <w:rsid w:val="7CE24C65"/>
    <w:rsid w:val="7D08083D"/>
    <w:rsid w:val="7D08374B"/>
    <w:rsid w:val="7D0C1CE2"/>
    <w:rsid w:val="7D4C6582"/>
    <w:rsid w:val="7D697134"/>
    <w:rsid w:val="7D9B4E14"/>
    <w:rsid w:val="7DA77C5D"/>
    <w:rsid w:val="7DB83C18"/>
    <w:rsid w:val="7DD72A26"/>
    <w:rsid w:val="7DE95B7F"/>
    <w:rsid w:val="7E0F43DF"/>
    <w:rsid w:val="7E1626EC"/>
    <w:rsid w:val="7E4D5DC2"/>
    <w:rsid w:val="7E6D684F"/>
    <w:rsid w:val="7E851D4C"/>
    <w:rsid w:val="7EA61CC2"/>
    <w:rsid w:val="7EB2722A"/>
    <w:rsid w:val="7EB476E6"/>
    <w:rsid w:val="7EBB576E"/>
    <w:rsid w:val="7EC37706"/>
    <w:rsid w:val="7EC8053F"/>
    <w:rsid w:val="7ED026CE"/>
    <w:rsid w:val="7ED770BE"/>
    <w:rsid w:val="7F1D6B1B"/>
    <w:rsid w:val="7F5B2AAD"/>
    <w:rsid w:val="7F605361"/>
    <w:rsid w:val="7F6234C8"/>
    <w:rsid w:val="7F7052A0"/>
    <w:rsid w:val="7F800765"/>
    <w:rsid w:val="7F8C3920"/>
    <w:rsid w:val="7F8F7C89"/>
    <w:rsid w:val="7FA426A6"/>
    <w:rsid w:val="7FA51F7A"/>
    <w:rsid w:val="7FAA57E2"/>
    <w:rsid w:val="7FB14DC3"/>
    <w:rsid w:val="7FB47D79"/>
    <w:rsid w:val="7FBA3C77"/>
    <w:rsid w:val="7FBF128D"/>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sz w:val="28"/>
    </w:rPr>
  </w:style>
  <w:style w:type="paragraph" w:styleId="4">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line="416" w:lineRule="auto"/>
      <w:outlineLvl w:val="2"/>
    </w:pPr>
    <w:rPr>
      <w:b/>
      <w:bCs/>
      <w:sz w:val="32"/>
      <w:szCs w:val="32"/>
    </w:rPr>
  </w:style>
  <w:style w:type="paragraph" w:styleId="6">
    <w:name w:val="heading 4"/>
    <w:basedOn w:val="1"/>
    <w:next w:val="1"/>
    <w:link w:val="44"/>
    <w:autoRedefine/>
    <w:qFormat/>
    <w:uiPriority w:val="0"/>
    <w:pPr>
      <w:keepNext/>
      <w:keepLines/>
      <w:spacing w:line="376" w:lineRule="auto"/>
      <w:outlineLvl w:val="3"/>
    </w:pPr>
    <w:rPr>
      <w:rFonts w:ascii="Cambria" w:hAnsi="Cambria"/>
      <w:b/>
      <w:bCs/>
      <w:sz w:val="28"/>
      <w:szCs w:val="28"/>
      <w:lang w:eastAsia="en-US"/>
    </w:rPr>
  </w:style>
  <w:style w:type="paragraph" w:styleId="7">
    <w:name w:val="heading 6"/>
    <w:basedOn w:val="1"/>
    <w:next w:val="1"/>
    <w:autoRedefine/>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Fließtext"/>
    <w:basedOn w:val="1"/>
    <w:autoRedefine/>
    <w:qFormat/>
    <w:uiPriority w:val="99"/>
    <w:pPr>
      <w:overflowPunct w:val="0"/>
      <w:autoSpaceDE w:val="0"/>
      <w:autoSpaceDN w:val="0"/>
      <w:adjustRightInd w:val="0"/>
      <w:textAlignment w:val="baseline"/>
    </w:pPr>
    <w:rPr>
      <w:kern w:val="28"/>
      <w:szCs w:val="20"/>
    </w:rPr>
  </w:style>
  <w:style w:type="paragraph" w:styleId="8">
    <w:name w:val="Normal Indent"/>
    <w:basedOn w:val="1"/>
    <w:autoRedefine/>
    <w:unhideWhenUsed/>
    <w:qFormat/>
    <w:uiPriority w:val="99"/>
    <w:pPr>
      <w:spacing w:line="300" w:lineRule="auto"/>
      <w:ind w:firstLine="420" w:firstLineChars="200"/>
    </w:pPr>
    <w:rPr>
      <w:szCs w:val="24"/>
    </w:rPr>
  </w:style>
  <w:style w:type="paragraph" w:styleId="9">
    <w:name w:val="Document Map"/>
    <w:basedOn w:val="1"/>
    <w:autoRedefine/>
    <w:qFormat/>
    <w:uiPriority w:val="0"/>
    <w:pPr>
      <w:shd w:val="clear" w:color="auto" w:fill="000080"/>
    </w:pPr>
  </w:style>
  <w:style w:type="paragraph" w:styleId="10">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11">
    <w:name w:val="annotation text"/>
    <w:basedOn w:val="1"/>
    <w:link w:val="45"/>
    <w:autoRedefine/>
    <w:unhideWhenUsed/>
    <w:qFormat/>
    <w:uiPriority w:val="99"/>
    <w:pPr>
      <w:jc w:val="left"/>
    </w:pPr>
    <w:rPr>
      <w:rFonts w:ascii="Arial" w:hAnsi="Arial" w:eastAsia="Times New Roman"/>
      <w:b/>
      <w:szCs w:val="24"/>
      <w:lang w:eastAsia="en-US"/>
    </w:rPr>
  </w:style>
  <w:style w:type="paragraph" w:styleId="12">
    <w:name w:val="Body Text"/>
    <w:basedOn w:val="1"/>
    <w:next w:val="1"/>
    <w:link w:val="95"/>
    <w:autoRedefine/>
    <w:qFormat/>
    <w:uiPriority w:val="0"/>
  </w:style>
  <w:style w:type="paragraph" w:styleId="13">
    <w:name w:val="Body Text Indent"/>
    <w:basedOn w:val="1"/>
    <w:autoRedefine/>
    <w:qFormat/>
    <w:uiPriority w:val="0"/>
    <w:pPr>
      <w:ind w:firstLine="552"/>
    </w:pPr>
    <w:rPr>
      <w:rFonts w:ascii="宋体"/>
      <w:sz w:val="28"/>
    </w:rPr>
  </w:style>
  <w:style w:type="paragraph" w:styleId="14">
    <w:name w:val="toc 3"/>
    <w:basedOn w:val="1"/>
    <w:next w:val="1"/>
    <w:autoRedefine/>
    <w:qFormat/>
    <w:uiPriority w:val="39"/>
    <w:pPr>
      <w:ind w:left="840" w:leftChars="400"/>
    </w:pPr>
  </w:style>
  <w:style w:type="paragraph" w:styleId="15">
    <w:name w:val="Plain Text"/>
    <w:basedOn w:val="1"/>
    <w:link w:val="46"/>
    <w:autoRedefine/>
    <w:qFormat/>
    <w:uiPriority w:val="0"/>
    <w:rPr>
      <w:rFonts w:ascii="宋体" w:hAnsi="Courier New"/>
      <w:szCs w:val="21"/>
    </w:rPr>
  </w:style>
  <w:style w:type="paragraph" w:styleId="16">
    <w:name w:val="Date"/>
    <w:basedOn w:val="1"/>
    <w:next w:val="1"/>
    <w:link w:val="47"/>
    <w:autoRedefine/>
    <w:qFormat/>
    <w:uiPriority w:val="0"/>
    <w:rPr>
      <w:rFonts w:ascii="宋体" w:hAnsi="Arial" w:eastAsia="Times New Roman"/>
      <w:b/>
      <w:sz w:val="24"/>
      <w:szCs w:val="24"/>
      <w:lang w:eastAsia="en-US"/>
    </w:rPr>
  </w:style>
  <w:style w:type="paragraph" w:styleId="17">
    <w:name w:val="Body Text Indent 2"/>
    <w:basedOn w:val="1"/>
    <w:link w:val="48"/>
    <w:autoRedefine/>
    <w:qFormat/>
    <w:uiPriority w:val="0"/>
    <w:pPr>
      <w:spacing w:line="480" w:lineRule="auto"/>
      <w:ind w:left="420" w:leftChars="200"/>
    </w:pPr>
    <w:rPr>
      <w:rFonts w:ascii="Arial" w:hAnsi="Arial" w:eastAsia="Times New Roman"/>
      <w:b/>
      <w:szCs w:val="24"/>
      <w:lang w:eastAsia="en-US"/>
    </w:rPr>
  </w:style>
  <w:style w:type="paragraph" w:styleId="18">
    <w:name w:val="Balloon Text"/>
    <w:basedOn w:val="1"/>
    <w:autoRedefine/>
    <w:qFormat/>
    <w:uiPriority w:val="0"/>
    <w:rPr>
      <w:sz w:val="18"/>
      <w:szCs w:val="18"/>
    </w:rPr>
  </w:style>
  <w:style w:type="paragraph" w:styleId="19">
    <w:name w:val="footer"/>
    <w:basedOn w:val="1"/>
    <w:link w:val="49"/>
    <w:autoRedefine/>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20">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1"/>
    <w:autoRedefine/>
    <w:unhideWhenUsed/>
    <w:qFormat/>
    <w:uiPriority w:val="99"/>
    <w:pPr>
      <w:spacing w:after="120"/>
      <w:ind w:left="420" w:leftChars="200"/>
    </w:pPr>
    <w:rPr>
      <w:rFonts w:ascii="Arial" w:hAnsi="Arial" w:eastAsia="Times New Roman"/>
      <w:b/>
      <w:sz w:val="16"/>
      <w:szCs w:val="16"/>
      <w:lang w:eastAsia="en-US"/>
    </w:rPr>
  </w:style>
  <w:style w:type="paragraph" w:styleId="23">
    <w:name w:val="toc 2"/>
    <w:basedOn w:val="1"/>
    <w:next w:val="1"/>
    <w:autoRedefine/>
    <w:unhideWhenUsed/>
    <w:qFormat/>
    <w:uiPriority w:val="39"/>
    <w:pPr>
      <w:ind w:left="420" w:leftChars="200"/>
    </w:pPr>
  </w:style>
  <w:style w:type="paragraph" w:styleId="24">
    <w:name w:val="Body Text 2"/>
    <w:basedOn w:val="1"/>
    <w:autoRedefine/>
    <w:unhideWhenUsed/>
    <w:qFormat/>
    <w:uiPriority w:val="99"/>
    <w:pPr>
      <w:spacing w:after="120" w:line="480" w:lineRule="auto"/>
    </w:p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6">
    <w:name w:val="Normal (Web)"/>
    <w:basedOn w:val="1"/>
    <w:autoRedefine/>
    <w:unhideWhenUsed/>
    <w:qFormat/>
    <w:uiPriority w:val="99"/>
    <w:pPr>
      <w:jc w:val="left"/>
    </w:pPr>
    <w:rPr>
      <w:color w:val="3D3D3D"/>
      <w:kern w:val="0"/>
      <w:sz w:val="24"/>
    </w:rPr>
  </w:style>
  <w:style w:type="paragraph" w:styleId="27">
    <w:name w:val="Title"/>
    <w:basedOn w:val="1"/>
    <w:next w:val="1"/>
    <w:link w:val="52"/>
    <w:autoRedefine/>
    <w:qFormat/>
    <w:uiPriority w:val="0"/>
    <w:pPr>
      <w:jc w:val="center"/>
      <w:outlineLvl w:val="0"/>
    </w:pPr>
    <w:rPr>
      <w:rFonts w:ascii="Cambria" w:hAnsi="Cambria" w:eastAsia="Times New Roman"/>
      <w:b/>
      <w:bCs/>
      <w:sz w:val="32"/>
      <w:szCs w:val="32"/>
      <w:lang w:eastAsia="en-US"/>
    </w:rPr>
  </w:style>
  <w:style w:type="paragraph" w:styleId="28">
    <w:name w:val="annotation subject"/>
    <w:basedOn w:val="11"/>
    <w:next w:val="11"/>
    <w:link w:val="53"/>
    <w:autoRedefine/>
    <w:unhideWhenUsed/>
    <w:qFormat/>
    <w:uiPriority w:val="99"/>
    <w:rPr>
      <w:bCs/>
    </w:rPr>
  </w:style>
  <w:style w:type="paragraph" w:styleId="29">
    <w:name w:val="Body Text First Indent"/>
    <w:basedOn w:val="12"/>
    <w:next w:val="1"/>
    <w:link w:val="96"/>
    <w:autoRedefine/>
    <w:qFormat/>
    <w:uiPriority w:val="99"/>
    <w:pPr>
      <w:ind w:firstLine="420" w:firstLineChars="100"/>
    </w:pPr>
    <w:rPr>
      <w:rFonts w:ascii="宋体"/>
    </w:rPr>
  </w:style>
  <w:style w:type="table" w:styleId="31">
    <w:name w:val="Table Grid"/>
    <w:basedOn w:val="3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Cs/>
    </w:rPr>
  </w:style>
  <w:style w:type="character" w:styleId="34">
    <w:name w:val="page number"/>
    <w:basedOn w:val="32"/>
    <w:autoRedefine/>
    <w:qFormat/>
    <w:uiPriority w:val="0"/>
  </w:style>
  <w:style w:type="character" w:styleId="35">
    <w:name w:val="FollowedHyperlink"/>
    <w:autoRedefine/>
    <w:unhideWhenUsed/>
    <w:qFormat/>
    <w:uiPriority w:val="99"/>
    <w:rPr>
      <w:rFonts w:ascii="Arial" w:hAnsi="Arial" w:eastAsia="Times New Roman" w:cs="Verdana"/>
      <w:b/>
      <w:color w:val="3D3D3D"/>
      <w:kern w:val="0"/>
      <w:sz w:val="24"/>
      <w:szCs w:val="24"/>
      <w:u w:val="none"/>
      <w:lang w:eastAsia="en-US"/>
    </w:rPr>
  </w:style>
  <w:style w:type="character" w:styleId="36">
    <w:name w:val="Emphasis"/>
    <w:basedOn w:val="32"/>
    <w:autoRedefine/>
    <w:qFormat/>
    <w:uiPriority w:val="20"/>
  </w:style>
  <w:style w:type="character" w:styleId="37">
    <w:name w:val="HTML Definition"/>
    <w:basedOn w:val="32"/>
    <w:autoRedefine/>
    <w:semiHidden/>
    <w:unhideWhenUsed/>
    <w:qFormat/>
    <w:uiPriority w:val="99"/>
    <w:rPr>
      <w:i/>
      <w:iCs/>
    </w:rPr>
  </w:style>
  <w:style w:type="character" w:styleId="38">
    <w:name w:val="Hyperlink"/>
    <w:basedOn w:val="32"/>
    <w:autoRedefine/>
    <w:qFormat/>
    <w:uiPriority w:val="99"/>
    <w:rPr>
      <w:rFonts w:ascii="Arial" w:hAnsi="Arial" w:eastAsia="Times New Roman" w:cs="Verdana"/>
      <w:color w:val="0000FF"/>
      <w:kern w:val="0"/>
      <w:sz w:val="24"/>
      <w:szCs w:val="24"/>
      <w:u w:val="single"/>
      <w:lang w:eastAsia="en-US"/>
    </w:rPr>
  </w:style>
  <w:style w:type="character" w:styleId="39">
    <w:name w:val="HTML Code"/>
    <w:basedOn w:val="32"/>
    <w:autoRedefine/>
    <w:semiHidden/>
    <w:unhideWhenUsed/>
    <w:qFormat/>
    <w:uiPriority w:val="99"/>
    <w:rPr>
      <w:rFonts w:hint="default" w:ascii="Consolas" w:hAnsi="Consolas" w:eastAsia="Consolas" w:cs="Consolas"/>
      <w:color w:val="C7254E"/>
      <w:sz w:val="21"/>
      <w:szCs w:val="21"/>
      <w:shd w:val="clear" w:color="auto" w:fill="F9F2F4"/>
    </w:rPr>
  </w:style>
  <w:style w:type="character" w:styleId="40">
    <w:name w:val="annotation reference"/>
    <w:autoRedefine/>
    <w:unhideWhenUsed/>
    <w:qFormat/>
    <w:uiPriority w:val="99"/>
    <w:rPr>
      <w:rFonts w:ascii="Arial" w:hAnsi="Arial" w:eastAsia="Times New Roman" w:cs="Verdana"/>
      <w:b/>
      <w:kern w:val="0"/>
      <w:sz w:val="21"/>
      <w:szCs w:val="21"/>
      <w:lang w:eastAsia="en-US"/>
    </w:rPr>
  </w:style>
  <w:style w:type="character" w:styleId="41">
    <w:name w:val="HTML Keyboard"/>
    <w:basedOn w:val="32"/>
    <w:autoRedefine/>
    <w:semiHidden/>
    <w:unhideWhenUsed/>
    <w:qFormat/>
    <w:uiPriority w:val="99"/>
    <w:rPr>
      <w:rFonts w:ascii="Consolas" w:hAnsi="Consolas" w:eastAsia="Consolas" w:cs="Consolas"/>
      <w:color w:val="FFFFFF"/>
      <w:sz w:val="21"/>
      <w:szCs w:val="21"/>
      <w:shd w:val="clear" w:color="auto" w:fill="333333"/>
    </w:rPr>
  </w:style>
  <w:style w:type="character" w:styleId="42">
    <w:name w:val="HTML Sample"/>
    <w:basedOn w:val="32"/>
    <w:autoRedefine/>
    <w:semiHidden/>
    <w:unhideWhenUsed/>
    <w:qFormat/>
    <w:uiPriority w:val="99"/>
    <w:rPr>
      <w:rFonts w:hint="default" w:ascii="Consolas" w:hAnsi="Consolas" w:eastAsia="Consolas" w:cs="Consolas"/>
      <w:sz w:val="21"/>
      <w:szCs w:val="21"/>
    </w:rPr>
  </w:style>
  <w:style w:type="paragraph" w:customStyle="1" w:styleId="43">
    <w:name w:val="正文1"/>
    <w:autoRedefine/>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character" w:customStyle="1" w:styleId="44">
    <w:name w:val="标题 4 Char"/>
    <w:link w:val="6"/>
    <w:autoRedefine/>
    <w:qFormat/>
    <w:uiPriority w:val="0"/>
    <w:rPr>
      <w:rFonts w:ascii="Cambria" w:hAnsi="Cambria" w:eastAsia="宋体" w:cs="Times New Roman"/>
      <w:b/>
      <w:bCs/>
      <w:kern w:val="2"/>
      <w:sz w:val="28"/>
      <w:szCs w:val="28"/>
      <w:lang w:eastAsia="en-US"/>
    </w:rPr>
  </w:style>
  <w:style w:type="character" w:customStyle="1" w:styleId="45">
    <w:name w:val="批注文字 Char"/>
    <w:link w:val="11"/>
    <w:autoRedefine/>
    <w:qFormat/>
    <w:uiPriority w:val="99"/>
    <w:rPr>
      <w:rFonts w:ascii="Arial" w:hAnsi="Arial" w:eastAsia="Times New Roman" w:cs="Verdana"/>
      <w:b/>
      <w:kern w:val="2"/>
      <w:sz w:val="21"/>
      <w:szCs w:val="24"/>
      <w:lang w:eastAsia="en-US"/>
    </w:rPr>
  </w:style>
  <w:style w:type="character" w:customStyle="1" w:styleId="46">
    <w:name w:val="纯文本 Char"/>
    <w:link w:val="15"/>
    <w:autoRedefine/>
    <w:qFormat/>
    <w:uiPriority w:val="0"/>
    <w:rPr>
      <w:rFonts w:ascii="宋体" w:hAnsi="Courier New" w:cs="Courier New"/>
      <w:kern w:val="2"/>
      <w:sz w:val="21"/>
      <w:szCs w:val="21"/>
    </w:rPr>
  </w:style>
  <w:style w:type="character" w:customStyle="1" w:styleId="47">
    <w:name w:val="日期 Char"/>
    <w:link w:val="16"/>
    <w:autoRedefine/>
    <w:qFormat/>
    <w:uiPriority w:val="0"/>
    <w:rPr>
      <w:rFonts w:ascii="宋体" w:hAnsi="Arial" w:eastAsia="Times New Roman" w:cs="Verdana"/>
      <w:b/>
      <w:kern w:val="2"/>
      <w:sz w:val="24"/>
      <w:szCs w:val="24"/>
      <w:lang w:eastAsia="en-US"/>
    </w:rPr>
  </w:style>
  <w:style w:type="character" w:customStyle="1" w:styleId="48">
    <w:name w:val="正文文本缩进 2 Char"/>
    <w:link w:val="17"/>
    <w:autoRedefine/>
    <w:qFormat/>
    <w:uiPriority w:val="0"/>
    <w:rPr>
      <w:rFonts w:ascii="Arial" w:hAnsi="Arial" w:eastAsia="Times New Roman" w:cs="Verdana"/>
      <w:b/>
      <w:kern w:val="2"/>
      <w:sz w:val="21"/>
      <w:szCs w:val="24"/>
      <w:lang w:eastAsia="en-US"/>
    </w:rPr>
  </w:style>
  <w:style w:type="character" w:customStyle="1" w:styleId="49">
    <w:name w:val="页脚 Char"/>
    <w:link w:val="19"/>
    <w:autoRedefine/>
    <w:qFormat/>
    <w:uiPriority w:val="99"/>
    <w:rPr>
      <w:rFonts w:ascii="Arial" w:hAnsi="Arial" w:eastAsia="Times New Roman" w:cs="Verdana"/>
      <w:b/>
      <w:kern w:val="0"/>
      <w:sz w:val="18"/>
      <w:szCs w:val="24"/>
      <w:lang w:eastAsia="en-US"/>
    </w:rPr>
  </w:style>
  <w:style w:type="character" w:customStyle="1" w:styleId="50">
    <w:name w:val="页眉 Char"/>
    <w:link w:val="20"/>
    <w:autoRedefine/>
    <w:qFormat/>
    <w:uiPriority w:val="0"/>
    <w:rPr>
      <w:kern w:val="2"/>
      <w:sz w:val="18"/>
      <w:szCs w:val="18"/>
    </w:rPr>
  </w:style>
  <w:style w:type="character" w:customStyle="1" w:styleId="51">
    <w:name w:val="正文文本缩进 3 Char"/>
    <w:link w:val="22"/>
    <w:autoRedefine/>
    <w:semiHidden/>
    <w:qFormat/>
    <w:uiPriority w:val="99"/>
    <w:rPr>
      <w:rFonts w:ascii="Arial" w:hAnsi="Arial" w:eastAsia="Times New Roman" w:cs="Verdana"/>
      <w:b/>
      <w:kern w:val="2"/>
      <w:sz w:val="16"/>
      <w:szCs w:val="16"/>
      <w:lang w:eastAsia="en-US"/>
    </w:rPr>
  </w:style>
  <w:style w:type="character" w:customStyle="1" w:styleId="52">
    <w:name w:val="标题 Char"/>
    <w:link w:val="27"/>
    <w:autoRedefine/>
    <w:qFormat/>
    <w:uiPriority w:val="0"/>
    <w:rPr>
      <w:rFonts w:ascii="Cambria" w:hAnsi="Cambria" w:eastAsia="Times New Roman" w:cs="Verdana"/>
      <w:b/>
      <w:bCs/>
      <w:kern w:val="2"/>
      <w:sz w:val="32"/>
      <w:szCs w:val="32"/>
      <w:lang w:eastAsia="en-US"/>
    </w:rPr>
  </w:style>
  <w:style w:type="character" w:customStyle="1" w:styleId="53">
    <w:name w:val="批注主题 Char"/>
    <w:link w:val="28"/>
    <w:autoRedefine/>
    <w:semiHidden/>
    <w:qFormat/>
    <w:uiPriority w:val="99"/>
    <w:rPr>
      <w:rFonts w:ascii="Arial" w:hAnsi="Arial" w:eastAsia="Times New Roman" w:cs="Verdana"/>
      <w:b/>
      <w:bCs/>
      <w:kern w:val="2"/>
      <w:sz w:val="21"/>
      <w:szCs w:val="24"/>
      <w:lang w:eastAsia="en-US"/>
    </w:rPr>
  </w:style>
  <w:style w:type="character" w:customStyle="1" w:styleId="54">
    <w:name w:val="style5 style5"/>
    <w:basedOn w:val="32"/>
    <w:autoRedefine/>
    <w:qFormat/>
    <w:uiPriority w:val="0"/>
  </w:style>
  <w:style w:type="character" w:customStyle="1" w:styleId="55">
    <w:name w:val="普通文字1 Char2"/>
    <w:autoRedefine/>
    <w:qFormat/>
    <w:uiPriority w:val="0"/>
    <w:rPr>
      <w:rFonts w:ascii="宋体" w:hAnsi="Courier New" w:eastAsia="宋体"/>
      <w:kern w:val="2"/>
      <w:sz w:val="21"/>
      <w:lang w:val="en-US" w:eastAsia="zh-CN" w:bidi="ar-SA"/>
    </w:rPr>
  </w:style>
  <w:style w:type="character" w:customStyle="1" w:styleId="56">
    <w:name w:val="gpa"/>
    <w:basedOn w:val="32"/>
    <w:autoRedefine/>
    <w:qFormat/>
    <w:uiPriority w:val="0"/>
    <w:rPr>
      <w:rFonts w:ascii="Arial" w:hAnsi="Arial" w:cs="Arial"/>
      <w:sz w:val="15"/>
      <w:szCs w:val="15"/>
    </w:rPr>
  </w:style>
  <w:style w:type="character" w:customStyle="1" w:styleId="57">
    <w:name w:val="displayarti"/>
    <w:basedOn w:val="32"/>
    <w:autoRedefine/>
    <w:qFormat/>
    <w:uiPriority w:val="0"/>
    <w:rPr>
      <w:color w:val="FFFFFF"/>
      <w:shd w:val="clear" w:color="auto" w:fill="A00000"/>
    </w:rPr>
  </w:style>
  <w:style w:type="character" w:customStyle="1" w:styleId="58">
    <w:name w:val="【正文】 Char"/>
    <w:link w:val="59"/>
    <w:autoRedefine/>
    <w:qFormat/>
    <w:uiPriority w:val="0"/>
    <w:rPr>
      <w:rFonts w:ascii="仿宋" w:hAnsi="仿宋" w:eastAsia="仿宋" w:cs="仿宋_GB2312"/>
      <w:kern w:val="2"/>
      <w:sz w:val="24"/>
      <w:szCs w:val="28"/>
    </w:rPr>
  </w:style>
  <w:style w:type="paragraph" w:customStyle="1" w:styleId="59">
    <w:name w:val="【正文】"/>
    <w:basedOn w:val="24"/>
    <w:link w:val="58"/>
    <w:autoRedefine/>
    <w:qFormat/>
    <w:uiPriority w:val="0"/>
    <w:pPr>
      <w:spacing w:after="0" w:line="360" w:lineRule="auto"/>
      <w:ind w:firstLine="200" w:firstLineChars="200"/>
    </w:pPr>
    <w:rPr>
      <w:rFonts w:ascii="仿宋" w:hAnsi="仿宋" w:eastAsia="仿宋"/>
      <w:sz w:val="24"/>
      <w:szCs w:val="28"/>
    </w:rPr>
  </w:style>
  <w:style w:type="character" w:customStyle="1" w:styleId="60">
    <w:name w:val="selected"/>
    <w:basedOn w:val="32"/>
    <w:autoRedefine/>
    <w:qFormat/>
    <w:uiPriority w:val="0"/>
    <w:rPr>
      <w:shd w:val="clear" w:color="auto" w:fill="B00006"/>
    </w:rPr>
  </w:style>
  <w:style w:type="character" w:customStyle="1" w:styleId="61">
    <w:name w:val="段 Char Char"/>
    <w:link w:val="62"/>
    <w:autoRedefine/>
    <w:qFormat/>
    <w:locked/>
    <w:uiPriority w:val="0"/>
    <w:rPr>
      <w:rFonts w:ascii="宋体" w:eastAsia="Times New Roman"/>
      <w:kern w:val="2"/>
      <w:sz w:val="21"/>
      <w:szCs w:val="22"/>
      <w:lang w:val="en-US" w:eastAsia="zh-CN" w:bidi="ar-SA"/>
    </w:rPr>
  </w:style>
  <w:style w:type="paragraph" w:customStyle="1" w:styleId="62">
    <w:name w:val="段"/>
    <w:link w:val="6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3">
    <w:name w:val="纯文本 Char1"/>
    <w:autoRedefine/>
    <w:qFormat/>
    <w:uiPriority w:val="0"/>
    <w:rPr>
      <w:rFonts w:ascii="宋体" w:hAnsi="Courier New" w:eastAsia="Times New Roman" w:cs="Courier New"/>
      <w:b/>
      <w:kern w:val="2"/>
      <w:sz w:val="21"/>
      <w:szCs w:val="21"/>
      <w:lang w:eastAsia="en-US"/>
    </w:rPr>
  </w:style>
  <w:style w:type="character" w:customStyle="1" w:styleId="64">
    <w:name w:val="页码1"/>
    <w:basedOn w:val="32"/>
    <w:autoRedefine/>
    <w:qFormat/>
    <w:uiPriority w:val="0"/>
  </w:style>
  <w:style w:type="character" w:customStyle="1" w:styleId="65">
    <w:name w:val="apple-style-span"/>
    <w:basedOn w:val="32"/>
    <w:autoRedefine/>
    <w:qFormat/>
    <w:uiPriority w:val="0"/>
  </w:style>
  <w:style w:type="paragraph" w:customStyle="1" w:styleId="66">
    <w:name w:val="正文文本缩进 31"/>
    <w:basedOn w:val="1"/>
    <w:autoRedefine/>
    <w:qFormat/>
    <w:uiPriority w:val="0"/>
    <w:pPr>
      <w:spacing w:line="410" w:lineRule="exact"/>
      <w:ind w:left="619" w:leftChars="295" w:firstLine="390" w:firstLineChars="179"/>
    </w:pPr>
    <w:rPr>
      <w:rFonts w:ascii="宋体" w:hAnsi="宋体"/>
      <w:spacing w:val="4"/>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Char1"/>
    <w:basedOn w:val="1"/>
    <w:autoRedefine/>
    <w:qFormat/>
    <w:uiPriority w:val="0"/>
    <w:pPr>
      <w:tabs>
        <w:tab w:val="left" w:pos="360"/>
      </w:tabs>
      <w:ind w:left="360" w:hanging="360" w:hangingChars="200"/>
    </w:pPr>
    <w:rPr>
      <w:sz w:val="24"/>
      <w:szCs w:val="24"/>
    </w:rPr>
  </w:style>
  <w:style w:type="paragraph" w:customStyle="1" w:styleId="69">
    <w:name w:val="正文文本缩进1"/>
    <w:basedOn w:val="1"/>
    <w:autoRedefine/>
    <w:qFormat/>
    <w:uiPriority w:val="0"/>
    <w:pPr>
      <w:widowControl/>
      <w:ind w:firstLine="652" w:firstLineChars="233"/>
    </w:pPr>
    <w:rPr>
      <w:kern w:val="0"/>
      <w:sz w:val="28"/>
    </w:rPr>
  </w:style>
  <w:style w:type="paragraph" w:customStyle="1" w:styleId="70">
    <w:name w:val="(a)正文"/>
    <w:basedOn w:val="1"/>
    <w:autoRedefine/>
    <w:qFormat/>
    <w:uiPriority w:val="0"/>
    <w:pPr>
      <w:widowControl/>
      <w:tabs>
        <w:tab w:val="left" w:pos="1871"/>
        <w:tab w:val="left" w:pos="2081"/>
      </w:tabs>
      <w:spacing w:line="360" w:lineRule="exact"/>
      <w:ind w:left="1871" w:hanging="510"/>
    </w:pPr>
    <w:rPr>
      <w:sz w:val="24"/>
    </w:rPr>
  </w:style>
  <w:style w:type="paragraph" w:customStyle="1" w:styleId="71">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3">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4">
    <w:name w:val="List Paragraph"/>
    <w:basedOn w:val="1"/>
    <w:autoRedefine/>
    <w:qFormat/>
    <w:uiPriority w:val="34"/>
    <w:pPr>
      <w:ind w:firstLine="420" w:firstLineChars="200"/>
    </w:pPr>
    <w:rPr>
      <w:rFonts w:ascii="Calibri" w:hAnsi="Calibri"/>
      <w:sz w:val="28"/>
      <w:szCs w:val="28"/>
    </w:rPr>
  </w:style>
  <w:style w:type="paragraph" w:customStyle="1" w:styleId="75">
    <w:name w:val="表格标题"/>
    <w:basedOn w:val="1"/>
    <w:autoRedefine/>
    <w:qFormat/>
    <w:uiPriority w:val="0"/>
    <w:pPr>
      <w:adjustRightInd w:val="0"/>
      <w:snapToGrid w:val="0"/>
      <w:spacing w:beforeLines="50" w:afterLines="50"/>
      <w:ind w:left="22" w:leftChars="8"/>
      <w:jc w:val="center"/>
    </w:pPr>
    <w:rPr>
      <w:b/>
      <w:bCs/>
      <w:color w:val="000000"/>
      <w:sz w:val="32"/>
      <w:szCs w:val="32"/>
    </w:rPr>
  </w:style>
  <w:style w:type="paragraph" w:customStyle="1" w:styleId="76">
    <w:name w:val="样式 首行缩进:  0.8 厘米1"/>
    <w:basedOn w:val="1"/>
    <w:autoRedefine/>
    <w:qFormat/>
    <w:uiPriority w:val="0"/>
    <w:pPr>
      <w:spacing w:before="60" w:after="60" w:line="288" w:lineRule="auto"/>
      <w:ind w:firstLine="454"/>
    </w:pPr>
    <w:rPr>
      <w:rFonts w:cs="宋体"/>
      <w:kern w:val="0"/>
      <w:sz w:val="24"/>
      <w:lang w:eastAsia="en-US"/>
    </w:rPr>
  </w:style>
  <w:style w:type="paragraph" w:customStyle="1" w:styleId="77">
    <w:name w:val="Char Char3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8">
    <w:name w:val="列出段落1"/>
    <w:basedOn w:val="1"/>
    <w:autoRedefine/>
    <w:qFormat/>
    <w:uiPriority w:val="34"/>
    <w:pPr>
      <w:ind w:firstLine="420" w:firstLineChars="200"/>
    </w:pPr>
    <w:rPr>
      <w:rFonts w:ascii="Calibri" w:hAnsi="Calibri"/>
      <w:szCs w:val="22"/>
    </w:rPr>
  </w:style>
  <w:style w:type="paragraph" w:customStyle="1" w:styleId="79">
    <w:name w:val="方案正文"/>
    <w:basedOn w:val="1"/>
    <w:autoRedefine/>
    <w:qFormat/>
    <w:uiPriority w:val="0"/>
    <w:pPr>
      <w:adjustRightInd w:val="0"/>
      <w:snapToGrid w:val="0"/>
      <w:spacing w:line="360" w:lineRule="auto"/>
      <w:ind w:firstLine="480" w:firstLineChars="200"/>
      <w:jc w:val="left"/>
    </w:pPr>
    <w:rPr>
      <w:sz w:val="24"/>
      <w:szCs w:val="24"/>
    </w:rPr>
  </w:style>
  <w:style w:type="paragraph" w:customStyle="1" w:styleId="80">
    <w:name w:val="List Paragraph1"/>
    <w:basedOn w:val="1"/>
    <w:autoRedefine/>
    <w:qFormat/>
    <w:uiPriority w:val="34"/>
    <w:pPr>
      <w:ind w:firstLine="420" w:firstLineChars="200"/>
    </w:pPr>
  </w:style>
  <w:style w:type="paragraph" w:customStyle="1" w:styleId="81">
    <w:name w:val="Char11"/>
    <w:basedOn w:val="1"/>
    <w:autoRedefine/>
    <w:qFormat/>
    <w:uiPriority w:val="0"/>
    <w:pPr>
      <w:tabs>
        <w:tab w:val="left" w:pos="360"/>
      </w:tabs>
      <w:ind w:left="360" w:hanging="360" w:hangingChars="200"/>
    </w:pPr>
    <w:rPr>
      <w:sz w:val="24"/>
      <w:szCs w:val="24"/>
    </w:rPr>
  </w:style>
  <w:style w:type="paragraph" w:customStyle="1" w:styleId="82">
    <w:name w:val="Char Char Char Char"/>
    <w:basedOn w:val="1"/>
    <w:autoRedefine/>
    <w:qFormat/>
    <w:uiPriority w:val="0"/>
    <w:pPr>
      <w:widowControl/>
      <w:spacing w:line="240" w:lineRule="exact"/>
      <w:jc w:val="center"/>
    </w:pPr>
    <w:rPr>
      <w:rFonts w:ascii="宋体" w:hAnsi="宋体"/>
      <w:b/>
      <w:kern w:val="0"/>
      <w:sz w:val="28"/>
      <w:szCs w:val="28"/>
      <w:lang w:eastAsia="en-US"/>
    </w:rPr>
  </w:style>
  <w:style w:type="paragraph" w:customStyle="1" w:styleId="83">
    <w:name w:val="_Style 74"/>
    <w:basedOn w:val="3"/>
    <w:next w:val="1"/>
    <w:autoRedefine/>
    <w:qFormat/>
    <w:uiPriority w:val="0"/>
    <w:pPr>
      <w:keepLines/>
      <w:widowControl/>
      <w:spacing w:line="276" w:lineRule="auto"/>
      <w:jc w:val="left"/>
      <w:outlineLvl w:val="9"/>
    </w:pPr>
    <w:rPr>
      <w:rFonts w:ascii="Cambria" w:hAnsi="Cambria"/>
      <w:b/>
      <w:bCs/>
      <w:color w:val="365F91"/>
      <w:kern w:val="0"/>
      <w:szCs w:val="28"/>
    </w:rPr>
  </w:style>
  <w:style w:type="paragraph" w:customStyle="1" w:styleId="84">
    <w:name w:val="title12"/>
    <w:basedOn w:val="1"/>
    <w:autoRedefine/>
    <w:qFormat/>
    <w:uiPriority w:val="0"/>
    <w:pPr>
      <w:spacing w:before="150"/>
      <w:jc w:val="left"/>
    </w:pPr>
    <w:rPr>
      <w:b/>
      <w:kern w:val="0"/>
      <w:sz w:val="22"/>
      <w:szCs w:val="22"/>
    </w:rPr>
  </w:style>
  <w:style w:type="character" w:customStyle="1" w:styleId="85">
    <w:name w:val="button"/>
    <w:basedOn w:val="32"/>
    <w:autoRedefine/>
    <w:qFormat/>
    <w:uiPriority w:val="0"/>
    <w:rPr>
      <w:u w:val="single"/>
    </w:rPr>
  </w:style>
  <w:style w:type="character" w:customStyle="1" w:styleId="86">
    <w:name w:val="indent"/>
    <w:basedOn w:val="32"/>
    <w:autoRedefine/>
    <w:qFormat/>
    <w:uiPriority w:val="0"/>
  </w:style>
  <w:style w:type="paragraph" w:customStyle="1" w:styleId="87">
    <w:name w:val="title11"/>
    <w:basedOn w:val="1"/>
    <w:autoRedefine/>
    <w:qFormat/>
    <w:uiPriority w:val="0"/>
    <w:pPr>
      <w:spacing w:before="150" w:line="450" w:lineRule="atLeast"/>
      <w:jc w:val="left"/>
    </w:pPr>
    <w:rPr>
      <w:b/>
      <w:bCs/>
      <w:kern w:val="0"/>
      <w:sz w:val="24"/>
      <w:szCs w:val="24"/>
    </w:rPr>
  </w:style>
  <w:style w:type="character" w:customStyle="1" w:styleId="88">
    <w:name w:val="old"/>
    <w:basedOn w:val="32"/>
    <w:autoRedefine/>
    <w:qFormat/>
    <w:uiPriority w:val="0"/>
    <w:rPr>
      <w:color w:val="999999"/>
    </w:rPr>
  </w:style>
  <w:style w:type="character" w:customStyle="1" w:styleId="89">
    <w:name w:val="glyphicon4"/>
    <w:basedOn w:val="32"/>
    <w:autoRedefine/>
    <w:qFormat/>
    <w:uiPriority w:val="0"/>
  </w:style>
  <w:style w:type="character" w:customStyle="1" w:styleId="90">
    <w:name w:val="hour_pm"/>
    <w:basedOn w:val="32"/>
    <w:autoRedefine/>
    <w:qFormat/>
    <w:uiPriority w:val="0"/>
  </w:style>
  <w:style w:type="character" w:customStyle="1" w:styleId="91">
    <w:name w:val="hover2"/>
    <w:basedOn w:val="32"/>
    <w:autoRedefine/>
    <w:qFormat/>
    <w:uiPriority w:val="0"/>
    <w:rPr>
      <w:shd w:val="clear" w:color="auto" w:fill="EEEEEE"/>
    </w:rPr>
  </w:style>
  <w:style w:type="character" w:customStyle="1" w:styleId="92">
    <w:name w:val="hour_am"/>
    <w:basedOn w:val="32"/>
    <w:autoRedefine/>
    <w:qFormat/>
    <w:uiPriority w:val="0"/>
  </w:style>
  <w:style w:type="character" w:customStyle="1" w:styleId="93">
    <w:name w:val="tmpztreemove_arrow"/>
    <w:basedOn w:val="32"/>
    <w:autoRedefine/>
    <w:qFormat/>
    <w:uiPriority w:val="0"/>
    <w:rPr>
      <w:shd w:val="clear" w:color="auto" w:fill="FFFFFF"/>
    </w:rPr>
  </w:style>
  <w:style w:type="character" w:customStyle="1" w:styleId="94">
    <w:name w:val="hover3"/>
    <w:basedOn w:val="32"/>
    <w:autoRedefine/>
    <w:qFormat/>
    <w:uiPriority w:val="0"/>
    <w:rPr>
      <w:shd w:val="clear" w:color="auto" w:fill="EEEEEE"/>
    </w:rPr>
  </w:style>
  <w:style w:type="character" w:customStyle="1" w:styleId="95">
    <w:name w:val="正文文本 Char"/>
    <w:basedOn w:val="32"/>
    <w:link w:val="12"/>
    <w:autoRedefine/>
    <w:qFormat/>
    <w:uiPriority w:val="0"/>
    <w:rPr>
      <w:kern w:val="2"/>
      <w:sz w:val="21"/>
      <w:szCs w:val="21"/>
    </w:rPr>
  </w:style>
  <w:style w:type="character" w:customStyle="1" w:styleId="96">
    <w:name w:val="正文首行缩进 Char"/>
    <w:basedOn w:val="95"/>
    <w:link w:val="29"/>
    <w:autoRedefine/>
    <w:qFormat/>
    <w:uiPriority w:val="0"/>
    <w:rPr>
      <w:kern w:val="2"/>
      <w:sz w:val="21"/>
      <w:szCs w:val="21"/>
    </w:rPr>
  </w:style>
  <w:style w:type="paragraph" w:customStyle="1" w:styleId="97">
    <w:name w:val="普通(网站) Char"/>
    <w:basedOn w:val="1"/>
    <w:autoRedefine/>
    <w:qFormat/>
    <w:uiPriority w:val="0"/>
    <w:pPr>
      <w:spacing w:before="100" w:beforeAutospacing="1" w:after="100" w:afterAutospacing="1"/>
    </w:pPr>
    <w:rPr>
      <w:rFonts w:hint="eastAsia" w:ascii="宋体" w:hAnsi="宋体" w:eastAsia="宋体"/>
    </w:rPr>
  </w:style>
  <w:style w:type="paragraph" w:customStyle="1" w:styleId="98">
    <w:name w:val="样式2"/>
    <w:basedOn w:val="99"/>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标题"/>
    <w:basedOn w:val="1"/>
    <w:next w:val="100"/>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00">
    <w:name w:val="@正文"/>
    <w:basedOn w:val="101"/>
    <w:autoRedefine/>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101">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02">
    <w:name w:val="样式1"/>
    <w:basedOn w:val="5"/>
    <w:autoRedefine/>
    <w:qFormat/>
    <w:uiPriority w:val="0"/>
    <w:pPr>
      <w:jc w:val="left"/>
    </w:pPr>
    <w:rPr>
      <w:rFonts w:eastAsia="楷体"/>
      <w:sz w:val="32"/>
    </w:rPr>
  </w:style>
  <w:style w:type="character" w:customStyle="1" w:styleId="103">
    <w:name w:val="font11"/>
    <w:autoRedefine/>
    <w:qFormat/>
    <w:uiPriority w:val="0"/>
    <w:rPr>
      <w:rFonts w:hint="eastAsia" w:ascii="宋体" w:hAnsi="宋体" w:eastAsia="宋体" w:cs="宋体"/>
      <w:color w:val="000000"/>
      <w:sz w:val="24"/>
      <w:szCs w:val="24"/>
      <w:u w:val="none"/>
      <w:vertAlign w:val="superscript"/>
    </w:rPr>
  </w:style>
  <w:style w:type="character" w:customStyle="1" w:styleId="104">
    <w:name w:val="font01"/>
    <w:autoRedefine/>
    <w:qFormat/>
    <w:uiPriority w:val="0"/>
    <w:rPr>
      <w:rFonts w:hint="eastAsia" w:ascii="宋体" w:hAnsi="宋体" w:eastAsia="宋体" w:cs="宋体"/>
      <w:color w:val="000000"/>
      <w:sz w:val="24"/>
      <w:szCs w:val="24"/>
      <w:u w:val="none"/>
    </w:rPr>
  </w:style>
  <w:style w:type="character" w:customStyle="1" w:styleId="105">
    <w:name w:val="zw1 Char"/>
    <w:link w:val="106"/>
    <w:autoRedefine/>
    <w:qFormat/>
    <w:uiPriority w:val="0"/>
    <w:rPr>
      <w:sz w:val="24"/>
      <w:szCs w:val="20"/>
    </w:rPr>
  </w:style>
  <w:style w:type="paragraph" w:customStyle="1" w:styleId="106">
    <w:name w:val="zw1"/>
    <w:basedOn w:val="1"/>
    <w:link w:val="105"/>
    <w:autoRedefine/>
    <w:qFormat/>
    <w:uiPriority w:val="0"/>
    <w:pPr>
      <w:spacing w:line="360" w:lineRule="auto"/>
      <w:ind w:firstLine="480" w:firstLineChars="200"/>
    </w:pPr>
    <w:rPr>
      <w:sz w:val="24"/>
      <w:szCs w:val="20"/>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宋体"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59</Pages>
  <Words>21021</Words>
  <Characters>22583</Characters>
  <Lines>213</Lines>
  <Paragraphs>60</Paragraphs>
  <TotalTime>0</TotalTime>
  <ScaleCrop>false</ScaleCrop>
  <LinksUpToDate>false</LinksUpToDate>
  <CharactersWithSpaces>22868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2022-05-12T04:02:00Z</dcterms:created>
  <dc:creator>HXZB</dc:creator>
  <cp:keywords>Birthday</cp:keywords>
  <cp:lastModifiedBy>爱～晓敏～一季花开</cp:lastModifiedBy>
  <cp:lastPrinted>2016-04-20T09:46:00Z</cp:lastPrinted>
  <dcterms:modified xsi:type="dcterms:W3CDTF">2025-11-11T00:50:24Z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673424686D8C49DC8220809271653468</vt:lpwstr>
  </property>
  <property fmtid="{D5CDD505-2E9C-101B-9397-08002B2CF9AE}" pid="4" name="KSOTemplateDocerSaveRecord">
    <vt:lpwstr>eyJoZGlkIjoiMTY1OTVmZDQyMzc0YWE2YzUzOGMyMTIxZmExNDlkMTYiLCJ1c2VySWQiOiI1NDgzOTQ1NDgifQ==</vt:lpwstr>
  </property>
</Properties>
</file>