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FE4A1">
      <w:pPr>
        <w:pStyle w:val="15"/>
        <w:spacing w:line="360" w:lineRule="auto"/>
        <w:jc w:val="both"/>
      </w:pPr>
      <w:r>
        <w:rPr>
          <w:rFonts w:ascii="仿宋_GB2312" w:hAnsi="仿宋_GB2312" w:eastAsia="仿宋_GB2312" w:cs="仿宋_GB2312"/>
          <w:b/>
          <w:sz w:val="21"/>
        </w:rPr>
        <w:t>一、项目概况</w:t>
      </w:r>
    </w:p>
    <w:p w14:paraId="61CDF2FF">
      <w:pPr>
        <w:pStyle w:val="15"/>
        <w:spacing w:line="360" w:lineRule="auto"/>
        <w:ind w:firstLine="420"/>
        <w:jc w:val="both"/>
      </w:pPr>
      <w:r>
        <w:rPr>
          <w:rFonts w:ascii="仿宋_GB2312" w:hAnsi="仿宋_GB2312" w:eastAsia="仿宋_GB2312" w:cs="仿宋_GB2312"/>
          <w:sz w:val="21"/>
        </w:rPr>
        <w:t>为确保中心登记业务稳定开展，持续优化营商环境，对中心电子信息设备基础运行的可靠性、稳定性提出更高要求，需委托第三方专业团队，对中心办事大厅业务办公电子信息设备及其它相关电子设备硬件的日常运行进行维护保障，减少设备宕机风险和频率，确保各个设备及对应系统不间断运行。现启动办事大厅2025年度电子信息设备维修保障项目。</w:t>
      </w:r>
    </w:p>
    <w:p w14:paraId="16C0742B">
      <w:pPr>
        <w:pStyle w:val="15"/>
        <w:spacing w:line="360" w:lineRule="auto"/>
        <w:jc w:val="both"/>
      </w:pPr>
      <w:r>
        <w:rPr>
          <w:rFonts w:ascii="仿宋_GB2312" w:hAnsi="仿宋_GB2312" w:eastAsia="仿宋_GB2312" w:cs="仿宋_GB2312"/>
          <w:b/>
          <w:sz w:val="21"/>
        </w:rPr>
        <w:t>二、项目内容</w:t>
      </w:r>
    </w:p>
    <w:p w14:paraId="494DDBBA">
      <w:pPr>
        <w:pStyle w:val="15"/>
        <w:spacing w:line="360" w:lineRule="auto"/>
        <w:ind w:firstLine="420"/>
        <w:jc w:val="both"/>
      </w:pPr>
      <w:r>
        <w:rPr>
          <w:rFonts w:ascii="仿宋_GB2312" w:hAnsi="仿宋_GB2312" w:eastAsia="仿宋_GB2312" w:cs="仿宋_GB2312"/>
          <w:sz w:val="21"/>
        </w:rPr>
        <w:t>维修保障内容：中心业务办公电子信息设备</w:t>
      </w:r>
      <w:bookmarkStart w:id="0" w:name="_GoBack"/>
      <w:bookmarkEnd w:id="0"/>
      <w:r>
        <w:rPr>
          <w:rFonts w:ascii="仿宋_GB2312" w:hAnsi="仿宋_GB2312" w:eastAsia="仿宋_GB2312" w:cs="仿宋_GB2312"/>
          <w:sz w:val="21"/>
        </w:rPr>
        <w:t>及其它相关设备保养、维修、更换等，包括但不限于台式电脑353台、笔记本电脑7台、打印机253台、针式打印机14台、复印机13台、扫描仪127台、执法记录仪130台、身份证识别仪145台、窗口摄像头56个、空调28台、饮水机45台、装订机16台、碎纸机21台、窗口评价器172台、手机充电站10台等电子设备硬件约1800项，办事大厅基础保障弱电系统设备、业务专用自助设备等除外。</w:t>
      </w:r>
    </w:p>
    <w:p w14:paraId="1C7D2339">
      <w:pPr>
        <w:pStyle w:val="15"/>
        <w:spacing w:line="360" w:lineRule="auto"/>
        <w:jc w:val="both"/>
      </w:pPr>
      <w:r>
        <w:rPr>
          <w:rFonts w:ascii="仿宋_GB2312" w:hAnsi="仿宋_GB2312" w:eastAsia="仿宋_GB2312" w:cs="仿宋_GB2312"/>
          <w:b/>
          <w:sz w:val="21"/>
        </w:rPr>
        <w:t>三、项目服务要求</w:t>
      </w:r>
    </w:p>
    <w:p w14:paraId="2F10BE36">
      <w:pPr>
        <w:pStyle w:val="15"/>
        <w:spacing w:line="360" w:lineRule="auto"/>
        <w:ind w:firstLine="420"/>
        <w:jc w:val="both"/>
      </w:pPr>
      <w:r>
        <w:rPr>
          <w:rFonts w:ascii="仿宋_GB2312" w:hAnsi="仿宋_GB2312" w:eastAsia="仿宋_GB2312" w:cs="仿宋_GB2312"/>
          <w:sz w:val="21"/>
        </w:rPr>
        <w:t>1、在服务期内，供应商针对本项目成立不少于4名维修工程师的技术团队，维修工程师须具备相关专业的技能证书或职称证书，提供至少1名工程师根据采购人实际需求进行各大厅日常巡查，1名项目负责人电话随时沟通、随时响应采购人服务请求，处理设备硬件故障，同时储备1-2名技术工程师处理应急事项，并可随时服从采购人的加班要求；供应商技术团队24小时响应，随时到现场处理突发事故，为突发事件提供有效保障；供应商要设置专人职守的热线电话，接听采购人服务请求和咨询，并记录相关事件处理结果。</w:t>
      </w:r>
    </w:p>
    <w:p w14:paraId="3EB640FA">
      <w:pPr>
        <w:pStyle w:val="15"/>
        <w:spacing w:line="360" w:lineRule="auto"/>
        <w:ind w:firstLine="420"/>
        <w:jc w:val="both"/>
      </w:pPr>
      <w:r>
        <w:rPr>
          <w:rFonts w:ascii="仿宋_GB2312" w:hAnsi="仿宋_GB2312" w:eastAsia="仿宋_GB2312" w:cs="仿宋_GB2312"/>
          <w:sz w:val="21"/>
        </w:rPr>
        <w:t>2、在服务期内，供应商接到采购人设备故障电话后，1小时内到达现场，并针对由硬件故障产生的问题进行故障排查，并对其进行维修、更换，直到故障消除，保证设备硬件正常运行。如果不能在6小时之内解决由硬件损坏引起的设备运行故障，供应商应提供备用设备，确保整个系统设备硬件正常运行。</w:t>
      </w:r>
    </w:p>
    <w:p w14:paraId="7AA7E8D1">
      <w:pPr>
        <w:pStyle w:val="15"/>
        <w:spacing w:line="360" w:lineRule="auto"/>
        <w:ind w:firstLine="420"/>
        <w:jc w:val="both"/>
      </w:pPr>
      <w:r>
        <w:rPr>
          <w:rFonts w:ascii="仿宋_GB2312" w:hAnsi="仿宋_GB2312" w:eastAsia="仿宋_GB2312" w:cs="仿宋_GB2312"/>
          <w:sz w:val="21"/>
        </w:rPr>
        <w:t>3、服务期内，必须严格遵守国家有关安全、隐私方面的所有法律法规和采购人对于安全方面的相关规定，配合第三方服务工作，做好工作协调，共同解决设备故障，确保采购人相关业务正常进行；到场维修人员进行严格遵守采购人各项管理规定，现场维修相关事务需要严格按照采购人相关人员的安排。</w:t>
      </w:r>
    </w:p>
    <w:p w14:paraId="651329B9">
      <w:pPr>
        <w:pStyle w:val="15"/>
        <w:spacing w:line="360" w:lineRule="auto"/>
        <w:ind w:firstLine="420"/>
        <w:jc w:val="both"/>
      </w:pPr>
      <w:r>
        <w:rPr>
          <w:rFonts w:ascii="仿宋_GB2312" w:hAnsi="仿宋_GB2312" w:eastAsia="仿宋_GB2312" w:cs="仿宋_GB2312"/>
          <w:sz w:val="21"/>
        </w:rPr>
        <w:t>4、服务期内，供应商需对中心业务办公电子信息设备硬件定期进行专业检测、调试，并及时上报设备硬件的故障及损坏等非正常情况；在巡检维修过程中，对出现故障的电子设备硬件免费进行维修、更换（包含配件、辅材、人工等），需要更换的硬件及相关配件，由供应商自行承担，并确保维修或更换后的设备硬件与其系统均正常工作；设备硬件损坏的部件仍在质保期内的，由供应商负责对接联系厂商报修或更换。</w:t>
      </w:r>
    </w:p>
    <w:p w14:paraId="06C342E4">
      <w:pPr>
        <w:pStyle w:val="15"/>
        <w:spacing w:line="360" w:lineRule="auto"/>
        <w:ind w:firstLine="420"/>
        <w:jc w:val="both"/>
      </w:pPr>
      <w:r>
        <w:rPr>
          <w:rFonts w:ascii="仿宋_GB2312" w:hAnsi="仿宋_GB2312" w:eastAsia="仿宋_GB2312" w:cs="仿宋_GB2312"/>
          <w:sz w:val="21"/>
        </w:rPr>
        <w:t>5、服务期内，供应商须确保采购人业务办公电子信息设备硬件（含设备硬件匹配的对应系统）正常、平稳、安全可靠运行，并提供硬件正常运行所必须的相关配件、备件，当设备出现故障时需要大修时，供应商应及时更换设备备件，以保障业务系统正常运行。</w:t>
      </w:r>
    </w:p>
    <w:p w14:paraId="351C6D2E">
      <w:pPr>
        <w:spacing w:line="360" w:lineRule="auto"/>
      </w:pPr>
      <w:r>
        <w:rPr>
          <w:rFonts w:ascii="仿宋_GB2312" w:hAnsi="仿宋_GB2312" w:eastAsia="仿宋_GB2312" w:cs="仿宋_GB2312"/>
          <w:sz w:val="21"/>
        </w:rPr>
        <w:t xml:space="preserve">    6、供应商在本项目采购环节中，可进行项目实地勘察，在充分了解项目的实际情况后，在响应采购文件时，须承诺自服务期约定之日起1个月内，完成本项目服务内容相关设备历史故障的维护及维修，保证其正常使用，如需与第三方服务商对接，供应商应积极与第三方沟通，妥善处置并确保确保服务内容范围内的设备以及对应的系统正常运行，达到国家、省、市及行业相关规范、标准化建设要求。</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64D25"/>
    <w:rsid w:val="05FD1BBE"/>
    <w:rsid w:val="06AC0A0C"/>
    <w:rsid w:val="0EC73F5E"/>
    <w:rsid w:val="0FA314C4"/>
    <w:rsid w:val="100C66D5"/>
    <w:rsid w:val="122A05F8"/>
    <w:rsid w:val="17395C7D"/>
    <w:rsid w:val="1E731794"/>
    <w:rsid w:val="240D341D"/>
    <w:rsid w:val="24422E26"/>
    <w:rsid w:val="26E7587D"/>
    <w:rsid w:val="29DF3391"/>
    <w:rsid w:val="2B780E96"/>
    <w:rsid w:val="2EA62314"/>
    <w:rsid w:val="30DB2D00"/>
    <w:rsid w:val="31F05F32"/>
    <w:rsid w:val="3465383C"/>
    <w:rsid w:val="3CB75A27"/>
    <w:rsid w:val="3D643E0C"/>
    <w:rsid w:val="3D6E74D6"/>
    <w:rsid w:val="40CC25C5"/>
    <w:rsid w:val="4541667C"/>
    <w:rsid w:val="47264D25"/>
    <w:rsid w:val="49787CEA"/>
    <w:rsid w:val="4AFE4EC2"/>
    <w:rsid w:val="54897A6D"/>
    <w:rsid w:val="5B6B56EA"/>
    <w:rsid w:val="5D5B6D2D"/>
    <w:rsid w:val="5DB91FC8"/>
    <w:rsid w:val="5E041700"/>
    <w:rsid w:val="60E0460C"/>
    <w:rsid w:val="61915623"/>
    <w:rsid w:val="623C0084"/>
    <w:rsid w:val="634C5649"/>
    <w:rsid w:val="65705DC1"/>
    <w:rsid w:val="678332EB"/>
    <w:rsid w:val="69507602"/>
    <w:rsid w:val="6FAC02E5"/>
    <w:rsid w:val="710A048B"/>
    <w:rsid w:val="711F04E9"/>
    <w:rsid w:val="73F45085"/>
    <w:rsid w:val="780C7A6F"/>
    <w:rsid w:val="7B651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宋体" w:cs="宋体"/>
      <w:kern w:val="2"/>
      <w:sz w:val="28"/>
      <w:szCs w:val="28"/>
      <w:lang w:val="en-US" w:eastAsia="zh-CN" w:bidi="ar-SA"/>
    </w:rPr>
  </w:style>
  <w:style w:type="paragraph" w:styleId="3">
    <w:name w:val="heading 1"/>
    <w:basedOn w:val="1"/>
    <w:next w:val="1"/>
    <w:link w:val="11"/>
    <w:qFormat/>
    <w:uiPriority w:val="0"/>
    <w:pPr>
      <w:keepNext/>
      <w:spacing w:after="100" w:line="240" w:lineRule="auto"/>
      <w:ind w:firstLine="0" w:firstLineChars="0"/>
      <w:jc w:val="center"/>
      <w:outlineLvl w:val="0"/>
    </w:pPr>
    <w:rPr>
      <w:b/>
      <w:bCs/>
      <w:kern w:val="0"/>
      <w:sz w:val="44"/>
      <w:szCs w:val="44"/>
    </w:rPr>
  </w:style>
  <w:style w:type="paragraph" w:styleId="4">
    <w:name w:val="heading 2"/>
    <w:basedOn w:val="1"/>
    <w:next w:val="1"/>
    <w:link w:val="12"/>
    <w:semiHidden/>
    <w:unhideWhenUsed/>
    <w:qFormat/>
    <w:uiPriority w:val="0"/>
    <w:pPr>
      <w:keepNext/>
      <w:spacing w:line="240" w:lineRule="auto"/>
      <w:ind w:leftChars="200" w:firstLine="0" w:firstLineChars="0"/>
      <w:jc w:val="left"/>
      <w:outlineLvl w:val="1"/>
    </w:pPr>
    <w:rPr>
      <w:b/>
      <w:bCs/>
      <w:kern w:val="0"/>
      <w:sz w:val="32"/>
      <w:szCs w:val="32"/>
    </w:rPr>
  </w:style>
  <w:style w:type="paragraph" w:styleId="5">
    <w:name w:val="heading 3"/>
    <w:basedOn w:val="1"/>
    <w:next w:val="1"/>
    <w:link w:val="13"/>
    <w:semiHidden/>
    <w:unhideWhenUsed/>
    <w:qFormat/>
    <w:uiPriority w:val="0"/>
    <w:pPr>
      <w:keepNext/>
      <w:spacing w:line="240" w:lineRule="auto"/>
      <w:ind w:leftChars="200" w:firstLine="0" w:firstLineChars="0"/>
      <w:outlineLvl w:val="2"/>
    </w:pPr>
    <w:rPr>
      <w:b/>
      <w:bCs/>
      <w:kern w:val="0"/>
    </w:rPr>
  </w:style>
  <w:style w:type="paragraph" w:styleId="6">
    <w:name w:val="heading 4"/>
    <w:basedOn w:val="1"/>
    <w:next w:val="1"/>
    <w:link w:val="14"/>
    <w:semiHidden/>
    <w:unhideWhenUsed/>
    <w:qFormat/>
    <w:uiPriority w:val="0"/>
    <w:pPr>
      <w:keepNext/>
      <w:keepLines/>
      <w:spacing w:before="280" w:beforeLines="0" w:after="290" w:afterLines="0" w:line="240" w:lineRule="auto"/>
      <w:ind w:leftChars="0" w:firstLine="0" w:firstLineChars="0"/>
      <w:jc w:val="left"/>
      <w:outlineLvl w:val="3"/>
    </w:pPr>
    <w:rPr>
      <w:b/>
      <w:bC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7">
    <w:name w:val="Body Text Indent"/>
    <w:basedOn w:val="1"/>
    <w:qFormat/>
    <w:uiPriority w:val="0"/>
    <w:pPr>
      <w:spacing w:after="120" w:afterLines="0" w:afterAutospacing="0"/>
      <w:ind w:left="420" w:leftChars="200"/>
    </w:pPr>
  </w:style>
  <w:style w:type="paragraph" w:styleId="8">
    <w:name w:val="Body Text First Indent 2"/>
    <w:basedOn w:val="7"/>
    <w:qFormat/>
    <w:uiPriority w:val="0"/>
    <w:pPr>
      <w:ind w:firstLine="420" w:firstLineChars="200"/>
    </w:pPr>
  </w:style>
  <w:style w:type="character" w:customStyle="1" w:styleId="11">
    <w:name w:val="标题 1 Char"/>
    <w:link w:val="3"/>
    <w:qFormat/>
    <w:uiPriority w:val="0"/>
    <w:rPr>
      <w:rFonts w:ascii="仿宋" w:hAnsi="仿宋" w:eastAsia="仿宋" w:cs="仿宋"/>
      <w:b/>
      <w:bCs/>
      <w:kern w:val="0"/>
      <w:sz w:val="44"/>
      <w:szCs w:val="44"/>
    </w:rPr>
  </w:style>
  <w:style w:type="character" w:customStyle="1" w:styleId="12">
    <w:name w:val="标题 2 Char"/>
    <w:link w:val="4"/>
    <w:qFormat/>
    <w:uiPriority w:val="0"/>
    <w:rPr>
      <w:rFonts w:ascii="仿宋" w:hAnsi="仿宋" w:eastAsia="宋体" w:cs="宋体"/>
      <w:b/>
      <w:bCs/>
      <w:kern w:val="0"/>
      <w:sz w:val="32"/>
      <w:szCs w:val="32"/>
    </w:rPr>
  </w:style>
  <w:style w:type="character" w:customStyle="1" w:styleId="13">
    <w:name w:val="标题 3 Char"/>
    <w:link w:val="5"/>
    <w:qFormat/>
    <w:uiPriority w:val="0"/>
    <w:rPr>
      <w:rFonts w:ascii="宋体" w:hAnsi="宋体" w:eastAsia="宋体"/>
      <w:b/>
      <w:bCs/>
      <w:kern w:val="0"/>
      <w:sz w:val="28"/>
    </w:rPr>
  </w:style>
  <w:style w:type="character" w:customStyle="1" w:styleId="14">
    <w:name w:val="标题 4 Char"/>
    <w:link w:val="6"/>
    <w:qFormat/>
    <w:uiPriority w:val="0"/>
    <w:rPr>
      <w:rFonts w:ascii="宋体" w:hAnsi="宋体" w:eastAsia="宋体"/>
      <w:b/>
      <w:bCs/>
    </w:r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2025-11-14T07:38:00Z</dcterms:created>
  <dc:creator>朱娟</dc:creator>
  <cp:lastModifiedBy>朱娟</cp:lastModifiedBy>
  <dcterms:modified xsi:type="dcterms:W3CDTF">2025-11-14T07:38:24Z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35CA4B7FCAB74792A2F45F32A4B684C6_11</vt:lpwstr>
  </property>
  <property fmtid="{D5CDD505-2E9C-101B-9397-08002B2CF9AE}" pid="4" name="KSOTemplateDocerSaveRecord">
    <vt:lpwstr>eyJoZGlkIjoiMmQxOTU3NzVlZWIwMjUxZDI1ODUwYWNiYjFjY2VmNGIiLCJ1c2VySWQiOiIyMDIwODMyODIifQ==</vt:lpwstr>
  </property>
</Properties>
</file>