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BD786">
      <w:pPr>
        <w:adjustRightInd w:val="0"/>
        <w:snapToGrid w:val="0"/>
        <w:spacing w:line="360" w:lineRule="auto"/>
        <w:ind w:firstLine="482" w:firstLineChars="200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一、项目概况</w:t>
      </w:r>
    </w:p>
    <w:p w14:paraId="5CB702F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 xml:space="preserve">为满足地下水质量评价、污染评价和环境管理的需求，查明咸阳市地下水环境背景值范围及变化特征，解析关键指标高值的天然和人为原因，提升地下水监测能力，采用多方法融合的环境背景值确定技术，对咸阳市不同地质单元、不同行政区、不同含水层组的地下水环境背景值开展调查，聚焦“双源地区”的高富集区和高富集指标的成因分析。具体内容如下： </w:t>
      </w:r>
    </w:p>
    <w:p w14:paraId="61160D4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 xml:space="preserve">（1）咸阳市环境背景调查：系统收集咸阳市以往基础地质、水文地质、水质监测、地下水污染源等调查资料。根据区域水环境特征和人类活动强度的不同，补充开展分区域、分精度的野外调查工作，掌握调查区地质背景和人为环境状况。 </w:t>
      </w:r>
    </w:p>
    <w:p w14:paraId="62174E1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 xml:space="preserve">（2）地下水环境单元划分：充分考虑与地下水环境背景值生成有关的区内地质环境的差异性，根据地下水形成与赋存地质环境、地下水交替循环状况及其所涉及的介质系统、水化学特征及区域受污染的情况，划分地下水环境单元。 </w:t>
      </w:r>
    </w:p>
    <w:p w14:paraId="384377B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 xml:space="preserve">（3）地下水环境现状调查及超标组分分析：基于历史资料状况和调查成果，在地下水环境单元已有监测点位基础上，补充必要的新建监测井，并进行地下水样品采集，确定咸阳市地下水环境现状，明确超标组分及其超标程度，超标范围。 </w:t>
      </w:r>
    </w:p>
    <w:p w14:paraId="1EDDCDC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 xml:space="preserve">（4）地下水环境背景值数据获取及处理分析：收集研究以往地下水水质数据，包括不同水文地质单元的地下水质调查数据、区内无明显污染源的水质数据、邻区水文地质条件相似的水质数据等，结合本项目开展的针对不同水文地质单元的地下水水质调查结果，选取重要考核指标开展环境背景值调查；采用数理统计方法进行异常数据的识别，进行地下水背景值检验与验证，确定各指标的背景值区间，分析计算不同区域地下水环境背景值，为地下水污染防治提供数据支撑。 </w:t>
      </w:r>
    </w:p>
    <w:p w14:paraId="61CC3B9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5）地下水环境背景值确定：对咸阳市地下水环境背景进行成因分析，通过多种手段探讨其形成的影响因素；在数据处理分析的基础上，统计不同计算单元的地下水环境背景值范围，编制地下水环境背景值统计技术报告。</w:t>
      </w:r>
    </w:p>
    <w:p w14:paraId="6E423EA7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 w:eastAsia="zh-CN"/>
        </w:rPr>
        <w:t>二、质量要求及技术要求</w:t>
      </w:r>
    </w:p>
    <w:p w14:paraId="6872B7C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1、符合国家及行业质量验收合格标准。</w:t>
      </w:r>
    </w:p>
    <w:p w14:paraId="282A9951"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2、符合以下技术要求：</w:t>
      </w:r>
    </w:p>
    <w:p w14:paraId="6836C6E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关于印发《“十四五”土壤生态环境保护规划大纲》的函(土壤函(2020)35 号)；</w:t>
      </w:r>
    </w:p>
    <w:p w14:paraId="185F3E0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）《水污染防治行动计划》国发(2015)17号；</w:t>
      </w:r>
    </w:p>
    <w:p w14:paraId="0D50903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）《地下水污染防治实施方案》(环土壤(2019)25号)；</w:t>
      </w:r>
    </w:p>
    <w:p w14:paraId="1C969D6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）关于印发《生态环境监测规划纲要(2020-2035年)》的通知(环监测(2019)86号)；</w:t>
      </w:r>
    </w:p>
    <w:p w14:paraId="264C4BC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）《关于推进生态环境监测体系与监测能力现代化的若干意见》(环办监测(2020)9号)；</w:t>
      </w:r>
    </w:p>
    <w:p w14:paraId="19DFCB1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）《地表水和地下水环境本底判定技术规定(暂行)》(环办监测函(2019)895导)；</w:t>
      </w:r>
    </w:p>
    <w:p w14:paraId="39186EA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）《污染地块地下水修复和风险管控技术导则》(HT25.6-2019)；</w:t>
      </w:r>
    </w:p>
    <w:p w14:paraId="311536B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）《生态环境损害鉴定评估技术指南 土壤与地下水》环办法规(2018)46 号；</w:t>
      </w:r>
    </w:p>
    <w:p w14:paraId="2564D05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）《地下水质量标准》GB/T14848；</w:t>
      </w:r>
    </w:p>
    <w:p w14:paraId="798D43F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）《地下水环境监测技术规范》HJ/T164；</w:t>
      </w:r>
    </w:p>
    <w:p w14:paraId="32D9B6A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）《地下水环境监测井建井技术指南(试行)》；</w:t>
      </w:r>
    </w:p>
    <w:p w14:paraId="6796F02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）《地下水环境监测技术规范》HJ/T 164-2004；</w:t>
      </w:r>
    </w:p>
    <w:p w14:paraId="174B7BF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）《地下水监测井建设规范》DZT 0270-2014；</w:t>
      </w:r>
    </w:p>
    <w:p w14:paraId="1E3EDD4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）《地下水环境状况调查评价工作指南》生态环境部办公厅环办土壤函[2019]770 号。</w:t>
      </w:r>
    </w:p>
    <w:p w14:paraId="063AD0B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成果文件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 w:eastAsia="zh-CN"/>
        </w:rPr>
        <w:t>要求</w:t>
      </w:r>
    </w:p>
    <w:p w14:paraId="73D1902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1、地下水样品检测数量≥550个；</w:t>
      </w:r>
    </w:p>
    <w:p w14:paraId="747B906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2、咸阳市全市地下水环境背景值调查报告1套；</w:t>
      </w:r>
    </w:p>
    <w:p w14:paraId="7A303B6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3、咸阳市地热地下水环境背景值调查专题报告1套；</w:t>
      </w:r>
    </w:p>
    <w:p w14:paraId="66F6B8A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4、系列图册1套。</w:t>
      </w:r>
    </w:p>
    <w:p w14:paraId="28D206A6">
      <w:pPr>
        <w:adjustRightInd w:val="0"/>
        <w:snapToGrid w:val="0"/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四、商务要求</w:t>
      </w:r>
    </w:p>
    <w:p w14:paraId="5FDAA8A8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 w:eastAsia="zh-CN"/>
        </w:rPr>
        <w:t>1、服务期限：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 xml:space="preserve">合同签订之日起十二个月内 </w:t>
      </w:r>
    </w:p>
    <w:p w14:paraId="33F7C1C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 w:eastAsia="zh-CN"/>
        </w:rPr>
        <w:t>2、服务地点：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 xml:space="preserve">陕西省咸阳市 </w:t>
      </w:r>
    </w:p>
    <w:p w14:paraId="45DE8AA7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 w:eastAsia="zh-CN"/>
        </w:rPr>
        <w:t>3、付款条件：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合同签订后支付合同总价款的 40%；技术成果评审后支付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合同总价款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 xml:space="preserve">40%，验收合格后支付合同总价款的 20%。 </w:t>
      </w:r>
    </w:p>
    <w:p w14:paraId="7162E020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 w:eastAsia="zh-CN"/>
        </w:rPr>
        <w:t>4、后续配合服务期：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验收合格后 1 年</w:t>
      </w:r>
    </w:p>
    <w:p w14:paraId="0567B2C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未经采购人同意，中标供应商不得将承包项目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包或转包，否则，视为中标供应商违约，采购人有权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  <w:t>解除服务合同。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532B"/>
    <w:rsid w:val="01A7278B"/>
    <w:rsid w:val="098822A4"/>
    <w:rsid w:val="1A830153"/>
    <w:rsid w:val="1ED86124"/>
    <w:rsid w:val="1F046E2D"/>
    <w:rsid w:val="2AE9366F"/>
    <w:rsid w:val="56B952F1"/>
    <w:rsid w:val="6009588A"/>
    <w:rsid w:val="645273C0"/>
    <w:rsid w:val="6C477C67"/>
    <w:rsid w:val="6D1F16FD"/>
    <w:rsid w:val="6E6A61EA"/>
    <w:rsid w:val="6F326FE2"/>
    <w:rsid w:val="710255C7"/>
    <w:rsid w:val="77FA4095"/>
    <w:rsid w:val="7CAC4E06"/>
    <w:rsid w:val="7CB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overflowPunct w:val="0"/>
      <w:spacing w:before="220" w:after="210" w:line="600" w:lineRule="exact"/>
      <w:jc w:val="center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微软雅黑" w:cs="Times New Roman"/>
      <w:b/>
      <w:bCs/>
      <w:sz w:val="44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560" w:lineRule="exact"/>
      <w:jc w:val="left"/>
      <w:outlineLvl w:val="2"/>
    </w:pPr>
    <w:rPr>
      <w:rFonts w:ascii="Times New Roman" w:hAnsi="Times New Roman" w:eastAsia="仿宋"/>
      <w:b/>
      <w:bCs/>
      <w:kern w:val="0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1 字符1"/>
    <w:link w:val="2"/>
    <w:qFormat/>
    <w:uiPriority w:val="0"/>
    <w:rPr>
      <w:rFonts w:ascii="Times New Roman" w:hAnsi="Times New Roman" w:eastAsia="仿宋" w:cs="Times New Roman"/>
      <w:b/>
      <w:bCs/>
      <w:kern w:val="44"/>
      <w:sz w:val="44"/>
      <w:szCs w:val="44"/>
    </w:rPr>
  </w:style>
  <w:style w:type="character" w:customStyle="1" w:styleId="9">
    <w:name w:val="标题 2 字符2"/>
    <w:link w:val="3"/>
    <w:qFormat/>
    <w:uiPriority w:val="0"/>
    <w:rPr>
      <w:rFonts w:ascii="Arial" w:hAnsi="Arial" w:eastAsia="微软雅黑" w:cs="Times New Roman"/>
      <w:b/>
      <w:bCs/>
      <w:sz w:val="32"/>
      <w:szCs w:val="32"/>
    </w:rPr>
  </w:style>
  <w:style w:type="character" w:customStyle="1" w:styleId="10">
    <w:name w:val="标题 3 字符"/>
    <w:link w:val="4"/>
    <w:qFormat/>
    <w:uiPriority w:val="0"/>
    <w:rPr>
      <w:rFonts w:ascii="Times New Roman" w:hAnsi="Times New Roman" w:eastAsia="仿宋"/>
      <w:b/>
      <w:bCs/>
      <w:sz w:val="28"/>
      <w:szCs w:val="32"/>
    </w:rPr>
  </w:style>
  <w:style w:type="paragraph" w:customStyle="1" w:styleId="11">
    <w:name w:val="样式 10 磅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2024-10-17T06:33:00Z</dcterms:created>
  <dc:creator>admin</dc:creator>
  <cp:lastModifiedBy>admin</cp:lastModifiedBy>
  <dcterms:modified xsi:type="dcterms:W3CDTF">2025-11-14T09:14:30Z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6BD806A41A56471CB4634E8433570C89_12</vt:lpwstr>
  </property>
  <property fmtid="{D5CDD505-2E9C-101B-9397-08002B2CF9AE}" pid="4" name="KSOTemplateDocerSaveRecord">
    <vt:lpwstr>eyJoZGlkIjoiZTFmMTY0YWMzYTQ1NTA1ODUzODIxMmUwN2MzOTU3NzAiLCJ1c2VySWQiOiIyNDc5ODM4ODIifQ==</vt:lpwstr>
  </property>
</Properties>
</file>