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16B7">
      <w:pPr>
        <w:pStyle w:val="4"/>
        <w:jc w:val="center"/>
        <w:outlineLvl w:val="1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lang w:val="en-US" w:eastAsia="zh-CN"/>
        </w:rPr>
        <w:t>采购需求</w:t>
      </w:r>
    </w:p>
    <w:p w14:paraId="73394C59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采购项目概况</w:t>
      </w:r>
    </w:p>
    <w:p w14:paraId="69833D6B">
      <w:pPr>
        <w:pStyle w:val="4"/>
        <w:ind w:firstLine="480"/>
      </w:pPr>
      <w:r>
        <w:rPr>
          <w:rFonts w:ascii="仿宋_GB2312" w:hAnsi="仿宋_GB2312" w:eastAsia="仿宋_GB2312" w:cs="仿宋_GB2312"/>
        </w:rPr>
        <w:t>购置大功率交流传动机车1台（包含行车安全三项设备，运输费用、随车资料、随车工具、随车救援专用工装工具、随车备品备件及随车易损易耗件等）；配套购置地面供电电源、供电滑轨和牵引小车1套：供电柜 1：DC600V/DC110V安装调试，DC600V输出实现大功率机车库内动车功能，DC110V输出实现大功率机车蓄电池充电功能，含线缆及与机车配套连接器，DC600V及DC110V输出线缆长度各不少于100m；供电柜2：AC380V安装调试，实现大功率机车辅助系统AC380V供电功能，实现大功率机车辅助系统试验测试功能，含线缆及与机车配套连接器，AC380V输出线缆长度不少于100m；检修作业平台1套：长25m，宽 1 米，顶层宽 1.1 米，带有防护栏；单侧3层，满足机车日常检修、整备要求，承载不低于 200kg/㎡。可实现机车部件设备的布局及结构认知、机车全面静态检查、机车整备作业、机车电气试验、机车制动试验等实训教学功能。</w:t>
      </w:r>
    </w:p>
    <w:p w14:paraId="55B7F987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技术要求</w:t>
      </w:r>
    </w:p>
    <w:p w14:paraId="302C900D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073FEDB">
      <w:pPr>
        <w:pStyle w:val="4"/>
      </w:pPr>
      <w:r>
        <w:rPr>
          <w:rFonts w:ascii="仿宋_GB2312" w:hAnsi="仿宋_GB2312" w:eastAsia="仿宋_GB2312" w:cs="仿宋_GB2312"/>
        </w:rPr>
        <w:t>标的名称：机车车辆综合实训平台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475"/>
        <w:gridCol w:w="3572"/>
      </w:tblGrid>
      <w:tr w14:paraId="6A5AE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7AA51B0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475" w:type="dxa"/>
          </w:tcPr>
          <w:p w14:paraId="2E2BB2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3572" w:type="dxa"/>
          </w:tcPr>
          <w:p w14:paraId="517FB7E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664B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289F63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475" w:type="dxa"/>
          </w:tcPr>
          <w:p w14:paraId="5A828DF0"/>
        </w:tc>
        <w:tc>
          <w:tcPr>
            <w:tcW w:w="3572" w:type="dxa"/>
          </w:tcPr>
          <w:tbl>
            <w:tblPr>
              <w:tblStyle w:val="2"/>
              <w:tblW w:w="0" w:type="auto"/>
              <w:tblInd w:w="135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"/>
              <w:gridCol w:w="2376"/>
              <w:gridCol w:w="420"/>
            </w:tblGrid>
            <w:tr w14:paraId="4F3F8EA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8B77F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设备名称</w:t>
                  </w:r>
                </w:p>
              </w:tc>
              <w:tc>
                <w:tcPr>
                  <w:tcW w:w="197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C0EB9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主要技术参数</w:t>
                  </w:r>
                </w:p>
              </w:tc>
              <w:tc>
                <w:tcPr>
                  <w:tcW w:w="26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E7AD7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数量</w:t>
                  </w:r>
                </w:p>
              </w:tc>
            </w:tr>
            <w:tr w14:paraId="40AE68D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2C6FF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机车车辆综合实训平台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990E8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b/>
                      <w:sz w:val="19"/>
                    </w:rPr>
                    <w:t>一、机车车体</w:t>
                  </w: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（核心产品）</w:t>
                  </w:r>
                </w:p>
                <w:p w14:paraId="3D419F2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1.数量：1 套</w:t>
                  </w:r>
                </w:p>
                <w:p w14:paraId="4F558DE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2.机车车体符合GB146.1-1983《标准轨距铁路机车车辆限界 第1部分：机车车辆限界》或优于。</w:t>
                  </w:r>
                </w:p>
                <w:p w14:paraId="273D652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3.车体结构符合标准化、系列化、模块化设计原则并满足可靠性、可用性、可维护性与安全性的要求。</w:t>
                  </w:r>
                </w:p>
                <w:p w14:paraId="71064B1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4.车体及安装在车体外部的各种设备和门、窗、盖等均良好密封，以防止雨雪等对车内设备的侵袭。</w:t>
                  </w:r>
                </w:p>
                <w:p w14:paraId="707C7A8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5.结构的承载能力按强度、变形、频率和疲劳强度及寿命等项指标进行评价。</w:t>
                  </w:r>
                </w:p>
                <w:p w14:paraId="155AA2B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6.底架侧梁上设有四个强度足够的吊车销孔或吊车梁，方便救援。</w:t>
                  </w:r>
                </w:p>
                <w:p w14:paraId="682943D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7.车体内装墙板、隔音、隔热、防腐、辅助材料等须采用符合环保检测标准的材料，环保性能符合TB/T3139-2006《机车车辆内装材料及室内空气有害物质限量》标准要求。</w:t>
                  </w:r>
                </w:p>
                <w:p w14:paraId="2B714CA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b/>
                      <w:sz w:val="19"/>
                    </w:rPr>
                    <w:t>二、配套功能</w:t>
                  </w:r>
                </w:p>
                <w:p w14:paraId="5E8FCA2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（一）整体要求</w:t>
                  </w:r>
                </w:p>
                <w:p w14:paraId="69B6DA2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1.机车车体通过配置动力系统（高压系统及变压器或柴发机组等）、牵引变流器、牵引电动机、转向架、行车安全装备、制动系统等实现机车功能。以上系统的主要部件需经专业机构鉴定合格后方可装车。</w:t>
                  </w:r>
                </w:p>
                <w:p w14:paraId="0EA2635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2.机车车体除安装1中所列系统外，应根据车型配置从主要部件中选取相应部件（但不限于），整车零部件及附件齐全，经总装调试后，机车各项技术指标须达到中国国家铁路集团有限公司运用标准。</w:t>
                  </w:r>
                </w:p>
                <w:p w14:paraId="3E1B538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3.供货时须提供机车履历与合格证书。履历内容至少应包含：机车及主要部件检测和试验记录、机车主要技术参数、试运记录、主要部件动态、产品配置清单及机车履历簿交接单等。</w:t>
                  </w:r>
                </w:p>
                <w:p w14:paraId="7EC5666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4.机车总体性能指标符合大功率机车技术规范,供货时须提供机车制造厂家出具的整车合格证书。</w:t>
                  </w:r>
                </w:p>
                <w:p w14:paraId="2B08ADA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5.机车须满足最高运营速度不低于100km/h、交流传动、异步牵引电机、单轴控制、微机网络控制系统、电子控制的制动系统、独立通风冷却等。</w:t>
                  </w:r>
                </w:p>
                <w:p w14:paraId="40F55D6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6.组装完成后的机车，交付的随车资料、随车检修图纸资料齐全，至少应包括：</w:t>
                  </w:r>
                </w:p>
                <w:p w14:paraId="7E647DF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（1）主电路、辅助电路、控制电路、微机及网络控制系统电路图各 2 份；</w:t>
                  </w:r>
                </w:p>
                <w:p w14:paraId="776DE9A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（2）空气制动系统总图 2 份；</w:t>
                  </w:r>
                </w:p>
                <w:p w14:paraId="0FE382B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（3）空气制动系统原理图 2 份；</w:t>
                  </w:r>
                </w:p>
                <w:p w14:paraId="6484372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（4）电气线路说明书 2 份；</w:t>
                  </w:r>
                </w:p>
                <w:p w14:paraId="2CAB9A3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（5）空气制动系统说明书 2 份；</w:t>
                  </w:r>
                </w:p>
                <w:p w14:paraId="16898AC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（6）机车操纵手册 2 份；</w:t>
                  </w:r>
                </w:p>
                <w:p w14:paraId="670E291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（7）机车使用保养说明书 2 份；</w:t>
                  </w:r>
                </w:p>
                <w:p w14:paraId="7D5EB92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（8）机车常见故障处置手册2份。</w:t>
                  </w:r>
                </w:p>
                <w:p w14:paraId="04F5292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7.项目包含所有部件的运输、吊装、安装及调试。</w:t>
                  </w:r>
                </w:p>
                <w:p w14:paraId="7C59038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（二）主要部件</w:t>
                  </w:r>
                </w:p>
                <w:p w14:paraId="505101D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组装机车所需的部件，应根据车型配置从以下内容中选取相应部件（但不限于）：</w:t>
                  </w:r>
                </w:p>
                <w:p w14:paraId="3F8D018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▲1.操纵台 数量：2 个</w:t>
                  </w:r>
                </w:p>
                <w:p w14:paraId="423616D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▲2.司机控制器 数量：2 套</w:t>
                  </w:r>
                </w:p>
                <w:p w14:paraId="25B0EBA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3.司机座椅及副司机座椅 数量：各2 个</w:t>
                  </w:r>
                </w:p>
                <w:p w14:paraId="01A1E53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4.司机室加热装置</w:t>
                  </w:r>
                </w:p>
                <w:p w14:paraId="53D1D22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（1）数量：6 个</w:t>
                  </w:r>
                </w:p>
                <w:p w14:paraId="2FAD2B3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0AEB7C1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①脚炉</w:t>
                  </w:r>
                </w:p>
                <w:p w14:paraId="186B92F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数量：2台（每端司机室1台）</w:t>
                  </w:r>
                </w:p>
                <w:p w14:paraId="3A1ABAE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功率：0.4kW</w:t>
                  </w:r>
                </w:p>
                <w:p w14:paraId="28685F2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②后墙暖风机：</w:t>
                  </w:r>
                </w:p>
                <w:p w14:paraId="37150EB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数量：2台（每端司机室2台）</w:t>
                  </w:r>
                </w:p>
                <w:p w14:paraId="4A93F5A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功率：1.5kW</w:t>
                  </w:r>
                </w:p>
                <w:p w14:paraId="6F53F06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5.司机室照明灯 数量：4 个</w:t>
                  </w:r>
                </w:p>
                <w:p w14:paraId="6460518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6.刮雨器</w:t>
                  </w:r>
                </w:p>
                <w:p w14:paraId="7803181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（1）数量：4 个</w:t>
                  </w:r>
                </w:p>
                <w:p w14:paraId="45F08A3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7EBF8BF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①带有喷淋装置，具备间歇动作功能；</w:t>
                  </w:r>
                </w:p>
                <w:p w14:paraId="186BC55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②额定电压为DC 110V；</w:t>
                  </w:r>
                </w:p>
                <w:p w14:paraId="2EDA55B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③驱动电机额定功率不大于125W；</w:t>
                  </w:r>
                </w:p>
                <w:p w14:paraId="63132AD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④喷淋系统电机功率不大于50W；</w:t>
                  </w:r>
                </w:p>
                <w:p w14:paraId="3052388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⑤一个司机室的左右刮雨器共用一套喷淋系统，其水箱容量不小于15L。</w:t>
                  </w:r>
                </w:p>
                <w:p w14:paraId="7CD89AE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⑥刮刷面积符合司机视野要求。</w:t>
                  </w:r>
                </w:p>
                <w:p w14:paraId="4506EB4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7.前窗玻璃 数量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：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 个</w:t>
                  </w:r>
                </w:p>
                <w:p w14:paraId="6B73F36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8.侧拉窗 数量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：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 个</w:t>
                  </w:r>
                </w:p>
                <w:p w14:paraId="41A50E0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■9.主变压器</w:t>
                  </w:r>
                </w:p>
                <w:p w14:paraId="3BFE4AF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采用油循环、强迫风冷方式，满足标准IEC 60310的要求。</w:t>
                  </w:r>
                </w:p>
                <w:p w14:paraId="1287D7C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个</w:t>
                  </w:r>
                </w:p>
                <w:p w14:paraId="6A5B9B7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223AA95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原边绕组额定容量   9006kVA</w:t>
                  </w:r>
                </w:p>
                <w:p w14:paraId="332A71D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额定电压     25kV</w:t>
                  </w:r>
                </w:p>
                <w:p w14:paraId="5900038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额定电流    360A</w:t>
                  </w:r>
                </w:p>
                <w:p w14:paraId="7B681BE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牵引绕组额定容量   8400kVA</w:t>
                  </w:r>
                </w:p>
                <w:p w14:paraId="045F914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额定电压     1450V</w:t>
                  </w:r>
                </w:p>
                <w:p w14:paraId="26E48B4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额定电流     6×966A</w:t>
                  </w:r>
                </w:p>
                <w:p w14:paraId="15E4D04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短路损耗     225.2kW (总损耗)</w:t>
                  </w:r>
                </w:p>
                <w:p w14:paraId="3378DB4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辅助绕组额定容量    606kVA</w:t>
                  </w:r>
                </w:p>
                <w:p w14:paraId="3B64EBA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额定电压     399V</w:t>
                  </w:r>
                </w:p>
                <w:p w14:paraId="5D86D06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额定电流     2×759A</w:t>
                  </w:r>
                </w:p>
                <w:p w14:paraId="4EE4129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短路阻抗     18%</w:t>
                  </w:r>
                </w:p>
                <w:p w14:paraId="3477E53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绝缘等级     A级</w:t>
                  </w:r>
                </w:p>
                <w:p w14:paraId="4C03035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额定效率     ≥97%</w:t>
                  </w:r>
                </w:p>
                <w:p w14:paraId="4FD22D6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安装方式，固定在车体底架下方，采用防脱落结构设计。</w:t>
                  </w:r>
                </w:p>
                <w:p w14:paraId="3691DB1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10.冰箱 数量：1 个</w:t>
                  </w:r>
                </w:p>
                <w:p w14:paraId="718A714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11.微波炉 数量：1 个</w:t>
                  </w:r>
                </w:p>
                <w:p w14:paraId="3444C32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■12.牵引变流器</w:t>
                  </w:r>
                </w:p>
                <w:p w14:paraId="677D2FB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套</w:t>
                  </w:r>
                </w:p>
                <w:p w14:paraId="74B03A9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11A5BA0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 xml:space="preserve">稳定中间直流电压：2800 V </w:t>
                  </w:r>
                </w:p>
                <w:p w14:paraId="2E00C84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效率：≥97.5%</w:t>
                  </w:r>
                </w:p>
                <w:p w14:paraId="29E006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冷却方式：强迫水循环</w:t>
                  </w:r>
                </w:p>
                <w:p w14:paraId="53B97D2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机车配置两台牵引变流器，变流器采用水冷IGBT模块。牵引变流柜设有明显的高压警示标识、高压指示灯，并注明只有专业人员可以打开的标识。</w:t>
                  </w:r>
                </w:p>
                <w:p w14:paraId="1E45B06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▲13.主空气压缩机组</w:t>
                  </w:r>
                </w:p>
                <w:p w14:paraId="50F4B32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个</w:t>
                  </w:r>
                </w:p>
                <w:p w14:paraId="393BCF1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5CC1878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容积流量：≥2400L/min</w:t>
                  </w:r>
                </w:p>
                <w:p w14:paraId="6AFE3FE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额定压力：1000kPa</w:t>
                  </w:r>
                </w:p>
                <w:p w14:paraId="0E50D8E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噪音：≤105dB (A)</w:t>
                  </w:r>
                </w:p>
                <w:p w14:paraId="44B3F1A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空气压缩机机械振动烈度：满足GB/T 7777-2003</w:t>
                  </w:r>
                </w:p>
                <w:p w14:paraId="58FD769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排气温度：比环境温度（0～+50℃时）高 15℃以下</w:t>
                  </w:r>
                </w:p>
                <w:p w14:paraId="497C844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防护等级：不低于IP54</w:t>
                  </w:r>
                </w:p>
                <w:p w14:paraId="1FDEF8D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滤清器要求：保证吸入的空气干净、无尘埃，滤清器指示器有故障显示功能。</w:t>
                  </w:r>
                </w:p>
                <w:p w14:paraId="7673409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▲14.空气净化干燥装置</w:t>
                  </w:r>
                </w:p>
                <w:p w14:paraId="6ADFE2F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个</w:t>
                  </w:r>
                </w:p>
                <w:p w14:paraId="1F64FA3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689D7CC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型式：吸附式干燥器，双塔</w:t>
                  </w:r>
                </w:p>
                <w:p w14:paraId="137F623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防护等级：不低于IP54</w:t>
                  </w:r>
                </w:p>
                <w:p w14:paraId="4B3FC1E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工作方式：双塔交替，可间歇或连续工作</w:t>
                  </w:r>
                </w:p>
                <w:p w14:paraId="4ED6149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干燥剂：分子筛，更换周期不低于60 万公里</w:t>
                  </w:r>
                </w:p>
                <w:p w14:paraId="6C64551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15.总风缸</w:t>
                  </w:r>
                </w:p>
                <w:p w14:paraId="29D197C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个</w:t>
                  </w:r>
                </w:p>
                <w:p w14:paraId="1F2C051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 总容积：≥1000 L  材质：钢质材料</w:t>
                  </w:r>
                </w:p>
                <w:p w14:paraId="2906BF0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焊接工艺：满足TB/T 304《机车用总风缸技术条件》</w:t>
                  </w:r>
                </w:p>
                <w:p w14:paraId="72B3607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风源柜：机车采用两个容积均为800L的风缸作为压缩空气的储存容器，两个风缸之间通过单向阀连接。</w:t>
                  </w:r>
                </w:p>
                <w:p w14:paraId="7146A01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▲16.制动系统 数量：1套</w:t>
                  </w:r>
                </w:p>
                <w:p w14:paraId="2564AE2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17.撒砂装置</w:t>
                  </w:r>
                </w:p>
                <w:p w14:paraId="37165BF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（1）数量：8 套</w:t>
                  </w:r>
                </w:p>
                <w:p w14:paraId="2701E12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4471645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撒砂量：0.3～0.7L/min</w:t>
                  </w:r>
                </w:p>
                <w:p w14:paraId="1060A26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18.总风连接软管总成</w:t>
                  </w:r>
                </w:p>
                <w:p w14:paraId="07D391A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套</w:t>
                  </w:r>
                </w:p>
                <w:p w14:paraId="65BFA31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（2）接头形式：Rc1</w:t>
                  </w:r>
                </w:p>
                <w:p w14:paraId="3342C3A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▲19.制动连接软管总成 数量：2 套</w:t>
                  </w:r>
                </w:p>
                <w:p w14:paraId="6815C72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20.紧急放风阀 数量：2 个</w:t>
                  </w:r>
                </w:p>
                <w:p w14:paraId="0ED21DF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21.构架</w:t>
                  </w:r>
                </w:p>
                <w:p w14:paraId="7566E31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个</w:t>
                  </w:r>
                </w:p>
                <w:p w14:paraId="36B9445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5A34E95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机械性能：满足标准GB/T1591-2008</w:t>
                  </w:r>
                </w:p>
                <w:p w14:paraId="4DCF9CD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焊接标准：符合EN15085《铁路应用-铁路车辆及部件的焊接》</w:t>
                  </w:r>
                </w:p>
                <w:p w14:paraId="357FB86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22.车轮</w:t>
                  </w:r>
                </w:p>
                <w:p w14:paraId="4641B0F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（1）数量：12 个</w:t>
                  </w:r>
                </w:p>
                <w:p w14:paraId="154502A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21EAEAD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材质：J11或J2</w:t>
                  </w:r>
                </w:p>
                <w:p w14:paraId="79F24CB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标准：符合TJ/JW038—2014《交流传动机车车轮暂行技术条件》</w:t>
                  </w:r>
                </w:p>
                <w:p w14:paraId="00479BC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23.车轴</w:t>
                  </w:r>
                </w:p>
                <w:p w14:paraId="59A2A52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（1）数量：6 个</w:t>
                  </w:r>
                </w:p>
                <w:p w14:paraId="606716B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6481C73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符合TJ/JW 037《交流传动机车车轴暂行技术条件》和EN 13104《铁路运用-轮对和转向-动车车轴设计方法》的要求。</w:t>
                  </w:r>
                </w:p>
                <w:p w14:paraId="3FA106E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材质：JZ50钢材</w:t>
                  </w:r>
                </w:p>
                <w:p w14:paraId="0D30FFC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24.轴箱轴承</w:t>
                  </w:r>
                </w:p>
                <w:p w14:paraId="41BEED0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（1）数量：12 个</w:t>
                  </w:r>
                </w:p>
                <w:p w14:paraId="004F865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38C7886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标准：符合TJ/JW034-2014《交流传动机车转向架滚动轴承暂行技术条件》 正常条件下产生的温升：不大于 40K</w:t>
                  </w:r>
                </w:p>
                <w:p w14:paraId="087C0DA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计算寿命（L10）：不小于 300 万公里</w:t>
                  </w:r>
                </w:p>
                <w:p w14:paraId="143080E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●25.齿轮箱</w:t>
                  </w:r>
                </w:p>
                <w:p w14:paraId="67F159E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（1）数量：6 个</w:t>
                  </w:r>
                </w:p>
                <w:p w14:paraId="1DD1738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5A4D260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标准：符合TJ/JW065—2015《交流传动机车球墨铸铁齿轮箱体暂行技术条件》</w:t>
                  </w:r>
                </w:p>
                <w:p w14:paraId="4312DBF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26.牵引齿轮</w:t>
                  </w:r>
                </w:p>
                <w:p w14:paraId="18DDD3E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（1）数量：6 组</w:t>
                  </w:r>
                </w:p>
                <w:p w14:paraId="6607C32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24EA4AC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标准：符合中国国家铁路集团有限公司相关车型技术规范及标准</w:t>
                  </w:r>
                </w:p>
                <w:p w14:paraId="4B8A352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27.一系弹簧 数量：24 个</w:t>
                  </w:r>
                </w:p>
                <w:p w14:paraId="1DB880D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28.一系垂向减震器 数量：8 个</w:t>
                  </w:r>
                </w:p>
                <w:p w14:paraId="1939300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29.二系弹簧 数量：12 个</w:t>
                  </w:r>
                </w:p>
                <w:p w14:paraId="3234E85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30.二系垂向减振器 数量：4 个</w:t>
                  </w:r>
                </w:p>
                <w:p w14:paraId="16DD4B0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31.二系横向减振器 数量：4 个</w:t>
                  </w:r>
                </w:p>
                <w:p w14:paraId="24E83EA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32.真空主断路器</w:t>
                  </w:r>
                </w:p>
                <w:p w14:paraId="01C380D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个</w:t>
                  </w:r>
                </w:p>
                <w:p w14:paraId="7CA6AC6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69019CC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额定电压：25kV；</w:t>
                  </w:r>
                </w:p>
                <w:p w14:paraId="2932B6D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正常工作电压范围：17.5～31kV；</w:t>
                  </w:r>
                </w:p>
                <w:p w14:paraId="659253B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额定电流：1000A；</w:t>
                  </w:r>
                </w:p>
                <w:p w14:paraId="67A3E70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最大分断电流：20kA；</w:t>
                  </w:r>
                </w:p>
                <w:p w14:paraId="68871BD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工作压力：450～1000kPa；</w:t>
                  </w:r>
                </w:p>
                <w:p w14:paraId="7AFCC4E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机械寿命：≥250000次；</w:t>
                  </w:r>
                </w:p>
                <w:p w14:paraId="2AEEE25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电气寿命：20000次（1000A）/30次（分断短路电流）。33.基础制动装置</w:t>
                  </w:r>
                </w:p>
                <w:p w14:paraId="772DA76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（1）数量：8 个</w:t>
                  </w:r>
                </w:p>
                <w:p w14:paraId="14CAF36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54C4847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制动盘符合TJ/JW 042的要求，闸片符合TJ/JW 040《交流传动机车合成闸片暂行技术条件》的要求，制动夹钳单元符合 TJ/JW 043的要求。</w:t>
                  </w:r>
                </w:p>
                <w:p w14:paraId="0319F19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34.轮缘润滑装置</w:t>
                  </w:r>
                </w:p>
                <w:p w14:paraId="4906ECA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套</w:t>
                  </w:r>
                </w:p>
                <w:p w14:paraId="2AEEA6B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3A549D2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机车轮缘磨耗：＜0.3mm/10</w:t>
                  </w:r>
                  <w:r>
                    <w:rPr>
                      <w:rFonts w:ascii="仿宋_GB2312" w:hAnsi="仿宋_GB2312" w:eastAsia="仿宋_GB2312" w:cs="仿宋_GB2312"/>
                      <w:sz w:val="19"/>
                      <w:vertAlign w:val="superscript"/>
                    </w:rPr>
                    <w:t>4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km</w:t>
                  </w:r>
                </w:p>
                <w:p w14:paraId="6BCE6F3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标准：符合TJ/JW 098</w:t>
                  </w:r>
                </w:p>
                <w:p w14:paraId="6E3B294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35.接地装置</w:t>
                  </w:r>
                </w:p>
                <w:p w14:paraId="709F0CC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（1）数量：6 套</w:t>
                  </w:r>
                </w:p>
                <w:p w14:paraId="76F52F9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6DF326A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接地电刷与滑环磨耗量的比≥10</w:t>
                  </w:r>
                </w:p>
                <w:p w14:paraId="739A366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接地电阻≤500μΩ</w:t>
                  </w:r>
                </w:p>
                <w:p w14:paraId="31BBAFD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36.受电弓及附属配件（若有则优先）</w:t>
                  </w:r>
                </w:p>
                <w:p w14:paraId="7BB1B83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台</w:t>
                  </w:r>
                </w:p>
                <w:p w14:paraId="15E963E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1234D1B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额定电压：25kV；</w:t>
                  </w:r>
                </w:p>
                <w:p w14:paraId="1DEF84C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正常工作电压范围：17.5～31kV；</w:t>
                  </w:r>
                </w:p>
                <w:p w14:paraId="651EA4D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额定电流：1000A；</w:t>
                  </w:r>
                </w:p>
                <w:p w14:paraId="4273A77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最大速度：200km/h；</w:t>
                  </w:r>
                </w:p>
                <w:p w14:paraId="6690667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静态接触压力：70±10N；</w:t>
                  </w:r>
                </w:p>
                <w:p w14:paraId="6CB4DCB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滑板长度：1250mm；</w:t>
                  </w:r>
                </w:p>
                <w:p w14:paraId="1A4EEF8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滑板材料：碳；</w:t>
                  </w:r>
                </w:p>
                <w:p w14:paraId="063E909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工作空气压力：400～1000kPa；</w:t>
                  </w:r>
                </w:p>
                <w:p w14:paraId="68A39DB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受电弓支持绝缘子和导电杆支持绝缘子的绝缘爬电距离：≥1000mm。</w:t>
                  </w:r>
                </w:p>
                <w:p w14:paraId="6871BA9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37.牵引装置</w:t>
                  </w:r>
                </w:p>
                <w:p w14:paraId="2B22FA8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套</w:t>
                  </w:r>
                </w:p>
                <w:p w14:paraId="41F64BB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4F76B81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牵引橡胶节点各向刚度为：径向100±20% kN/mm；轴向在10kN载荷作用下，挠度值约0.61mm（参考值）</w:t>
                  </w:r>
                </w:p>
                <w:p w14:paraId="370CE1D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38.驱动轴承（含小齿轮轴承）数量：6 个</w:t>
                  </w:r>
                </w:p>
                <w:p w14:paraId="7CE9023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39.牵引电机吊挂橡胶节点</w:t>
                  </w:r>
                </w:p>
                <w:p w14:paraId="467E56A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（1）数量：6 个</w:t>
                  </w:r>
                </w:p>
                <w:p w14:paraId="18A0F21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19C71E8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标准：TJ/JW036—2014《交流传动机车悬挂装置橡胶件暂行技术条件》</w:t>
                  </w:r>
                </w:p>
                <w:p w14:paraId="248FA96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40.车顶避雷器（若有则优先）</w:t>
                  </w:r>
                </w:p>
                <w:p w14:paraId="5122FFD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个</w:t>
                  </w:r>
                </w:p>
                <w:p w14:paraId="2617F79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321D13C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额定运行电压：42kV；</w:t>
                  </w:r>
                </w:p>
                <w:p w14:paraId="3136C5A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最大残余电压：105kV；</w:t>
                  </w:r>
                </w:p>
                <w:p w14:paraId="014306B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放电电流：10kA；</w:t>
                  </w:r>
                </w:p>
                <w:p w14:paraId="6E48E95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伞裙材料：硅橡胶。</w:t>
                  </w:r>
                </w:p>
                <w:p w14:paraId="19C2243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41.柜内避雷器</w:t>
                  </w:r>
                </w:p>
                <w:p w14:paraId="3D92B48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个</w:t>
                  </w:r>
                </w:p>
                <w:p w14:paraId="7FDD780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49FCBD3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额定运行电压：43kV；</w:t>
                  </w:r>
                </w:p>
                <w:p w14:paraId="258F915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最大残余电压：108kV；</w:t>
                  </w:r>
                </w:p>
                <w:p w14:paraId="775C8B3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放电电流：10kA；</w:t>
                  </w:r>
                </w:p>
                <w:p w14:paraId="5CE1702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伞裙材料：硅橡胶。</w:t>
                  </w:r>
                </w:p>
                <w:p w14:paraId="0EA1EA7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●42.辅助电源</w:t>
                  </w:r>
                </w:p>
                <w:p w14:paraId="4F24851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个</w:t>
                  </w:r>
                </w:p>
                <w:p w14:paraId="6F1DE81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6ED057E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辅助电源为机车辅助设备供电，供电制式：3AC380V</w:t>
                  </w:r>
                </w:p>
                <w:p w14:paraId="5A0A6DC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辅助变流器控制单元符合TJ/JW020的要求。</w:t>
                  </w:r>
                </w:p>
                <w:p w14:paraId="44A9B30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43.主变压器油泵</w:t>
                  </w:r>
                </w:p>
                <w:p w14:paraId="68C554B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个</w:t>
                  </w:r>
                </w:p>
                <w:p w14:paraId="1803EDB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403950E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适用标准TJ/JW 021</w:t>
                  </w:r>
                </w:p>
                <w:p w14:paraId="160D31F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44.牵引变流器水泵</w:t>
                  </w:r>
                </w:p>
                <w:p w14:paraId="281F29B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个</w:t>
                  </w:r>
                </w:p>
                <w:p w14:paraId="0B8470D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464359F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送水能力    12m</w:t>
                  </w:r>
                  <w:r>
                    <w:rPr>
                      <w:rFonts w:ascii="仿宋_GB2312" w:hAnsi="仿宋_GB2312" w:eastAsia="仿宋_GB2312" w:cs="仿宋_GB2312"/>
                      <w:sz w:val="19"/>
                      <w:vertAlign w:val="superscript"/>
                    </w:rPr>
                    <w:t>3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/h</w:t>
                  </w:r>
                </w:p>
                <w:p w14:paraId="14C35F7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电机功率    3kW</w:t>
                  </w:r>
                </w:p>
                <w:p w14:paraId="4570023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水压     2.5MPa</w:t>
                  </w:r>
                </w:p>
                <w:p w14:paraId="2D83E85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 xml:space="preserve">噪声    ≤70dB（A）   </w:t>
                  </w:r>
                </w:p>
                <w:p w14:paraId="7F1855E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轴承使用寿命  不小于3年或不低于80万公里</w:t>
                  </w:r>
                </w:p>
                <w:p w14:paraId="17247A6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●45.牵引通风机</w:t>
                  </w:r>
                </w:p>
                <w:p w14:paraId="58D87A8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个</w:t>
                  </w:r>
                </w:p>
                <w:p w14:paraId="4CFE9A9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2B7CA72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冷却方式：每台牵引通风机为三台牵引电机提供冷却通风噪声(频率不低于 50%额定频率)：≤94dB（A）</w:t>
                  </w:r>
                </w:p>
                <w:p w14:paraId="52049BE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46.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复合冷却器及通风机组</w:t>
                  </w:r>
                </w:p>
                <w:p w14:paraId="140506D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套</w:t>
                  </w:r>
                </w:p>
                <w:p w14:paraId="3B5D8F8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6594888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通风量：7.5 m</w:t>
                  </w:r>
                  <w:r>
                    <w:rPr>
                      <w:rFonts w:ascii="仿宋_GB2312" w:hAnsi="仿宋_GB2312" w:eastAsia="仿宋_GB2312" w:cs="仿宋_GB2312"/>
                      <w:sz w:val="19"/>
                      <w:vertAlign w:val="superscript"/>
                    </w:rPr>
                    <w:t>3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/s</w:t>
                  </w:r>
                </w:p>
                <w:p w14:paraId="1075D5E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叶轮形式：轴流式</w:t>
                  </w:r>
                </w:p>
                <w:p w14:paraId="1B20110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静态压力：1495 Pa</w:t>
                  </w:r>
                </w:p>
                <w:p w14:paraId="060ECA3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电机功率：20 kW</w:t>
                  </w:r>
                </w:p>
                <w:p w14:paraId="2C9377B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噪声：不高于110 dB（A）</w:t>
                  </w:r>
                </w:p>
                <w:p w14:paraId="299FF88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轴承寿命：不小于3 年或不低于 80 万公里</w:t>
                  </w:r>
                </w:p>
                <w:p w14:paraId="2452310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47.空调 数量：2 个（每端司机室1个）</w:t>
                  </w:r>
                </w:p>
                <w:p w14:paraId="347E3A7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48.微机网络控制系统总成</w:t>
                  </w:r>
                </w:p>
                <w:p w14:paraId="0289D68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套</w:t>
                  </w:r>
                </w:p>
                <w:p w14:paraId="55178F6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56F163F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装有机车微机控制系统（TCMS）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以及列车通讯网络系统的电磁兼容性：EN 50121标准</w:t>
                  </w:r>
                </w:p>
                <w:p w14:paraId="77F2943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（3）功能：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具有对主变流器及异步电动机的实时控制、辅助变流器的实时控制、牵引/制动特性控制、传动系统的时序逻辑控制、故障保护等功能。</w:t>
                  </w:r>
                </w:p>
                <w:p w14:paraId="13878A2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49.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蓄电池柜</w:t>
                  </w:r>
                </w:p>
                <w:p w14:paraId="5972AFF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套</w:t>
                  </w:r>
                </w:p>
                <w:p w14:paraId="3A497DA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34FDCC8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蓄电池柜内布置不少于48节铅酸蓄电池，在蓄电池充电机不工作的情况下为机车提供控制电源。</w:t>
                  </w:r>
                </w:p>
                <w:p w14:paraId="0E30F0C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蓄电池额定电压：≥96V</w:t>
                  </w:r>
                </w:p>
                <w:p w14:paraId="16E7C7B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50.机车控制电源</w:t>
                  </w:r>
                </w:p>
                <w:p w14:paraId="4CD9EDF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套</w:t>
                  </w:r>
                </w:p>
                <w:p w14:paraId="3580DE0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1E4AB57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蓄电池充电器额定输出电压：DC 110 V</w:t>
                  </w:r>
                </w:p>
                <w:p w14:paraId="06B0D21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蓄电池充电器额定输出电流：≥90A</w:t>
                  </w:r>
                </w:p>
                <w:p w14:paraId="5F9CBD6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安全性：符合TB/T 3061-2016 铁路机车车辆用阀控式密封铅酸蓄电池标准要求。</w:t>
                  </w:r>
                </w:p>
                <w:p w14:paraId="5A80E71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51.6A系统</w:t>
                  </w:r>
                </w:p>
                <w:p w14:paraId="6E31587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套</w:t>
                  </w:r>
                </w:p>
                <w:p w14:paraId="4007B01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5587F69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总体技术条件：符合TJ/JW 001</w:t>
                  </w:r>
                </w:p>
                <w:p w14:paraId="79F1908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平台及子系统：符合TJ/JW 001 A～G 及 TJ/JW061-2015</w:t>
                  </w:r>
                </w:p>
                <w:p w14:paraId="537EB8E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(3)组成：含音、视频终端和空气制动安全监测、防火监控、走行部故障监测、自动视频监控及记录(含拾音器)等子系统；包括6A主机柜、各子系统的终端监测装置、控制模块、终端显示设备及专用线缆等。</w:t>
                  </w:r>
                </w:p>
                <w:p w14:paraId="35EF79D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52.CMD系统</w:t>
                  </w:r>
                </w:p>
                <w:p w14:paraId="2C18A51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（1）数量：1套</w:t>
                  </w:r>
                </w:p>
                <w:p w14:paraId="57178FF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06FC962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技术条件：符合TJ/JW023～026 要求，并支持5.8GHz频段的WLAN数据下载。</w:t>
                  </w:r>
                </w:p>
                <w:p w14:paraId="3759F12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▲53.列车运行监控记录装置</w:t>
                  </w:r>
                </w:p>
                <w:p w14:paraId="4FBD8B1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套</w:t>
                  </w:r>
                </w:p>
                <w:p w14:paraId="3964A36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6284B52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按中国铁路西安局集团有限公司机车过轨技术要求提供</w:t>
                  </w:r>
                </w:p>
                <w:p w14:paraId="37ADA14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54.自动过分相装置</w:t>
                  </w:r>
                </w:p>
                <w:p w14:paraId="59634C5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套</w:t>
                  </w:r>
                </w:p>
                <w:p w14:paraId="0F31E52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（2）功能：具有手动、半自动和自动通过分相区的功能。</w:t>
                  </w:r>
                </w:p>
                <w:p w14:paraId="79B818A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▲55.机车信号设备</w:t>
                  </w:r>
                </w:p>
                <w:p w14:paraId="2DAF923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数量：1 套</w:t>
                  </w:r>
                </w:p>
                <w:p w14:paraId="4701415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包含机车信号机、双路接收线圈、机车信号机主机及专用连接线缆等。</w:t>
                  </w:r>
                </w:p>
                <w:p w14:paraId="0645E2F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▲56.CIR机车综合无线通讯设备</w:t>
                  </w:r>
                </w:p>
                <w:p w14:paraId="5CD351A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数量：1 套</w:t>
                  </w:r>
                </w:p>
                <w:p w14:paraId="55729B6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包含主机、MMI操作终端、天线、送受话器及专用连接线缆等。</w:t>
                  </w:r>
                </w:p>
                <w:p w14:paraId="4AB487A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 xml:space="preserve">57.低压电器柜  </w:t>
                  </w:r>
                </w:p>
                <w:p w14:paraId="4BDE84C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个</w:t>
                  </w:r>
                </w:p>
                <w:p w14:paraId="2781E71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079FCF3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标准：符合TB/T1508-2016《机车电气屏柜技术条件》，</w:t>
                  </w:r>
                </w:p>
                <w:p w14:paraId="79738F5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按中国铁路西安局集团有限公司机车配置要求提供</w:t>
                  </w:r>
                </w:p>
                <w:p w14:paraId="2F8C9F7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58.接地开关</w:t>
                  </w:r>
                </w:p>
                <w:p w14:paraId="2D3A80D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个</w:t>
                  </w:r>
                </w:p>
                <w:p w14:paraId="24A8806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3629EBF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驱动形式：手动</w:t>
                  </w:r>
                </w:p>
                <w:p w14:paraId="34654AF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短时耐受电流：≥8kA/1s</w:t>
                  </w:r>
                </w:p>
                <w:p w14:paraId="5BB7EAC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控制联锁：机械连锁+电连锁</w:t>
                  </w:r>
                </w:p>
                <w:p w14:paraId="2F160D5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59.钥匙箱 数量：1 个</w:t>
                  </w:r>
                </w:p>
                <w:p w14:paraId="4631094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60.电度表 数量：1 个</w:t>
                  </w:r>
                </w:p>
                <w:p w14:paraId="48DBF90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▲61.前照灯 数量：2 个</w:t>
                  </w:r>
                </w:p>
                <w:p w14:paraId="6905338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62.标志灯和副照灯 数量：2 套</w:t>
                  </w:r>
                </w:p>
                <w:p w14:paraId="2377C44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 xml:space="preserve">63.风笛 数量：2 套 </w:t>
                  </w:r>
                </w:p>
                <w:p w14:paraId="40CBC72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64.电笛 数量：2 个</w:t>
                  </w:r>
                </w:p>
                <w:p w14:paraId="08B087C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65.库用动车插座 数量：2 个</w:t>
                  </w:r>
                </w:p>
                <w:p w14:paraId="15B1002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66.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辅助／控制电路外接电源插座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 xml:space="preserve"> 数量：1 个</w:t>
                  </w:r>
                </w:p>
                <w:p w14:paraId="091996E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67.辅助电路断路器 数量：1 个</w:t>
                  </w:r>
                </w:p>
                <w:p w14:paraId="29296A2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68.辅助电路接触器 数量：1 个</w:t>
                  </w:r>
                </w:p>
                <w:p w14:paraId="1D3DFB3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69.电线\电缆\接插件 数量：1 套</w:t>
                  </w:r>
                </w:p>
                <w:p w14:paraId="7FB5BCA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标准：无卤低烟阻燃电缆并符合GB12528-2008和TB1484-2010 的要求</w:t>
                  </w:r>
                </w:p>
                <w:p w14:paraId="1E7CDB0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70.高压电缆总成</w:t>
                  </w:r>
                </w:p>
                <w:p w14:paraId="29A86D6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套</w:t>
                  </w:r>
                </w:p>
                <w:p w14:paraId="2373648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08C9E9E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额定电压：25kV；</w:t>
                  </w:r>
                </w:p>
                <w:p w14:paraId="58D09F2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正常工作电压范围：17.5～31kV；</w:t>
                  </w:r>
                </w:p>
                <w:p w14:paraId="77F4B76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冲击电压（型式试验）：170kV；</w:t>
                  </w:r>
                </w:p>
                <w:p w14:paraId="5606FF3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额定电流：≥400A；</w:t>
                  </w:r>
                </w:p>
                <w:p w14:paraId="4F92064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额定短路电流：13.6kA/1s（导体）；</w:t>
                  </w:r>
                </w:p>
                <w:p w14:paraId="25239ED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5kA/1s（屏蔽层）；</w:t>
                  </w:r>
                </w:p>
                <w:p w14:paraId="0155060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高压套管爬电距离：≥1100mm；</w:t>
                  </w:r>
                </w:p>
                <w:p w14:paraId="27EF431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使用寿命：30年（或750万公里）。</w:t>
                  </w:r>
                </w:p>
                <w:p w14:paraId="43F4F79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71.车钩及缓冲装置</w:t>
                  </w:r>
                </w:p>
                <w:p w14:paraId="1361113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套</w:t>
                  </w:r>
                </w:p>
                <w:p w14:paraId="5C9B787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669B97C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符合TJ/JW 033《交流传动机车车钩缓冲装置暂行技术条件》的要求</w:t>
                  </w:r>
                </w:p>
                <w:p w14:paraId="650DDBA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72.牵引电机</w:t>
                  </w:r>
                </w:p>
                <w:p w14:paraId="3CB7491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（1）数量：6 台</w:t>
                  </w:r>
                </w:p>
                <w:p w14:paraId="74AF90D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7A2FA27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额定功率：1250kW；</w:t>
                  </w:r>
                </w:p>
                <w:p w14:paraId="404891A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最高电压：2150V；</w:t>
                  </w:r>
                </w:p>
                <w:p w14:paraId="14D49BE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额定电流：390A；</w:t>
                  </w:r>
                </w:p>
                <w:p w14:paraId="415F1CD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工作频率范围：0～110Hz；</w:t>
                  </w:r>
                </w:p>
                <w:p w14:paraId="1155590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绝缘等级： 200 级；</w:t>
                  </w:r>
                </w:p>
                <w:p w14:paraId="6474332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冷却方式：强迫风冷；</w:t>
                  </w:r>
                </w:p>
                <w:p w14:paraId="59A03AE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轴承计算寿命（L10）：3×10</w:t>
                  </w:r>
                  <w:r>
                    <w:rPr>
                      <w:rFonts w:ascii="仿宋_GB2312" w:hAnsi="仿宋_GB2312" w:eastAsia="仿宋_GB2312" w:cs="仿宋_GB2312"/>
                      <w:sz w:val="19"/>
                      <w:vertAlign w:val="superscript"/>
                    </w:rPr>
                    <w:t>6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km；</w:t>
                  </w:r>
                </w:p>
                <w:p w14:paraId="65854CE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悬挂方式：滚动轴承的抱轴式悬挂。</w:t>
                  </w:r>
                </w:p>
                <w:p w14:paraId="33054C8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73.受电弓隔离开关</w:t>
                  </w:r>
                </w:p>
                <w:p w14:paraId="41A559B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（1）数量：2 个</w:t>
                  </w:r>
                </w:p>
                <w:p w14:paraId="5B53375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3E6CC5E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额定电压   25kV</w:t>
                  </w:r>
                </w:p>
                <w:p w14:paraId="69C09FC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正常工作电压范围   17.5～31kV</w:t>
                  </w:r>
                </w:p>
                <w:p w14:paraId="552B595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额定电流    400A</w:t>
                  </w:r>
                </w:p>
                <w:p w14:paraId="7C3938D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峰值耐受电流   8kA</w:t>
                  </w:r>
                </w:p>
                <w:p w14:paraId="3B1DFEC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 xml:space="preserve">机械寿命  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≥3000次</w:t>
                  </w:r>
                </w:p>
                <w:p w14:paraId="14B7B0B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74.高压电压互感器</w:t>
                  </w:r>
                </w:p>
                <w:p w14:paraId="767BA46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个</w:t>
                  </w:r>
                </w:p>
                <w:p w14:paraId="1E088A7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5A16A27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额定电压：25kV；</w:t>
                  </w:r>
                </w:p>
                <w:p w14:paraId="6BE7FCA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正常工作电压范围：17.5～31kV；</w:t>
                  </w:r>
                </w:p>
                <w:p w14:paraId="5581DB0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输出电压：100V；</w:t>
                  </w:r>
                </w:p>
                <w:p w14:paraId="4A35575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容量：≥20VA；</w:t>
                  </w:r>
                </w:p>
                <w:p w14:paraId="292A893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适用标准：TJ/JW031。</w:t>
                  </w:r>
                </w:p>
                <w:p w14:paraId="20E2C93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75.高压电流互感器</w:t>
                  </w:r>
                </w:p>
                <w:p w14:paraId="0F2104D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个</w:t>
                  </w:r>
                </w:p>
                <w:p w14:paraId="0A57F34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6A86917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额定电压：25kV；</w:t>
                  </w:r>
                </w:p>
                <w:p w14:paraId="0BA409E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正常工作电压范围：17.5～31kV；</w:t>
                  </w:r>
                </w:p>
                <w:p w14:paraId="6793707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适用标准：TJ/JW031。</w:t>
                  </w:r>
                </w:p>
                <w:p w14:paraId="0E16A1A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76.接地电流互感器</w:t>
                  </w:r>
                </w:p>
                <w:p w14:paraId="2D83A73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（1）数量：1 个</w:t>
                  </w:r>
                </w:p>
                <w:p w14:paraId="1342F7D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（2）主要技术参数</w:t>
                  </w:r>
                </w:p>
                <w:p w14:paraId="25F3C66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额定电压：25kV；</w:t>
                  </w:r>
                </w:p>
                <w:p w14:paraId="4ADF14B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正常工作电压范围：17.5～31kV；</w:t>
                  </w:r>
                </w:p>
                <w:p w14:paraId="56FAB24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适用标准：TJ/JW031。</w:t>
                  </w:r>
                </w:p>
                <w:p w14:paraId="6B77CD5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■77.网侧柜</w:t>
                  </w:r>
                </w:p>
                <w:p w14:paraId="5DCB75A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机械间网侧柜内布置机车主断路器、高压隔离开关、高压互感器、主接地开关等。</w:t>
                  </w:r>
                </w:p>
                <w:p w14:paraId="7EE29C6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78.随车资料、工具及备品备件等</w:t>
                  </w:r>
                </w:p>
                <w:p w14:paraId="34B3B4C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随车资料、随车检修图纸、随车工具、随车救援专用工装工具、随车备品备件及随车易损易耗件一批。</w:t>
                  </w:r>
                </w:p>
                <w:p w14:paraId="61B82C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随车救援专用工装工具：复轨器（左、右）、整体起吊连接装置（包括车体和转向架间活动连接件）等。</w:t>
                  </w:r>
                </w:p>
                <w:p w14:paraId="38858DA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具体见表1和表2。</w:t>
                  </w:r>
                </w:p>
                <w:p w14:paraId="6BD95A8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表1 随车专用工具（包括但不限于）</w:t>
                  </w:r>
                </w:p>
                <w:tbl>
                  <w:tblPr>
                    <w:tblStyle w:val="2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00"/>
                    <w:gridCol w:w="1255"/>
                    <w:gridCol w:w="400"/>
                  </w:tblGrid>
                  <w:tr w14:paraId="571FD5E4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c>
                      <w:tcPr>
                        <w:tcW w:w="21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2C654E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序号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A11321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品名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CDF4E0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数量</w:t>
                        </w:r>
                      </w:p>
                    </w:tc>
                  </w:tr>
                  <w:tr w14:paraId="2FD49C0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1D9EDD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0346D8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强光手电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2E3DCF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6个</w:t>
                        </w:r>
                      </w:p>
                    </w:tc>
                  </w:tr>
                  <w:tr w14:paraId="0472E522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3FCBCF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4BF5E5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刻丝钳（带绝缘套）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E23A01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666E3ADE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EB289F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147343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尖嘴钳（带绝缘套）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FA5CCF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6D3F0F46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05C5F9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5068F7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电工刀（可开闭）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4E6AF7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24C22DEF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restart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F220CB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C9F890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一字及十字螺丝刀（4x75mm）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E7D488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各1把</w:t>
                        </w:r>
                      </w:p>
                    </w:tc>
                  </w:tr>
                  <w:tr w14:paraId="47BCA13E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5A406C4F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9CE85F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一字及十字螺丝刀（6x150mm）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567FD0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各1把</w:t>
                        </w:r>
                      </w:p>
                    </w:tc>
                  </w:tr>
                  <w:tr w14:paraId="6C001D10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47E0A9A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76ACF1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一字及十字螺丝刀（6x200mm）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B90B95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各1把</w:t>
                        </w:r>
                      </w:p>
                    </w:tc>
                  </w:tr>
                  <w:tr w14:paraId="2514D6E1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restart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A9C292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E23494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套筒扳手（8mm、1/2"棘轮扳手）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5959DC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1个</w:t>
                        </w:r>
                      </w:p>
                    </w:tc>
                  </w:tr>
                  <w:tr w14:paraId="0E5DD905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7B8F5210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B44977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套筒扳手（10mm、1/2"棘轮扳手）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8D1420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1个</w:t>
                        </w:r>
                      </w:p>
                    </w:tc>
                  </w:tr>
                  <w:tr w14:paraId="12298D85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582DD07F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C37AFF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套筒扳手（13mm、1/2"棘轮扳手）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94E120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1个</w:t>
                        </w:r>
                      </w:p>
                    </w:tc>
                  </w:tr>
                  <w:tr w14:paraId="03049BFE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5E2DC96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509149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套筒扳手（16mm、1/2"棘轮扳手）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25A652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1个</w:t>
                        </w:r>
                      </w:p>
                    </w:tc>
                  </w:tr>
                  <w:tr w14:paraId="1098D77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219B0D15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26F9C1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套筒扳手（18mm、1/2"棘轮扳手）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CD27D2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1个</w:t>
                        </w:r>
                      </w:p>
                    </w:tc>
                  </w:tr>
                  <w:tr w14:paraId="69326758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169FAC86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BFA40F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套筒扳手（24mm、1/2"棘轮扳手）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E260AF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1个</w:t>
                        </w:r>
                      </w:p>
                    </w:tc>
                  </w:tr>
                  <w:tr w14:paraId="5CF80042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53060487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049305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套筒扳手（30mm、1/2"棘轮扳手）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28E96C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1个</w:t>
                        </w:r>
                      </w:p>
                    </w:tc>
                  </w:tr>
                  <w:tr w14:paraId="7AE3247E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56E69178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5A3F3D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套筒扳手（36mm、3/4"棘轮扳手）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70DC58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1个</w:t>
                        </w:r>
                      </w:p>
                    </w:tc>
                  </w:tr>
                  <w:tr w14:paraId="708A731B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B46550C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5209F3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套筒扳手（46mm、3/4"棘轮扳手）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F0D432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1个</w:t>
                        </w:r>
                      </w:p>
                    </w:tc>
                  </w:tr>
                  <w:tr w14:paraId="3ADED056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1674351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651A9F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棘轮扳手（1/2"）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E0B67F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12E28863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4E0C7B6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A6390C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棘轮扳手（3/4"）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CAA33C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775D84D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restart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2690D2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4CEE80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双开扳手（5.5x7）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CFBF9A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7FDF69AF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56779867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E5CBAB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双开扳手（6x7）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A14AAB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755B6248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527A5E74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FEAC01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双开扳手（8x9）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3B88F0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261CA4E0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6643FBA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BC8062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双开扳手（8x10）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D61BCC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0AAAC0C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EDAC2D2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D4DDB4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双开扳手（10x12）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28D61C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1352933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66723C3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BB810F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双开扳手（16x18）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60839D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67429D2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186B8CF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85D5E6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双开扳手（20x22）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00EAA3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26FAF0EE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2133C88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669F2A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双开扳手（22x24）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DAFB4F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6B9DF482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15118496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373083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双开扳手（30x32）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00520A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314E2A37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5BB2BCD1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5016BE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活动扳手（100mm）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E530FB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3826770E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BB04CC8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0ACE32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活动扳手（200mm）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931578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54227091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7316634E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40EB7F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活动扳手（300mm）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C0CE8C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369AF585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restart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0BE453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1D4A76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内六角扳手（6mm）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05D62E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35B24061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BE34601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22C9FF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内六角扳手（8mm）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ED1A0E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11B77220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76FE743B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36807A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内六角扳手（10mm）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7EC16A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1BE63864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A4810D7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A7A5D5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内六角扳手（14mm）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3EF69F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42327AD2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7DFE6740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325468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内六角扳手（17mm）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77F20F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3D78539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4605FF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36005F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手锤（0.75kg）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792663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6把</w:t>
                        </w:r>
                      </w:p>
                    </w:tc>
                  </w:tr>
                  <w:tr w14:paraId="15464FA8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restart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C4E9E9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19E738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扁锉（3号锉纹、150mm、带手柄）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BDB21F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4CA2B257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323B86DE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BFD53A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尖头扁锉（2号锉纹、200mm、带手柄）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3EC01B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139344B4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1C1E35D2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495307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圆锉（2号锉纹、150mm、带手柄）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9C4EC3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1AAE34E8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042C41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620238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带嘴油壶（3L）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FD68AE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1只</w:t>
                        </w:r>
                      </w:p>
                    </w:tc>
                  </w:tr>
                  <w:tr w14:paraId="79BD48E4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restart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9D7206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350746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手动油枪（A200cm3、三爪式注油嘴）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84AD8B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1FD9CCCB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vMerge w:val="continue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22BCF5D1"/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B24385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手动油枪（A100cm3、三爪式注油嘴）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3B9DEB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1把</w:t>
                        </w:r>
                      </w:p>
                    </w:tc>
                  </w:tr>
                  <w:tr w14:paraId="564372E1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7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FAA4CC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2C0913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油桶（15L）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FFEDFD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1个</w:t>
                        </w:r>
                      </w:p>
                    </w:tc>
                  </w:tr>
                </w:tbl>
                <w:p w14:paraId="056682C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表2：备品备件（随车提供）</w:t>
                  </w:r>
                </w:p>
                <w:tbl>
                  <w:tblPr>
                    <w:tblStyle w:val="2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00"/>
                    <w:gridCol w:w="1361"/>
                    <w:gridCol w:w="400"/>
                  </w:tblGrid>
                  <w:tr w14:paraId="39020D52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c>
                      <w:tcPr>
                        <w:tcW w:w="23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DE6271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序号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36B9D5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品名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23EB09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数量</w:t>
                        </w:r>
                      </w:p>
                    </w:tc>
                  </w:tr>
                  <w:tr w14:paraId="1D4919E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1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786013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D02A6D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可充电手持信号灯（红、绿、白转换）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3E8DB6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1个</w:t>
                        </w:r>
                      </w:p>
                    </w:tc>
                  </w:tr>
                  <w:tr w14:paraId="7904B155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1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DC37F1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4C2625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干粉灭火器（4公斤）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A06E77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4个</w:t>
                        </w:r>
                      </w:p>
                    </w:tc>
                  </w:tr>
                  <w:tr w14:paraId="36E44B87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1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EBCC27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15BABE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接地杆、验电杆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1749AB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1套</w:t>
                        </w:r>
                      </w:p>
                    </w:tc>
                  </w:tr>
                  <w:tr w14:paraId="7DAFA690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1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45B1C5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ED22F0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止轮器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A19FF4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2个</w:t>
                        </w:r>
                      </w:p>
                    </w:tc>
                  </w:tr>
                  <w:tr w14:paraId="0805BE67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1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BAF2FD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CFA2CD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橡胶绝缘手套（25KV以上）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C7194D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1付</w:t>
                        </w:r>
                      </w:p>
                    </w:tc>
                  </w:tr>
                  <w:tr w14:paraId="3C62ADBA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1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CA82A1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F9F6EF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绝缘垫板（1000Î1000Î2橡胶板）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5BBD7D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1块</w:t>
                        </w:r>
                      </w:p>
                    </w:tc>
                  </w:tr>
                  <w:tr w14:paraId="5E57F1A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1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0A43A0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152D46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电热水器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59F429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2个</w:t>
                        </w:r>
                      </w:p>
                    </w:tc>
                  </w:tr>
                  <w:tr w14:paraId="76FF02A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1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324298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983338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25升塑料桶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792112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2个</w:t>
                        </w:r>
                      </w:p>
                    </w:tc>
                  </w:tr>
                  <w:tr w14:paraId="1101A59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1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E03AE7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1EAC3E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大功率机车车模（1:68）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3F8358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10个</w:t>
                        </w:r>
                      </w:p>
                    </w:tc>
                  </w:tr>
                  <w:tr w14:paraId="7127F2D2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1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102654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6D5D94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安全帽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259A28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10套</w:t>
                        </w:r>
                      </w:p>
                    </w:tc>
                  </w:tr>
                  <w:tr w14:paraId="7288700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31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16A1C0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8CCC1B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登顶安全带</w:t>
                        </w:r>
                      </w:p>
                    </w:tc>
                    <w:tc>
                      <w:tcPr>
                        <w:tcW w:w="347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DC51C0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19"/>
                          </w:rPr>
                          <w:t>10套</w:t>
                        </w:r>
                      </w:p>
                    </w:tc>
                  </w:tr>
                </w:tbl>
                <w:p w14:paraId="20695B8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b/>
                      <w:sz w:val="19"/>
                    </w:rPr>
                    <w:t>三、</w:t>
                  </w: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地面供电电源、100m供电滑轨及牵引小车</w:t>
                  </w:r>
                </w:p>
                <w:p w14:paraId="0CB29CF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供电柜1：DC600V柜子一台（包含安装调试），DC600V柜输出600V直流电源，实现大功率机车库内动车功能，含线缆及与机车配套连接器，输出线缆长度不少于100m。</w:t>
                  </w:r>
                </w:p>
                <w:p w14:paraId="6AC094C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供电柜2：DC110V柜子一台（含380V转换柜）（包含安装调试）。DC110V柜输出实现大功率机车蓄电池充电功能；AC380V转换柜实现大功率机车辅助系统AC380V供电功能，实现大功率机车辅助系统试验测试功能。DC110V柜子一台（含AC380V转换柜）含线缆及与机车配套连接器，输出线缆长度各不少于100m。</w:t>
                  </w:r>
                </w:p>
                <w:p w14:paraId="40E5717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供电滑轨：长100m，使用立柱架高2m；</w:t>
                  </w:r>
                </w:p>
                <w:p w14:paraId="6CF94A5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牵引小车：满足现场供电柜电源耐压要求；</w:t>
                  </w:r>
                </w:p>
                <w:p w14:paraId="2EA0F86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增加一套牵引变流柜面板，与原车面板尺寸一致，材质为耐磨透明亚克力材料，厚度不低于3mm。</w:t>
                  </w:r>
                </w:p>
                <w:p w14:paraId="29A33DB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b/>
                      <w:sz w:val="19"/>
                    </w:rPr>
                    <w:t>四、</w:t>
                  </w: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检修作业平台</w:t>
                  </w:r>
                </w:p>
                <w:p w14:paraId="2B9CE41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长25m，宽 1 米，顶层宽 1.1 米，带有防护栏；单侧 2-3层，中层平台距轨面1.8m，顶层平台距轨面4.1m，满足机车日常检修、整备要求，承载不低于200kg/㎡；安装防护设备：安全网栏、落地护栏（含翻板）、扶梯、门禁、照明设施；平台全部由钢结构模块组成，便于安装。</w:t>
                  </w: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D6F60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</w:tbl>
          <w:p w14:paraId="3B602EC2"/>
        </w:tc>
      </w:tr>
    </w:tbl>
    <w:p w14:paraId="07009D20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1D861735"/>
    <w:rsid w:val="53B52B8D"/>
    <w:rsid w:val="77F30B13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2931</Words>
  <Characters>3183</Characters>
  <Lines>0</Lines>
  <Paragraphs>0</Paragraphs>
  <TotalTime>0</TotalTime>
  <ScaleCrop>false</ScaleCrop>
  <LinksUpToDate>false</LinksUpToDate>
  <CharactersWithSpaces>3222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安安</cp:lastModifiedBy>
  <dcterms:modified xsi:type="dcterms:W3CDTF">2025-11-14T10:43:36Z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eyJoZGlkIjoiY2JiM2Q2YTNkZTc1Mjk4ODRhOWVjZTc0YTFmYTE5NzciLCJ1c2VySWQiOiIxMTQ2NDU0OTA0In0=</vt:lpwstr>
  </property>
  <property fmtid="{D5CDD505-2E9C-101B-9397-08002B2CF9AE}" pid="4" name="ICV">
    <vt:lpwstr>613E349993BE4B3DBF927138C7D01A56_12</vt:lpwstr>
  </property>
</Properties>
</file>