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F614">
      <w:pPr>
        <w:pStyle w:val="4"/>
        <w:rPr>
          <w:rFonts w:hint="eastAsia" w:ascii="宋体" w:hAnsi="宋体" w:eastAsia="宋体" w:cs="宋体"/>
        </w:rPr>
      </w:pPr>
      <w:r>
        <w:rPr>
          <w:rFonts w:hint="eastAsia" w:ascii="宋体" w:hAnsi="宋体" w:eastAsia="宋体" w:cs="宋体"/>
        </w:rPr>
        <w:t>项目编号：</w:t>
      </w:r>
      <w:r>
        <w:rPr>
          <w:rFonts w:hint="eastAsia" w:ascii="宋体" w:hAnsi="宋体" w:cs="宋体"/>
          <w:b/>
          <w:bCs/>
          <w:lang w:eastAsia="zh-CN"/>
        </w:rPr>
        <w:t xml:space="preserve">JJZB-2025007 </w:t>
      </w:r>
    </w:p>
    <w:p w14:paraId="62B3080D">
      <w:pPr>
        <w:tabs>
          <w:tab w:val="left" w:pos="2443"/>
        </w:tabs>
        <w:jc w:val="left"/>
        <w:rPr>
          <w:rFonts w:hint="eastAsia" w:ascii="宋体" w:hAnsi="宋体" w:eastAsia="宋体" w:cs="宋体"/>
          <w:b/>
          <w:sz w:val="44"/>
          <w:szCs w:val="44"/>
          <w:lang w:eastAsia="zh-CN"/>
        </w:rPr>
      </w:pPr>
      <w:r>
        <w:rPr>
          <w:rFonts w:hint="eastAsia" w:ascii="宋体" w:hAnsi="宋体" w:cs="宋体"/>
          <w:b/>
          <w:sz w:val="44"/>
          <w:szCs w:val="44"/>
          <w:lang w:eastAsia="zh-CN"/>
        </w:rPr>
        <w:tab/>
      </w:r>
    </w:p>
    <w:p w14:paraId="72A894D1">
      <w:pPr>
        <w:pStyle w:val="7"/>
        <w:jc w:val="both"/>
        <w:rPr>
          <w:rFonts w:hint="eastAsia"/>
        </w:rPr>
      </w:pPr>
    </w:p>
    <w:p w14:paraId="79775F8E">
      <w:pPr>
        <w:spacing w:line="360" w:lineRule="auto"/>
        <w:jc w:val="center"/>
        <w:rPr>
          <w:rFonts w:hint="eastAsia" w:ascii="宋体" w:hAnsi="宋体" w:cs="宋体"/>
          <w:b/>
          <w:bCs/>
          <w:sz w:val="44"/>
          <w:szCs w:val="44"/>
          <w:lang w:eastAsia="zh-CN"/>
        </w:rPr>
      </w:pPr>
      <w:r>
        <w:rPr>
          <w:rFonts w:hint="eastAsia" w:ascii="宋体" w:hAnsi="宋体" w:cs="宋体"/>
          <w:b/>
          <w:bCs/>
          <w:sz w:val="44"/>
          <w:szCs w:val="44"/>
          <w:lang w:eastAsia="zh-CN"/>
        </w:rPr>
        <w:t>杨凌示范区消防救援支队</w:t>
      </w:r>
      <w:bookmarkStart w:id="0" w:name="OLE_LINK1"/>
      <w:r>
        <w:rPr>
          <w:rFonts w:hint="eastAsia" w:ascii="宋体" w:hAnsi="宋体" w:cs="宋体"/>
          <w:b/>
          <w:bCs/>
          <w:sz w:val="44"/>
          <w:szCs w:val="44"/>
          <w:lang w:eastAsia="zh-CN"/>
        </w:rPr>
        <w:t>新区大队厨房</w:t>
      </w:r>
    </w:p>
    <w:p w14:paraId="1D5CF61F">
      <w:pPr>
        <w:spacing w:line="360" w:lineRule="auto"/>
        <w:jc w:val="center"/>
        <w:rPr>
          <w:rFonts w:hint="eastAsia" w:ascii="宋体" w:hAnsi="宋体" w:cs="宋体"/>
          <w:b/>
          <w:bCs/>
          <w:sz w:val="44"/>
          <w:szCs w:val="44"/>
          <w:lang w:eastAsia="zh-CN"/>
        </w:rPr>
      </w:pPr>
      <w:r>
        <w:rPr>
          <w:rFonts w:hint="eastAsia" w:ascii="宋体" w:hAnsi="宋体" w:cs="宋体"/>
          <w:b/>
          <w:bCs/>
          <w:sz w:val="44"/>
          <w:szCs w:val="44"/>
          <w:lang w:eastAsia="zh-CN"/>
        </w:rPr>
        <w:t>劳务外包项目</w:t>
      </w:r>
    </w:p>
    <w:bookmarkEnd w:id="0"/>
    <w:p w14:paraId="5A06EA42">
      <w:pPr>
        <w:spacing w:line="360" w:lineRule="auto"/>
        <w:jc w:val="center"/>
        <w:rPr>
          <w:rFonts w:hint="eastAsia" w:ascii="宋体" w:hAnsi="宋体" w:cs="宋体"/>
          <w:b/>
          <w:bCs/>
          <w:sz w:val="44"/>
          <w:szCs w:val="44"/>
          <w:lang w:eastAsia="zh-CN"/>
        </w:rPr>
      </w:pPr>
    </w:p>
    <w:p w14:paraId="0FADE03B">
      <w:pPr>
        <w:pStyle w:val="14"/>
        <w:rPr>
          <w:rFonts w:hint="eastAsia"/>
        </w:rPr>
      </w:pPr>
    </w:p>
    <w:p w14:paraId="1972D2EB">
      <w:pPr>
        <w:pStyle w:val="14"/>
        <w:rPr>
          <w:rFonts w:hint="eastAsia"/>
        </w:rPr>
      </w:pPr>
    </w:p>
    <w:p w14:paraId="7D39545E">
      <w:pPr>
        <w:spacing w:line="360" w:lineRule="auto"/>
        <w:jc w:val="center"/>
        <w:rPr>
          <w:rFonts w:hint="eastAsia" w:ascii="宋体" w:hAnsi="宋体" w:eastAsia="宋体" w:cs="宋体"/>
          <w:b/>
          <w:bCs w:val="0"/>
          <w:kern w:val="0"/>
          <w:sz w:val="72"/>
          <w:szCs w:val="72"/>
          <w:u w:val="none" w:color="000000"/>
        </w:rPr>
      </w:pPr>
      <w:r>
        <w:rPr>
          <w:rFonts w:hint="eastAsia" w:ascii="宋体" w:hAnsi="宋体" w:eastAsia="宋体" w:cs="宋体"/>
          <w:b/>
          <w:bCs w:val="0"/>
          <w:kern w:val="0"/>
          <w:sz w:val="72"/>
          <w:szCs w:val="72"/>
          <w:u w:val="none" w:color="000000"/>
        </w:rPr>
        <w:t>竞争性磋商采购文件</w:t>
      </w:r>
    </w:p>
    <w:p w14:paraId="61E36083">
      <w:pPr>
        <w:pStyle w:val="7"/>
        <w:tabs>
          <w:tab w:val="left" w:pos="2134"/>
        </w:tabs>
        <w:jc w:val="both"/>
        <w:rPr>
          <w:rFonts w:hint="eastAsia" w:ascii="宋体" w:hAnsi="宋体" w:eastAsia="宋体" w:cs="宋体"/>
          <w:lang w:eastAsia="zh-CN"/>
        </w:rPr>
      </w:pPr>
    </w:p>
    <w:p w14:paraId="77579925">
      <w:pPr>
        <w:rPr>
          <w:rFonts w:hint="eastAsia" w:ascii="宋体" w:hAnsi="宋体" w:eastAsia="宋体" w:cs="宋体"/>
        </w:rPr>
      </w:pPr>
    </w:p>
    <w:p w14:paraId="1B12281B">
      <w:pPr>
        <w:rPr>
          <w:rFonts w:hint="eastAsia" w:ascii="宋体" w:hAnsi="宋体" w:eastAsia="宋体" w:cs="宋体"/>
        </w:rPr>
      </w:pPr>
    </w:p>
    <w:p w14:paraId="6D3D3850">
      <w:pPr>
        <w:rPr>
          <w:rFonts w:hint="eastAsia" w:ascii="宋体" w:hAnsi="宋体" w:eastAsia="宋体" w:cs="宋体"/>
        </w:rPr>
      </w:pPr>
    </w:p>
    <w:p w14:paraId="61730FAC">
      <w:pPr>
        <w:spacing w:before="240" w:line="360" w:lineRule="auto"/>
        <w:ind w:firstLine="1405" w:firstLineChars="500"/>
        <w:jc w:val="both"/>
        <w:rPr>
          <w:rFonts w:hint="eastAsia" w:ascii="宋体" w:hAnsi="宋体" w:eastAsia="宋体" w:cs="宋体"/>
          <w:b/>
          <w:szCs w:val="28"/>
          <w:lang w:eastAsia="zh-CN"/>
        </w:rPr>
      </w:pPr>
      <w:r>
        <w:rPr>
          <w:rFonts w:hint="eastAsia" w:ascii="宋体" w:hAnsi="宋体" w:eastAsia="宋体" w:cs="宋体"/>
          <w:b/>
          <w:szCs w:val="28"/>
        </w:rPr>
        <w:t>采   购   人：</w:t>
      </w:r>
      <w:r>
        <w:rPr>
          <w:rFonts w:hint="eastAsia" w:ascii="宋体" w:hAnsi="宋体" w:eastAsia="宋体" w:cs="宋体"/>
          <w:b/>
          <w:szCs w:val="28"/>
          <w:lang w:eastAsia="zh-CN"/>
        </w:rPr>
        <w:t>杨凌示范区消防救援支队新区大队</w:t>
      </w:r>
    </w:p>
    <w:p w14:paraId="3F3CB26B">
      <w:pPr>
        <w:spacing w:before="240" w:line="360" w:lineRule="auto"/>
        <w:ind w:firstLine="1405" w:firstLineChars="500"/>
        <w:jc w:val="both"/>
        <w:rPr>
          <w:rFonts w:hint="eastAsia" w:ascii="宋体" w:hAnsi="宋体" w:eastAsia="宋体" w:cs="宋体"/>
          <w:b/>
          <w:szCs w:val="28"/>
          <w:lang w:eastAsia="zh-CN"/>
        </w:rPr>
      </w:pPr>
      <w:r>
        <w:rPr>
          <w:rFonts w:hint="eastAsia" w:ascii="宋体" w:hAnsi="宋体" w:eastAsia="宋体" w:cs="宋体"/>
          <w:b/>
          <w:szCs w:val="28"/>
        </w:rPr>
        <w:t>采购代理机构：</w:t>
      </w:r>
      <w:r>
        <w:rPr>
          <w:rFonts w:hint="eastAsia" w:ascii="宋体" w:hAnsi="宋体" w:cs="宋体"/>
          <w:b/>
          <w:szCs w:val="28"/>
          <w:lang w:eastAsia="zh-CN"/>
        </w:rPr>
        <w:t xml:space="preserve">陕西玖聚常安咨询有限公司  </w:t>
      </w:r>
    </w:p>
    <w:p w14:paraId="6652A391">
      <w:pPr>
        <w:spacing w:before="240" w:line="360" w:lineRule="auto"/>
        <w:jc w:val="center"/>
        <w:rPr>
          <w:rFonts w:hint="eastAsia" w:ascii="宋体" w:hAnsi="宋体" w:eastAsia="宋体" w:cs="宋体"/>
          <w:b/>
          <w:bCs/>
          <w:szCs w:val="28"/>
          <w:lang w:val="zh-CN"/>
        </w:rPr>
        <w:sectPr>
          <w:headerReference r:id="rId4" w:type="first"/>
          <w:headerReference r:id="rId3" w:type="default"/>
          <w:pgSz w:w="11906" w:h="16838"/>
          <w:pgMar w:top="1440" w:right="1440" w:bottom="1440" w:left="1440" w:header="851" w:footer="1111"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szCs w:val="28"/>
          <w:lang w:val="zh-CN"/>
        </w:rPr>
        <w:t>二</w:t>
      </w:r>
      <w:r>
        <w:rPr>
          <w:rFonts w:hint="eastAsia" w:ascii="宋体" w:hAnsi="宋体" w:eastAsia="宋体" w:cs="宋体"/>
          <w:b/>
          <w:bCs/>
          <w:szCs w:val="28"/>
          <w:highlight w:val="none"/>
          <w:lang w:val="zh-CN"/>
        </w:rPr>
        <w:t>○二</w:t>
      </w:r>
      <w:r>
        <w:rPr>
          <w:rFonts w:hint="eastAsia" w:ascii="宋体" w:hAnsi="宋体" w:cs="宋体"/>
          <w:b/>
          <w:bCs/>
          <w:szCs w:val="28"/>
          <w:highlight w:val="none"/>
          <w:lang w:val="zh-CN"/>
        </w:rPr>
        <w:t>五</w:t>
      </w:r>
      <w:r>
        <w:rPr>
          <w:rFonts w:hint="eastAsia" w:ascii="宋体" w:hAnsi="宋体" w:eastAsia="宋体" w:cs="宋体"/>
          <w:b/>
          <w:bCs/>
          <w:szCs w:val="28"/>
          <w:highlight w:val="none"/>
          <w:lang w:val="zh-CN"/>
        </w:rPr>
        <w:t>年</w:t>
      </w:r>
      <w:r>
        <w:rPr>
          <w:rFonts w:hint="eastAsia" w:ascii="宋体" w:hAnsi="宋体" w:cs="宋体"/>
          <w:b/>
          <w:bCs/>
          <w:szCs w:val="28"/>
          <w:highlight w:val="none"/>
          <w:lang w:val="zh-CN"/>
        </w:rPr>
        <w:t>十一</w:t>
      </w:r>
      <w:r>
        <w:rPr>
          <w:rFonts w:hint="eastAsia" w:ascii="宋体" w:hAnsi="宋体" w:eastAsia="宋体" w:cs="宋体"/>
          <w:b/>
          <w:bCs/>
          <w:szCs w:val="28"/>
          <w:lang w:val="zh-CN"/>
        </w:rPr>
        <w:t>月</w:t>
      </w:r>
    </w:p>
    <w:p w14:paraId="2A9E08E1">
      <w:pPr>
        <w:jc w:val="center"/>
        <w:rPr>
          <w:rFonts w:hint="eastAsia" w:ascii="宋体" w:hAnsi="宋体" w:eastAsia="宋体" w:cs="宋体"/>
          <w:b/>
          <w:sz w:val="44"/>
        </w:rPr>
      </w:pPr>
    </w:p>
    <w:p w14:paraId="62CDDBE5">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36BA7C64">
      <w:pPr>
        <w:rPr>
          <w:rFonts w:hint="eastAsia" w:ascii="宋体" w:hAnsi="宋体" w:eastAsia="宋体" w:cs="宋体"/>
          <w:sz w:val="44"/>
        </w:rPr>
      </w:pPr>
    </w:p>
    <w:p w14:paraId="789788CD">
      <w:pPr>
        <w:ind w:firstLine="1687" w:firstLineChars="600"/>
        <w:rPr>
          <w:rFonts w:hint="eastAsia" w:ascii="宋体" w:hAnsi="宋体" w:eastAsia="宋体" w:cs="宋体"/>
          <w:b/>
          <w:szCs w:val="28"/>
        </w:rPr>
      </w:pPr>
      <w:r>
        <w:rPr>
          <w:rFonts w:hint="eastAsia" w:ascii="宋体" w:hAnsi="宋体" w:eastAsia="宋体" w:cs="宋体"/>
          <w:b/>
          <w:szCs w:val="28"/>
        </w:rPr>
        <w:t>第一章  竞争性磋商公告</w:t>
      </w:r>
    </w:p>
    <w:p w14:paraId="36DDF5BC">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第二章  竞争性磋商采购须知</w:t>
      </w:r>
    </w:p>
    <w:p w14:paraId="336CB095">
      <w:pPr>
        <w:spacing w:line="1380" w:lineRule="exact"/>
        <w:ind w:firstLine="1687" w:firstLineChars="600"/>
        <w:rPr>
          <w:rFonts w:hint="eastAsia" w:ascii="宋体" w:hAnsi="宋体" w:eastAsia="宋体" w:cs="宋体"/>
          <w:b/>
          <w:szCs w:val="28"/>
          <w:lang w:eastAsia="zh-CN"/>
        </w:rPr>
      </w:pPr>
      <w:r>
        <w:rPr>
          <w:rFonts w:hint="eastAsia" w:ascii="宋体" w:hAnsi="宋体" w:eastAsia="宋体" w:cs="宋体"/>
          <w:b/>
          <w:szCs w:val="28"/>
        </w:rPr>
        <w:t xml:space="preserve">第三章  </w:t>
      </w:r>
      <w:r>
        <w:rPr>
          <w:rFonts w:hint="eastAsia" w:ascii="宋体" w:hAnsi="宋体" w:cs="宋体"/>
          <w:b/>
          <w:szCs w:val="28"/>
          <w:lang w:eastAsia="zh-CN"/>
        </w:rPr>
        <w:t>采购内容</w:t>
      </w:r>
      <w:r>
        <w:rPr>
          <w:rFonts w:hint="eastAsia" w:ascii="宋体" w:hAnsi="宋体" w:eastAsia="宋体" w:cs="宋体"/>
          <w:b/>
          <w:szCs w:val="28"/>
          <w:lang w:eastAsia="zh-CN"/>
        </w:rPr>
        <w:t>及要求</w:t>
      </w:r>
    </w:p>
    <w:p w14:paraId="155DA05F">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第四章  商务要求</w:t>
      </w:r>
    </w:p>
    <w:p w14:paraId="434363A8">
      <w:pPr>
        <w:spacing w:line="1380" w:lineRule="exact"/>
        <w:ind w:firstLine="1687" w:firstLineChars="600"/>
        <w:rPr>
          <w:rFonts w:hint="eastAsia" w:ascii="宋体" w:hAnsi="宋体" w:eastAsia="宋体" w:cs="宋体"/>
          <w:b/>
          <w:szCs w:val="28"/>
          <w:lang w:eastAsia="zh-CN"/>
        </w:rPr>
      </w:pPr>
      <w:r>
        <w:rPr>
          <w:rFonts w:hint="eastAsia" w:ascii="宋体" w:hAnsi="宋体" w:eastAsia="宋体" w:cs="宋体"/>
          <w:b/>
          <w:szCs w:val="28"/>
        </w:rPr>
        <w:t xml:space="preserve">第五章  </w:t>
      </w:r>
      <w:r>
        <w:rPr>
          <w:rFonts w:hint="eastAsia" w:ascii="宋体" w:hAnsi="宋体" w:eastAsia="宋体" w:cs="宋体"/>
          <w:b/>
          <w:szCs w:val="28"/>
          <w:lang w:eastAsia="zh-CN"/>
        </w:rPr>
        <w:t>合同草案条款</w:t>
      </w:r>
    </w:p>
    <w:p w14:paraId="7F5DB2FE">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第六章  竞争性磋商响应文件格式</w:t>
      </w:r>
    </w:p>
    <w:p w14:paraId="4DF2505F">
      <w:pPr>
        <w:rPr>
          <w:rFonts w:hint="eastAsia" w:ascii="宋体" w:hAnsi="宋体" w:eastAsia="宋体" w:cs="宋体"/>
          <w:b/>
          <w:sz w:val="32"/>
        </w:rPr>
      </w:pPr>
    </w:p>
    <w:p w14:paraId="6CA55D49">
      <w:pPr>
        <w:rPr>
          <w:rFonts w:hint="eastAsia" w:ascii="宋体" w:hAnsi="宋体" w:eastAsia="宋体" w:cs="宋体"/>
          <w:b/>
          <w:sz w:val="32"/>
        </w:rPr>
      </w:pPr>
    </w:p>
    <w:p w14:paraId="326FDA01">
      <w:pPr>
        <w:rPr>
          <w:rFonts w:hint="eastAsia" w:ascii="宋体" w:hAnsi="宋体" w:eastAsia="宋体" w:cs="宋体"/>
          <w:b/>
          <w:sz w:val="32"/>
        </w:rPr>
      </w:pPr>
    </w:p>
    <w:p w14:paraId="17C14499">
      <w:pPr>
        <w:widowControl/>
        <w:tabs>
          <w:tab w:val="left" w:pos="1620"/>
        </w:tabs>
        <w:spacing w:line="360" w:lineRule="auto"/>
        <w:ind w:right="-263" w:rightChars="-94"/>
        <w:jc w:val="center"/>
        <w:rPr>
          <w:rFonts w:hint="eastAsia" w:ascii="宋体" w:hAnsi="宋体" w:eastAsia="宋体" w:cs="宋体"/>
          <w:b/>
          <w:sz w:val="32"/>
          <w:szCs w:val="32"/>
        </w:rPr>
      </w:pPr>
    </w:p>
    <w:p w14:paraId="4A61083E">
      <w:pPr>
        <w:widowControl/>
        <w:tabs>
          <w:tab w:val="left" w:pos="1620"/>
        </w:tabs>
        <w:spacing w:line="360" w:lineRule="auto"/>
        <w:ind w:right="-263" w:rightChars="-94"/>
        <w:jc w:val="center"/>
        <w:rPr>
          <w:rFonts w:hint="eastAsia" w:ascii="宋体" w:hAnsi="宋体" w:eastAsia="宋体" w:cs="宋体"/>
          <w:b/>
          <w:sz w:val="32"/>
          <w:szCs w:val="32"/>
        </w:rPr>
      </w:pPr>
    </w:p>
    <w:p w14:paraId="14B4F64C">
      <w:pPr>
        <w:widowControl/>
        <w:tabs>
          <w:tab w:val="left" w:pos="1620"/>
        </w:tabs>
        <w:spacing w:line="360" w:lineRule="auto"/>
        <w:ind w:right="-263" w:rightChars="-94"/>
        <w:jc w:val="center"/>
        <w:rPr>
          <w:rFonts w:hint="eastAsia" w:ascii="宋体" w:hAnsi="宋体" w:eastAsia="宋体" w:cs="宋体"/>
          <w:b/>
          <w:sz w:val="32"/>
          <w:szCs w:val="32"/>
        </w:rPr>
      </w:pPr>
    </w:p>
    <w:p w14:paraId="76FC9640">
      <w:pPr>
        <w:tabs>
          <w:tab w:val="left" w:pos="2550"/>
          <w:tab w:val="center" w:pos="4601"/>
        </w:tabs>
        <w:spacing w:before="312" w:beforeLines="100" w:line="360" w:lineRule="auto"/>
        <w:jc w:val="center"/>
        <w:rPr>
          <w:rFonts w:hint="eastAsia" w:ascii="宋体" w:hAnsi="宋体" w:eastAsia="宋体" w:cs="宋体"/>
          <w:b/>
          <w:sz w:val="32"/>
          <w:szCs w:val="32"/>
        </w:rPr>
        <w:sectPr>
          <w:headerReference r:id="rId5" w:type="default"/>
          <w:pgSz w:w="11910" w:h="16850"/>
          <w:pgMar w:top="1440" w:right="1440" w:bottom="1440" w:left="1440" w:header="882" w:footer="1093" w:gutter="0"/>
          <w:cols w:space="720" w:num="1"/>
          <w:rtlGutter w:val="0"/>
        </w:sectPr>
      </w:pPr>
    </w:p>
    <w:p w14:paraId="20AB17B4">
      <w:pPr>
        <w:tabs>
          <w:tab w:val="left" w:pos="2550"/>
          <w:tab w:val="center" w:pos="4601"/>
        </w:tabs>
        <w:spacing w:before="312" w:beforeLines="100" w:line="360" w:lineRule="auto"/>
        <w:jc w:val="center"/>
        <w:rPr>
          <w:rFonts w:hint="eastAsia" w:ascii="宋体" w:hAnsi="宋体" w:eastAsia="宋体" w:cs="宋体"/>
          <w:sz w:val="24"/>
          <w:szCs w:val="24"/>
        </w:rPr>
      </w:pPr>
      <w:r>
        <w:rPr>
          <w:rFonts w:hint="eastAsia" w:ascii="宋体" w:hAnsi="宋体" w:eastAsia="宋体" w:cs="宋体"/>
          <w:b/>
          <w:sz w:val="32"/>
          <w:szCs w:val="32"/>
        </w:rPr>
        <w:t>第一章  竞争性磋商公告</w:t>
      </w:r>
    </w:p>
    <w:p w14:paraId="56D9923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b w:val="0"/>
          <w:bCs/>
          <w:color w:val="333333"/>
          <w:kern w:val="0"/>
          <w:sz w:val="24"/>
          <w:szCs w:val="24"/>
          <w:highlight w:val="none"/>
          <w:lang w:val="en-US" w:eastAsia="zh-CN" w:bidi="ar"/>
        </w:rPr>
      </w:pPr>
      <w:r>
        <w:rPr>
          <w:rFonts w:hint="eastAsia" w:ascii="宋体" w:hAnsi="宋体" w:cs="宋体"/>
          <w:sz w:val="24"/>
          <w:highlight w:val="none"/>
          <w:lang w:val="en-US" w:eastAsia="zh-CN"/>
        </w:rPr>
        <w:t>杨凌示范区消防救援支队新区大队厨房劳务外包项目</w:t>
      </w:r>
      <w:r>
        <w:rPr>
          <w:rFonts w:hint="eastAsia" w:ascii="宋体" w:hAnsi="宋体" w:eastAsia="宋体" w:cs="宋体"/>
          <w:sz w:val="24"/>
          <w:highlight w:val="none"/>
          <w:lang w:val="en-US" w:eastAsia="zh-CN"/>
        </w:rPr>
        <w:t>的潜在供应商应在</w:t>
      </w:r>
      <w:r>
        <w:rPr>
          <w:rFonts w:hint="eastAsia" w:ascii="宋体" w:hAnsi="宋体" w:cs="宋体"/>
          <w:sz w:val="24"/>
          <w:highlight w:val="none"/>
          <w:lang w:val="en-US" w:eastAsia="zh-CN"/>
        </w:rPr>
        <w:t>线上</w:t>
      </w:r>
      <w:r>
        <w:rPr>
          <w:rFonts w:hint="eastAsia" w:ascii="宋体" w:hAnsi="宋体" w:eastAsia="宋体" w:cs="宋体"/>
          <w:sz w:val="24"/>
          <w:highlight w:val="none"/>
          <w:lang w:val="en-US" w:eastAsia="zh-CN"/>
        </w:rPr>
        <w:t>获取采购文件,并于202</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年 11月27 日</w:t>
      </w:r>
      <w:r>
        <w:rPr>
          <w:rFonts w:hint="eastAsia" w:ascii="宋体" w:hAnsi="宋体" w:cs="宋体"/>
          <w:sz w:val="24"/>
          <w:highlight w:val="none"/>
          <w:lang w:val="en-US" w:eastAsia="zh-CN"/>
        </w:rPr>
        <w:t>上午09</w:t>
      </w:r>
      <w:r>
        <w:rPr>
          <w:rFonts w:hint="eastAsia" w:ascii="宋体" w:hAnsi="宋体" w:eastAsia="宋体" w:cs="宋体"/>
          <w:sz w:val="24"/>
          <w:highlight w:val="none"/>
          <w:lang w:val="en-US" w:eastAsia="zh-CN"/>
        </w:rPr>
        <w:t>时30分（北京时间）前提交响应文件。</w:t>
      </w:r>
    </w:p>
    <w:p w14:paraId="4A88832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一、项目基本情况：</w:t>
      </w:r>
    </w:p>
    <w:p w14:paraId="369536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1、项目编号：JJZB-2025007 </w:t>
      </w:r>
    </w:p>
    <w:p w14:paraId="7416849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2、项目名称：</w:t>
      </w:r>
      <w:r>
        <w:rPr>
          <w:rFonts w:hint="eastAsia" w:ascii="宋体" w:hAnsi="宋体" w:cs="宋体"/>
          <w:sz w:val="24"/>
          <w:highlight w:val="none"/>
          <w:lang w:val="en-US" w:eastAsia="zh-CN"/>
        </w:rPr>
        <w:t>杨凌示范区消防救援支队新区大队厨房劳务外包项目</w:t>
      </w:r>
    </w:p>
    <w:p w14:paraId="4D4FE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3、预</w:t>
      </w:r>
      <w:r>
        <w:rPr>
          <w:rFonts w:hint="eastAsia" w:ascii="宋体" w:hAnsi="宋体" w:eastAsia="宋体" w:cs="宋体"/>
          <w:color w:val="auto"/>
          <w:sz w:val="24"/>
          <w:highlight w:val="none"/>
          <w:lang w:val="en-US" w:eastAsia="zh-CN"/>
        </w:rPr>
        <w:t>算金额：</w:t>
      </w:r>
      <w:r>
        <w:rPr>
          <w:rFonts w:hint="eastAsia" w:ascii="宋体" w:hAnsi="宋体" w:cs="宋体"/>
          <w:color w:val="auto"/>
          <w:sz w:val="24"/>
          <w:highlight w:val="none"/>
          <w:lang w:val="en-US" w:eastAsia="zh-CN"/>
        </w:rPr>
        <w:t xml:space="preserve">252428.40 </w:t>
      </w:r>
      <w:r>
        <w:rPr>
          <w:rFonts w:hint="eastAsia" w:ascii="宋体" w:hAnsi="宋体" w:eastAsia="宋体" w:cs="宋体"/>
          <w:color w:val="auto"/>
          <w:sz w:val="24"/>
          <w:highlight w:val="none"/>
          <w:lang w:val="en-US" w:eastAsia="zh-CN"/>
        </w:rPr>
        <w:t>元</w:t>
      </w:r>
    </w:p>
    <w:p w14:paraId="1BC3418D">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、采购需求：新区大队厨房劳务外包</w:t>
      </w:r>
      <w:r>
        <w:rPr>
          <w:rFonts w:hint="eastAsia" w:ascii="宋体" w:hAnsi="宋体" w:eastAsia="宋体" w:cs="宋体"/>
          <w:sz w:val="24"/>
          <w:highlight w:val="none"/>
          <w:lang w:val="en-US" w:eastAsia="zh-CN"/>
        </w:rPr>
        <w:t>，具体详见竞争性磋商文件。</w:t>
      </w:r>
    </w:p>
    <w:p w14:paraId="60A70A2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.合同履行期限：</w:t>
      </w:r>
      <w:r>
        <w:rPr>
          <w:rFonts w:hint="eastAsia" w:ascii="宋体" w:hAnsi="宋体" w:eastAsia="宋体" w:cs="宋体"/>
          <w:color w:val="auto"/>
          <w:sz w:val="24"/>
          <w:highlight w:val="none"/>
          <w:lang w:val="en-US" w:eastAsia="zh-CN"/>
        </w:rPr>
        <w:t>一年（自合同签订之日起一年，服务期满后由采购人考核，年度考核合格合同一年一签，续签履行合同不超过2次）</w:t>
      </w:r>
    </w:p>
    <w:p w14:paraId="410712F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.本项目是否接受联合体投标：否</w:t>
      </w:r>
    </w:p>
    <w:p w14:paraId="4E98C8D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二、响应供应商的资格要求 </w:t>
      </w:r>
    </w:p>
    <w:p w14:paraId="2CE8C7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1、满足《中华人民共和国政府采购法》第二十二条规定</w:t>
      </w:r>
    </w:p>
    <w:p w14:paraId="43D69F2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80" w:lineRule="atLeast"/>
        <w:ind w:left="0" w:right="0" w:firstLine="48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kern w:val="0"/>
          <w:sz w:val="24"/>
          <w:szCs w:val="24"/>
          <w:highlight w:val="none"/>
          <w:lang w:val="en-US" w:eastAsia="zh-CN" w:bidi="ar-SA"/>
        </w:rPr>
        <w:t>落实政府采购政策需满足的资格要求如下:</w:t>
      </w:r>
      <w:r>
        <w:rPr>
          <w:rFonts w:hint="eastAsia" w:ascii="宋体" w:hAnsi="宋体" w:eastAsia="宋体" w:cs="宋体"/>
          <w:sz w:val="24"/>
          <w:highlight w:val="none"/>
          <w:lang w:val="en-US" w:eastAsia="zh-CN"/>
        </w:rPr>
        <w:t xml:space="preserve">  </w:t>
      </w:r>
    </w:p>
    <w:p w14:paraId="491D8CB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（1）《政府采购促进中小企业发展管理办法》（财库〔2020〕46号）；</w:t>
      </w:r>
    </w:p>
    <w:p w14:paraId="0043704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（2）《财政部司法部关于政府采购支持监狱企业发展有关问题的通知》（财库〔2014〕68号）；</w:t>
      </w:r>
    </w:p>
    <w:p w14:paraId="109DA5A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（3）《财政部 民政部 中国残疾人联合会关于促进残疾人就业政府采购政策的通知》（财库〔2017〕141号）；</w:t>
      </w:r>
    </w:p>
    <w:p w14:paraId="71F1A44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（4）《财政部 发展改革委 生态环境部 市场监管总局关于调整优化节能产品、环境标志产品政府采购执行机制的通知》（财库〔2019〕9号）；</w:t>
      </w:r>
    </w:p>
    <w:p w14:paraId="2FF0AEE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（5）《关于印发环境标志产品政府采购品目清单的通知》（财库〔2019〕18号）；</w:t>
      </w:r>
    </w:p>
    <w:p w14:paraId="7B864B8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（6）《关于印发节能产品政府采购品目清单的通知》（财库〔2019〕19号）；</w:t>
      </w:r>
    </w:p>
    <w:p w14:paraId="2846CA0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（7）《财政部 农业农村部 国家乡村振兴局关于运用政府采购政策支持乡村产业振兴的通知》（财库〔2021〕19号）；</w:t>
      </w:r>
    </w:p>
    <w:p w14:paraId="19CA234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（8）《陕西省财政厅关于印发陕西省中小企业政府采购信用融资办法》（陕财办采〔2018〕23号）；</w:t>
      </w:r>
    </w:p>
    <w:p w14:paraId="397A6C4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（9）《陕西省财政厅关于加快推进我省中小企业政府采购信用融资工作的通知》（陕财办采〔2020〕15号）；</w:t>
      </w:r>
    </w:p>
    <w:p w14:paraId="7C11F64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（10）《陕西省财政厅关于进一步加大政府采购支持中小企业力度的通知》（陕财办采〔2022〕5号）；</w:t>
      </w:r>
    </w:p>
    <w:p w14:paraId="540BC96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（11）《陕西省财政厅关于落实政府采购支持中小企业政策有关事项的通知》（陕财办采函[2022] 10号）；</w:t>
      </w:r>
    </w:p>
    <w:p w14:paraId="58EC5B7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（12）《财政部关于在政府采购活动中查询及使用信用记录有关问题的通知》（财库〔2016〕125 号）；</w:t>
      </w:r>
    </w:p>
    <w:p w14:paraId="539DA96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52FA85E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3、本项目的特定资格要求：</w:t>
      </w:r>
    </w:p>
    <w:p w14:paraId="43A00931">
      <w:pPr>
        <w:pStyle w:val="3"/>
        <w:numPr>
          <w:ilvl w:val="0"/>
          <w:numId w:val="0"/>
        </w:numPr>
        <w:spacing w:line="360" w:lineRule="auto"/>
        <w:ind w:firstLine="420" w:firstLineChars="0"/>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eastAsia="zh-CN"/>
        </w:rPr>
        <w:t>供应商具有独立承担民事责任能力的法人、其他组织或自然人，并出具合法有效的营业执照或事业单位法人证书等国家规定的相关证明，自然人参与的提供其身份证明；</w:t>
      </w:r>
    </w:p>
    <w:p w14:paraId="3E017261">
      <w:pPr>
        <w:pStyle w:val="3"/>
        <w:numPr>
          <w:ilvl w:val="0"/>
          <w:numId w:val="0"/>
        </w:numPr>
        <w:spacing w:line="360" w:lineRule="auto"/>
        <w:ind w:firstLine="420" w:firstLineChars="0"/>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bidi="ar-SA"/>
        </w:rPr>
        <w:t>（2）</w:t>
      </w:r>
      <w:r>
        <w:rPr>
          <w:rFonts w:hint="eastAsia" w:ascii="宋体" w:hAnsi="宋体" w:cs="宋体"/>
          <w:kern w:val="0"/>
          <w:sz w:val="24"/>
          <w:szCs w:val="24"/>
          <w:highlight w:val="none"/>
        </w:rPr>
        <w:t>法定代表人授权书及被授权人身份证（法定代表人直接参与，须提供法定代表人身份证明）；</w:t>
      </w:r>
    </w:p>
    <w:p w14:paraId="7F790316">
      <w:pPr>
        <w:pStyle w:val="3"/>
        <w:numPr>
          <w:ilvl w:val="0"/>
          <w:numId w:val="0"/>
        </w:numPr>
        <w:spacing w:line="360" w:lineRule="auto"/>
        <w:ind w:left="0" w:leftChars="0" w:firstLine="420" w:firstLineChars="0"/>
        <w:rPr>
          <w:rFonts w:hint="eastAsia" w:ascii="宋体" w:hAnsi="宋体" w:cs="宋体"/>
          <w:color w:val="auto"/>
          <w:kern w:val="0"/>
          <w:sz w:val="24"/>
          <w:highlight w:val="none"/>
        </w:rPr>
      </w:pPr>
      <w:r>
        <w:rPr>
          <w:rFonts w:hint="eastAsia" w:ascii="宋体" w:hAnsi="宋体" w:eastAsia="宋体" w:cs="宋体"/>
          <w:color w:val="auto"/>
          <w:kern w:val="0"/>
          <w:sz w:val="24"/>
          <w:szCs w:val="20"/>
          <w:highlight w:val="none"/>
          <w:lang w:val="en-US" w:eastAsia="zh-CN" w:bidi="ar-SA"/>
        </w:rPr>
        <w:t>（3）</w:t>
      </w:r>
      <w:r>
        <w:rPr>
          <w:rFonts w:hint="eastAsia" w:ascii="宋体" w:hAnsi="宋体" w:cs="宋体"/>
          <w:color w:val="auto"/>
          <w:kern w:val="0"/>
          <w:sz w:val="24"/>
          <w:highlight w:val="none"/>
          <w:lang w:eastAsia="zh-CN"/>
        </w:rPr>
        <w:t>供应商应具备有效的《食品经营许可证》；</w:t>
      </w:r>
    </w:p>
    <w:p w14:paraId="0A53CF26">
      <w:pPr>
        <w:pStyle w:val="3"/>
        <w:numPr>
          <w:ilvl w:val="0"/>
          <w:numId w:val="0"/>
        </w:numPr>
        <w:spacing w:line="360" w:lineRule="auto"/>
        <w:ind w:left="420" w:leftChars="0"/>
        <w:rPr>
          <w:rFonts w:hint="eastAsia" w:ascii="宋体" w:hAnsi="宋体" w:cs="宋体"/>
          <w:kern w:val="0"/>
          <w:sz w:val="24"/>
          <w:szCs w:val="24"/>
          <w:highlight w:val="none"/>
        </w:rPr>
      </w:pPr>
      <w:r>
        <w:rPr>
          <w:rFonts w:hint="eastAsia" w:ascii="宋体" w:hAnsi="宋体" w:cs="宋体"/>
          <w:kern w:val="0"/>
          <w:sz w:val="24"/>
          <w:szCs w:val="24"/>
          <w:highlight w:val="none"/>
        </w:rPr>
        <w:t>（4）参加政府采购活动前三年内，在经营活动中没有重大违法记录的声明；</w:t>
      </w:r>
    </w:p>
    <w:p w14:paraId="5F266107">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（5）具备履行合同所必须的设备和专业技术能力的说明及承诺；</w:t>
      </w:r>
    </w:p>
    <w:p w14:paraId="7A3DDB01">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（6）财务状况报告：</w:t>
      </w:r>
      <w:r>
        <w:rPr>
          <w:rFonts w:hint="eastAsia" w:ascii="宋体" w:hAnsi="宋体" w:cs="宋体"/>
          <w:kern w:val="0"/>
          <w:sz w:val="24"/>
          <w:szCs w:val="24"/>
          <w:highlight w:val="none"/>
          <w:lang w:eastAsia="zh-CN"/>
        </w:rPr>
        <w:t>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r>
        <w:rPr>
          <w:rFonts w:hint="eastAsia" w:ascii="宋体" w:hAnsi="宋体" w:cs="宋体"/>
          <w:kern w:val="0"/>
          <w:sz w:val="24"/>
          <w:szCs w:val="24"/>
          <w:highlight w:val="none"/>
        </w:rPr>
        <w:t>；</w:t>
      </w:r>
    </w:p>
    <w:p w14:paraId="088B15F1">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（7）税收缴纳证明：供应商提供已缴纳</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lang w:val="en-US" w:eastAsia="zh-CN"/>
        </w:rPr>
        <w:t>2025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月至今至少一个月的纳税证明或完税证明（任意税种）；依法免税的单位应提供相关文件证明；</w:t>
      </w:r>
    </w:p>
    <w:p w14:paraId="36048F1A">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（8）社会保障资金缴纳证明：供应商提供已缴纳</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lang w:val="en-US" w:eastAsia="zh-CN"/>
        </w:rPr>
        <w:t>2025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月至今至少一个月的社会保障资金缴存单据或社保机构开具的社会保险参保缴费情况证明，依法不需要缴纳社会保障资金的单位应提供相关证明材料；</w:t>
      </w:r>
    </w:p>
    <w:p w14:paraId="1F8EACE1">
      <w:pPr>
        <w:pStyle w:val="3"/>
        <w:wordWrap w:val="0"/>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05344849">
      <w:pPr>
        <w:pStyle w:val="3"/>
        <w:wordWrap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rPr>
        <w:t>）本项目不接受联合体</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（提供非联合体承诺书）</w:t>
      </w:r>
      <w:r>
        <w:rPr>
          <w:rFonts w:hint="eastAsia" w:ascii="宋体" w:hAnsi="宋体" w:eastAsia="宋体" w:cs="宋体"/>
          <w:kern w:val="0"/>
          <w:sz w:val="24"/>
          <w:szCs w:val="24"/>
          <w:highlight w:val="none"/>
          <w:lang w:eastAsia="zh-CN"/>
        </w:rPr>
        <w:t>；</w:t>
      </w:r>
    </w:p>
    <w:p w14:paraId="45E0A364">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单位负责人为同一人或者存在控股、管理关系的不同单位不得同时投标（提供供应商企业关系关联承诺书）；</w:t>
      </w:r>
    </w:p>
    <w:p w14:paraId="6117C3BC">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）磋商保证金缴纳凭证（附开户许可证或基本账户存款信息）</w:t>
      </w:r>
      <w:r>
        <w:rPr>
          <w:rFonts w:hint="eastAsia" w:ascii="宋体" w:hAnsi="宋体" w:eastAsia="宋体" w:cs="宋体"/>
          <w:kern w:val="0"/>
          <w:sz w:val="24"/>
          <w:szCs w:val="24"/>
          <w:highlight w:val="none"/>
          <w:lang w:eastAsia="zh-CN"/>
        </w:rPr>
        <w:t>；</w:t>
      </w:r>
    </w:p>
    <w:p w14:paraId="1EF9315A">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）中小企业声明函（本项目专门面向中小企业采购，非中小企业单位（监狱企业、残疾人福利单位除外）不得参与）</w:t>
      </w:r>
      <w:r>
        <w:rPr>
          <w:rFonts w:hint="eastAsia" w:ascii="宋体" w:hAnsi="宋体" w:eastAsia="宋体" w:cs="宋体"/>
          <w:kern w:val="0"/>
          <w:sz w:val="24"/>
          <w:szCs w:val="24"/>
          <w:highlight w:val="none"/>
          <w:lang w:val="en-US" w:eastAsia="zh-CN"/>
        </w:rPr>
        <w:t xml:space="preserve">。 </w:t>
      </w:r>
    </w:p>
    <w:p w14:paraId="744593A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三、获取采购文件 </w:t>
      </w:r>
    </w:p>
    <w:p w14:paraId="6CD6A47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时间：2025年11月</w:t>
      </w:r>
      <w:r>
        <w:rPr>
          <w:rFonts w:hint="eastAsia" w:ascii="宋体" w:hAnsi="宋体" w:cs="宋体"/>
          <w:sz w:val="24"/>
          <w:highlight w:val="none"/>
          <w:lang w:val="en-US" w:eastAsia="zh-CN"/>
        </w:rPr>
        <w:t>17</w:t>
      </w:r>
      <w:r>
        <w:rPr>
          <w:rFonts w:hint="eastAsia" w:ascii="宋体" w:hAnsi="宋体" w:eastAsia="宋体" w:cs="宋体"/>
          <w:sz w:val="24"/>
          <w:highlight w:val="none"/>
          <w:lang w:val="en-US" w:eastAsia="zh-CN"/>
        </w:rPr>
        <w:t>日至2025年11月21</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日，每天上午</w:t>
      </w:r>
      <w:r>
        <w:rPr>
          <w:rFonts w:hint="eastAsia" w:ascii="宋体" w:hAnsi="宋体" w:cs="宋体"/>
          <w:sz w:val="24"/>
          <w:highlight w:val="none"/>
          <w:lang w:val="en-US" w:eastAsia="zh-CN"/>
        </w:rPr>
        <w:t>09</w:t>
      </w:r>
      <w:r>
        <w:rPr>
          <w:rFonts w:hint="eastAsia" w:ascii="宋体" w:hAnsi="宋体" w:eastAsia="宋体" w:cs="宋体"/>
          <w:sz w:val="24"/>
          <w:highlight w:val="none"/>
          <w:lang w:val="en-US" w:eastAsia="zh-CN"/>
        </w:rPr>
        <w:t>:00:00至12:00:00下午</w:t>
      </w:r>
      <w:r>
        <w:rPr>
          <w:rFonts w:hint="eastAsia" w:ascii="宋体" w:hAnsi="宋体" w:cs="宋体"/>
          <w:sz w:val="24"/>
          <w:highlight w:val="none"/>
          <w:lang w:val="en-US" w:eastAsia="zh-CN"/>
        </w:rPr>
        <w:t>14</w:t>
      </w:r>
      <w:r>
        <w:rPr>
          <w:rFonts w:hint="eastAsia" w:ascii="宋体" w:hAnsi="宋体" w:eastAsia="宋体" w:cs="宋体"/>
          <w:sz w:val="24"/>
          <w:highlight w:val="none"/>
          <w:lang w:val="en-US" w:eastAsia="zh-CN"/>
        </w:rPr>
        <w:t>:00:00至</w:t>
      </w:r>
      <w:r>
        <w:rPr>
          <w:rFonts w:hint="eastAsia" w:ascii="宋体" w:hAnsi="宋体" w:cs="宋体"/>
          <w:sz w:val="24"/>
          <w:highlight w:val="none"/>
          <w:lang w:val="en-US" w:eastAsia="zh-CN"/>
        </w:rPr>
        <w:t>17</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（北京时间）</w:t>
      </w:r>
    </w:p>
    <w:p w14:paraId="6890D3A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480" w:firstLineChars="200"/>
        <w:jc w:val="left"/>
        <w:textAlignment w:val="auto"/>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途径：</w:t>
      </w:r>
      <w:r>
        <w:rPr>
          <w:rFonts w:hint="eastAsia" w:ascii="宋体" w:hAnsi="宋体" w:cs="宋体"/>
          <w:sz w:val="24"/>
          <w:highlight w:val="none"/>
          <w:lang w:val="en-US" w:eastAsia="zh-CN"/>
        </w:rPr>
        <w:t>线上</w:t>
      </w:r>
    </w:p>
    <w:p w14:paraId="1537DD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highlight w:val="none"/>
          <w:lang w:val="en-US" w:eastAsia="zh-CN"/>
        </w:rPr>
        <w:t>方式：</w:t>
      </w:r>
      <w:r>
        <w:rPr>
          <w:rFonts w:hint="eastAsia" w:ascii="宋体" w:hAnsi="宋体" w:cs="宋体"/>
          <w:sz w:val="24"/>
          <w:highlight w:val="none"/>
          <w:lang w:val="en-US" w:eastAsia="zh-CN"/>
        </w:rPr>
        <w:t>线上</w:t>
      </w:r>
      <w:r>
        <w:rPr>
          <w:rFonts w:hint="eastAsia" w:ascii="宋体" w:hAnsi="宋体" w:eastAsia="宋体" w:cs="宋体"/>
          <w:color w:val="auto"/>
          <w:kern w:val="0"/>
          <w:sz w:val="24"/>
          <w:szCs w:val="24"/>
          <w:highlight w:val="none"/>
          <w:lang w:val="en-US" w:eastAsia="zh-CN" w:bidi="ar-SA"/>
        </w:rPr>
        <w:t>获取</w:t>
      </w:r>
    </w:p>
    <w:p w14:paraId="76C4841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售价：0.00元</w:t>
      </w:r>
    </w:p>
    <w:p w14:paraId="35B079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注：供应商请在文件获取期以内（北京时间，法定节假日除外）将单位介绍信、经办人身份证加盖公章（备注经办人联系电话及电子邮箱）扫描件发送至邮箱389336042@qq.com，并及时联系采购代理机构确认（联系人：闫工，电话：18202984436）。采购代理机构在确认报名资料无误后通过邮箱向供应商发送招标文件，请及时查收。</w:t>
      </w:r>
    </w:p>
    <w:p w14:paraId="4C9D4119">
      <w:pPr>
        <w:keepNext w:val="0"/>
        <w:keepLines w:val="0"/>
        <w:pageBreakBefore w:val="0"/>
        <w:widowControl/>
        <w:numPr>
          <w:ilvl w:val="0"/>
          <w:numId w:val="0"/>
        </w:numPr>
        <w:kinsoku/>
        <w:wordWrap w:val="0"/>
        <w:overflowPunct/>
        <w:topLinePunct w:val="0"/>
        <w:autoSpaceDE/>
        <w:autoSpaceDN/>
        <w:bidi w:val="0"/>
        <w:adjustRightInd/>
        <w:snapToGrid/>
        <w:spacing w:beforeAutospacing="0" w:after="0" w:afterAutospacing="0" w:line="480" w:lineRule="exact"/>
        <w:ind w:leftChars="200" w:right="0" w:rightChars="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四、响应文件提交 </w:t>
      </w:r>
    </w:p>
    <w:p w14:paraId="3F60388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截止时间：2025年11月27</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日上午09时30分（北京时间） </w:t>
      </w:r>
    </w:p>
    <w:p w14:paraId="4498683C">
      <w:pPr>
        <w:widowControl/>
        <w:wordWrap w:val="0"/>
        <w:spacing w:before="0" w:beforeAutospacing="0" w:after="0" w:afterAutospacing="0" w:line="360" w:lineRule="auto"/>
        <w:ind w:firstLine="420"/>
        <w:jc w:val="left"/>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sz w:val="24"/>
          <w:highlight w:val="none"/>
          <w:lang w:val="en-US" w:eastAsia="zh-CN"/>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6212C4CF">
      <w:pPr>
        <w:keepNext w:val="0"/>
        <w:keepLines w:val="0"/>
        <w:pageBreakBefore w:val="0"/>
        <w:widowControl/>
        <w:numPr>
          <w:ilvl w:val="0"/>
          <w:numId w:val="2"/>
        </w:numPr>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开启</w:t>
      </w:r>
    </w:p>
    <w:p w14:paraId="53219D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时间：</w:t>
      </w:r>
      <w:r>
        <w:rPr>
          <w:rFonts w:hint="eastAsia" w:ascii="宋体" w:hAnsi="宋体" w:eastAsia="宋体" w:cs="宋体"/>
          <w:sz w:val="24"/>
          <w:highlight w:val="none"/>
          <w:lang w:val="zh-TW" w:eastAsia="zh-CN"/>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TW" w:eastAsia="zh-CN"/>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val="zh-TW" w:eastAsia="zh-CN"/>
        </w:rPr>
        <w:t>月</w:t>
      </w:r>
      <w:r>
        <w:rPr>
          <w:rFonts w:hint="eastAsia" w:ascii="宋体" w:hAnsi="宋体" w:cs="宋体"/>
          <w:sz w:val="24"/>
          <w:highlight w:val="none"/>
          <w:lang w:val="en-US" w:eastAsia="zh-CN"/>
        </w:rPr>
        <w:t xml:space="preserve"> 27</w:t>
      </w:r>
      <w:r>
        <w:rPr>
          <w:rFonts w:hint="eastAsia" w:ascii="宋体" w:hAnsi="宋体" w:eastAsia="宋体" w:cs="宋体"/>
          <w:sz w:val="24"/>
          <w:highlight w:val="none"/>
          <w:lang w:val="zh-TW" w:eastAsia="zh-CN"/>
        </w:rPr>
        <w:t>日上午</w:t>
      </w:r>
      <w:r>
        <w:rPr>
          <w:rFonts w:hint="eastAsia" w:ascii="宋体" w:hAnsi="宋体" w:eastAsia="宋体" w:cs="宋体"/>
          <w:sz w:val="24"/>
          <w:highlight w:val="none"/>
          <w:lang w:val="en-US" w:eastAsia="zh-CN"/>
        </w:rPr>
        <w:t>09</w:t>
      </w:r>
      <w:r>
        <w:rPr>
          <w:rFonts w:hint="eastAsia" w:ascii="宋体" w:hAnsi="宋体" w:eastAsia="宋体" w:cs="宋体"/>
          <w:sz w:val="24"/>
          <w:highlight w:val="none"/>
          <w:lang w:val="zh-TW" w:eastAsia="zh-CN"/>
        </w:rPr>
        <w:t>时30分</w:t>
      </w:r>
      <w:r>
        <w:rPr>
          <w:rFonts w:hint="eastAsia" w:ascii="宋体" w:hAnsi="宋体" w:eastAsia="宋体" w:cs="宋体"/>
          <w:sz w:val="24"/>
          <w:highlight w:val="none"/>
          <w:lang w:val="zh-TW" w:eastAsia="zh-TW"/>
        </w:rPr>
        <w:t>（北京时间）</w:t>
      </w:r>
    </w:p>
    <w:p w14:paraId="575DAF66">
      <w:pPr>
        <w:widowControl/>
        <w:wordWrap w:val="0"/>
        <w:spacing w:before="0" w:beforeAutospacing="0" w:after="0" w:afterAutospacing="0" w:line="360" w:lineRule="auto"/>
        <w:ind w:firstLine="420"/>
        <w:jc w:val="left"/>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7B59079F">
      <w:pPr>
        <w:keepNext w:val="0"/>
        <w:keepLines w:val="0"/>
        <w:pageBreakBefore w:val="0"/>
        <w:widowControl w:val="0"/>
        <w:shd w:val="clear" w:color="auto" w:fill="auto"/>
        <w:kinsoku/>
        <w:wordWrap w:val="0"/>
        <w:overflowPunct/>
        <w:topLinePunct w:val="0"/>
        <w:autoSpaceDE/>
        <w:autoSpaceDN/>
        <w:bidi w:val="0"/>
        <w:adjustRightInd/>
        <w:snapToGrid/>
        <w:spacing w:after="0" w:line="480" w:lineRule="exact"/>
        <w:ind w:firstLine="482" w:firstLineChars="200"/>
        <w:jc w:val="left"/>
        <w:textAlignment w:val="auto"/>
        <w:rPr>
          <w:rFonts w:hint="eastAsia" w:ascii="宋体" w:hAnsi="宋体" w:eastAsia="宋体" w:cs="宋体"/>
          <w:b/>
          <w:bCs/>
          <w:kern w:val="2"/>
          <w:sz w:val="24"/>
          <w:szCs w:val="24"/>
          <w:highlight w:val="none"/>
          <w:u w:val="none"/>
          <w:shd w:val="clear" w:color="auto" w:fill="auto"/>
          <w:lang w:val="zh-TW" w:eastAsia="zh-TW" w:bidi="zh-TW"/>
        </w:rPr>
      </w:pPr>
      <w:r>
        <w:rPr>
          <w:rFonts w:hint="eastAsia" w:ascii="宋体" w:hAnsi="宋体" w:eastAsia="宋体" w:cs="宋体"/>
          <w:b/>
          <w:bCs/>
          <w:color w:val="000000"/>
          <w:kern w:val="2"/>
          <w:sz w:val="24"/>
          <w:szCs w:val="24"/>
          <w:highlight w:val="none"/>
          <w:u w:val="none"/>
          <w:shd w:val="clear" w:color="auto" w:fill="auto"/>
          <w:lang w:val="zh-TW" w:eastAsia="zh-CN" w:bidi="zh-TW"/>
        </w:rPr>
        <w:t>六、</w:t>
      </w:r>
      <w:r>
        <w:rPr>
          <w:rFonts w:hint="eastAsia" w:ascii="宋体" w:hAnsi="宋体" w:eastAsia="宋体" w:cs="宋体"/>
          <w:b/>
          <w:bCs/>
          <w:color w:val="333333"/>
          <w:kern w:val="2"/>
          <w:sz w:val="24"/>
          <w:szCs w:val="24"/>
          <w:highlight w:val="none"/>
          <w:u w:val="none"/>
          <w:shd w:val="clear" w:color="auto" w:fill="auto"/>
          <w:lang w:val="zh-TW" w:eastAsia="zh-TW" w:bidi="zh-TW"/>
        </w:rPr>
        <w:t>公告期限</w:t>
      </w:r>
    </w:p>
    <w:p w14:paraId="0DDF62B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自本公告发布之日起3个工作日。</w:t>
      </w:r>
    </w:p>
    <w:p w14:paraId="1637BC1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七、其他补充事宜</w:t>
      </w:r>
    </w:p>
    <w:p w14:paraId="2D677CB8">
      <w:pPr>
        <w:pStyle w:val="9"/>
        <w:rPr>
          <w:rFonts w:hint="default"/>
          <w:lang w:val="en-US" w:eastAsia="zh-CN"/>
        </w:rPr>
      </w:pPr>
      <w:r>
        <w:rPr>
          <w:rFonts w:hint="eastAsia"/>
          <w:lang w:val="en-US" w:eastAsia="zh-CN"/>
        </w:rPr>
        <w:t>/</w:t>
      </w:r>
    </w:p>
    <w:p w14:paraId="59D1A07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八、对本次采购提出询问，请按以下方式联系。 </w:t>
      </w:r>
    </w:p>
    <w:p w14:paraId="3E8A40A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1.采购人信息</w:t>
      </w:r>
    </w:p>
    <w:p w14:paraId="2E1CF8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名称：杨凌示范区消防救援支队新区大队</w:t>
      </w:r>
    </w:p>
    <w:p w14:paraId="7F4311DC">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地址：杨凌示范区水运西路与自贸大街东南角杨凌示范区消防救援支队新区大队</w:t>
      </w:r>
    </w:p>
    <w:p w14:paraId="4D674B2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联系方式：029-87033806</w:t>
      </w:r>
    </w:p>
    <w:p w14:paraId="77413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2.采购代理机构信息</w:t>
      </w:r>
    </w:p>
    <w:p w14:paraId="1608CFB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名称：陕西玖聚常安咨询有限公司  </w:t>
      </w:r>
    </w:p>
    <w:p w14:paraId="204BE06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联系地址：陕西省西安市经济技术开发区凤城十二路富北高银28幢2单元1718</w:t>
      </w:r>
    </w:p>
    <w:p w14:paraId="36F448B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联系方式：18202984436 </w:t>
      </w:r>
    </w:p>
    <w:p w14:paraId="28EA606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3.项目联系方式</w:t>
      </w:r>
    </w:p>
    <w:p w14:paraId="01BDE2E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项目联系人：闫工</w:t>
      </w:r>
    </w:p>
    <w:p w14:paraId="5E7C9DE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电 话：18202984436 </w:t>
      </w:r>
    </w:p>
    <w:p w14:paraId="629D3D0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p>
    <w:p w14:paraId="15CE0C5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righ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陕西玖聚常安咨询有限公司  </w:t>
      </w:r>
    </w:p>
    <w:p w14:paraId="028DFDA4">
      <w:pPr>
        <w:keepNext w:val="0"/>
        <w:keepLines w:val="0"/>
        <w:pageBreakBefore w:val="0"/>
        <w:kinsoku/>
        <w:overflowPunct/>
        <w:topLinePunct w:val="0"/>
        <w:autoSpaceDE/>
        <w:autoSpaceDN/>
        <w:bidi w:val="0"/>
        <w:adjustRightInd/>
        <w:snapToGrid/>
        <w:spacing w:line="360" w:lineRule="auto"/>
        <w:jc w:val="right"/>
        <w:textAlignment w:val="auto"/>
      </w:pPr>
      <w:r>
        <w:rPr>
          <w:rFonts w:hint="eastAsia" w:ascii="宋体" w:hAnsi="宋体" w:eastAsia="宋体" w:cs="宋体"/>
          <w:sz w:val="24"/>
          <w:highlight w:val="none"/>
          <w:lang w:val="en-US" w:eastAsia="zh-CN"/>
        </w:rPr>
        <w:t xml:space="preserve">                                             2025年11月</w:t>
      </w:r>
      <w:r>
        <w:rPr>
          <w:rFonts w:hint="eastAsia" w:ascii="宋体" w:hAnsi="宋体" w:cs="宋体"/>
          <w:sz w:val="24"/>
          <w:highlight w:val="none"/>
          <w:lang w:val="en-US" w:eastAsia="zh-CN"/>
        </w:rPr>
        <w:t>14</w:t>
      </w:r>
      <w:r>
        <w:rPr>
          <w:rFonts w:hint="eastAsia" w:ascii="宋体" w:hAnsi="宋体" w:eastAsia="宋体" w:cs="宋体"/>
          <w:sz w:val="24"/>
          <w:highlight w:val="none"/>
          <w:lang w:val="en-US" w:eastAsia="zh-CN"/>
        </w:rPr>
        <w:t>日</w:t>
      </w:r>
    </w:p>
    <w:p w14:paraId="348478AB">
      <w:pPr>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第二章 竞争性磋商须知</w:t>
      </w:r>
    </w:p>
    <w:p w14:paraId="1267E814">
      <w:pPr>
        <w:pStyle w:val="2"/>
        <w:numPr>
          <w:ilvl w:val="0"/>
          <w:numId w:val="0"/>
        </w:numPr>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（一）竞争性磋商须知前附表</w:t>
      </w:r>
    </w:p>
    <w:tbl>
      <w:tblPr>
        <w:tblStyle w:val="17"/>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2142"/>
        <w:gridCol w:w="6588"/>
      </w:tblGrid>
      <w:tr w14:paraId="49D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61" w:type="dxa"/>
            <w:noWrap w:val="0"/>
            <w:vAlign w:val="center"/>
          </w:tcPr>
          <w:p w14:paraId="42EDDA8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序号 </w:t>
            </w:r>
          </w:p>
        </w:tc>
        <w:tc>
          <w:tcPr>
            <w:tcW w:w="2142" w:type="dxa"/>
            <w:noWrap w:val="0"/>
            <w:vAlign w:val="center"/>
          </w:tcPr>
          <w:p w14:paraId="106A626D">
            <w:pPr>
              <w:pStyle w:val="19"/>
              <w:spacing w:line="400" w:lineRule="exact"/>
              <w:ind w:left="38"/>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条款名称 </w:t>
            </w:r>
          </w:p>
        </w:tc>
        <w:tc>
          <w:tcPr>
            <w:tcW w:w="6588" w:type="dxa"/>
            <w:noWrap w:val="0"/>
            <w:vAlign w:val="center"/>
          </w:tcPr>
          <w:p w14:paraId="37760D1E">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说明和要求</w:t>
            </w:r>
          </w:p>
        </w:tc>
      </w:tr>
      <w:tr w14:paraId="3376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C6849F6">
            <w:pPr>
              <w:pStyle w:val="19"/>
              <w:spacing w:line="400" w:lineRule="exact"/>
              <w:ind w:right="230"/>
              <w:jc w:val="right"/>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2142" w:type="dxa"/>
            <w:noWrap w:val="0"/>
            <w:vAlign w:val="center"/>
          </w:tcPr>
          <w:p w14:paraId="2A6D06BA">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采购人</w:t>
            </w:r>
          </w:p>
        </w:tc>
        <w:tc>
          <w:tcPr>
            <w:tcW w:w="6588" w:type="dxa"/>
            <w:noWrap w:val="0"/>
            <w:vAlign w:val="center"/>
          </w:tcPr>
          <w:p w14:paraId="5A9A8323">
            <w:pPr>
              <w:ind w:firstLine="210" w:firstLineChars="1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 xml:space="preserve">名  </w:t>
            </w:r>
            <w:r>
              <w:rPr>
                <w:rFonts w:hint="eastAsia" w:ascii="宋体" w:hAnsi="宋体" w:eastAsia="宋体" w:cs="宋体"/>
                <w:kern w:val="2"/>
                <w:sz w:val="21"/>
                <w:szCs w:val="21"/>
                <w:lang w:val="en-US" w:eastAsia="zh-CN" w:bidi="ar-SA"/>
              </w:rPr>
              <w:t>称：</w:t>
            </w:r>
            <w:r>
              <w:rPr>
                <w:rFonts w:hint="eastAsia" w:ascii="宋体" w:hAnsi="宋体" w:cs="宋体"/>
                <w:kern w:val="2"/>
                <w:sz w:val="21"/>
                <w:szCs w:val="21"/>
                <w:lang w:val="en-US" w:eastAsia="zh-CN" w:bidi="ar-SA"/>
              </w:rPr>
              <w:t>杨凌示范区消防救援支队新区大队</w:t>
            </w:r>
          </w:p>
        </w:tc>
      </w:tr>
      <w:tr w14:paraId="581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69F056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2142" w:type="dxa"/>
            <w:noWrap w:val="0"/>
            <w:vAlign w:val="center"/>
          </w:tcPr>
          <w:p w14:paraId="6ACBA7E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采购代理机构</w:t>
            </w:r>
          </w:p>
        </w:tc>
        <w:tc>
          <w:tcPr>
            <w:tcW w:w="6588" w:type="dxa"/>
            <w:noWrap w:val="0"/>
            <w:vAlign w:val="center"/>
          </w:tcPr>
          <w:p w14:paraId="450C99B9">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名  称：</w:t>
            </w:r>
            <w:r>
              <w:rPr>
                <w:rFonts w:hint="eastAsia" w:ascii="宋体" w:hAnsi="宋体" w:eastAsia="宋体" w:cs="宋体"/>
                <w:kern w:val="2"/>
                <w:sz w:val="21"/>
                <w:szCs w:val="21"/>
                <w:lang w:eastAsia="zh-CN"/>
              </w:rPr>
              <w:t xml:space="preserve">陕西玖聚常安咨询有限公司  </w:t>
            </w:r>
            <w:r>
              <w:rPr>
                <w:rFonts w:hint="eastAsia" w:ascii="宋体" w:hAnsi="宋体" w:eastAsia="宋体" w:cs="宋体"/>
                <w:kern w:val="2"/>
                <w:sz w:val="21"/>
                <w:szCs w:val="21"/>
              </w:rPr>
              <w:t xml:space="preserve"> </w:t>
            </w:r>
          </w:p>
          <w:p w14:paraId="2BE1AEBA">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rPr>
              <w:t>地  址：陕西省西安市经济技术开发区凤城十二路富北高银28幢2单元1718室</w:t>
            </w:r>
          </w:p>
          <w:p w14:paraId="44E347E2">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联系方式：</w:t>
            </w:r>
            <w:r>
              <w:rPr>
                <w:rFonts w:hint="eastAsia" w:ascii="宋体" w:hAnsi="宋体" w:eastAsia="宋体" w:cs="宋体"/>
                <w:kern w:val="2"/>
                <w:sz w:val="21"/>
                <w:szCs w:val="21"/>
                <w:lang w:eastAsia="zh-CN"/>
              </w:rPr>
              <w:t xml:space="preserve">18202984436 </w:t>
            </w:r>
            <w:r>
              <w:rPr>
                <w:rFonts w:hint="eastAsia" w:ascii="宋体" w:hAnsi="宋体" w:eastAsia="宋体" w:cs="宋体"/>
                <w:kern w:val="2"/>
                <w:sz w:val="21"/>
                <w:szCs w:val="21"/>
              </w:rPr>
              <w:t xml:space="preserve">   </w:t>
            </w:r>
          </w:p>
        </w:tc>
      </w:tr>
      <w:tr w14:paraId="28C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122BB1C">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2142" w:type="dxa"/>
            <w:noWrap w:val="0"/>
            <w:vAlign w:val="center"/>
          </w:tcPr>
          <w:p w14:paraId="3C1D440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采购项目名称</w:t>
            </w:r>
          </w:p>
        </w:tc>
        <w:tc>
          <w:tcPr>
            <w:tcW w:w="6588" w:type="dxa"/>
            <w:noWrap w:val="0"/>
            <w:vAlign w:val="center"/>
          </w:tcPr>
          <w:p w14:paraId="5FFB469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杨凌示范区消防救援支队新区大队厨房劳务外包项目</w:t>
            </w:r>
          </w:p>
        </w:tc>
      </w:tr>
      <w:tr w14:paraId="15C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80B5F7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2142" w:type="dxa"/>
            <w:noWrap w:val="0"/>
            <w:vAlign w:val="center"/>
          </w:tcPr>
          <w:p w14:paraId="0550C17E">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采购项目编号</w:t>
            </w:r>
          </w:p>
        </w:tc>
        <w:tc>
          <w:tcPr>
            <w:tcW w:w="6588" w:type="dxa"/>
            <w:noWrap w:val="0"/>
            <w:vAlign w:val="center"/>
          </w:tcPr>
          <w:p w14:paraId="24BC84E9">
            <w:pPr>
              <w:spacing w:line="400" w:lineRule="exact"/>
              <w:ind w:firstLine="210" w:firstLineChars="1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 xml:space="preserve">JJZB-2025007 </w:t>
            </w:r>
          </w:p>
        </w:tc>
      </w:tr>
      <w:tr w14:paraId="0BB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648355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2142" w:type="dxa"/>
            <w:noWrap w:val="0"/>
            <w:vAlign w:val="center"/>
          </w:tcPr>
          <w:p w14:paraId="36018222">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资金来源</w:t>
            </w:r>
          </w:p>
        </w:tc>
        <w:tc>
          <w:tcPr>
            <w:tcW w:w="6588" w:type="dxa"/>
            <w:noWrap w:val="0"/>
            <w:vAlign w:val="center"/>
          </w:tcPr>
          <w:p w14:paraId="62384E0F">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37C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788CED6">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6</w:t>
            </w:r>
          </w:p>
        </w:tc>
        <w:tc>
          <w:tcPr>
            <w:tcW w:w="2142" w:type="dxa"/>
            <w:noWrap w:val="0"/>
            <w:vAlign w:val="center"/>
          </w:tcPr>
          <w:p w14:paraId="5E5FC6C0">
            <w:pPr>
              <w:pStyle w:val="19"/>
              <w:spacing w:line="400" w:lineRule="exact"/>
              <w:ind w:left="9"/>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采购预算</w:t>
            </w:r>
          </w:p>
        </w:tc>
        <w:tc>
          <w:tcPr>
            <w:tcW w:w="6588" w:type="dxa"/>
            <w:noWrap w:val="0"/>
            <w:vAlign w:val="center"/>
          </w:tcPr>
          <w:p w14:paraId="0B58094E">
            <w:pPr>
              <w:pStyle w:val="19"/>
              <w:spacing w:line="400" w:lineRule="exact"/>
              <w:ind w:firstLine="210" w:firstLineChars="1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本项目采购预算：252428.40 元</w:t>
            </w:r>
          </w:p>
          <w:p w14:paraId="2CCDC875">
            <w:pPr>
              <w:pStyle w:val="19"/>
              <w:spacing w:line="400" w:lineRule="exact"/>
              <w:ind w:firstLine="210" w:firstLineChars="100"/>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磋商供应商报价超出采购预算的，作为不实质性响应磋商文件，按无效磋商处理。</w:t>
            </w:r>
          </w:p>
        </w:tc>
      </w:tr>
      <w:tr w14:paraId="428F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8D38EC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7</w:t>
            </w:r>
          </w:p>
        </w:tc>
        <w:tc>
          <w:tcPr>
            <w:tcW w:w="2142" w:type="dxa"/>
            <w:noWrap w:val="0"/>
            <w:vAlign w:val="center"/>
          </w:tcPr>
          <w:p w14:paraId="473E333D">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采购方式</w:t>
            </w:r>
          </w:p>
        </w:tc>
        <w:tc>
          <w:tcPr>
            <w:tcW w:w="6588" w:type="dxa"/>
            <w:noWrap w:val="0"/>
            <w:vAlign w:val="center"/>
          </w:tcPr>
          <w:p w14:paraId="1CB44C37">
            <w:pPr>
              <w:pStyle w:val="19"/>
              <w:spacing w:line="400" w:lineRule="exact"/>
              <w:ind w:firstLine="210" w:firstLineChars="1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竞争性磋商</w:t>
            </w:r>
          </w:p>
        </w:tc>
      </w:tr>
      <w:tr w14:paraId="2BF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FD520F">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8</w:t>
            </w:r>
          </w:p>
        </w:tc>
        <w:tc>
          <w:tcPr>
            <w:tcW w:w="2142" w:type="dxa"/>
            <w:noWrap w:val="0"/>
            <w:vAlign w:val="center"/>
          </w:tcPr>
          <w:p w14:paraId="58107B65">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采购内容</w:t>
            </w:r>
          </w:p>
        </w:tc>
        <w:tc>
          <w:tcPr>
            <w:tcW w:w="6588" w:type="dxa"/>
            <w:noWrap w:val="0"/>
            <w:vAlign w:val="center"/>
          </w:tcPr>
          <w:p w14:paraId="62CC1C0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新区大队厨房劳务外包，具体详见竞争性磋商文件。</w:t>
            </w:r>
          </w:p>
        </w:tc>
      </w:tr>
      <w:tr w14:paraId="7D5C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89944D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9</w:t>
            </w:r>
          </w:p>
        </w:tc>
        <w:tc>
          <w:tcPr>
            <w:tcW w:w="2142" w:type="dxa"/>
            <w:noWrap w:val="0"/>
            <w:vAlign w:val="center"/>
          </w:tcPr>
          <w:p w14:paraId="70978EB5">
            <w:pPr>
              <w:pStyle w:val="19"/>
              <w:spacing w:line="400" w:lineRule="exact"/>
              <w:ind w:left="9"/>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服务周期</w:t>
            </w:r>
          </w:p>
        </w:tc>
        <w:tc>
          <w:tcPr>
            <w:tcW w:w="6588" w:type="dxa"/>
            <w:noWrap w:val="0"/>
            <w:vAlign w:val="center"/>
          </w:tcPr>
          <w:p w14:paraId="375FACC4">
            <w:pPr>
              <w:pStyle w:val="19"/>
              <w:spacing w:line="40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一年（自合同签订之日起一年，服务期满后由采购人考核，年度考核合格合同一年一签，续签履行合同不超过2次）</w:t>
            </w:r>
          </w:p>
        </w:tc>
      </w:tr>
      <w:tr w14:paraId="18CC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A1FE6A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10</w:t>
            </w:r>
          </w:p>
        </w:tc>
        <w:tc>
          <w:tcPr>
            <w:tcW w:w="2142" w:type="dxa"/>
            <w:noWrap w:val="0"/>
            <w:vAlign w:val="center"/>
          </w:tcPr>
          <w:p w14:paraId="665FF501">
            <w:pPr>
              <w:pStyle w:val="19"/>
              <w:spacing w:line="400" w:lineRule="exact"/>
              <w:ind w:left="9"/>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磋商文件</w:t>
            </w:r>
            <w:r>
              <w:rPr>
                <w:rFonts w:hint="eastAsia" w:ascii="宋体" w:hAnsi="宋体" w:eastAsia="宋体" w:cs="宋体"/>
                <w:kern w:val="2"/>
                <w:sz w:val="21"/>
                <w:szCs w:val="21"/>
                <w:lang w:eastAsia="zh-CN"/>
              </w:rPr>
              <w:t>获取</w:t>
            </w:r>
          </w:p>
        </w:tc>
        <w:tc>
          <w:tcPr>
            <w:tcW w:w="6588" w:type="dxa"/>
            <w:noWrap w:val="0"/>
            <w:vAlign w:val="top"/>
          </w:tcPr>
          <w:p w14:paraId="3ADD4F28">
            <w:pPr>
              <w:spacing w:line="400" w:lineRule="exact"/>
              <w:ind w:right="140" w:rightChars="50"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获取时间：202</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 xml:space="preserve"> 17</w:t>
            </w:r>
            <w:r>
              <w:rPr>
                <w:rFonts w:hint="eastAsia" w:ascii="宋体" w:hAnsi="宋体" w:eastAsia="宋体" w:cs="宋体"/>
                <w:kern w:val="2"/>
                <w:sz w:val="21"/>
                <w:szCs w:val="21"/>
                <w:lang w:val="en-US" w:eastAsia="zh-CN" w:bidi="ar-SA"/>
              </w:rPr>
              <w:t>日至202</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 xml:space="preserve">21 </w:t>
            </w:r>
            <w:r>
              <w:rPr>
                <w:rFonts w:hint="eastAsia" w:ascii="宋体" w:hAnsi="宋体" w:eastAsia="宋体" w:cs="宋体"/>
                <w:kern w:val="2"/>
                <w:sz w:val="21"/>
                <w:szCs w:val="21"/>
                <w:lang w:val="en-US" w:eastAsia="zh-CN" w:bidi="ar-SA"/>
              </w:rPr>
              <w:t xml:space="preserve">日(法定节假日除外)上午9:00-12:00，下午：14:00-17:00（北京时间）       </w:t>
            </w:r>
          </w:p>
          <w:p w14:paraId="12E2B833">
            <w:pPr>
              <w:spacing w:line="400" w:lineRule="exact"/>
              <w:ind w:right="140" w:rightChars="50"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获取方式：线上获取</w:t>
            </w:r>
          </w:p>
        </w:tc>
      </w:tr>
      <w:tr w14:paraId="6224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115F57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2142" w:type="dxa"/>
            <w:noWrap w:val="0"/>
            <w:vAlign w:val="center"/>
          </w:tcPr>
          <w:p w14:paraId="2D87F0F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联合体磋商</w:t>
            </w:r>
          </w:p>
        </w:tc>
        <w:tc>
          <w:tcPr>
            <w:tcW w:w="6588" w:type="dxa"/>
            <w:noWrap w:val="0"/>
            <w:vAlign w:val="center"/>
          </w:tcPr>
          <w:p w14:paraId="44D6AC10">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不接受</w:t>
            </w:r>
          </w:p>
        </w:tc>
      </w:tr>
      <w:tr w14:paraId="03C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C06B926">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2142" w:type="dxa"/>
            <w:noWrap w:val="0"/>
            <w:vAlign w:val="center"/>
          </w:tcPr>
          <w:p w14:paraId="4A0B35A7">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考察现场、标前答疑会</w:t>
            </w:r>
          </w:p>
        </w:tc>
        <w:tc>
          <w:tcPr>
            <w:tcW w:w="6588" w:type="dxa"/>
            <w:noWrap w:val="0"/>
            <w:vAlign w:val="center"/>
          </w:tcPr>
          <w:p w14:paraId="59BD226B">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不组织。采购单位认为有必要，另行书面通知。</w:t>
            </w:r>
          </w:p>
        </w:tc>
      </w:tr>
      <w:tr w14:paraId="0A99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2F7803A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2142" w:type="dxa"/>
            <w:noWrap w:val="0"/>
            <w:vAlign w:val="center"/>
          </w:tcPr>
          <w:p w14:paraId="2277B20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构成竞争性磋商采购文件的其他文件</w:t>
            </w:r>
          </w:p>
        </w:tc>
        <w:tc>
          <w:tcPr>
            <w:tcW w:w="6588" w:type="dxa"/>
            <w:noWrap w:val="0"/>
            <w:vAlign w:val="center"/>
          </w:tcPr>
          <w:p w14:paraId="08A89C0D">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竞争性磋商采购文件的澄清、修改书及有关补充通知为竞争性磋商采购文件的有效组成部分。</w:t>
            </w:r>
          </w:p>
        </w:tc>
      </w:tr>
      <w:tr w14:paraId="275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235747E">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2142" w:type="dxa"/>
            <w:noWrap w:val="0"/>
            <w:vAlign w:val="center"/>
          </w:tcPr>
          <w:p w14:paraId="7A525557">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磋商截止时间</w:t>
            </w:r>
          </w:p>
        </w:tc>
        <w:tc>
          <w:tcPr>
            <w:tcW w:w="6588" w:type="dxa"/>
            <w:noWrap w:val="0"/>
            <w:vAlign w:val="center"/>
          </w:tcPr>
          <w:p w14:paraId="067585A4">
            <w:pPr>
              <w:pStyle w:val="19"/>
              <w:spacing w:line="400" w:lineRule="exact"/>
              <w:ind w:firstLine="210" w:firstLineChars="1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202</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年</w:t>
            </w: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lang w:eastAsia="zh-CN"/>
              </w:rPr>
              <w:t>月</w:t>
            </w:r>
            <w:r>
              <w:rPr>
                <w:rFonts w:hint="eastAsia" w:ascii="宋体" w:hAnsi="宋体" w:eastAsia="宋体" w:cs="宋体"/>
                <w:kern w:val="2"/>
                <w:sz w:val="21"/>
                <w:szCs w:val="21"/>
                <w:lang w:val="en-US" w:eastAsia="zh-CN"/>
              </w:rPr>
              <w:t>27</w:t>
            </w:r>
            <w:r>
              <w:rPr>
                <w:rFonts w:hint="eastAsia" w:ascii="宋体" w:hAnsi="宋体" w:eastAsia="宋体" w:cs="宋体"/>
                <w:kern w:val="2"/>
                <w:sz w:val="21"/>
                <w:szCs w:val="21"/>
                <w:lang w:eastAsia="zh-CN"/>
              </w:rPr>
              <w:t>日上午</w:t>
            </w:r>
            <w:r>
              <w:rPr>
                <w:rFonts w:hint="eastAsia" w:ascii="宋体" w:hAnsi="宋体" w:eastAsia="宋体" w:cs="宋体"/>
                <w:kern w:val="2"/>
                <w:sz w:val="21"/>
                <w:szCs w:val="21"/>
                <w:lang w:val="en-US" w:eastAsia="zh-CN"/>
              </w:rPr>
              <w:t>09</w:t>
            </w:r>
            <w:r>
              <w:rPr>
                <w:rFonts w:hint="eastAsia" w:ascii="宋体" w:hAnsi="宋体" w:eastAsia="宋体" w:cs="宋体"/>
                <w:kern w:val="2"/>
                <w:sz w:val="21"/>
                <w:szCs w:val="21"/>
                <w:lang w:eastAsia="zh-CN"/>
              </w:rPr>
              <w:t>时30分</w:t>
            </w:r>
          </w:p>
        </w:tc>
      </w:tr>
      <w:tr w14:paraId="5E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6B795E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2142" w:type="dxa"/>
            <w:noWrap w:val="0"/>
            <w:vAlign w:val="center"/>
          </w:tcPr>
          <w:p w14:paraId="0518F7F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磋商有效期</w:t>
            </w:r>
          </w:p>
        </w:tc>
        <w:tc>
          <w:tcPr>
            <w:tcW w:w="6588" w:type="dxa"/>
            <w:noWrap w:val="0"/>
            <w:vAlign w:val="center"/>
          </w:tcPr>
          <w:p w14:paraId="573708B9">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从磋商截止日起90日历天。</w:t>
            </w:r>
          </w:p>
        </w:tc>
      </w:tr>
      <w:tr w14:paraId="74DE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7C0DA3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19</w:t>
            </w:r>
          </w:p>
        </w:tc>
        <w:tc>
          <w:tcPr>
            <w:tcW w:w="2142" w:type="dxa"/>
            <w:noWrap w:val="0"/>
            <w:vAlign w:val="center"/>
          </w:tcPr>
          <w:p w14:paraId="4BF991B6">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磋商保证金</w:t>
            </w:r>
          </w:p>
        </w:tc>
        <w:tc>
          <w:tcPr>
            <w:tcW w:w="6588" w:type="dxa"/>
            <w:noWrap w:val="0"/>
            <w:vAlign w:val="center"/>
          </w:tcPr>
          <w:p w14:paraId="30E92DB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磋商保证金金额：人民币</w:t>
            </w:r>
            <w:r>
              <w:rPr>
                <w:rFonts w:hint="eastAsia" w:ascii="宋体" w:hAnsi="宋体" w:cs="宋体"/>
                <w:b/>
                <w:bCs/>
                <w:sz w:val="21"/>
                <w:szCs w:val="21"/>
                <w:highlight w:val="none"/>
                <w:lang w:eastAsia="zh-CN"/>
              </w:rPr>
              <w:t>肆仟</w:t>
            </w:r>
            <w:r>
              <w:rPr>
                <w:rFonts w:hint="eastAsia" w:ascii="宋体" w:hAnsi="宋体" w:eastAsia="宋体" w:cs="宋体"/>
                <w:b/>
                <w:bCs/>
                <w:sz w:val="21"/>
                <w:szCs w:val="21"/>
                <w:highlight w:val="none"/>
                <w:lang w:eastAsia="zh-CN"/>
              </w:rPr>
              <w:t>元整（￥</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000.00</w:t>
            </w:r>
            <w:r>
              <w:rPr>
                <w:rFonts w:hint="eastAsia" w:ascii="宋体" w:hAnsi="宋体" w:eastAsia="宋体" w:cs="宋体"/>
                <w:b/>
                <w:bCs/>
                <w:sz w:val="21"/>
                <w:szCs w:val="21"/>
                <w:highlight w:val="none"/>
                <w:lang w:eastAsia="zh-CN"/>
              </w:rPr>
              <w:t>元）</w:t>
            </w:r>
          </w:p>
          <w:p w14:paraId="09746DD5">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保证金缴纳形式有以下三种：</w:t>
            </w:r>
          </w:p>
          <w:p w14:paraId="5433F8C8">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磋商保证金应使用人民币，以银行转账的形式提交。银行转账可以采取支票、电汇、网银、汇票、本票等方式，均应从基本账户转出。供应商在交纳保证金时应注明项目名称，并应确保在磋商截止时间前到达采购代理机构指定账户。</w:t>
            </w:r>
          </w:p>
          <w:p w14:paraId="5E7FBDB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退还方式：转账</w:t>
            </w:r>
          </w:p>
          <w:p w14:paraId="3FAF1083">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收取保证金单位名称：陕西玖聚常安咨询有限公司</w:t>
            </w:r>
          </w:p>
          <w:p w14:paraId="4083CA1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账号：61050193020000001408</w:t>
            </w:r>
          </w:p>
          <w:p w14:paraId="102B711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开户行：建设银行凤城六路支行</w:t>
            </w:r>
          </w:p>
          <w:p w14:paraId="56435A6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2、银行保函</w:t>
            </w:r>
          </w:p>
          <w:p w14:paraId="4B2890B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（1）供应商基本账户开户行；</w:t>
            </w:r>
          </w:p>
          <w:p w14:paraId="35D22D6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（2）地市级以上有信誉的国家或股份制商业银行的分行或支行。</w:t>
            </w:r>
          </w:p>
          <w:p w14:paraId="35C4FDA1">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3、信用担保</w:t>
            </w:r>
          </w:p>
          <w:p w14:paraId="3EB760D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以信用担保函形式交纳保证金，必须是陕西省财政部门认定的具有开具响应保函资格的单位开具的保函。</w:t>
            </w:r>
          </w:p>
          <w:p w14:paraId="0A73CCC7">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注：（1）供应商可自行选择提交保证金的形式，但必须体现项目名称，未按规定交纳的视为自动放弃本次磋商。以银行保函形式递交保证金的，供应商违约，开具保函单位的单位承担连带责任。</w:t>
            </w:r>
          </w:p>
          <w:p w14:paraId="2BB459DE">
            <w:pPr>
              <w:spacing w:line="400" w:lineRule="exact"/>
              <w:ind w:right="168" w:rightChars="60" w:firstLine="279"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val="0"/>
                <w:bCs w:val="0"/>
                <w:sz w:val="21"/>
                <w:szCs w:val="21"/>
                <w:highlight w:val="none"/>
                <w:lang w:eastAsia="zh-CN"/>
              </w:rPr>
              <w:t>（2）采用银行转账形式的供应商应在磋商保证金的递交截止时间之前,将磋商保证金由供应商的基本账户一次性汇入采购代理机构账户</w:t>
            </w:r>
            <w:r>
              <w:rPr>
                <w:rFonts w:hint="eastAsia" w:ascii="宋体" w:hAnsi="宋体" w:eastAsia="宋体" w:cs="宋体"/>
                <w:b w:val="0"/>
                <w:bCs w:val="0"/>
                <w:sz w:val="21"/>
                <w:szCs w:val="21"/>
                <w:highlight w:val="none"/>
                <w:lang w:val="en-US" w:eastAsia="zh-CN"/>
              </w:rPr>
              <w:t>。</w:t>
            </w:r>
          </w:p>
        </w:tc>
      </w:tr>
      <w:tr w14:paraId="76C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777A68A">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20</w:t>
            </w:r>
          </w:p>
        </w:tc>
        <w:tc>
          <w:tcPr>
            <w:tcW w:w="2142" w:type="dxa"/>
            <w:noWrap w:val="0"/>
            <w:vAlign w:val="center"/>
          </w:tcPr>
          <w:p w14:paraId="29649CE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备选磋商方案和报价</w:t>
            </w:r>
          </w:p>
        </w:tc>
        <w:tc>
          <w:tcPr>
            <w:tcW w:w="6588" w:type="dxa"/>
            <w:noWrap w:val="0"/>
            <w:vAlign w:val="center"/>
          </w:tcPr>
          <w:p w14:paraId="0C21BC21">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不接受备选磋商方案和多个报价。</w:t>
            </w:r>
          </w:p>
        </w:tc>
      </w:tr>
      <w:tr w14:paraId="4B4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AADE47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21</w:t>
            </w:r>
          </w:p>
        </w:tc>
        <w:tc>
          <w:tcPr>
            <w:tcW w:w="2142" w:type="dxa"/>
            <w:noWrap w:val="0"/>
            <w:vAlign w:val="center"/>
          </w:tcPr>
          <w:p w14:paraId="7D300328">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签字盖章</w:t>
            </w:r>
          </w:p>
        </w:tc>
        <w:tc>
          <w:tcPr>
            <w:tcW w:w="6588" w:type="dxa"/>
            <w:noWrap w:val="0"/>
            <w:vAlign w:val="center"/>
          </w:tcPr>
          <w:p w14:paraId="69A9016F">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磋商供应商必须按照竞争性磋商采购文件的规定和要求签字、盖章。</w:t>
            </w:r>
          </w:p>
        </w:tc>
      </w:tr>
      <w:tr w14:paraId="29A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9526C90">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22</w:t>
            </w:r>
          </w:p>
        </w:tc>
        <w:tc>
          <w:tcPr>
            <w:tcW w:w="2142" w:type="dxa"/>
            <w:noWrap w:val="0"/>
            <w:vAlign w:val="center"/>
          </w:tcPr>
          <w:p w14:paraId="54F1E135">
            <w:pPr>
              <w:pStyle w:val="19"/>
              <w:spacing w:line="400" w:lineRule="exact"/>
              <w:ind w:firstLine="12" w:firstLineChars="6"/>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磋商响应文件份数</w:t>
            </w:r>
          </w:p>
        </w:tc>
        <w:tc>
          <w:tcPr>
            <w:tcW w:w="6588" w:type="dxa"/>
            <w:noWrap w:val="0"/>
            <w:vAlign w:val="center"/>
          </w:tcPr>
          <w:p w14:paraId="4DA971D6">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正本1份；副本2份；</w:t>
            </w:r>
            <w:r>
              <w:rPr>
                <w:rFonts w:hint="eastAsia" w:ascii="宋体" w:hAnsi="宋体" w:eastAsia="宋体" w:cs="宋体"/>
                <w:b/>
                <w:kern w:val="2"/>
                <w:sz w:val="21"/>
                <w:szCs w:val="21"/>
              </w:rPr>
              <w:t>电子文件（</w:t>
            </w:r>
            <w:r>
              <w:rPr>
                <w:rFonts w:hint="eastAsia" w:ascii="宋体" w:hAnsi="宋体" w:eastAsia="宋体" w:cs="宋体"/>
                <w:b/>
                <w:kern w:val="2"/>
                <w:sz w:val="21"/>
                <w:szCs w:val="21"/>
                <w:lang w:val="en-US" w:eastAsia="zh-CN"/>
              </w:rPr>
              <w:t>U</w:t>
            </w:r>
            <w:r>
              <w:rPr>
                <w:rFonts w:hint="eastAsia" w:ascii="宋体" w:hAnsi="宋体" w:eastAsia="宋体" w:cs="宋体"/>
                <w:b/>
                <w:kern w:val="2"/>
                <w:sz w:val="21"/>
                <w:szCs w:val="21"/>
              </w:rPr>
              <w:t>盘）2份（电子文件与纸质正本磋商响应文件的内容应保持一致，</w:t>
            </w:r>
            <w:r>
              <w:rPr>
                <w:rFonts w:hint="eastAsia" w:ascii="宋体" w:hAnsi="宋体" w:eastAsia="宋体" w:cs="宋体"/>
                <w:b/>
                <w:sz w:val="21"/>
                <w:szCs w:val="21"/>
              </w:rPr>
              <w:t>注明供应商名称、项目编号、项目名称</w:t>
            </w:r>
            <w:r>
              <w:rPr>
                <w:rFonts w:hint="eastAsia" w:ascii="宋体" w:hAnsi="宋体" w:eastAsia="宋体" w:cs="宋体"/>
                <w:b/>
                <w:kern w:val="2"/>
                <w:sz w:val="21"/>
                <w:szCs w:val="21"/>
              </w:rPr>
              <w:t>）。</w:t>
            </w:r>
          </w:p>
        </w:tc>
      </w:tr>
      <w:tr w14:paraId="7BB6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043812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23</w:t>
            </w:r>
          </w:p>
        </w:tc>
        <w:tc>
          <w:tcPr>
            <w:tcW w:w="2142" w:type="dxa"/>
            <w:noWrap w:val="0"/>
            <w:vAlign w:val="center"/>
          </w:tcPr>
          <w:p w14:paraId="3EA33DAF">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磋商响应文件的装订</w:t>
            </w:r>
          </w:p>
        </w:tc>
        <w:tc>
          <w:tcPr>
            <w:tcW w:w="6588" w:type="dxa"/>
            <w:noWrap w:val="0"/>
            <w:vAlign w:val="center"/>
          </w:tcPr>
          <w:p w14:paraId="713D168E">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一律采用A4纸装订成册（禁止使用活页），正本和副本分别装订，正本、所有副本用单独密封装袋分别密封，电子版放置正本密封袋中</w:t>
            </w:r>
            <w:r>
              <w:rPr>
                <w:rFonts w:hint="eastAsia" w:ascii="宋体" w:hAnsi="宋体" w:eastAsia="宋体" w:cs="宋体"/>
                <w:sz w:val="21"/>
                <w:szCs w:val="21"/>
              </w:rPr>
              <w:t>。</w:t>
            </w:r>
          </w:p>
        </w:tc>
      </w:tr>
      <w:tr w14:paraId="7FA8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B8D9EAC">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24</w:t>
            </w:r>
          </w:p>
        </w:tc>
        <w:tc>
          <w:tcPr>
            <w:tcW w:w="2142" w:type="dxa"/>
            <w:noWrap w:val="0"/>
            <w:vAlign w:val="center"/>
          </w:tcPr>
          <w:p w14:paraId="28EEDFD0">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磋商响应文件封面的标注</w:t>
            </w:r>
          </w:p>
        </w:tc>
        <w:tc>
          <w:tcPr>
            <w:tcW w:w="6588" w:type="dxa"/>
            <w:noWrap w:val="0"/>
            <w:vAlign w:val="center"/>
          </w:tcPr>
          <w:p w14:paraId="7E60EA1A">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磋商响应文件正本、电子版和副本的封面上均应标明：磋商项目名称、磋商项目编号、磋商供应商名称、年月日；并分别在右上角标明“正本”和“副本”字样。</w:t>
            </w:r>
          </w:p>
        </w:tc>
      </w:tr>
      <w:tr w14:paraId="66F0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9C1FD1B">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25</w:t>
            </w:r>
          </w:p>
        </w:tc>
        <w:tc>
          <w:tcPr>
            <w:tcW w:w="2142" w:type="dxa"/>
            <w:noWrap w:val="0"/>
            <w:vAlign w:val="center"/>
          </w:tcPr>
          <w:p w14:paraId="745DE7D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磋商响应文件外层</w:t>
            </w:r>
          </w:p>
          <w:p w14:paraId="3036EA2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密封袋的标注</w:t>
            </w:r>
          </w:p>
        </w:tc>
        <w:tc>
          <w:tcPr>
            <w:tcW w:w="6588" w:type="dxa"/>
            <w:noWrap w:val="0"/>
            <w:vAlign w:val="center"/>
          </w:tcPr>
          <w:p w14:paraId="244E6BDC">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磋商项目名称、磋商项目编号、磋商供应商全称（公章）、年月日、“正本”、“副本”内容，再加封条密封，在封线处加盖公章及法人印章（骑缝章）。</w:t>
            </w:r>
          </w:p>
        </w:tc>
      </w:tr>
      <w:tr w14:paraId="6A6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89B88E7">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27</w:t>
            </w:r>
          </w:p>
        </w:tc>
        <w:tc>
          <w:tcPr>
            <w:tcW w:w="2142" w:type="dxa"/>
            <w:noWrap w:val="0"/>
            <w:vAlign w:val="center"/>
          </w:tcPr>
          <w:p w14:paraId="6680192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递交磋商响应文件地点</w:t>
            </w:r>
          </w:p>
        </w:tc>
        <w:tc>
          <w:tcPr>
            <w:tcW w:w="6588" w:type="dxa"/>
            <w:noWrap w:val="0"/>
            <w:vAlign w:val="center"/>
          </w:tcPr>
          <w:p w14:paraId="7D1D66F9">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lang w:eastAsia="zh-CN"/>
              </w:rPr>
              <w:t>杨凌自贸大厦11楼1120室（杨陵区杨凌大道辅路与杨凌大道交叉口西南约80米）</w:t>
            </w:r>
          </w:p>
        </w:tc>
      </w:tr>
      <w:tr w14:paraId="467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A7D870">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28</w:t>
            </w:r>
          </w:p>
        </w:tc>
        <w:tc>
          <w:tcPr>
            <w:tcW w:w="2142" w:type="dxa"/>
            <w:noWrap w:val="0"/>
            <w:vAlign w:val="center"/>
          </w:tcPr>
          <w:p w14:paraId="7C9A1888">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磋商时间和地点</w:t>
            </w:r>
          </w:p>
        </w:tc>
        <w:tc>
          <w:tcPr>
            <w:tcW w:w="6588" w:type="dxa"/>
            <w:noWrap w:val="0"/>
            <w:vAlign w:val="center"/>
          </w:tcPr>
          <w:p w14:paraId="2E13C733">
            <w:pPr>
              <w:pStyle w:val="19"/>
              <w:spacing w:line="400" w:lineRule="exact"/>
              <w:ind w:firstLine="210" w:firstLineChars="1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磋商时间：202</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年</w:t>
            </w: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lang w:eastAsia="zh-CN"/>
              </w:rPr>
              <w:t>月</w:t>
            </w:r>
            <w:r>
              <w:rPr>
                <w:rFonts w:hint="eastAsia" w:ascii="宋体" w:hAnsi="宋体" w:eastAsia="宋体" w:cs="宋体"/>
                <w:kern w:val="2"/>
                <w:sz w:val="21"/>
                <w:szCs w:val="21"/>
                <w:lang w:val="en-US" w:eastAsia="zh-CN"/>
              </w:rPr>
              <w:t>27</w:t>
            </w:r>
            <w:r>
              <w:rPr>
                <w:rFonts w:hint="eastAsia" w:ascii="宋体" w:hAnsi="宋体" w:eastAsia="宋体" w:cs="宋体"/>
                <w:kern w:val="2"/>
                <w:sz w:val="21"/>
                <w:szCs w:val="21"/>
                <w:lang w:eastAsia="zh-CN"/>
              </w:rPr>
              <w:t>日上午</w:t>
            </w:r>
            <w:r>
              <w:rPr>
                <w:rFonts w:hint="eastAsia" w:ascii="宋体" w:hAnsi="宋体" w:eastAsia="宋体" w:cs="宋体"/>
                <w:kern w:val="2"/>
                <w:sz w:val="21"/>
                <w:szCs w:val="21"/>
                <w:lang w:val="en-US" w:eastAsia="zh-CN"/>
              </w:rPr>
              <w:t>09</w:t>
            </w:r>
            <w:r>
              <w:rPr>
                <w:rFonts w:hint="eastAsia" w:ascii="宋体" w:hAnsi="宋体" w:eastAsia="宋体" w:cs="宋体"/>
                <w:kern w:val="2"/>
                <w:sz w:val="21"/>
                <w:szCs w:val="21"/>
                <w:lang w:eastAsia="zh-CN"/>
              </w:rPr>
              <w:t>时30分</w:t>
            </w:r>
          </w:p>
          <w:p w14:paraId="111E3F20">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lang w:eastAsia="zh-CN"/>
              </w:rPr>
              <w:t>磋商地点：杨凌自贸大厦11楼1120室（杨陵区杨凌大道辅路与杨凌大道交叉口西南约80米）</w:t>
            </w:r>
          </w:p>
        </w:tc>
      </w:tr>
      <w:tr w14:paraId="5339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560C8F4">
            <w:pPr>
              <w:pStyle w:val="19"/>
              <w:spacing w:line="400" w:lineRule="exact"/>
              <w:ind w:left="9"/>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32</w:t>
            </w:r>
          </w:p>
        </w:tc>
        <w:tc>
          <w:tcPr>
            <w:tcW w:w="2142" w:type="dxa"/>
            <w:noWrap w:val="0"/>
            <w:vAlign w:val="center"/>
          </w:tcPr>
          <w:p w14:paraId="41C07CFC">
            <w:pPr>
              <w:pStyle w:val="19"/>
              <w:spacing w:line="400" w:lineRule="exact"/>
              <w:ind w:left="9" w:leftChars="0"/>
              <w:jc w:val="center"/>
              <w:rPr>
                <w:rFonts w:hint="eastAsia" w:ascii="宋体" w:hAnsi="宋体" w:eastAsia="宋体" w:cs="宋体"/>
                <w:kern w:val="2"/>
                <w:sz w:val="21"/>
                <w:szCs w:val="21"/>
              </w:rPr>
            </w:pPr>
            <w:r>
              <w:rPr>
                <w:rFonts w:hint="eastAsia" w:ascii="宋体" w:hAnsi="宋体" w:eastAsia="宋体" w:cs="宋体"/>
                <w:color w:val="auto"/>
                <w:kern w:val="2"/>
                <w:sz w:val="21"/>
                <w:szCs w:val="21"/>
                <w:lang w:eastAsia="zh-CN"/>
              </w:rPr>
              <w:t>行业划分</w:t>
            </w:r>
          </w:p>
        </w:tc>
        <w:tc>
          <w:tcPr>
            <w:tcW w:w="6588" w:type="dxa"/>
            <w:noWrap w:val="0"/>
            <w:vAlign w:val="center"/>
          </w:tcPr>
          <w:p w14:paraId="0267E71E">
            <w:pPr>
              <w:pStyle w:val="19"/>
              <w:spacing w:line="400" w:lineRule="exact"/>
              <w:ind w:left="9" w:leftChars="0"/>
              <w:jc w:val="left"/>
              <w:rPr>
                <w:rFonts w:hint="eastAsia" w:ascii="宋体" w:hAnsi="宋体" w:eastAsia="宋体" w:cs="宋体"/>
                <w:kern w:val="2"/>
                <w:sz w:val="21"/>
                <w:szCs w:val="21"/>
                <w:lang w:eastAsia="zh-CN"/>
              </w:rPr>
            </w:pP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项目所属行业为</w:t>
            </w:r>
            <w:r>
              <w:rPr>
                <w:rFonts w:hint="eastAsia" w:ascii="宋体" w:hAnsi="宋体" w:eastAsia="宋体" w:cs="宋体"/>
                <w:color w:val="auto"/>
                <w:kern w:val="2"/>
                <w:sz w:val="21"/>
                <w:szCs w:val="21"/>
                <w:u w:val="single"/>
                <w:lang w:eastAsia="zh-CN"/>
              </w:rPr>
              <w:t>餐饮业</w:t>
            </w:r>
          </w:p>
        </w:tc>
      </w:tr>
    </w:tbl>
    <w:p w14:paraId="2D120253">
      <w:pPr>
        <w:pStyle w:val="5"/>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（二）竞争性磋商须知</w:t>
      </w:r>
    </w:p>
    <w:p w14:paraId="052DE74D">
      <w:pPr>
        <w:pStyle w:val="6"/>
        <w:spacing w:before="0" w:after="0"/>
        <w:ind w:firstLine="500"/>
        <w:rPr>
          <w:rFonts w:hint="eastAsia" w:ascii="宋体" w:hAnsi="宋体" w:eastAsia="宋体" w:cs="宋体"/>
          <w:bCs/>
          <w:szCs w:val="24"/>
        </w:rPr>
      </w:pPr>
      <w:r>
        <w:rPr>
          <w:rFonts w:hint="eastAsia" w:ascii="宋体" w:hAnsi="宋体" w:eastAsia="宋体" w:cs="宋体"/>
          <w:szCs w:val="24"/>
        </w:rPr>
        <w:t>一、名词解释</w:t>
      </w:r>
    </w:p>
    <w:p w14:paraId="4454749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1、采购人：</w:t>
      </w:r>
      <w:r>
        <w:rPr>
          <w:rFonts w:hint="eastAsia" w:ascii="宋体" w:hAnsi="宋体" w:eastAsia="宋体" w:cs="宋体"/>
          <w:sz w:val="24"/>
          <w:lang w:val="en-US" w:eastAsia="zh-CN"/>
        </w:rPr>
        <w:t>杨凌示范区消防救援支队新区大队</w:t>
      </w:r>
    </w:p>
    <w:p w14:paraId="2B58E4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、采购代理机构：</w:t>
      </w:r>
      <w:r>
        <w:rPr>
          <w:rFonts w:hint="eastAsia" w:ascii="宋体" w:hAnsi="宋体" w:eastAsia="宋体" w:cs="宋体"/>
          <w:sz w:val="24"/>
          <w:lang w:eastAsia="zh-CN"/>
        </w:rPr>
        <w:t xml:space="preserve">陕西玖聚常安咨询有限公司  </w:t>
      </w:r>
    </w:p>
    <w:p w14:paraId="5AE733A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3、监督部门：杨陵区财政局</w:t>
      </w:r>
    </w:p>
    <w:p w14:paraId="1F9B6C5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、供应商：响应磋商并且符合竞争性磋商采购文件规定资格条件和参加磋商竞争的法人或其他组织或自然人。</w:t>
      </w:r>
    </w:p>
    <w:p w14:paraId="309978C5">
      <w:pPr>
        <w:spacing w:line="360" w:lineRule="auto"/>
        <w:ind w:firstLine="451" w:firstLineChars="187"/>
        <w:rPr>
          <w:rFonts w:hint="eastAsia" w:ascii="宋体" w:hAnsi="宋体" w:eastAsia="宋体" w:cs="宋体"/>
          <w:b/>
          <w:sz w:val="24"/>
        </w:rPr>
      </w:pPr>
      <w:r>
        <w:rPr>
          <w:rFonts w:hint="eastAsia" w:ascii="宋体" w:hAnsi="宋体" w:eastAsia="宋体" w:cs="宋体"/>
          <w:b/>
          <w:sz w:val="24"/>
        </w:rPr>
        <w:t>二、竞争性磋商采购文件</w:t>
      </w:r>
    </w:p>
    <w:p w14:paraId="127F1C4E">
      <w:pPr>
        <w:spacing w:line="360" w:lineRule="auto"/>
        <w:ind w:firstLine="448" w:firstLineChars="187"/>
        <w:rPr>
          <w:rFonts w:hint="eastAsia" w:ascii="宋体" w:hAnsi="宋体" w:eastAsia="宋体" w:cs="宋体"/>
          <w:sz w:val="24"/>
        </w:rPr>
      </w:pPr>
      <w:r>
        <w:rPr>
          <w:rFonts w:hint="eastAsia" w:ascii="宋体" w:hAnsi="宋体" w:eastAsia="宋体" w:cs="宋体"/>
          <w:sz w:val="24"/>
        </w:rPr>
        <w:t>1、磋商采购文件组成：磋商采购文件是根据本项目的特点和需求编制，包括以下内容：</w:t>
      </w:r>
    </w:p>
    <w:p w14:paraId="29B05E09">
      <w:pPr>
        <w:spacing w:line="360" w:lineRule="auto"/>
        <w:ind w:firstLine="448" w:firstLineChars="187"/>
        <w:rPr>
          <w:rFonts w:hint="eastAsia" w:ascii="宋体" w:hAnsi="宋体" w:eastAsia="宋体" w:cs="宋体"/>
          <w:sz w:val="24"/>
        </w:rPr>
      </w:pPr>
      <w:r>
        <w:rPr>
          <w:rFonts w:hint="eastAsia" w:ascii="宋体" w:hAnsi="宋体" w:eastAsia="宋体" w:cs="宋体"/>
          <w:sz w:val="24"/>
        </w:rPr>
        <w:t>1-1、竞争性磋商采购公告</w:t>
      </w:r>
    </w:p>
    <w:p w14:paraId="37A2A680">
      <w:pPr>
        <w:spacing w:line="360" w:lineRule="auto"/>
        <w:ind w:firstLine="448" w:firstLineChars="187"/>
        <w:rPr>
          <w:rFonts w:hint="eastAsia" w:ascii="宋体" w:hAnsi="宋体" w:eastAsia="宋体" w:cs="宋体"/>
          <w:sz w:val="24"/>
        </w:rPr>
      </w:pPr>
      <w:r>
        <w:rPr>
          <w:rFonts w:hint="eastAsia" w:ascii="宋体" w:hAnsi="宋体" w:eastAsia="宋体" w:cs="宋体"/>
          <w:sz w:val="24"/>
        </w:rPr>
        <w:t>1-2、竞争性磋商采购须知</w:t>
      </w:r>
    </w:p>
    <w:p w14:paraId="15164D61">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w:t>
      </w:r>
      <w:r>
        <w:rPr>
          <w:rFonts w:hint="eastAsia" w:ascii="宋体" w:hAnsi="宋体" w:cs="宋体"/>
          <w:sz w:val="24"/>
          <w:lang w:eastAsia="zh-CN"/>
        </w:rPr>
        <w:t>采购内容及要求</w:t>
      </w:r>
    </w:p>
    <w:p w14:paraId="1908D043">
      <w:pPr>
        <w:spacing w:line="360" w:lineRule="auto"/>
        <w:ind w:firstLine="448" w:firstLineChars="187"/>
        <w:rPr>
          <w:rFonts w:hint="eastAsia" w:ascii="宋体" w:hAnsi="宋体" w:eastAsia="宋体" w:cs="宋体"/>
          <w:sz w:val="24"/>
        </w:rPr>
      </w:pPr>
      <w:r>
        <w:rPr>
          <w:rFonts w:hint="eastAsia" w:ascii="宋体" w:hAnsi="宋体" w:eastAsia="宋体" w:cs="宋体"/>
          <w:sz w:val="24"/>
        </w:rPr>
        <w:t>1-4、商务要求</w:t>
      </w:r>
    </w:p>
    <w:p w14:paraId="2658FA40">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eastAsia="zh-CN"/>
        </w:rPr>
        <w:t>合同草案条款</w:t>
      </w:r>
    </w:p>
    <w:p w14:paraId="721C4D30">
      <w:pPr>
        <w:spacing w:line="360" w:lineRule="auto"/>
        <w:ind w:firstLine="448" w:firstLineChars="187"/>
        <w:rPr>
          <w:rFonts w:hint="eastAsia" w:ascii="宋体" w:hAnsi="宋体" w:eastAsia="宋体" w:cs="宋体"/>
          <w:sz w:val="24"/>
        </w:rPr>
      </w:pPr>
      <w:r>
        <w:rPr>
          <w:rFonts w:hint="eastAsia" w:ascii="宋体" w:hAnsi="宋体" w:eastAsia="宋体" w:cs="宋体"/>
          <w:sz w:val="24"/>
        </w:rPr>
        <w:t>1-6、响应文件格式</w:t>
      </w:r>
    </w:p>
    <w:p w14:paraId="52559B39">
      <w:pPr>
        <w:spacing w:line="360" w:lineRule="auto"/>
        <w:ind w:firstLine="448" w:firstLineChars="187"/>
        <w:rPr>
          <w:rFonts w:hint="eastAsia" w:ascii="宋体" w:hAnsi="宋体" w:eastAsia="宋体" w:cs="宋体"/>
          <w:sz w:val="24"/>
        </w:rPr>
      </w:pPr>
      <w:r>
        <w:rPr>
          <w:rFonts w:hint="eastAsia" w:ascii="宋体" w:hAnsi="宋体" w:eastAsia="宋体" w:cs="宋体"/>
          <w:sz w:val="24"/>
        </w:rPr>
        <w:t>2、磋商采购文件的获取：磋商采购公告发布后，有意向的供应商应从采购代理机构购买竞争性磋商采购文件，磋商采购文件一经售出，一律不退，仅作为本次磋商使用。</w:t>
      </w:r>
    </w:p>
    <w:p w14:paraId="43CC93B1">
      <w:pPr>
        <w:spacing w:line="360" w:lineRule="auto"/>
        <w:ind w:firstLine="448" w:firstLineChars="187"/>
        <w:rPr>
          <w:rFonts w:hint="eastAsia" w:ascii="宋体" w:hAnsi="宋体" w:eastAsia="宋体" w:cs="宋体"/>
          <w:sz w:val="24"/>
        </w:rPr>
      </w:pPr>
      <w:r>
        <w:rPr>
          <w:rFonts w:hint="eastAsia" w:ascii="宋体" w:hAnsi="宋体" w:eastAsia="宋体" w:cs="宋体"/>
          <w:sz w:val="24"/>
        </w:rPr>
        <w:t>3、采购人或采购代理机构可以对已发出的磋商采购文件进行必要的澄清或者修改，澄清或者修改的内容作为磋商采购文件的组成部分。澄清或者修改的内容可能影响响应文件编制的，采购人、采购代理机构应当在提交首次响应文件截止时间至少5日前，以书面形式通知所有获取磋商采购文件的供应商；不足5日的，采购人、采购代理机构应当顺延提交首次响应文件截止时间。</w:t>
      </w:r>
    </w:p>
    <w:p w14:paraId="47DD7535">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4、供应商在获取磋商采购文件后，对磋商采购文件有疑问，或者需澄清的事项，均应在磋商截止时间前3日按磋商采购文件中的通讯地址以书面形式通知采购代理机构，采购代理机构将予以答复，且作为磋商采购文件的组成部分。供应商对文件中有关表述不准确或难以理解或有疑义的内容，各供应商应及时与采购代理机构联系，否则，视为认同竞争性磋商采购文件的所有条款</w:t>
      </w:r>
      <w:r>
        <w:rPr>
          <w:rFonts w:hint="eastAsia" w:ascii="宋体" w:hAnsi="宋体" w:eastAsia="宋体" w:cs="宋体"/>
          <w:sz w:val="24"/>
          <w:lang w:eastAsia="zh-CN"/>
        </w:rPr>
        <w:t>。</w:t>
      </w:r>
    </w:p>
    <w:p w14:paraId="30DB38A4">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5、竞争性磋商采购文件的解释权归采购代理机构</w:t>
      </w:r>
      <w:r>
        <w:rPr>
          <w:rFonts w:hint="eastAsia" w:ascii="宋体" w:hAnsi="宋体" w:eastAsia="宋体" w:cs="宋体"/>
          <w:sz w:val="24"/>
          <w:lang w:eastAsia="zh-CN"/>
        </w:rPr>
        <w:t>。</w:t>
      </w:r>
    </w:p>
    <w:p w14:paraId="7C347B49">
      <w:pPr>
        <w:spacing w:line="360" w:lineRule="auto"/>
        <w:ind w:firstLine="448" w:firstLineChars="186"/>
        <w:rPr>
          <w:rFonts w:hint="eastAsia" w:ascii="宋体" w:hAnsi="宋体" w:eastAsia="宋体" w:cs="宋体"/>
          <w:b/>
          <w:kern w:val="0"/>
          <w:sz w:val="24"/>
          <w:szCs w:val="24"/>
        </w:rPr>
      </w:pPr>
      <w:r>
        <w:rPr>
          <w:rFonts w:hint="eastAsia" w:ascii="宋体" w:hAnsi="宋体" w:eastAsia="宋体" w:cs="宋体"/>
          <w:b/>
          <w:kern w:val="0"/>
          <w:sz w:val="24"/>
          <w:szCs w:val="24"/>
        </w:rPr>
        <w:t>三、磋商要求</w:t>
      </w:r>
    </w:p>
    <w:p w14:paraId="6F4FEB68">
      <w:pPr>
        <w:spacing w:line="360" w:lineRule="auto"/>
        <w:ind w:firstLine="448" w:firstLineChars="186"/>
        <w:rPr>
          <w:rFonts w:hint="eastAsia" w:ascii="宋体" w:hAnsi="宋体" w:eastAsia="宋体" w:cs="宋体"/>
          <w:b/>
          <w:kern w:val="0"/>
          <w:sz w:val="24"/>
          <w:szCs w:val="24"/>
        </w:rPr>
      </w:pPr>
      <w:r>
        <w:rPr>
          <w:rFonts w:hint="eastAsia" w:ascii="宋体" w:hAnsi="宋体" w:eastAsia="宋体" w:cs="宋体"/>
          <w:b/>
          <w:kern w:val="0"/>
          <w:sz w:val="24"/>
          <w:szCs w:val="24"/>
        </w:rPr>
        <w:t>1、磋商内容：</w:t>
      </w:r>
    </w:p>
    <w:p w14:paraId="6C450C14">
      <w:pPr>
        <w:spacing w:line="360" w:lineRule="auto"/>
        <w:ind w:firstLine="448" w:firstLineChars="187"/>
        <w:rPr>
          <w:rFonts w:hint="eastAsia" w:ascii="宋体" w:hAnsi="宋体" w:eastAsia="宋体" w:cs="宋体"/>
          <w:sz w:val="24"/>
        </w:rPr>
      </w:pPr>
      <w:r>
        <w:rPr>
          <w:rFonts w:hint="eastAsia" w:ascii="宋体" w:hAnsi="宋体" w:eastAsia="宋体" w:cs="宋体"/>
          <w:sz w:val="24"/>
        </w:rPr>
        <w:t>1-1、本次磋商的内容</w:t>
      </w:r>
      <w:r>
        <w:rPr>
          <w:rFonts w:hint="eastAsia" w:ascii="宋体" w:hAnsi="宋体" w:eastAsia="宋体" w:cs="宋体"/>
          <w:sz w:val="24"/>
          <w:lang w:eastAsia="zh-CN"/>
        </w:rPr>
        <w:t>是新区大队厨房劳务外包，具体详见竞争性磋商文件。</w:t>
      </w:r>
      <w:r>
        <w:rPr>
          <w:rFonts w:hint="eastAsia" w:ascii="宋体" w:hAnsi="宋体" w:eastAsia="宋体" w:cs="宋体"/>
          <w:sz w:val="24"/>
        </w:rPr>
        <w:t>各供应商应对全部内容进行响应，不得在其中选项，否则按无效文件处理。</w:t>
      </w:r>
    </w:p>
    <w:p w14:paraId="1E7EF1A3">
      <w:pPr>
        <w:spacing w:line="360" w:lineRule="auto"/>
        <w:ind w:firstLine="448" w:firstLineChars="187"/>
        <w:rPr>
          <w:rFonts w:hint="eastAsia" w:ascii="宋体" w:hAnsi="宋体" w:eastAsia="宋体" w:cs="宋体"/>
          <w:sz w:val="24"/>
        </w:rPr>
      </w:pPr>
      <w:r>
        <w:rPr>
          <w:rFonts w:hint="eastAsia" w:ascii="宋体" w:hAnsi="宋体" w:eastAsia="宋体" w:cs="宋体"/>
          <w:sz w:val="24"/>
        </w:rPr>
        <w:t>1-2、参加磋商的供应商必须根据磋商采购文件要求，按照给定的采购内容按要求列出实施方案等。</w:t>
      </w:r>
    </w:p>
    <w:p w14:paraId="736FDB51">
      <w:pPr>
        <w:spacing w:line="360" w:lineRule="auto"/>
        <w:ind w:firstLine="448" w:firstLineChars="187"/>
        <w:rPr>
          <w:rFonts w:hint="eastAsia" w:ascii="宋体" w:hAnsi="宋体" w:eastAsia="宋体" w:cs="宋体"/>
          <w:sz w:val="24"/>
        </w:rPr>
      </w:pPr>
      <w:r>
        <w:rPr>
          <w:rFonts w:hint="eastAsia" w:ascii="宋体" w:hAnsi="宋体" w:eastAsia="宋体" w:cs="宋体"/>
          <w:sz w:val="24"/>
        </w:rPr>
        <w:t>1-3、说明项目实施过程中的实施计划及服务措施。</w:t>
      </w:r>
    </w:p>
    <w:p w14:paraId="1502D62A">
      <w:pPr>
        <w:spacing w:line="360" w:lineRule="auto"/>
        <w:ind w:firstLine="448" w:firstLineChars="187"/>
        <w:rPr>
          <w:rFonts w:hint="eastAsia" w:ascii="宋体" w:hAnsi="宋体" w:eastAsia="宋体" w:cs="宋体"/>
          <w:sz w:val="24"/>
        </w:rPr>
      </w:pPr>
      <w:r>
        <w:rPr>
          <w:rFonts w:hint="eastAsia" w:ascii="宋体" w:hAnsi="宋体" w:eastAsia="宋体" w:cs="宋体"/>
          <w:sz w:val="24"/>
        </w:rPr>
        <w:t>1-4、列出</w:t>
      </w:r>
      <w:r>
        <w:rPr>
          <w:rFonts w:hint="eastAsia" w:ascii="宋体" w:hAnsi="宋体" w:eastAsia="宋体" w:cs="宋体"/>
          <w:sz w:val="24"/>
          <w:lang w:eastAsia="zh-CN"/>
        </w:rPr>
        <w:t>类似</w:t>
      </w:r>
      <w:r>
        <w:rPr>
          <w:rFonts w:hint="eastAsia" w:ascii="宋体" w:hAnsi="宋体" w:eastAsia="宋体" w:cs="宋体"/>
          <w:sz w:val="24"/>
        </w:rPr>
        <w:t>项目的业绩。在磋商采购响应文件中附有合同等相关证明资料。</w:t>
      </w:r>
    </w:p>
    <w:p w14:paraId="7595464A">
      <w:pPr>
        <w:spacing w:line="360" w:lineRule="auto"/>
        <w:ind w:firstLine="448" w:firstLineChars="187"/>
        <w:rPr>
          <w:rFonts w:hint="eastAsia" w:ascii="宋体" w:hAnsi="宋体" w:eastAsia="宋体" w:cs="宋体"/>
          <w:sz w:val="24"/>
        </w:rPr>
      </w:pPr>
      <w:r>
        <w:rPr>
          <w:rFonts w:hint="eastAsia" w:ascii="宋体" w:hAnsi="宋体" w:eastAsia="宋体" w:cs="宋体"/>
          <w:sz w:val="24"/>
        </w:rPr>
        <w:t>1-5、供应商应仔细阅读竞争性磋商采购文件中的所有事项、格式、条款和要求，对竞争性磋商采购文件的全部内容及要求逐项做出实质性响应，提交相应资料。</w:t>
      </w:r>
    </w:p>
    <w:p w14:paraId="14D67682">
      <w:pPr>
        <w:spacing w:line="360" w:lineRule="auto"/>
        <w:ind w:firstLine="448" w:firstLineChars="187"/>
        <w:rPr>
          <w:rFonts w:hint="eastAsia" w:ascii="宋体" w:hAnsi="宋体" w:eastAsia="宋体" w:cs="宋体"/>
          <w:sz w:val="24"/>
        </w:rPr>
      </w:pPr>
      <w:r>
        <w:rPr>
          <w:rFonts w:hint="eastAsia" w:ascii="宋体" w:hAnsi="宋体" w:eastAsia="宋体" w:cs="宋体"/>
          <w:sz w:val="24"/>
        </w:rPr>
        <w:t>1-6、本项目不接受联合体磋商。</w:t>
      </w:r>
    </w:p>
    <w:p w14:paraId="57644C10">
      <w:pPr>
        <w:spacing w:line="360" w:lineRule="auto"/>
        <w:ind w:firstLine="448" w:firstLineChars="186"/>
        <w:rPr>
          <w:rFonts w:hint="eastAsia" w:ascii="宋体" w:hAnsi="宋体" w:eastAsia="宋体" w:cs="宋体"/>
          <w:sz w:val="24"/>
          <w:szCs w:val="24"/>
        </w:rPr>
      </w:pPr>
      <w:r>
        <w:rPr>
          <w:rFonts w:hint="eastAsia" w:ascii="宋体" w:hAnsi="宋体" w:eastAsia="宋体" w:cs="宋体"/>
          <w:b/>
          <w:sz w:val="24"/>
          <w:szCs w:val="24"/>
        </w:rPr>
        <w:t>2、磋商资格：</w:t>
      </w:r>
    </w:p>
    <w:p w14:paraId="66C0CAC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（1）供应商具有独立承担民事责任能力的法人、其他组织或自然人，并出具合法有效的营业执照或事业单位法人证书等国家规定的相关证明，自然人参与的提供其身份证明；</w:t>
      </w:r>
    </w:p>
    <w:p w14:paraId="0944FC7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（2）法定代表人授权书及被授权人身份证（法定代表人直接参与，须提供法定代表人身份证明）；</w:t>
      </w:r>
    </w:p>
    <w:p w14:paraId="07E6C05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（3）供应商应具备有效的《食品经营许可证》；</w:t>
      </w:r>
    </w:p>
    <w:p w14:paraId="36380E3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（4）参加政府采购活动前三年内，在经营活动中没有重大违法记录的声明；</w:t>
      </w:r>
    </w:p>
    <w:p w14:paraId="0561860D">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（5）具备履行合同所必须的设备和专业技术能力的说明及承诺；</w:t>
      </w:r>
    </w:p>
    <w:p w14:paraId="0C74C88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财务状况报告：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p>
    <w:p w14:paraId="159D0CB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（7）税收缴纳证明：供应商提供已缴纳的2025年1月至今至少一个月的纳税证明或完税证明（任意税种）；依法免税的单位应提供相关文件证明；</w:t>
      </w:r>
    </w:p>
    <w:p w14:paraId="4381DB3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（8）社会保障资金缴纳证明：供应商提供已缴纳的2025年1月至今至少一个月的社会保障资金缴存单据或社保机构开具的社会保险参保缴费情况证明，依法不需要缴纳社会保障资金的单位应提供相关证明材料；</w:t>
      </w:r>
    </w:p>
    <w:p w14:paraId="4504988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9）投标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354B0F5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10</w:t>
      </w:r>
      <w:r>
        <w:rPr>
          <w:rFonts w:hint="eastAsia" w:ascii="宋体" w:hAnsi="宋体" w:eastAsia="宋体" w:cs="宋体"/>
          <w:sz w:val="24"/>
          <w:lang w:val="zh-CN" w:eastAsia="zh-CN"/>
        </w:rPr>
        <w:t>）本项目不接受联合体磋商（提供非联合体承诺书）；</w:t>
      </w:r>
    </w:p>
    <w:p w14:paraId="04F9603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11</w:t>
      </w:r>
      <w:r>
        <w:rPr>
          <w:rFonts w:hint="eastAsia" w:ascii="宋体" w:hAnsi="宋体" w:eastAsia="宋体" w:cs="宋体"/>
          <w:sz w:val="24"/>
          <w:lang w:val="zh-CN" w:eastAsia="zh-CN"/>
        </w:rPr>
        <w:t>）单位负责人为同一人或者存在控股、管理关系的不同单位不得同时投标（提供供应商企业关系关联承诺书）；</w:t>
      </w:r>
    </w:p>
    <w:p w14:paraId="73135B1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12</w:t>
      </w:r>
      <w:r>
        <w:rPr>
          <w:rFonts w:hint="eastAsia" w:ascii="宋体" w:hAnsi="宋体" w:eastAsia="宋体" w:cs="宋体"/>
          <w:sz w:val="24"/>
          <w:lang w:val="zh-CN" w:eastAsia="zh-CN"/>
        </w:rPr>
        <w:t>）</w:t>
      </w:r>
      <w:r>
        <w:rPr>
          <w:rFonts w:hint="eastAsia" w:ascii="宋体" w:hAnsi="宋体" w:eastAsia="宋体" w:cs="宋体"/>
          <w:sz w:val="24"/>
          <w:lang w:val="en-US" w:eastAsia="zh-CN"/>
        </w:rPr>
        <w:t>磋商保证金缴纳凭证（附开户许可证或基本账户存款信息）；</w:t>
      </w:r>
    </w:p>
    <w:p w14:paraId="71EDFAC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13</w:t>
      </w:r>
      <w:r>
        <w:rPr>
          <w:rFonts w:hint="eastAsia" w:ascii="宋体" w:hAnsi="宋体" w:eastAsia="宋体" w:cs="宋体"/>
          <w:sz w:val="24"/>
          <w:lang w:val="zh-CN" w:eastAsia="zh-CN"/>
        </w:rPr>
        <w:t xml:space="preserve">）中小企业声明函（本项目专门面向中小企业采购，非中小企业单位（监狱企业、残疾人福利单位除外）不得参与）。 </w:t>
      </w:r>
    </w:p>
    <w:p w14:paraId="5B23E806">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以上资格证明文件为必备条件，资格审查时，缺少其中任何一项或某项达不到要求，其响应文件视为无效文件。在响应文件正本和副本中附以上资格证明文件的复印件，并加盖供应商公章。</w:t>
      </w:r>
    </w:p>
    <w:p w14:paraId="547C0C8D">
      <w:pPr>
        <w:spacing w:line="360" w:lineRule="auto"/>
        <w:ind w:firstLine="451" w:firstLineChars="187"/>
        <w:rPr>
          <w:rFonts w:hint="eastAsia" w:ascii="宋体" w:hAnsi="宋体" w:eastAsia="宋体" w:cs="宋体"/>
          <w:b/>
          <w:sz w:val="24"/>
        </w:rPr>
      </w:pPr>
      <w:r>
        <w:rPr>
          <w:rFonts w:hint="eastAsia" w:ascii="宋体" w:hAnsi="宋体" w:eastAsia="宋体" w:cs="宋体"/>
          <w:b/>
          <w:sz w:val="24"/>
        </w:rPr>
        <w:t>3、磋商响应文件的编制：</w:t>
      </w:r>
    </w:p>
    <w:p w14:paraId="41E56A9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3-1、磋商响应文件必须根据采购代理机构提供的磋商采购文件格式编写，并对磋商采购文件作出实质性响应。具体内容包括：</w:t>
      </w:r>
    </w:p>
    <w:p w14:paraId="04DF3C2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3-1-1、对竞争性磋商响应函格式中内容的响应。</w:t>
      </w:r>
    </w:p>
    <w:p w14:paraId="7961944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3-1-2、磋商报价表。</w:t>
      </w:r>
    </w:p>
    <w:p w14:paraId="413FA30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3-1-3、分项报价表。</w:t>
      </w:r>
    </w:p>
    <w:p w14:paraId="75D698E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3-1-4、参加磋商的供应商须出具资格证明文件，证明参加磋商的供应商具备磋商活动要求的资格，具有良好的商业信誉和健全的财务保障制度，成交后有能力履行合同，且质量有保证等。</w:t>
      </w:r>
    </w:p>
    <w:p w14:paraId="63EC5EF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3-1-5、针对本项目的人员配备情况。</w:t>
      </w:r>
    </w:p>
    <w:p w14:paraId="0C23557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3-1-6、供应商为完成本次采购任务编制的实施方案。</w:t>
      </w:r>
    </w:p>
    <w:p w14:paraId="2919D61F">
      <w:pPr>
        <w:spacing w:line="360" w:lineRule="auto"/>
        <w:ind w:firstLine="451" w:firstLineChars="187"/>
        <w:rPr>
          <w:rFonts w:hint="eastAsia" w:ascii="宋体" w:hAnsi="宋体" w:eastAsia="宋体" w:cs="宋体"/>
          <w:b/>
          <w:bCs/>
          <w:sz w:val="24"/>
        </w:rPr>
      </w:pPr>
      <w:r>
        <w:rPr>
          <w:rFonts w:hint="eastAsia" w:ascii="宋体" w:hAnsi="宋体" w:eastAsia="宋体" w:cs="宋体"/>
          <w:b/>
          <w:bCs/>
          <w:sz w:val="24"/>
        </w:rPr>
        <w:t>4、磋商报价：</w:t>
      </w:r>
    </w:p>
    <w:p w14:paraId="6EEEB138">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4-1、供应商应在磋商响应文件中的第一次磋商报价表上按要求标明第一次磋商总报价、服务周期等项，任何有选择的报价采购人和采购代理机构不予接受。</w:t>
      </w:r>
    </w:p>
    <w:p w14:paraId="3F575E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4-2、磋商报价为磋商供应商在磋商响应文件中提出的各项支付金额的总和，其中包括“第三章 采购内容及要求”规定的内容的所有费用。</w:t>
      </w:r>
    </w:p>
    <w:p w14:paraId="5D6B917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4-3、磋商的最终报价是完成采购项目内容所需的全部费用。</w:t>
      </w:r>
    </w:p>
    <w:p w14:paraId="3B50F94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4-4、凡因供应商对磋商采购文件阅读不深、理解不透、误解、疏漏、或因市场行情了解不清造成的后果和风险均由供应商自负。</w:t>
      </w:r>
    </w:p>
    <w:p w14:paraId="67F2EAC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4-5、最低报价不是确定成交供应商的唯一条件。</w:t>
      </w:r>
    </w:p>
    <w:p w14:paraId="7AE8084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lang w:val="en-US" w:eastAsia="zh-CN"/>
        </w:rPr>
        <w:t>4-6、磋商报</w:t>
      </w:r>
      <w:r>
        <w:rPr>
          <w:rFonts w:hint="eastAsia" w:ascii="宋体" w:hAnsi="宋体" w:eastAsia="宋体" w:cs="宋体"/>
          <w:sz w:val="24"/>
          <w:highlight w:val="none"/>
          <w:lang w:val="en-US" w:eastAsia="zh-CN"/>
        </w:rPr>
        <w:t>价货币：人民币，单位元；</w:t>
      </w:r>
    </w:p>
    <w:p w14:paraId="767998D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4-7、磋商最终报价价格，在合同执行过程中，不得以任何理由变更磋商的最终报价。</w:t>
      </w:r>
    </w:p>
    <w:p w14:paraId="34D052B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-8、供应商不得以低于成本的报价参加磋商。若磋商小组认为某个供应商的报价明显低于其他通过符合性审查的供应商的报价，有可能影响项目实施或者不能诚信履约的，应当要求其在磋商现场合理的时间内提供书面说明，必要时提交相关证明材料；供应商不能证明其报价合理性的，磋商小组应将其作为无效磋商处理。</w:t>
      </w:r>
    </w:p>
    <w:p w14:paraId="0EC1419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4-9、第一次报价超出最高限价的供应商不进入下一步磋商程序。</w:t>
      </w:r>
    </w:p>
    <w:p w14:paraId="4CEBD5E1">
      <w:pPr>
        <w:keepNext w:val="0"/>
        <w:keepLines w:val="0"/>
        <w:pageBreakBefore w:val="0"/>
        <w:widowControl w:val="0"/>
        <w:kinsoku/>
        <w:wordWrap/>
        <w:overflowPunct/>
        <w:topLinePunct w:val="0"/>
        <w:autoSpaceDE/>
        <w:autoSpaceDN/>
        <w:bidi w:val="0"/>
        <w:spacing w:line="360" w:lineRule="auto"/>
        <w:ind w:firstLine="448" w:firstLineChars="187"/>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4-10、供应商在磋商期间所发生的费用自理。</w:t>
      </w:r>
    </w:p>
    <w:p w14:paraId="04F4AF5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5、保证金：</w:t>
      </w:r>
    </w:p>
    <w:p w14:paraId="671DE01E">
      <w:pPr>
        <w:spacing w:line="360" w:lineRule="auto"/>
        <w:ind w:firstLine="451" w:firstLineChars="187"/>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5-1、供应商须向采购代理机构递交人民币肆仟元整（￥</w:t>
      </w:r>
      <w:r>
        <w:rPr>
          <w:rFonts w:hint="eastAsia" w:ascii="宋体" w:hAnsi="宋体" w:eastAsia="宋体" w:cs="宋体"/>
          <w:b/>
          <w:bCs/>
          <w:color w:val="auto"/>
          <w:sz w:val="24"/>
          <w:lang w:val="en-US" w:eastAsia="zh-CN"/>
        </w:rPr>
        <w:t>4000.00</w:t>
      </w:r>
      <w:r>
        <w:rPr>
          <w:rFonts w:hint="eastAsia" w:ascii="宋体" w:hAnsi="宋体" w:eastAsia="宋体" w:cs="宋体"/>
          <w:b/>
          <w:bCs/>
          <w:color w:val="auto"/>
          <w:sz w:val="24"/>
          <w:lang w:val="zh-CN" w:eastAsia="zh-CN"/>
        </w:rPr>
        <w:t>元）的保证金</w:t>
      </w:r>
    </w:p>
    <w:p w14:paraId="034EA5AE">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收取保证金单位名称：陕西玖聚常安咨询有限公司</w:t>
      </w:r>
    </w:p>
    <w:p w14:paraId="4F181E77">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账号：61050193020000001408</w:t>
      </w:r>
    </w:p>
    <w:p w14:paraId="136148DD">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开户行：建设银行凤城六路支行</w:t>
      </w:r>
    </w:p>
    <w:p w14:paraId="7AE526D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-2、保证金应当以银行转账或者金融机构、担保机构出具的保函等非现金形式提交。以银行转账交纳保证金的，可以采取支票、电汇、网银、汇票、本票等方式，均应从其基本账户转出，并应确保在磋商截止时间前到达采购代理机构指定账户。</w:t>
      </w:r>
    </w:p>
    <w:p w14:paraId="5140A51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5-3、以银行保函形式递交保证金的，必须是供应商基本账户开户行或地市级以上有信誉的国家或股份制商业银行的分行或支行开具的保函。</w:t>
      </w:r>
    </w:p>
    <w:p w14:paraId="25263F2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5-4、以信用担保函形式交纳保证金，必须是陕西省、西安市财政部门认定的具有开具响应保函资格的单位开具的保函。</w:t>
      </w:r>
    </w:p>
    <w:p w14:paraId="446C474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5-5、以银行保函或信用担保形式递交保证金的，供应商违约，开具保函单位或信用担保单位承担连带责任。</w:t>
      </w:r>
    </w:p>
    <w:p w14:paraId="6E43A82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5-6、未成交供应商的保证金在成交通知书发出后五个工作日内退还，成交供应商的保证金在采购合同签订后五个工作日内退还</w:t>
      </w:r>
    </w:p>
    <w:p w14:paraId="70A2A48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5-7、成交供应商有下列情形之一的，采购代理机构不予退还其交纳的响应保证金；情节严重的，由财政部门将其列入不良行为纪录名单，在一至三年内禁止参加政府采购活动，并予以通报：</w:t>
      </w:r>
    </w:p>
    <w:p w14:paraId="4FB62F1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5-7-1、供应商在提交响应文件截止时间后撤回响应文件的；</w:t>
      </w:r>
    </w:p>
    <w:p w14:paraId="5451049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5-7-2、供应商在响应文件中提供虚假材料的；</w:t>
      </w:r>
    </w:p>
    <w:p w14:paraId="2BDFA80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5-7-3、除因不可抗力或磋商采购文件认可的情形以外，成交供应商不与采购人签订合同的；</w:t>
      </w:r>
    </w:p>
    <w:p w14:paraId="667164D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5-7-4、供应商与采购人、其他供应商或采购代理机构恶意串通的；</w:t>
      </w:r>
    </w:p>
    <w:p w14:paraId="76E3A7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5-7-5、成交供应商拒绝履行合同义务的。</w:t>
      </w:r>
    </w:p>
    <w:p w14:paraId="5B9181C6">
      <w:pPr>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zh-CN"/>
        </w:rPr>
        <w:t>．磋商有效期</w:t>
      </w:r>
    </w:p>
    <w:p w14:paraId="2EACBFE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 磋商有效期见磋商供应商须知前附表。磋商有效期短于此规定期限的磋商，将按无效磋商处理。</w:t>
      </w:r>
    </w:p>
    <w:p w14:paraId="39F3EB8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 特殊情况下，采购代理机构可于磋商有效期满之前要求磋商供应商同意延长有效期，要求与答复均应为书面形式。磋商供应商可以拒绝上述要求，其磋商保证金不被没收。拒绝延长磋商有效期的磋商供应商不得再参与该项目后续采购活动。同意延长磋商有效期的磋商供应商不能修改其磋商响应文件，关于磋商保证金的有关规定在延长的磋商有效期内继续有效。</w:t>
      </w:r>
    </w:p>
    <w:p w14:paraId="4D81EFF3">
      <w:pPr>
        <w:spacing w:line="360" w:lineRule="auto"/>
        <w:ind w:firstLine="506" w:firstLineChars="210"/>
        <w:rPr>
          <w:rFonts w:hint="eastAsia" w:ascii="宋体" w:hAnsi="宋体" w:eastAsia="宋体" w:cs="宋体"/>
          <w:b/>
          <w:sz w:val="24"/>
          <w:szCs w:val="24"/>
          <w:lang w:val="zh-CN"/>
        </w:rPr>
      </w:pPr>
      <w:r>
        <w:rPr>
          <w:rFonts w:hint="eastAsia" w:ascii="宋体" w:hAnsi="宋体" w:eastAsia="宋体" w:cs="宋体"/>
          <w:b/>
          <w:sz w:val="24"/>
          <w:szCs w:val="24"/>
        </w:rPr>
        <w:t>6</w:t>
      </w:r>
      <w:r>
        <w:rPr>
          <w:rFonts w:hint="eastAsia" w:ascii="宋体" w:hAnsi="宋体" w:eastAsia="宋体" w:cs="宋体"/>
          <w:b/>
          <w:sz w:val="24"/>
          <w:szCs w:val="24"/>
          <w:lang w:val="zh-CN"/>
        </w:rPr>
        <w:t>-3磋商响应文件有效期为自磋商截止日起90日历天，成交供应商的磋商响应文件有效期自动延长至合同执行完毕。</w:t>
      </w:r>
    </w:p>
    <w:p w14:paraId="45ACAC88">
      <w:pPr>
        <w:spacing w:line="360" w:lineRule="auto"/>
        <w:ind w:firstLine="525"/>
        <w:rPr>
          <w:rFonts w:hint="eastAsia" w:ascii="宋体" w:hAnsi="宋体" w:eastAsia="宋体" w:cs="宋体"/>
          <w:b/>
          <w:kern w:val="0"/>
          <w:sz w:val="24"/>
          <w:szCs w:val="24"/>
        </w:rPr>
      </w:pPr>
      <w:r>
        <w:rPr>
          <w:rFonts w:hint="eastAsia" w:ascii="宋体" w:hAnsi="宋体" w:eastAsia="宋体" w:cs="宋体"/>
          <w:b/>
          <w:kern w:val="0"/>
          <w:sz w:val="24"/>
          <w:szCs w:val="24"/>
        </w:rPr>
        <w:t>四、磋商响应文件的式样和签署</w:t>
      </w:r>
    </w:p>
    <w:p w14:paraId="56E9AD9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供应商必须根据采购代理机构提供的磋商响应文件的格式，编制文件正本1份，副本2份，电子文件（U盘）2份，正、副本各自装订成册，每套磋商响应文件须清楚地标明“正本”或“副本”，一旦正本与副本不符，以正本为准。</w:t>
      </w:r>
    </w:p>
    <w:p w14:paraId="672F595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2、磋商响应文件的正本和所有的副本</w:t>
      </w:r>
      <w:r>
        <w:rPr>
          <w:rFonts w:hint="eastAsia" w:ascii="宋体" w:hAnsi="宋体" w:eastAsia="宋体" w:cs="宋体"/>
          <w:sz w:val="24"/>
          <w:lang w:val="en-US" w:eastAsia="zh-CN"/>
        </w:rPr>
        <w:t>建议</w:t>
      </w:r>
      <w:r>
        <w:rPr>
          <w:rFonts w:hint="eastAsia" w:ascii="宋体" w:hAnsi="宋体" w:eastAsia="宋体" w:cs="宋体"/>
          <w:sz w:val="24"/>
          <w:lang w:val="zh-CN" w:eastAsia="zh-CN"/>
        </w:rPr>
        <w:t>双面打印或用不褪色蓝（黑）墨水（汁）书写，统一胶装、标码，在每一页的正下方清楚标明第几页、共多少页等字样。</w:t>
      </w:r>
    </w:p>
    <w:p w14:paraId="56180396">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3、</w:t>
      </w:r>
      <w:r>
        <w:rPr>
          <w:rFonts w:hint="eastAsia" w:ascii="宋体" w:hAnsi="宋体" w:eastAsia="宋体" w:cs="宋体"/>
          <w:b/>
          <w:bCs/>
          <w:sz w:val="24"/>
          <w:lang w:val="zh-CN" w:eastAsia="zh-CN"/>
        </w:rPr>
        <w:t>电子文件制作要求。电子文件与纸质正本磋商响应文件的内容应保持一致，具有同等法律效率，</w:t>
      </w:r>
      <w:r>
        <w:rPr>
          <w:rFonts w:hint="eastAsia" w:ascii="宋体" w:hAnsi="宋体" w:eastAsia="宋体" w:cs="宋体"/>
          <w:b/>
          <w:color w:val="auto"/>
          <w:sz w:val="24"/>
        </w:rPr>
        <w:t>，有盖章和签字的文字页、证件等扫描文件一起编辑到PDF格式文件中，尤其是有盖章和签字的页不能遗漏，采用U盘</w:t>
      </w:r>
      <w:r>
        <w:rPr>
          <w:rFonts w:hint="eastAsia" w:ascii="宋体" w:hAnsi="宋体" w:cs="宋体"/>
          <w:b/>
          <w:color w:val="auto"/>
          <w:sz w:val="24"/>
          <w:lang w:eastAsia="zh-CN"/>
        </w:rPr>
        <w:t>刻录</w:t>
      </w:r>
      <w:r>
        <w:rPr>
          <w:rFonts w:hint="eastAsia" w:ascii="宋体" w:hAnsi="宋体" w:eastAsia="宋体" w:cs="宋体"/>
          <w:b/>
          <w:bCs/>
          <w:sz w:val="24"/>
          <w:lang w:val="zh-CN" w:eastAsia="zh-CN"/>
        </w:rPr>
        <w:t>，U盘外包装应注明供应商名称、项目编号、项目名称。</w:t>
      </w:r>
    </w:p>
    <w:p w14:paraId="16C61A07">
      <w:pPr>
        <w:spacing w:line="360" w:lineRule="auto"/>
        <w:ind w:firstLine="446" w:firstLineChars="186"/>
        <w:rPr>
          <w:rFonts w:hint="eastAsia" w:ascii="宋体" w:hAnsi="宋体" w:eastAsia="宋体" w:cs="宋体"/>
          <w:sz w:val="24"/>
          <w:lang w:val="en-US" w:eastAsia="zh-CN"/>
        </w:rPr>
      </w:pPr>
      <w:r>
        <w:rPr>
          <w:rFonts w:hint="eastAsia" w:ascii="宋体" w:hAnsi="宋体" w:eastAsia="宋体" w:cs="宋体"/>
          <w:sz w:val="24"/>
          <w:lang w:val="zh-CN" w:eastAsia="zh-CN"/>
        </w:rPr>
        <w:t>4、磋商响应文件必须加盖供应商单位公章和法定代表人（或其委托代理人）签字或盖章。</w:t>
      </w:r>
    </w:p>
    <w:p w14:paraId="0C5C079B">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5、磋商响应文件除各供应商对错处做必要修改外，不得行间插字、涂改和增删，如有修改错漏处，必须由供应商法定代表人（或其委托代理人）签字或盖章。</w:t>
      </w:r>
    </w:p>
    <w:p w14:paraId="5BB06C24">
      <w:pPr>
        <w:autoSpaceDE w:val="0"/>
        <w:autoSpaceDN w:val="0"/>
        <w:adjustRightInd w:val="0"/>
        <w:spacing w:line="360" w:lineRule="auto"/>
        <w:ind w:firstLine="241" w:firstLineChars="100"/>
        <w:rPr>
          <w:rFonts w:hint="eastAsia" w:ascii="宋体" w:hAnsi="宋体" w:eastAsia="宋体" w:cs="宋体"/>
          <w:b/>
          <w:sz w:val="24"/>
          <w:szCs w:val="24"/>
          <w:lang w:val="zh-CN"/>
        </w:rPr>
      </w:pPr>
      <w:r>
        <w:rPr>
          <w:rFonts w:hint="eastAsia" w:ascii="宋体" w:hAnsi="宋体" w:eastAsia="宋体" w:cs="宋体"/>
          <w:b/>
          <w:sz w:val="24"/>
          <w:szCs w:val="24"/>
          <w:lang w:val="zh-CN"/>
        </w:rPr>
        <w:t>五、磋商响应文件的密封和提交</w:t>
      </w:r>
    </w:p>
    <w:p w14:paraId="0A6BFE2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1、响应文件密封</w:t>
      </w:r>
    </w:p>
    <w:p w14:paraId="73AEA89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-1、供应商应将磋商响应文件的正本、副本（所有副本放在一个密封袋中）用单独的密封袋分别密封，电子标书（外包装应标明项目编号、项目名称、磋商供应商全称、年月日）与正本一起封装，在密封袋上标明项目编号、项目名称、磋商供应商全称（公章）、年月日、“正本” 、“副本” 等内容，再加封条密封，在封线处加盖公章和法人印章（骑缝章）。</w:t>
      </w:r>
    </w:p>
    <w:p w14:paraId="3842D66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1-2、响应文件未按要求密封和加写标记，采购代理机构可以拒收或按无效响应文件处理；采购代理机构对误投或过早启封的响应文件概不负责。</w:t>
      </w:r>
    </w:p>
    <w:p w14:paraId="28361F7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2、响应文件提交</w:t>
      </w:r>
    </w:p>
    <w:p w14:paraId="65F8020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2-1、供应商应在磋商采购文件要求提交响应文件递交的截止时间前将响应文件密封送达磋商地点。采购代理机构收到响应文件后办理签收手续。</w:t>
      </w:r>
    </w:p>
    <w:p w14:paraId="64251CF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2-2、在磋商采购文件要求提交响应文件的截止时间之后送达的响应文件，为无效响应文件，采购代理机构将拒绝接收，并退回给供应商。</w:t>
      </w:r>
    </w:p>
    <w:p w14:paraId="51EB5E1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-3、在提交响应文件截止时间前，供应商可以对所提交的响应文件进行补充、修改或者撤回，并书面通知采购代理机构。补充、修改的内容应当按竞争性磋商采购文件要求签署、盖章，并作为响应文件的组成部分。修改或撤回的内容应按采购文件的规定编制、密封、标记和发送，并在磋商采购响应文件的扉页上加注“修改”或“撤回”字样。补充、修改的内容与响应文件不一致的，以补充、修改的内容为准。</w:t>
      </w:r>
    </w:p>
    <w:p w14:paraId="1F66B7B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2-4、响应文件提交截止时间后，供应商不得对其磋商响应文件做任何修改。</w:t>
      </w:r>
    </w:p>
    <w:p w14:paraId="09424A5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2-5、在响应文件提交截止时间后到磋商采购文件规定的响应有效期满期间，供应商不得撤回其响应，否则，其保证金将不予退还，同时，还应按政府采购的有关规定处罚。</w:t>
      </w:r>
    </w:p>
    <w:p w14:paraId="3AAF551D">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六、磋商小组组成及职责</w:t>
      </w:r>
    </w:p>
    <w:p w14:paraId="118ED9C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1、采购代理机构组织磋商、评审工作，磋商整个过程接受监督机构的监督和管理，参加磋商的供应商须签名报到以证明出席。</w:t>
      </w:r>
    </w:p>
    <w:p w14:paraId="1070990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为确保磋商工作公平、公正，根据有关规定成立磋商小组。磋商小组由采购人及有关专家组成，专家比例不少于磋商小组成员总数的三分之二。磋商小组成员在专家库中随机抽取。磋商小组成员应当遵守并履行下列义务：</w:t>
      </w:r>
    </w:p>
    <w:p w14:paraId="26EBCBA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2-1、遵纪守法，客观、公正、廉洁地履行职责，审查磋商采购响应文件是否符合竞争性磋商采购文件的要求，并做出评价；</w:t>
      </w:r>
    </w:p>
    <w:p w14:paraId="78F80C9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2-2、要求供应商对磋商采购响应文件有关事项作出解释或者澄清；</w:t>
      </w:r>
    </w:p>
    <w:p w14:paraId="3E97C2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2-3、按照竞争性磋商采购文件的要求和磋商办法进行评审，推荐成交候选单位名单，对评审意见承担个人责任；</w:t>
      </w:r>
    </w:p>
    <w:p w14:paraId="40F5BBE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2-4、对评审过程和结果以及供应商的商业秘密保密；</w:t>
      </w:r>
    </w:p>
    <w:p w14:paraId="5D0D43A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2-5、参与磋商结果报告的起草；</w:t>
      </w:r>
    </w:p>
    <w:p w14:paraId="3FAEA4C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2-6、配合采购代理机构答复供应商提出的质疑；</w:t>
      </w:r>
    </w:p>
    <w:p w14:paraId="4421F6F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2-7、配合财政部门的投诉处理工作；</w:t>
      </w:r>
    </w:p>
    <w:p w14:paraId="2D54262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2-8、依据政府采购法有关精神，有权对磋商过程中出现的一切问题做出处理决定。</w:t>
      </w:r>
    </w:p>
    <w:p w14:paraId="7A3544D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3、磋商小组的职能：</w:t>
      </w:r>
    </w:p>
    <w:p w14:paraId="0D825D9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3-1、审查参加磋商供应商的磋商响应文件是否符合采购文件要求；</w:t>
      </w:r>
    </w:p>
    <w:p w14:paraId="09DDDD2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3-2、与各供应商就磋商采购响应文件（含澄清、说明或补正的内容）中的技术指标、实施方案、磋商报价、类似业绩、商务响应等进行磋商；</w:t>
      </w:r>
    </w:p>
    <w:p w14:paraId="3B6368D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3-3、依据采购文件，并视磋商情况，确定进入最终评审的供应商；</w:t>
      </w:r>
    </w:p>
    <w:p w14:paraId="0AE7140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3-4、排序推荐侯选成交供应商；</w:t>
      </w:r>
    </w:p>
    <w:p w14:paraId="2A0A65C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3-5、协商处理磋商过程中出现的其它相关问题。</w:t>
      </w:r>
    </w:p>
    <w:p w14:paraId="6A47BD7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4、竞争性磋商开始时，采购代理机构先将各供应商的第一次报价及有关内容进行记录。</w:t>
      </w:r>
    </w:p>
    <w:p w14:paraId="3627309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5、竞争性磋商开始后，直到与成交的供应商签订合同为止，凡与审查、澄清、评价和比较各供应商的有关资料及意见等内容，磋商小组均不得向供应商及与磋商无关的其他人透露。</w:t>
      </w:r>
    </w:p>
    <w:p w14:paraId="2F0C08C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6、在政府采购活动中，采购人员及相关人员（包括磋商小组）与供应商有下列利害关系之一的，应当回避：</w:t>
      </w:r>
    </w:p>
    <w:p w14:paraId="4FB254B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6-1、参加采购活动前3年内与供应商存在劳动关系；</w:t>
      </w:r>
    </w:p>
    <w:p w14:paraId="6F4C41A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6-2、参加采购活动前3年内担任供应商的董事、监事；</w:t>
      </w:r>
    </w:p>
    <w:p w14:paraId="33DF0D6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6-3、参加采购活动前3年内是供应商的控股股东或者实际控制人；</w:t>
      </w:r>
    </w:p>
    <w:p w14:paraId="400B1AA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6-4、与供应商的法定代表人或者负责人有夫妻、直系血亲、三代以内旁系血亲或者近姻亲关系；</w:t>
      </w:r>
    </w:p>
    <w:p w14:paraId="4B21648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6-5、与供应商有其他可能影响政府采购活动公平、公正进行的关系。</w:t>
      </w:r>
    </w:p>
    <w:p w14:paraId="33A5E63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ABD76F">
      <w:pPr>
        <w:pStyle w:val="6"/>
        <w:spacing w:before="0" w:after="0"/>
        <w:ind w:firstLine="525"/>
        <w:rPr>
          <w:rFonts w:hint="eastAsia" w:ascii="宋体" w:hAnsi="宋体" w:eastAsia="宋体" w:cs="宋体"/>
          <w:kern w:val="2"/>
          <w:szCs w:val="24"/>
        </w:rPr>
      </w:pPr>
      <w:r>
        <w:rPr>
          <w:rFonts w:hint="eastAsia" w:ascii="宋体" w:hAnsi="宋体" w:eastAsia="宋体" w:cs="宋体"/>
          <w:kern w:val="2"/>
          <w:szCs w:val="24"/>
        </w:rPr>
        <w:t>七、磋商评审办法及内容</w:t>
      </w:r>
    </w:p>
    <w:p w14:paraId="2DB2D2A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1、磋商评审原则：</w:t>
      </w:r>
    </w:p>
    <w:p w14:paraId="5D79212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1-1、磋商小组遵循“公开、公平、公正、科学、择优”的原则，实施方案先进可行；合理低价；禁止不正当竞争；</w:t>
      </w:r>
    </w:p>
    <w:p w14:paraId="5A152FC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1-2、坚持竞争性、经济实效性和可实施性原则；</w:t>
      </w:r>
    </w:p>
    <w:p w14:paraId="1212A9F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1-3、择优选择资格齐全、价格合理、质量可靠、服务周期有保证的成交供应商；</w:t>
      </w:r>
    </w:p>
    <w:p w14:paraId="6BBA0D5F">
      <w:pPr>
        <w:spacing w:line="360" w:lineRule="auto"/>
        <w:ind w:firstLine="448" w:firstLineChars="186"/>
        <w:rPr>
          <w:rFonts w:hint="eastAsia" w:ascii="宋体" w:hAnsi="宋体" w:eastAsia="宋体" w:cs="宋体"/>
          <w:sz w:val="24"/>
          <w:lang w:val="zh-CN" w:eastAsia="zh-CN"/>
        </w:rPr>
      </w:pPr>
      <w:r>
        <w:rPr>
          <w:rFonts w:hint="eastAsia" w:ascii="宋体" w:hAnsi="宋体" w:eastAsia="宋体" w:cs="宋体"/>
          <w:b/>
          <w:bCs/>
          <w:sz w:val="24"/>
          <w:lang w:val="zh-CN" w:eastAsia="zh-CN"/>
        </w:rPr>
        <w:t>2、资格审查</w:t>
      </w:r>
      <w:r>
        <w:rPr>
          <w:rFonts w:hint="eastAsia" w:ascii="宋体" w:hAnsi="宋体" w:eastAsia="宋体" w:cs="宋体"/>
          <w:sz w:val="24"/>
          <w:lang w:val="zh-CN" w:eastAsia="zh-CN"/>
        </w:rPr>
        <w:t>：磋商响应文件中的资格证明文件为必备条件，由采购人或采购代理机构对磋商响应文件中的资格进行审查，缺其中一项或某项达不到磋商要求，均按无效文件处理。</w:t>
      </w:r>
    </w:p>
    <w:p w14:paraId="15560DFC">
      <w:pPr>
        <w:spacing w:line="360" w:lineRule="auto"/>
        <w:ind w:firstLine="448" w:firstLineChars="186"/>
        <w:rPr>
          <w:rFonts w:hint="eastAsia" w:ascii="宋体" w:hAnsi="宋体" w:eastAsia="宋体" w:cs="宋体"/>
          <w:sz w:val="24"/>
          <w:lang w:val="zh-CN" w:eastAsia="zh-CN"/>
        </w:rPr>
      </w:pPr>
      <w:r>
        <w:rPr>
          <w:rFonts w:hint="eastAsia" w:ascii="宋体" w:hAnsi="宋体" w:eastAsia="宋体" w:cs="宋体"/>
          <w:b/>
          <w:bCs/>
          <w:sz w:val="24"/>
          <w:lang w:val="zh-CN" w:eastAsia="zh-CN"/>
        </w:rPr>
        <w:t>3、符合性审查</w:t>
      </w:r>
      <w:r>
        <w:rPr>
          <w:rFonts w:hint="eastAsia" w:ascii="宋体" w:hAnsi="宋体" w:eastAsia="宋体" w:cs="宋体"/>
          <w:sz w:val="24"/>
          <w:lang w:val="zh-CN" w:eastAsia="zh-CN"/>
        </w:rPr>
        <w:t>：依据采购文件的要求，对各供应商响应文件进行符合性审查。磋商采购响应文件出现下列情况之一者按无效文件处理：</w:t>
      </w:r>
    </w:p>
    <w:p w14:paraId="1EA25120">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3-1、</w:t>
      </w:r>
      <w:r>
        <w:rPr>
          <w:rFonts w:hint="eastAsia" w:ascii="宋体" w:hAnsi="宋体" w:eastAsia="宋体" w:cs="宋体"/>
          <w:sz w:val="24"/>
          <w:lang w:val="en-US" w:eastAsia="zh-CN"/>
        </w:rPr>
        <w:t>磋商响应</w:t>
      </w:r>
      <w:r>
        <w:rPr>
          <w:rFonts w:hint="eastAsia" w:ascii="宋体" w:hAnsi="宋体" w:eastAsia="宋体" w:cs="宋体"/>
          <w:sz w:val="24"/>
          <w:lang w:val="zh-CN" w:eastAsia="zh-CN"/>
        </w:rPr>
        <w:t>文件未按照</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文件规定份数提交的；</w:t>
      </w:r>
    </w:p>
    <w:p w14:paraId="5509D2D8">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3-2、磋商响应</w:t>
      </w:r>
      <w:r>
        <w:rPr>
          <w:rFonts w:hint="eastAsia" w:ascii="宋体" w:hAnsi="宋体" w:eastAsia="宋体" w:cs="宋体"/>
          <w:sz w:val="24"/>
          <w:lang w:val="zh-CN" w:eastAsia="zh-CN"/>
        </w:rPr>
        <w:t>文件未按照</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文件规定要求签署、盖章的；</w:t>
      </w:r>
    </w:p>
    <w:p w14:paraId="432751E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3-3、</w:t>
      </w:r>
      <w:r>
        <w:rPr>
          <w:rFonts w:hint="eastAsia" w:ascii="宋体" w:hAnsi="宋体" w:eastAsia="宋体" w:cs="宋体"/>
          <w:sz w:val="24"/>
          <w:lang w:val="zh-CN" w:eastAsia="zh-CN"/>
        </w:rPr>
        <w:t>磋商响应文件出现重大负偏离的；</w:t>
      </w:r>
    </w:p>
    <w:p w14:paraId="0F0D96E1">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3-4、磋商</w:t>
      </w:r>
      <w:r>
        <w:rPr>
          <w:rFonts w:hint="eastAsia" w:ascii="宋体" w:hAnsi="宋体" w:eastAsia="宋体" w:cs="宋体"/>
          <w:sz w:val="24"/>
          <w:lang w:val="zh-CN" w:eastAsia="zh-CN"/>
        </w:rPr>
        <w:t>有效期不足的或无有效期的；</w:t>
      </w:r>
    </w:p>
    <w:p w14:paraId="03B6FEBB">
      <w:pPr>
        <w:spacing w:line="360" w:lineRule="auto"/>
        <w:ind w:firstLine="446" w:firstLineChars="186"/>
        <w:rPr>
          <w:rFonts w:hint="eastAsia" w:ascii="宋体" w:hAnsi="宋体" w:eastAsia="宋体" w:cs="宋体"/>
          <w:sz w:val="24"/>
          <w:lang w:val="en-US" w:eastAsia="zh-CN"/>
        </w:rPr>
      </w:pPr>
      <w:r>
        <w:rPr>
          <w:rFonts w:hint="eastAsia" w:ascii="宋体" w:hAnsi="宋体" w:eastAsia="宋体" w:cs="宋体"/>
          <w:sz w:val="24"/>
          <w:lang w:val="en-US" w:eastAsia="zh-CN"/>
        </w:rPr>
        <w:t>3-5、</w:t>
      </w:r>
      <w:r>
        <w:rPr>
          <w:rFonts w:hint="eastAsia" w:ascii="宋体" w:hAnsi="宋体" w:eastAsia="宋体" w:cs="宋体"/>
          <w:sz w:val="24"/>
          <w:lang w:val="zh-CN" w:eastAsia="zh-CN"/>
        </w:rPr>
        <w:t>报价超过</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文件中规定的预算金额或者最高限价的</w:t>
      </w:r>
    </w:p>
    <w:p w14:paraId="002A3B65">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4、磋商采购响应文件出现下列情况，修正原则为：</w:t>
      </w:r>
    </w:p>
    <w:p w14:paraId="46A1AF8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4-1、文字与图表不符以文字为准；</w:t>
      </w:r>
    </w:p>
    <w:p w14:paraId="51DF6C0B">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4-2、单价与总价不符以单价为准；</w:t>
      </w:r>
    </w:p>
    <w:p w14:paraId="4F6EEE40">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4-3、大写与小写不符以大写为准；</w:t>
      </w:r>
    </w:p>
    <w:p w14:paraId="2D515529">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4-4、正本与副本不符以正本为准；</w:t>
      </w:r>
    </w:p>
    <w:p w14:paraId="4481698D">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5、磋商程序：</w:t>
      </w:r>
    </w:p>
    <w:p w14:paraId="2D3A85A7">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磋商的全过程分为记录第一次磋商报价、供应商资格审查、符合性审查、磋商过程、磋商承诺、第二次报价、综合评审等阶段。通过资格审查确定进入磋商的供应商，只有符合磋商采购文件要求和满足技术、商务需要的供应商才有最终报价和评审的机会。</w:t>
      </w:r>
    </w:p>
    <w:p w14:paraId="09C4086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5-1、记录第一次报价：各供应商的响应文件中的报价、服务周期等内容由记录人进行记录。</w:t>
      </w:r>
    </w:p>
    <w:p w14:paraId="709CF552">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5-2、供应商资格审查：按照采购文件要求对各供应商提供的资格进行审查，对于没有按采购文件要求提供必备资格或资格的合法性或有效性不符合规定的供应商，不进入下一步评审程序。</w:t>
      </w:r>
    </w:p>
    <w:p w14:paraId="4331386F">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-3、磋商过程：磋商小组在符合性评审的基础上对各供应商的响应文件认真阅读，并对采购内容、商务、报价、实施方案等内容进行一对一的磋商。各供应商就磋商中的商务、价格、服务等内容按要求进行补充、完善、澄清、承诺，但补充完善的内容必须在其授权范围内。磋商小组以补充、完善后的内容作为评审的依据。</w:t>
      </w:r>
    </w:p>
    <w:p w14:paraId="4262A9BE">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5-4、各供应商对磋商小组在磋商过程中的问题予以澄清说明，做出承诺，同时对报价及构成再作成本分析、核算，并在此基础上进行二次报价。</w:t>
      </w:r>
    </w:p>
    <w:p w14:paraId="29291F0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5-5、磋商小组对各供应商磋商内容进行确认。</w:t>
      </w:r>
    </w:p>
    <w:p w14:paraId="0A08BE08">
      <w:pPr>
        <w:spacing w:line="360" w:lineRule="auto"/>
        <w:ind w:firstLine="446" w:firstLineChars="186"/>
        <w:rPr>
          <w:rFonts w:hint="eastAsia"/>
          <w:lang w:val="zh-CN" w:eastAsia="zh-CN"/>
        </w:rPr>
      </w:pPr>
      <w:r>
        <w:rPr>
          <w:rFonts w:hint="eastAsia" w:ascii="宋体" w:hAnsi="宋体" w:eastAsia="宋体" w:cs="宋体"/>
          <w:sz w:val="24"/>
          <w:lang w:val="zh-CN" w:eastAsia="zh-CN"/>
        </w:rPr>
        <w:t>5-6、磋商小组以磋商采购响应文件、磋商承诺内容、二次报价为依据，按照评审办法，推荐成交候选单位。</w:t>
      </w:r>
    </w:p>
    <w:p w14:paraId="45660D4E">
      <w:pPr>
        <w:spacing w:line="360" w:lineRule="auto"/>
        <w:ind w:firstLine="523" w:firstLineChars="217"/>
        <w:rPr>
          <w:rFonts w:hint="eastAsia" w:ascii="宋体" w:hAnsi="宋体" w:eastAsia="宋体" w:cs="宋体"/>
          <w:sz w:val="24"/>
        </w:rPr>
      </w:pPr>
      <w:r>
        <w:rPr>
          <w:rFonts w:hint="eastAsia" w:ascii="宋体" w:hAnsi="宋体" w:eastAsia="宋体" w:cs="宋体"/>
          <w:b/>
          <w:bCs/>
          <w:sz w:val="24"/>
        </w:rPr>
        <w:t>6、评审方式：采用综合评分法。</w:t>
      </w:r>
    </w:p>
    <w:p w14:paraId="531DE08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6-1、技术评审：对供应商提供的实施方案进行评审，主要内容包括拟投入的人员组成、实施方案、质量保证措施等。</w:t>
      </w:r>
    </w:p>
    <w:p w14:paraId="53948A2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6-2、商务评审：对磋商报价、商务响应等的评审。</w:t>
      </w:r>
    </w:p>
    <w:p w14:paraId="6C97587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按照上述工作顺序，由磋商小组进行记名打分，计算供应商各分项有效得分，其合计即为该供应商的综合得分。按综合得分高低进行排序，并选定综合得分最高者为第一成交候选供应商。</w:t>
      </w:r>
    </w:p>
    <w:p w14:paraId="467BB7C2">
      <w:pPr>
        <w:spacing w:line="360" w:lineRule="auto"/>
        <w:ind w:firstLine="523" w:firstLineChars="217"/>
        <w:rPr>
          <w:rFonts w:hint="eastAsia" w:ascii="宋体" w:hAnsi="宋体" w:eastAsia="宋体" w:cs="宋体"/>
          <w:b/>
          <w:bCs/>
          <w:sz w:val="24"/>
        </w:rPr>
      </w:pPr>
      <w:r>
        <w:rPr>
          <w:rFonts w:hint="eastAsia" w:ascii="宋体" w:hAnsi="宋体" w:eastAsia="宋体" w:cs="宋体"/>
          <w:b/>
          <w:bCs/>
          <w:sz w:val="24"/>
        </w:rPr>
        <w:t>7、政策及其他规定</w:t>
      </w:r>
    </w:p>
    <w:p w14:paraId="3834754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7.1、落实促进支持中小企业、监狱企业、残疾人福利性单位发展政策(如为专门面向中小企业的采购项目（或采购包），不执行7.1.1、7.1.2、7.1.3条款的价格扣除或加分。)</w:t>
      </w:r>
    </w:p>
    <w:p w14:paraId="6D50943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7.1.1 《政府采购促进中小企业发展管理办法》（财库〔2020〕46号）、《关于进一步加大政府采购支持中小企业力度的通知》（财库〔2022〕19号）</w:t>
      </w:r>
    </w:p>
    <w:p w14:paraId="0C37B50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在政府采购活动中，供应商提供的货物、工程或者服务符合下列情形的，享受《办法》规定的中小企业扶持政策:</w:t>
      </w:r>
    </w:p>
    <w:p w14:paraId="573D877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(一)在货物采购项目中，货物由中小企业制造，即货物由中小企业生产且使用该中小企业商号或者注册商标；</w:t>
      </w:r>
    </w:p>
    <w:p w14:paraId="11AA9EC6">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(二)在采购项目中，供应商为中小企业；</w:t>
      </w:r>
    </w:p>
    <w:p w14:paraId="25A6FA9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(三)在服务采购项目中，服务由中小企业承接，即提供服务的人员为中小企业依照《中华人民共和国劳动合同法》订立劳动合同的从业人员。</w:t>
      </w:r>
    </w:p>
    <w:p w14:paraId="1B25245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在货物采购项目中，供应商提供的货物既有中小企业制造货物，也有大型企业制造货物的，不享受《办法》规定的中小企业扶持政策。</w:t>
      </w:r>
    </w:p>
    <w:p w14:paraId="4F639F2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以联合体形式参加政府采购活动，联合体各方均为中小企业的，联合体视同中小企业。其中，联合体各方均为小微企业的，联合体视同小微企业。</w:t>
      </w:r>
    </w:p>
    <w:p w14:paraId="1C70E7A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依据《办法》规定享受扶持政策获得政府采购合同的，小微企业不得将合同分包给大中型企业，中型企业不得将合同分包给大型企业。</w:t>
      </w:r>
    </w:p>
    <w:p w14:paraId="787EAAA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4BF0BCDC">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sz w:val="24"/>
          <w:lang w:val="zh-CN" w:eastAsia="zh-CN"/>
        </w:rPr>
        <w:t>根据《政府采购促进中小企业发展管理办法》及《关于进一步加大政府采购支持中小企业力</w:t>
      </w:r>
      <w:r>
        <w:rPr>
          <w:rFonts w:hint="eastAsia" w:ascii="宋体" w:hAnsi="宋体" w:eastAsia="宋体" w:cs="宋体"/>
          <w:color w:val="auto"/>
          <w:sz w:val="24"/>
          <w:lang w:val="zh-CN" w:eastAsia="zh-CN"/>
        </w:rPr>
        <w:t>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90BBB91">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9C0330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color w:val="auto"/>
          <w:sz w:val="24"/>
          <w:lang w:val="zh-CN" w:eastAsia="zh-CN"/>
        </w:rPr>
        <w:t>7.1.2 《财政部 司法部关于政府采购支持监狱企业发展有关问题的通知》（</w:t>
      </w:r>
      <w:r>
        <w:rPr>
          <w:rFonts w:hint="eastAsia" w:ascii="宋体" w:hAnsi="宋体" w:eastAsia="宋体" w:cs="宋体"/>
          <w:sz w:val="24"/>
          <w:lang w:val="zh-CN" w:eastAsia="zh-CN"/>
        </w:rPr>
        <w:t>财库〔2014〕68号）</w:t>
      </w:r>
    </w:p>
    <w:p w14:paraId="6DE4332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监狱企业参加政府采购活动时，应当提供由省级以上监狱管理局、戒毒管理局（含新疆生产建设兵团）出具的属于监狱企业的证明文件。在政府采购活动中，监狱企业视同小型、微型企业。</w:t>
      </w:r>
    </w:p>
    <w:p w14:paraId="09F2AFD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7.1.3 《三部门联合发布关于促进残疾人就业政府采购政策的通知》（财库〔2017〕141号）；</w:t>
      </w:r>
    </w:p>
    <w:p w14:paraId="1D9C6CB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DB8A69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7.2落实优先采购节能、环保产品的政策</w:t>
      </w:r>
    </w:p>
    <w:p w14:paraId="675AE62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7.2.</w:t>
      </w:r>
      <w:r>
        <w:rPr>
          <w:rFonts w:hint="eastAsia" w:ascii="宋体" w:hAnsi="宋体" w:eastAsia="宋体" w:cs="宋体"/>
          <w:sz w:val="24"/>
          <w:lang w:val="en-US" w:eastAsia="zh-CN"/>
        </w:rPr>
        <w:t>1</w:t>
      </w:r>
      <w:r>
        <w:rPr>
          <w:rFonts w:hint="eastAsia" w:ascii="宋体" w:hAnsi="宋体" w:eastAsia="宋体" w:cs="宋体"/>
          <w:sz w:val="24"/>
          <w:lang w:val="zh-CN" w:eastAsia="zh-CN"/>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CC7FB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所有投标产品进入 “节能产品政府采购品目清单”的，应提供相关证书扫描件，相关证书的颁发机构应来自《参与实施政府采购节能产品认证机构名录》。</w:t>
      </w:r>
    </w:p>
    <w:p w14:paraId="739928B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所有投标产品进入“环境标志产品政府采购品目清单”的，应提供相关证书扫描件，相关证书的颁发机构应来自《参与实施政府采购环境标志产品认证机构名录》。</w:t>
      </w:r>
    </w:p>
    <w:p w14:paraId="2D3B12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7.3政府采购信用融资政策</w:t>
      </w:r>
    </w:p>
    <w:p w14:paraId="61A46DC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7.3.1融资政策</w:t>
      </w:r>
    </w:p>
    <w:p w14:paraId="0540090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38891E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3F61FC5D">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w:t>
      </w:r>
      <w:r>
        <w:rPr>
          <w:rFonts w:hint="eastAsia" w:ascii="宋体" w:hAnsi="宋体" w:eastAsia="宋体" w:cs="宋体"/>
          <w:sz w:val="24"/>
          <w:lang w:val="en-US" w:eastAsia="zh-CN"/>
        </w:rPr>
        <w:t>4</w:t>
      </w:r>
      <w:r>
        <w:rPr>
          <w:rFonts w:hint="eastAsia" w:ascii="宋体" w:hAnsi="宋体" w:eastAsia="宋体" w:cs="宋体"/>
          <w:sz w:val="24"/>
          <w:lang w:val="zh-CN" w:eastAsia="zh-CN"/>
        </w:rPr>
        <w:t>、其他规定。</w:t>
      </w:r>
    </w:p>
    <w:p w14:paraId="7C6F006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w:t>
      </w:r>
      <w:r>
        <w:rPr>
          <w:rFonts w:hint="eastAsia" w:ascii="宋体" w:hAnsi="宋体" w:eastAsia="宋体" w:cs="宋体"/>
          <w:sz w:val="24"/>
          <w:lang w:val="en-US" w:eastAsia="zh-CN"/>
        </w:rPr>
        <w:t>4</w:t>
      </w:r>
      <w:r>
        <w:rPr>
          <w:rFonts w:hint="eastAsia" w:ascii="宋体" w:hAnsi="宋体" w:eastAsia="宋体" w:cs="宋体"/>
          <w:sz w:val="24"/>
          <w:lang w:val="zh-CN" w:eastAsia="zh-CN"/>
        </w:rPr>
        <w:t>.1、除价格因素外，磋商小组成员应依据磋商文件规定的磋商标准和方法独立对其他因素进行比较打分。</w:t>
      </w:r>
    </w:p>
    <w:p w14:paraId="6F6F56A5">
      <w:pPr>
        <w:spacing w:line="360" w:lineRule="auto"/>
        <w:ind w:firstLine="523" w:firstLineChars="217"/>
        <w:rPr>
          <w:rFonts w:hint="eastAsia" w:ascii="宋体" w:hAnsi="宋体" w:eastAsia="宋体" w:cs="宋体"/>
          <w:b/>
          <w:sz w:val="24"/>
          <w:highlight w:val="none"/>
        </w:rPr>
      </w:pPr>
      <w:r>
        <w:rPr>
          <w:rFonts w:hint="eastAsia" w:ascii="宋体" w:hAnsi="宋体" w:eastAsia="宋体" w:cs="宋体"/>
          <w:b/>
          <w:sz w:val="24"/>
        </w:rPr>
        <w:t>注：供应商同时具备小微企业、监狱企业及残疾人福利性单位等价格评分标准的，以</w:t>
      </w:r>
      <w:r>
        <w:rPr>
          <w:rFonts w:hint="eastAsia" w:ascii="宋体" w:hAnsi="宋体" w:eastAsia="宋体" w:cs="宋体"/>
          <w:b/>
          <w:sz w:val="24"/>
          <w:highlight w:val="none"/>
        </w:rPr>
        <w:t xml:space="preserve">最优的计取，不重复享受政策。 </w:t>
      </w:r>
    </w:p>
    <w:p w14:paraId="2EEC9C89">
      <w:pPr>
        <w:spacing w:line="360" w:lineRule="auto"/>
        <w:ind w:firstLine="520" w:firstLineChars="217"/>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、评审方法：综合评分法（总计100分）。</w:t>
      </w:r>
    </w:p>
    <w:p w14:paraId="65ED7E2D">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评审因素及权值：</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5"/>
        <w:gridCol w:w="1132"/>
        <w:gridCol w:w="6398"/>
      </w:tblGrid>
      <w:tr w14:paraId="4CB8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23" w:type="pct"/>
            <w:noWrap w:val="0"/>
            <w:vAlign w:val="center"/>
          </w:tcPr>
          <w:p w14:paraId="61910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3" w:type="pct"/>
            <w:noWrap w:val="0"/>
            <w:vAlign w:val="center"/>
          </w:tcPr>
          <w:p w14:paraId="09900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权值</w:t>
            </w:r>
          </w:p>
        </w:tc>
        <w:tc>
          <w:tcPr>
            <w:tcW w:w="3463" w:type="pct"/>
            <w:noWrap w:val="0"/>
            <w:vAlign w:val="center"/>
          </w:tcPr>
          <w:p w14:paraId="6450B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r>
      <w:tr w14:paraId="15ED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923" w:type="pct"/>
            <w:noWrap w:val="0"/>
            <w:vAlign w:val="center"/>
          </w:tcPr>
          <w:p w14:paraId="28A071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价格</w:t>
            </w:r>
          </w:p>
        </w:tc>
        <w:tc>
          <w:tcPr>
            <w:tcW w:w="613" w:type="pct"/>
            <w:noWrap w:val="0"/>
            <w:vAlign w:val="center"/>
          </w:tcPr>
          <w:p w14:paraId="29C8CE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sz w:val="21"/>
                <w:szCs w:val="21"/>
                <w:lang w:val="en-US" w:eastAsia="zh-CN"/>
              </w:rPr>
              <w:t>10</w:t>
            </w:r>
          </w:p>
        </w:tc>
        <w:tc>
          <w:tcPr>
            <w:tcW w:w="3463" w:type="pct"/>
            <w:noWrap w:val="0"/>
            <w:vAlign w:val="center"/>
          </w:tcPr>
          <w:p w14:paraId="579BC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rPr>
              <w:t>满足</w:t>
            </w:r>
            <w:r>
              <w:rPr>
                <w:rFonts w:hint="eastAsia" w:ascii="宋体" w:hAnsi="宋体" w:eastAsia="宋体" w:cs="宋体"/>
                <w:sz w:val="21"/>
                <w:szCs w:val="21"/>
                <w:lang w:eastAsia="zh-CN"/>
              </w:rPr>
              <w:t>磋商</w:t>
            </w:r>
            <w:r>
              <w:rPr>
                <w:rFonts w:hint="eastAsia" w:ascii="宋体" w:hAnsi="宋体" w:eastAsia="宋体" w:cs="宋体"/>
                <w:sz w:val="21"/>
                <w:szCs w:val="21"/>
              </w:rPr>
              <w:t>文件要求</w:t>
            </w:r>
            <w:r>
              <w:rPr>
                <w:rFonts w:hint="eastAsia" w:ascii="宋体" w:hAnsi="宋体" w:cs="宋体"/>
                <w:sz w:val="21"/>
                <w:szCs w:val="21"/>
                <w:lang w:eastAsia="zh-CN"/>
              </w:rPr>
              <w:t>报价最低的</w:t>
            </w:r>
            <w:r>
              <w:rPr>
                <w:rFonts w:hint="eastAsia" w:ascii="宋体" w:hAnsi="宋体" w:eastAsia="宋体" w:cs="宋体"/>
                <w:sz w:val="21"/>
                <w:szCs w:val="21"/>
              </w:rPr>
              <w:t>为评标基准价，其价格分为满分。其他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的价格分统一按照下列公式计算：</w:t>
            </w:r>
            <w:r>
              <w:rPr>
                <w:rFonts w:hint="eastAsia" w:ascii="宋体" w:hAnsi="宋体" w:eastAsia="宋体" w:cs="宋体"/>
                <w:sz w:val="21"/>
                <w:szCs w:val="21"/>
                <w:lang w:eastAsia="zh-CN"/>
              </w:rPr>
              <w:t>磋商</w:t>
            </w:r>
            <w:r>
              <w:rPr>
                <w:rFonts w:hint="eastAsia" w:ascii="宋体" w:hAnsi="宋体" w:eastAsia="宋体" w:cs="宋体"/>
                <w:sz w:val="21"/>
                <w:szCs w:val="21"/>
              </w:rPr>
              <w:t>报价得分=评标基准价</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磋商</w:t>
            </w:r>
            <w:r>
              <w:rPr>
                <w:rFonts w:hint="eastAsia" w:ascii="宋体" w:hAnsi="宋体" w:cs="宋体"/>
                <w:sz w:val="21"/>
                <w:szCs w:val="21"/>
                <w:lang w:eastAsia="zh-CN"/>
              </w:rPr>
              <w:t>报价</w:t>
            </w:r>
            <w:r>
              <w:rPr>
                <w:rFonts w:hint="eastAsia" w:ascii="宋体" w:hAnsi="宋体" w:eastAsia="宋体" w:cs="宋体"/>
                <w:sz w:val="21"/>
                <w:szCs w:val="21"/>
              </w:rPr>
              <w:t>*</w:t>
            </w:r>
            <w:r>
              <w:rPr>
                <w:rFonts w:hint="eastAsia" w:ascii="宋体" w:hAnsi="宋体" w:cs="宋体"/>
                <w:sz w:val="21"/>
                <w:szCs w:val="21"/>
                <w:lang w:val="en-US" w:eastAsia="zh-CN"/>
              </w:rPr>
              <w:t>10</w:t>
            </w:r>
          </w:p>
        </w:tc>
      </w:tr>
      <w:tr w14:paraId="6B9F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3" w:hRule="atLeast"/>
          <w:jc w:val="center"/>
        </w:trPr>
        <w:tc>
          <w:tcPr>
            <w:tcW w:w="923" w:type="pct"/>
            <w:noWrap w:val="0"/>
            <w:vAlign w:val="center"/>
          </w:tcPr>
          <w:p w14:paraId="14EFF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w:t>
            </w:r>
          </w:p>
          <w:p w14:paraId="34D48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13" w:type="pct"/>
            <w:noWrap w:val="0"/>
            <w:vAlign w:val="center"/>
          </w:tcPr>
          <w:p w14:paraId="382DD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3463" w:type="pct"/>
            <w:noWrap w:val="0"/>
            <w:vAlign w:val="top"/>
          </w:tcPr>
          <w:p w14:paraId="11128D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针对本项目提供服务方案，包括但不限于①厨房日常管理、②厨房及周边区域保洁、③厨房设备维护保养、④服务水平及服务质量、⑤食品安全及留样管理等。</w:t>
            </w:r>
          </w:p>
          <w:p w14:paraId="4B5CE8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每个单项方案内容完整、思路明晰合理、科学、实用、针对性强得 3 分；</w:t>
            </w:r>
          </w:p>
          <w:p w14:paraId="6B7007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每个单项方案内容相对完整、思路相对明晰合理、科学、实用、针对性相对合理得 2 分；</w:t>
            </w:r>
          </w:p>
          <w:p w14:paraId="17A6B0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每个单项方案内容不够完整、思路不够明晰合理、针对性相对差弱得 1 分；</w:t>
            </w:r>
          </w:p>
          <w:p w14:paraId="7B1397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5905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noWrap w:val="0"/>
            <w:vAlign w:val="center"/>
          </w:tcPr>
          <w:p w14:paraId="26D4C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供餐模式</w:t>
            </w:r>
          </w:p>
        </w:tc>
        <w:tc>
          <w:tcPr>
            <w:tcW w:w="613" w:type="pct"/>
            <w:noWrap w:val="0"/>
            <w:vAlign w:val="center"/>
          </w:tcPr>
          <w:p w14:paraId="32319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370275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针对本项目设计具有合理、可行性供餐模式：在保证菜肴质量的前提下，能够做到食谱营养、品种及口味的合理搭配，并不断开发新产品，确保供应品种多样化。</w:t>
            </w:r>
          </w:p>
          <w:p w14:paraId="42B643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饮食搭配科学合理、营养均衡全面、食品花色多样性、食谱制定的可行性强计 5 分；</w:t>
            </w:r>
          </w:p>
          <w:p w14:paraId="1529AE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饮食搭配较为合理、营养均衡较为全面、食品花色多样性、食谱制定的可行性较强计 4 分；</w:t>
            </w:r>
          </w:p>
          <w:p w14:paraId="504B3D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饮食搭配基本合理、营养均衡基本全面、食品花样、食谱制定的可行性一般计 3 分；</w:t>
            </w:r>
          </w:p>
          <w:p w14:paraId="1A7851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饮食搭配不够合理、营养均衡基本全面、食品花样、食谱制定的可行性有待考究计 2 分；</w:t>
            </w:r>
          </w:p>
          <w:p w14:paraId="7C414D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饮食搭配不合理、营养不均衡、食品花样、食谱制定不具有可行性计 1 分。</w:t>
            </w:r>
          </w:p>
          <w:p w14:paraId="209F89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5995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454D1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厨务操作</w:t>
            </w:r>
          </w:p>
        </w:tc>
        <w:tc>
          <w:tcPr>
            <w:tcW w:w="613" w:type="pct"/>
            <w:noWrap w:val="0"/>
            <w:vAlign w:val="center"/>
          </w:tcPr>
          <w:p w14:paraId="1AD06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7D3E28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针对本项目的厨务操作及具体措施等提供相应执行方案。</w:t>
            </w:r>
          </w:p>
          <w:p w14:paraId="62F4E6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方案完善全面、合理可行、可操作性强的计 5 分；</w:t>
            </w:r>
          </w:p>
          <w:p w14:paraId="291F8E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方案较为完善全面、较合理，可操作性较强计 4 分；</w:t>
            </w:r>
          </w:p>
          <w:p w14:paraId="7E58C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方案基本全面、具有一定的可操作性计 3 分；</w:t>
            </w:r>
          </w:p>
          <w:p w14:paraId="70EA6E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方案不够全面、可操作性有待考究计 2 分；</w:t>
            </w:r>
          </w:p>
          <w:p w14:paraId="38CFE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方案简单，内容空泛、不具有可操作性计 1 分。</w:t>
            </w:r>
          </w:p>
          <w:p w14:paraId="4F1EB4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0840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3066E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成本控制</w:t>
            </w:r>
          </w:p>
          <w:p w14:paraId="7D796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tc>
        <w:tc>
          <w:tcPr>
            <w:tcW w:w="613" w:type="pct"/>
            <w:noWrap w:val="0"/>
            <w:vAlign w:val="center"/>
          </w:tcPr>
          <w:p w14:paraId="70A35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top"/>
          </w:tcPr>
          <w:p w14:paraId="576CB6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针对本项目提供成本控制措施。</w:t>
            </w:r>
          </w:p>
          <w:p w14:paraId="15A4C0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措施完善、合理，可行性强，计 4 分；</w:t>
            </w:r>
          </w:p>
          <w:p w14:paraId="4E44A7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措施较较完善、基本合理，具有一定的可行性，计 3 分；</w:t>
            </w:r>
          </w:p>
          <w:p w14:paraId="5FEE92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措施不够完善，具有可行性，计 2 分；</w:t>
            </w:r>
          </w:p>
          <w:p w14:paraId="73B053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措施简单，内容空泛，不具备可行性，计 1 分。</w:t>
            </w:r>
          </w:p>
          <w:p w14:paraId="45CDDC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3948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132D2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人员配备</w:t>
            </w:r>
          </w:p>
        </w:tc>
        <w:tc>
          <w:tcPr>
            <w:tcW w:w="613" w:type="pct"/>
            <w:noWrap w:val="0"/>
            <w:vAlign w:val="center"/>
          </w:tcPr>
          <w:p w14:paraId="17A93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6B1ADA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针对本项目所配工作人员。</w:t>
            </w:r>
          </w:p>
          <w:p w14:paraId="4EE91E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人员组织架构完整，岗位设置合理、明确，充分满足本项目采购要求计 5 分；</w:t>
            </w:r>
          </w:p>
          <w:p w14:paraId="230EFF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人员组织架构完整，岗位设置有一定的合理性，能够满足本项目采购要求计 4 分；</w:t>
            </w:r>
          </w:p>
          <w:p w14:paraId="01C55C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人员组织架构基本完整，岗位设置基本合理，基本满足本项目采购要求计 3 分；</w:t>
            </w:r>
          </w:p>
          <w:p w14:paraId="6DFDF9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人员组织架构不够完善，岗位设置合理性一般，不能满足本项目采购要求计 2 分；</w:t>
            </w:r>
          </w:p>
          <w:p w14:paraId="1203C5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人员组织架构笼统简单，岗位设置不够合理计 1 分。</w:t>
            </w:r>
          </w:p>
          <w:p w14:paraId="67AF5C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3A1A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6438B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人员管理方案</w:t>
            </w:r>
          </w:p>
        </w:tc>
        <w:tc>
          <w:tcPr>
            <w:tcW w:w="613" w:type="pct"/>
            <w:noWrap w:val="0"/>
            <w:vAlign w:val="center"/>
          </w:tcPr>
          <w:p w14:paraId="28E79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463" w:type="pct"/>
            <w:noWrap w:val="0"/>
            <w:vAlign w:val="top"/>
          </w:tcPr>
          <w:p w14:paraId="1CADCA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针对本项目提供人员管理方案，包括但不限于①培训方案、②考勤方案、③奖惩方案，保证上岗人员的专业素质、服务质量符合采购人要求。</w:t>
            </w:r>
          </w:p>
          <w:p w14:paraId="4FBC91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每一项均有详细且针对性的说明计6分；</w:t>
            </w:r>
          </w:p>
          <w:p w14:paraId="5B251D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 2分；</w:t>
            </w:r>
          </w:p>
          <w:p w14:paraId="702BA1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以上内容仅有描述但不够完善的，每有一项扣1分；</w:t>
            </w:r>
          </w:p>
          <w:p w14:paraId="255BE3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2A69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430FE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管理制度</w:t>
            </w:r>
          </w:p>
        </w:tc>
        <w:tc>
          <w:tcPr>
            <w:tcW w:w="613" w:type="pct"/>
            <w:noWrap w:val="0"/>
            <w:vAlign w:val="center"/>
          </w:tcPr>
          <w:p w14:paraId="7D798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3" w:type="pct"/>
            <w:noWrap w:val="0"/>
            <w:vAlign w:val="top"/>
          </w:tcPr>
          <w:p w14:paraId="01324E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针对本项目提供管理机构及制度，包括但不限于①餐厅经营管理制度、②用工管理制度、③食材存储制度、④消毒管理制度、⑤服装管理制度、⑥档案管理制度等进行综合评审。</w:t>
            </w:r>
          </w:p>
          <w:p w14:paraId="3E3B85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 12 分；</w:t>
            </w:r>
          </w:p>
          <w:p w14:paraId="1AB60B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 2 分；</w:t>
            </w:r>
          </w:p>
          <w:p w14:paraId="1858F6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 1 分；</w:t>
            </w:r>
          </w:p>
          <w:p w14:paraId="62C8E1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4649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7F2F8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服务承诺及</w:t>
            </w:r>
          </w:p>
          <w:p w14:paraId="64898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保障措施</w:t>
            </w:r>
          </w:p>
        </w:tc>
        <w:tc>
          <w:tcPr>
            <w:tcW w:w="613" w:type="pct"/>
            <w:noWrap w:val="0"/>
            <w:vAlign w:val="center"/>
          </w:tcPr>
          <w:p w14:paraId="06B24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157E57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供应商提供服务承诺及保障措施，包括但不限于食堂管理运营期间的①食品安全承诺及保障措施、②厨房设备安全运行承诺、③菜品保障承诺、④食堂环境卫生承诺及保障措施、⑤依法用工承诺及保障措施。</w:t>
            </w:r>
          </w:p>
          <w:p w14:paraId="652665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 10 分；</w:t>
            </w:r>
          </w:p>
          <w:p w14:paraId="2FC630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 2 分；</w:t>
            </w:r>
          </w:p>
          <w:p w14:paraId="5B4C82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 1 分；</w:t>
            </w:r>
          </w:p>
          <w:p w14:paraId="17045E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67B7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59DB6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特色服务保</w:t>
            </w:r>
          </w:p>
          <w:p w14:paraId="2936B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障方案</w:t>
            </w:r>
          </w:p>
        </w:tc>
        <w:tc>
          <w:tcPr>
            <w:tcW w:w="613" w:type="pct"/>
            <w:noWrap w:val="0"/>
            <w:vAlign w:val="center"/>
          </w:tcPr>
          <w:p w14:paraId="495CB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5555E6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根据供应商针对中国传统习俗、节日，不同人群服务特点、大型活动、宴会招待等，提供的特色服务保障方案自主赋分。</w:t>
            </w:r>
          </w:p>
          <w:p w14:paraId="7B5525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方案完善全面、合理可行、可操作性强的计 10 分；</w:t>
            </w:r>
          </w:p>
          <w:p w14:paraId="58F3CD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方案较为完善全面、较合理，可操作性较强计 8 分；</w:t>
            </w:r>
          </w:p>
          <w:p w14:paraId="5C4CEA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方案基本全面、具有一定的可操作性计 6 分；</w:t>
            </w:r>
          </w:p>
          <w:p w14:paraId="40524C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方案不够全面、可操作性有待考究计 4分；</w:t>
            </w:r>
          </w:p>
          <w:p w14:paraId="3994B5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方案简单，内容空泛、不具有可操作性计 2 分。</w:t>
            </w:r>
          </w:p>
          <w:p w14:paraId="4A3207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4739E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076EF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应急预案</w:t>
            </w:r>
          </w:p>
        </w:tc>
        <w:tc>
          <w:tcPr>
            <w:tcW w:w="613" w:type="pct"/>
            <w:noWrap w:val="0"/>
            <w:vAlign w:val="center"/>
          </w:tcPr>
          <w:p w14:paraId="4EF60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5B7F59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供应商有良好的应急预案，包括但不限于①停水停电停气预案、②食物中毒、煤气中毒预案、③突发性的活动、考察预案、④设备故障处理预案、⑤消防预案等情况及应对措施。</w:t>
            </w:r>
          </w:p>
          <w:p w14:paraId="09A18E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 10 分；</w:t>
            </w:r>
          </w:p>
          <w:p w14:paraId="382DA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 2 分；</w:t>
            </w:r>
          </w:p>
          <w:p w14:paraId="2FCAE8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 1 分；</w:t>
            </w:r>
          </w:p>
          <w:p w14:paraId="29EEC4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7456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923" w:type="pct"/>
            <w:noWrap w:val="0"/>
            <w:vAlign w:val="center"/>
          </w:tcPr>
          <w:p w14:paraId="35031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13" w:type="pct"/>
            <w:noWrap w:val="0"/>
            <w:vAlign w:val="center"/>
          </w:tcPr>
          <w:p w14:paraId="552AA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center"/>
          </w:tcPr>
          <w:p w14:paraId="64BF01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针对本项目实际需求，提供实质性的合理化建议。</w:t>
            </w:r>
          </w:p>
          <w:p w14:paraId="0D520C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建议内容科学合理、可操作性强计 4 分；</w:t>
            </w:r>
          </w:p>
          <w:p w14:paraId="5F0069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建议内容比较合理、具有可操作性计 3 分；</w:t>
            </w:r>
          </w:p>
          <w:p w14:paraId="1DD0A4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建议内容基本合理，有待完善、可操作性有待考究计 2 分；</w:t>
            </w:r>
          </w:p>
          <w:p w14:paraId="0651ED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建议内容不够合理，不完整、需要补充后方可使用计 1 分；</w:t>
            </w:r>
          </w:p>
          <w:p w14:paraId="6ECD1D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未提供相关内容不计分。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tc>
      </w:tr>
      <w:tr w14:paraId="361A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23" w:type="pct"/>
            <w:noWrap w:val="0"/>
            <w:vAlign w:val="center"/>
          </w:tcPr>
          <w:p w14:paraId="06B5A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w:t>
            </w:r>
          </w:p>
        </w:tc>
        <w:tc>
          <w:tcPr>
            <w:tcW w:w="613" w:type="pct"/>
            <w:noWrap w:val="0"/>
            <w:vAlign w:val="center"/>
          </w:tcPr>
          <w:p w14:paraId="53AB1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center"/>
          </w:tcPr>
          <w:p w14:paraId="3671FE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rPr>
              <w:t>（以合同签订时间为准）至今</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项目合同，每提供1个得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4分。</w:t>
            </w:r>
          </w:p>
        </w:tc>
      </w:tr>
    </w:tbl>
    <w:p w14:paraId="597146AE">
      <w:pPr>
        <w:pStyle w:val="16"/>
        <w:rPr>
          <w:rFonts w:hint="eastAsia"/>
        </w:rPr>
      </w:pPr>
    </w:p>
    <w:p w14:paraId="3793972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en-US" w:eastAsia="zh-CN"/>
        </w:rPr>
        <w:t>9</w:t>
      </w:r>
      <w:r>
        <w:rPr>
          <w:rFonts w:hint="eastAsia" w:ascii="宋体" w:hAnsi="宋体" w:eastAsia="宋体" w:cs="宋体"/>
          <w:sz w:val="24"/>
          <w:lang w:val="zh-CN" w:eastAsia="zh-CN"/>
        </w:rPr>
        <w:t>、磋商小组根据以上内容进行综合打分，按照评审得分由高到低进行汇总排序，推荐出一至三名成交候选供应商。评审得分相同的，按照最后报价由低到高的顺序推荐。评审得分且最后报价相同的，按照技术指标优劣顺序推荐。</w:t>
      </w:r>
    </w:p>
    <w:p w14:paraId="715EEE95">
      <w:pPr>
        <w:spacing w:line="360" w:lineRule="auto"/>
        <w:ind w:firstLine="523" w:firstLineChars="217"/>
        <w:rPr>
          <w:rFonts w:hint="eastAsia" w:ascii="宋体" w:hAnsi="宋体" w:eastAsia="宋体" w:cs="宋体"/>
          <w:b/>
          <w:sz w:val="24"/>
        </w:rPr>
      </w:pPr>
      <w:r>
        <w:rPr>
          <w:rFonts w:hint="eastAsia" w:ascii="宋体" w:hAnsi="宋体" w:eastAsia="宋体" w:cs="宋体"/>
          <w:b/>
          <w:sz w:val="24"/>
        </w:rPr>
        <w:t>八、确定成交单位</w:t>
      </w:r>
    </w:p>
    <w:p w14:paraId="7EA6181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1、采购代理机构应在磋商结束后两个工作日内，将磋商报告送采购人确定成交单位。</w:t>
      </w:r>
    </w:p>
    <w:p w14:paraId="6B21E55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2、采购人在收到磋商报告后五个工作日内，从磋商报告提出的成交候选人中，按照排序由高到低的原则确定成交供应商，并函告采购代理机构。</w:t>
      </w:r>
    </w:p>
    <w:p w14:paraId="019C812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3、采购人逾期未确定成交供应商且不提出异议的，视为确定磋商报告提出的排序第一的供应商为成交供应商。</w:t>
      </w:r>
    </w:p>
    <w:p w14:paraId="6DD5A16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4、采购代理机构在接到采购人的“成交确认书”后两个工作日内，在财政部门指定的媒体上公告成交结果，并向成交供应商发出“成交通知书”。</w:t>
      </w:r>
    </w:p>
    <w:p w14:paraId="271F200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5、采购代理机构将磋商过程及成交供应商情况书面报监督机构备案。</w:t>
      </w:r>
    </w:p>
    <w:p w14:paraId="2B2A223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九、合同</w:t>
      </w:r>
    </w:p>
    <w:p w14:paraId="4E641FCD">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成交通知书发出之日起三十日内，成交供应商与采购人</w:t>
      </w:r>
      <w:r>
        <w:rPr>
          <w:rFonts w:hint="eastAsia" w:ascii="宋体" w:hAnsi="宋体" w:eastAsia="宋体" w:cs="宋体"/>
          <w:sz w:val="24"/>
          <w:szCs w:val="24"/>
        </w:rPr>
        <w:t>洽谈合同条款，并签订合同。竞争性磋商采购文件、响应文件及磋商过程中的承诺内容均作为合同的组成部分。</w:t>
      </w:r>
    </w:p>
    <w:p w14:paraId="403FBD3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十、成交服务费</w:t>
      </w:r>
    </w:p>
    <w:p w14:paraId="5B0A48F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1、成交单位在领取成交通知书前，须向采购代理机构支付成交服务费。</w:t>
      </w:r>
    </w:p>
    <w:p w14:paraId="5435038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2、成交服务费依据国家计委计价格[2002]1980号《招标代理服务收费管理暂行办法》和国家发展改革委员会办公厅颁发的《关于招标代理服务收费有关问题的通知》（发改办价格[2003]857号）规定标准收取。</w:t>
      </w:r>
    </w:p>
    <w:p w14:paraId="3DA6727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4、服务费账户</w:t>
      </w:r>
    </w:p>
    <w:p w14:paraId="12BDE73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收取保证金单位名称：陕西玖聚常安咨询有限公司</w:t>
      </w:r>
    </w:p>
    <w:p w14:paraId="120AE8A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账号：61050193020000001408</w:t>
      </w:r>
    </w:p>
    <w:p w14:paraId="0EEA61C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开户行：建设银行凤城六路支行</w:t>
      </w:r>
    </w:p>
    <w:p w14:paraId="18763AE1">
      <w:pPr>
        <w:spacing w:line="360" w:lineRule="auto"/>
        <w:ind w:firstLine="424" w:firstLineChars="176"/>
        <w:rPr>
          <w:rFonts w:hint="eastAsia" w:ascii="宋体" w:hAnsi="宋体" w:eastAsia="宋体" w:cs="宋体"/>
          <w:b/>
          <w:sz w:val="24"/>
          <w:szCs w:val="24"/>
        </w:rPr>
      </w:pPr>
      <w:r>
        <w:rPr>
          <w:rFonts w:hint="eastAsia" w:ascii="宋体" w:hAnsi="宋体" w:eastAsia="宋体" w:cs="宋体"/>
          <w:b/>
          <w:sz w:val="24"/>
          <w:szCs w:val="24"/>
        </w:rPr>
        <w:t>十一、磋商纪律要求</w:t>
      </w:r>
    </w:p>
    <w:p w14:paraId="4C036B6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1、供应商参加磋商不得有下列情形：</w:t>
      </w:r>
    </w:p>
    <w:p w14:paraId="173FF2E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（1）提供虚假材料谋取中标；</w:t>
      </w:r>
    </w:p>
    <w:p w14:paraId="042BE3E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（2）采取不正当手段诋毁、排挤其他供应商；</w:t>
      </w:r>
    </w:p>
    <w:p w14:paraId="2E2FFF3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（3）与采购人、采购代理机构、其他供应商恶意串通；</w:t>
      </w:r>
    </w:p>
    <w:p w14:paraId="4B5A076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（4）向采购人、采购代理机构、磋商小组行贿或者提供其他不正当利益；</w:t>
      </w:r>
    </w:p>
    <w:p w14:paraId="1DBF60C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（5）在磋商过程中与采购人、采购代理机构进行协商谈判；</w:t>
      </w:r>
    </w:p>
    <w:p w14:paraId="74AAD90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（6）拒绝有关部门的监督检查或者向监督检查部门提供虚假情况。</w:t>
      </w:r>
    </w:p>
    <w:p w14:paraId="55EE01B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有上述情形之一的，属于不合格供应商，其磋商或成交资格将被取消。</w:t>
      </w:r>
    </w:p>
    <w:p w14:paraId="5F6D576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2、有下列情形之一的，视为供应商相互恶意串通磋商，其磋商无效：</w:t>
      </w:r>
    </w:p>
    <w:p w14:paraId="6CE61D0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（1）不同供应商的磋商响应文件由同一单位或者个人编制；</w:t>
      </w:r>
    </w:p>
    <w:p w14:paraId="5601199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（2）不同供应商委托同一单位或者个人办理磋商事宜；</w:t>
      </w:r>
    </w:p>
    <w:p w14:paraId="7372A9D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（3）不同供应商的磋商响应文件载明的项目管理成员为同一人；</w:t>
      </w:r>
    </w:p>
    <w:p w14:paraId="42DD112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（4）不同供应商的磋商响应文件异常一致或者投标报价呈规律性差异；</w:t>
      </w:r>
    </w:p>
    <w:p w14:paraId="5DE66A2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（5）不同供应商的磋商响应文件相互混装；</w:t>
      </w:r>
    </w:p>
    <w:p w14:paraId="33DC249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（6）不同供应商的磋商保证金从同一单位或者个人的账户转出</w:t>
      </w:r>
    </w:p>
    <w:p w14:paraId="2478954C">
      <w:pPr>
        <w:spacing w:line="360" w:lineRule="auto"/>
        <w:ind w:firstLine="663" w:firstLineChars="275"/>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二</w:t>
      </w:r>
      <w:r>
        <w:rPr>
          <w:rFonts w:hint="eastAsia" w:ascii="宋体" w:hAnsi="宋体" w:eastAsia="宋体" w:cs="宋体"/>
          <w:b/>
          <w:sz w:val="24"/>
          <w:szCs w:val="24"/>
        </w:rPr>
        <w:t>、其它</w:t>
      </w:r>
    </w:p>
    <w:p w14:paraId="19A8E083">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1、在磋商响应文件递交截止时间，递交的有效磋商响应文件不足三家或在评审期间，出现符合专业条件的供应商不足三家或对磋商文件实质性响应的供应商不足三家时，采购代理机构应当终止竞争性磋商活动，发布项目终止公告并说明原因，重新开展采购活动。</w:t>
      </w:r>
    </w:p>
    <w:p w14:paraId="0DD2A9B4">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2、磋商开始到成交供应商确定前，磋商小组、采购人及有关人员要严格遵循保密原则，任何一方不得透露与磋商有关的其它供应商的技术资料、价格及其它信息。否则，按相关法规进行相应的处罚。</w:t>
      </w:r>
    </w:p>
    <w:p w14:paraId="46B0130E">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sz w:val="24"/>
          <w:szCs w:val="24"/>
        </w:rPr>
      </w:pPr>
      <w:r>
        <w:rPr>
          <w:rFonts w:hint="eastAsia" w:ascii="宋体" w:hAnsi="宋体" w:eastAsia="宋体" w:cs="宋体"/>
          <w:bCs/>
          <w:sz w:val="24"/>
          <w:szCs w:val="24"/>
        </w:rPr>
        <w:t>3、成交供应商确定后，成交供应商无正当理由拖延或拒签合同的，采购人有权取消其成交资格，并按评审顺序重新确定成交供应商。同时报送采购监督机构予以通报，取消其进入政府采购市场的资格，并没收其保证金。</w:t>
      </w:r>
    </w:p>
    <w:p w14:paraId="2B96EB97">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根据《陕西省财政厅关于政府采购供应商注册登记有关事项的通知》的规定，供应商在购买标书后，应及时在陕西省政府采购网</w:t>
      </w:r>
    </w:p>
    <w:p w14:paraId="7764D3C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sz w:val="24"/>
          <w:szCs w:val="24"/>
          <w:lang w:val="zh-CN"/>
        </w:rPr>
        <w:t>（http://www.ccgp-shaanxi.gov.cn/）注册登记加入陕西省政府采购供应商库。因供应商自身原因未及时登记入库而导致的一切后果由供应商自行承担。</w:t>
      </w:r>
    </w:p>
    <w:p w14:paraId="53B83FA0">
      <w:pPr>
        <w:keepNext w:val="0"/>
        <w:keepLines w:val="0"/>
        <w:pageBreakBefore w:val="0"/>
        <w:widowControl w:val="0"/>
        <w:kinsoku/>
        <w:wordWrap/>
        <w:overflowPunct/>
        <w:topLinePunct w:val="0"/>
        <w:bidi w:val="0"/>
        <w:spacing w:line="360" w:lineRule="auto"/>
        <w:ind w:firstLine="424" w:firstLineChars="176"/>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三</w:t>
      </w:r>
      <w:r>
        <w:rPr>
          <w:rFonts w:hint="eastAsia" w:ascii="宋体" w:hAnsi="宋体" w:eastAsia="宋体" w:cs="宋体"/>
          <w:b/>
          <w:sz w:val="24"/>
          <w:szCs w:val="24"/>
        </w:rPr>
        <w:t>、质疑与投诉</w:t>
      </w:r>
    </w:p>
    <w:p w14:paraId="48E397C7">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1、 供应商对本次采购活动有疑问的，按照《政府采购法》《政府采购法实施条例》和《政府采购质疑和投诉办法》（财政部94号令）的规定办理。</w:t>
      </w:r>
    </w:p>
    <w:p w14:paraId="46591854">
      <w:pPr>
        <w:pStyle w:val="2"/>
        <w:numPr>
          <w:ilvl w:val="0"/>
          <w:numId w:val="0"/>
        </w:numPr>
        <w:tabs>
          <w:tab w:val="left" w:pos="630"/>
        </w:tabs>
        <w:spacing w:line="60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bCs/>
          <w:sz w:val="32"/>
          <w:szCs w:val="32"/>
        </w:rPr>
        <w:br w:type="page"/>
      </w:r>
      <w:r>
        <w:rPr>
          <w:rFonts w:hint="eastAsia" w:ascii="宋体" w:hAnsi="宋体" w:eastAsia="宋体" w:cs="宋体"/>
          <w:b/>
          <w:bCs/>
          <w:color w:val="000000"/>
          <w:sz w:val="32"/>
          <w:szCs w:val="32"/>
          <w:highlight w:val="none"/>
        </w:rPr>
        <w:t xml:space="preserve">第三章  </w:t>
      </w: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0D630261">
      <w:pPr>
        <w:numPr>
          <w:ilvl w:val="0"/>
          <w:numId w:val="0"/>
        </w:numPr>
        <w:spacing w:line="560" w:lineRule="exact"/>
        <w:ind w:firstLine="482" w:firstLineChars="200"/>
        <w:jc w:val="left"/>
        <w:rPr>
          <w:rFonts w:hint="eastAsia" w:ascii="宋体" w:hAnsi="宋体" w:eastAsia="宋体" w:cs="宋体"/>
          <w:b/>
          <w:bCs w:val="0"/>
          <w:sz w:val="24"/>
          <w:szCs w:val="24"/>
          <w:lang w:eastAsia="zh-CN"/>
        </w:rPr>
      </w:pPr>
      <w:r>
        <w:rPr>
          <w:rFonts w:hint="eastAsia" w:ascii="宋体" w:hAnsi="宋体" w:eastAsia="宋体" w:cs="宋体"/>
          <w:b/>
          <w:bCs w:val="0"/>
          <w:kern w:val="2"/>
          <w:sz w:val="24"/>
          <w:szCs w:val="24"/>
          <w:lang w:val="en-US" w:eastAsia="zh-CN" w:bidi="ar-SA"/>
        </w:rPr>
        <w:t>一、</w:t>
      </w:r>
      <w:r>
        <w:rPr>
          <w:rFonts w:hint="eastAsia" w:ascii="宋体" w:hAnsi="宋体" w:eastAsia="宋体" w:cs="宋体"/>
          <w:b/>
          <w:bCs w:val="0"/>
          <w:sz w:val="24"/>
          <w:szCs w:val="24"/>
          <w:lang w:eastAsia="zh-CN"/>
        </w:rPr>
        <w:t>项目概况</w:t>
      </w:r>
    </w:p>
    <w:p w14:paraId="332DF3C9">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保障消防队伍膳食安全与营养需求依托专业外包团队的资质与管理能力，构建规范的食品采购、储存、加工流程，从源头防范食物中毒等安全风险。同时结合消防人员高强度、高耗能的工作特性，通过专业厨师团队的菜品研发与搭配能力，提供营养均衡、口味多样的餐食，满足队员能量补充与膳食健康需求，为消防救援战斗力提供基础体能保障。 </w:t>
      </w:r>
    </w:p>
    <w:p w14:paraId="0DBF5CE7">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提升厨房服务专业化与运营效率引入具备资质的专业餐饮服务团队，替代传统自营模式中可能存在的人员专业性不足、流程不规范等问题，通过标准化的餐饮制作与区域服务，缩短备餐响应时间，优化服务流程。同时借助外包方的管理经验，提升食材利用率、减少浪费，实现厨房运营效率的提升，让消防队伍聚焦核心救援业务。 </w:t>
      </w:r>
    </w:p>
    <w:p w14:paraId="3A5BE3CC">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增强团队凝聚力与后勤保障满意度以优质、稳定的餐饮服务为基础，通过符合口味需求的菜品供给与规范的服务体验，提升消防队员的伙食满意度与归属感。借助可靠的后勤保障减少队员的生活顾虑，进而增强团队凝聚力，为日常训练与应急救援工作提供坚实的后勤支撑；</w:t>
      </w:r>
    </w:p>
    <w:p w14:paraId="41AB217F">
      <w:pPr>
        <w:numPr>
          <w:ilvl w:val="0"/>
          <w:numId w:val="0"/>
        </w:numPr>
        <w:spacing w:line="560" w:lineRule="exact"/>
        <w:ind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2"/>
          <w:sz w:val="24"/>
          <w:szCs w:val="24"/>
          <w:highlight w:val="none"/>
          <w:lang w:val="en-US" w:eastAsia="zh-CN" w:bidi="ar-SA"/>
        </w:rPr>
        <w:t>二、采购内容</w:t>
      </w:r>
    </w:p>
    <w:p w14:paraId="6CED5B49">
      <w:pPr>
        <w:numPr>
          <w:ilvl w:val="0"/>
          <w:numId w:val="0"/>
        </w:numPr>
        <w:spacing w:line="560" w:lineRule="exact"/>
        <w:ind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劳务外包服务，包括餐饮制作、区域服务；全年对外承包；服务人员不低于3人（其中主厨：1名具有国家一级烹调师资格；面点师：1名具有国家二级烹调师资格；勤杂工：1名），具体人员配备需满足要求：男性年龄不超过50岁，女性年龄不超过45岁，同时提供健康证。</w:t>
      </w:r>
      <w:bookmarkStart w:id="9" w:name="_GoBack"/>
      <w:bookmarkEnd w:id="9"/>
    </w:p>
    <w:p w14:paraId="000E5DF1">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2、365 日历天的服务周期、“年度考核合格可续签至最长 3 年” 的动态管理机制，以及每月基于服务态度、饭菜质量、卫生效果的考核标准。</w:t>
      </w:r>
    </w:p>
    <w:p w14:paraId="60FF1824">
      <w:pPr>
        <w:numPr>
          <w:ilvl w:val="0"/>
          <w:numId w:val="0"/>
        </w:numPr>
        <w:spacing w:line="560" w:lineRule="exact"/>
        <w:ind w:leftChars="0"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、由</w:t>
      </w:r>
      <w:r>
        <w:rPr>
          <w:rFonts w:hint="eastAsia" w:ascii="宋体" w:hAnsi="宋体" w:eastAsia="宋体" w:cs="宋体"/>
          <w:bCs/>
          <w:sz w:val="24"/>
          <w:szCs w:val="24"/>
          <w:lang w:eastAsia="zh-CN"/>
        </w:rPr>
        <w:t>成交</w:t>
      </w:r>
      <w:r>
        <w:rPr>
          <w:rFonts w:hint="eastAsia" w:ascii="宋体" w:hAnsi="宋体" w:eastAsia="宋体" w:cs="宋体"/>
          <w:bCs/>
          <w:sz w:val="24"/>
          <w:szCs w:val="24"/>
        </w:rPr>
        <w:t>供应商负责采购人餐厅早、中、晚餐的膳食供应工作，确保所有膳食的花样品种及营养搭配及膳食的安全卫生，保障消防救援大队人员的日常用餐（其中包括来访人员</w:t>
      </w:r>
      <w:r>
        <w:rPr>
          <w:rFonts w:hint="eastAsia" w:ascii="宋体" w:hAnsi="宋体" w:eastAsia="宋体" w:cs="宋体"/>
          <w:bCs/>
          <w:sz w:val="24"/>
          <w:szCs w:val="24"/>
          <w:lang w:eastAsia="zh-CN"/>
        </w:rPr>
        <w:t>就</w:t>
      </w:r>
      <w:r>
        <w:rPr>
          <w:rFonts w:hint="eastAsia" w:ascii="宋体" w:hAnsi="宋体" w:eastAsia="宋体" w:cs="宋体"/>
          <w:bCs/>
          <w:sz w:val="24"/>
          <w:szCs w:val="24"/>
        </w:rPr>
        <w:t>餐、加班餐），同时负责餐厅、操作间及主副食库的卫生清洁工作，包括但不限于餐厅地面、墙面、餐厅内部设备工具和就餐用具的卫生清洁工作，以及餐厅设备设施安全。</w:t>
      </w:r>
    </w:p>
    <w:p w14:paraId="4E26D807">
      <w:pPr>
        <w:numPr>
          <w:ilvl w:val="0"/>
          <w:numId w:val="3"/>
        </w:numPr>
        <w:spacing w:line="560" w:lineRule="exact"/>
        <w:ind w:leftChars="0"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服务要求及标准</w:t>
      </w:r>
    </w:p>
    <w:p w14:paraId="7485463A">
      <w:pPr>
        <w:numPr>
          <w:ilvl w:val="0"/>
          <w:numId w:val="4"/>
        </w:numPr>
        <w:spacing w:line="56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服务</w:t>
      </w:r>
      <w:r>
        <w:rPr>
          <w:rFonts w:hint="eastAsia" w:ascii="宋体" w:hAnsi="宋体" w:eastAsia="宋体" w:cs="宋体"/>
          <w:bCs/>
          <w:sz w:val="24"/>
          <w:szCs w:val="24"/>
          <w:lang w:eastAsia="zh-CN"/>
        </w:rPr>
        <w:t>要求</w:t>
      </w:r>
    </w:p>
    <w:p w14:paraId="77569FC9">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1、供应商必须按照采购人的要求，按时保质、保量地提供优质服务，保证采购人满意。供应商不得分包转包所中标项目。</w:t>
      </w:r>
    </w:p>
    <w:p w14:paraId="3AB4CE5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2、对于采购人提出的问题，供应商应该积极主动整改。</w:t>
      </w:r>
    </w:p>
    <w:p w14:paraId="3BAC5C45">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3、供应商的工作人员必须遵守采购人的管理制度，服从采购人的管理。</w:t>
      </w:r>
    </w:p>
    <w:p w14:paraId="34956762">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4、供应商用工制度按照工作需要自行制订，应严格按照国家相关法律、法规执行。</w:t>
      </w:r>
    </w:p>
    <w:p w14:paraId="613DC0DD">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采购人要将各项管理规定及时通报供应商掌握，供应商将相关管理制度及人员岗位流动情况第一时间报采购人备案，如发生工作人员生病住院或事假，乙方应保证候补应急人员及时到位，且所替换人员不低于原服务人员资格。</w:t>
      </w:r>
    </w:p>
    <w:p w14:paraId="58E02ED3">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供应商人员要遵守采购人的各项管理规定和管理制度，对工作人员的管理要求（如上下班考勤、作息时间、员工宿舍卫生整洁、完全服从采购人日常规定或管理要求等），违反者通报供应商并按照采购人相关规定及管理制度处罚。</w:t>
      </w:r>
    </w:p>
    <w:p w14:paraId="73307483">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供应商在承包期间，应严格执行《食品安全法》，防止食物中毒，由于管理不善或供应商人员操作等因素引发的食品卫生安全事件，由供应商负全部责任，赔偿因此给采购人造成的行政事业罚款等相关费用，由供应商无条件进行善后处理，采购人配合。</w:t>
      </w:r>
    </w:p>
    <w:p w14:paraId="698178E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8、供应商应按照操作规范使用厨房设备，爱惜公共财物，如因供应商使用不当，人为因素造成的设备损坏，要求供应商要恢复其使用效果，还要予以经济处罚。</w:t>
      </w:r>
    </w:p>
    <w:p w14:paraId="1DACAA6A">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9、供应商提供工作人员劳务合同报甲方备案；社会保险缴纳凭证、意外伤害险保险购买凭证，应在每次结算费用时提交甲方备查。</w:t>
      </w:r>
    </w:p>
    <w:p w14:paraId="25D82BCE">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10、双休日及法定节假日供应商需视情况留守专人提供厨师服务。因公差、执勤、出警等特殊原因加餐（不含食材采购）。</w:t>
      </w:r>
    </w:p>
    <w:p w14:paraId="7317FA62">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11、设置一名项目经理，与大队进行联系，负责项目全部事宜。</w:t>
      </w:r>
    </w:p>
    <w:p w14:paraId="195A842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12、供应商须保证服务期限内的人员稳定性，为服务人员缴纳社会保险，在三年内没有发生过食品安全事故。</w:t>
      </w:r>
    </w:p>
    <w:p w14:paraId="58B26E6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13、工作人员服务时间应为全年无休24小时工作制，如有明确的服务时间按照具体要求约定实施。</w:t>
      </w:r>
    </w:p>
    <w:p w14:paraId="46EAC40F">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（二）服务标准</w:t>
      </w:r>
    </w:p>
    <w:p w14:paraId="424C00D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1、供应商按《食品安全法》及采购人要求做好员工餐厅的服务，为员工提供安全、卫生、可口、周到的就餐服务。</w:t>
      </w:r>
    </w:p>
    <w:p w14:paraId="7ED8B513">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2、供应商后厨工作人员应牢固树立食品卫生安全意识，拒绝加工过期、霉变及“三无”食材，不将闲杂人等带入后厨操作间，带病不上岗，保持个人卫生清洁。</w:t>
      </w:r>
    </w:p>
    <w:p w14:paraId="3102F77B">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3、供应商从业人员应廉洁自律，禁止食堂工作人员私自倒卖原材料。食堂各类食材、工器具禁止私用私留或移为他用。</w:t>
      </w:r>
    </w:p>
    <w:p w14:paraId="7FD3C66A">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4、供应商从业人员按采购人管理要求进行食材仓储管理，做到生熟分储、冷热分储、蔬菜与肉类分储等，并在各储藏柜标示食材名称、入库时间、储藏时效。并对每天食品进行留样分类。</w:t>
      </w:r>
    </w:p>
    <w:p w14:paraId="337A2619">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5、食品加工制作过程干净卫生，加工食材清洗彻底，加工时生熟分案，员工分菜操作前需清洁消毒，保证无各类传染性疾病，分菜间内干净、整洁，不存放其他无关杂物，定期消毒。</w:t>
      </w:r>
    </w:p>
    <w:p w14:paraId="0DC5EB2C">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6、按采购人规定及要求每日认真开展操作间、餐厅卫生清洁，无卫生死角，保持后厨及就餐环境干净整洁、无积垢、无灰尘、无死角、无病媒生物。</w:t>
      </w:r>
    </w:p>
    <w:p w14:paraId="67317351">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7、分餐保温台里外无污渍、菜汤、随时清洁卫生、消毒、保持光亮；后厨调料消耗品保持清洁卫生，托盘里外随时干净卫生。</w:t>
      </w:r>
    </w:p>
    <w:p w14:paraId="3E99134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8、有效地把控食品成本，提倡节约，杜绝浪费，合理配餐，成品饭食口味适宜、无夹生、无异物，每周更新菜品品种、口味、烹调方式。</w:t>
      </w:r>
    </w:p>
    <w:p w14:paraId="77B6240A">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9、餐具按《食品安全法》规定及相关程序每餐消毒，保证无毒、无菌、无卫生事故发生，同时设备安全、作业安全、消防安全也是工作的重要组成部分。</w:t>
      </w:r>
    </w:p>
    <w:p w14:paraId="77881E6E">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10、员工就餐、接待就餐按酒店化服务标准，营造舒适、净洁、温馨的就餐环境，做到周到细致，提供专业化、标准化及方便性、及时性、人性化服务。</w:t>
      </w:r>
    </w:p>
    <w:p w14:paraId="6281D6B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11、供应商从业人员应爱护餐厅各类餐具、工器具及设施设备，将餐具、工器具损耗率控制在采购人规定范围内，同时应节约水电和燃料费用，做到良好内控管理记录。</w:t>
      </w:r>
    </w:p>
    <w:p w14:paraId="6BF6BA68">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12、供应商对委托服务的范围内每天至少全范围清扫两次，做到无杂物、无垃圾、无沙土、无卫生死角、需清除的垃圾必须倒在指定垃圾堆放点，保证环境清洁。</w:t>
      </w:r>
    </w:p>
    <w:p w14:paraId="79E9F8F4">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13、供应商从业服务人员必须持有有效期健康证，对患有传染性疾病或不符合上岗要求的人员及时辞退。采购人有权对供应商从业人员进行健康抽查。</w:t>
      </w:r>
    </w:p>
    <w:p w14:paraId="30D95756">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14、所有餐厅员工保持个人卫生，符合标准，有统一制服，工作期间标准着装，服务细致周到。严禁在工作场所抽烟、饮酒。</w:t>
      </w:r>
    </w:p>
    <w:p w14:paraId="44FFA210">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15、排水明沟保洁</w:t>
      </w:r>
    </w:p>
    <w:p w14:paraId="06CDB1DC">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a．排水明沟应每天收尾时及时清理保证其畅通、无阻塞，无积水、无臭味。</w:t>
      </w:r>
    </w:p>
    <w:p w14:paraId="00537241">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b．目视排水明沟干净，无明显泥沙、无污垢。</w:t>
      </w:r>
    </w:p>
    <w:p w14:paraId="7CA27417">
      <w:pPr>
        <w:numPr>
          <w:ilvl w:val="0"/>
          <w:numId w:val="0"/>
        </w:num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c.隔油池应每天清理两次及以上，保证隔油池底部无油渍，底部无沉淀物。</w:t>
      </w:r>
    </w:p>
    <w:p w14:paraId="19C3A4D4">
      <w:pPr>
        <w:pStyle w:val="7"/>
        <w:rPr>
          <w:rFonts w:hint="eastAsia"/>
          <w:b w:val="0"/>
          <w:bCs/>
        </w:rPr>
      </w:pPr>
    </w:p>
    <w:p w14:paraId="55274FA2">
      <w:pPr>
        <w:pStyle w:val="9"/>
        <w:rPr>
          <w:rFonts w:hint="eastAsia"/>
        </w:rPr>
      </w:pPr>
    </w:p>
    <w:p w14:paraId="79127EAA">
      <w:pPr>
        <w:numPr>
          <w:ilvl w:val="0"/>
          <w:numId w:val="0"/>
        </w:numPr>
        <w:spacing w:line="560" w:lineRule="exact"/>
        <w:ind w:leftChars="0"/>
        <w:jc w:val="left"/>
        <w:rPr>
          <w:rFonts w:hint="eastAsia" w:ascii="宋体" w:hAnsi="宋体" w:eastAsia="宋体" w:cs="宋体"/>
          <w:bCs/>
          <w:sz w:val="24"/>
          <w:szCs w:val="24"/>
        </w:rPr>
      </w:pPr>
    </w:p>
    <w:p w14:paraId="36EE8292">
      <w:pPr>
        <w:numPr>
          <w:ilvl w:val="0"/>
          <w:numId w:val="0"/>
        </w:numPr>
        <w:spacing w:line="560" w:lineRule="exact"/>
        <w:ind w:leftChars="0"/>
        <w:jc w:val="center"/>
        <w:rPr>
          <w:rFonts w:hint="eastAsia" w:ascii="宋体" w:hAnsi="宋体" w:eastAsia="宋体" w:cs="宋体"/>
          <w:b/>
          <w:color w:val="auto"/>
          <w:sz w:val="13"/>
          <w:szCs w:val="13"/>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第四章  商务要求</w:t>
      </w:r>
    </w:p>
    <w:p w14:paraId="2EA2BB06">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1、质量要求：</w:t>
      </w:r>
      <w:r>
        <w:rPr>
          <w:rFonts w:hint="eastAsia" w:ascii="宋体" w:hAnsi="宋体" w:cs="宋体"/>
          <w:color w:val="auto"/>
          <w:sz w:val="24"/>
          <w:highlight w:val="none"/>
        </w:rPr>
        <w:t>符合国家现行技术规范和标准合格。  </w:t>
      </w:r>
    </w:p>
    <w:p w14:paraId="151E5C1B">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服务</w:t>
      </w:r>
      <w:r>
        <w:rPr>
          <w:rFonts w:hint="eastAsia" w:ascii="宋体" w:hAnsi="宋体" w:cs="宋体"/>
          <w:b/>
          <w:color w:val="auto"/>
          <w:sz w:val="24"/>
          <w:highlight w:val="none"/>
        </w:rPr>
        <w:t>地点：</w:t>
      </w:r>
      <w:r>
        <w:rPr>
          <w:rFonts w:hint="eastAsia" w:ascii="宋体" w:hAnsi="宋体" w:cs="宋体"/>
          <w:color w:val="auto"/>
          <w:sz w:val="24"/>
          <w:highlight w:val="none"/>
        </w:rPr>
        <w:t>采购人指定地点</w:t>
      </w:r>
      <w:r>
        <w:rPr>
          <w:rFonts w:hint="eastAsia" w:ascii="宋体" w:hAnsi="宋体" w:cs="宋体"/>
          <w:color w:val="auto"/>
          <w:kern w:val="0"/>
          <w:sz w:val="24"/>
          <w:highlight w:val="none"/>
        </w:rPr>
        <w:t>。</w:t>
      </w:r>
      <w:r>
        <w:rPr>
          <w:rFonts w:hint="eastAsia" w:ascii="宋体" w:hAnsi="宋体" w:cs="宋体"/>
          <w:b/>
          <w:color w:val="auto"/>
          <w:sz w:val="24"/>
          <w:highlight w:val="none"/>
        </w:rPr>
        <w:t xml:space="preserve"> </w:t>
      </w:r>
    </w:p>
    <w:p w14:paraId="1EC82BD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val="0"/>
          <w:color w:val="auto"/>
          <w:sz w:val="24"/>
          <w:highlight w:val="none"/>
          <w:lang w:eastAsia="zh-CN"/>
        </w:rPr>
      </w:pPr>
      <w:r>
        <w:rPr>
          <w:rFonts w:hint="eastAsia" w:ascii="宋体" w:hAnsi="宋体" w:cs="宋体"/>
          <w:b/>
          <w:bCs w:val="0"/>
          <w:color w:val="auto"/>
          <w:sz w:val="24"/>
          <w:highlight w:val="none"/>
        </w:rPr>
        <w:t>3、</w:t>
      </w:r>
      <w:r>
        <w:rPr>
          <w:rFonts w:hint="eastAsia" w:ascii="宋体" w:hAnsi="宋体" w:cs="宋体"/>
          <w:b/>
          <w:bCs w:val="0"/>
          <w:color w:val="auto"/>
          <w:sz w:val="24"/>
          <w:highlight w:val="none"/>
          <w:lang w:eastAsia="zh-CN"/>
        </w:rPr>
        <w:t>服务周期</w:t>
      </w:r>
      <w:r>
        <w:rPr>
          <w:rFonts w:hint="eastAsia" w:ascii="宋体" w:hAnsi="宋体" w:cs="宋体"/>
          <w:b/>
          <w:bCs w:val="0"/>
          <w:color w:val="auto"/>
          <w:sz w:val="24"/>
          <w:highlight w:val="none"/>
        </w:rPr>
        <w:t>：一年（自合同签订之日起一年，服务期满后由采购人考核，年度考核合格合同一年一签，续签履行合同不超过2次）</w:t>
      </w:r>
    </w:p>
    <w:p w14:paraId="0F3C43A1">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4、合同价款：</w:t>
      </w:r>
    </w:p>
    <w:p w14:paraId="35F1EA2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eastAsia="宋体" w:cs="宋体"/>
          <w:bCs/>
          <w:sz w:val="24"/>
          <w:szCs w:val="24"/>
          <w:highlight w:val="none"/>
        </w:rPr>
        <w:t>合同总价包括</w:t>
      </w:r>
      <w:r>
        <w:rPr>
          <w:rFonts w:hint="eastAsia" w:ascii="宋体" w:hAnsi="宋体" w:eastAsia="宋体" w:cs="宋体"/>
          <w:bCs/>
          <w:sz w:val="24"/>
          <w:szCs w:val="24"/>
          <w:highlight w:val="none"/>
          <w:lang w:eastAsia="zh-CN"/>
        </w:rPr>
        <w:t>：</w:t>
      </w:r>
      <w:r>
        <w:rPr>
          <w:rFonts w:hint="eastAsia" w:ascii="宋体" w:hAnsi="宋体" w:cs="宋体"/>
          <w:color w:val="auto"/>
          <w:sz w:val="24"/>
          <w:highlight w:val="none"/>
          <w:lang w:eastAsia="zh-CN"/>
        </w:rPr>
        <w:t>人员</w:t>
      </w:r>
      <w:r>
        <w:rPr>
          <w:rFonts w:hint="eastAsia" w:ascii="宋体" w:hAnsi="宋体" w:cs="宋体"/>
          <w:color w:val="auto"/>
          <w:sz w:val="24"/>
          <w:highlight w:val="none"/>
        </w:rPr>
        <w:t>工资及福利支出、绩效、社保、管理费、保险费</w:t>
      </w:r>
      <w:r>
        <w:rPr>
          <w:rFonts w:hint="eastAsia" w:ascii="宋体" w:hAnsi="宋体" w:cs="宋体"/>
          <w:color w:val="auto"/>
          <w:sz w:val="24"/>
          <w:highlight w:val="none"/>
          <w:lang w:eastAsia="zh-CN"/>
        </w:rPr>
        <w:t>、培训费、管理费</w:t>
      </w:r>
      <w:r>
        <w:rPr>
          <w:rFonts w:hint="eastAsia" w:ascii="宋体" w:hAnsi="宋体" w:cs="宋体"/>
          <w:color w:val="auto"/>
          <w:sz w:val="24"/>
          <w:highlight w:val="none"/>
        </w:rPr>
        <w:t>等，从项目实施至验收合格等所有有关各项的含税费用。</w:t>
      </w:r>
    </w:p>
    <w:p w14:paraId="3AB999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4.2合同</w:t>
      </w:r>
      <w:r>
        <w:rPr>
          <w:rFonts w:hint="eastAsia" w:ascii="宋体" w:hAnsi="宋体" w:cs="宋体"/>
          <w:color w:val="auto"/>
          <w:sz w:val="24"/>
          <w:highlight w:val="none"/>
          <w:lang w:eastAsia="zh-CN"/>
        </w:rPr>
        <w:t>总价</w:t>
      </w:r>
      <w:r>
        <w:rPr>
          <w:rFonts w:hint="eastAsia" w:ascii="宋体" w:hAnsi="宋体" w:cs="宋体"/>
          <w:color w:val="auto"/>
          <w:sz w:val="24"/>
          <w:highlight w:val="none"/>
        </w:rPr>
        <w:t>一次包死，不受市场价格、工作量变化等其它因素的影响。</w:t>
      </w:r>
    </w:p>
    <w:p w14:paraId="05DA79B1">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5、合同价款的支付：</w:t>
      </w:r>
    </w:p>
    <w:p w14:paraId="176629AA">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eastAsia="zh-CN"/>
        </w:rPr>
        <w:t>付款方式：甲方按月支付费用</w:t>
      </w:r>
      <w:r>
        <w:rPr>
          <w:rFonts w:hint="eastAsia" w:ascii="宋体" w:hAnsi="宋体"/>
          <w:color w:val="auto"/>
          <w:highlight w:val="none"/>
          <w:lang w:val="en-US" w:eastAsia="zh-CN"/>
        </w:rPr>
        <w:t>，中标价分摊至月度，结合考勤与考核结果据实支付。</w:t>
      </w:r>
    </w:p>
    <w:p w14:paraId="62AF60E4">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rPr>
      </w:pPr>
      <w:r>
        <w:rPr>
          <w:rFonts w:hint="eastAsia" w:ascii="宋体" w:hAnsi="宋体"/>
          <w:color w:val="auto"/>
          <w:highlight w:val="none"/>
        </w:rPr>
        <w:t>2、支付方式：银行转账。</w:t>
      </w:r>
    </w:p>
    <w:p w14:paraId="30B7678D">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rPr>
      </w:pPr>
      <w:r>
        <w:rPr>
          <w:rFonts w:hint="eastAsia" w:ascii="宋体" w:hAnsi="宋体"/>
          <w:color w:val="auto"/>
          <w:highlight w:val="none"/>
        </w:rPr>
        <w:t>3、供应商在采购人办理支付手续前，为采购人出具等额的符合国家规定的发票。</w:t>
      </w:r>
    </w:p>
    <w:p w14:paraId="1898FB74">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6、项目检验与验收</w:t>
      </w:r>
    </w:p>
    <w:p w14:paraId="6490A001">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.1、成交供应商向采购人提交项目实施过程中的所有资料。</w:t>
      </w:r>
    </w:p>
    <w:p w14:paraId="2FF87B6D">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.2、验收须以合同、竞争性磋商文件及竞争性磋商响应文件、澄清、及国家相应的标准、规范等为依据。</w:t>
      </w:r>
    </w:p>
    <w:p w14:paraId="2FCDD50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7、合同的变更、中止、终止</w:t>
      </w:r>
    </w:p>
    <w:p w14:paraId="48F3032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合同一经签订，不得擅自变更、中止或者终止合同。对确需变更、调整或者中止、终止合同的，由双方协商解决。</w:t>
      </w:r>
    </w:p>
    <w:p w14:paraId="231A53AE">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8、合同争议的处理</w:t>
      </w:r>
    </w:p>
    <w:p w14:paraId="2793BBA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合同在履行过程中发生的争议，当事人双方应协商解决，协商达不成一致时，可向采购方所在地仲裁委员会申请仲裁或者向人民法院提请诉讼。</w:t>
      </w:r>
    </w:p>
    <w:p w14:paraId="714B1454">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9、违约责任</w:t>
      </w:r>
    </w:p>
    <w:p w14:paraId="44635579">
      <w:pPr>
        <w:keepNext w:val="0"/>
        <w:keepLines w:val="0"/>
        <w:pageBreakBefore w:val="0"/>
        <w:widowControl w:val="0"/>
        <w:kinsoku/>
        <w:wordWrap/>
        <w:overflowPunct/>
        <w:topLinePunct w:val="0"/>
        <w:bidi w:val="0"/>
        <w:spacing w:line="360" w:lineRule="auto"/>
        <w:ind w:firstLine="444" w:firstLineChars="185"/>
        <w:jc w:val="left"/>
        <w:textAlignment w:val="auto"/>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1、依据《中华人民共和国民法典》、《中华人民共和国政府采购法》的相关条款和本合同约定的相关条款执行。</w:t>
      </w:r>
    </w:p>
    <w:p w14:paraId="35164CFD">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b/>
          <w:bCs/>
          <w:color w:val="auto"/>
          <w:sz w:val="32"/>
          <w:szCs w:val="32"/>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2、</w:t>
      </w:r>
      <w:r>
        <w:rPr>
          <w:rFonts w:hint="eastAsia" w:ascii="宋体" w:hAnsi="宋体" w:cs="宋体"/>
          <w:color w:val="auto"/>
          <w:kern w:val="0"/>
          <w:sz w:val="24"/>
          <w:highlight w:val="none"/>
        </w:rPr>
        <w:t>中标人</w:t>
      </w:r>
      <w:r>
        <w:rPr>
          <w:rFonts w:hint="eastAsia" w:ascii="宋体" w:hAnsi="宋体" w:cs="宋体"/>
          <w:color w:val="auto"/>
          <w:sz w:val="24"/>
          <w:highlight w:val="none"/>
        </w:rPr>
        <w:t>未按合同要求履行，不符合采购技术要求，</w:t>
      </w:r>
      <w:r>
        <w:rPr>
          <w:rFonts w:hint="eastAsia" w:ascii="宋体" w:hAnsi="宋体" w:cs="宋体"/>
          <w:color w:val="auto"/>
          <w:kern w:val="0"/>
          <w:sz w:val="24"/>
          <w:highlight w:val="none"/>
        </w:rPr>
        <w:t>中标人</w:t>
      </w:r>
      <w:r>
        <w:rPr>
          <w:rFonts w:hint="eastAsia" w:ascii="宋体" w:hAnsi="宋体" w:cs="宋体"/>
          <w:color w:val="auto"/>
          <w:sz w:val="24"/>
          <w:highlight w:val="none"/>
        </w:rPr>
        <w:t>必须无条件更换人员或设备，提高技术，完善质量，否则，采购人有权终止合同，并对</w:t>
      </w:r>
      <w:r>
        <w:rPr>
          <w:rFonts w:hint="eastAsia" w:ascii="宋体" w:hAnsi="宋体" w:cs="宋体"/>
          <w:color w:val="auto"/>
          <w:kern w:val="0"/>
          <w:sz w:val="24"/>
          <w:highlight w:val="none"/>
        </w:rPr>
        <w:t>中标人</w:t>
      </w:r>
      <w:r>
        <w:rPr>
          <w:rFonts w:hint="eastAsia" w:ascii="宋体" w:hAnsi="宋体" w:cs="宋体"/>
          <w:color w:val="auto"/>
          <w:sz w:val="24"/>
          <w:highlight w:val="none"/>
        </w:rPr>
        <w:t>的违约行为进行追究并依法向</w:t>
      </w:r>
      <w:r>
        <w:rPr>
          <w:rFonts w:hint="eastAsia" w:ascii="宋体" w:hAnsi="宋体" w:cs="宋体"/>
          <w:color w:val="auto"/>
          <w:kern w:val="0"/>
          <w:sz w:val="24"/>
          <w:highlight w:val="none"/>
        </w:rPr>
        <w:t>中标人</w:t>
      </w:r>
      <w:r>
        <w:rPr>
          <w:rFonts w:hint="eastAsia" w:ascii="宋体" w:hAnsi="宋体" w:cs="宋体"/>
          <w:color w:val="auto"/>
          <w:sz w:val="24"/>
          <w:highlight w:val="none"/>
        </w:rPr>
        <w:t>进行经济索赔。</w:t>
      </w:r>
    </w:p>
    <w:p w14:paraId="7961685C">
      <w:pPr>
        <w:spacing w:line="56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FF0000"/>
          <w:sz w:val="32"/>
          <w:szCs w:val="32"/>
          <w:highlight w:val="yellow"/>
        </w:rPr>
        <w:br w:type="page"/>
      </w:r>
      <w:r>
        <w:rPr>
          <w:rFonts w:hint="eastAsia" w:ascii="宋体" w:hAnsi="宋体" w:eastAsia="宋体" w:cs="宋体"/>
          <w:b/>
          <w:bCs/>
          <w:color w:val="auto"/>
          <w:sz w:val="32"/>
          <w:szCs w:val="32"/>
        </w:rPr>
        <w:t xml:space="preserve"> 第五章  </w:t>
      </w:r>
      <w:r>
        <w:rPr>
          <w:rFonts w:hint="eastAsia" w:ascii="宋体" w:hAnsi="宋体" w:eastAsia="宋体" w:cs="宋体"/>
          <w:b/>
          <w:bCs/>
          <w:color w:val="auto"/>
          <w:sz w:val="32"/>
          <w:szCs w:val="32"/>
          <w:lang w:eastAsia="zh-CN"/>
        </w:rPr>
        <w:t>合同草案条款</w:t>
      </w:r>
    </w:p>
    <w:p w14:paraId="6BBD17D0">
      <w:pPr>
        <w:spacing w:line="480" w:lineRule="auto"/>
        <w:ind w:firstLine="480" w:firstLineChars="200"/>
        <w:jc w:val="center"/>
        <w:rPr>
          <w:rFonts w:hint="eastAsia" w:ascii="宋体" w:hAnsi="宋体" w:cs="宋体"/>
          <w:color w:val="auto"/>
        </w:rPr>
      </w:pPr>
      <w:r>
        <w:rPr>
          <w:rFonts w:hint="eastAsia" w:ascii="宋体" w:hAnsi="宋体" w:cs="宋体"/>
          <w:color w:val="auto"/>
          <w:sz w:val="24"/>
          <w:szCs w:val="24"/>
        </w:rPr>
        <w:t>（本合同为合同样稿，最终稿由双方协商后确定）</w:t>
      </w:r>
    </w:p>
    <w:p w14:paraId="2AC8DD5B">
      <w:pPr>
        <w:spacing w:line="240" w:lineRule="auto"/>
        <w:ind w:firstLine="0" w:firstLineChars="0"/>
        <w:rPr>
          <w:rFonts w:hint="eastAsia" w:ascii="宋体" w:hAnsi="宋体" w:eastAsia="宋体" w:cs="宋体"/>
          <w:b/>
          <w:snapToGrid w:val="0"/>
          <w:color w:val="auto"/>
          <w:kern w:val="2"/>
          <w:sz w:val="28"/>
          <w:szCs w:val="28"/>
          <w:highlight w:val="none"/>
        </w:rPr>
      </w:pPr>
      <w:r>
        <w:rPr>
          <w:rFonts w:hint="eastAsia" w:ascii="宋体" w:hAnsi="宋体" w:eastAsia="宋体" w:cs="宋体"/>
          <w:b/>
          <w:color w:val="auto"/>
          <w:kern w:val="2"/>
          <w:sz w:val="28"/>
          <w:szCs w:val="28"/>
          <w:highlight w:val="none"/>
        </w:rPr>
        <w:t>合同项目编号：</w:t>
      </w:r>
      <w:r>
        <w:rPr>
          <w:rFonts w:hint="eastAsia" w:ascii="宋体" w:hAnsi="宋体" w:eastAsia="宋体" w:cs="宋体"/>
          <w:b/>
          <w:snapToGrid w:val="0"/>
          <w:color w:val="auto"/>
          <w:kern w:val="2"/>
          <w:sz w:val="28"/>
          <w:szCs w:val="28"/>
          <w:highlight w:val="none"/>
        </w:rPr>
        <w:t xml:space="preserve"> </w:t>
      </w:r>
    </w:p>
    <w:p w14:paraId="38D1706C">
      <w:pPr>
        <w:spacing w:line="960" w:lineRule="auto"/>
        <w:ind w:firstLine="0" w:firstLineChars="0"/>
        <w:jc w:val="center"/>
        <w:rPr>
          <w:rFonts w:hint="eastAsia" w:ascii="宋体" w:hAnsi="宋体" w:eastAsia="宋体" w:cs="宋体"/>
          <w:b/>
          <w:bCs/>
          <w:color w:val="auto"/>
          <w:kern w:val="2"/>
          <w:sz w:val="52"/>
          <w:szCs w:val="52"/>
          <w:highlight w:val="none"/>
        </w:rPr>
      </w:pPr>
    </w:p>
    <w:p w14:paraId="7002DC87">
      <w:pPr>
        <w:spacing w:line="960" w:lineRule="auto"/>
        <w:ind w:firstLine="0" w:firstLineChars="0"/>
        <w:jc w:val="center"/>
        <w:rPr>
          <w:rFonts w:hint="eastAsia" w:ascii="宋体" w:hAnsi="宋体" w:eastAsia="宋体" w:cs="宋体"/>
          <w:b/>
          <w:bCs/>
          <w:color w:val="auto"/>
          <w:kern w:val="2"/>
          <w:sz w:val="48"/>
          <w:szCs w:val="48"/>
          <w:highlight w:val="none"/>
          <w:lang w:val="en-US" w:eastAsia="zh-CN"/>
        </w:rPr>
      </w:pPr>
      <w:r>
        <w:rPr>
          <w:rFonts w:hint="eastAsia" w:ascii="宋体" w:hAnsi="宋体" w:eastAsia="宋体" w:cs="宋体"/>
          <w:b/>
          <w:bCs/>
          <w:color w:val="auto"/>
          <w:kern w:val="2"/>
          <w:sz w:val="36"/>
          <w:szCs w:val="36"/>
          <w:highlight w:val="none"/>
          <w:lang w:val="en-US" w:eastAsia="zh-CN"/>
        </w:rPr>
        <w:t xml:space="preserve"> 杨凌示范区消防救援支队新区大队厨房劳务外包项目</w:t>
      </w:r>
      <w:r>
        <w:rPr>
          <w:rFonts w:hint="eastAsia" w:ascii="宋体" w:hAnsi="宋体" w:eastAsia="宋体" w:cs="宋体"/>
          <w:b/>
          <w:bCs/>
          <w:color w:val="auto"/>
          <w:kern w:val="2"/>
          <w:sz w:val="48"/>
          <w:szCs w:val="48"/>
          <w:highlight w:val="none"/>
          <w:lang w:val="en-US" w:eastAsia="zh-CN"/>
        </w:rPr>
        <w:t xml:space="preserve"> </w:t>
      </w:r>
    </w:p>
    <w:p w14:paraId="78415BD1">
      <w:pPr>
        <w:spacing w:line="240" w:lineRule="auto"/>
        <w:ind w:firstLine="0" w:firstLineChars="0"/>
        <w:rPr>
          <w:rFonts w:hint="eastAsia" w:ascii="宋体" w:hAnsi="宋体" w:eastAsia="宋体" w:cs="宋体"/>
          <w:color w:val="auto"/>
          <w:kern w:val="2"/>
          <w:sz w:val="20"/>
          <w:szCs w:val="18"/>
          <w:highlight w:val="none"/>
        </w:rPr>
      </w:pPr>
    </w:p>
    <w:p w14:paraId="2CF1B837">
      <w:pPr>
        <w:spacing w:line="240" w:lineRule="auto"/>
        <w:ind w:firstLine="0" w:firstLineChars="0"/>
        <w:rPr>
          <w:rFonts w:hint="eastAsia" w:ascii="宋体" w:hAnsi="宋体" w:eastAsia="宋体" w:cs="宋体"/>
          <w:color w:val="auto"/>
          <w:kern w:val="2"/>
          <w:sz w:val="20"/>
          <w:szCs w:val="18"/>
          <w:highlight w:val="none"/>
        </w:rPr>
      </w:pPr>
    </w:p>
    <w:p w14:paraId="5A42FAF7">
      <w:pPr>
        <w:pStyle w:val="9"/>
        <w:rPr>
          <w:rFonts w:hint="eastAsia"/>
        </w:rPr>
      </w:pPr>
    </w:p>
    <w:p w14:paraId="49D8A1E9">
      <w:pPr>
        <w:spacing w:line="960" w:lineRule="auto"/>
        <w:ind w:firstLine="0" w:firstLineChars="0"/>
        <w:jc w:val="center"/>
        <w:rPr>
          <w:rFonts w:hint="eastAsia" w:ascii="宋体" w:hAnsi="宋体" w:eastAsia="宋体" w:cs="宋体"/>
          <w:b/>
          <w:bCs/>
          <w:color w:val="auto"/>
          <w:kern w:val="2"/>
          <w:sz w:val="44"/>
          <w:szCs w:val="44"/>
          <w:highlight w:val="none"/>
        </w:rPr>
      </w:pPr>
      <w:r>
        <w:rPr>
          <w:rFonts w:hint="eastAsia" w:ascii="宋体" w:hAnsi="宋体" w:eastAsia="宋体" w:cs="宋体"/>
          <w:b/>
          <w:bCs/>
          <w:color w:val="auto"/>
          <w:kern w:val="2"/>
          <w:sz w:val="48"/>
          <w:szCs w:val="48"/>
          <w:highlight w:val="none"/>
        </w:rPr>
        <w:t>服务合同</w:t>
      </w:r>
    </w:p>
    <w:p w14:paraId="6698EF69">
      <w:pPr>
        <w:spacing w:line="360" w:lineRule="auto"/>
        <w:ind w:firstLine="0" w:firstLineChars="0"/>
        <w:rPr>
          <w:rFonts w:hint="eastAsia" w:ascii="宋体" w:hAnsi="宋体" w:eastAsia="宋体" w:cs="宋体"/>
          <w:color w:val="auto"/>
          <w:kern w:val="2"/>
          <w:sz w:val="21"/>
          <w:szCs w:val="24"/>
          <w:highlight w:val="none"/>
        </w:rPr>
      </w:pPr>
    </w:p>
    <w:p w14:paraId="3F306895">
      <w:pPr>
        <w:spacing w:line="360" w:lineRule="auto"/>
        <w:ind w:firstLine="0" w:firstLineChars="0"/>
        <w:rPr>
          <w:rFonts w:hint="eastAsia" w:ascii="宋体" w:hAnsi="宋体" w:eastAsia="宋体" w:cs="宋体"/>
          <w:color w:val="auto"/>
          <w:kern w:val="2"/>
          <w:sz w:val="21"/>
          <w:szCs w:val="24"/>
          <w:highlight w:val="none"/>
        </w:rPr>
      </w:pPr>
    </w:p>
    <w:p w14:paraId="414B6473">
      <w:pPr>
        <w:spacing w:line="360" w:lineRule="auto"/>
        <w:ind w:firstLine="0" w:firstLineChars="0"/>
        <w:rPr>
          <w:rFonts w:hint="eastAsia" w:ascii="宋体" w:hAnsi="宋体" w:eastAsia="宋体" w:cs="宋体"/>
          <w:color w:val="auto"/>
          <w:kern w:val="2"/>
          <w:sz w:val="21"/>
          <w:szCs w:val="24"/>
          <w:highlight w:val="none"/>
        </w:rPr>
      </w:pPr>
    </w:p>
    <w:p w14:paraId="2828A19A">
      <w:pPr>
        <w:spacing w:line="360" w:lineRule="auto"/>
        <w:ind w:firstLine="0" w:firstLineChars="0"/>
        <w:rPr>
          <w:rFonts w:hint="eastAsia" w:ascii="宋体" w:hAnsi="宋体" w:eastAsia="宋体" w:cs="宋体"/>
          <w:color w:val="auto"/>
          <w:kern w:val="2"/>
          <w:sz w:val="28"/>
          <w:szCs w:val="28"/>
          <w:highlight w:val="none"/>
        </w:rPr>
      </w:pPr>
    </w:p>
    <w:p w14:paraId="0B682187">
      <w:pPr>
        <w:pStyle w:val="9"/>
        <w:rPr>
          <w:rFonts w:hint="eastAsia"/>
        </w:rPr>
      </w:pPr>
    </w:p>
    <w:p w14:paraId="09437482">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甲方：</w:t>
      </w:r>
      <w:r>
        <w:rPr>
          <w:rFonts w:hint="eastAsia" w:ascii="宋体" w:hAnsi="宋体" w:eastAsia="宋体" w:cs="宋体"/>
          <w:color w:val="auto"/>
          <w:kern w:val="2"/>
          <w:sz w:val="28"/>
          <w:szCs w:val="28"/>
          <w:highlight w:val="none"/>
          <w:u w:val="single"/>
        </w:rPr>
        <w:t xml:space="preserve">                          </w:t>
      </w:r>
    </w:p>
    <w:p w14:paraId="20DEC703">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乙方：</w:t>
      </w:r>
      <w:r>
        <w:rPr>
          <w:rFonts w:hint="eastAsia" w:ascii="宋体" w:hAnsi="宋体" w:eastAsia="宋体" w:cs="宋体"/>
          <w:color w:val="auto"/>
          <w:kern w:val="2"/>
          <w:sz w:val="28"/>
          <w:szCs w:val="28"/>
          <w:highlight w:val="none"/>
          <w:u w:val="single"/>
        </w:rPr>
        <w:t xml:space="preserve">                          </w:t>
      </w:r>
    </w:p>
    <w:p w14:paraId="1A64D1A2">
      <w:pPr>
        <w:spacing w:line="360" w:lineRule="auto"/>
        <w:ind w:firstLine="1680" w:firstLineChars="6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签约时间：</w:t>
      </w:r>
      <w:r>
        <w:rPr>
          <w:rFonts w:hint="eastAsia" w:ascii="宋体" w:hAnsi="宋体" w:eastAsia="宋体" w:cs="宋体"/>
          <w:color w:val="auto"/>
          <w:kern w:val="2"/>
          <w:sz w:val="28"/>
          <w:szCs w:val="28"/>
          <w:highlight w:val="none"/>
          <w:u w:val="single"/>
        </w:rPr>
        <w:t xml:space="preserve"> 2025 </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日</w:t>
      </w:r>
    </w:p>
    <w:p w14:paraId="47DF7204">
      <w:pPr>
        <w:spacing w:line="360" w:lineRule="auto"/>
        <w:jc w:val="left"/>
        <w:rPr>
          <w:rFonts w:hint="eastAsia" w:ascii="仿宋" w:hAnsi="仿宋" w:eastAsia="仿宋" w:cs="仿宋"/>
          <w:color w:val="auto"/>
          <w:sz w:val="28"/>
          <w:szCs w:val="28"/>
          <w:highlight w:val="none"/>
        </w:rPr>
        <w:sectPr>
          <w:footerReference r:id="rId6" w:type="default"/>
          <w:pgSz w:w="11906" w:h="16838"/>
          <w:pgMar w:top="1440" w:right="1440" w:bottom="1440" w:left="1440" w:header="737" w:footer="992" w:gutter="0"/>
          <w:pgNumType w:fmt="decimal" w:start="1"/>
          <w:cols w:space="720" w:num="1"/>
          <w:rtlGutter w:val="0"/>
          <w:docGrid w:type="lines" w:linePitch="312" w:charSpace="0"/>
        </w:sectPr>
      </w:pPr>
    </w:p>
    <w:p w14:paraId="41F9A888">
      <w:pPr>
        <w:keepNext w:val="0"/>
        <w:keepLines w:val="0"/>
        <w:pageBreakBefore w:val="0"/>
        <w:widowControl/>
        <w:wordWrap/>
        <w:overflowPunct/>
        <w:topLinePunct w:val="0"/>
        <w:bidi w:val="0"/>
        <w:snapToGrid w:val="0"/>
        <w:spacing w:line="520" w:lineRule="atLeast"/>
        <w:jc w:val="left"/>
        <w:rPr>
          <w:rFonts w:hint="eastAsia" w:ascii="宋体" w:hAnsi="宋体" w:eastAsia="宋体" w:cs="宋体"/>
          <w:bCs/>
          <w:color w:val="auto"/>
          <w:kern w:val="2"/>
          <w:sz w:val="24"/>
          <w:szCs w:val="24"/>
          <w:highlight w:val="none"/>
          <w:lang w:bidi="ar"/>
        </w:rPr>
      </w:pPr>
      <w:r>
        <w:rPr>
          <w:rFonts w:hint="eastAsia" w:ascii="宋体" w:hAnsi="宋体" w:eastAsia="宋体" w:cs="宋体"/>
          <w:bCs/>
          <w:color w:val="auto"/>
          <w:kern w:val="2"/>
          <w:sz w:val="24"/>
          <w:szCs w:val="24"/>
          <w:highlight w:val="none"/>
          <w:lang w:bidi="ar"/>
        </w:rPr>
        <w:t>甲方(</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bCs/>
          <w:color w:val="auto"/>
          <w:kern w:val="2"/>
          <w:sz w:val="24"/>
          <w:szCs w:val="24"/>
          <w:highlight w:val="none"/>
          <w:lang w:bidi="ar"/>
        </w:rPr>
        <w:t>采购人</w:t>
      </w:r>
      <w:r>
        <w:rPr>
          <w:rFonts w:hint="eastAsia" w:ascii="宋体" w:hAnsi="宋体" w:eastAsia="宋体" w:cs="宋体"/>
          <w:bCs/>
          <w:color w:val="auto"/>
          <w:kern w:val="2"/>
          <w:sz w:val="24"/>
          <w:szCs w:val="24"/>
          <w:highlight w:val="none"/>
          <w:lang w:bidi="ar"/>
        </w:rPr>
        <w:fldChar w:fldCharType="end"/>
      </w:r>
      <w:r>
        <w:rPr>
          <w:rFonts w:hint="eastAsia" w:ascii="宋体" w:hAnsi="宋体" w:eastAsia="宋体" w:cs="宋体"/>
          <w:bCs/>
          <w:color w:val="auto"/>
          <w:kern w:val="2"/>
          <w:sz w:val="24"/>
          <w:szCs w:val="24"/>
          <w:highlight w:val="none"/>
          <w:lang w:bidi="ar"/>
        </w:rPr>
        <w:t>)：</w:t>
      </w:r>
      <w:r>
        <w:rPr>
          <w:rFonts w:hint="eastAsia" w:ascii="宋体" w:hAnsi="宋体" w:eastAsia="宋体" w:cs="宋体"/>
          <w:bCs/>
          <w:color w:val="auto"/>
          <w:kern w:val="2"/>
          <w:sz w:val="24"/>
          <w:szCs w:val="24"/>
          <w:highlight w:val="none"/>
          <w:u w:val="single"/>
          <w:lang w:bidi="ar"/>
        </w:rPr>
        <w:t xml:space="preserve"> 杨凌示范区消防救援支队新区大队  </w:t>
      </w:r>
    </w:p>
    <w:p w14:paraId="0E7C6173">
      <w:pPr>
        <w:keepNext w:val="0"/>
        <w:keepLines w:val="0"/>
        <w:pageBreakBefore w:val="0"/>
        <w:widowControl/>
        <w:wordWrap/>
        <w:overflowPunct/>
        <w:topLinePunct w:val="0"/>
        <w:bidi w:val="0"/>
        <w:snapToGrid w:val="0"/>
        <w:spacing w:line="520" w:lineRule="atLeast"/>
        <w:jc w:val="left"/>
        <w:rPr>
          <w:rFonts w:hint="eastAsia" w:ascii="宋体" w:hAnsi="宋体" w:eastAsia="宋体" w:cs="宋体"/>
          <w:bCs/>
          <w:color w:val="auto"/>
          <w:kern w:val="2"/>
          <w:sz w:val="24"/>
          <w:szCs w:val="24"/>
          <w:highlight w:val="none"/>
          <w:lang w:bidi="ar"/>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bCs/>
          <w:color w:val="auto"/>
          <w:kern w:val="2"/>
          <w:sz w:val="24"/>
          <w:szCs w:val="24"/>
          <w:highlight w:val="none"/>
          <w:lang w:bidi="ar"/>
        </w:rPr>
        <w:t>乙方</w:t>
      </w:r>
      <w:r>
        <w:rPr>
          <w:rFonts w:hint="eastAsia" w:ascii="宋体" w:hAnsi="宋体" w:eastAsia="宋体" w:cs="宋体"/>
          <w:bCs/>
          <w:color w:val="auto"/>
          <w:kern w:val="2"/>
          <w:sz w:val="24"/>
          <w:szCs w:val="24"/>
          <w:highlight w:val="none"/>
          <w:lang w:bidi="ar"/>
        </w:rPr>
        <w:fldChar w:fldCharType="end"/>
      </w:r>
      <w:r>
        <w:rPr>
          <w:rFonts w:hint="eastAsia" w:ascii="宋体" w:hAnsi="宋体" w:eastAsia="宋体" w:cs="宋体"/>
          <w:bCs/>
          <w:color w:val="auto"/>
          <w:kern w:val="2"/>
          <w:sz w:val="24"/>
          <w:szCs w:val="24"/>
          <w:highlight w:val="none"/>
          <w:lang w:bidi="ar"/>
        </w:rPr>
        <w:t>(中标人)：</w:t>
      </w:r>
      <w:r>
        <w:rPr>
          <w:rFonts w:hint="eastAsia" w:ascii="宋体" w:hAnsi="宋体" w:eastAsia="宋体" w:cs="宋体"/>
          <w:bCs/>
          <w:color w:val="auto"/>
          <w:kern w:val="2"/>
          <w:sz w:val="24"/>
          <w:szCs w:val="24"/>
          <w:highlight w:val="none"/>
          <w:u w:val="single"/>
          <w:lang w:bidi="ar"/>
        </w:rPr>
        <w:t xml:space="preserve">                             </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bidi="ar"/>
        </w:rPr>
        <w:t xml:space="preserve">  </w:t>
      </w:r>
    </w:p>
    <w:p w14:paraId="666FB8EE">
      <w:pPr>
        <w:keepNext w:val="0"/>
        <w:keepLines w:val="0"/>
        <w:pageBreakBefore w:val="0"/>
        <w:widowControl/>
        <w:wordWrap/>
        <w:overflowPunct/>
        <w:topLinePunct w:val="0"/>
        <w:bidi w:val="0"/>
        <w:snapToGrid w:val="0"/>
        <w:spacing w:line="520" w:lineRule="atLeast"/>
        <w:ind w:right="-260" w:rightChars="-93"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根据《中华人民共和国民法典》及其他相关法律规定，为了明确甲乙双方的权利、义务，经过甲、乙双方充分协商，就甲方</w:t>
      </w:r>
      <w:r>
        <w:rPr>
          <w:rFonts w:hint="eastAsia" w:ascii="宋体" w:hAnsi="宋体" w:eastAsia="宋体" w:cs="宋体"/>
          <w:color w:val="auto"/>
          <w:kern w:val="2"/>
          <w:sz w:val="24"/>
          <w:szCs w:val="24"/>
          <w:highlight w:val="none"/>
          <w:u w:val="single"/>
        </w:rPr>
        <w:t>杨凌示范区消防救援支队新区大队厨房劳务外包项目</w:t>
      </w:r>
      <w:r>
        <w:rPr>
          <w:rFonts w:hint="eastAsia" w:ascii="宋体" w:hAnsi="宋体" w:eastAsia="宋体" w:cs="宋体"/>
          <w:color w:val="auto"/>
          <w:kern w:val="2"/>
          <w:sz w:val="24"/>
          <w:szCs w:val="24"/>
          <w:highlight w:val="none"/>
        </w:rPr>
        <w:t>事宜达成如下协议，以便共同信守：</w:t>
      </w:r>
    </w:p>
    <w:p w14:paraId="4A9EC528">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第一条  项目概况</w:t>
      </w:r>
    </w:p>
    <w:p w14:paraId="4003CF59">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bCs/>
          <w:color w:val="auto"/>
          <w:kern w:val="2"/>
          <w:sz w:val="24"/>
          <w:szCs w:val="24"/>
          <w:highlight w:val="none"/>
        </w:rPr>
        <w:t>1、服务地点：</w:t>
      </w:r>
      <w:r>
        <w:rPr>
          <w:rFonts w:hint="eastAsia" w:ascii="宋体" w:hAnsi="宋体" w:eastAsia="宋体" w:cs="宋体"/>
          <w:bCs/>
          <w:color w:val="auto"/>
          <w:kern w:val="2"/>
          <w:sz w:val="24"/>
          <w:szCs w:val="24"/>
          <w:highlight w:val="none"/>
          <w:u w:val="single"/>
        </w:rPr>
        <w:t>采购人指定地点</w:t>
      </w:r>
    </w:p>
    <w:p w14:paraId="4073285F">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rPr>
        <w:t>2、服务内容：</w:t>
      </w:r>
      <w:r>
        <w:rPr>
          <w:rFonts w:hint="eastAsia" w:ascii="宋体" w:hAnsi="宋体" w:eastAsia="宋体" w:cs="宋体"/>
          <w:color w:val="auto"/>
          <w:kern w:val="2"/>
          <w:sz w:val="24"/>
          <w:szCs w:val="24"/>
          <w:highlight w:val="none"/>
          <w:u w:val="single"/>
          <w:lang w:val="en-US" w:eastAsia="zh-CN"/>
        </w:rPr>
        <w:t xml:space="preserve">               </w:t>
      </w:r>
    </w:p>
    <w:p w14:paraId="6D7EEE77">
      <w:pPr>
        <w:keepNext w:val="0"/>
        <w:keepLines w:val="0"/>
        <w:pageBreakBefore w:val="0"/>
        <w:widowControl w:val="0"/>
        <w:wordWrap/>
        <w:overflowPunct/>
        <w:topLinePunct w:val="0"/>
        <w:bidi w:val="0"/>
        <w:snapToGrid w:val="0"/>
        <w:spacing w:line="520" w:lineRule="atLeast"/>
        <w:ind w:left="476" w:leftChars="17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3、服务周期：</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u w:val="single"/>
          <w:lang w:val="en-US" w:eastAsia="zh-CN" w:bidi="ar-SA"/>
        </w:rPr>
        <w:br w:type="textWrapping"/>
      </w:r>
      <w:r>
        <w:rPr>
          <w:rFonts w:hint="eastAsia" w:ascii="宋体" w:hAnsi="宋体" w:eastAsia="宋体" w:cs="宋体"/>
          <w:color w:val="auto"/>
          <w:kern w:val="2"/>
          <w:sz w:val="24"/>
          <w:szCs w:val="24"/>
          <w:highlight w:val="none"/>
          <w:lang w:val="en-US" w:eastAsia="zh-CN" w:bidi="ar-SA"/>
        </w:rPr>
        <w:t>4、服务质量标准：</w:t>
      </w:r>
      <w:r>
        <w:rPr>
          <w:rFonts w:hint="eastAsia" w:ascii="宋体" w:hAnsi="宋体" w:eastAsia="宋体" w:cs="宋体"/>
          <w:color w:val="auto"/>
          <w:spacing w:val="4"/>
          <w:kern w:val="2"/>
          <w:sz w:val="24"/>
          <w:szCs w:val="24"/>
          <w:highlight w:val="none"/>
          <w:u w:val="single"/>
          <w:lang w:val="en-US" w:eastAsia="zh-CN" w:bidi="ar-SA"/>
        </w:rPr>
        <w:t>完全满足采购人的要求</w:t>
      </w:r>
      <w:r>
        <w:rPr>
          <w:rFonts w:hint="eastAsia" w:ascii="宋体" w:hAnsi="宋体" w:eastAsia="宋体" w:cs="宋体"/>
          <w:color w:val="auto"/>
          <w:kern w:val="2"/>
          <w:sz w:val="24"/>
          <w:szCs w:val="24"/>
          <w:highlight w:val="none"/>
          <w:lang w:val="en-US" w:eastAsia="zh-CN" w:bidi="ar-SA"/>
        </w:rPr>
        <w:t>。</w:t>
      </w:r>
    </w:p>
    <w:p w14:paraId="1244A0B6">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第二条  款项结算：</w:t>
      </w:r>
    </w:p>
    <w:p w14:paraId="7192CD52">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（1）付款方式：甲方按月支付费用，中标价分摊至月度，结合考勤与考核结果据实支付。</w:t>
      </w:r>
    </w:p>
    <w:p w14:paraId="5F0234F1">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（2）支付方式：银行转账。</w:t>
      </w:r>
    </w:p>
    <w:p w14:paraId="5BA7F8C1">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（3）供应商在采购人办理支付手续前，为采购人出具等额的符合国家规定的发票。</w:t>
      </w:r>
    </w:p>
    <w:p w14:paraId="7AA0A6BA">
      <w:pPr>
        <w:keepNext w:val="0"/>
        <w:keepLines w:val="0"/>
        <w:pageBreakBefore w:val="0"/>
        <w:widowControl/>
        <w:wordWrap/>
        <w:overflowPunct/>
        <w:topLinePunct w:val="0"/>
        <w:bidi w:val="0"/>
        <w:adjustRightInd w:val="0"/>
        <w:snapToGrid w:val="0"/>
        <w:spacing w:line="520" w:lineRule="atLeast"/>
        <w:ind w:firstLine="241" w:firstLineChars="1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第三条  服务内容及卫生管理</w:t>
      </w:r>
    </w:p>
    <w:p w14:paraId="2BA5F802">
      <w:pPr>
        <w:keepNext w:val="0"/>
        <w:keepLines w:val="0"/>
        <w:pageBreakBefore w:val="0"/>
        <w:widowControl/>
        <w:kinsoku w:val="0"/>
        <w:wordWrap/>
        <w:overflowPunct/>
        <w:topLinePunct w:val="0"/>
        <w:autoSpaceDE w:val="0"/>
        <w:autoSpaceDN w:val="0"/>
        <w:bidi w:val="0"/>
        <w:adjustRightInd w:val="0"/>
        <w:snapToGrid w:val="0"/>
        <w:spacing w:line="520" w:lineRule="atLeast"/>
        <w:ind w:firstLine="482"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b/>
          <w:bCs/>
          <w:snapToGrid w:val="0"/>
          <w:color w:val="auto"/>
          <w:kern w:val="0"/>
          <w:sz w:val="24"/>
          <w:szCs w:val="24"/>
          <w:highlight w:val="none"/>
          <w:lang w:bidi="ar"/>
        </w:rPr>
        <w:t xml:space="preserve">1、服务内容 </w:t>
      </w:r>
    </w:p>
    <w:p w14:paraId="654C8551">
      <w:pPr>
        <w:keepNext w:val="0"/>
        <w:keepLines w:val="0"/>
        <w:pageBreakBefore w:val="0"/>
        <w:widowControl/>
        <w:kinsoku w:val="0"/>
        <w:wordWrap/>
        <w:overflowPunct/>
        <w:topLinePunct w:val="0"/>
        <w:autoSpaceDE w:val="0"/>
        <w:autoSpaceDN w:val="0"/>
        <w:bidi w:val="0"/>
        <w:adjustRightInd w:val="0"/>
        <w:snapToGrid w:val="0"/>
        <w:spacing w:line="520" w:lineRule="atLeast"/>
        <w:ind w:left="485" w:leftChars="170" w:hanging="9" w:hangingChars="4"/>
        <w:textAlignment w:val="baseline"/>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u w:val="single"/>
          <w:lang w:val="en-US" w:eastAsia="zh-CN"/>
        </w:rPr>
        <w:t xml:space="preserve">                                                                      </w:t>
      </w:r>
    </w:p>
    <w:p w14:paraId="0DC8695F">
      <w:pPr>
        <w:keepNext w:val="0"/>
        <w:keepLines w:val="0"/>
        <w:pageBreakBefore w:val="0"/>
        <w:widowControl/>
        <w:kinsoku w:val="0"/>
        <w:wordWrap/>
        <w:overflowPunct/>
        <w:topLinePunct w:val="0"/>
        <w:autoSpaceDE w:val="0"/>
        <w:autoSpaceDN w:val="0"/>
        <w:bidi w:val="0"/>
        <w:adjustRightInd w:val="0"/>
        <w:snapToGrid w:val="0"/>
        <w:spacing w:line="520" w:lineRule="atLeast"/>
        <w:ind w:left="486" w:leftChars="170" w:hanging="10" w:hangingChars="4"/>
        <w:textAlignment w:val="baseline"/>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2、</w:t>
      </w:r>
      <w:r>
        <w:rPr>
          <w:rFonts w:hint="eastAsia" w:ascii="宋体" w:hAnsi="宋体" w:eastAsia="宋体" w:cs="宋体"/>
          <w:b/>
          <w:color w:val="auto"/>
          <w:kern w:val="2"/>
          <w:sz w:val="24"/>
          <w:szCs w:val="24"/>
          <w:highlight w:val="none"/>
          <w:lang w:val="en-US" w:eastAsia="zh-CN"/>
        </w:rPr>
        <w:t>服务标准</w:t>
      </w:r>
    </w:p>
    <w:p w14:paraId="1DCD54B6">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 xml:space="preserve">严格加工过程中的卫生标准，保证食品卫生符合我国《食品卫生法》、《食品安全法》的要求；厨房内的清洁标准符合国家卫生要求。对有关油烟通道、排风通道、管道、灶面 、灶台等的清洁应列为日常清洁任务。每餐消毒后对餐具卫生进行抽查，每餐食品留样48小时。          </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第四条  检查与考核</w:t>
      </w:r>
    </w:p>
    <w:p w14:paraId="125F5A32">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合同期内，甲方根据餐饮管理制度定期或不定期对乙方进行检查；</w:t>
      </w:r>
      <w:r>
        <w:rPr>
          <w:rFonts w:hint="eastAsia" w:ascii="宋体" w:hAnsi="宋体" w:eastAsia="宋体" w:cs="宋体"/>
          <w:color w:val="auto"/>
          <w:kern w:val="2"/>
          <w:sz w:val="24"/>
          <w:szCs w:val="24"/>
          <w:highlight w:val="none"/>
          <w:lang w:eastAsia="zh-CN"/>
        </w:rPr>
        <w:t>对厨房</w:t>
      </w:r>
      <w:r>
        <w:rPr>
          <w:rFonts w:hint="eastAsia" w:ascii="宋体" w:hAnsi="宋体" w:eastAsia="宋体" w:cs="宋体"/>
          <w:color w:val="auto"/>
          <w:kern w:val="2"/>
          <w:sz w:val="24"/>
          <w:szCs w:val="24"/>
          <w:highlight w:val="none"/>
        </w:rPr>
        <w:t>加工操作环节、环境卫生等方面进行检查并记录，如果连续两个月有超出半数成员对乙方服务表现做出差评，甲方有权无条件解除合同。乙方人员恶意浪费或偷窃食材，经核查属实，乙方应承担相应损失，甲方有权进行考核处罚责令整改，情况严重者终止合同。</w:t>
      </w:r>
    </w:p>
    <w:p w14:paraId="39F8A5A5">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第五条  甲方的权利和义务</w:t>
      </w:r>
    </w:p>
    <w:p w14:paraId="7BBF6746">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水、电、气应接入并能正常使用；主副食加工间、粗加工间、冷库、用具、厨房、更衣间等房间、设施器具齐全并能正常使用。</w:t>
      </w:r>
    </w:p>
    <w:p w14:paraId="5F7E851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2、甲方应对乙方的日常供餐、服务水平及卫生情况进行监督，并且有权要求乙方及时整改不良之处。</w:t>
      </w:r>
    </w:p>
    <w:p w14:paraId="3F63EB3B">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3、甲方有权利要求乙方执行上级领导及卫生执法部门的相关规定，组织监督小组对乙方在卫生、质量、服务等方面进行检查监督，并对不达标地方指导改进。</w:t>
      </w:r>
    </w:p>
    <w:p w14:paraId="052E8DB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各区域按要求配置全能设施器具和现有的设备、器具的</w:t>
      </w:r>
      <w:r>
        <w:rPr>
          <w:rFonts w:hint="eastAsia" w:ascii="宋体" w:hAnsi="宋体" w:eastAsia="宋体" w:cs="宋体"/>
          <w:color w:val="auto"/>
          <w:kern w:val="2"/>
          <w:sz w:val="24"/>
          <w:szCs w:val="24"/>
          <w:highlight w:val="none"/>
          <w:lang w:eastAsia="zh-CN"/>
        </w:rPr>
        <w:t>所有权</w:t>
      </w:r>
      <w:r>
        <w:rPr>
          <w:rFonts w:hint="eastAsia" w:ascii="宋体" w:hAnsi="宋体" w:eastAsia="宋体" w:cs="宋体"/>
          <w:color w:val="auto"/>
          <w:kern w:val="2"/>
          <w:sz w:val="24"/>
          <w:szCs w:val="24"/>
          <w:highlight w:val="none"/>
        </w:rPr>
        <w:t>均属于甲方；乙方在工作中应当合理、谨慎</w:t>
      </w:r>
      <w:r>
        <w:rPr>
          <w:rFonts w:hint="eastAsia" w:ascii="宋体" w:hAnsi="宋体" w:eastAsia="宋体" w:cs="宋体"/>
          <w:color w:val="auto"/>
          <w:kern w:val="2"/>
          <w:sz w:val="24"/>
          <w:szCs w:val="24"/>
          <w:highlight w:val="none"/>
          <w:lang w:eastAsia="zh-CN"/>
        </w:rPr>
        <w:t>地</w:t>
      </w:r>
      <w:r>
        <w:rPr>
          <w:rFonts w:hint="eastAsia" w:ascii="宋体" w:hAnsi="宋体" w:eastAsia="宋体" w:cs="宋体"/>
          <w:color w:val="auto"/>
          <w:kern w:val="2"/>
          <w:sz w:val="24"/>
          <w:szCs w:val="24"/>
          <w:highlight w:val="none"/>
        </w:rPr>
        <w:t>使用相关的设备、设施，乙方因人为原因导致甲方设备毁损的，乙方应当积极予以维修并承担设施、设备毁损所造成的全部费用。因乙方管理不善将设备、器具丢失的，乙方应当照价予以赔偿。</w:t>
      </w:r>
    </w:p>
    <w:p w14:paraId="1837927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现有设备、设施清单由甲方负责向乙方提供，并于乙方进驻工作现场时由双方派人进行移交手续。</w:t>
      </w:r>
    </w:p>
    <w:p w14:paraId="5128ADDA">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的各项设备、在正常使用中因机器本身正常耗损所产生故障，不能正常运转的，由甲方负责维修、更换。</w:t>
      </w:r>
    </w:p>
    <w:p w14:paraId="16DFB197">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7、甲方对乙方的服务工作有监督管理权。</w:t>
      </w:r>
    </w:p>
    <w:p w14:paraId="7FF18B8D">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双方在履行本合同期间，因乙方的原因导致就餐延误30分钟及以上，如果在一个月内发生两次及以上的，甲方有权解除本合同，乙方自行承担因本合同解除所造成的一切后果和责任，给甲方造成损失的，乙方应当及时、足额</w:t>
      </w:r>
      <w:r>
        <w:rPr>
          <w:rFonts w:hint="eastAsia" w:ascii="宋体" w:hAnsi="宋体" w:eastAsia="宋体" w:cs="宋体"/>
          <w:color w:val="auto"/>
          <w:kern w:val="2"/>
          <w:sz w:val="24"/>
          <w:szCs w:val="24"/>
          <w:highlight w:val="none"/>
          <w:lang w:eastAsia="zh-CN"/>
        </w:rPr>
        <w:t>地</w:t>
      </w:r>
      <w:r>
        <w:rPr>
          <w:rFonts w:hint="eastAsia" w:ascii="宋体" w:hAnsi="宋体" w:eastAsia="宋体" w:cs="宋体"/>
          <w:color w:val="auto"/>
          <w:kern w:val="2"/>
          <w:sz w:val="24"/>
          <w:szCs w:val="24"/>
          <w:highlight w:val="none"/>
        </w:rPr>
        <w:t>给予赔偿；甲方若有临时加班、放假以及大型接待等活动时，应提前一天告知乙方，若因就餐人员减少，甲方没有及时通知乙方，所造成的损失由甲方承担。如遇特殊情况需提前、延迟开餐或加餐时，甲方应提前一餐通知乙方，否则，造成的损失由甲方承担。</w:t>
      </w:r>
    </w:p>
    <w:p w14:paraId="689BB4B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甲方在履行本合同的过程中，乙方应该全力支持和配合。甲方有权要求乙方遵守甲方的规章制度，对于违反规章制度的乙方员工，甲方有权以书面形式告知乙方，限期乙方进行整改，乙方应当在甲方要求的期限内完成整改，否则甲方有权解除本合同。</w:t>
      </w:r>
    </w:p>
    <w:p w14:paraId="77A999B9">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10、甲方尊重乙方劳动和管理方式，除甲方领导和后勤管理人员外，其余人员一律不得随意出入乙方的后厨工作现场。</w:t>
      </w:r>
    </w:p>
    <w:p w14:paraId="6F180EB9">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食材日常管理：</w:t>
      </w:r>
    </w:p>
    <w:p w14:paraId="619453F8">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乙方应该严格执行验收制度，确保验收食材、物料质量符合食品安全要求，杜绝不符合食品安全要求的食材、物料进入餐厅。如果因为乙方的原因，出现食材、物料引发安全事故，乙方应当承担全部责任，并赔偿受害人因此造成的一切损失。</w:t>
      </w:r>
    </w:p>
    <w:p w14:paraId="122D2A00">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11.2双方应当严格入库验收制度，入库验收工作由甲方管理员和乙方相关人员负责，对入库原材料过秤、清点数量进行质量检测。</w:t>
      </w:r>
    </w:p>
    <w:p w14:paraId="1A01A537">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12、甲方对乙方的食品加工过程、营养搭配、服务质量及安全管理、环境卫生等方面有检查和监督权，对指出的问题乙方要及时整改。</w:t>
      </w:r>
    </w:p>
    <w:p w14:paraId="53994EE8">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13、甲方承担天然气管道检修、维护、改造及</w:t>
      </w:r>
      <w:r>
        <w:rPr>
          <w:rFonts w:hint="eastAsia" w:ascii="宋体" w:hAnsi="宋体" w:eastAsia="宋体" w:cs="宋体"/>
          <w:color w:val="auto"/>
          <w:kern w:val="2"/>
          <w:sz w:val="24"/>
          <w:szCs w:val="24"/>
          <w:highlight w:val="none"/>
          <w:lang w:eastAsia="zh-CN"/>
        </w:rPr>
        <w:t>燃气</w:t>
      </w:r>
      <w:r>
        <w:rPr>
          <w:rFonts w:hint="eastAsia" w:ascii="宋体" w:hAnsi="宋体" w:eastAsia="宋体" w:cs="宋体"/>
          <w:color w:val="auto"/>
          <w:kern w:val="2"/>
          <w:sz w:val="24"/>
          <w:szCs w:val="24"/>
          <w:highlight w:val="none"/>
        </w:rPr>
        <w:t>表维修更换、检测费用。</w:t>
      </w:r>
    </w:p>
    <w:p w14:paraId="184490A1">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14、为确保安全，甲方负责每半年对油烟管道进行一次清理，费用由甲方承担；乙方负责日常卫生维护工作。</w:t>
      </w:r>
    </w:p>
    <w:p w14:paraId="2362DBA5">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甲方对乙方制定的食谱每周进行审核确认，乙方对甲方提出的意见建议要及时改进，对暂时不能落实的问题要积极创造条件尽早落实，双方达成一致的食品要遵照执行，因原材料等特殊情况需要调整食谱时，调整量不超过20%。</w:t>
      </w:r>
    </w:p>
    <w:p w14:paraId="6F4D0AD6">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第六条  乙方的权利和义务</w:t>
      </w:r>
    </w:p>
    <w:p w14:paraId="0B48F429">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Cs/>
          <w:sz w:val="24"/>
          <w:szCs w:val="24"/>
        </w:rPr>
        <w:t>保障消防队伍膳食安全与营养需求</w:t>
      </w:r>
      <w:r>
        <w:rPr>
          <w:rFonts w:hint="eastAsia" w:ascii="宋体" w:hAnsi="宋体" w:eastAsia="宋体" w:cs="宋体"/>
          <w:bCs/>
          <w:sz w:val="24"/>
          <w:szCs w:val="24"/>
          <w:lang w:eastAsia="zh-CN"/>
        </w:rPr>
        <w:t>，</w:t>
      </w:r>
      <w:r>
        <w:rPr>
          <w:rFonts w:hint="eastAsia" w:ascii="宋体" w:hAnsi="宋体" w:eastAsia="宋体" w:cs="宋体"/>
          <w:color w:val="auto"/>
          <w:kern w:val="2"/>
          <w:sz w:val="24"/>
          <w:szCs w:val="24"/>
          <w:highlight w:val="none"/>
          <w:lang w:val="en-US" w:eastAsia="zh-CN" w:bidi="ar-SA"/>
        </w:rPr>
        <w:t>提高就餐满意率的共同目标，乙方应当积极配合甲方，按照甲方提出的建议，及时对人员的工作进行调整。</w:t>
      </w:r>
    </w:p>
    <w:p w14:paraId="3FDC1C8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2、乙方承诺在日常工作中严格遵守《中华人民共和国食品安全法》及其他国家和地方制定的食品安全方面的法律法规，并按照本合同的约定进行日常工作。</w:t>
      </w:r>
    </w:p>
    <w:p w14:paraId="5127A0A3">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3、乙方承诺在合同期间保证食品安全率100%，工作人员的人身安全率100%和机械设备安全使用率100%。</w:t>
      </w:r>
    </w:p>
    <w:p w14:paraId="5D560813">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合同履行期间，发生食品卫生问题（包括但不限于发生饭菜有异物、食材变质），经抽检或就餐人员投诉情况属实的，发现一次扣除合同金额5‰， 连续或累计出现两次及以上的，甲方有权单方解除本协议，并按本合同合同金额第八条第 1 款要求乙方承担违约责任。</w:t>
      </w:r>
    </w:p>
    <w:p w14:paraId="0318BC7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期间，若发生食品安全事故，乙方承诺承担全部责任，并赔偿受害人因此造成的一切损失；乙方自行承担其他工作人员的人身安全责任，乙方工作人员发生的任何人身安全事故，均与甲方无关；机械设备由甲方负责安装防护装置，对于没有安全防护的设备，乙方有权拒绝使用，如因此甲方造成损失的，由甲方自行承担，除此外，乙方承担的因机械安全所造成的全部责任和全部费用。</w:t>
      </w:r>
    </w:p>
    <w:p w14:paraId="48616A6D">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本合同履行期间，因乙方原因所发生的食品安全、人身安全、机械安全事故，所产生的全部费用和相应的责任均由乙方承担。</w:t>
      </w:r>
    </w:p>
    <w:p w14:paraId="7C88E40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4、乙方的工作人员应当符合国家食品药品监督部门和其他相关部门的要求，乙方工作人员均应当持有效的《健康证》。</w:t>
      </w:r>
    </w:p>
    <w:p w14:paraId="5F52AB2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5、乙方应按时、保质、保量地完成项目工作任务，确保甲方节假日加班和日常延时工作的需求，确保日常工作正常运行。</w:t>
      </w:r>
    </w:p>
    <w:p w14:paraId="4355E5A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6、乙方应当向所属员工提供符合《中华人民共和国食品安全法》要求的、印有乙方企业标识的工作服和出入证，乙方员工在工作区域时，必须穿着统一工作服。</w:t>
      </w:r>
    </w:p>
    <w:p w14:paraId="69B9B66E">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7、乙方应当保证其员工身份的真实性以及政审合格。</w:t>
      </w:r>
    </w:p>
    <w:p w14:paraId="646CBD5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8、根据伙食费标准做好伙食调剂，控制伙食成本，杜绝浪费。乙方同时应妥善保管甲方仓库内食材，坚决杜绝人为损耗。否则，乙方应承担赔偿责任。</w:t>
      </w:r>
    </w:p>
    <w:p w14:paraId="466A2C5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按《中华人民共和国食品安全法》相关规定，每餐次的食品成品必须留样。留样食品不得少于125克，并记录留样食品名称、留样量、留样时间、留样人员等，留样食品应使用清洁的专用容器和专用冷藏设施进行储存，并专柜冷藏保存48小时以上。</w:t>
      </w:r>
    </w:p>
    <w:p w14:paraId="440D47E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乙方须与员工签订正式劳动合同，负责员工的使用、管理、教育、培训、奖惩和调配工作；负责员工意外事故和劳动纠纷的处理工作；按时支付员工工资、保险及其他福利。负责所辖工作人员的安全工作。除甲方责任外，乙方员工及第三人出现人身伤亡、财产损失事故，由乙方负责，所有费用由乙方承担。乙方应当按照我国劳动法律法规的有关规定向所属员工发放工资、福利、劳保；同时建立、健全劳动安全制度，严格执行国家劳动安全规程和标准；并对员工进行上岗前安全教育和技能等培训，使其符合上岗的要求，具备相应的职业技能和业务素质。</w:t>
      </w:r>
    </w:p>
    <w:p w14:paraId="00862F0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11、定期征求就餐人员意见，根据甲方意见有针对性整改。</w:t>
      </w:r>
    </w:p>
    <w:p w14:paraId="29CF42F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12、甲方配置的机械设备，乙方不得转让、转包、转租、变卖或擅自挪用其他用途。必须爱护甲方的设备和财产，由于违规操作造成的设施设备、炊具、餐具等的损坏，由乙方照价赔偿。</w:t>
      </w:r>
    </w:p>
    <w:p w14:paraId="4DC962F7">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13、乙方负责对餐厅水、电、燃气安全等设施设备进行检查巡视，发现问题及时向甲方汇报并第一时间处理。</w:t>
      </w:r>
    </w:p>
    <w:p w14:paraId="60949851">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14、遇到甲方有重大活动时，乙方必须按照甲方要求保障饮食供应，需提前或延后就餐时，由甲方负责提前通知乙方，乙方须配合并保证供应。</w:t>
      </w:r>
    </w:p>
    <w:p w14:paraId="395038EC">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15、乙方需调整人员时，必须事先向甲方备案，应交健康证、在岗出入证、工作证等，并办理其他手续。</w:t>
      </w:r>
    </w:p>
    <w:p w14:paraId="3C22AF5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16、乙方从事餐饮的所有人员必须办理卫生防疫部门发放的健康证，并承担办证费用。</w:t>
      </w:r>
    </w:p>
    <w:p w14:paraId="3A11010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17、乙方必须向甲方开具符合甲方要求的正规发票，税费由乙方承担。</w:t>
      </w:r>
    </w:p>
    <w:p w14:paraId="42A8317F">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第七条  违约责任及解决合同纠纷的方式</w:t>
      </w:r>
    </w:p>
    <w:p w14:paraId="34C1C8CF">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1、双方任何一方违反本合同任一条款即构成违约，任何一方有权终止合同。</w:t>
      </w:r>
    </w:p>
    <w:p w14:paraId="517F4A54">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2、在本合同履行期间如产生争议，双方应当首先进行友好协商，若协商不成，可向甲方所在地人民法院提起诉讼起诉。</w:t>
      </w:r>
    </w:p>
    <w:p w14:paraId="3A63600C">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3、除因不可抗拒的事件外（如地震、水灾、旱灾、战争、政府禁令、罢工等），任何一方不得以任何理由不经协商而中断合同的有效执行。</w:t>
      </w:r>
    </w:p>
    <w:p w14:paraId="27F377F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为建立友好合作关系，确保双方权益和商业秘密不受侵犯，双方均负有保密责任和义务，未经任何一方允许，不得将对方商业信息、技术信息、经营信息及本合同约定的相关内容转载或公开给第三方，若任何一方违反本条款，需承担违约金10万元，同时承担相应的法律责任。</w:t>
      </w:r>
    </w:p>
    <w:p w14:paraId="6A6773CF">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5、无论因任何原因，双方不再合作，甲方不得以任何理由、任何形式雇佣乙方现有管理干部或员工，如违反规定，需承担赔偿20万元违约金并承担相关法律责任。</w:t>
      </w:r>
    </w:p>
    <w:p w14:paraId="3F48E29C">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不能按照管理制度完成管理目标，甲方有权要求乙方限期整改，经甲方书面函告逾期未整改的，每逾1日甲方将扣除乙方2000元的违约金，并在当月餐饮管理服务费用中扣除；且因此造成甲方经济损失，由乙方承担；情形严重时，甲方有权终止合同。</w:t>
      </w:r>
    </w:p>
    <w:p w14:paraId="46CBFA99">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制定质量保证体系，切实做好项目餐饮管理服务工作，餐饮人员必须各尽其职，保证符合各项工作质量要求，如安排不当、人员不能到位严重影响甲方正常工作的，且经过甲方书面函告仍未改正的，按2000元/次给予经济处罚，并在当月餐饮管理服务费用中扣除。</w:t>
      </w:r>
    </w:p>
    <w:p w14:paraId="353C5AFF">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对乙方提供的服务工作进行质量检查、考核。对工作表现差的员工提出更换（包括项目内各级管理员和员工），乙方须予及时调换人员。项目经理必须服从采购单位提出的合理要求。以上产生的任何违约行为所导致的违约金、罚款等，甲方有权在乙方的服务费中予以直接扣除，乙方对此无异议。</w:t>
      </w:r>
    </w:p>
    <w:p w14:paraId="58DD2A1D">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第八条 其他要求</w:t>
      </w:r>
    </w:p>
    <w:p w14:paraId="2FD43D8E">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1、每天从业人员工作时间能确保消防队伍开餐时间正常开餐。 </w:t>
      </w:r>
    </w:p>
    <w:p w14:paraId="4B1AA943">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2、以上配置所有人员必须具备下列要求： </w:t>
      </w:r>
    </w:p>
    <w:p w14:paraId="1261D875">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（1）所有人员必须按卫生部门规定进行健康体检，取得卫生防疫部门出具的在有效期内的健康证； </w:t>
      </w:r>
    </w:p>
    <w:p w14:paraId="055C3201">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（2）必须遵守有关管理的纪律要求，严格执行保密协议的有关规定； </w:t>
      </w:r>
    </w:p>
    <w:p w14:paraId="00BE327D">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（3）</w:t>
      </w:r>
      <w:r>
        <w:rPr>
          <w:rFonts w:hint="eastAsia" w:ascii="宋体" w:hAnsi="宋体" w:eastAsia="宋体" w:cs="宋体"/>
          <w:snapToGrid w:val="0"/>
          <w:color w:val="auto"/>
          <w:kern w:val="0"/>
          <w:sz w:val="24"/>
          <w:szCs w:val="24"/>
          <w:highlight w:val="none"/>
          <w:lang w:eastAsia="zh-CN" w:bidi="ar"/>
        </w:rPr>
        <w:t>服务周期</w:t>
      </w:r>
      <w:r>
        <w:rPr>
          <w:rFonts w:hint="eastAsia" w:ascii="宋体" w:hAnsi="宋体" w:eastAsia="宋体" w:cs="宋体"/>
          <w:snapToGrid w:val="0"/>
          <w:color w:val="auto"/>
          <w:kern w:val="0"/>
          <w:sz w:val="24"/>
          <w:szCs w:val="24"/>
          <w:highlight w:val="none"/>
          <w:lang w:bidi="ar"/>
        </w:rPr>
        <w:t>内提供餐饮服务人员身份证明等资料，餐饮服务人员未经</w:t>
      </w:r>
      <w:r>
        <w:rPr>
          <w:rFonts w:hint="eastAsia" w:ascii="宋体" w:hAnsi="宋体" w:eastAsia="宋体" w:cs="宋体"/>
          <w:snapToGrid w:val="0"/>
          <w:color w:val="auto"/>
          <w:kern w:val="0"/>
          <w:sz w:val="24"/>
          <w:szCs w:val="24"/>
          <w:highlight w:val="none"/>
          <w:lang w:eastAsia="zh-CN" w:bidi="ar"/>
        </w:rPr>
        <w:t>甲方</w:t>
      </w:r>
      <w:r>
        <w:rPr>
          <w:rFonts w:hint="eastAsia" w:ascii="宋体" w:hAnsi="宋体" w:eastAsia="宋体" w:cs="宋体"/>
          <w:snapToGrid w:val="0"/>
          <w:color w:val="auto"/>
          <w:kern w:val="0"/>
          <w:sz w:val="24"/>
          <w:szCs w:val="24"/>
          <w:highlight w:val="none"/>
          <w:lang w:bidi="ar"/>
        </w:rPr>
        <w:t xml:space="preserve">同意不得随意变化，相对固定。 </w:t>
      </w:r>
    </w:p>
    <w:p w14:paraId="53017788">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(4)拟投入的餐饮服务人员须符合劳动法规定的用工年龄。任何与人员有关的意外，伤害，劳务纠纷，都需投标人承担。  </w:t>
      </w:r>
    </w:p>
    <w:p w14:paraId="673AD57C">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（5）工作期间，工作人员必须统一着装，并佩戴卫生防护用品。</w:t>
      </w:r>
    </w:p>
    <w:p w14:paraId="1A5ABAFC">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第九条  合同变更与终止</w:t>
      </w:r>
    </w:p>
    <w:p w14:paraId="367AA8EB">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1、合同期间任何一方不得随意终止合同。如有任何变更情形，甲方有权与乙方签订补充协议，内容包括但不限于合同履行的期限、履行的内容以及付款金额等进行补充协议，乙方无条件予以配合。</w:t>
      </w:r>
    </w:p>
    <w:p w14:paraId="3F590BE8">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2、本合同规定的履行期限届满，合同自动终止。</w:t>
      </w:r>
    </w:p>
    <w:p w14:paraId="7401210E">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3、乙方应自觉遵守甲方工作纪律、规章制度，服从甲方管理。因乙方原因给甲方造成严重后果，甲方可以单方面解除合同，并承担相应损失。</w:t>
      </w:r>
    </w:p>
    <w:p w14:paraId="4E390222">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第十条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b/>
          <w:bCs/>
          <w:color w:val="auto"/>
          <w:kern w:val="2"/>
          <w:sz w:val="24"/>
          <w:szCs w:val="24"/>
          <w:highlight w:val="none"/>
          <w:lang w:val="en-US" w:eastAsia="zh-CN" w:bidi="ar-SA"/>
        </w:rPr>
        <w:t>不可抗力</w:t>
      </w:r>
      <w:r>
        <w:rPr>
          <w:rFonts w:hint="eastAsia" w:ascii="宋体" w:hAnsi="宋体" w:eastAsia="宋体" w:cs="宋体"/>
          <w:b/>
          <w:bCs/>
          <w:color w:val="auto"/>
          <w:kern w:val="2"/>
          <w:sz w:val="24"/>
          <w:szCs w:val="24"/>
          <w:highlight w:val="none"/>
          <w:lang w:val="en-US" w:eastAsia="zh-CN" w:bidi="ar-SA"/>
        </w:rPr>
        <w:fldChar w:fldCharType="end"/>
      </w:r>
    </w:p>
    <w:p w14:paraId="0F7CC4B3">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甲乙双方任何一方由于</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不可抗力</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原因不能履行合同时，应及时向对</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方通</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报不能履行或不能完全履行的理由，以减轻可能给对方造成的损失，在取得有关机构证明后，允许延期履行、部分履行或不履行合同，并根据情况可部分或全部免予承担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违约责任</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w:t>
      </w:r>
    </w:p>
    <w:p w14:paraId="2CE0CACD">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第十一条  争议解决</w:t>
      </w:r>
    </w:p>
    <w:p w14:paraId="02B6D453">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双方本着友好合作的态度,对合同履行过程中发生的</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纠纷</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应及时协商解决,协商不成，向甲方所在地人民法院诉讼解决。</w:t>
      </w:r>
    </w:p>
    <w:p w14:paraId="41C7E198">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第十二条  监督和管理</w:t>
      </w:r>
    </w:p>
    <w:p w14:paraId="6667E5F0">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甲乙双方均应自觉配合有关监督管理部门对合同履行情况的监督检查，如实反映情况，提供有关资料；否则，将对有关单位、当事人按照有关规定予以处罚。</w:t>
      </w:r>
    </w:p>
    <w:p w14:paraId="7EA6B56C">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第十三条  附则</w:t>
      </w:r>
    </w:p>
    <w:p w14:paraId="07136587">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1、本次采购项目的</w:t>
      </w:r>
      <w:r>
        <w:rPr>
          <w:rFonts w:hint="eastAsia" w:ascii="宋体" w:hAnsi="宋体" w:eastAsia="宋体" w:cs="宋体"/>
          <w:color w:val="auto"/>
          <w:kern w:val="2"/>
          <w:sz w:val="24"/>
          <w:szCs w:val="24"/>
          <w:highlight w:val="none"/>
          <w:lang w:eastAsia="zh-CN"/>
        </w:rPr>
        <w:t>竞争性磋商文件</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eastAsia="zh-CN"/>
        </w:rPr>
        <w:t>成交</w:t>
      </w:r>
      <w:r>
        <w:rPr>
          <w:rFonts w:hint="eastAsia" w:ascii="宋体" w:hAnsi="宋体" w:eastAsia="宋体" w:cs="宋体"/>
          <w:color w:val="auto"/>
          <w:kern w:val="2"/>
          <w:sz w:val="24"/>
          <w:szCs w:val="24"/>
          <w:highlight w:val="none"/>
        </w:rPr>
        <w:t>通知书及澄清说明文件均为本合同的组成部分，甲、乙双方必须全面遵守，如有违反，应承担违约责任。</w:t>
      </w:r>
    </w:p>
    <w:p w14:paraId="6939B61E">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2、本合同一式陆份,甲乙双方各执</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w:t>
      </w:r>
    </w:p>
    <w:p w14:paraId="5B80F74A">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3、本合同自签订之日起生效。</w:t>
      </w:r>
    </w:p>
    <w:p w14:paraId="71C9D484">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4、附件：/</w:t>
      </w:r>
    </w:p>
    <w:p w14:paraId="799591D6">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p>
    <w:p w14:paraId="792459F1">
      <w:pPr>
        <w:keepNext w:val="0"/>
        <w:keepLines w:val="0"/>
        <w:pageBreakBefore w:val="0"/>
        <w:wordWrap/>
        <w:overflowPunct/>
        <w:topLinePunct w:val="0"/>
        <w:bidi w:val="0"/>
        <w:adjustRightInd w:val="0"/>
        <w:snapToGrid w:val="0"/>
        <w:spacing w:line="520" w:lineRule="atLeast"/>
        <w:ind w:firstLine="480" w:firstLineChars="200"/>
        <w:rPr>
          <w:rFonts w:hint="eastAsia" w:ascii="宋体" w:hAnsi="宋体" w:eastAsia="宋体" w:cs="宋体"/>
          <w:color w:val="auto"/>
          <w:kern w:val="2"/>
          <w:sz w:val="24"/>
          <w:szCs w:val="24"/>
          <w:highlight w:val="none"/>
        </w:rPr>
      </w:pPr>
    </w:p>
    <w:tbl>
      <w:tblPr>
        <w:tblStyle w:val="17"/>
        <w:tblW w:w="0" w:type="auto"/>
        <w:jc w:val="center"/>
        <w:tblLayout w:type="fixed"/>
        <w:tblCellMar>
          <w:top w:w="0" w:type="dxa"/>
          <w:left w:w="108" w:type="dxa"/>
          <w:bottom w:w="0" w:type="dxa"/>
          <w:right w:w="108" w:type="dxa"/>
        </w:tblCellMar>
      </w:tblPr>
      <w:tblGrid>
        <w:gridCol w:w="4643"/>
        <w:gridCol w:w="4643"/>
      </w:tblGrid>
      <w:tr w14:paraId="35605866">
        <w:tblPrEx>
          <w:tblCellMar>
            <w:top w:w="0" w:type="dxa"/>
            <w:left w:w="108" w:type="dxa"/>
            <w:bottom w:w="0" w:type="dxa"/>
            <w:right w:w="108" w:type="dxa"/>
          </w:tblCellMar>
        </w:tblPrEx>
        <w:trPr>
          <w:jc w:val="center"/>
        </w:trPr>
        <w:tc>
          <w:tcPr>
            <w:tcW w:w="4643" w:type="dxa"/>
            <w:noWrap w:val="0"/>
            <w:vAlign w:val="top"/>
          </w:tcPr>
          <w:p w14:paraId="342D150F">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甲方名称（盖章）:</w:t>
            </w:r>
          </w:p>
          <w:p w14:paraId="3D4D9D4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7AF717B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法定代表人或委托代理人（签字）：</w:t>
            </w:r>
          </w:p>
          <w:p w14:paraId="2A6F18C4">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7CFD03F5">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AD01F79">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账号</w:t>
            </w:r>
            <w:r>
              <w:rPr>
                <w:rFonts w:hint="eastAsia" w:ascii="宋体" w:hAnsi="宋体" w:eastAsia="宋体" w:cs="宋体"/>
                <w:color w:val="auto"/>
                <w:kern w:val="0"/>
                <w:sz w:val="24"/>
                <w:szCs w:val="24"/>
                <w:highlight w:val="none"/>
              </w:rPr>
              <w:t>：</w:t>
            </w:r>
          </w:p>
        </w:tc>
        <w:tc>
          <w:tcPr>
            <w:tcW w:w="4643" w:type="dxa"/>
            <w:noWrap w:val="0"/>
            <w:vAlign w:val="top"/>
          </w:tcPr>
          <w:p w14:paraId="57A50CDF">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乙方名称（盖章）:</w:t>
            </w:r>
          </w:p>
          <w:p w14:paraId="29CAB3B6">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522D5CF5">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法定代表人或委托代理人（签字）：</w:t>
            </w:r>
          </w:p>
          <w:p w14:paraId="2A480FC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4D146A7C">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3880934">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账号</w:t>
            </w:r>
            <w:r>
              <w:rPr>
                <w:rFonts w:hint="eastAsia" w:ascii="宋体" w:hAnsi="宋体" w:eastAsia="宋体" w:cs="宋体"/>
                <w:color w:val="auto"/>
                <w:kern w:val="0"/>
                <w:sz w:val="24"/>
                <w:szCs w:val="24"/>
                <w:highlight w:val="none"/>
              </w:rPr>
              <w:t>：</w:t>
            </w:r>
          </w:p>
        </w:tc>
      </w:tr>
    </w:tbl>
    <w:p w14:paraId="10637AA4">
      <w:pPr>
        <w:spacing w:before="156" w:beforeLines="50" w:after="156" w:afterLines="50" w:line="360" w:lineRule="auto"/>
        <w:ind w:firstLine="482" w:firstLineChars="200"/>
        <w:rPr>
          <w:rFonts w:hint="eastAsia" w:ascii="宋体" w:hAnsi="宋体" w:cs="宋体"/>
          <w:b/>
          <w:bCs/>
          <w:sz w:val="24"/>
          <w:szCs w:val="24"/>
        </w:rPr>
      </w:pPr>
    </w:p>
    <w:p w14:paraId="6FEB2698">
      <w:pPr>
        <w:spacing w:before="156" w:beforeLines="50" w:after="156" w:afterLines="50" w:line="360" w:lineRule="auto"/>
        <w:ind w:firstLine="482" w:firstLineChars="200"/>
        <w:rPr>
          <w:rFonts w:hint="eastAsia" w:ascii="宋体" w:hAnsi="宋体" w:cs="宋体"/>
          <w:sz w:val="24"/>
          <w:szCs w:val="24"/>
          <w:lang w:val="zh-CN"/>
        </w:rPr>
      </w:pPr>
      <w:r>
        <w:rPr>
          <w:rFonts w:hint="eastAsia" w:ascii="宋体" w:hAnsi="宋体" w:cs="宋体"/>
          <w:b/>
          <w:bCs/>
          <w:sz w:val="24"/>
          <w:szCs w:val="24"/>
        </w:rPr>
        <w:t>注：甲乙双方正式签订合同时根据协商完善相关内容</w:t>
      </w:r>
    </w:p>
    <w:p w14:paraId="2A36AB2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第六章  响应文件格式</w:t>
      </w:r>
    </w:p>
    <w:p w14:paraId="249A5912">
      <w:pPr>
        <w:spacing w:line="48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竞争性磋商响应文件格式是磋商供应商的部分磋商响应文件格式，磋商供应商应按照这些格式编制磋商响应文件。编制磋商响应文件前，请详细阅读竞争性磋商文件，理解文件中的每一项要求，逐一做出实质性响应，认为有必要，可做补充说明。</w:t>
      </w:r>
    </w:p>
    <w:p w14:paraId="46F0090E">
      <w:pPr>
        <w:spacing w:line="640" w:lineRule="exact"/>
        <w:rPr>
          <w:rFonts w:hint="eastAsia" w:ascii="宋体" w:hAnsi="宋体" w:eastAsia="宋体" w:cs="宋体"/>
          <w:szCs w:val="28"/>
        </w:rPr>
      </w:pPr>
    </w:p>
    <w:p w14:paraId="3DD7B03A">
      <w:pPr>
        <w:spacing w:line="48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注：非独立企业法人参与本次磋商的，竞争性磋商响应文件内涉及到法人签字盖章的部分均可由负责人签字盖章，授权书格式参照法人代表授权书。</w:t>
      </w:r>
    </w:p>
    <w:p w14:paraId="0306E3EC">
      <w:pPr>
        <w:spacing w:line="640" w:lineRule="exact"/>
        <w:ind w:firstLine="720"/>
        <w:rPr>
          <w:rFonts w:hint="eastAsia" w:ascii="宋体" w:hAnsi="宋体" w:eastAsia="宋体" w:cs="宋体"/>
          <w:szCs w:val="28"/>
        </w:rPr>
      </w:pPr>
    </w:p>
    <w:p w14:paraId="7454E7FF">
      <w:pPr>
        <w:spacing w:line="640" w:lineRule="exact"/>
        <w:ind w:firstLine="720"/>
        <w:rPr>
          <w:rFonts w:hint="eastAsia" w:ascii="宋体" w:hAnsi="宋体" w:eastAsia="宋体" w:cs="宋体"/>
          <w:szCs w:val="28"/>
        </w:rPr>
      </w:pPr>
    </w:p>
    <w:p w14:paraId="4F26C77A">
      <w:pPr>
        <w:spacing w:line="640" w:lineRule="exact"/>
        <w:ind w:firstLine="720"/>
        <w:rPr>
          <w:rFonts w:hint="eastAsia" w:ascii="宋体" w:hAnsi="宋体" w:eastAsia="宋体" w:cs="宋体"/>
          <w:szCs w:val="28"/>
        </w:rPr>
      </w:pPr>
    </w:p>
    <w:p w14:paraId="24C15A71">
      <w:pPr>
        <w:spacing w:line="640" w:lineRule="exact"/>
        <w:ind w:firstLine="720"/>
        <w:rPr>
          <w:rFonts w:hint="eastAsia" w:ascii="宋体" w:hAnsi="宋体" w:eastAsia="宋体" w:cs="宋体"/>
          <w:szCs w:val="28"/>
        </w:rPr>
      </w:pPr>
    </w:p>
    <w:p w14:paraId="718DA37C">
      <w:pPr>
        <w:spacing w:line="640" w:lineRule="exact"/>
        <w:ind w:firstLine="720"/>
        <w:rPr>
          <w:rFonts w:hint="eastAsia" w:ascii="宋体" w:hAnsi="宋体" w:eastAsia="宋体" w:cs="宋体"/>
          <w:szCs w:val="28"/>
        </w:rPr>
      </w:pPr>
    </w:p>
    <w:p w14:paraId="04D420A3">
      <w:pPr>
        <w:spacing w:line="640" w:lineRule="exact"/>
        <w:ind w:firstLine="720"/>
        <w:rPr>
          <w:rFonts w:hint="eastAsia" w:ascii="宋体" w:hAnsi="宋体" w:eastAsia="宋体" w:cs="宋体"/>
          <w:szCs w:val="28"/>
        </w:rPr>
      </w:pPr>
    </w:p>
    <w:p w14:paraId="12CC25B7">
      <w:pPr>
        <w:spacing w:line="640" w:lineRule="exact"/>
        <w:ind w:firstLine="720"/>
        <w:rPr>
          <w:rFonts w:hint="eastAsia" w:ascii="宋体" w:hAnsi="宋体" w:eastAsia="宋体" w:cs="宋体"/>
          <w:szCs w:val="28"/>
        </w:rPr>
      </w:pPr>
    </w:p>
    <w:p w14:paraId="03622E8E">
      <w:pPr>
        <w:spacing w:line="640" w:lineRule="exact"/>
        <w:ind w:firstLine="720"/>
        <w:rPr>
          <w:rFonts w:hint="eastAsia" w:ascii="宋体" w:hAnsi="宋体" w:eastAsia="宋体" w:cs="宋体"/>
          <w:szCs w:val="28"/>
        </w:rPr>
      </w:pPr>
    </w:p>
    <w:p w14:paraId="056DF6FC">
      <w:pPr>
        <w:spacing w:line="640" w:lineRule="exact"/>
        <w:ind w:firstLine="720"/>
        <w:rPr>
          <w:rFonts w:hint="eastAsia" w:ascii="宋体" w:hAnsi="宋体" w:eastAsia="宋体" w:cs="宋体"/>
          <w:szCs w:val="28"/>
        </w:rPr>
      </w:pPr>
    </w:p>
    <w:p w14:paraId="382C5553">
      <w:pPr>
        <w:spacing w:line="640" w:lineRule="exact"/>
        <w:ind w:firstLine="720"/>
        <w:rPr>
          <w:rFonts w:hint="eastAsia" w:ascii="宋体" w:hAnsi="宋体" w:eastAsia="宋体" w:cs="宋体"/>
          <w:szCs w:val="28"/>
        </w:rPr>
      </w:pPr>
    </w:p>
    <w:p w14:paraId="69D0D367">
      <w:pPr>
        <w:spacing w:line="640" w:lineRule="exact"/>
        <w:ind w:firstLine="720"/>
        <w:rPr>
          <w:rFonts w:hint="eastAsia" w:ascii="宋体" w:hAnsi="宋体" w:eastAsia="宋体" w:cs="宋体"/>
          <w:szCs w:val="28"/>
        </w:rPr>
      </w:pPr>
    </w:p>
    <w:p w14:paraId="4265AB16">
      <w:pPr>
        <w:spacing w:line="640" w:lineRule="exact"/>
        <w:ind w:firstLine="720"/>
        <w:rPr>
          <w:rFonts w:hint="eastAsia" w:ascii="宋体" w:hAnsi="宋体" w:eastAsia="宋体" w:cs="宋体"/>
          <w:szCs w:val="28"/>
        </w:rPr>
      </w:pPr>
    </w:p>
    <w:p w14:paraId="19D12432">
      <w:pPr>
        <w:pStyle w:val="7"/>
        <w:jc w:val="both"/>
        <w:rPr>
          <w:rFonts w:hint="eastAsia" w:ascii="宋体" w:hAnsi="宋体" w:eastAsia="宋体" w:cs="宋体"/>
          <w:b w:val="0"/>
          <w:sz w:val="15"/>
          <w:szCs w:val="2"/>
        </w:rPr>
      </w:pPr>
    </w:p>
    <w:p w14:paraId="76B6F5E1">
      <w:pPr>
        <w:jc w:val="right"/>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正本/副本</w:t>
      </w:r>
    </w:p>
    <w:p w14:paraId="3E2A38E8">
      <w:pPr>
        <w:rPr>
          <w:rFonts w:hint="default" w:ascii="宋体" w:hAnsi="宋体" w:eastAsia="宋体" w:cs="宋体"/>
          <w:sz w:val="32"/>
          <w:szCs w:val="6"/>
          <w:lang w:val="en-US" w:eastAsia="zh-CN"/>
        </w:rPr>
      </w:pPr>
      <w:r>
        <w:rPr>
          <w:rFonts w:hint="eastAsia" w:ascii="宋体" w:hAnsi="宋体" w:eastAsia="宋体" w:cs="宋体"/>
          <w:b/>
        </w:rPr>
        <w:t>项目编号：</w:t>
      </w:r>
      <w:r>
        <w:rPr>
          <w:rFonts w:hint="eastAsia" w:ascii="宋体" w:hAnsi="宋体" w:cs="宋体"/>
          <w:b/>
          <w:lang w:eastAsia="zh-CN"/>
        </w:rPr>
        <w:t xml:space="preserve">JJZB-2025007 </w:t>
      </w:r>
    </w:p>
    <w:p w14:paraId="6D2D471D">
      <w:pPr>
        <w:rPr>
          <w:rFonts w:hint="eastAsia" w:ascii="宋体" w:hAnsi="宋体" w:eastAsia="宋体" w:cs="宋体"/>
        </w:rPr>
      </w:pPr>
      <w:r>
        <w:rPr>
          <w:rFonts w:hint="eastAsia" w:ascii="宋体" w:hAnsi="宋体" w:eastAsia="宋体" w:cs="宋体"/>
        </w:rPr>
        <w:t xml:space="preserve">  </w:t>
      </w:r>
    </w:p>
    <w:p w14:paraId="22BF0C97">
      <w:pPr>
        <w:rPr>
          <w:rFonts w:hint="eastAsia" w:ascii="宋体" w:hAnsi="宋体" w:eastAsia="宋体" w:cs="宋体"/>
        </w:rPr>
      </w:pPr>
      <w:r>
        <w:rPr>
          <w:rFonts w:hint="eastAsia" w:ascii="宋体" w:hAnsi="宋体" w:eastAsia="宋体" w:cs="宋体"/>
        </w:rPr>
        <w:t xml:space="preserve">               </w:t>
      </w:r>
    </w:p>
    <w:p w14:paraId="78836E03">
      <w:pPr>
        <w:jc w:val="center"/>
        <w:rPr>
          <w:rFonts w:hint="eastAsia" w:ascii="宋体" w:hAnsi="宋体" w:cs="宋体"/>
          <w:b/>
          <w:bCs/>
          <w:sz w:val="52"/>
          <w:szCs w:val="52"/>
          <w:lang w:val="en-US" w:eastAsia="zh-CN"/>
        </w:rPr>
      </w:pPr>
    </w:p>
    <w:p w14:paraId="5ACA54A4">
      <w:pPr>
        <w:jc w:val="center"/>
        <w:rPr>
          <w:rFonts w:hint="eastAsia" w:ascii="宋体" w:hAnsi="宋体" w:eastAsia="宋体" w:cs="宋体"/>
          <w:b/>
          <w:sz w:val="44"/>
          <w:szCs w:val="44"/>
          <w:lang w:eastAsia="zh-CN"/>
        </w:rPr>
      </w:pPr>
      <w:r>
        <w:rPr>
          <w:rFonts w:hint="eastAsia" w:ascii="宋体" w:hAnsi="宋体" w:eastAsia="宋体" w:cs="宋体"/>
          <w:b/>
          <w:sz w:val="44"/>
          <w:szCs w:val="44"/>
        </w:rPr>
        <w:t xml:space="preserve">  </w:t>
      </w:r>
      <w:r>
        <w:rPr>
          <w:rFonts w:hint="eastAsia" w:ascii="宋体" w:hAnsi="宋体" w:cs="宋体"/>
          <w:b/>
          <w:sz w:val="44"/>
          <w:szCs w:val="44"/>
          <w:lang w:eastAsia="zh-CN"/>
        </w:rPr>
        <w:t>杨凌示范区消防救援支队新区大队厨房劳务外包项目</w:t>
      </w:r>
    </w:p>
    <w:p w14:paraId="4B37CFC1">
      <w:pPr>
        <w:jc w:val="center"/>
        <w:rPr>
          <w:rFonts w:hint="eastAsia" w:ascii="宋体" w:hAnsi="宋体" w:eastAsia="宋体" w:cs="宋体"/>
          <w:b/>
          <w:sz w:val="44"/>
          <w:szCs w:val="44"/>
        </w:rPr>
      </w:pPr>
    </w:p>
    <w:p w14:paraId="06CBDFEE">
      <w:pPr>
        <w:rPr>
          <w:rFonts w:hint="eastAsia" w:ascii="宋体" w:hAnsi="宋体" w:eastAsia="宋体" w:cs="宋体"/>
          <w:b/>
          <w:sz w:val="44"/>
          <w:szCs w:val="44"/>
        </w:rPr>
      </w:pPr>
    </w:p>
    <w:p w14:paraId="1B708541">
      <w:pPr>
        <w:pStyle w:val="12"/>
        <w:rPr>
          <w:rFonts w:hint="eastAsia" w:ascii="宋体" w:hAnsi="宋体" w:eastAsia="宋体" w:cs="宋体"/>
          <w:b/>
          <w:sz w:val="44"/>
          <w:szCs w:val="44"/>
        </w:rPr>
      </w:pPr>
    </w:p>
    <w:p w14:paraId="6713B3B1">
      <w:pPr>
        <w:pStyle w:val="12"/>
        <w:rPr>
          <w:rFonts w:hint="eastAsia" w:ascii="宋体" w:hAnsi="宋体" w:eastAsia="宋体" w:cs="宋体"/>
          <w:b/>
          <w:sz w:val="44"/>
          <w:szCs w:val="44"/>
        </w:rPr>
      </w:pPr>
    </w:p>
    <w:p w14:paraId="30C964D5">
      <w:pPr>
        <w:pStyle w:val="12"/>
        <w:rPr>
          <w:rFonts w:hint="eastAsia" w:ascii="宋体" w:hAnsi="宋体" w:eastAsia="宋体" w:cs="宋体"/>
        </w:rPr>
      </w:pPr>
    </w:p>
    <w:p w14:paraId="1BCD65CA">
      <w:pPr>
        <w:jc w:val="center"/>
        <w:rPr>
          <w:rFonts w:hint="eastAsia" w:ascii="宋体" w:hAnsi="宋体" w:eastAsia="宋体" w:cs="宋体"/>
          <w:b/>
          <w:sz w:val="56"/>
          <w:szCs w:val="56"/>
        </w:rPr>
      </w:pPr>
      <w:r>
        <w:rPr>
          <w:rFonts w:hint="eastAsia" w:ascii="宋体" w:hAnsi="宋体" w:eastAsia="宋体" w:cs="宋体"/>
          <w:b/>
          <w:sz w:val="56"/>
          <w:szCs w:val="56"/>
        </w:rPr>
        <w:t>竞争性磋商响应文件</w:t>
      </w:r>
    </w:p>
    <w:p w14:paraId="68FC883F">
      <w:pPr>
        <w:rPr>
          <w:rFonts w:hint="eastAsia" w:ascii="宋体" w:hAnsi="宋体" w:eastAsia="宋体" w:cs="宋体"/>
        </w:rPr>
      </w:pPr>
    </w:p>
    <w:p w14:paraId="767D7314">
      <w:pPr>
        <w:rPr>
          <w:rFonts w:hint="eastAsia" w:ascii="宋体" w:hAnsi="宋体" w:eastAsia="宋体" w:cs="宋体"/>
        </w:rPr>
      </w:pPr>
    </w:p>
    <w:p w14:paraId="553728D3">
      <w:pPr>
        <w:pStyle w:val="7"/>
        <w:rPr>
          <w:rFonts w:hint="eastAsia"/>
        </w:rPr>
      </w:pPr>
    </w:p>
    <w:p w14:paraId="5D08C5A9">
      <w:pPr>
        <w:spacing w:line="700" w:lineRule="exact"/>
        <w:ind w:firstLine="2389" w:firstLineChars="850"/>
        <w:rPr>
          <w:rFonts w:hint="eastAsia" w:ascii="宋体" w:hAnsi="宋体" w:eastAsia="宋体" w:cs="宋体"/>
          <w:b/>
        </w:rPr>
      </w:pPr>
      <w:r>
        <w:rPr>
          <w:rFonts w:hint="eastAsia" w:ascii="宋体" w:hAnsi="宋体" w:eastAsia="宋体" w:cs="宋体"/>
          <w:b/>
        </w:rPr>
        <w:t>磋商供应商：（单位盖章）</w:t>
      </w:r>
    </w:p>
    <w:p w14:paraId="52B5CFC0">
      <w:pPr>
        <w:spacing w:line="700" w:lineRule="exact"/>
        <w:ind w:firstLine="2389" w:firstLineChars="850"/>
        <w:rPr>
          <w:rFonts w:hint="eastAsia" w:ascii="宋体" w:hAnsi="宋体" w:eastAsia="宋体" w:cs="宋体"/>
          <w:b/>
        </w:rPr>
      </w:pPr>
      <w:r>
        <w:rPr>
          <w:rFonts w:hint="eastAsia" w:ascii="宋体" w:hAnsi="宋体" w:eastAsia="宋体" w:cs="宋体"/>
          <w:b/>
        </w:rPr>
        <w:t>法定代表人或其被授权代表：（签名或盖章）</w:t>
      </w:r>
    </w:p>
    <w:p w14:paraId="19CFA252">
      <w:pPr>
        <w:spacing w:line="700" w:lineRule="exact"/>
        <w:ind w:firstLine="2389" w:firstLineChars="850"/>
        <w:rPr>
          <w:rFonts w:hint="eastAsia" w:ascii="宋体" w:hAnsi="宋体" w:eastAsia="宋体" w:cs="宋体"/>
          <w:b/>
        </w:rPr>
      </w:pPr>
      <w:r>
        <w:rPr>
          <w:rFonts w:hint="eastAsia" w:ascii="宋体" w:hAnsi="宋体" w:eastAsia="宋体" w:cs="宋体"/>
          <w:b/>
        </w:rPr>
        <w:t>时  间：      二○   年  月  日</w:t>
      </w:r>
    </w:p>
    <w:p w14:paraId="0C2E5661">
      <w:pPr>
        <w:rPr>
          <w:rFonts w:hint="eastAsia" w:ascii="宋体" w:hAnsi="宋体" w:eastAsia="宋体" w:cs="宋体"/>
        </w:rPr>
      </w:pPr>
      <w:r>
        <w:rPr>
          <w:rFonts w:hint="eastAsia" w:ascii="宋体" w:hAnsi="宋体" w:eastAsia="宋体" w:cs="宋体"/>
        </w:rPr>
        <w:br w:type="page"/>
      </w:r>
    </w:p>
    <w:p w14:paraId="615BACFF">
      <w:pPr>
        <w:pStyle w:val="12"/>
        <w:rPr>
          <w:rFonts w:hint="eastAsia"/>
        </w:rPr>
      </w:pPr>
    </w:p>
    <w:p w14:paraId="5AF6BCB0">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2791C96D">
      <w:pPr>
        <w:jc w:val="center"/>
        <w:rPr>
          <w:rFonts w:hint="eastAsia" w:ascii="宋体" w:hAnsi="宋体" w:eastAsia="宋体" w:cs="宋体"/>
          <w:b/>
          <w:sz w:val="44"/>
          <w:szCs w:val="44"/>
        </w:rPr>
      </w:pPr>
    </w:p>
    <w:p w14:paraId="33486E01">
      <w:pPr>
        <w:spacing w:line="640" w:lineRule="exact"/>
        <w:rPr>
          <w:rFonts w:hint="eastAsia" w:ascii="宋体" w:hAnsi="宋体" w:eastAsia="宋体" w:cs="宋体"/>
          <w:sz w:val="24"/>
          <w:szCs w:val="24"/>
        </w:rPr>
      </w:pPr>
      <w:r>
        <w:rPr>
          <w:rFonts w:hint="eastAsia" w:ascii="宋体" w:hAnsi="宋体" w:eastAsia="宋体" w:cs="宋体"/>
          <w:sz w:val="24"/>
          <w:szCs w:val="24"/>
        </w:rPr>
        <w:t>一、磋商响应函</w:t>
      </w:r>
    </w:p>
    <w:p w14:paraId="50A967FD">
      <w:pPr>
        <w:spacing w:line="640" w:lineRule="exact"/>
        <w:rPr>
          <w:rFonts w:hint="eastAsia" w:ascii="宋体" w:hAnsi="宋体" w:eastAsia="宋体" w:cs="宋体"/>
          <w:sz w:val="24"/>
          <w:szCs w:val="24"/>
        </w:rPr>
      </w:pPr>
      <w:r>
        <w:rPr>
          <w:rFonts w:hint="eastAsia" w:ascii="宋体" w:hAnsi="宋体" w:eastAsia="宋体" w:cs="宋体"/>
          <w:sz w:val="24"/>
          <w:szCs w:val="24"/>
        </w:rPr>
        <w:t>二、第一次磋商报价表</w:t>
      </w:r>
    </w:p>
    <w:p w14:paraId="7F3F1179">
      <w:pPr>
        <w:spacing w:line="640" w:lineRule="exact"/>
        <w:rPr>
          <w:rFonts w:hint="eastAsia" w:ascii="宋体" w:hAnsi="宋体" w:eastAsia="宋体" w:cs="宋体"/>
          <w:sz w:val="24"/>
          <w:szCs w:val="24"/>
        </w:rPr>
      </w:pPr>
      <w:r>
        <w:rPr>
          <w:rFonts w:hint="eastAsia" w:ascii="宋体" w:hAnsi="宋体" w:eastAsia="宋体" w:cs="宋体"/>
          <w:sz w:val="24"/>
          <w:szCs w:val="24"/>
        </w:rPr>
        <w:t>三、分项报价表</w:t>
      </w:r>
    </w:p>
    <w:p w14:paraId="67D27384">
      <w:pPr>
        <w:spacing w:line="6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四、磋商方案说明</w:t>
      </w:r>
    </w:p>
    <w:p w14:paraId="3B936308">
      <w:pPr>
        <w:spacing w:line="640" w:lineRule="exact"/>
        <w:rPr>
          <w:rFonts w:hint="eastAsia" w:ascii="宋体" w:hAnsi="宋体" w:eastAsia="宋体" w:cs="宋体"/>
          <w:sz w:val="24"/>
          <w:szCs w:val="24"/>
        </w:rPr>
      </w:pPr>
      <w:r>
        <w:rPr>
          <w:rFonts w:hint="eastAsia" w:ascii="宋体" w:hAnsi="宋体" w:cs="宋体"/>
          <w:sz w:val="24"/>
          <w:szCs w:val="24"/>
          <w:lang w:eastAsia="zh-CN"/>
        </w:rPr>
        <w:t>五</w:t>
      </w:r>
      <w:r>
        <w:rPr>
          <w:rFonts w:hint="eastAsia" w:ascii="宋体" w:hAnsi="宋体" w:eastAsia="宋体" w:cs="宋体"/>
          <w:sz w:val="24"/>
          <w:szCs w:val="24"/>
        </w:rPr>
        <w:t>、商务偏离表</w:t>
      </w:r>
    </w:p>
    <w:p w14:paraId="12612B7C">
      <w:pPr>
        <w:spacing w:line="640" w:lineRule="exact"/>
        <w:rPr>
          <w:rFonts w:hint="eastAsia" w:ascii="宋体" w:hAnsi="宋体" w:eastAsia="宋体" w:cs="宋体"/>
          <w:sz w:val="24"/>
          <w:szCs w:val="24"/>
        </w:rPr>
      </w:pPr>
      <w:r>
        <w:rPr>
          <w:rFonts w:hint="eastAsia" w:ascii="宋体" w:hAnsi="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资格证明文件</w:t>
      </w:r>
    </w:p>
    <w:p w14:paraId="39B444BA">
      <w:pPr>
        <w:spacing w:line="640" w:lineRule="exact"/>
        <w:rPr>
          <w:rFonts w:hint="eastAsia" w:ascii="宋体" w:hAnsi="宋体" w:eastAsia="宋体" w:cs="宋体"/>
          <w:sz w:val="24"/>
          <w:szCs w:val="24"/>
          <w:lang w:eastAsia="zh-CN"/>
        </w:rPr>
      </w:pPr>
      <w:r>
        <w:rPr>
          <w:rFonts w:hint="eastAsia" w:ascii="宋体" w:hAnsi="宋体" w:cs="宋体"/>
          <w:sz w:val="24"/>
          <w:szCs w:val="24"/>
          <w:lang w:eastAsia="zh-CN"/>
        </w:rPr>
        <w:t>七</w:t>
      </w:r>
      <w:r>
        <w:rPr>
          <w:rFonts w:hint="eastAsia" w:ascii="宋体" w:hAnsi="宋体" w:eastAsia="宋体" w:cs="宋体"/>
          <w:sz w:val="24"/>
          <w:szCs w:val="24"/>
          <w:lang w:eastAsia="zh-CN"/>
        </w:rPr>
        <w:t>、其他资料</w:t>
      </w:r>
    </w:p>
    <w:p w14:paraId="099FD0F1">
      <w:pPr>
        <w:spacing w:line="640" w:lineRule="exact"/>
        <w:rPr>
          <w:rFonts w:hint="eastAsia" w:ascii="宋体" w:hAnsi="宋体" w:eastAsia="宋体" w:cs="宋体"/>
          <w:sz w:val="24"/>
        </w:rPr>
      </w:pPr>
    </w:p>
    <w:p w14:paraId="59B44A36">
      <w:pPr>
        <w:spacing w:line="640" w:lineRule="exact"/>
        <w:rPr>
          <w:rFonts w:hint="eastAsia" w:ascii="宋体" w:hAnsi="宋体" w:eastAsia="宋体" w:cs="宋体"/>
          <w:sz w:val="24"/>
        </w:rPr>
      </w:pPr>
    </w:p>
    <w:p w14:paraId="59731216">
      <w:pPr>
        <w:spacing w:line="640" w:lineRule="exact"/>
        <w:rPr>
          <w:rFonts w:hint="eastAsia" w:ascii="宋体" w:hAnsi="宋体" w:eastAsia="宋体" w:cs="宋体"/>
          <w:sz w:val="24"/>
        </w:rPr>
      </w:pPr>
    </w:p>
    <w:p w14:paraId="4C311E2C">
      <w:pPr>
        <w:spacing w:line="640" w:lineRule="exact"/>
        <w:rPr>
          <w:rFonts w:hint="eastAsia" w:ascii="宋体" w:hAnsi="宋体" w:eastAsia="宋体" w:cs="宋体"/>
          <w:sz w:val="24"/>
        </w:rPr>
      </w:pPr>
    </w:p>
    <w:p w14:paraId="32B38C1A">
      <w:pPr>
        <w:spacing w:line="640" w:lineRule="exact"/>
        <w:rPr>
          <w:rFonts w:hint="eastAsia" w:ascii="宋体" w:hAnsi="宋体" w:eastAsia="宋体" w:cs="宋体"/>
          <w:sz w:val="24"/>
        </w:rPr>
      </w:pPr>
    </w:p>
    <w:p w14:paraId="408FA518">
      <w:pPr>
        <w:spacing w:line="640" w:lineRule="exact"/>
        <w:rPr>
          <w:rFonts w:hint="eastAsia" w:ascii="宋体" w:hAnsi="宋体" w:eastAsia="宋体" w:cs="宋体"/>
          <w:sz w:val="24"/>
        </w:rPr>
      </w:pPr>
    </w:p>
    <w:p w14:paraId="360B292F">
      <w:pPr>
        <w:spacing w:line="640" w:lineRule="exact"/>
        <w:rPr>
          <w:rFonts w:hint="eastAsia" w:ascii="宋体" w:hAnsi="宋体" w:eastAsia="宋体" w:cs="宋体"/>
          <w:sz w:val="24"/>
        </w:rPr>
      </w:pPr>
    </w:p>
    <w:p w14:paraId="5982502B">
      <w:pPr>
        <w:spacing w:line="640" w:lineRule="exact"/>
        <w:rPr>
          <w:rFonts w:hint="eastAsia" w:ascii="宋体" w:hAnsi="宋体" w:eastAsia="宋体" w:cs="宋体"/>
          <w:sz w:val="24"/>
        </w:rPr>
      </w:pPr>
    </w:p>
    <w:p w14:paraId="1480E4D0">
      <w:pPr>
        <w:spacing w:line="640" w:lineRule="exact"/>
        <w:rPr>
          <w:rFonts w:hint="eastAsia" w:ascii="宋体" w:hAnsi="宋体" w:eastAsia="宋体" w:cs="宋体"/>
          <w:sz w:val="24"/>
        </w:rPr>
      </w:pPr>
    </w:p>
    <w:p w14:paraId="50068F30">
      <w:pPr>
        <w:spacing w:line="640" w:lineRule="exact"/>
        <w:rPr>
          <w:rFonts w:hint="eastAsia" w:ascii="宋体" w:hAnsi="宋体" w:eastAsia="宋体" w:cs="宋体"/>
          <w:sz w:val="24"/>
        </w:rPr>
      </w:pPr>
    </w:p>
    <w:p w14:paraId="7823B1B6">
      <w:pPr>
        <w:spacing w:line="480" w:lineRule="auto"/>
        <w:jc w:val="center"/>
        <w:rPr>
          <w:rFonts w:hint="eastAsia" w:ascii="宋体" w:hAnsi="宋体" w:eastAsia="宋体" w:cs="宋体"/>
          <w:b/>
          <w:sz w:val="32"/>
          <w:szCs w:val="32"/>
        </w:rPr>
      </w:pPr>
      <w:r>
        <w:rPr>
          <w:rFonts w:hint="eastAsia" w:ascii="宋体" w:hAnsi="宋体" w:eastAsia="宋体" w:cs="宋体"/>
          <w:b/>
          <w:sz w:val="32"/>
          <w:szCs w:val="36"/>
        </w:rPr>
        <w:br w:type="page"/>
      </w:r>
      <w:r>
        <w:rPr>
          <w:rFonts w:hint="eastAsia" w:ascii="宋体" w:hAnsi="宋体" w:eastAsia="宋体" w:cs="宋体"/>
          <w:b/>
          <w:color w:val="000000"/>
          <w:szCs w:val="28"/>
        </w:rPr>
        <w:t>一、磋商响应函</w:t>
      </w:r>
    </w:p>
    <w:p w14:paraId="297652CF">
      <w:pPr>
        <w:pStyle w:val="11"/>
        <w:spacing w:after="312" w:afterLines="100" w:line="520" w:lineRule="exact"/>
        <w:ind w:left="-2" w:hanging="2"/>
        <w:jc w:val="left"/>
        <w:rPr>
          <w:rFonts w:hint="eastAsia" w:ascii="宋体" w:hAnsi="宋体" w:eastAsia="宋体" w:cs="宋体"/>
          <w:b/>
          <w:bCs/>
          <w:sz w:val="24"/>
          <w:szCs w:val="24"/>
          <w:lang w:eastAsia="zh-CN"/>
        </w:rPr>
      </w:pPr>
      <w:r>
        <w:rPr>
          <w:rFonts w:hint="eastAsia" w:ascii="宋体" w:hAnsi="宋体" w:eastAsia="宋体" w:cs="宋体"/>
          <w:b/>
          <w:bCs/>
          <w:sz w:val="24"/>
          <w:szCs w:val="24"/>
        </w:rPr>
        <w:t>致：</w:t>
      </w:r>
      <w:r>
        <w:rPr>
          <w:rFonts w:hint="eastAsia" w:ascii="宋体" w:hAnsi="宋体" w:cs="宋体"/>
          <w:b/>
          <w:bCs/>
          <w:sz w:val="24"/>
          <w:szCs w:val="24"/>
          <w:lang w:eastAsia="zh-CN"/>
        </w:rPr>
        <w:t xml:space="preserve">陕西玖聚常安咨询有限公司  </w:t>
      </w:r>
    </w:p>
    <w:p w14:paraId="5832809A">
      <w:pPr>
        <w:pStyle w:val="11"/>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我公司收到贵单位</w:t>
      </w:r>
      <w:r>
        <w:rPr>
          <w:rFonts w:hint="eastAsia" w:ascii="宋体" w:hAnsi="宋体" w:eastAsia="宋体" w:cs="宋体"/>
          <w:bCs/>
          <w:sz w:val="24"/>
          <w:szCs w:val="24"/>
          <w:u w:val="single"/>
        </w:rPr>
        <w:t xml:space="preserve"> </w:t>
      </w:r>
      <w:r>
        <w:rPr>
          <w:rFonts w:hint="eastAsia" w:ascii="宋体" w:hAnsi="宋体" w:cs="宋体"/>
          <w:bCs/>
          <w:sz w:val="24"/>
          <w:szCs w:val="24"/>
          <w:u w:val="single"/>
          <w:lang w:eastAsia="zh-CN"/>
        </w:rPr>
        <w:t xml:space="preserve">JJZB-2025007 </w:t>
      </w:r>
      <w:r>
        <w:rPr>
          <w:rFonts w:hint="eastAsia" w:ascii="宋体" w:hAnsi="宋体" w:eastAsia="宋体" w:cs="宋体"/>
          <w:bCs/>
          <w:sz w:val="24"/>
          <w:szCs w:val="24"/>
        </w:rPr>
        <w:t>号磋商采购文件，经详细研究，我们决定参加本次磋商活动。为此，我方郑重声明以下诸点，并负法律责任。</w:t>
      </w:r>
    </w:p>
    <w:p w14:paraId="3DC89BF2">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1、愿意按照竞争性磋商采购文件中的一切要求，提供磋商技术服务，完成合同的责任和义务。</w:t>
      </w:r>
    </w:p>
    <w:p w14:paraId="385A3BC6">
      <w:pPr>
        <w:pStyle w:val="11"/>
        <w:spacing w:line="480" w:lineRule="exact"/>
        <w:ind w:left="14" w:leftChars="5" w:firstLine="456" w:firstLineChars="190"/>
        <w:jc w:val="left"/>
        <w:rPr>
          <w:rFonts w:hint="eastAsia" w:hAnsi="宋体" w:cs="宋体"/>
          <w:bCs/>
          <w:sz w:val="24"/>
          <w:szCs w:val="24"/>
        </w:rPr>
      </w:pPr>
      <w:r>
        <w:rPr>
          <w:rFonts w:hint="eastAsia" w:ascii="宋体" w:hAnsi="宋体" w:eastAsia="宋体" w:cs="宋体"/>
          <w:bCs/>
          <w:sz w:val="24"/>
          <w:szCs w:val="24"/>
        </w:rPr>
        <w:t>2、</w:t>
      </w:r>
      <w:r>
        <w:rPr>
          <w:rFonts w:hint="eastAsia" w:hAnsi="宋体" w:cs="宋体"/>
          <w:bCs/>
          <w:sz w:val="24"/>
          <w:szCs w:val="24"/>
        </w:rPr>
        <w:t>按竞争性磋商采购文件的规定，我公司的第一次磋商总报价为：</w:t>
      </w:r>
    </w:p>
    <w:p w14:paraId="044A3A8C">
      <w:pPr>
        <w:pStyle w:val="11"/>
        <w:spacing w:line="480" w:lineRule="exact"/>
        <w:ind w:left="0"/>
        <w:jc w:val="left"/>
        <w:rPr>
          <w:rFonts w:hint="eastAsia" w:hAnsi="宋体" w:cs="宋体"/>
          <w:bCs/>
          <w:sz w:val="24"/>
          <w:szCs w:val="24"/>
        </w:rPr>
      </w:pPr>
      <w:r>
        <w:rPr>
          <w:rFonts w:hint="eastAsia" w:hAnsi="宋体" w:cs="宋体"/>
          <w:bCs/>
          <w:sz w:val="24"/>
          <w:szCs w:val="24"/>
        </w:rPr>
        <w:t>人民币（大写）：</w:t>
      </w:r>
      <w:r>
        <w:rPr>
          <w:rFonts w:hint="eastAsia" w:hAnsi="宋体" w:cs="宋体"/>
          <w:bCs/>
          <w:sz w:val="24"/>
          <w:szCs w:val="24"/>
          <w:u w:val="single"/>
        </w:rPr>
        <w:t xml:space="preserve">            </w:t>
      </w:r>
      <w:r>
        <w:rPr>
          <w:rFonts w:hint="eastAsia" w:hAnsi="宋体" w:cs="宋体"/>
          <w:bCs/>
          <w:sz w:val="24"/>
          <w:szCs w:val="24"/>
        </w:rPr>
        <w:t>（￥：</w:t>
      </w:r>
      <w:r>
        <w:rPr>
          <w:rFonts w:hint="eastAsia" w:hAnsi="宋体" w:cs="宋体"/>
          <w:bCs/>
          <w:sz w:val="24"/>
          <w:szCs w:val="24"/>
          <w:u w:val="single"/>
        </w:rPr>
        <w:t xml:space="preserve">        </w:t>
      </w:r>
      <w:r>
        <w:rPr>
          <w:rFonts w:hint="eastAsia" w:hAnsi="宋体" w:cs="宋体"/>
          <w:bCs/>
          <w:sz w:val="24"/>
          <w:szCs w:val="24"/>
        </w:rPr>
        <w:t xml:space="preserve"> 元），并对其后的磋商报价负法律责任。</w:t>
      </w:r>
    </w:p>
    <w:p w14:paraId="0BAC6DD9">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3、我方提交的响应文件正本一份、副本二份、电子标书二份。</w:t>
      </w:r>
    </w:p>
    <w:p w14:paraId="5D415316">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4、我方已详细阅读了竞争性磋商采购文件，完全理解并放弃提出含糊不清或易形成歧义的表述和资料。</w:t>
      </w:r>
    </w:p>
    <w:p w14:paraId="59C7C9B5">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5、磋商后在规定的有效期内撤回磋商，我方愿接受政府采购的有关处罚决定。</w:t>
      </w:r>
    </w:p>
    <w:p w14:paraId="2109D700">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6、同意向贵方提供可能要求的，与本次磋商有关的任何证据或资料，且尊重磋商小组的评审结论和结果。我们完全理解最低磋商报价不作为成交的唯一条件，且尊重磋商小组的评审结论和成交结果。</w:t>
      </w:r>
    </w:p>
    <w:p w14:paraId="56B3C29F">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7、我方的响应文件在磋商后有效期为90个日历天，若我方成交，响应文件有效期延长至合同执行完毕。</w:t>
      </w:r>
    </w:p>
    <w:p w14:paraId="2C782B5D">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8、有关于本磋商采购文件的函电，请按下列地址联系。</w:t>
      </w:r>
    </w:p>
    <w:p w14:paraId="39ABDA63">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供应商全称（印章）：</w:t>
      </w:r>
    </w:p>
    <w:p w14:paraId="79525406">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地    址：__________________________________________</w:t>
      </w:r>
    </w:p>
    <w:p w14:paraId="4FF70B59">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开户银行：__________________________________________</w:t>
      </w:r>
    </w:p>
    <w:p w14:paraId="412E0160">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账    号：__________________________________________</w:t>
      </w:r>
    </w:p>
    <w:p w14:paraId="61E5188B">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电    话：__________________________________________</w:t>
      </w:r>
    </w:p>
    <w:p w14:paraId="3698CE3A">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传    真：__________________________________________</w:t>
      </w:r>
    </w:p>
    <w:p w14:paraId="355476D2">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法定代表人或被授权代表（签名或盖章）：______________</w:t>
      </w:r>
    </w:p>
    <w:p w14:paraId="358F3A59">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日    期：_____________________________</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p>
    <w:p w14:paraId="23F38E80">
      <w:pPr>
        <w:jc w:val="center"/>
        <w:rPr>
          <w:rFonts w:hint="eastAsia" w:ascii="宋体" w:hAnsi="宋体" w:eastAsia="宋体" w:cs="宋体"/>
          <w:b/>
          <w:color w:val="000000"/>
          <w:szCs w:val="28"/>
        </w:rPr>
      </w:pPr>
      <w:r>
        <w:rPr>
          <w:rFonts w:hint="eastAsia" w:ascii="宋体" w:hAnsi="宋体" w:eastAsia="宋体" w:cs="宋体"/>
          <w:b/>
          <w:color w:val="000000"/>
          <w:szCs w:val="28"/>
        </w:rPr>
        <w:br w:type="page"/>
      </w:r>
      <w:r>
        <w:rPr>
          <w:rFonts w:hint="eastAsia" w:ascii="宋体" w:hAnsi="宋体" w:eastAsia="宋体" w:cs="宋体"/>
          <w:b/>
          <w:color w:val="000000"/>
          <w:szCs w:val="28"/>
        </w:rPr>
        <w:t>二、第一次磋商报价表</w:t>
      </w:r>
    </w:p>
    <w:p w14:paraId="177B5FB1">
      <w:pPr>
        <w:jc w:val="center"/>
        <w:rPr>
          <w:rFonts w:hint="eastAsia" w:ascii="宋体" w:hAnsi="宋体" w:eastAsia="宋体" w:cs="宋体"/>
          <w:b/>
          <w:sz w:val="36"/>
          <w:szCs w:val="36"/>
        </w:rPr>
      </w:pPr>
    </w:p>
    <w:p w14:paraId="2FD8E050">
      <w:pPr>
        <w:spacing w:after="156" w:afterLines="50" w:line="360" w:lineRule="auto"/>
        <w:outlineLvl w:val="1"/>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cs="宋体"/>
          <w:sz w:val="24"/>
          <w:lang w:eastAsia="zh-CN"/>
        </w:rPr>
        <w:t xml:space="preserve">JJZB-2025007 </w:t>
      </w:r>
    </w:p>
    <w:p w14:paraId="5F4796FB">
      <w:pPr>
        <w:spacing w:after="156" w:afterLines="50" w:line="360" w:lineRule="auto"/>
        <w:outlineLvl w:val="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bCs/>
          <w:iCs/>
          <w:sz w:val="24"/>
          <w:u w:val="single"/>
        </w:rPr>
        <w:t xml:space="preserve">      （项目名称）</w:t>
      </w:r>
    </w:p>
    <w:tbl>
      <w:tblPr>
        <w:tblStyle w:val="17"/>
        <w:tblpPr w:leftFromText="180" w:rightFromText="180" w:vertAnchor="page" w:horzAnchor="page" w:tblpX="1380" w:tblpY="42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5"/>
        <w:gridCol w:w="2920"/>
        <w:gridCol w:w="2933"/>
      </w:tblGrid>
      <w:tr w14:paraId="5CA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832" w:type="pct"/>
            <w:tcBorders>
              <w:tl2br w:val="single" w:color="auto" w:sz="4" w:space="0"/>
            </w:tcBorders>
            <w:noWrap w:val="0"/>
            <w:vAlign w:val="center"/>
          </w:tcPr>
          <w:p w14:paraId="2DFDCBD7">
            <w:pPr>
              <w:jc w:val="center"/>
              <w:rPr>
                <w:rFonts w:hint="eastAsia" w:ascii="宋体" w:hAnsi="宋体" w:cs="宋体"/>
                <w:sz w:val="22"/>
                <w:szCs w:val="22"/>
              </w:rPr>
            </w:pPr>
            <w:r>
              <w:rPr>
                <w:rFonts w:hint="eastAsia" w:ascii="宋体" w:hAnsi="宋体" w:cs="宋体"/>
                <w:sz w:val="22"/>
                <w:szCs w:val="22"/>
              </w:rPr>
              <w:t xml:space="preserve">             报价内容</w:t>
            </w:r>
          </w:p>
          <w:p w14:paraId="722CE3C3">
            <w:pPr>
              <w:jc w:val="center"/>
              <w:rPr>
                <w:rFonts w:hint="eastAsia" w:ascii="宋体" w:hAnsi="宋体" w:cs="宋体"/>
                <w:sz w:val="22"/>
                <w:szCs w:val="22"/>
              </w:rPr>
            </w:pPr>
          </w:p>
          <w:p w14:paraId="1BAD5E7F">
            <w:pPr>
              <w:rPr>
                <w:rFonts w:hint="eastAsia" w:ascii="宋体" w:hAnsi="宋体" w:cs="宋体"/>
                <w:sz w:val="22"/>
                <w:szCs w:val="22"/>
              </w:rPr>
            </w:pPr>
            <w:r>
              <w:rPr>
                <w:rFonts w:hint="eastAsia" w:ascii="宋体" w:hAnsi="宋体" w:cs="宋体"/>
                <w:sz w:val="22"/>
                <w:szCs w:val="22"/>
              </w:rPr>
              <w:t>磋商供应商</w:t>
            </w:r>
          </w:p>
        </w:tc>
        <w:tc>
          <w:tcPr>
            <w:tcW w:w="1580" w:type="pct"/>
            <w:noWrap w:val="0"/>
            <w:vAlign w:val="center"/>
          </w:tcPr>
          <w:p w14:paraId="5F6AB003">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总报价（元）</w:t>
            </w:r>
          </w:p>
        </w:tc>
        <w:tc>
          <w:tcPr>
            <w:tcW w:w="1587" w:type="pct"/>
            <w:noWrap w:val="0"/>
            <w:vAlign w:val="center"/>
          </w:tcPr>
          <w:p w14:paraId="687FFB9B">
            <w:pPr>
              <w:spacing w:line="4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服务周期</w:t>
            </w:r>
          </w:p>
        </w:tc>
      </w:tr>
      <w:tr w14:paraId="54E7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2" w:type="pct"/>
            <w:noWrap w:val="0"/>
            <w:vAlign w:val="center"/>
          </w:tcPr>
          <w:p w14:paraId="5466E5A4">
            <w:pPr>
              <w:jc w:val="center"/>
              <w:rPr>
                <w:rFonts w:hint="eastAsia" w:ascii="宋体" w:hAnsi="宋体" w:cs="宋体"/>
                <w:sz w:val="22"/>
                <w:szCs w:val="22"/>
              </w:rPr>
            </w:pPr>
          </w:p>
        </w:tc>
        <w:tc>
          <w:tcPr>
            <w:tcW w:w="1580" w:type="pct"/>
            <w:noWrap w:val="0"/>
            <w:vAlign w:val="center"/>
          </w:tcPr>
          <w:p w14:paraId="5BA0676A">
            <w:pPr>
              <w:ind w:firstLine="110" w:firstLineChars="50"/>
              <w:rPr>
                <w:rFonts w:hint="eastAsia" w:ascii="宋体" w:hAnsi="宋体" w:cs="宋体"/>
                <w:sz w:val="22"/>
                <w:szCs w:val="22"/>
              </w:rPr>
            </w:pPr>
          </w:p>
        </w:tc>
        <w:tc>
          <w:tcPr>
            <w:tcW w:w="1587" w:type="pct"/>
            <w:noWrap w:val="0"/>
            <w:vAlign w:val="center"/>
          </w:tcPr>
          <w:p w14:paraId="68E636AA">
            <w:pPr>
              <w:jc w:val="center"/>
              <w:rPr>
                <w:rFonts w:hint="eastAsia" w:ascii="宋体" w:hAnsi="宋体" w:cs="宋体"/>
                <w:sz w:val="22"/>
                <w:szCs w:val="22"/>
              </w:rPr>
            </w:pPr>
          </w:p>
        </w:tc>
      </w:tr>
    </w:tbl>
    <w:p w14:paraId="02730043">
      <w:pPr>
        <w:spacing w:line="360" w:lineRule="auto"/>
        <w:ind w:firstLine="420" w:firstLineChars="200"/>
        <w:rPr>
          <w:rFonts w:hint="eastAsia" w:ascii="宋体" w:hAnsi="宋体" w:eastAsia="宋体" w:cs="宋体"/>
          <w:b w:val="0"/>
          <w:bCs/>
          <w:sz w:val="21"/>
          <w:szCs w:val="21"/>
        </w:rPr>
      </w:pPr>
    </w:p>
    <w:p w14:paraId="08CAAF3A">
      <w:pPr>
        <w:spacing w:before="156" w:beforeLines="50" w:line="360" w:lineRule="auto"/>
        <w:ind w:left="738" w:hanging="738" w:hangingChars="350"/>
        <w:jc w:val="left"/>
        <w:rPr>
          <w:rFonts w:hint="eastAsia" w:ascii="宋体" w:hAnsi="宋体" w:cs="宋体"/>
          <w:sz w:val="21"/>
          <w:szCs w:val="21"/>
        </w:rPr>
      </w:pPr>
      <w:r>
        <w:rPr>
          <w:rFonts w:hint="eastAsia" w:ascii="宋体" w:hAnsi="宋体" w:cs="宋体"/>
          <w:b/>
          <w:sz w:val="21"/>
          <w:szCs w:val="21"/>
        </w:rPr>
        <w:t>注：</w:t>
      </w:r>
      <w:r>
        <w:rPr>
          <w:rFonts w:hint="eastAsia" w:ascii="宋体" w:hAnsi="宋体" w:cs="宋体"/>
          <w:sz w:val="21"/>
          <w:szCs w:val="21"/>
        </w:rPr>
        <w:t xml:space="preserve">1、报价应按磋商总价填写，最多保留小数点后两位，大小写不一致时，以大写为准。 </w:t>
      </w:r>
    </w:p>
    <w:p w14:paraId="6CE52564">
      <w:pPr>
        <w:spacing w:before="156" w:beforeLines="50" w:line="360" w:lineRule="auto"/>
        <w:ind w:firstLine="420" w:firstLineChars="200"/>
        <w:jc w:val="left"/>
        <w:rPr>
          <w:rFonts w:hint="eastAsia" w:ascii="宋体" w:hAnsi="宋体" w:cs="宋体"/>
          <w:sz w:val="21"/>
          <w:szCs w:val="21"/>
        </w:rPr>
      </w:pPr>
      <w:r>
        <w:rPr>
          <w:rFonts w:hint="eastAsia" w:ascii="宋体" w:hAnsi="宋体" w:cs="宋体"/>
          <w:sz w:val="21"/>
          <w:szCs w:val="21"/>
        </w:rPr>
        <w:t>2、各供应商必须严格按照上表要求填写。</w:t>
      </w:r>
    </w:p>
    <w:p w14:paraId="103A130D">
      <w:pPr>
        <w:adjustRightInd w:val="0"/>
        <w:spacing w:line="360" w:lineRule="auto"/>
        <w:ind w:firstLine="480" w:firstLineChars="200"/>
        <w:jc w:val="left"/>
        <w:rPr>
          <w:rFonts w:hint="eastAsia" w:ascii="宋体" w:hAnsi="宋体" w:eastAsia="宋体" w:cs="宋体"/>
          <w:sz w:val="24"/>
          <w:szCs w:val="24"/>
        </w:rPr>
      </w:pPr>
    </w:p>
    <w:p w14:paraId="61CC46A4">
      <w:pPr>
        <w:adjustRightInd w:val="0"/>
        <w:spacing w:line="360" w:lineRule="auto"/>
        <w:ind w:firstLine="480" w:firstLineChars="200"/>
        <w:jc w:val="left"/>
        <w:rPr>
          <w:rFonts w:hint="eastAsia" w:ascii="宋体" w:hAnsi="宋体" w:eastAsia="宋体" w:cs="宋体"/>
          <w:sz w:val="24"/>
          <w:szCs w:val="24"/>
        </w:rPr>
      </w:pPr>
    </w:p>
    <w:p w14:paraId="625A7E15">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供应商名称：（盖章）                    </w:t>
      </w:r>
    </w:p>
    <w:p w14:paraId="425EB7A3">
      <w:pPr>
        <w:spacing w:line="360" w:lineRule="auto"/>
        <w:jc w:val="center"/>
        <w:outlineLvl w:val="1"/>
        <w:rPr>
          <w:rFonts w:hint="eastAsia" w:ascii="宋体" w:hAnsi="宋体" w:eastAsia="宋体" w:cs="宋体"/>
          <w:sz w:val="24"/>
          <w:szCs w:val="24"/>
        </w:rPr>
      </w:pPr>
    </w:p>
    <w:p w14:paraId="7BE31BA6">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或被授权代表</w:t>
      </w:r>
      <w:r>
        <w:rPr>
          <w:rFonts w:hint="eastAsia" w:ascii="宋体" w:hAnsi="宋体" w:eastAsia="宋体" w:cs="宋体"/>
          <w:sz w:val="24"/>
          <w:szCs w:val="24"/>
        </w:rPr>
        <w:t>：（签名或</w:t>
      </w:r>
      <w:r>
        <w:rPr>
          <w:rFonts w:hint="eastAsia" w:ascii="宋体" w:hAnsi="宋体" w:eastAsia="宋体" w:cs="宋体"/>
          <w:bCs/>
          <w:sz w:val="24"/>
          <w:szCs w:val="24"/>
        </w:rPr>
        <w:t>盖章</w:t>
      </w:r>
      <w:r>
        <w:rPr>
          <w:rFonts w:hint="eastAsia" w:ascii="宋体" w:hAnsi="宋体" w:eastAsia="宋体" w:cs="宋体"/>
          <w:sz w:val="24"/>
          <w:szCs w:val="24"/>
        </w:rPr>
        <w:t>）</w:t>
      </w:r>
    </w:p>
    <w:p w14:paraId="1B0BACA0">
      <w:pPr>
        <w:spacing w:line="360" w:lineRule="auto"/>
        <w:ind w:firstLine="120" w:firstLineChars="50"/>
        <w:outlineLvl w:val="1"/>
        <w:rPr>
          <w:rFonts w:hint="eastAsia" w:ascii="宋体" w:hAnsi="宋体" w:eastAsia="宋体" w:cs="宋体"/>
          <w:sz w:val="24"/>
          <w:szCs w:val="24"/>
        </w:rPr>
      </w:pPr>
    </w:p>
    <w:p w14:paraId="2648B1D3">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日期：     年   月   日</w:t>
      </w:r>
    </w:p>
    <w:p w14:paraId="129B7A15">
      <w:pPr>
        <w:ind w:left="280" w:leftChars="100" w:firstLine="240" w:firstLineChars="100"/>
        <w:rPr>
          <w:rFonts w:hint="eastAsia" w:ascii="宋体" w:hAnsi="宋体" w:eastAsia="宋体" w:cs="宋体"/>
          <w:sz w:val="24"/>
          <w:szCs w:val="24"/>
        </w:rPr>
      </w:pPr>
    </w:p>
    <w:p w14:paraId="63894DA7">
      <w:pPr>
        <w:tabs>
          <w:tab w:val="left" w:pos="2520"/>
        </w:tabs>
        <w:spacing w:line="640" w:lineRule="exact"/>
        <w:ind w:firstLine="2640" w:firstLineChars="1100"/>
        <w:rPr>
          <w:rFonts w:hint="eastAsia" w:ascii="宋体" w:hAnsi="宋体" w:eastAsia="宋体" w:cs="宋体"/>
          <w:sz w:val="24"/>
        </w:rPr>
      </w:pPr>
    </w:p>
    <w:p w14:paraId="4C0BB229">
      <w:pPr>
        <w:jc w:val="center"/>
        <w:rPr>
          <w:rFonts w:hint="eastAsia" w:ascii="宋体" w:hAnsi="宋体" w:eastAsia="宋体" w:cs="宋体"/>
          <w:b/>
          <w:sz w:val="32"/>
          <w:szCs w:val="32"/>
        </w:rPr>
      </w:pPr>
    </w:p>
    <w:p w14:paraId="57D3305D">
      <w:pPr>
        <w:rPr>
          <w:rFonts w:hint="eastAsia" w:ascii="宋体" w:hAnsi="宋体" w:eastAsia="宋体" w:cs="宋体"/>
          <w:b/>
          <w:sz w:val="32"/>
          <w:szCs w:val="32"/>
        </w:rPr>
      </w:pPr>
    </w:p>
    <w:p w14:paraId="075DECBE">
      <w:pPr>
        <w:jc w:val="center"/>
        <w:rPr>
          <w:rFonts w:hint="eastAsia" w:ascii="宋体" w:hAnsi="宋体" w:eastAsia="宋体" w:cs="宋体"/>
          <w:szCs w:val="21"/>
        </w:rPr>
      </w:pPr>
      <w:r>
        <w:rPr>
          <w:rFonts w:hint="eastAsia" w:ascii="宋体" w:hAnsi="宋体" w:eastAsia="宋体" w:cs="宋体"/>
          <w:b/>
          <w:szCs w:val="28"/>
        </w:rPr>
        <w:br w:type="page"/>
      </w:r>
      <w:r>
        <w:rPr>
          <w:rFonts w:hint="eastAsia" w:ascii="宋体" w:hAnsi="宋体" w:eastAsia="宋体" w:cs="宋体"/>
          <w:b/>
          <w:szCs w:val="28"/>
        </w:rPr>
        <w:t>三、 分项报价表</w:t>
      </w:r>
      <w:r>
        <w:rPr>
          <w:rFonts w:hint="eastAsia" w:ascii="宋体" w:hAnsi="宋体" w:eastAsia="宋体" w:cs="宋体"/>
          <w:szCs w:val="21"/>
        </w:rPr>
        <w:t xml:space="preserve">                                        </w:t>
      </w:r>
    </w:p>
    <w:p w14:paraId="73229872">
      <w:pPr>
        <w:spacing w:line="400" w:lineRule="exact"/>
        <w:rPr>
          <w:rFonts w:hint="eastAsia" w:ascii="宋体" w:hAnsi="宋体" w:cs="宋体"/>
          <w:szCs w:val="21"/>
        </w:rPr>
      </w:pPr>
      <w:r>
        <w:rPr>
          <w:rFonts w:hint="eastAsia" w:ascii="宋体" w:hAnsi="宋体" w:cs="宋体"/>
          <w:sz w:val="24"/>
          <w:szCs w:val="24"/>
        </w:rPr>
        <w:t xml:space="preserve">磋商供应商名称：                         </w:t>
      </w:r>
      <w:r>
        <w:rPr>
          <w:rFonts w:hint="eastAsia" w:ascii="宋体" w:hAnsi="宋体" w:cs="宋体"/>
          <w:sz w:val="24"/>
          <w:szCs w:val="24"/>
          <w:lang w:val="en-US" w:eastAsia="zh-CN"/>
        </w:rPr>
        <w:t xml:space="preserve">         </w:t>
      </w:r>
      <w:r>
        <w:rPr>
          <w:rFonts w:hint="eastAsia" w:ascii="宋体" w:hAnsi="宋体" w:cs="宋体"/>
          <w:sz w:val="24"/>
          <w:szCs w:val="24"/>
        </w:rPr>
        <w:t>磋商项目编号：</w:t>
      </w:r>
      <w:r>
        <w:rPr>
          <w:rFonts w:hint="eastAsia" w:ascii="宋体" w:hAnsi="宋体" w:cs="宋体"/>
          <w:sz w:val="24"/>
          <w:szCs w:val="24"/>
          <w:lang w:eastAsia="zh-CN"/>
        </w:rPr>
        <w:t xml:space="preserve"> JJZB-2025007      </w:t>
      </w:r>
      <w:r>
        <w:rPr>
          <w:rFonts w:hint="eastAsia" w:ascii="宋体" w:hAnsi="宋体" w:cs="宋体"/>
          <w:szCs w:val="21"/>
        </w:rPr>
        <w:t xml:space="preserve">                                      </w:t>
      </w:r>
    </w:p>
    <w:tbl>
      <w:tblPr>
        <w:tblStyle w:val="17"/>
        <w:tblpPr w:leftFromText="180" w:rightFromText="180" w:vertAnchor="text" w:horzAnchor="page" w:tblpXSpec="center" w:tblpY="181"/>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91"/>
        <w:gridCol w:w="1213"/>
        <w:gridCol w:w="1312"/>
        <w:gridCol w:w="1471"/>
        <w:gridCol w:w="1665"/>
        <w:gridCol w:w="1316"/>
      </w:tblGrid>
      <w:tr w14:paraId="0DA7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36" w:type="dxa"/>
            <w:noWrap w:val="0"/>
            <w:vAlign w:val="center"/>
          </w:tcPr>
          <w:p w14:paraId="47400F3B">
            <w:pPr>
              <w:snapToGrid w:val="0"/>
              <w:spacing w:line="276" w:lineRule="auto"/>
              <w:jc w:val="center"/>
              <w:rPr>
                <w:rFonts w:hint="eastAsia" w:ascii="宋体" w:hAnsi="宋体" w:cs="宋体"/>
                <w:b/>
                <w:sz w:val="18"/>
                <w:szCs w:val="18"/>
              </w:rPr>
            </w:pPr>
            <w:r>
              <w:rPr>
                <w:rFonts w:hint="eastAsia" w:ascii="宋体" w:hAnsi="宋体" w:cs="宋体"/>
                <w:b/>
                <w:sz w:val="18"/>
                <w:szCs w:val="18"/>
              </w:rPr>
              <w:t>序号</w:t>
            </w:r>
          </w:p>
        </w:tc>
        <w:tc>
          <w:tcPr>
            <w:tcW w:w="1891" w:type="dxa"/>
            <w:noWrap w:val="0"/>
            <w:vAlign w:val="center"/>
          </w:tcPr>
          <w:p w14:paraId="0BFAA365">
            <w:pPr>
              <w:snapToGrid w:val="0"/>
              <w:spacing w:line="276" w:lineRule="auto"/>
              <w:jc w:val="center"/>
              <w:rPr>
                <w:rFonts w:hint="eastAsia" w:ascii="宋体" w:hAnsi="宋体" w:cs="宋体"/>
                <w:b/>
                <w:sz w:val="18"/>
                <w:szCs w:val="18"/>
              </w:rPr>
            </w:pPr>
            <w:r>
              <w:rPr>
                <w:rFonts w:hint="eastAsia" w:ascii="宋体" w:hAnsi="宋体" w:cs="宋体"/>
                <w:b/>
                <w:sz w:val="18"/>
                <w:szCs w:val="18"/>
              </w:rPr>
              <w:t>内容</w:t>
            </w:r>
          </w:p>
        </w:tc>
        <w:tc>
          <w:tcPr>
            <w:tcW w:w="1213" w:type="dxa"/>
            <w:noWrap w:val="0"/>
            <w:vAlign w:val="center"/>
          </w:tcPr>
          <w:p w14:paraId="7FA23AE3">
            <w:pPr>
              <w:snapToGrid w:val="0"/>
              <w:spacing w:line="276" w:lineRule="auto"/>
              <w:jc w:val="center"/>
              <w:rPr>
                <w:rFonts w:hint="eastAsia" w:ascii="宋体" w:hAnsi="宋体" w:cs="宋体"/>
                <w:b/>
                <w:sz w:val="18"/>
                <w:szCs w:val="18"/>
              </w:rPr>
            </w:pPr>
            <w:r>
              <w:rPr>
                <w:rFonts w:hint="eastAsia" w:ascii="宋体" w:hAnsi="宋体" w:cs="宋体"/>
                <w:b/>
                <w:sz w:val="18"/>
                <w:szCs w:val="18"/>
              </w:rPr>
              <w:t>单位</w:t>
            </w:r>
          </w:p>
        </w:tc>
        <w:tc>
          <w:tcPr>
            <w:tcW w:w="1312" w:type="dxa"/>
            <w:noWrap w:val="0"/>
            <w:vAlign w:val="center"/>
          </w:tcPr>
          <w:p w14:paraId="0C6C904A">
            <w:pPr>
              <w:snapToGrid w:val="0"/>
              <w:spacing w:line="276" w:lineRule="auto"/>
              <w:jc w:val="center"/>
              <w:rPr>
                <w:rFonts w:hint="eastAsia" w:ascii="宋体" w:hAnsi="宋体" w:cs="宋体"/>
                <w:b/>
                <w:sz w:val="18"/>
                <w:szCs w:val="18"/>
              </w:rPr>
            </w:pPr>
            <w:r>
              <w:rPr>
                <w:rFonts w:hint="eastAsia" w:ascii="宋体" w:hAnsi="宋体" w:cs="宋体"/>
                <w:b/>
                <w:sz w:val="18"/>
                <w:szCs w:val="18"/>
              </w:rPr>
              <w:t>数量</w:t>
            </w:r>
          </w:p>
        </w:tc>
        <w:tc>
          <w:tcPr>
            <w:tcW w:w="1471" w:type="dxa"/>
            <w:noWrap w:val="0"/>
            <w:vAlign w:val="center"/>
          </w:tcPr>
          <w:p w14:paraId="00DD6034">
            <w:pPr>
              <w:snapToGrid w:val="0"/>
              <w:spacing w:line="276" w:lineRule="auto"/>
              <w:jc w:val="center"/>
              <w:rPr>
                <w:rFonts w:hint="eastAsia" w:ascii="宋体" w:hAnsi="宋体" w:cs="宋体"/>
                <w:b/>
                <w:sz w:val="18"/>
                <w:szCs w:val="18"/>
              </w:rPr>
            </w:pPr>
            <w:r>
              <w:rPr>
                <w:rFonts w:hint="eastAsia" w:ascii="宋体" w:hAnsi="宋体" w:cs="宋体"/>
                <w:b/>
                <w:sz w:val="18"/>
                <w:szCs w:val="18"/>
              </w:rPr>
              <w:t>单价</w:t>
            </w:r>
          </w:p>
        </w:tc>
        <w:tc>
          <w:tcPr>
            <w:tcW w:w="1665" w:type="dxa"/>
            <w:noWrap w:val="0"/>
            <w:vAlign w:val="center"/>
          </w:tcPr>
          <w:p w14:paraId="3C1AB252">
            <w:pPr>
              <w:snapToGrid w:val="0"/>
              <w:spacing w:line="276" w:lineRule="auto"/>
              <w:jc w:val="center"/>
              <w:rPr>
                <w:rFonts w:hint="eastAsia" w:ascii="宋体" w:hAnsi="宋体" w:cs="宋体"/>
                <w:b/>
                <w:sz w:val="18"/>
                <w:szCs w:val="18"/>
              </w:rPr>
            </w:pPr>
            <w:r>
              <w:rPr>
                <w:rFonts w:hint="eastAsia" w:ascii="宋体" w:hAnsi="宋体" w:cs="宋体"/>
                <w:b/>
                <w:sz w:val="18"/>
                <w:szCs w:val="18"/>
              </w:rPr>
              <w:t>总价（元）</w:t>
            </w:r>
          </w:p>
        </w:tc>
        <w:tc>
          <w:tcPr>
            <w:tcW w:w="1316" w:type="dxa"/>
            <w:noWrap w:val="0"/>
            <w:vAlign w:val="center"/>
          </w:tcPr>
          <w:p w14:paraId="17FF0C7A">
            <w:pPr>
              <w:snapToGrid w:val="0"/>
              <w:spacing w:line="276" w:lineRule="auto"/>
              <w:ind w:left="140" w:leftChars="50"/>
              <w:jc w:val="center"/>
              <w:rPr>
                <w:rFonts w:hint="eastAsia" w:ascii="宋体" w:hAnsi="宋体" w:cs="宋体"/>
                <w:b/>
                <w:sz w:val="18"/>
                <w:szCs w:val="18"/>
              </w:rPr>
            </w:pPr>
            <w:r>
              <w:rPr>
                <w:rFonts w:hint="eastAsia" w:ascii="宋体" w:hAnsi="宋体" w:cs="宋体"/>
                <w:b/>
                <w:sz w:val="18"/>
                <w:szCs w:val="18"/>
              </w:rPr>
              <w:t>备注</w:t>
            </w:r>
          </w:p>
        </w:tc>
      </w:tr>
      <w:tr w14:paraId="58E7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5CE87F29">
            <w:pPr>
              <w:snapToGrid w:val="0"/>
              <w:spacing w:line="400" w:lineRule="exact"/>
              <w:jc w:val="center"/>
              <w:rPr>
                <w:rFonts w:hint="eastAsia" w:ascii="宋体" w:hAnsi="宋体" w:cs="宋体"/>
                <w:sz w:val="18"/>
                <w:szCs w:val="18"/>
              </w:rPr>
            </w:pPr>
            <w:r>
              <w:rPr>
                <w:rFonts w:hint="eastAsia" w:ascii="宋体" w:hAnsi="宋体" w:cs="宋体"/>
                <w:sz w:val="18"/>
                <w:szCs w:val="18"/>
              </w:rPr>
              <w:t>1</w:t>
            </w:r>
          </w:p>
        </w:tc>
        <w:tc>
          <w:tcPr>
            <w:tcW w:w="1891" w:type="dxa"/>
            <w:noWrap w:val="0"/>
            <w:vAlign w:val="center"/>
          </w:tcPr>
          <w:p w14:paraId="73FE1E49">
            <w:pPr>
              <w:snapToGrid w:val="0"/>
              <w:spacing w:line="400" w:lineRule="exact"/>
              <w:jc w:val="center"/>
              <w:rPr>
                <w:rFonts w:hint="eastAsia" w:ascii="宋体" w:hAnsi="宋体" w:cs="宋体"/>
                <w:sz w:val="18"/>
                <w:szCs w:val="18"/>
                <w:highlight w:val="yellow"/>
              </w:rPr>
            </w:pPr>
          </w:p>
        </w:tc>
        <w:tc>
          <w:tcPr>
            <w:tcW w:w="1213" w:type="dxa"/>
            <w:noWrap w:val="0"/>
            <w:vAlign w:val="center"/>
          </w:tcPr>
          <w:p w14:paraId="5CB1B00B">
            <w:pPr>
              <w:snapToGrid w:val="0"/>
              <w:spacing w:line="400" w:lineRule="exact"/>
              <w:jc w:val="center"/>
              <w:rPr>
                <w:rFonts w:hint="eastAsia" w:ascii="宋体" w:hAnsi="宋体" w:cs="宋体"/>
                <w:sz w:val="18"/>
                <w:szCs w:val="18"/>
                <w:highlight w:val="yellow"/>
              </w:rPr>
            </w:pPr>
          </w:p>
        </w:tc>
        <w:tc>
          <w:tcPr>
            <w:tcW w:w="1312" w:type="dxa"/>
            <w:noWrap w:val="0"/>
            <w:vAlign w:val="center"/>
          </w:tcPr>
          <w:p w14:paraId="046EAF39">
            <w:pPr>
              <w:snapToGrid w:val="0"/>
              <w:spacing w:line="400" w:lineRule="exact"/>
              <w:jc w:val="center"/>
              <w:rPr>
                <w:rFonts w:hint="default" w:ascii="宋体" w:hAnsi="宋体" w:eastAsia="宋体" w:cs="宋体"/>
                <w:sz w:val="18"/>
                <w:szCs w:val="18"/>
                <w:highlight w:val="yellow"/>
                <w:lang w:val="en-US" w:eastAsia="zh-CN"/>
              </w:rPr>
            </w:pPr>
          </w:p>
        </w:tc>
        <w:tc>
          <w:tcPr>
            <w:tcW w:w="1471" w:type="dxa"/>
            <w:noWrap w:val="0"/>
            <w:vAlign w:val="center"/>
          </w:tcPr>
          <w:p w14:paraId="5D81B58F">
            <w:pPr>
              <w:snapToGrid w:val="0"/>
              <w:spacing w:line="400" w:lineRule="exact"/>
              <w:jc w:val="center"/>
              <w:rPr>
                <w:rFonts w:hint="eastAsia" w:ascii="宋体" w:hAnsi="宋体" w:cs="宋体"/>
                <w:sz w:val="18"/>
                <w:szCs w:val="18"/>
                <w:highlight w:val="yellow"/>
              </w:rPr>
            </w:pPr>
          </w:p>
        </w:tc>
        <w:tc>
          <w:tcPr>
            <w:tcW w:w="1665" w:type="dxa"/>
            <w:noWrap w:val="0"/>
            <w:vAlign w:val="center"/>
          </w:tcPr>
          <w:p w14:paraId="5ADE7E11">
            <w:pPr>
              <w:snapToGrid w:val="0"/>
              <w:spacing w:line="400" w:lineRule="exact"/>
              <w:jc w:val="center"/>
              <w:rPr>
                <w:rFonts w:hint="eastAsia" w:ascii="宋体" w:hAnsi="宋体" w:cs="宋体"/>
                <w:sz w:val="18"/>
                <w:szCs w:val="18"/>
              </w:rPr>
            </w:pPr>
          </w:p>
        </w:tc>
        <w:tc>
          <w:tcPr>
            <w:tcW w:w="1316" w:type="dxa"/>
            <w:noWrap w:val="0"/>
            <w:vAlign w:val="center"/>
          </w:tcPr>
          <w:p w14:paraId="12FEFC3C">
            <w:pPr>
              <w:snapToGrid w:val="0"/>
              <w:spacing w:line="400" w:lineRule="exact"/>
              <w:jc w:val="center"/>
              <w:rPr>
                <w:rFonts w:hint="eastAsia" w:ascii="宋体" w:hAnsi="宋体" w:cs="宋体"/>
                <w:sz w:val="18"/>
                <w:szCs w:val="18"/>
              </w:rPr>
            </w:pPr>
          </w:p>
        </w:tc>
      </w:tr>
      <w:tr w14:paraId="7DC7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6084B01A">
            <w:pPr>
              <w:snapToGrid w:val="0"/>
              <w:spacing w:line="400" w:lineRule="exact"/>
              <w:jc w:val="center"/>
              <w:rPr>
                <w:rFonts w:hint="eastAsia" w:ascii="宋体" w:hAnsi="宋体" w:cs="宋体"/>
                <w:sz w:val="18"/>
                <w:szCs w:val="18"/>
              </w:rPr>
            </w:pPr>
            <w:r>
              <w:rPr>
                <w:rFonts w:hint="eastAsia" w:ascii="宋体" w:hAnsi="宋体" w:cs="宋体"/>
                <w:sz w:val="18"/>
                <w:szCs w:val="18"/>
              </w:rPr>
              <w:t>2</w:t>
            </w:r>
          </w:p>
        </w:tc>
        <w:tc>
          <w:tcPr>
            <w:tcW w:w="1891" w:type="dxa"/>
            <w:noWrap w:val="0"/>
            <w:vAlign w:val="center"/>
          </w:tcPr>
          <w:p w14:paraId="1CA4E4B7">
            <w:pPr>
              <w:snapToGrid w:val="0"/>
              <w:spacing w:line="400" w:lineRule="exact"/>
              <w:jc w:val="center"/>
              <w:rPr>
                <w:rFonts w:hint="eastAsia" w:ascii="宋体" w:hAnsi="宋体" w:cs="宋体"/>
                <w:sz w:val="18"/>
                <w:szCs w:val="18"/>
              </w:rPr>
            </w:pPr>
          </w:p>
        </w:tc>
        <w:tc>
          <w:tcPr>
            <w:tcW w:w="1213" w:type="dxa"/>
            <w:noWrap w:val="0"/>
            <w:vAlign w:val="center"/>
          </w:tcPr>
          <w:p w14:paraId="6E11EC4B">
            <w:pPr>
              <w:snapToGrid w:val="0"/>
              <w:spacing w:line="400" w:lineRule="exact"/>
              <w:jc w:val="center"/>
              <w:rPr>
                <w:rFonts w:hint="eastAsia" w:ascii="宋体" w:hAnsi="宋体" w:cs="宋体"/>
                <w:sz w:val="18"/>
                <w:szCs w:val="18"/>
              </w:rPr>
            </w:pPr>
          </w:p>
        </w:tc>
        <w:tc>
          <w:tcPr>
            <w:tcW w:w="1312" w:type="dxa"/>
            <w:noWrap w:val="0"/>
            <w:vAlign w:val="center"/>
          </w:tcPr>
          <w:p w14:paraId="6E49A215">
            <w:pPr>
              <w:snapToGrid w:val="0"/>
              <w:spacing w:line="400" w:lineRule="exact"/>
              <w:jc w:val="center"/>
              <w:rPr>
                <w:rFonts w:hint="eastAsia" w:ascii="宋体" w:hAnsi="宋体" w:cs="宋体"/>
                <w:sz w:val="18"/>
                <w:szCs w:val="18"/>
              </w:rPr>
            </w:pPr>
          </w:p>
        </w:tc>
        <w:tc>
          <w:tcPr>
            <w:tcW w:w="1471" w:type="dxa"/>
            <w:noWrap w:val="0"/>
            <w:vAlign w:val="center"/>
          </w:tcPr>
          <w:p w14:paraId="3917D0F1">
            <w:pPr>
              <w:snapToGrid w:val="0"/>
              <w:spacing w:line="400" w:lineRule="exact"/>
              <w:jc w:val="center"/>
              <w:rPr>
                <w:rFonts w:hint="eastAsia" w:ascii="宋体" w:hAnsi="宋体" w:cs="宋体"/>
                <w:sz w:val="18"/>
                <w:szCs w:val="18"/>
              </w:rPr>
            </w:pPr>
          </w:p>
        </w:tc>
        <w:tc>
          <w:tcPr>
            <w:tcW w:w="1665" w:type="dxa"/>
            <w:noWrap w:val="0"/>
            <w:vAlign w:val="center"/>
          </w:tcPr>
          <w:p w14:paraId="4D203D64">
            <w:pPr>
              <w:snapToGrid w:val="0"/>
              <w:spacing w:line="400" w:lineRule="exact"/>
              <w:jc w:val="center"/>
              <w:rPr>
                <w:rFonts w:hint="eastAsia" w:ascii="宋体" w:hAnsi="宋体" w:cs="宋体"/>
                <w:sz w:val="18"/>
                <w:szCs w:val="18"/>
              </w:rPr>
            </w:pPr>
          </w:p>
        </w:tc>
        <w:tc>
          <w:tcPr>
            <w:tcW w:w="1316" w:type="dxa"/>
            <w:noWrap w:val="0"/>
            <w:vAlign w:val="center"/>
          </w:tcPr>
          <w:p w14:paraId="1E154265">
            <w:pPr>
              <w:snapToGrid w:val="0"/>
              <w:spacing w:line="400" w:lineRule="exact"/>
              <w:jc w:val="center"/>
              <w:rPr>
                <w:rFonts w:hint="eastAsia" w:ascii="宋体" w:hAnsi="宋体" w:cs="宋体"/>
                <w:sz w:val="18"/>
                <w:szCs w:val="18"/>
              </w:rPr>
            </w:pPr>
          </w:p>
        </w:tc>
      </w:tr>
      <w:tr w14:paraId="18D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E71BA1D">
            <w:pPr>
              <w:snapToGrid w:val="0"/>
              <w:spacing w:line="400" w:lineRule="exact"/>
              <w:jc w:val="center"/>
              <w:rPr>
                <w:rFonts w:hint="eastAsia" w:ascii="宋体" w:hAnsi="宋体" w:cs="宋体"/>
                <w:sz w:val="18"/>
                <w:szCs w:val="18"/>
              </w:rPr>
            </w:pPr>
            <w:r>
              <w:rPr>
                <w:rFonts w:hint="eastAsia" w:ascii="宋体" w:hAnsi="宋体" w:cs="宋体"/>
                <w:sz w:val="18"/>
                <w:szCs w:val="18"/>
              </w:rPr>
              <w:t>3</w:t>
            </w:r>
          </w:p>
        </w:tc>
        <w:tc>
          <w:tcPr>
            <w:tcW w:w="1891" w:type="dxa"/>
            <w:noWrap w:val="0"/>
            <w:vAlign w:val="center"/>
          </w:tcPr>
          <w:p w14:paraId="35CE1A1F">
            <w:pPr>
              <w:snapToGrid w:val="0"/>
              <w:spacing w:line="400" w:lineRule="exact"/>
              <w:jc w:val="center"/>
              <w:rPr>
                <w:rFonts w:hint="eastAsia" w:ascii="宋体" w:hAnsi="宋体" w:cs="宋体"/>
                <w:sz w:val="18"/>
                <w:szCs w:val="18"/>
              </w:rPr>
            </w:pPr>
          </w:p>
        </w:tc>
        <w:tc>
          <w:tcPr>
            <w:tcW w:w="1213" w:type="dxa"/>
            <w:noWrap w:val="0"/>
            <w:vAlign w:val="center"/>
          </w:tcPr>
          <w:p w14:paraId="31AE08C5">
            <w:pPr>
              <w:snapToGrid w:val="0"/>
              <w:spacing w:line="400" w:lineRule="exact"/>
              <w:jc w:val="center"/>
              <w:rPr>
                <w:rFonts w:hint="eastAsia" w:ascii="宋体" w:hAnsi="宋体" w:cs="宋体"/>
                <w:sz w:val="18"/>
                <w:szCs w:val="18"/>
              </w:rPr>
            </w:pPr>
          </w:p>
        </w:tc>
        <w:tc>
          <w:tcPr>
            <w:tcW w:w="1312" w:type="dxa"/>
            <w:noWrap w:val="0"/>
            <w:vAlign w:val="center"/>
          </w:tcPr>
          <w:p w14:paraId="3150DC5D">
            <w:pPr>
              <w:snapToGrid w:val="0"/>
              <w:spacing w:line="400" w:lineRule="exact"/>
              <w:jc w:val="center"/>
              <w:rPr>
                <w:rFonts w:hint="eastAsia" w:ascii="宋体" w:hAnsi="宋体" w:cs="宋体"/>
                <w:sz w:val="18"/>
                <w:szCs w:val="18"/>
              </w:rPr>
            </w:pPr>
          </w:p>
        </w:tc>
        <w:tc>
          <w:tcPr>
            <w:tcW w:w="1471" w:type="dxa"/>
            <w:noWrap w:val="0"/>
            <w:vAlign w:val="center"/>
          </w:tcPr>
          <w:p w14:paraId="64EA616F">
            <w:pPr>
              <w:snapToGrid w:val="0"/>
              <w:spacing w:line="400" w:lineRule="exact"/>
              <w:jc w:val="center"/>
              <w:rPr>
                <w:rFonts w:hint="eastAsia" w:ascii="宋体" w:hAnsi="宋体" w:cs="宋体"/>
                <w:sz w:val="18"/>
                <w:szCs w:val="18"/>
              </w:rPr>
            </w:pPr>
          </w:p>
        </w:tc>
        <w:tc>
          <w:tcPr>
            <w:tcW w:w="1665" w:type="dxa"/>
            <w:noWrap w:val="0"/>
            <w:vAlign w:val="center"/>
          </w:tcPr>
          <w:p w14:paraId="07044444">
            <w:pPr>
              <w:snapToGrid w:val="0"/>
              <w:spacing w:line="400" w:lineRule="exact"/>
              <w:jc w:val="center"/>
              <w:rPr>
                <w:rFonts w:hint="eastAsia" w:ascii="宋体" w:hAnsi="宋体" w:cs="宋体"/>
                <w:sz w:val="18"/>
                <w:szCs w:val="18"/>
              </w:rPr>
            </w:pPr>
          </w:p>
        </w:tc>
        <w:tc>
          <w:tcPr>
            <w:tcW w:w="1316" w:type="dxa"/>
            <w:noWrap w:val="0"/>
            <w:vAlign w:val="center"/>
          </w:tcPr>
          <w:p w14:paraId="2B501A0B">
            <w:pPr>
              <w:snapToGrid w:val="0"/>
              <w:spacing w:line="400" w:lineRule="exact"/>
              <w:jc w:val="center"/>
              <w:rPr>
                <w:rFonts w:hint="eastAsia" w:ascii="宋体" w:hAnsi="宋体" w:cs="宋体"/>
                <w:sz w:val="18"/>
                <w:szCs w:val="18"/>
              </w:rPr>
            </w:pPr>
          </w:p>
        </w:tc>
      </w:tr>
      <w:tr w14:paraId="5247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AE10F02">
            <w:pPr>
              <w:snapToGrid w:val="0"/>
              <w:spacing w:line="400" w:lineRule="exact"/>
              <w:jc w:val="center"/>
              <w:rPr>
                <w:rFonts w:hint="eastAsia" w:ascii="宋体" w:hAnsi="宋体" w:cs="宋体"/>
                <w:sz w:val="18"/>
                <w:szCs w:val="18"/>
              </w:rPr>
            </w:pPr>
            <w:r>
              <w:rPr>
                <w:rFonts w:hint="eastAsia" w:ascii="宋体" w:hAnsi="宋体" w:cs="宋体"/>
                <w:sz w:val="18"/>
                <w:szCs w:val="18"/>
              </w:rPr>
              <w:t>4</w:t>
            </w:r>
          </w:p>
        </w:tc>
        <w:tc>
          <w:tcPr>
            <w:tcW w:w="1891" w:type="dxa"/>
            <w:noWrap w:val="0"/>
            <w:vAlign w:val="center"/>
          </w:tcPr>
          <w:p w14:paraId="641B64C9">
            <w:pPr>
              <w:snapToGrid w:val="0"/>
              <w:spacing w:line="400" w:lineRule="exact"/>
              <w:jc w:val="center"/>
              <w:rPr>
                <w:rFonts w:hint="eastAsia" w:ascii="宋体" w:hAnsi="宋体" w:cs="宋体"/>
                <w:sz w:val="18"/>
                <w:szCs w:val="18"/>
              </w:rPr>
            </w:pPr>
          </w:p>
        </w:tc>
        <w:tc>
          <w:tcPr>
            <w:tcW w:w="1213" w:type="dxa"/>
            <w:noWrap w:val="0"/>
            <w:vAlign w:val="center"/>
          </w:tcPr>
          <w:p w14:paraId="61081246">
            <w:pPr>
              <w:snapToGrid w:val="0"/>
              <w:spacing w:line="400" w:lineRule="exact"/>
              <w:jc w:val="center"/>
              <w:rPr>
                <w:rFonts w:hint="eastAsia" w:ascii="宋体" w:hAnsi="宋体" w:cs="宋体"/>
                <w:sz w:val="18"/>
                <w:szCs w:val="18"/>
              </w:rPr>
            </w:pPr>
          </w:p>
        </w:tc>
        <w:tc>
          <w:tcPr>
            <w:tcW w:w="1312" w:type="dxa"/>
            <w:noWrap w:val="0"/>
            <w:vAlign w:val="center"/>
          </w:tcPr>
          <w:p w14:paraId="394912C1">
            <w:pPr>
              <w:snapToGrid w:val="0"/>
              <w:spacing w:line="400" w:lineRule="exact"/>
              <w:jc w:val="center"/>
              <w:rPr>
                <w:rFonts w:hint="eastAsia" w:ascii="宋体" w:hAnsi="宋体" w:cs="宋体"/>
                <w:sz w:val="18"/>
                <w:szCs w:val="18"/>
              </w:rPr>
            </w:pPr>
          </w:p>
        </w:tc>
        <w:tc>
          <w:tcPr>
            <w:tcW w:w="1471" w:type="dxa"/>
            <w:noWrap w:val="0"/>
            <w:vAlign w:val="center"/>
          </w:tcPr>
          <w:p w14:paraId="54D0C4AE">
            <w:pPr>
              <w:snapToGrid w:val="0"/>
              <w:spacing w:line="400" w:lineRule="exact"/>
              <w:jc w:val="center"/>
              <w:rPr>
                <w:rFonts w:hint="eastAsia" w:ascii="宋体" w:hAnsi="宋体" w:cs="宋体"/>
                <w:sz w:val="18"/>
                <w:szCs w:val="18"/>
              </w:rPr>
            </w:pPr>
          </w:p>
        </w:tc>
        <w:tc>
          <w:tcPr>
            <w:tcW w:w="1665" w:type="dxa"/>
            <w:noWrap w:val="0"/>
            <w:vAlign w:val="center"/>
          </w:tcPr>
          <w:p w14:paraId="54FCF16A">
            <w:pPr>
              <w:snapToGrid w:val="0"/>
              <w:spacing w:line="400" w:lineRule="exact"/>
              <w:jc w:val="center"/>
              <w:rPr>
                <w:rFonts w:hint="eastAsia" w:ascii="宋体" w:hAnsi="宋体" w:cs="宋体"/>
                <w:sz w:val="18"/>
                <w:szCs w:val="18"/>
              </w:rPr>
            </w:pPr>
          </w:p>
        </w:tc>
        <w:tc>
          <w:tcPr>
            <w:tcW w:w="1316" w:type="dxa"/>
            <w:noWrap w:val="0"/>
            <w:vAlign w:val="center"/>
          </w:tcPr>
          <w:p w14:paraId="7E78B8EE">
            <w:pPr>
              <w:snapToGrid w:val="0"/>
              <w:spacing w:line="400" w:lineRule="exact"/>
              <w:jc w:val="center"/>
              <w:rPr>
                <w:rFonts w:hint="eastAsia" w:ascii="宋体" w:hAnsi="宋体" w:cs="宋体"/>
                <w:sz w:val="18"/>
                <w:szCs w:val="18"/>
              </w:rPr>
            </w:pPr>
          </w:p>
        </w:tc>
      </w:tr>
      <w:tr w14:paraId="66E1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353DFA52">
            <w:pPr>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891" w:type="dxa"/>
            <w:noWrap w:val="0"/>
            <w:vAlign w:val="center"/>
          </w:tcPr>
          <w:p w14:paraId="32D55539">
            <w:pPr>
              <w:snapToGrid w:val="0"/>
              <w:spacing w:line="400" w:lineRule="exact"/>
              <w:jc w:val="center"/>
              <w:rPr>
                <w:rFonts w:hint="eastAsia" w:ascii="宋体" w:hAnsi="宋体" w:cs="宋体"/>
                <w:sz w:val="18"/>
                <w:szCs w:val="18"/>
              </w:rPr>
            </w:pPr>
          </w:p>
        </w:tc>
        <w:tc>
          <w:tcPr>
            <w:tcW w:w="1213" w:type="dxa"/>
            <w:noWrap w:val="0"/>
            <w:vAlign w:val="center"/>
          </w:tcPr>
          <w:p w14:paraId="4EB2EE4E">
            <w:pPr>
              <w:snapToGrid w:val="0"/>
              <w:spacing w:line="400" w:lineRule="exact"/>
              <w:jc w:val="center"/>
              <w:rPr>
                <w:rFonts w:hint="eastAsia" w:ascii="宋体" w:hAnsi="宋体" w:cs="宋体"/>
                <w:sz w:val="18"/>
                <w:szCs w:val="18"/>
              </w:rPr>
            </w:pPr>
          </w:p>
        </w:tc>
        <w:tc>
          <w:tcPr>
            <w:tcW w:w="1312" w:type="dxa"/>
            <w:noWrap w:val="0"/>
            <w:vAlign w:val="center"/>
          </w:tcPr>
          <w:p w14:paraId="076900F4">
            <w:pPr>
              <w:snapToGrid w:val="0"/>
              <w:spacing w:line="400" w:lineRule="exact"/>
              <w:jc w:val="center"/>
              <w:rPr>
                <w:rFonts w:hint="eastAsia" w:ascii="宋体" w:hAnsi="宋体" w:cs="宋体"/>
                <w:sz w:val="18"/>
                <w:szCs w:val="18"/>
              </w:rPr>
            </w:pPr>
          </w:p>
        </w:tc>
        <w:tc>
          <w:tcPr>
            <w:tcW w:w="1471" w:type="dxa"/>
            <w:noWrap w:val="0"/>
            <w:vAlign w:val="center"/>
          </w:tcPr>
          <w:p w14:paraId="150D1AD1">
            <w:pPr>
              <w:snapToGrid w:val="0"/>
              <w:spacing w:line="400" w:lineRule="exact"/>
              <w:jc w:val="center"/>
              <w:rPr>
                <w:rFonts w:hint="eastAsia" w:ascii="宋体" w:hAnsi="宋体" w:cs="宋体"/>
                <w:sz w:val="18"/>
                <w:szCs w:val="18"/>
              </w:rPr>
            </w:pPr>
          </w:p>
        </w:tc>
        <w:tc>
          <w:tcPr>
            <w:tcW w:w="1665" w:type="dxa"/>
            <w:noWrap w:val="0"/>
            <w:vAlign w:val="center"/>
          </w:tcPr>
          <w:p w14:paraId="1CD11BFD">
            <w:pPr>
              <w:snapToGrid w:val="0"/>
              <w:spacing w:line="400" w:lineRule="exact"/>
              <w:jc w:val="center"/>
              <w:rPr>
                <w:rFonts w:hint="eastAsia" w:ascii="宋体" w:hAnsi="宋体" w:cs="宋体"/>
                <w:sz w:val="18"/>
                <w:szCs w:val="18"/>
              </w:rPr>
            </w:pPr>
          </w:p>
        </w:tc>
        <w:tc>
          <w:tcPr>
            <w:tcW w:w="1316" w:type="dxa"/>
            <w:noWrap w:val="0"/>
            <w:vAlign w:val="center"/>
          </w:tcPr>
          <w:p w14:paraId="1752ED50">
            <w:pPr>
              <w:snapToGrid w:val="0"/>
              <w:spacing w:line="400" w:lineRule="exact"/>
              <w:jc w:val="center"/>
              <w:rPr>
                <w:rFonts w:hint="eastAsia" w:ascii="宋体" w:hAnsi="宋体" w:cs="宋体"/>
                <w:sz w:val="18"/>
                <w:szCs w:val="18"/>
              </w:rPr>
            </w:pPr>
          </w:p>
        </w:tc>
      </w:tr>
      <w:tr w14:paraId="176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5FA7739">
            <w:pPr>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891" w:type="dxa"/>
            <w:noWrap w:val="0"/>
            <w:vAlign w:val="center"/>
          </w:tcPr>
          <w:p w14:paraId="3601E8D0">
            <w:pPr>
              <w:snapToGrid w:val="0"/>
              <w:spacing w:line="400" w:lineRule="exact"/>
              <w:jc w:val="center"/>
              <w:rPr>
                <w:rFonts w:hint="eastAsia" w:ascii="宋体" w:hAnsi="宋体" w:cs="宋体"/>
                <w:sz w:val="18"/>
                <w:szCs w:val="18"/>
              </w:rPr>
            </w:pPr>
          </w:p>
        </w:tc>
        <w:tc>
          <w:tcPr>
            <w:tcW w:w="1213" w:type="dxa"/>
            <w:noWrap w:val="0"/>
            <w:vAlign w:val="center"/>
          </w:tcPr>
          <w:p w14:paraId="7F49D3E9">
            <w:pPr>
              <w:snapToGrid w:val="0"/>
              <w:spacing w:line="400" w:lineRule="exact"/>
              <w:jc w:val="center"/>
              <w:rPr>
                <w:rFonts w:hint="eastAsia" w:ascii="宋体" w:hAnsi="宋体" w:cs="宋体"/>
                <w:sz w:val="18"/>
                <w:szCs w:val="18"/>
              </w:rPr>
            </w:pPr>
          </w:p>
        </w:tc>
        <w:tc>
          <w:tcPr>
            <w:tcW w:w="1312" w:type="dxa"/>
            <w:noWrap w:val="0"/>
            <w:vAlign w:val="center"/>
          </w:tcPr>
          <w:p w14:paraId="3AA6ED40">
            <w:pPr>
              <w:snapToGrid w:val="0"/>
              <w:spacing w:line="400" w:lineRule="exact"/>
              <w:jc w:val="center"/>
              <w:rPr>
                <w:rFonts w:hint="eastAsia" w:ascii="宋体" w:hAnsi="宋体" w:cs="宋体"/>
                <w:sz w:val="18"/>
                <w:szCs w:val="18"/>
              </w:rPr>
            </w:pPr>
          </w:p>
        </w:tc>
        <w:tc>
          <w:tcPr>
            <w:tcW w:w="1471" w:type="dxa"/>
            <w:noWrap w:val="0"/>
            <w:vAlign w:val="center"/>
          </w:tcPr>
          <w:p w14:paraId="11E5E445">
            <w:pPr>
              <w:snapToGrid w:val="0"/>
              <w:spacing w:line="400" w:lineRule="exact"/>
              <w:jc w:val="center"/>
              <w:rPr>
                <w:rFonts w:hint="eastAsia" w:ascii="宋体" w:hAnsi="宋体" w:cs="宋体"/>
                <w:sz w:val="18"/>
                <w:szCs w:val="18"/>
              </w:rPr>
            </w:pPr>
          </w:p>
        </w:tc>
        <w:tc>
          <w:tcPr>
            <w:tcW w:w="1665" w:type="dxa"/>
            <w:noWrap w:val="0"/>
            <w:vAlign w:val="center"/>
          </w:tcPr>
          <w:p w14:paraId="3D08F5A1">
            <w:pPr>
              <w:snapToGrid w:val="0"/>
              <w:spacing w:line="400" w:lineRule="exact"/>
              <w:jc w:val="center"/>
              <w:rPr>
                <w:rFonts w:hint="eastAsia" w:ascii="宋体" w:hAnsi="宋体" w:cs="宋体"/>
                <w:sz w:val="18"/>
                <w:szCs w:val="18"/>
              </w:rPr>
            </w:pPr>
          </w:p>
        </w:tc>
        <w:tc>
          <w:tcPr>
            <w:tcW w:w="1316" w:type="dxa"/>
            <w:noWrap w:val="0"/>
            <w:vAlign w:val="center"/>
          </w:tcPr>
          <w:p w14:paraId="3FA34479">
            <w:pPr>
              <w:snapToGrid w:val="0"/>
              <w:spacing w:line="400" w:lineRule="exact"/>
              <w:jc w:val="center"/>
              <w:rPr>
                <w:rFonts w:hint="eastAsia" w:ascii="宋体" w:hAnsi="宋体" w:cs="宋体"/>
                <w:sz w:val="18"/>
                <w:szCs w:val="18"/>
              </w:rPr>
            </w:pPr>
          </w:p>
        </w:tc>
      </w:tr>
      <w:tr w14:paraId="2CC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B11AB9C">
            <w:pPr>
              <w:snapToGrid w:val="0"/>
              <w:spacing w:line="4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891" w:type="dxa"/>
            <w:noWrap w:val="0"/>
            <w:vAlign w:val="center"/>
          </w:tcPr>
          <w:p w14:paraId="70D3C3D9">
            <w:pPr>
              <w:snapToGrid w:val="0"/>
              <w:spacing w:line="400" w:lineRule="exact"/>
              <w:jc w:val="center"/>
              <w:rPr>
                <w:rFonts w:hint="eastAsia" w:ascii="宋体" w:hAnsi="宋体" w:cs="宋体"/>
                <w:sz w:val="18"/>
                <w:szCs w:val="18"/>
              </w:rPr>
            </w:pPr>
          </w:p>
        </w:tc>
        <w:tc>
          <w:tcPr>
            <w:tcW w:w="1213" w:type="dxa"/>
            <w:noWrap w:val="0"/>
            <w:vAlign w:val="center"/>
          </w:tcPr>
          <w:p w14:paraId="05CBB553">
            <w:pPr>
              <w:snapToGrid w:val="0"/>
              <w:spacing w:line="400" w:lineRule="exact"/>
              <w:jc w:val="center"/>
              <w:rPr>
                <w:rFonts w:hint="eastAsia" w:ascii="宋体" w:hAnsi="宋体" w:cs="宋体"/>
                <w:sz w:val="18"/>
                <w:szCs w:val="18"/>
              </w:rPr>
            </w:pPr>
          </w:p>
        </w:tc>
        <w:tc>
          <w:tcPr>
            <w:tcW w:w="1312" w:type="dxa"/>
            <w:noWrap w:val="0"/>
            <w:vAlign w:val="center"/>
          </w:tcPr>
          <w:p w14:paraId="60380F82">
            <w:pPr>
              <w:snapToGrid w:val="0"/>
              <w:spacing w:line="400" w:lineRule="exact"/>
              <w:jc w:val="center"/>
              <w:rPr>
                <w:rFonts w:hint="eastAsia" w:ascii="宋体" w:hAnsi="宋体" w:cs="宋体"/>
                <w:sz w:val="18"/>
                <w:szCs w:val="18"/>
              </w:rPr>
            </w:pPr>
          </w:p>
        </w:tc>
        <w:tc>
          <w:tcPr>
            <w:tcW w:w="1471" w:type="dxa"/>
            <w:noWrap w:val="0"/>
            <w:vAlign w:val="center"/>
          </w:tcPr>
          <w:p w14:paraId="6C6CE965">
            <w:pPr>
              <w:snapToGrid w:val="0"/>
              <w:spacing w:line="400" w:lineRule="exact"/>
              <w:jc w:val="center"/>
              <w:rPr>
                <w:rFonts w:hint="eastAsia" w:ascii="宋体" w:hAnsi="宋体" w:cs="宋体"/>
                <w:sz w:val="18"/>
                <w:szCs w:val="18"/>
              </w:rPr>
            </w:pPr>
          </w:p>
        </w:tc>
        <w:tc>
          <w:tcPr>
            <w:tcW w:w="1665" w:type="dxa"/>
            <w:noWrap w:val="0"/>
            <w:vAlign w:val="center"/>
          </w:tcPr>
          <w:p w14:paraId="405146EF">
            <w:pPr>
              <w:snapToGrid w:val="0"/>
              <w:spacing w:line="400" w:lineRule="exact"/>
              <w:jc w:val="center"/>
              <w:rPr>
                <w:rFonts w:hint="eastAsia" w:ascii="宋体" w:hAnsi="宋体" w:cs="宋体"/>
                <w:sz w:val="18"/>
                <w:szCs w:val="18"/>
              </w:rPr>
            </w:pPr>
          </w:p>
        </w:tc>
        <w:tc>
          <w:tcPr>
            <w:tcW w:w="1316" w:type="dxa"/>
            <w:noWrap w:val="0"/>
            <w:vAlign w:val="center"/>
          </w:tcPr>
          <w:p w14:paraId="129A1590">
            <w:pPr>
              <w:snapToGrid w:val="0"/>
              <w:spacing w:line="400" w:lineRule="exact"/>
              <w:jc w:val="center"/>
              <w:rPr>
                <w:rFonts w:hint="eastAsia" w:ascii="宋体" w:hAnsi="宋体" w:cs="宋体"/>
                <w:sz w:val="18"/>
                <w:szCs w:val="18"/>
              </w:rPr>
            </w:pPr>
          </w:p>
        </w:tc>
      </w:tr>
      <w:tr w14:paraId="46B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527" w:type="dxa"/>
            <w:gridSpan w:val="2"/>
            <w:noWrap w:val="0"/>
            <w:vAlign w:val="center"/>
          </w:tcPr>
          <w:p w14:paraId="012B6481">
            <w:pPr>
              <w:snapToGrid w:val="0"/>
              <w:spacing w:line="400" w:lineRule="exact"/>
              <w:jc w:val="center"/>
              <w:rPr>
                <w:rFonts w:hint="eastAsia" w:ascii="宋体" w:hAnsi="宋体" w:cs="宋体"/>
                <w:sz w:val="18"/>
                <w:szCs w:val="18"/>
              </w:rPr>
            </w:pPr>
            <w:r>
              <w:rPr>
                <w:rFonts w:hint="eastAsia" w:ascii="宋体" w:hAnsi="宋体" w:cs="宋体"/>
                <w:sz w:val="18"/>
                <w:szCs w:val="18"/>
              </w:rPr>
              <w:t>合计</w:t>
            </w:r>
          </w:p>
        </w:tc>
        <w:tc>
          <w:tcPr>
            <w:tcW w:w="3996" w:type="dxa"/>
            <w:gridSpan w:val="3"/>
            <w:noWrap w:val="0"/>
            <w:vAlign w:val="center"/>
          </w:tcPr>
          <w:p w14:paraId="06BD61ED">
            <w:pPr>
              <w:snapToGrid w:val="0"/>
              <w:spacing w:line="400" w:lineRule="exact"/>
              <w:jc w:val="center"/>
              <w:rPr>
                <w:rFonts w:hint="eastAsia" w:ascii="宋体" w:hAnsi="宋体" w:cs="宋体"/>
                <w:sz w:val="18"/>
                <w:szCs w:val="18"/>
              </w:rPr>
            </w:pPr>
            <w:r>
              <w:rPr>
                <w:rFonts w:hint="eastAsia" w:ascii="宋体" w:hAnsi="宋体" w:cs="宋体"/>
                <w:sz w:val="18"/>
                <w:szCs w:val="18"/>
              </w:rPr>
              <w:t>大写：</w:t>
            </w:r>
          </w:p>
        </w:tc>
        <w:tc>
          <w:tcPr>
            <w:tcW w:w="1665" w:type="dxa"/>
            <w:noWrap w:val="0"/>
            <w:vAlign w:val="center"/>
          </w:tcPr>
          <w:p w14:paraId="2D518E7C">
            <w:pPr>
              <w:snapToGrid w:val="0"/>
              <w:spacing w:line="400" w:lineRule="exact"/>
              <w:jc w:val="center"/>
              <w:rPr>
                <w:rFonts w:hint="eastAsia" w:ascii="宋体" w:hAnsi="宋体" w:cs="宋体"/>
                <w:sz w:val="18"/>
                <w:szCs w:val="18"/>
              </w:rPr>
            </w:pPr>
            <w:r>
              <w:rPr>
                <w:rFonts w:hint="eastAsia" w:ascii="宋体" w:hAnsi="宋体" w:cs="宋体"/>
                <w:sz w:val="18"/>
                <w:szCs w:val="18"/>
              </w:rPr>
              <w:t>￥：</w:t>
            </w:r>
          </w:p>
        </w:tc>
        <w:tc>
          <w:tcPr>
            <w:tcW w:w="1316" w:type="dxa"/>
            <w:noWrap w:val="0"/>
            <w:vAlign w:val="center"/>
          </w:tcPr>
          <w:p w14:paraId="38EB1E9A">
            <w:pPr>
              <w:snapToGrid w:val="0"/>
              <w:spacing w:line="400" w:lineRule="exact"/>
              <w:jc w:val="center"/>
              <w:rPr>
                <w:rFonts w:hint="eastAsia" w:ascii="宋体" w:hAnsi="宋体" w:cs="宋体"/>
                <w:sz w:val="18"/>
                <w:szCs w:val="18"/>
              </w:rPr>
            </w:pPr>
          </w:p>
        </w:tc>
      </w:tr>
    </w:tbl>
    <w:p w14:paraId="7E6E50BD">
      <w:pPr>
        <w:keepNext w:val="0"/>
        <w:keepLines w:val="0"/>
        <w:pageBreakBefore w:val="0"/>
        <w:widowControl w:val="0"/>
        <w:kinsoku/>
        <w:wordWrap/>
        <w:overflowPunct/>
        <w:topLinePunct w:val="0"/>
        <w:autoSpaceDE/>
        <w:autoSpaceDN/>
        <w:bidi w:val="0"/>
        <w:adjustRightInd/>
        <w:snapToGrid/>
        <w:spacing w:line="360" w:lineRule="auto"/>
        <w:ind w:firstLine="105" w:firstLineChars="50"/>
        <w:jc w:val="left"/>
        <w:textAlignment w:val="auto"/>
        <w:rPr>
          <w:rFonts w:hint="eastAsia" w:ascii="宋体" w:hAnsi="宋体" w:cs="宋体"/>
          <w:bCs/>
          <w:sz w:val="21"/>
          <w:szCs w:val="21"/>
        </w:rPr>
      </w:pPr>
      <w:r>
        <w:rPr>
          <w:rFonts w:hint="eastAsia" w:ascii="宋体" w:hAnsi="宋体" w:cs="宋体"/>
          <w:sz w:val="21"/>
          <w:szCs w:val="21"/>
        </w:rPr>
        <w:t>注：1、</w:t>
      </w:r>
      <w:r>
        <w:rPr>
          <w:rFonts w:hint="eastAsia" w:ascii="宋体" w:hAnsi="宋体" w:cs="宋体"/>
          <w:bCs/>
          <w:sz w:val="21"/>
          <w:szCs w:val="21"/>
        </w:rPr>
        <w:t>磋商供应商必须按“分项报价表”的格式详细报出磋商价的各个组成部分的报价；</w:t>
      </w:r>
    </w:p>
    <w:p w14:paraId="6826F231">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cs="宋体"/>
          <w:b/>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“分项报价表”各分项报价合计应当与“第一次磋商报价表”总报价相等</w:t>
      </w:r>
      <w:r>
        <w:rPr>
          <w:rFonts w:hint="eastAsia" w:ascii="宋体" w:hAnsi="宋体" w:cs="宋体"/>
          <w:b/>
          <w:bCs/>
          <w:sz w:val="21"/>
          <w:szCs w:val="21"/>
        </w:rPr>
        <w:t>；</w:t>
      </w:r>
    </w:p>
    <w:p w14:paraId="0CD71C2A">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、“分项报价表”为多页的，每页均需由法定代表人或授权代表签字并盖磋商供应商印章；</w:t>
      </w:r>
    </w:p>
    <w:p w14:paraId="17724A94">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、“分项报价表”报价最多保留小数点后两位；</w:t>
      </w:r>
    </w:p>
    <w:p w14:paraId="390691D0">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、如果按单价计算的结果与金额不一致时，以单价为准修正金额与合计金额；</w:t>
      </w:r>
    </w:p>
    <w:p w14:paraId="3B54F278">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6、此表可自行扩展；</w:t>
      </w:r>
    </w:p>
    <w:p w14:paraId="4EB5142D">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7、供应商在二次磋商报价后分项报价表中的各分项报价根据磋商二次总报价的下浮比例同比例下降。</w:t>
      </w:r>
    </w:p>
    <w:p w14:paraId="2469C216">
      <w:pPr>
        <w:jc w:val="center"/>
        <w:rPr>
          <w:rFonts w:hint="eastAsia" w:ascii="宋体" w:hAnsi="宋体" w:cs="宋体"/>
          <w:b/>
          <w:sz w:val="32"/>
          <w:szCs w:val="32"/>
        </w:rPr>
      </w:pPr>
    </w:p>
    <w:p w14:paraId="6B6C258B">
      <w:pPr>
        <w:adjustRightInd w:val="0"/>
        <w:spacing w:line="400" w:lineRule="exact"/>
        <w:ind w:left="140" w:leftChars="50"/>
        <w:jc w:val="left"/>
        <w:rPr>
          <w:rFonts w:hint="eastAsia" w:ascii="宋体" w:hAnsi="宋体" w:cs="宋体"/>
          <w:sz w:val="24"/>
          <w:szCs w:val="24"/>
        </w:rPr>
      </w:pPr>
      <w:r>
        <w:rPr>
          <w:rFonts w:hint="eastAsia" w:ascii="宋体" w:hAnsi="宋体" w:cs="宋体"/>
          <w:sz w:val="24"/>
          <w:szCs w:val="24"/>
        </w:rPr>
        <w:t xml:space="preserve">供应商（单位盖章）：           </w:t>
      </w:r>
    </w:p>
    <w:p w14:paraId="2D8CEFDD">
      <w:pPr>
        <w:adjustRightInd w:val="0"/>
        <w:spacing w:line="400" w:lineRule="exact"/>
        <w:jc w:val="left"/>
        <w:rPr>
          <w:rFonts w:hint="eastAsia" w:ascii="宋体" w:hAnsi="宋体" w:cs="宋体"/>
          <w:sz w:val="24"/>
          <w:szCs w:val="24"/>
        </w:rPr>
      </w:pPr>
    </w:p>
    <w:p w14:paraId="315C7A35">
      <w:pPr>
        <w:adjustRightInd w:val="0"/>
        <w:spacing w:line="400" w:lineRule="exact"/>
        <w:ind w:left="140" w:leftChars="50"/>
        <w:jc w:val="left"/>
        <w:rPr>
          <w:rFonts w:hint="eastAsia" w:ascii="宋体" w:hAnsi="宋体" w:cs="宋体"/>
          <w:sz w:val="24"/>
          <w:szCs w:val="24"/>
        </w:rPr>
      </w:pPr>
      <w:r>
        <w:rPr>
          <w:rFonts w:hint="eastAsia" w:ascii="宋体" w:hAnsi="宋体" w:cs="宋体"/>
          <w:sz w:val="24"/>
          <w:szCs w:val="24"/>
        </w:rPr>
        <w:t>法定代表人或被授权代表（</w:t>
      </w:r>
      <w:r>
        <w:rPr>
          <w:rFonts w:hint="eastAsia" w:ascii="宋体" w:hAnsi="宋体" w:cs="宋体"/>
          <w:bCs/>
          <w:sz w:val="24"/>
          <w:szCs w:val="24"/>
        </w:rPr>
        <w:t>签名或盖章</w:t>
      </w:r>
      <w:r>
        <w:rPr>
          <w:rFonts w:hint="eastAsia" w:ascii="宋体" w:hAnsi="宋体" w:cs="宋体"/>
          <w:sz w:val="24"/>
          <w:szCs w:val="24"/>
        </w:rPr>
        <w:t xml:space="preserve">）：  </w:t>
      </w:r>
    </w:p>
    <w:p w14:paraId="7EE988A1">
      <w:pPr>
        <w:spacing w:line="360" w:lineRule="auto"/>
        <w:outlineLvl w:val="1"/>
        <w:rPr>
          <w:rFonts w:hint="eastAsia" w:ascii="宋体" w:hAnsi="宋体" w:cs="宋体"/>
          <w:sz w:val="24"/>
          <w:szCs w:val="24"/>
        </w:rPr>
      </w:pPr>
    </w:p>
    <w:p w14:paraId="5E5F59CE">
      <w:pPr>
        <w:spacing w:line="360" w:lineRule="auto"/>
        <w:ind w:firstLine="120" w:firstLineChars="50"/>
        <w:outlineLvl w:val="1"/>
        <w:rPr>
          <w:rFonts w:hint="eastAsia" w:ascii="宋体" w:hAnsi="宋体" w:cs="宋体"/>
          <w:b/>
          <w:sz w:val="32"/>
          <w:szCs w:val="32"/>
        </w:rPr>
      </w:pPr>
      <w:r>
        <w:rPr>
          <w:rFonts w:hint="eastAsia" w:ascii="宋体" w:hAnsi="宋体" w:cs="宋体"/>
          <w:sz w:val="24"/>
          <w:szCs w:val="24"/>
        </w:rPr>
        <w:t>日期：     年   月   日</w:t>
      </w:r>
    </w:p>
    <w:p w14:paraId="6F5ABB96">
      <w:pPr>
        <w:numPr>
          <w:ilvl w:val="0"/>
          <w:numId w:val="5"/>
        </w:numPr>
        <w:jc w:val="center"/>
        <w:rPr>
          <w:rFonts w:hint="eastAsia" w:ascii="宋体" w:hAnsi="宋体" w:eastAsia="宋体" w:cs="宋体"/>
          <w:b/>
          <w:color w:val="000000"/>
          <w:szCs w:val="28"/>
          <w:lang w:eastAsia="zh-CN"/>
        </w:rPr>
      </w:pPr>
      <w:r>
        <w:rPr>
          <w:rFonts w:hint="eastAsia" w:ascii="宋体" w:hAnsi="宋体" w:eastAsia="宋体" w:cs="宋体"/>
          <w:b/>
          <w:color w:val="000000"/>
          <w:szCs w:val="28"/>
        </w:rPr>
        <w:br w:type="page"/>
      </w:r>
      <w:r>
        <w:rPr>
          <w:rFonts w:hint="eastAsia" w:ascii="宋体" w:hAnsi="宋体" w:eastAsia="宋体" w:cs="宋体"/>
          <w:b/>
          <w:color w:val="000000"/>
          <w:szCs w:val="28"/>
          <w:lang w:eastAsia="zh-CN"/>
        </w:rPr>
        <w:t>磋商方案说明</w:t>
      </w:r>
    </w:p>
    <w:p w14:paraId="0B4233F3">
      <w:pPr>
        <w:widowControl w:val="0"/>
        <w:spacing w:before="240"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一、磋商方案依据“第三章 </w:t>
      </w:r>
      <w:r>
        <w:rPr>
          <w:rFonts w:hint="eastAsia" w:ascii="宋体" w:hAnsi="宋体" w:cs="宋体"/>
          <w:kern w:val="2"/>
          <w:sz w:val="24"/>
          <w:szCs w:val="24"/>
          <w:lang w:val="en-US" w:eastAsia="zh-CN" w:bidi="ar-SA"/>
        </w:rPr>
        <w:t>采购内容</w:t>
      </w:r>
      <w:r>
        <w:rPr>
          <w:rFonts w:hint="eastAsia" w:ascii="宋体" w:hAnsi="宋体" w:eastAsia="宋体" w:cs="宋体"/>
          <w:kern w:val="2"/>
          <w:sz w:val="24"/>
          <w:szCs w:val="24"/>
          <w:lang w:val="en-US" w:eastAsia="zh-CN" w:bidi="ar-SA"/>
        </w:rPr>
        <w:t>及要求”及评审方法进行编制。</w:t>
      </w:r>
    </w:p>
    <w:p w14:paraId="6E028FAE">
      <w:pPr>
        <w:widowControl w:val="0"/>
        <w:spacing w:before="240"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二、内容不限于此，供应商可补充。</w:t>
      </w:r>
    </w:p>
    <w:p w14:paraId="45F18EAD">
      <w:pPr>
        <w:spacing w:line="400" w:lineRule="exact"/>
        <w:ind w:firstLine="482" w:firstLineChars="200"/>
        <w:rPr>
          <w:rFonts w:hint="eastAsia" w:ascii="宋体" w:hAnsi="宋体" w:cs="宋体"/>
          <w:bCs/>
          <w:sz w:val="24"/>
          <w:highlight w:val="none"/>
        </w:rPr>
      </w:pPr>
      <w:r>
        <w:rPr>
          <w:rFonts w:hint="eastAsia" w:ascii="宋体" w:hAnsi="宋体" w:eastAsia="宋体" w:cs="宋体"/>
          <w:b/>
          <w:bCs/>
          <w:kern w:val="2"/>
          <w:sz w:val="24"/>
          <w:szCs w:val="24"/>
          <w:lang w:val="en-US" w:eastAsia="zh-CN" w:bidi="ar-SA"/>
        </w:rPr>
        <w:t>注意：磋商方案是磋商小组对磋商响应文件进行评分的重要依据，请结合本项目竞争性磋商采购文件中关于采购项目要求及磋商办法进行认真编制。</w:t>
      </w:r>
    </w:p>
    <w:p w14:paraId="1F6ACD39">
      <w:pPr>
        <w:widowControl w:val="0"/>
        <w:spacing w:before="240" w:line="360" w:lineRule="auto"/>
        <w:ind w:firstLine="281" w:firstLineChars="100"/>
        <w:jc w:val="center"/>
        <w:rPr>
          <w:rFonts w:hint="eastAsia" w:ascii="宋体" w:hAnsi="宋体" w:eastAsia="宋体" w:cs="宋体"/>
          <w:bCs/>
          <w:sz w:val="36"/>
          <w:szCs w:val="36"/>
        </w:rPr>
      </w:pPr>
      <w:r>
        <w:rPr>
          <w:rFonts w:hint="eastAsia" w:ascii="宋体" w:hAnsi="宋体" w:eastAsia="宋体" w:cs="宋体"/>
          <w:b/>
          <w:bCs/>
          <w:color w:val="000000"/>
          <w:szCs w:val="28"/>
        </w:rPr>
        <w:br w:type="page"/>
      </w:r>
      <w:r>
        <w:rPr>
          <w:rFonts w:hint="eastAsia" w:ascii="宋体" w:hAnsi="宋体" w:cs="宋体"/>
          <w:b/>
          <w:bCs/>
          <w:color w:val="000000"/>
          <w:szCs w:val="28"/>
          <w:lang w:eastAsia="zh-CN"/>
        </w:rPr>
        <w:t>五</w:t>
      </w:r>
      <w:r>
        <w:rPr>
          <w:rFonts w:hint="eastAsia" w:ascii="宋体" w:hAnsi="宋体" w:eastAsia="宋体" w:cs="宋体"/>
          <w:b/>
          <w:color w:val="000000"/>
          <w:szCs w:val="28"/>
        </w:rPr>
        <w:t>、 商务偏离表</w:t>
      </w:r>
    </w:p>
    <w:p w14:paraId="292E323B">
      <w:pPr>
        <w:pStyle w:val="3"/>
        <w:spacing w:line="360" w:lineRule="auto"/>
        <w:ind w:firstLine="480" w:firstLineChars="200"/>
        <w:rPr>
          <w:rFonts w:hint="eastAsia" w:ascii="宋体" w:hAnsi="宋体" w:eastAsia="宋体" w:cs="宋体"/>
          <w:sz w:val="24"/>
          <w:szCs w:val="24"/>
        </w:rPr>
      </w:pPr>
    </w:p>
    <w:p w14:paraId="2ED857A6">
      <w:pPr>
        <w:adjustRightInd w:val="0"/>
        <w:spacing w:line="400" w:lineRule="exact"/>
        <w:ind w:left="140" w:leftChars="50"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rPr>
        <w:t xml:space="preserve">磋商供应商名称：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磋商项目编号：</w:t>
      </w:r>
      <w:r>
        <w:rPr>
          <w:rFonts w:hint="eastAsia" w:ascii="宋体" w:hAnsi="宋体" w:cs="宋体"/>
          <w:sz w:val="24"/>
          <w:szCs w:val="24"/>
          <w:lang w:eastAsia="zh-CN"/>
        </w:rPr>
        <w:t xml:space="preserve">JJZB-2025007 </w:t>
      </w:r>
    </w:p>
    <w:p w14:paraId="5D4D263F">
      <w:pPr>
        <w:adjustRightInd w:val="0"/>
        <w:spacing w:line="400" w:lineRule="exact"/>
        <w:ind w:left="140" w:leftChars="50" w:firstLine="240" w:firstLineChars="100"/>
        <w:jc w:val="left"/>
        <w:rPr>
          <w:rFonts w:hint="eastAsia" w:ascii="宋体" w:hAnsi="宋体" w:eastAsia="宋体" w:cs="宋体"/>
          <w:sz w:val="24"/>
          <w:szCs w:val="24"/>
        </w:rPr>
      </w:pPr>
    </w:p>
    <w:tbl>
      <w:tblPr>
        <w:tblStyle w:val="17"/>
        <w:tblpPr w:leftFromText="180" w:rightFromText="180" w:vertAnchor="text" w:horzAnchor="page" w:tblpXSpec="center" w:tblpY="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592"/>
        <w:gridCol w:w="2713"/>
        <w:gridCol w:w="2532"/>
      </w:tblGrid>
      <w:tr w14:paraId="525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bottom w:val="single" w:color="auto" w:sz="4" w:space="0"/>
            </w:tcBorders>
            <w:noWrap w:val="0"/>
            <w:vAlign w:val="center"/>
          </w:tcPr>
          <w:p w14:paraId="5C21DCA7">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592" w:type="dxa"/>
            <w:tcBorders>
              <w:bottom w:val="single" w:color="auto" w:sz="4" w:space="0"/>
            </w:tcBorders>
            <w:noWrap w:val="0"/>
            <w:vAlign w:val="center"/>
          </w:tcPr>
          <w:p w14:paraId="4340968C">
            <w:pPr>
              <w:spacing w:line="360" w:lineRule="auto"/>
              <w:jc w:val="center"/>
              <w:rPr>
                <w:rFonts w:hint="eastAsia" w:ascii="宋体" w:hAnsi="宋体" w:eastAsia="宋体" w:cs="宋体"/>
                <w:sz w:val="24"/>
              </w:rPr>
            </w:pPr>
            <w:r>
              <w:rPr>
                <w:rFonts w:hint="eastAsia" w:ascii="宋体" w:hAnsi="宋体" w:eastAsia="宋体" w:cs="宋体"/>
                <w:sz w:val="24"/>
              </w:rPr>
              <w:t>磋商采购商务要求</w:t>
            </w:r>
          </w:p>
        </w:tc>
        <w:tc>
          <w:tcPr>
            <w:tcW w:w="2713" w:type="dxa"/>
            <w:tcBorders>
              <w:bottom w:val="single" w:color="auto" w:sz="4" w:space="0"/>
            </w:tcBorders>
            <w:noWrap w:val="0"/>
            <w:vAlign w:val="center"/>
          </w:tcPr>
          <w:p w14:paraId="0EBD06D8">
            <w:pPr>
              <w:spacing w:line="360" w:lineRule="auto"/>
              <w:jc w:val="center"/>
              <w:rPr>
                <w:rFonts w:hint="eastAsia" w:ascii="宋体" w:hAnsi="宋体" w:eastAsia="宋体" w:cs="宋体"/>
                <w:sz w:val="24"/>
              </w:rPr>
            </w:pPr>
            <w:r>
              <w:rPr>
                <w:rFonts w:hint="eastAsia" w:ascii="宋体" w:hAnsi="宋体" w:eastAsia="宋体" w:cs="宋体"/>
                <w:sz w:val="24"/>
              </w:rPr>
              <w:t>磋商响应文件商务响应</w:t>
            </w:r>
          </w:p>
        </w:tc>
        <w:tc>
          <w:tcPr>
            <w:tcW w:w="2532" w:type="dxa"/>
            <w:tcBorders>
              <w:bottom w:val="single" w:color="auto" w:sz="4" w:space="0"/>
            </w:tcBorders>
            <w:noWrap w:val="0"/>
            <w:vAlign w:val="center"/>
          </w:tcPr>
          <w:p w14:paraId="199AC234">
            <w:pPr>
              <w:spacing w:line="360" w:lineRule="auto"/>
              <w:jc w:val="center"/>
              <w:rPr>
                <w:rFonts w:hint="eastAsia" w:ascii="宋体" w:hAnsi="宋体" w:eastAsia="宋体" w:cs="宋体"/>
                <w:sz w:val="24"/>
              </w:rPr>
            </w:pPr>
            <w:r>
              <w:rPr>
                <w:rFonts w:hint="eastAsia" w:ascii="宋体" w:hAnsi="宋体" w:eastAsia="宋体" w:cs="宋体"/>
                <w:sz w:val="24"/>
              </w:rPr>
              <w:t>偏离及其影响</w:t>
            </w:r>
          </w:p>
        </w:tc>
      </w:tr>
      <w:tr w14:paraId="300D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1AF41F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65C182BF">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F2951F0">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5B50127F">
            <w:pPr>
              <w:spacing w:line="360" w:lineRule="auto"/>
              <w:jc w:val="center"/>
              <w:rPr>
                <w:rFonts w:hint="eastAsia" w:ascii="宋体" w:hAnsi="宋体" w:eastAsia="宋体" w:cs="宋体"/>
                <w:sz w:val="32"/>
              </w:rPr>
            </w:pPr>
          </w:p>
        </w:tc>
      </w:tr>
      <w:tr w14:paraId="1884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5DA09DB">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6F98BF5">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14C13FD7">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20D03BE0">
            <w:pPr>
              <w:spacing w:line="360" w:lineRule="auto"/>
              <w:jc w:val="center"/>
              <w:rPr>
                <w:rFonts w:hint="eastAsia" w:ascii="宋体" w:hAnsi="宋体" w:eastAsia="宋体" w:cs="宋体"/>
                <w:sz w:val="32"/>
              </w:rPr>
            </w:pPr>
          </w:p>
        </w:tc>
      </w:tr>
      <w:tr w14:paraId="0759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0EDD29C2">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C57C476">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0AF966">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391E90C">
            <w:pPr>
              <w:spacing w:line="360" w:lineRule="auto"/>
              <w:jc w:val="center"/>
              <w:rPr>
                <w:rFonts w:hint="eastAsia" w:ascii="宋体" w:hAnsi="宋体" w:eastAsia="宋体" w:cs="宋体"/>
                <w:sz w:val="32"/>
              </w:rPr>
            </w:pPr>
          </w:p>
        </w:tc>
      </w:tr>
      <w:tr w14:paraId="5C1F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915A8D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72BA7C4">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033E06E">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0ED90E6C">
            <w:pPr>
              <w:spacing w:line="360" w:lineRule="auto"/>
              <w:jc w:val="center"/>
              <w:rPr>
                <w:rFonts w:hint="eastAsia" w:ascii="宋体" w:hAnsi="宋体" w:eastAsia="宋体" w:cs="宋体"/>
                <w:sz w:val="32"/>
              </w:rPr>
            </w:pPr>
          </w:p>
        </w:tc>
      </w:tr>
      <w:tr w14:paraId="13F7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3F36479D">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30F1C461">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E4ABF0B">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3CBAAF37">
            <w:pPr>
              <w:spacing w:line="360" w:lineRule="auto"/>
              <w:jc w:val="center"/>
              <w:rPr>
                <w:rFonts w:hint="eastAsia" w:ascii="宋体" w:hAnsi="宋体" w:eastAsia="宋体" w:cs="宋体"/>
                <w:sz w:val="32"/>
              </w:rPr>
            </w:pPr>
          </w:p>
        </w:tc>
      </w:tr>
      <w:tr w14:paraId="21DE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7D299E8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78C70280">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2156B9">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6D333372">
            <w:pPr>
              <w:spacing w:line="360" w:lineRule="auto"/>
              <w:jc w:val="center"/>
              <w:rPr>
                <w:rFonts w:hint="eastAsia" w:ascii="宋体" w:hAnsi="宋体" w:eastAsia="宋体" w:cs="宋体"/>
                <w:sz w:val="32"/>
              </w:rPr>
            </w:pPr>
          </w:p>
        </w:tc>
      </w:tr>
      <w:tr w14:paraId="1148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763728C">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0D4B6CD3">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032C3CD8">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5BBB852">
            <w:pPr>
              <w:spacing w:line="360" w:lineRule="auto"/>
              <w:jc w:val="center"/>
              <w:rPr>
                <w:rFonts w:hint="eastAsia" w:ascii="宋体" w:hAnsi="宋体" w:eastAsia="宋体" w:cs="宋体"/>
                <w:sz w:val="32"/>
              </w:rPr>
            </w:pPr>
          </w:p>
        </w:tc>
      </w:tr>
      <w:tr w14:paraId="709C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8492AF3">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677CF39">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AB7D2FB">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A6B22C3">
            <w:pPr>
              <w:spacing w:line="360" w:lineRule="auto"/>
              <w:jc w:val="center"/>
              <w:rPr>
                <w:rFonts w:hint="eastAsia" w:ascii="宋体" w:hAnsi="宋体" w:eastAsia="宋体" w:cs="宋体"/>
                <w:sz w:val="32"/>
              </w:rPr>
            </w:pPr>
          </w:p>
        </w:tc>
      </w:tr>
    </w:tbl>
    <w:p w14:paraId="43272862">
      <w:pPr>
        <w:spacing w:line="480" w:lineRule="exact"/>
        <w:ind w:left="280" w:leftChars="100" w:firstLine="360" w:firstLineChars="200"/>
        <w:rPr>
          <w:rFonts w:hint="eastAsia" w:ascii="宋体" w:hAnsi="宋体" w:eastAsia="宋体" w:cs="宋体"/>
          <w:sz w:val="18"/>
          <w:szCs w:val="18"/>
        </w:rPr>
      </w:pPr>
      <w:r>
        <w:rPr>
          <w:rFonts w:hint="eastAsia" w:ascii="宋体" w:hAnsi="宋体" w:eastAsia="宋体" w:cs="宋体"/>
          <w:sz w:val="18"/>
          <w:szCs w:val="18"/>
        </w:rPr>
        <w:t>注：1.本表应严格按照“第四章 商务要求”中所包含的商务条款填写；“磋商采购商务要求”须按磋商采购文件的商务条款填写；“磋商响应文件商务响应”为供应商所响应的商务条款；“偏离及其影响”填写：优于</w:t>
      </w:r>
      <w:r>
        <w:rPr>
          <w:rFonts w:hint="eastAsia" w:ascii="宋体" w:hAnsi="宋体" w:eastAsia="宋体" w:cs="宋体"/>
          <w:b w:val="0"/>
          <w:bCs/>
          <w:sz w:val="18"/>
          <w:szCs w:val="18"/>
        </w:rPr>
        <w:t>、</w:t>
      </w:r>
      <w:r>
        <w:rPr>
          <w:rFonts w:hint="eastAsia" w:ascii="宋体" w:hAnsi="宋体" w:eastAsia="宋体" w:cs="宋体"/>
          <w:sz w:val="18"/>
          <w:szCs w:val="18"/>
          <w:lang w:eastAsia="zh-CN"/>
        </w:rPr>
        <w:t>相同</w:t>
      </w:r>
      <w:r>
        <w:rPr>
          <w:rFonts w:hint="eastAsia" w:ascii="宋体" w:hAnsi="宋体" w:eastAsia="宋体" w:cs="宋体"/>
          <w:sz w:val="18"/>
          <w:szCs w:val="18"/>
        </w:rPr>
        <w:t>。</w:t>
      </w:r>
    </w:p>
    <w:p w14:paraId="2ED5141F">
      <w:pPr>
        <w:numPr>
          <w:ilvl w:val="0"/>
          <w:numId w:val="6"/>
        </w:numPr>
        <w:spacing w:line="480" w:lineRule="exact"/>
        <w:ind w:firstLine="900" w:firstLineChars="500"/>
        <w:rPr>
          <w:rFonts w:hint="eastAsia" w:ascii="宋体" w:hAnsi="宋体" w:eastAsia="宋体" w:cs="宋体"/>
          <w:sz w:val="18"/>
          <w:szCs w:val="18"/>
        </w:rPr>
      </w:pPr>
      <w:r>
        <w:rPr>
          <w:rFonts w:hint="eastAsia" w:ascii="宋体" w:hAnsi="宋体" w:eastAsia="宋体" w:cs="宋体"/>
          <w:sz w:val="18"/>
          <w:szCs w:val="18"/>
        </w:rPr>
        <w:t>供应商必须据实填写，不得虚假响应，否则将取消其磋商或成交资格，并按有关规定进处罚。</w:t>
      </w:r>
    </w:p>
    <w:p w14:paraId="50C853DF">
      <w:pPr>
        <w:pStyle w:val="7"/>
        <w:numPr>
          <w:ilvl w:val="0"/>
          <w:numId w:val="6"/>
        </w:numPr>
        <w:ind w:left="0" w:leftChars="0" w:firstLine="900" w:firstLineChars="500"/>
        <w:jc w:val="both"/>
        <w:rPr>
          <w:rFonts w:hint="eastAsia" w:ascii="宋体" w:hAnsi="宋体" w:eastAsia="宋体" w:cs="宋体"/>
          <w:b w:val="0"/>
          <w:spacing w:val="0"/>
          <w:kern w:val="2"/>
          <w:sz w:val="18"/>
          <w:szCs w:val="18"/>
          <w:lang w:val="en-US" w:eastAsia="zh-CN" w:bidi="ar-SA"/>
        </w:rPr>
      </w:pPr>
      <w:r>
        <w:rPr>
          <w:rFonts w:hint="eastAsia" w:ascii="宋体" w:hAnsi="宋体" w:eastAsia="宋体" w:cs="宋体"/>
          <w:b w:val="0"/>
          <w:spacing w:val="0"/>
          <w:kern w:val="2"/>
          <w:sz w:val="18"/>
          <w:szCs w:val="18"/>
          <w:lang w:val="en-US" w:eastAsia="zh-CN" w:bidi="ar-SA"/>
        </w:rPr>
        <w:t>本表不允许负偏离，任何负偏离视为重大负偏离。</w:t>
      </w:r>
    </w:p>
    <w:p w14:paraId="546F81A5">
      <w:pPr>
        <w:adjustRightInd w:val="0"/>
        <w:spacing w:line="360" w:lineRule="auto"/>
        <w:ind w:firstLine="840" w:firstLineChars="350"/>
        <w:jc w:val="left"/>
        <w:rPr>
          <w:rFonts w:hint="eastAsia" w:ascii="宋体" w:hAnsi="宋体" w:eastAsia="宋体" w:cs="宋体"/>
          <w:bCs/>
          <w:sz w:val="24"/>
        </w:rPr>
      </w:pPr>
    </w:p>
    <w:p w14:paraId="701FD2CF">
      <w:pPr>
        <w:adjustRightInd w:val="0"/>
        <w:spacing w:line="400" w:lineRule="exact"/>
        <w:ind w:left="140" w:leftChars="50"/>
        <w:jc w:val="left"/>
        <w:rPr>
          <w:rFonts w:hint="eastAsia" w:ascii="宋体" w:hAnsi="宋体" w:eastAsia="宋体" w:cs="宋体"/>
          <w:sz w:val="24"/>
          <w:szCs w:val="24"/>
        </w:rPr>
      </w:pPr>
      <w:r>
        <w:rPr>
          <w:rFonts w:hint="eastAsia" w:ascii="宋体" w:hAnsi="宋体" w:eastAsia="宋体" w:cs="宋体"/>
          <w:sz w:val="24"/>
          <w:szCs w:val="24"/>
        </w:rPr>
        <w:t xml:space="preserve">供应商（单位盖章）：           </w:t>
      </w:r>
    </w:p>
    <w:p w14:paraId="46B8BE98">
      <w:pPr>
        <w:adjustRightInd w:val="0"/>
        <w:spacing w:line="400" w:lineRule="exact"/>
        <w:ind w:left="140" w:leftChars="50"/>
        <w:jc w:val="left"/>
        <w:rPr>
          <w:rFonts w:hint="eastAsia" w:ascii="宋体" w:hAnsi="宋体" w:eastAsia="宋体" w:cs="宋体"/>
          <w:sz w:val="24"/>
          <w:szCs w:val="24"/>
        </w:rPr>
      </w:pPr>
    </w:p>
    <w:p w14:paraId="3BC752BB">
      <w:pPr>
        <w:adjustRightInd w:val="0"/>
        <w:spacing w:line="400" w:lineRule="exact"/>
        <w:ind w:left="140" w:leftChars="50"/>
        <w:jc w:val="left"/>
        <w:rPr>
          <w:rFonts w:hint="eastAsia" w:ascii="宋体" w:hAnsi="宋体" w:eastAsia="宋体" w:cs="宋体"/>
          <w:sz w:val="24"/>
          <w:szCs w:val="24"/>
        </w:rPr>
      </w:pPr>
      <w:r>
        <w:rPr>
          <w:rFonts w:hint="eastAsia" w:ascii="宋体" w:hAnsi="宋体" w:eastAsia="宋体" w:cs="宋体"/>
          <w:sz w:val="24"/>
          <w:szCs w:val="24"/>
        </w:rPr>
        <w:t>法定代表人或被授权代表（</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26FEAEDE">
      <w:pPr>
        <w:spacing w:line="360" w:lineRule="auto"/>
        <w:outlineLvl w:val="1"/>
        <w:rPr>
          <w:rFonts w:hint="eastAsia" w:ascii="宋体" w:hAnsi="宋体" w:eastAsia="宋体" w:cs="宋体"/>
          <w:sz w:val="24"/>
          <w:szCs w:val="24"/>
        </w:rPr>
      </w:pPr>
    </w:p>
    <w:p w14:paraId="2D9EE340">
      <w:pPr>
        <w:spacing w:line="360" w:lineRule="auto"/>
        <w:ind w:firstLine="120" w:firstLineChars="50"/>
        <w:outlineLvl w:val="1"/>
        <w:rPr>
          <w:rFonts w:hint="eastAsia" w:ascii="宋体" w:hAnsi="宋体" w:eastAsia="宋体" w:cs="宋体"/>
          <w:sz w:val="24"/>
          <w:szCs w:val="24"/>
        </w:rPr>
      </w:pPr>
      <w:r>
        <w:rPr>
          <w:rFonts w:hint="eastAsia" w:ascii="宋体" w:hAnsi="宋体" w:eastAsia="宋体" w:cs="宋体"/>
          <w:sz w:val="24"/>
          <w:szCs w:val="24"/>
        </w:rPr>
        <w:t>日期：     年   月   日</w:t>
      </w:r>
    </w:p>
    <w:p w14:paraId="173C9BAB">
      <w:pPr>
        <w:jc w:val="center"/>
        <w:rPr>
          <w:rFonts w:hint="eastAsia" w:ascii="宋体" w:hAnsi="宋体" w:eastAsia="宋体" w:cs="宋体"/>
          <w:b/>
          <w:sz w:val="32"/>
          <w:szCs w:val="32"/>
        </w:rPr>
      </w:pPr>
    </w:p>
    <w:p w14:paraId="2E4B16A8">
      <w:pPr>
        <w:rPr>
          <w:rFonts w:hint="eastAsia" w:ascii="宋体" w:hAnsi="宋体" w:eastAsia="宋体" w:cs="宋体"/>
          <w:b/>
          <w:sz w:val="32"/>
          <w:szCs w:val="32"/>
        </w:rPr>
      </w:pPr>
    </w:p>
    <w:p w14:paraId="532F529C">
      <w:pPr>
        <w:rPr>
          <w:rFonts w:hint="eastAsia" w:ascii="宋体" w:hAnsi="宋体" w:eastAsia="宋体" w:cs="宋体"/>
          <w:b/>
          <w:sz w:val="32"/>
          <w:szCs w:val="32"/>
        </w:rPr>
      </w:pPr>
    </w:p>
    <w:p w14:paraId="5C77B1BF">
      <w:pPr>
        <w:jc w:val="center"/>
        <w:rPr>
          <w:rFonts w:hint="eastAsia" w:ascii="宋体" w:hAnsi="宋体" w:eastAsia="宋体" w:cs="宋体"/>
          <w:b/>
          <w:sz w:val="24"/>
          <w:szCs w:val="24"/>
        </w:rPr>
      </w:pPr>
      <w:r>
        <w:rPr>
          <w:rFonts w:hint="eastAsia" w:ascii="宋体" w:hAnsi="宋体" w:cs="宋体"/>
          <w:b/>
          <w:color w:val="000000"/>
          <w:szCs w:val="28"/>
          <w:lang w:eastAsia="zh-CN"/>
        </w:rPr>
        <w:t>六</w:t>
      </w:r>
      <w:r>
        <w:rPr>
          <w:rFonts w:hint="eastAsia" w:ascii="宋体" w:hAnsi="宋体" w:eastAsia="宋体" w:cs="宋体"/>
          <w:b/>
          <w:color w:val="000000"/>
          <w:szCs w:val="28"/>
        </w:rPr>
        <w:t>、</w:t>
      </w:r>
      <w:r>
        <w:rPr>
          <w:rFonts w:hint="eastAsia" w:ascii="宋体" w:hAnsi="宋体" w:eastAsia="宋体" w:cs="宋体"/>
          <w:b/>
          <w:color w:val="000000"/>
          <w:szCs w:val="28"/>
          <w:lang w:eastAsia="zh-CN"/>
        </w:rPr>
        <w:t>供应商</w:t>
      </w:r>
      <w:r>
        <w:rPr>
          <w:rFonts w:hint="eastAsia" w:ascii="宋体" w:hAnsi="宋体" w:eastAsia="宋体" w:cs="宋体"/>
          <w:b/>
          <w:color w:val="000000"/>
          <w:szCs w:val="28"/>
        </w:rPr>
        <w:t>资格证明文件</w:t>
      </w:r>
    </w:p>
    <w:p w14:paraId="5097774F">
      <w:pPr>
        <w:pStyle w:val="21"/>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磋商供应商参加本次磋商必须提供以下资格证明文件：</w:t>
      </w:r>
    </w:p>
    <w:p w14:paraId="18E6354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1、磋商供应商基本情况表</w:t>
      </w:r>
    </w:p>
    <w:p w14:paraId="0DEAED1F">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2、供应商为合法注册的法人或其他组织或自然人，提供营业执照（或事业法人证）,自然人的身份证明</w:t>
      </w:r>
    </w:p>
    <w:p w14:paraId="7F1303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3、法定代表人授权书及被授权人身份证（法定代表人直接参与，须提供法定代表人身份证明）；</w:t>
      </w:r>
    </w:p>
    <w:p w14:paraId="72F9CB93">
      <w:pPr>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供应商应具备有效的《食品经营许可证》；</w:t>
      </w:r>
    </w:p>
    <w:p w14:paraId="367C281C">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、供应商在近三年经营活动中没有重大违法记录的声明</w:t>
      </w:r>
    </w:p>
    <w:p w14:paraId="1FA01C0C">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、具备履行合同所必须的设备和专业技术能力的说明及承诺</w:t>
      </w:r>
    </w:p>
    <w:p w14:paraId="554AE4C7">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、财务状况报告</w:t>
      </w:r>
    </w:p>
    <w:p w14:paraId="09F848E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、税收缴纳证明</w:t>
      </w:r>
    </w:p>
    <w:p w14:paraId="3D4DC0BE">
      <w:pPr>
        <w:adjustRightInd w:val="0"/>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9、社会保障资金缴纳证明</w:t>
      </w:r>
    </w:p>
    <w:p w14:paraId="2CF7350E">
      <w:pPr>
        <w:adjustRightInd w:val="0"/>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10、本项目不接受联合体磋商（提供非联合体承诺书）；</w:t>
      </w:r>
    </w:p>
    <w:p w14:paraId="78CD396F">
      <w:pPr>
        <w:adjustRightInd w:val="0"/>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11、单位负责人为同一人或者存在控股、管理关系的不同单位不得同时投标（提供供应商企业关系关联承诺书）；</w:t>
      </w:r>
    </w:p>
    <w:p w14:paraId="1E7578D4">
      <w:pPr>
        <w:adjustRightInd w:val="0"/>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12、磋商保证金缴纳凭证（附开户许可证或基本账户存款信息）；</w:t>
      </w:r>
    </w:p>
    <w:p w14:paraId="0A72B19F">
      <w:pPr>
        <w:adjustRightInd w:val="0"/>
        <w:snapToGrid w:val="0"/>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sz w:val="24"/>
          <w:szCs w:val="24"/>
          <w:lang w:val="en-US" w:eastAsia="zh-CN"/>
        </w:rPr>
        <w:t xml:space="preserve">13、中小企业声明函（本项目专门面向中小企业采购，非中小企业单位（监狱企业、残疾人福利单位除外）不得参与）。 </w:t>
      </w:r>
    </w:p>
    <w:p w14:paraId="12AB846E">
      <w:pPr>
        <w:adjustRightInd w:val="0"/>
        <w:snapToGrid w:val="0"/>
        <w:spacing w:line="52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（注：附复印件加盖公章。）</w:t>
      </w:r>
    </w:p>
    <w:p w14:paraId="593F378F">
      <w:pPr>
        <w:jc w:val="center"/>
        <w:rPr>
          <w:rFonts w:hint="eastAsia" w:ascii="宋体" w:hAnsi="宋体" w:eastAsia="宋体" w:cs="宋体"/>
          <w:b/>
          <w:sz w:val="24"/>
          <w:szCs w:val="24"/>
        </w:rPr>
      </w:pPr>
    </w:p>
    <w:p w14:paraId="5DC9DA81">
      <w:pPr>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1、磋商供应商基本情况表</w:t>
      </w:r>
    </w:p>
    <w:tbl>
      <w:tblPr>
        <w:tblStyle w:val="17"/>
        <w:tblpPr w:leftFromText="180" w:rightFromText="180" w:vertAnchor="page" w:horzAnchor="margin" w:tblpY="2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36"/>
        <w:gridCol w:w="1220"/>
        <w:gridCol w:w="1441"/>
        <w:gridCol w:w="1427"/>
        <w:gridCol w:w="1256"/>
        <w:gridCol w:w="1163"/>
      </w:tblGrid>
      <w:tr w14:paraId="0ED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02FC4051">
            <w:pPr>
              <w:jc w:val="center"/>
              <w:rPr>
                <w:rFonts w:hint="eastAsia" w:ascii="宋体" w:hAnsi="宋体" w:eastAsia="宋体" w:cs="宋体"/>
                <w:sz w:val="21"/>
                <w:szCs w:val="21"/>
              </w:rPr>
            </w:pPr>
            <w:r>
              <w:rPr>
                <w:rFonts w:hint="eastAsia" w:ascii="宋体" w:hAnsi="宋体" w:eastAsia="宋体" w:cs="宋体"/>
                <w:sz w:val="21"/>
                <w:szCs w:val="21"/>
              </w:rPr>
              <w:t>磋商供应商名称</w:t>
            </w:r>
          </w:p>
        </w:tc>
        <w:tc>
          <w:tcPr>
            <w:tcW w:w="7543" w:type="dxa"/>
            <w:gridSpan w:val="6"/>
            <w:noWrap w:val="0"/>
            <w:vAlign w:val="center"/>
          </w:tcPr>
          <w:p w14:paraId="02309A09">
            <w:pPr>
              <w:jc w:val="center"/>
              <w:rPr>
                <w:rFonts w:hint="eastAsia" w:ascii="宋体" w:hAnsi="宋体" w:eastAsia="宋体" w:cs="宋体"/>
                <w:sz w:val="21"/>
                <w:szCs w:val="21"/>
              </w:rPr>
            </w:pPr>
          </w:p>
        </w:tc>
      </w:tr>
      <w:tr w14:paraId="726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5CF5E28">
            <w:pPr>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697" w:type="dxa"/>
            <w:gridSpan w:val="3"/>
            <w:noWrap w:val="0"/>
            <w:vAlign w:val="center"/>
          </w:tcPr>
          <w:p w14:paraId="6C7EAB83">
            <w:pPr>
              <w:jc w:val="center"/>
              <w:rPr>
                <w:rFonts w:hint="eastAsia" w:ascii="宋体" w:hAnsi="宋体" w:eastAsia="宋体" w:cs="宋体"/>
                <w:sz w:val="21"/>
                <w:szCs w:val="21"/>
              </w:rPr>
            </w:pPr>
          </w:p>
        </w:tc>
        <w:tc>
          <w:tcPr>
            <w:tcW w:w="1427" w:type="dxa"/>
            <w:noWrap w:val="0"/>
            <w:vAlign w:val="center"/>
          </w:tcPr>
          <w:p w14:paraId="12F16EDB">
            <w:pPr>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419" w:type="dxa"/>
            <w:gridSpan w:val="2"/>
            <w:noWrap w:val="0"/>
            <w:vAlign w:val="center"/>
          </w:tcPr>
          <w:p w14:paraId="1791F795">
            <w:pPr>
              <w:jc w:val="center"/>
              <w:rPr>
                <w:rFonts w:hint="eastAsia" w:ascii="宋体" w:hAnsi="宋体" w:eastAsia="宋体" w:cs="宋体"/>
                <w:sz w:val="21"/>
                <w:szCs w:val="21"/>
              </w:rPr>
            </w:pPr>
          </w:p>
        </w:tc>
      </w:tr>
      <w:tr w14:paraId="7C9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vMerge w:val="restart"/>
            <w:noWrap w:val="0"/>
            <w:vAlign w:val="center"/>
          </w:tcPr>
          <w:p w14:paraId="6D2152D9">
            <w:pPr>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1036" w:type="dxa"/>
            <w:noWrap w:val="0"/>
            <w:vAlign w:val="center"/>
          </w:tcPr>
          <w:p w14:paraId="788A2BB5">
            <w:pPr>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661" w:type="dxa"/>
            <w:gridSpan w:val="2"/>
            <w:noWrap w:val="0"/>
            <w:vAlign w:val="center"/>
          </w:tcPr>
          <w:p w14:paraId="4B1E750A">
            <w:pPr>
              <w:jc w:val="center"/>
              <w:rPr>
                <w:rFonts w:hint="eastAsia" w:ascii="宋体" w:hAnsi="宋体" w:eastAsia="宋体" w:cs="宋体"/>
                <w:sz w:val="21"/>
                <w:szCs w:val="21"/>
              </w:rPr>
            </w:pPr>
          </w:p>
        </w:tc>
        <w:tc>
          <w:tcPr>
            <w:tcW w:w="1427" w:type="dxa"/>
            <w:noWrap w:val="0"/>
            <w:vAlign w:val="center"/>
          </w:tcPr>
          <w:p w14:paraId="43C31D00">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2419" w:type="dxa"/>
            <w:gridSpan w:val="2"/>
            <w:noWrap w:val="0"/>
            <w:vAlign w:val="center"/>
          </w:tcPr>
          <w:p w14:paraId="0FF8E735">
            <w:pPr>
              <w:jc w:val="center"/>
              <w:rPr>
                <w:rFonts w:hint="eastAsia" w:ascii="宋体" w:hAnsi="宋体" w:eastAsia="宋体" w:cs="宋体"/>
                <w:sz w:val="21"/>
                <w:szCs w:val="21"/>
              </w:rPr>
            </w:pPr>
          </w:p>
        </w:tc>
      </w:tr>
      <w:tr w14:paraId="7BEA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09" w:type="dxa"/>
            <w:vMerge w:val="continue"/>
            <w:noWrap w:val="0"/>
            <w:vAlign w:val="center"/>
          </w:tcPr>
          <w:p w14:paraId="46841064">
            <w:pPr>
              <w:jc w:val="center"/>
              <w:rPr>
                <w:rFonts w:hint="eastAsia" w:ascii="宋体" w:hAnsi="宋体" w:eastAsia="宋体" w:cs="宋体"/>
                <w:sz w:val="21"/>
                <w:szCs w:val="21"/>
              </w:rPr>
            </w:pPr>
          </w:p>
        </w:tc>
        <w:tc>
          <w:tcPr>
            <w:tcW w:w="1036" w:type="dxa"/>
            <w:noWrap w:val="0"/>
            <w:vAlign w:val="center"/>
          </w:tcPr>
          <w:p w14:paraId="248A208F">
            <w:pPr>
              <w:jc w:val="center"/>
              <w:rPr>
                <w:rFonts w:hint="eastAsia" w:ascii="宋体" w:hAnsi="宋体" w:eastAsia="宋体" w:cs="宋体"/>
                <w:sz w:val="21"/>
                <w:szCs w:val="21"/>
              </w:rPr>
            </w:pPr>
            <w:r>
              <w:rPr>
                <w:rFonts w:hint="eastAsia" w:ascii="宋体" w:hAnsi="宋体" w:eastAsia="宋体" w:cs="宋体"/>
                <w:sz w:val="21"/>
                <w:szCs w:val="21"/>
              </w:rPr>
              <w:t>传真</w:t>
            </w:r>
          </w:p>
        </w:tc>
        <w:tc>
          <w:tcPr>
            <w:tcW w:w="2661" w:type="dxa"/>
            <w:gridSpan w:val="2"/>
            <w:noWrap w:val="0"/>
            <w:vAlign w:val="center"/>
          </w:tcPr>
          <w:p w14:paraId="4FE3597C">
            <w:pPr>
              <w:jc w:val="center"/>
              <w:rPr>
                <w:rFonts w:hint="eastAsia" w:ascii="宋体" w:hAnsi="宋体" w:eastAsia="宋体" w:cs="宋体"/>
                <w:sz w:val="21"/>
                <w:szCs w:val="21"/>
              </w:rPr>
            </w:pPr>
          </w:p>
        </w:tc>
        <w:tc>
          <w:tcPr>
            <w:tcW w:w="1427" w:type="dxa"/>
            <w:noWrap w:val="0"/>
            <w:vAlign w:val="center"/>
          </w:tcPr>
          <w:p w14:paraId="3D4F7207">
            <w:pPr>
              <w:jc w:val="center"/>
              <w:rPr>
                <w:rFonts w:hint="eastAsia" w:ascii="宋体" w:hAnsi="宋体" w:eastAsia="宋体" w:cs="宋体"/>
                <w:sz w:val="21"/>
                <w:szCs w:val="21"/>
              </w:rPr>
            </w:pPr>
            <w:r>
              <w:rPr>
                <w:rFonts w:hint="eastAsia" w:ascii="宋体" w:hAnsi="宋体" w:eastAsia="宋体" w:cs="宋体"/>
                <w:sz w:val="21"/>
                <w:szCs w:val="21"/>
              </w:rPr>
              <w:t>网址</w:t>
            </w:r>
          </w:p>
        </w:tc>
        <w:tc>
          <w:tcPr>
            <w:tcW w:w="2419" w:type="dxa"/>
            <w:gridSpan w:val="2"/>
            <w:noWrap w:val="0"/>
            <w:vAlign w:val="center"/>
          </w:tcPr>
          <w:p w14:paraId="7648CF60">
            <w:pPr>
              <w:jc w:val="center"/>
              <w:rPr>
                <w:rFonts w:hint="eastAsia" w:ascii="宋体" w:hAnsi="宋体" w:eastAsia="宋体" w:cs="宋体"/>
                <w:sz w:val="21"/>
                <w:szCs w:val="21"/>
              </w:rPr>
            </w:pPr>
          </w:p>
        </w:tc>
      </w:tr>
      <w:tr w14:paraId="5AD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562DA7CF">
            <w:pPr>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7543" w:type="dxa"/>
            <w:gridSpan w:val="6"/>
            <w:noWrap w:val="0"/>
            <w:vAlign w:val="center"/>
          </w:tcPr>
          <w:p w14:paraId="1A38F388">
            <w:pPr>
              <w:jc w:val="center"/>
              <w:rPr>
                <w:rFonts w:hint="eastAsia" w:ascii="宋体" w:hAnsi="宋体" w:eastAsia="宋体" w:cs="宋体"/>
                <w:sz w:val="21"/>
                <w:szCs w:val="21"/>
              </w:rPr>
            </w:pPr>
          </w:p>
        </w:tc>
      </w:tr>
      <w:tr w14:paraId="571C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09" w:type="dxa"/>
            <w:noWrap w:val="0"/>
            <w:vAlign w:val="center"/>
          </w:tcPr>
          <w:p w14:paraId="4BBCA5F3">
            <w:pPr>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036" w:type="dxa"/>
            <w:noWrap w:val="0"/>
            <w:vAlign w:val="center"/>
          </w:tcPr>
          <w:p w14:paraId="3717A81D">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20" w:type="dxa"/>
            <w:noWrap w:val="0"/>
            <w:vAlign w:val="center"/>
          </w:tcPr>
          <w:p w14:paraId="417D3DE0">
            <w:pPr>
              <w:jc w:val="center"/>
              <w:rPr>
                <w:rFonts w:hint="eastAsia" w:ascii="宋体" w:hAnsi="宋体" w:eastAsia="宋体" w:cs="宋体"/>
                <w:sz w:val="21"/>
                <w:szCs w:val="21"/>
              </w:rPr>
            </w:pPr>
          </w:p>
        </w:tc>
        <w:tc>
          <w:tcPr>
            <w:tcW w:w="1441" w:type="dxa"/>
            <w:noWrap w:val="0"/>
            <w:vAlign w:val="center"/>
          </w:tcPr>
          <w:p w14:paraId="451DF94D">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427" w:type="dxa"/>
            <w:noWrap w:val="0"/>
            <w:vAlign w:val="center"/>
          </w:tcPr>
          <w:p w14:paraId="13B7B3E4">
            <w:pPr>
              <w:jc w:val="center"/>
              <w:rPr>
                <w:rFonts w:hint="eastAsia" w:ascii="宋体" w:hAnsi="宋体" w:eastAsia="宋体" w:cs="宋体"/>
                <w:sz w:val="21"/>
                <w:szCs w:val="21"/>
              </w:rPr>
            </w:pPr>
          </w:p>
        </w:tc>
        <w:tc>
          <w:tcPr>
            <w:tcW w:w="1256" w:type="dxa"/>
            <w:noWrap w:val="0"/>
            <w:vAlign w:val="center"/>
          </w:tcPr>
          <w:p w14:paraId="609EE1BB">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1163" w:type="dxa"/>
            <w:noWrap w:val="0"/>
            <w:vAlign w:val="center"/>
          </w:tcPr>
          <w:p w14:paraId="76C6003F">
            <w:pPr>
              <w:jc w:val="center"/>
              <w:rPr>
                <w:rFonts w:hint="eastAsia" w:ascii="宋体" w:hAnsi="宋体" w:eastAsia="宋体" w:cs="宋体"/>
                <w:sz w:val="21"/>
                <w:szCs w:val="21"/>
              </w:rPr>
            </w:pPr>
          </w:p>
        </w:tc>
      </w:tr>
      <w:tr w14:paraId="59E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9" w:type="dxa"/>
            <w:noWrap w:val="0"/>
            <w:vAlign w:val="center"/>
          </w:tcPr>
          <w:p w14:paraId="16998FB1">
            <w:pPr>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36" w:type="dxa"/>
            <w:noWrap w:val="0"/>
            <w:vAlign w:val="center"/>
          </w:tcPr>
          <w:p w14:paraId="545CAA99">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20" w:type="dxa"/>
            <w:noWrap w:val="0"/>
            <w:vAlign w:val="center"/>
          </w:tcPr>
          <w:p w14:paraId="791A22F8">
            <w:pPr>
              <w:jc w:val="center"/>
              <w:rPr>
                <w:rFonts w:hint="eastAsia" w:ascii="宋体" w:hAnsi="宋体" w:eastAsia="宋体" w:cs="宋体"/>
                <w:sz w:val="21"/>
                <w:szCs w:val="21"/>
              </w:rPr>
            </w:pPr>
          </w:p>
        </w:tc>
        <w:tc>
          <w:tcPr>
            <w:tcW w:w="1441" w:type="dxa"/>
            <w:noWrap w:val="0"/>
            <w:vAlign w:val="center"/>
          </w:tcPr>
          <w:p w14:paraId="7EB2E7F1">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427" w:type="dxa"/>
            <w:noWrap w:val="0"/>
            <w:vAlign w:val="center"/>
          </w:tcPr>
          <w:p w14:paraId="2BEC8599">
            <w:pPr>
              <w:jc w:val="center"/>
              <w:rPr>
                <w:rFonts w:hint="eastAsia" w:ascii="宋体" w:hAnsi="宋体" w:eastAsia="宋体" w:cs="宋体"/>
                <w:sz w:val="21"/>
                <w:szCs w:val="21"/>
              </w:rPr>
            </w:pPr>
          </w:p>
        </w:tc>
        <w:tc>
          <w:tcPr>
            <w:tcW w:w="1256" w:type="dxa"/>
            <w:noWrap w:val="0"/>
            <w:vAlign w:val="center"/>
          </w:tcPr>
          <w:p w14:paraId="678AD44E">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1163" w:type="dxa"/>
            <w:noWrap w:val="0"/>
            <w:vAlign w:val="center"/>
          </w:tcPr>
          <w:p w14:paraId="72D7A78F">
            <w:pPr>
              <w:jc w:val="center"/>
              <w:rPr>
                <w:rFonts w:hint="eastAsia" w:ascii="宋体" w:hAnsi="宋体" w:eastAsia="宋体" w:cs="宋体"/>
                <w:sz w:val="21"/>
                <w:szCs w:val="21"/>
              </w:rPr>
            </w:pPr>
          </w:p>
        </w:tc>
      </w:tr>
      <w:tr w14:paraId="3EAF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DA2B546">
            <w:pPr>
              <w:jc w:val="center"/>
              <w:rPr>
                <w:rFonts w:hint="eastAsia" w:ascii="宋体" w:hAnsi="宋体" w:eastAsia="宋体" w:cs="宋体"/>
                <w:sz w:val="21"/>
                <w:szCs w:val="21"/>
              </w:rPr>
            </w:pPr>
            <w:r>
              <w:rPr>
                <w:rFonts w:hint="eastAsia" w:ascii="宋体" w:hAnsi="宋体" w:eastAsia="宋体" w:cs="宋体"/>
                <w:sz w:val="21"/>
                <w:szCs w:val="21"/>
              </w:rPr>
              <w:t>企业资质等级</w:t>
            </w:r>
          </w:p>
        </w:tc>
        <w:tc>
          <w:tcPr>
            <w:tcW w:w="2256" w:type="dxa"/>
            <w:gridSpan w:val="2"/>
            <w:noWrap w:val="0"/>
            <w:vAlign w:val="center"/>
          </w:tcPr>
          <w:p w14:paraId="59A085D7">
            <w:pPr>
              <w:jc w:val="center"/>
              <w:rPr>
                <w:rFonts w:hint="eastAsia" w:ascii="宋体" w:hAnsi="宋体" w:eastAsia="宋体" w:cs="宋体"/>
                <w:sz w:val="21"/>
                <w:szCs w:val="21"/>
              </w:rPr>
            </w:pPr>
          </w:p>
        </w:tc>
        <w:tc>
          <w:tcPr>
            <w:tcW w:w="1441" w:type="dxa"/>
            <w:noWrap w:val="0"/>
            <w:vAlign w:val="center"/>
          </w:tcPr>
          <w:p w14:paraId="790F190F">
            <w:pPr>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3846" w:type="dxa"/>
            <w:gridSpan w:val="3"/>
            <w:noWrap w:val="0"/>
            <w:vAlign w:val="center"/>
          </w:tcPr>
          <w:p w14:paraId="14F08D39">
            <w:pPr>
              <w:jc w:val="center"/>
              <w:rPr>
                <w:rFonts w:hint="eastAsia" w:ascii="宋体" w:hAnsi="宋体" w:eastAsia="宋体" w:cs="宋体"/>
                <w:sz w:val="21"/>
                <w:szCs w:val="21"/>
              </w:rPr>
            </w:pPr>
          </w:p>
        </w:tc>
      </w:tr>
      <w:tr w14:paraId="2ECA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0B882311">
            <w:pPr>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2256" w:type="dxa"/>
            <w:gridSpan w:val="2"/>
            <w:noWrap w:val="0"/>
            <w:vAlign w:val="center"/>
          </w:tcPr>
          <w:p w14:paraId="1BAC7273">
            <w:pPr>
              <w:jc w:val="right"/>
              <w:rPr>
                <w:rFonts w:hint="eastAsia" w:ascii="宋体" w:hAnsi="宋体" w:eastAsia="宋体" w:cs="宋体"/>
                <w:sz w:val="21"/>
                <w:szCs w:val="21"/>
              </w:rPr>
            </w:pPr>
            <w:r>
              <w:rPr>
                <w:rFonts w:hint="eastAsia" w:ascii="宋体" w:hAnsi="宋体" w:eastAsia="宋体" w:cs="宋体"/>
                <w:sz w:val="21"/>
                <w:szCs w:val="21"/>
              </w:rPr>
              <w:t>万元</w:t>
            </w:r>
          </w:p>
        </w:tc>
        <w:tc>
          <w:tcPr>
            <w:tcW w:w="1441" w:type="dxa"/>
            <w:vMerge w:val="restart"/>
            <w:noWrap w:val="0"/>
            <w:vAlign w:val="center"/>
          </w:tcPr>
          <w:p w14:paraId="3E568652">
            <w:pPr>
              <w:jc w:val="center"/>
              <w:rPr>
                <w:rFonts w:hint="eastAsia" w:ascii="宋体" w:hAnsi="宋体" w:eastAsia="宋体" w:cs="宋体"/>
                <w:sz w:val="21"/>
                <w:szCs w:val="21"/>
              </w:rPr>
            </w:pPr>
            <w:r>
              <w:rPr>
                <w:rFonts w:hint="eastAsia" w:ascii="宋体" w:hAnsi="宋体" w:eastAsia="宋体" w:cs="宋体"/>
                <w:sz w:val="21"/>
                <w:szCs w:val="21"/>
              </w:rPr>
              <w:t>固定资产</w:t>
            </w:r>
          </w:p>
        </w:tc>
        <w:tc>
          <w:tcPr>
            <w:tcW w:w="1427" w:type="dxa"/>
            <w:noWrap w:val="0"/>
            <w:vAlign w:val="center"/>
          </w:tcPr>
          <w:p w14:paraId="213238AA">
            <w:pPr>
              <w:jc w:val="center"/>
              <w:rPr>
                <w:rFonts w:hint="eastAsia" w:ascii="宋体" w:hAnsi="宋体" w:eastAsia="宋体" w:cs="宋体"/>
                <w:sz w:val="21"/>
                <w:szCs w:val="21"/>
              </w:rPr>
            </w:pPr>
            <w:r>
              <w:rPr>
                <w:rFonts w:hint="eastAsia" w:ascii="宋体" w:hAnsi="宋体" w:eastAsia="宋体" w:cs="宋体"/>
                <w:sz w:val="21"/>
                <w:szCs w:val="21"/>
              </w:rPr>
              <w:t>原值</w:t>
            </w:r>
          </w:p>
        </w:tc>
        <w:tc>
          <w:tcPr>
            <w:tcW w:w="2419" w:type="dxa"/>
            <w:gridSpan w:val="2"/>
            <w:noWrap w:val="0"/>
            <w:vAlign w:val="center"/>
          </w:tcPr>
          <w:p w14:paraId="45E37FC8">
            <w:pPr>
              <w:jc w:val="right"/>
              <w:rPr>
                <w:rFonts w:hint="eastAsia" w:ascii="宋体" w:hAnsi="宋体" w:eastAsia="宋体" w:cs="宋体"/>
                <w:sz w:val="21"/>
                <w:szCs w:val="21"/>
              </w:rPr>
            </w:pPr>
            <w:r>
              <w:rPr>
                <w:rFonts w:hint="eastAsia" w:ascii="宋体" w:hAnsi="宋体" w:eastAsia="宋体" w:cs="宋体"/>
                <w:sz w:val="21"/>
                <w:szCs w:val="21"/>
              </w:rPr>
              <w:t xml:space="preserve">    万元</w:t>
            </w:r>
          </w:p>
        </w:tc>
      </w:tr>
      <w:tr w14:paraId="7806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1DAD433C">
            <w:pPr>
              <w:jc w:val="center"/>
              <w:rPr>
                <w:rFonts w:hint="eastAsia" w:ascii="宋体" w:hAnsi="宋体" w:eastAsia="宋体" w:cs="宋体"/>
                <w:sz w:val="21"/>
                <w:szCs w:val="21"/>
              </w:rPr>
            </w:pPr>
            <w:r>
              <w:rPr>
                <w:rFonts w:hint="eastAsia" w:ascii="宋体" w:hAnsi="宋体" w:eastAsia="宋体" w:cs="宋体"/>
                <w:sz w:val="21"/>
                <w:szCs w:val="21"/>
              </w:rPr>
              <w:t>流动资金</w:t>
            </w:r>
          </w:p>
        </w:tc>
        <w:tc>
          <w:tcPr>
            <w:tcW w:w="2256" w:type="dxa"/>
            <w:gridSpan w:val="2"/>
            <w:noWrap w:val="0"/>
            <w:vAlign w:val="center"/>
          </w:tcPr>
          <w:p w14:paraId="1C9E75B8">
            <w:pPr>
              <w:jc w:val="right"/>
              <w:rPr>
                <w:rFonts w:hint="eastAsia" w:ascii="宋体" w:hAnsi="宋体" w:eastAsia="宋体" w:cs="宋体"/>
                <w:sz w:val="21"/>
                <w:szCs w:val="21"/>
              </w:rPr>
            </w:pPr>
            <w:r>
              <w:rPr>
                <w:rFonts w:hint="eastAsia" w:ascii="宋体" w:hAnsi="宋体" w:eastAsia="宋体" w:cs="宋体"/>
                <w:sz w:val="21"/>
                <w:szCs w:val="21"/>
              </w:rPr>
              <w:t>万元</w:t>
            </w:r>
          </w:p>
        </w:tc>
        <w:tc>
          <w:tcPr>
            <w:tcW w:w="1441" w:type="dxa"/>
            <w:vMerge w:val="continue"/>
            <w:noWrap w:val="0"/>
            <w:vAlign w:val="center"/>
          </w:tcPr>
          <w:p w14:paraId="17231F68">
            <w:pPr>
              <w:jc w:val="center"/>
              <w:rPr>
                <w:rFonts w:hint="eastAsia" w:ascii="宋体" w:hAnsi="宋体" w:eastAsia="宋体" w:cs="宋体"/>
                <w:sz w:val="21"/>
                <w:szCs w:val="21"/>
              </w:rPr>
            </w:pPr>
          </w:p>
        </w:tc>
        <w:tc>
          <w:tcPr>
            <w:tcW w:w="1427" w:type="dxa"/>
            <w:noWrap w:val="0"/>
            <w:vAlign w:val="center"/>
          </w:tcPr>
          <w:p w14:paraId="3DFE096C">
            <w:pPr>
              <w:jc w:val="center"/>
              <w:rPr>
                <w:rFonts w:hint="eastAsia" w:ascii="宋体" w:hAnsi="宋体" w:eastAsia="宋体" w:cs="宋体"/>
                <w:sz w:val="21"/>
                <w:szCs w:val="21"/>
              </w:rPr>
            </w:pPr>
            <w:r>
              <w:rPr>
                <w:rFonts w:hint="eastAsia" w:ascii="宋体" w:hAnsi="宋体" w:eastAsia="宋体" w:cs="宋体"/>
                <w:sz w:val="21"/>
                <w:szCs w:val="21"/>
              </w:rPr>
              <w:t>净值</w:t>
            </w:r>
          </w:p>
        </w:tc>
        <w:tc>
          <w:tcPr>
            <w:tcW w:w="2419" w:type="dxa"/>
            <w:gridSpan w:val="2"/>
            <w:noWrap w:val="0"/>
            <w:vAlign w:val="center"/>
          </w:tcPr>
          <w:p w14:paraId="62CBAD1B">
            <w:pPr>
              <w:jc w:val="right"/>
              <w:rPr>
                <w:rFonts w:hint="eastAsia" w:ascii="宋体" w:hAnsi="宋体" w:eastAsia="宋体" w:cs="宋体"/>
                <w:sz w:val="21"/>
                <w:szCs w:val="21"/>
              </w:rPr>
            </w:pPr>
            <w:r>
              <w:rPr>
                <w:rFonts w:hint="eastAsia" w:ascii="宋体" w:hAnsi="宋体" w:eastAsia="宋体" w:cs="宋体"/>
                <w:sz w:val="21"/>
                <w:szCs w:val="21"/>
              </w:rPr>
              <w:t>万元</w:t>
            </w:r>
          </w:p>
        </w:tc>
      </w:tr>
      <w:tr w14:paraId="06B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3EE1DF27">
            <w:pPr>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256" w:type="dxa"/>
            <w:gridSpan w:val="2"/>
            <w:noWrap w:val="0"/>
            <w:vAlign w:val="center"/>
          </w:tcPr>
          <w:p w14:paraId="42A1F51E">
            <w:pPr>
              <w:jc w:val="center"/>
              <w:rPr>
                <w:rFonts w:hint="eastAsia" w:ascii="宋体" w:hAnsi="宋体" w:eastAsia="宋体" w:cs="宋体"/>
                <w:sz w:val="21"/>
                <w:szCs w:val="21"/>
              </w:rPr>
            </w:pPr>
          </w:p>
        </w:tc>
        <w:tc>
          <w:tcPr>
            <w:tcW w:w="1441" w:type="dxa"/>
            <w:vMerge w:val="restart"/>
            <w:noWrap w:val="0"/>
            <w:vAlign w:val="center"/>
          </w:tcPr>
          <w:p w14:paraId="2B72A4B6">
            <w:pPr>
              <w:jc w:val="center"/>
              <w:rPr>
                <w:rFonts w:hint="eastAsia" w:ascii="宋体" w:hAnsi="宋体" w:eastAsia="宋体" w:cs="宋体"/>
                <w:sz w:val="21"/>
                <w:szCs w:val="21"/>
              </w:rPr>
            </w:pPr>
            <w:r>
              <w:rPr>
                <w:rFonts w:hint="eastAsia" w:ascii="宋体" w:hAnsi="宋体" w:eastAsia="宋体" w:cs="宋体"/>
                <w:sz w:val="21"/>
                <w:szCs w:val="21"/>
              </w:rPr>
              <w:t>职工总数  XX人</w:t>
            </w:r>
          </w:p>
        </w:tc>
        <w:tc>
          <w:tcPr>
            <w:tcW w:w="1427" w:type="dxa"/>
            <w:noWrap w:val="0"/>
            <w:vAlign w:val="center"/>
          </w:tcPr>
          <w:p w14:paraId="2B61B406">
            <w:pPr>
              <w:jc w:val="center"/>
              <w:rPr>
                <w:rFonts w:hint="eastAsia" w:ascii="宋体" w:hAnsi="宋体" w:eastAsia="宋体" w:cs="宋体"/>
                <w:sz w:val="21"/>
                <w:szCs w:val="21"/>
              </w:rPr>
            </w:pPr>
            <w:r>
              <w:rPr>
                <w:rFonts w:hint="eastAsia" w:ascii="宋体" w:hAnsi="宋体" w:eastAsia="宋体" w:cs="宋体"/>
                <w:sz w:val="21"/>
                <w:szCs w:val="21"/>
              </w:rPr>
              <w:t>生产工人</w:t>
            </w:r>
          </w:p>
        </w:tc>
        <w:tc>
          <w:tcPr>
            <w:tcW w:w="2419" w:type="dxa"/>
            <w:gridSpan w:val="2"/>
            <w:noWrap w:val="0"/>
            <w:vAlign w:val="center"/>
          </w:tcPr>
          <w:p w14:paraId="1E9EC2C3">
            <w:pPr>
              <w:jc w:val="right"/>
              <w:rPr>
                <w:rFonts w:hint="eastAsia" w:ascii="宋体" w:hAnsi="宋体" w:eastAsia="宋体" w:cs="宋体"/>
                <w:sz w:val="21"/>
                <w:szCs w:val="21"/>
              </w:rPr>
            </w:pPr>
            <w:r>
              <w:rPr>
                <w:rFonts w:hint="eastAsia" w:ascii="宋体" w:hAnsi="宋体" w:eastAsia="宋体" w:cs="宋体"/>
                <w:sz w:val="21"/>
                <w:szCs w:val="21"/>
              </w:rPr>
              <w:t>人</w:t>
            </w:r>
          </w:p>
        </w:tc>
      </w:tr>
      <w:tr w14:paraId="227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38C1299A">
            <w:pPr>
              <w:jc w:val="center"/>
              <w:rPr>
                <w:rFonts w:hint="eastAsia" w:ascii="宋体" w:hAnsi="宋体" w:eastAsia="宋体" w:cs="宋体"/>
                <w:sz w:val="21"/>
                <w:szCs w:val="21"/>
              </w:rPr>
            </w:pPr>
            <w:r>
              <w:rPr>
                <w:rFonts w:hint="eastAsia" w:ascii="宋体" w:hAnsi="宋体" w:eastAsia="宋体" w:cs="宋体"/>
                <w:sz w:val="21"/>
                <w:szCs w:val="21"/>
              </w:rPr>
              <w:t>账号</w:t>
            </w:r>
          </w:p>
        </w:tc>
        <w:tc>
          <w:tcPr>
            <w:tcW w:w="2256" w:type="dxa"/>
            <w:gridSpan w:val="2"/>
            <w:noWrap w:val="0"/>
            <w:vAlign w:val="center"/>
          </w:tcPr>
          <w:p w14:paraId="2086C2C5">
            <w:pPr>
              <w:jc w:val="center"/>
              <w:rPr>
                <w:rFonts w:hint="eastAsia" w:ascii="宋体" w:hAnsi="宋体" w:eastAsia="宋体" w:cs="宋体"/>
                <w:sz w:val="21"/>
                <w:szCs w:val="21"/>
              </w:rPr>
            </w:pPr>
            <w:r>
              <w:rPr>
                <w:rFonts w:hint="eastAsia" w:ascii="宋体" w:hAnsi="宋体" w:eastAsia="宋体" w:cs="宋体"/>
                <w:sz w:val="21"/>
                <w:szCs w:val="21"/>
              </w:rPr>
              <w:t>基本银行账号</w:t>
            </w:r>
          </w:p>
        </w:tc>
        <w:tc>
          <w:tcPr>
            <w:tcW w:w="1441" w:type="dxa"/>
            <w:vMerge w:val="continue"/>
            <w:noWrap w:val="0"/>
            <w:vAlign w:val="center"/>
          </w:tcPr>
          <w:p w14:paraId="100E1CA1">
            <w:pPr>
              <w:jc w:val="center"/>
              <w:rPr>
                <w:rFonts w:hint="eastAsia" w:ascii="宋体" w:hAnsi="宋体" w:eastAsia="宋体" w:cs="宋体"/>
                <w:sz w:val="21"/>
                <w:szCs w:val="21"/>
              </w:rPr>
            </w:pPr>
          </w:p>
        </w:tc>
        <w:tc>
          <w:tcPr>
            <w:tcW w:w="1427" w:type="dxa"/>
            <w:noWrap w:val="0"/>
            <w:vAlign w:val="center"/>
          </w:tcPr>
          <w:p w14:paraId="78A960C0">
            <w:pPr>
              <w:jc w:val="center"/>
              <w:rPr>
                <w:rFonts w:hint="eastAsia" w:ascii="宋体" w:hAnsi="宋体" w:eastAsia="宋体" w:cs="宋体"/>
                <w:sz w:val="21"/>
                <w:szCs w:val="21"/>
              </w:rPr>
            </w:pPr>
            <w:r>
              <w:rPr>
                <w:rFonts w:hint="eastAsia" w:ascii="宋体" w:hAnsi="宋体" w:eastAsia="宋体" w:cs="宋体"/>
                <w:sz w:val="21"/>
                <w:szCs w:val="21"/>
              </w:rPr>
              <w:t>技术人员</w:t>
            </w:r>
          </w:p>
        </w:tc>
        <w:tc>
          <w:tcPr>
            <w:tcW w:w="2419" w:type="dxa"/>
            <w:gridSpan w:val="2"/>
            <w:noWrap w:val="0"/>
            <w:vAlign w:val="center"/>
          </w:tcPr>
          <w:p w14:paraId="4CD62657">
            <w:pPr>
              <w:jc w:val="right"/>
              <w:rPr>
                <w:rFonts w:hint="eastAsia" w:ascii="宋体" w:hAnsi="宋体" w:eastAsia="宋体" w:cs="宋体"/>
                <w:sz w:val="21"/>
                <w:szCs w:val="21"/>
              </w:rPr>
            </w:pPr>
            <w:r>
              <w:rPr>
                <w:rFonts w:hint="eastAsia" w:ascii="宋体" w:hAnsi="宋体" w:eastAsia="宋体" w:cs="宋体"/>
                <w:sz w:val="21"/>
                <w:szCs w:val="21"/>
              </w:rPr>
              <w:t>人</w:t>
            </w:r>
          </w:p>
        </w:tc>
      </w:tr>
      <w:tr w14:paraId="54E9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trPr>
        <w:tc>
          <w:tcPr>
            <w:tcW w:w="1809" w:type="dxa"/>
            <w:noWrap w:val="0"/>
            <w:vAlign w:val="center"/>
          </w:tcPr>
          <w:p w14:paraId="2E4A8B6A">
            <w:pPr>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543" w:type="dxa"/>
            <w:gridSpan w:val="6"/>
            <w:noWrap w:val="0"/>
            <w:vAlign w:val="center"/>
          </w:tcPr>
          <w:p w14:paraId="5FF6C335">
            <w:pPr>
              <w:jc w:val="center"/>
              <w:rPr>
                <w:rFonts w:hint="eastAsia" w:ascii="宋体" w:hAnsi="宋体" w:eastAsia="宋体" w:cs="宋体"/>
                <w:sz w:val="21"/>
                <w:szCs w:val="21"/>
              </w:rPr>
            </w:pPr>
          </w:p>
        </w:tc>
      </w:tr>
      <w:tr w14:paraId="50D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1809" w:type="dxa"/>
            <w:noWrap w:val="0"/>
            <w:vAlign w:val="center"/>
          </w:tcPr>
          <w:p w14:paraId="3FF1F0BC">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7543" w:type="dxa"/>
            <w:gridSpan w:val="6"/>
            <w:noWrap w:val="0"/>
            <w:vAlign w:val="center"/>
          </w:tcPr>
          <w:p w14:paraId="2B5128CA">
            <w:pPr>
              <w:jc w:val="center"/>
              <w:rPr>
                <w:rFonts w:hint="eastAsia" w:ascii="宋体" w:hAnsi="宋体" w:eastAsia="宋体" w:cs="宋体"/>
                <w:sz w:val="21"/>
                <w:szCs w:val="21"/>
              </w:rPr>
            </w:pPr>
          </w:p>
        </w:tc>
      </w:tr>
    </w:tbl>
    <w:p w14:paraId="67C78E68">
      <w:pPr>
        <w:adjustRightInd w:val="0"/>
        <w:spacing w:line="560" w:lineRule="exact"/>
        <w:jc w:val="left"/>
        <w:rPr>
          <w:rFonts w:hint="eastAsia" w:ascii="宋体" w:hAnsi="宋体" w:eastAsia="宋体" w:cs="宋体"/>
          <w:bCs/>
          <w:sz w:val="24"/>
        </w:rPr>
      </w:pPr>
    </w:p>
    <w:p w14:paraId="26AD35DC">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磋商供应商名称：        （盖章）</w:t>
      </w:r>
    </w:p>
    <w:p w14:paraId="1FEB94AB">
      <w:pPr>
        <w:adjustRightInd w:val="0"/>
        <w:spacing w:line="600" w:lineRule="exact"/>
        <w:ind w:firstLine="420" w:firstLineChars="175"/>
        <w:jc w:val="left"/>
        <w:rPr>
          <w:rFonts w:hint="eastAsia" w:ascii="宋体" w:hAnsi="宋体" w:eastAsia="宋体" w:cs="宋体"/>
          <w:bCs/>
          <w:sz w:val="24"/>
        </w:rPr>
      </w:pPr>
      <w:r>
        <w:rPr>
          <w:rFonts w:hint="eastAsia" w:ascii="宋体" w:hAnsi="宋体" w:eastAsia="宋体" w:cs="宋体"/>
          <w:sz w:val="24"/>
        </w:rPr>
        <w:t>法定代表人或被授权代表：  （签名或盖章）</w:t>
      </w:r>
      <w:r>
        <w:rPr>
          <w:rFonts w:hint="eastAsia" w:ascii="宋体" w:hAnsi="宋体" w:eastAsia="宋体" w:cs="宋体"/>
          <w:bCs/>
          <w:sz w:val="24"/>
        </w:rPr>
        <w:t>：</w:t>
      </w:r>
    </w:p>
    <w:p w14:paraId="697D8DF4">
      <w:pPr>
        <w:spacing w:line="600" w:lineRule="exact"/>
        <w:ind w:left="-140" w:leftChars="-50" w:firstLine="600" w:firstLineChars="250"/>
        <w:outlineLvl w:val="1"/>
        <w:rPr>
          <w:rFonts w:hint="eastAsia" w:ascii="宋体" w:hAnsi="宋体" w:eastAsia="宋体" w:cs="宋体"/>
          <w:sz w:val="24"/>
          <w:szCs w:val="24"/>
        </w:rPr>
      </w:pPr>
      <w:r>
        <w:rPr>
          <w:rFonts w:hint="eastAsia" w:ascii="宋体" w:hAnsi="宋体" w:eastAsia="宋体" w:cs="宋体"/>
          <w:bCs/>
          <w:sz w:val="24"/>
        </w:rPr>
        <w:t>日期:</w:t>
      </w:r>
      <w:r>
        <w:rPr>
          <w:rFonts w:hint="eastAsia" w:ascii="宋体" w:hAnsi="宋体" w:eastAsia="宋体" w:cs="宋体"/>
          <w:sz w:val="24"/>
          <w:szCs w:val="24"/>
        </w:rPr>
        <w:t xml:space="preserve">     年   月   日</w:t>
      </w:r>
    </w:p>
    <w:p w14:paraId="1024346F">
      <w:pPr>
        <w:spacing w:line="560" w:lineRule="exact"/>
        <w:rPr>
          <w:rFonts w:hint="eastAsia" w:ascii="宋体" w:hAnsi="宋体" w:eastAsia="宋体" w:cs="宋体"/>
          <w:b/>
          <w:sz w:val="24"/>
          <w:szCs w:val="24"/>
        </w:rPr>
      </w:pPr>
    </w:p>
    <w:p w14:paraId="6C25E713">
      <w:pPr>
        <w:spacing w:line="560" w:lineRule="exact"/>
        <w:rPr>
          <w:rFonts w:hint="eastAsia" w:ascii="宋体" w:hAnsi="宋体" w:eastAsia="宋体" w:cs="宋体"/>
          <w:b/>
          <w:sz w:val="24"/>
          <w:szCs w:val="24"/>
        </w:rPr>
      </w:pPr>
    </w:p>
    <w:p w14:paraId="0308C590">
      <w:pPr>
        <w:spacing w:before="100" w:beforeAutospacing="1" w:line="520" w:lineRule="exact"/>
        <w:jc w:val="center"/>
        <w:rPr>
          <w:rFonts w:hint="eastAsia" w:ascii="宋体" w:hAnsi="宋体" w:eastAsia="宋体" w:cs="宋体"/>
          <w:b/>
          <w:sz w:val="24"/>
          <w:szCs w:val="24"/>
        </w:rPr>
      </w:pPr>
      <w:r>
        <w:rPr>
          <w:rFonts w:hint="eastAsia" w:ascii="宋体" w:hAnsi="宋体" w:eastAsia="宋体" w:cs="宋体"/>
          <w:b/>
          <w:sz w:val="24"/>
          <w:szCs w:val="24"/>
        </w:rPr>
        <w:t>2、供应商为合法注册的法人或其他组织或自然人，提供营业执照（或事业法人证）,自然人的身份证明</w:t>
      </w:r>
    </w:p>
    <w:p w14:paraId="5A868C8E">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说明：</w:t>
      </w:r>
    </w:p>
    <w:p w14:paraId="5C19D0CD">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（1）企业单位参加磋商提供有效的营业执照（3证合1或多证合1）；</w:t>
      </w:r>
    </w:p>
    <w:p w14:paraId="66352091">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（2）事业单位参加磋商提供有效的法人证书（带有社会统一信用代码）；</w:t>
      </w:r>
    </w:p>
    <w:p w14:paraId="03AF0119">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（3）其他组织参加磋商提供有效的登记证书（带有社会统一信用代码）；</w:t>
      </w:r>
    </w:p>
    <w:p w14:paraId="46D810E7">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（4）自然人参加磋商提供有效的身份证复印件；</w:t>
      </w:r>
    </w:p>
    <w:p w14:paraId="24B6AF58">
      <w:pPr>
        <w:adjustRightInd w:val="0"/>
        <w:snapToGrid w:val="0"/>
        <w:spacing w:line="520" w:lineRule="exact"/>
        <w:jc w:val="both"/>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（5）（1）-（3）为副本复印件，须加盖供应商单位章。</w:t>
      </w:r>
    </w:p>
    <w:p w14:paraId="0A8B834D">
      <w:pPr>
        <w:adjustRightInd w:val="0"/>
        <w:snapToGrid w:val="0"/>
        <w:spacing w:line="520" w:lineRule="exact"/>
        <w:jc w:val="center"/>
        <w:rPr>
          <w:rFonts w:hint="eastAsia" w:ascii="宋体" w:hAnsi="宋体" w:eastAsia="宋体" w:cs="宋体"/>
          <w:b/>
          <w:color w:val="000000"/>
          <w:szCs w:val="28"/>
        </w:rPr>
      </w:pPr>
      <w:r>
        <w:rPr>
          <w:rFonts w:hint="eastAsia" w:ascii="宋体" w:hAnsi="宋体" w:eastAsia="宋体" w:cs="宋体"/>
          <w:b/>
          <w:sz w:val="24"/>
          <w:szCs w:val="24"/>
        </w:rPr>
        <w:br w:type="page"/>
      </w:r>
      <w:r>
        <w:rPr>
          <w:rFonts w:hint="eastAsia" w:ascii="宋体" w:hAnsi="宋体" w:eastAsia="宋体" w:cs="宋体"/>
          <w:b/>
          <w:sz w:val="24"/>
          <w:szCs w:val="24"/>
        </w:rPr>
        <w:t>3、</w:t>
      </w:r>
      <w:r>
        <w:rPr>
          <w:rFonts w:hint="eastAsia" w:ascii="宋体" w:hAnsi="宋体" w:eastAsia="宋体" w:cs="宋体"/>
          <w:b/>
          <w:color w:val="000000"/>
          <w:sz w:val="24"/>
          <w:szCs w:val="24"/>
        </w:rPr>
        <w:t>法定代表人（单位负责人）身份证明</w:t>
      </w:r>
    </w:p>
    <w:p w14:paraId="15B93CD3">
      <w:pPr>
        <w:spacing w:line="500" w:lineRule="exact"/>
        <w:ind w:firstLine="480" w:firstLineChars="200"/>
        <w:rPr>
          <w:rFonts w:hint="eastAsia" w:ascii="宋体" w:hAnsi="宋体" w:eastAsia="宋体" w:cs="宋体"/>
          <w:color w:val="000000"/>
          <w:sz w:val="24"/>
        </w:rPr>
      </w:pPr>
    </w:p>
    <w:p w14:paraId="44C27054">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rPr>
        <w:t>磋商供应商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08734FB0">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290BDB3A">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14:paraId="797D2D69">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磋商供应商</w:t>
      </w:r>
      <w:r>
        <w:rPr>
          <w:rFonts w:hint="eastAsia" w:ascii="宋体" w:hAnsi="宋体" w:eastAsia="宋体" w:cs="宋体"/>
          <w:kern w:val="0"/>
          <w:sz w:val="24"/>
          <w:szCs w:val="24"/>
        </w:rPr>
        <w:t>名称）的法定代表人（单位负责人）。</w:t>
      </w:r>
    </w:p>
    <w:p w14:paraId="5E184FEA">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09B19981">
      <w:pPr>
        <w:autoSpaceDE w:val="0"/>
        <w:autoSpaceDN w:val="0"/>
        <w:adjustRightInd w:val="0"/>
        <w:snapToGrid w:val="0"/>
        <w:spacing w:before="156" w:beforeLines="50" w:line="360" w:lineRule="auto"/>
        <w:jc w:val="left"/>
        <w:rPr>
          <w:rFonts w:hint="eastAsia" w:ascii="宋体" w:hAnsi="宋体" w:eastAsia="宋体" w:cs="宋体"/>
          <w:sz w:val="24"/>
          <w:szCs w:val="24"/>
        </w:rPr>
      </w:pPr>
    </w:p>
    <w:p w14:paraId="16F40066">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附：法定代表人身份证复印件（正反面）</w:t>
      </w:r>
    </w:p>
    <w:p w14:paraId="105C7620">
      <w:pPr>
        <w:snapToGrid w:val="0"/>
        <w:spacing w:line="480" w:lineRule="auto"/>
        <w:rPr>
          <w:rFonts w:hint="eastAsia" w:ascii="宋体" w:hAnsi="宋体" w:eastAsia="宋体" w:cs="宋体"/>
          <w:szCs w:val="21"/>
        </w:rPr>
      </w:pP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E8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7ACC880">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2949E17A">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5368B9C6">
            <w:pPr>
              <w:autoSpaceDE w:val="0"/>
              <w:autoSpaceDN w:val="0"/>
              <w:adjustRightInd w:val="0"/>
              <w:snapToGrid w:val="0"/>
              <w:spacing w:before="156" w:beforeLines="50" w:line="360" w:lineRule="auto"/>
              <w:jc w:val="center"/>
              <w:rPr>
                <w:rFonts w:hint="eastAsia" w:ascii="宋体" w:hAnsi="宋体" w:eastAsia="宋体" w:cs="宋体"/>
                <w:kern w:val="0"/>
                <w:sz w:val="24"/>
              </w:rPr>
            </w:pPr>
            <w:r>
              <w:rPr>
                <w:rFonts w:hint="eastAsia" w:ascii="宋体" w:hAnsi="宋体" w:eastAsia="宋体" w:cs="宋体"/>
                <w:kern w:val="0"/>
                <w:sz w:val="24"/>
              </w:rPr>
              <w:t>法定代表人身份证复印件粘贴处</w:t>
            </w:r>
          </w:p>
          <w:p w14:paraId="5C763507">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3A907470">
            <w:pPr>
              <w:autoSpaceDE w:val="0"/>
              <w:autoSpaceDN w:val="0"/>
              <w:adjustRightInd w:val="0"/>
              <w:snapToGrid w:val="0"/>
              <w:spacing w:before="156" w:beforeLines="50" w:line="360" w:lineRule="auto"/>
              <w:jc w:val="left"/>
              <w:rPr>
                <w:rFonts w:hint="eastAsia" w:ascii="宋体" w:hAnsi="宋体" w:eastAsia="宋体" w:cs="宋体"/>
                <w:kern w:val="0"/>
                <w:sz w:val="24"/>
              </w:rPr>
            </w:pPr>
          </w:p>
        </w:tc>
      </w:tr>
    </w:tbl>
    <w:p w14:paraId="6782EB50">
      <w:pPr>
        <w:snapToGrid w:val="0"/>
        <w:spacing w:line="480" w:lineRule="auto"/>
        <w:rPr>
          <w:rFonts w:hint="eastAsia" w:ascii="宋体" w:hAnsi="宋体" w:eastAsia="宋体" w:cs="宋体"/>
          <w:szCs w:val="21"/>
        </w:rPr>
      </w:pPr>
    </w:p>
    <w:p w14:paraId="5ADD84A9">
      <w:pPr>
        <w:snapToGrid w:val="0"/>
        <w:rPr>
          <w:rFonts w:hint="eastAsia" w:ascii="宋体" w:hAnsi="宋体" w:eastAsia="宋体" w:cs="宋体"/>
          <w:szCs w:val="21"/>
        </w:rPr>
      </w:pPr>
    </w:p>
    <w:p w14:paraId="721700AA">
      <w:pPr>
        <w:snapToGrid w:val="0"/>
        <w:rPr>
          <w:rFonts w:hint="eastAsia" w:ascii="宋体" w:hAnsi="宋体" w:eastAsia="宋体" w:cs="宋体"/>
          <w:szCs w:val="21"/>
        </w:rPr>
      </w:pPr>
    </w:p>
    <w:p w14:paraId="45384AA8">
      <w:pPr>
        <w:snapToGrid w:val="0"/>
        <w:rPr>
          <w:rFonts w:hint="eastAsia" w:ascii="宋体" w:hAnsi="宋体" w:eastAsia="宋体" w:cs="宋体"/>
          <w:szCs w:val="21"/>
        </w:rPr>
      </w:pPr>
    </w:p>
    <w:p w14:paraId="73631D41">
      <w:pPr>
        <w:snapToGrid w:val="0"/>
        <w:rPr>
          <w:rFonts w:hint="eastAsia" w:ascii="宋体" w:hAnsi="宋体" w:eastAsia="宋体" w:cs="宋体"/>
          <w:szCs w:val="21"/>
        </w:rPr>
      </w:pPr>
    </w:p>
    <w:p w14:paraId="37686B02">
      <w:pPr>
        <w:adjustRightInd w:val="0"/>
        <w:snapToGrid w:val="0"/>
        <w:spacing w:line="360" w:lineRule="auto"/>
        <w:rPr>
          <w:rFonts w:hint="eastAsia" w:ascii="宋体" w:hAnsi="宋体" w:eastAsia="宋体" w:cs="宋体"/>
          <w:sz w:val="24"/>
        </w:rPr>
      </w:pPr>
    </w:p>
    <w:p w14:paraId="35629048">
      <w:pPr>
        <w:adjustRightInd w:val="0"/>
        <w:snapToGrid w:val="0"/>
        <w:spacing w:line="360" w:lineRule="auto"/>
        <w:ind w:right="420"/>
        <w:rPr>
          <w:rFonts w:hint="eastAsia" w:ascii="宋体" w:hAnsi="宋体" w:eastAsia="宋体" w:cs="宋体"/>
          <w:sz w:val="24"/>
        </w:rPr>
      </w:pPr>
    </w:p>
    <w:p w14:paraId="0FD73148">
      <w:pPr>
        <w:adjustRightInd w:val="0"/>
        <w:snapToGrid w:val="0"/>
        <w:spacing w:line="360" w:lineRule="auto"/>
        <w:ind w:right="420"/>
        <w:rPr>
          <w:rFonts w:hint="eastAsia" w:ascii="宋体" w:hAnsi="宋体" w:eastAsia="宋体" w:cs="宋体"/>
          <w:sz w:val="24"/>
        </w:rPr>
      </w:pPr>
    </w:p>
    <w:p w14:paraId="4827B1D8">
      <w:pPr>
        <w:adjustRightInd w:val="0"/>
        <w:snapToGrid w:val="0"/>
        <w:spacing w:line="360" w:lineRule="auto"/>
        <w:ind w:right="420"/>
        <w:rPr>
          <w:rFonts w:hint="eastAsia" w:ascii="宋体" w:hAnsi="宋体" w:eastAsia="宋体" w:cs="宋体"/>
          <w:sz w:val="24"/>
        </w:rPr>
      </w:pPr>
    </w:p>
    <w:p w14:paraId="47C4781E">
      <w:pPr>
        <w:adjustRightInd w:val="0"/>
        <w:snapToGrid w:val="0"/>
        <w:spacing w:line="360" w:lineRule="auto"/>
        <w:ind w:right="420"/>
        <w:rPr>
          <w:rFonts w:hint="eastAsia" w:ascii="宋体" w:hAnsi="宋体" w:eastAsia="宋体" w:cs="宋体"/>
          <w:sz w:val="24"/>
        </w:rPr>
      </w:pPr>
    </w:p>
    <w:p w14:paraId="21DBD0F7">
      <w:pPr>
        <w:adjustRightInd w:val="0"/>
        <w:snapToGrid w:val="0"/>
        <w:spacing w:line="360" w:lineRule="auto"/>
        <w:ind w:right="420" w:firstLine="5280" w:firstLineChars="2200"/>
        <w:rPr>
          <w:rFonts w:hint="eastAsia" w:ascii="宋体" w:hAnsi="宋体" w:eastAsia="宋体" w:cs="宋体"/>
          <w:sz w:val="24"/>
        </w:rPr>
      </w:pPr>
    </w:p>
    <w:p w14:paraId="76964B67">
      <w:pPr>
        <w:adjustRightInd w:val="0"/>
        <w:snapToGrid w:val="0"/>
        <w:spacing w:line="360" w:lineRule="auto"/>
        <w:ind w:right="420" w:firstLine="3600" w:firstLineChars="1500"/>
        <w:jc w:val="left"/>
        <w:rPr>
          <w:rFonts w:hint="eastAsia" w:ascii="宋体" w:hAnsi="宋体" w:eastAsia="宋体" w:cs="宋体"/>
          <w:sz w:val="24"/>
          <w:u w:val="single"/>
        </w:rPr>
      </w:pPr>
      <w:r>
        <w:rPr>
          <w:rFonts w:hint="eastAsia" w:ascii="宋体" w:hAnsi="宋体" w:eastAsia="宋体" w:cs="宋体"/>
          <w:sz w:val="24"/>
          <w:szCs w:val="24"/>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（单位公章）</w:t>
      </w:r>
    </w:p>
    <w:p w14:paraId="27991E18">
      <w:pPr>
        <w:adjustRightInd w:val="0"/>
        <w:snapToGrid w:val="0"/>
        <w:spacing w:line="360" w:lineRule="auto"/>
        <w:ind w:right="420" w:firstLine="5520" w:firstLineChars="2300"/>
        <w:jc w:val="left"/>
        <w:rPr>
          <w:rFonts w:hint="eastAsia" w:ascii="宋体" w:hAnsi="宋体" w:eastAsia="宋体" w:cs="宋体"/>
          <w:sz w:val="24"/>
        </w:rPr>
      </w:pPr>
    </w:p>
    <w:p w14:paraId="52E0C89F">
      <w:pPr>
        <w:adjustRightInd w:val="0"/>
        <w:snapToGrid w:val="0"/>
        <w:spacing w:line="360" w:lineRule="auto"/>
        <w:ind w:right="420" w:firstLine="3600" w:firstLineChars="1500"/>
        <w:rPr>
          <w:rFonts w:hint="eastAsia" w:ascii="宋体" w:hAnsi="宋体" w:eastAsia="宋体" w:cs="宋体"/>
          <w:szCs w:val="21"/>
        </w:rPr>
      </w:pPr>
      <w:r>
        <w:rPr>
          <w:rFonts w:hint="eastAsia" w:ascii="宋体" w:hAnsi="宋体" w:eastAsia="宋体" w:cs="宋体"/>
          <w:sz w:val="24"/>
        </w:rPr>
        <w:t>日期：    年  月  日</w:t>
      </w:r>
    </w:p>
    <w:p w14:paraId="3F6D4C51">
      <w:pPr>
        <w:adjustRightInd w:val="0"/>
        <w:snapToGrid w:val="0"/>
        <w:spacing w:line="360" w:lineRule="auto"/>
        <w:ind w:right="420" w:firstLine="280" w:firstLineChars="100"/>
        <w:rPr>
          <w:rFonts w:hint="eastAsia" w:ascii="宋体" w:hAnsi="宋体" w:eastAsia="宋体" w:cs="宋体"/>
          <w:szCs w:val="21"/>
        </w:rPr>
      </w:pPr>
    </w:p>
    <w:p w14:paraId="44AD4C7E">
      <w:pPr>
        <w:spacing w:line="360" w:lineRule="auto"/>
        <w:rPr>
          <w:rFonts w:hint="eastAsia" w:ascii="宋体" w:hAnsi="宋体" w:eastAsia="宋体" w:cs="宋体"/>
          <w:sz w:val="21"/>
          <w:szCs w:val="21"/>
        </w:rPr>
      </w:pPr>
      <w:r>
        <w:rPr>
          <w:rFonts w:hint="eastAsia" w:ascii="宋体" w:hAnsi="宋体" w:eastAsia="宋体" w:cs="宋体"/>
          <w:sz w:val="21"/>
          <w:szCs w:val="21"/>
        </w:rPr>
        <w:t>说明：仅限法定代表人（单位负责人）参加</w:t>
      </w:r>
      <w:r>
        <w:rPr>
          <w:rFonts w:hint="eastAsia" w:ascii="宋体" w:hAnsi="宋体" w:eastAsia="宋体" w:cs="宋体"/>
          <w:sz w:val="21"/>
          <w:szCs w:val="21"/>
          <w:lang w:val="en-US" w:eastAsia="zh-CN"/>
        </w:rPr>
        <w:t>磋商</w:t>
      </w:r>
      <w:r>
        <w:rPr>
          <w:rFonts w:hint="eastAsia" w:ascii="宋体" w:hAnsi="宋体" w:eastAsia="宋体" w:cs="宋体"/>
          <w:sz w:val="21"/>
          <w:szCs w:val="21"/>
        </w:rPr>
        <w:t>时提供，被授权人参与本次磋商的，本页可删除。</w:t>
      </w:r>
    </w:p>
    <w:p w14:paraId="48040D79">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3.1、法定代表人授权书</w:t>
      </w:r>
    </w:p>
    <w:p w14:paraId="7731EAA9">
      <w:pPr>
        <w:spacing w:after="240" w:line="560" w:lineRule="exact"/>
        <w:rPr>
          <w:rFonts w:hint="eastAsia" w:ascii="宋体" w:hAnsi="宋体" w:eastAsia="宋体" w:cs="宋体"/>
          <w:sz w:val="24"/>
          <w:szCs w:val="24"/>
          <w:lang w:eastAsia="zh-CN"/>
        </w:rPr>
      </w:pPr>
      <w:r>
        <w:rPr>
          <w:rFonts w:hint="eastAsia" w:ascii="宋体" w:hAnsi="宋体" w:eastAsia="宋体" w:cs="宋体"/>
          <w:b/>
          <w:sz w:val="24"/>
          <w:szCs w:val="24"/>
        </w:rPr>
        <w:t>致：</w:t>
      </w:r>
      <w:r>
        <w:rPr>
          <w:rFonts w:hint="eastAsia" w:ascii="宋体" w:hAnsi="宋体" w:cs="宋体"/>
          <w:b/>
          <w:sz w:val="24"/>
          <w:szCs w:val="24"/>
          <w:lang w:eastAsia="zh-CN"/>
        </w:rPr>
        <w:t xml:space="preserve">陕西玖聚常安咨询有限公司  </w:t>
      </w:r>
    </w:p>
    <w:p w14:paraId="6513CB1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（磋商供应商全称）</w:t>
      </w:r>
      <w:r>
        <w:rPr>
          <w:rFonts w:hint="eastAsia" w:ascii="宋体" w:hAnsi="宋体" w:eastAsia="宋体" w:cs="宋体"/>
          <w:sz w:val="24"/>
          <w:szCs w:val="24"/>
          <w:lang w:val="zh-CN"/>
        </w:rPr>
        <w:t>法定代表人</w:t>
      </w:r>
      <w:r>
        <w:rPr>
          <w:rFonts w:hint="eastAsia" w:ascii="宋体" w:hAnsi="宋体" w:eastAsia="宋体" w:cs="宋体"/>
          <w:sz w:val="24"/>
          <w:szCs w:val="24"/>
          <w:u w:val="single"/>
          <w:lang w:val="zh-CN"/>
        </w:rPr>
        <w:t>（姓名、职务）</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（被授权人姓名、职务）</w:t>
      </w:r>
      <w:r>
        <w:rPr>
          <w:rFonts w:hint="eastAsia" w:ascii="宋体" w:hAnsi="宋体" w:eastAsia="宋体" w:cs="宋体"/>
          <w:sz w:val="24"/>
          <w:szCs w:val="24"/>
          <w:lang w:val="zh-CN"/>
        </w:rPr>
        <w:t>为本公司的合法全权代表，就</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的磋商及合同的执行和完成，以本公司的名义全权处理一切与之有关的事宜。</w:t>
      </w:r>
    </w:p>
    <w:p w14:paraId="22451A4A">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附：全权代表姓名：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性别：</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年龄：</w:t>
      </w:r>
      <w:r>
        <w:rPr>
          <w:rFonts w:hint="eastAsia" w:ascii="宋体" w:hAnsi="宋体" w:eastAsia="宋体" w:cs="宋体"/>
          <w:sz w:val="24"/>
          <w:szCs w:val="24"/>
          <w:u w:val="single"/>
        </w:rPr>
        <w:t xml:space="preserve">        </w:t>
      </w:r>
    </w:p>
    <w:p w14:paraId="2BFD856B">
      <w:pPr>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lang w:val="zh-CN"/>
        </w:rPr>
        <w:t>职</w:t>
      </w:r>
      <w:r>
        <w:rPr>
          <w:rFonts w:hint="eastAsia" w:ascii="宋体" w:hAnsi="宋体" w:eastAsia="宋体" w:cs="宋体"/>
          <w:sz w:val="24"/>
          <w:szCs w:val="24"/>
        </w:rPr>
        <w:t xml:space="preserve">    </w:t>
      </w:r>
      <w:r>
        <w:rPr>
          <w:rFonts w:hint="eastAsia" w:ascii="宋体" w:hAnsi="宋体" w:eastAsia="宋体" w:cs="宋体"/>
          <w:sz w:val="24"/>
          <w:szCs w:val="24"/>
          <w:lang w:val="zh-CN"/>
        </w:rPr>
        <w:t>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身份证号码：</w:t>
      </w:r>
      <w:r>
        <w:rPr>
          <w:rFonts w:hint="eastAsia" w:ascii="宋体" w:hAnsi="宋体" w:eastAsia="宋体" w:cs="宋体"/>
          <w:sz w:val="24"/>
          <w:szCs w:val="24"/>
          <w:u w:val="single"/>
        </w:rPr>
        <w:t xml:space="preserve">             </w:t>
      </w:r>
    </w:p>
    <w:p w14:paraId="5CF851AF">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通讯地址：</w:t>
      </w:r>
      <w:r>
        <w:rPr>
          <w:rFonts w:hint="eastAsia" w:ascii="宋体" w:hAnsi="宋体" w:eastAsia="宋体" w:cs="宋体"/>
          <w:sz w:val="24"/>
          <w:szCs w:val="24"/>
          <w:u w:val="single"/>
        </w:rPr>
        <w:t xml:space="preserve">                                      </w:t>
      </w:r>
    </w:p>
    <w:p w14:paraId="1B961FE6">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电传：</w:t>
      </w:r>
      <w:r>
        <w:rPr>
          <w:rFonts w:hint="eastAsia" w:ascii="宋体" w:hAnsi="宋体" w:eastAsia="宋体" w:cs="宋体"/>
          <w:sz w:val="24"/>
          <w:szCs w:val="24"/>
          <w:u w:val="single"/>
        </w:rPr>
        <w:t xml:space="preserve">         </w:t>
      </w:r>
    </w:p>
    <w:p w14:paraId="28334C42">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法定代表人</w:t>
      </w:r>
      <w:r>
        <w:rPr>
          <w:rFonts w:hint="eastAsia" w:ascii="宋体" w:hAnsi="宋体" w:eastAsia="宋体" w:cs="宋体"/>
          <w:sz w:val="24"/>
          <w:szCs w:val="24"/>
        </w:rPr>
        <w:t>、</w:t>
      </w:r>
      <w:r>
        <w:rPr>
          <w:rFonts w:hint="eastAsia" w:ascii="宋体" w:hAnsi="宋体" w:eastAsia="宋体" w:cs="宋体"/>
          <w:sz w:val="24"/>
          <w:szCs w:val="24"/>
          <w:lang w:val="zh-CN"/>
        </w:rPr>
        <w:t>被授权代表身份证复印件（正反面）</w:t>
      </w:r>
    </w:p>
    <w:tbl>
      <w:tblPr>
        <w:tblStyle w:val="17"/>
        <w:tblW w:w="0" w:type="auto"/>
        <w:tblInd w:w="679" w:type="dxa"/>
        <w:tblLayout w:type="fixed"/>
        <w:tblCellMar>
          <w:top w:w="0" w:type="dxa"/>
          <w:left w:w="108" w:type="dxa"/>
          <w:bottom w:w="0" w:type="dxa"/>
          <w:right w:w="108" w:type="dxa"/>
        </w:tblCellMar>
      </w:tblPr>
      <w:tblGrid>
        <w:gridCol w:w="4049"/>
        <w:gridCol w:w="3885"/>
      </w:tblGrid>
      <w:tr w14:paraId="32CF19F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7AD47386">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18A4E2C">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r w14:paraId="62FCBD42">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B4C685E">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3D1EA39">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bl>
    <w:p w14:paraId="45D256F5">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     （盖章）        法定代表人:  （</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6C5D0962">
      <w:pPr>
        <w:ind w:firstLine="480" w:firstLineChars="200"/>
        <w:rPr>
          <w:rFonts w:hint="eastAsia" w:ascii="宋体" w:hAnsi="宋体" w:eastAsia="宋体" w:cs="宋体"/>
          <w:sz w:val="24"/>
          <w:szCs w:val="24"/>
        </w:rPr>
      </w:pPr>
    </w:p>
    <w:p w14:paraId="4A47E101">
      <w:pPr>
        <w:ind w:firstLine="480" w:firstLineChars="200"/>
        <w:rPr>
          <w:rFonts w:hint="eastAsia" w:ascii="宋体" w:hAnsi="宋体" w:eastAsia="宋体" w:cs="宋体"/>
          <w:sz w:val="24"/>
          <w:szCs w:val="24"/>
        </w:rPr>
      </w:pPr>
      <w:r>
        <w:rPr>
          <w:rFonts w:hint="eastAsia" w:ascii="宋体" w:hAnsi="宋体" w:eastAsia="宋体" w:cs="宋体"/>
          <w:sz w:val="24"/>
          <w:szCs w:val="24"/>
        </w:rPr>
        <w:t>被授权人：（签名或盖章）         授权日期：</w:t>
      </w:r>
    </w:p>
    <w:p w14:paraId="1A7C54BF">
      <w:pPr>
        <w:ind w:firstLine="480" w:firstLineChars="200"/>
        <w:rPr>
          <w:rFonts w:hint="eastAsia" w:ascii="宋体" w:hAnsi="宋体" w:eastAsia="宋体" w:cs="宋体"/>
          <w:sz w:val="24"/>
          <w:szCs w:val="24"/>
          <w:lang w:val="zh-CN"/>
        </w:rPr>
      </w:pPr>
    </w:p>
    <w:p w14:paraId="3A234B50">
      <w:pPr>
        <w:rPr>
          <w:rFonts w:hint="eastAsia" w:ascii="宋体" w:hAnsi="宋体" w:eastAsia="宋体" w:cs="宋体"/>
          <w:b/>
          <w:bCs/>
          <w:sz w:val="24"/>
          <w:szCs w:val="24"/>
          <w:lang w:val="zh-CN"/>
        </w:rPr>
      </w:pPr>
    </w:p>
    <w:p w14:paraId="18DD99DE">
      <w:pPr>
        <w:spacing w:before="100" w:beforeAutospacing="1"/>
        <w:ind w:firstLine="482" w:firstLineChars="200"/>
        <w:rPr>
          <w:rFonts w:hint="eastAsia" w:ascii="宋体" w:hAnsi="宋体" w:eastAsia="宋体" w:cs="宋体"/>
          <w:sz w:val="24"/>
          <w:szCs w:val="24"/>
        </w:rPr>
      </w:pPr>
      <w:r>
        <w:rPr>
          <w:rFonts w:hint="eastAsia" w:ascii="宋体" w:hAnsi="宋体" w:eastAsia="宋体" w:cs="宋体"/>
          <w:b/>
          <w:bCs/>
          <w:sz w:val="24"/>
          <w:szCs w:val="24"/>
          <w:lang w:val="zh-CN"/>
        </w:rPr>
        <w:t>（注：本授权有效期自磋商之日起</w:t>
      </w:r>
      <w:r>
        <w:rPr>
          <w:rFonts w:hint="eastAsia" w:ascii="宋体" w:hAnsi="宋体" w:eastAsia="宋体" w:cs="宋体"/>
          <w:b/>
          <w:bCs/>
          <w:sz w:val="24"/>
          <w:szCs w:val="24"/>
        </w:rPr>
        <w:t>90</w:t>
      </w:r>
      <w:r>
        <w:rPr>
          <w:rFonts w:hint="eastAsia" w:ascii="宋体" w:hAnsi="宋体" w:eastAsia="宋体" w:cs="宋体"/>
          <w:b/>
          <w:bCs/>
          <w:sz w:val="24"/>
          <w:szCs w:val="24"/>
          <w:lang w:val="zh-CN"/>
        </w:rPr>
        <w:t>天）</w:t>
      </w:r>
    </w:p>
    <w:p w14:paraId="4D14099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说明：仅限授权代表参加</w:t>
      </w:r>
      <w:r>
        <w:rPr>
          <w:rFonts w:hint="eastAsia" w:ascii="宋体" w:hAnsi="宋体" w:eastAsia="宋体" w:cs="宋体"/>
          <w:sz w:val="21"/>
          <w:szCs w:val="21"/>
          <w:lang w:val="en-US" w:eastAsia="zh-CN"/>
        </w:rPr>
        <w:t>磋商</w:t>
      </w:r>
      <w:r>
        <w:rPr>
          <w:rFonts w:hint="eastAsia" w:ascii="宋体" w:hAnsi="宋体" w:eastAsia="宋体" w:cs="宋体"/>
          <w:sz w:val="21"/>
          <w:szCs w:val="21"/>
        </w:rPr>
        <w:t>时提供，法定代表人参与本次磋商的，本页可删除。</w:t>
      </w:r>
    </w:p>
    <w:p w14:paraId="730415A2">
      <w:pPr>
        <w:pStyle w:val="10"/>
        <w:spacing w:line="336" w:lineRule="auto"/>
        <w:ind w:firstLine="420"/>
        <w:jc w:val="center"/>
        <w:rPr>
          <w:rFonts w:hint="eastAsia" w:ascii="宋体" w:hAnsi="宋体" w:eastAsia="宋体" w:cs="宋体"/>
          <w:b/>
          <w:bCs/>
          <w:szCs w:val="32"/>
        </w:rPr>
      </w:pPr>
      <w:r>
        <w:rPr>
          <w:rFonts w:hint="eastAsia" w:ascii="宋体" w:hAnsi="宋体" w:eastAsia="宋体" w:cs="宋体"/>
          <w:sz w:val="21"/>
          <w:szCs w:val="21"/>
        </w:rPr>
        <w:br w:type="page"/>
      </w:r>
      <w:r>
        <w:rPr>
          <w:rFonts w:hint="eastAsia" w:ascii="宋体" w:hAnsi="宋体" w:eastAsia="宋体" w:cs="宋体"/>
          <w:b/>
          <w:sz w:val="24"/>
          <w:szCs w:val="24"/>
        </w:rPr>
        <w:t>3.3自然人授权委托书 (适用于自然人</w:t>
      </w:r>
      <w:r>
        <w:rPr>
          <w:rFonts w:hint="eastAsia" w:ascii="宋体" w:hAnsi="宋体" w:eastAsia="宋体" w:cs="宋体"/>
          <w:b/>
          <w:sz w:val="24"/>
          <w:szCs w:val="24"/>
          <w:lang w:val="en-US" w:eastAsia="zh-CN"/>
        </w:rPr>
        <w:t>磋商</w:t>
      </w:r>
      <w:r>
        <w:rPr>
          <w:rFonts w:hint="eastAsia" w:ascii="宋体" w:hAnsi="宋体" w:eastAsia="宋体" w:cs="宋体"/>
          <w:b/>
          <w:sz w:val="24"/>
          <w:szCs w:val="24"/>
        </w:rPr>
        <w:t>)</w:t>
      </w:r>
    </w:p>
    <w:p w14:paraId="66836B42">
      <w:pPr>
        <w:pStyle w:val="10"/>
        <w:spacing w:line="336" w:lineRule="auto"/>
        <w:ind w:firstLine="480" w:firstLineChars="200"/>
        <w:rPr>
          <w:rFonts w:hint="eastAsia" w:ascii="宋体" w:hAnsi="宋体" w:eastAsia="宋体" w:cs="宋体"/>
          <w:sz w:val="24"/>
          <w:szCs w:val="24"/>
        </w:rPr>
      </w:pPr>
    </w:p>
    <w:p w14:paraId="09A31A77">
      <w:pPr>
        <w:pStyle w:val="10"/>
        <w:spacing w:line="336" w:lineRule="auto"/>
        <w:ind w:firstLine="420"/>
        <w:rPr>
          <w:rFonts w:hint="eastAsia" w:ascii="宋体" w:hAnsi="宋体" w:eastAsia="宋体" w:cs="宋体"/>
          <w:sz w:val="24"/>
          <w:szCs w:val="24"/>
        </w:rPr>
      </w:pPr>
      <w:r>
        <w:rPr>
          <w:rFonts w:hint="eastAsia" w:ascii="宋体" w:hAnsi="宋体" w:eastAsia="宋体" w:cs="宋体"/>
          <w:sz w:val="24"/>
          <w:szCs w:val="24"/>
        </w:rPr>
        <w:t>致：____________(采购代理机构)</w:t>
      </w:r>
    </w:p>
    <w:p w14:paraId="70F955B7">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我________(姓名)系自然人，现授权委托____________(姓名)以本人名义参加____________(项目名称)的</w:t>
      </w:r>
      <w:r>
        <w:rPr>
          <w:rFonts w:hint="eastAsia" w:ascii="宋体" w:hAnsi="宋体" w:eastAsia="宋体" w:cs="宋体"/>
          <w:sz w:val="24"/>
          <w:szCs w:val="24"/>
          <w:lang w:val="en-US" w:eastAsia="zh-CN"/>
        </w:rPr>
        <w:t>磋商</w:t>
      </w:r>
      <w:r>
        <w:rPr>
          <w:rFonts w:hint="eastAsia" w:ascii="宋体" w:hAnsi="宋体" w:eastAsia="宋体" w:cs="宋体"/>
          <w:sz w:val="24"/>
          <w:szCs w:val="24"/>
        </w:rPr>
        <w:t>活动，并代表本人全权办理针对上述项目的</w:t>
      </w:r>
      <w:r>
        <w:rPr>
          <w:rFonts w:hint="eastAsia" w:ascii="宋体" w:hAnsi="宋体" w:eastAsia="宋体" w:cs="宋体"/>
          <w:sz w:val="24"/>
          <w:szCs w:val="24"/>
          <w:lang w:val="en-US" w:eastAsia="zh-CN"/>
        </w:rPr>
        <w:t>磋商</w:t>
      </w:r>
      <w:r>
        <w:rPr>
          <w:rFonts w:hint="eastAsia" w:ascii="宋体" w:hAnsi="宋体" w:eastAsia="宋体" w:cs="宋体"/>
          <w:sz w:val="24"/>
          <w:szCs w:val="24"/>
        </w:rPr>
        <w:t>、签约等具体事务和签署相关文件。</w:t>
      </w:r>
    </w:p>
    <w:p w14:paraId="16DD632B">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本人对被授权人的签字事项负全部责任，代理人无转委托权。</w:t>
      </w:r>
    </w:p>
    <w:p w14:paraId="7C805922">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授权委托代理期限：本授权书自</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文件递交截止时间起有效期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6510DD97">
      <w:pPr>
        <w:pStyle w:val="10"/>
        <w:spacing w:line="336" w:lineRule="auto"/>
        <w:ind w:firstLine="480" w:firstLineChars="200"/>
        <w:rPr>
          <w:rFonts w:hint="eastAsia" w:ascii="宋体" w:hAnsi="宋体" w:eastAsia="宋体" w:cs="宋体"/>
          <w:sz w:val="24"/>
          <w:szCs w:val="24"/>
        </w:rPr>
      </w:pPr>
    </w:p>
    <w:p w14:paraId="647EB059">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特此委托。</w:t>
      </w:r>
    </w:p>
    <w:p w14:paraId="17E82612">
      <w:pPr>
        <w:pStyle w:val="10"/>
        <w:spacing w:line="336" w:lineRule="auto"/>
        <w:ind w:firstLine="480" w:firstLineChars="200"/>
        <w:rPr>
          <w:rFonts w:hint="eastAsia" w:ascii="宋体" w:hAnsi="宋体" w:eastAsia="宋体" w:cs="宋体"/>
          <w:sz w:val="24"/>
          <w:szCs w:val="24"/>
        </w:rPr>
      </w:pPr>
    </w:p>
    <w:p w14:paraId="261FA0C2">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3E041167">
      <w:pPr>
        <w:pStyle w:val="10"/>
        <w:spacing w:line="336" w:lineRule="auto"/>
        <w:ind w:firstLine="480" w:firstLineChars="200"/>
        <w:rPr>
          <w:rFonts w:hint="eastAsia" w:ascii="宋体" w:hAnsi="宋体" w:eastAsia="宋体" w:cs="宋体"/>
          <w:sz w:val="24"/>
          <w:szCs w:val="24"/>
        </w:rPr>
      </w:pPr>
    </w:p>
    <w:p w14:paraId="205BB990">
      <w:pPr>
        <w:pStyle w:val="1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自然人签字并在签名处加盖食指指印：</w:t>
      </w:r>
    </w:p>
    <w:p w14:paraId="20224195">
      <w:pPr>
        <w:pStyle w:val="10"/>
        <w:spacing w:line="336" w:lineRule="auto"/>
        <w:ind w:firstLine="480" w:firstLineChars="200"/>
        <w:rPr>
          <w:rFonts w:hint="eastAsia" w:ascii="宋体" w:hAnsi="宋体" w:eastAsia="宋体" w:cs="宋体"/>
          <w:sz w:val="24"/>
          <w:szCs w:val="24"/>
        </w:rPr>
      </w:pPr>
    </w:p>
    <w:p w14:paraId="3EA078B1">
      <w:pPr>
        <w:pStyle w:val="10"/>
        <w:spacing w:line="336" w:lineRule="auto"/>
        <w:ind w:firstLine="480" w:firstLineChars="200"/>
        <w:rPr>
          <w:rFonts w:hint="eastAsia" w:ascii="宋体" w:hAnsi="宋体" w:eastAsia="宋体" w:cs="宋体"/>
          <w:sz w:val="24"/>
          <w:szCs w:val="24"/>
        </w:rPr>
      </w:pPr>
    </w:p>
    <w:p w14:paraId="407DF46A">
      <w:pPr>
        <w:pStyle w:val="10"/>
        <w:spacing w:line="336" w:lineRule="auto"/>
        <w:ind w:firstLine="480" w:firstLineChars="200"/>
        <w:rPr>
          <w:rFonts w:hint="eastAsia" w:ascii="宋体" w:hAnsi="宋体" w:eastAsia="宋体" w:cs="宋体"/>
          <w:sz w:val="24"/>
          <w:szCs w:val="24"/>
        </w:rPr>
      </w:pPr>
    </w:p>
    <w:p w14:paraId="7FFA38EE">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p>
    <w:p w14:paraId="46B0140E">
      <w:pPr>
        <w:widowControl/>
        <w:numPr>
          <w:ilvl w:val="0"/>
          <w:numId w:val="0"/>
        </w:numPr>
        <w:spacing w:before="0" w:beforeAutospacing="0" w:after="0" w:afterAutospacing="0" w:line="360" w:lineRule="auto"/>
        <w:ind w:firstLine="482" w:firstLineChars="20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sz w:val="24"/>
          <w:szCs w:val="24"/>
          <w:lang w:val="en-US" w:eastAsia="zh-CN"/>
        </w:rPr>
        <w:br w:type="page"/>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lang w:val="en-US" w:eastAsia="zh-CN" w:bidi="ar-SA"/>
        </w:rPr>
        <w:t>供应商应具备有效的《食品经营许可证》；</w:t>
      </w:r>
    </w:p>
    <w:p w14:paraId="309B77ED">
      <w:pPr>
        <w:spacing w:line="500" w:lineRule="exact"/>
        <w:jc w:val="both"/>
        <w:rPr>
          <w:rFonts w:hint="eastAsia" w:ascii="宋体" w:hAnsi="宋体" w:eastAsia="宋体" w:cs="宋体"/>
          <w:b/>
          <w:color w:val="auto"/>
          <w:spacing w:val="6"/>
          <w:sz w:val="24"/>
        </w:rPr>
      </w:pPr>
    </w:p>
    <w:p w14:paraId="26E9AFB2">
      <w:pPr>
        <w:spacing w:line="500" w:lineRule="exact"/>
        <w:jc w:val="both"/>
        <w:rPr>
          <w:rFonts w:hint="eastAsia" w:ascii="宋体" w:hAnsi="宋体" w:eastAsia="宋体" w:cs="宋体"/>
          <w:b/>
          <w:color w:val="auto"/>
          <w:spacing w:val="6"/>
          <w:sz w:val="24"/>
        </w:rPr>
      </w:pPr>
    </w:p>
    <w:p w14:paraId="5619D802">
      <w:pPr>
        <w:pStyle w:val="22"/>
        <w:numPr>
          <w:ilvl w:val="0"/>
          <w:numId w:val="0"/>
        </w:numPr>
        <w:rPr>
          <w:rFonts w:hint="eastAsia"/>
          <w:color w:val="auto"/>
        </w:rPr>
      </w:pPr>
    </w:p>
    <w:p w14:paraId="45D98552">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3428FDB8">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065C6EED">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05051C43">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42297FDE">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5611CB31">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5BF8FAC2">
      <w:pPr>
        <w:adjustRightInd w:val="0"/>
        <w:snapToGrid w:val="0"/>
        <w:spacing w:line="520" w:lineRule="exact"/>
        <w:jc w:val="center"/>
        <w:rPr>
          <w:rFonts w:hint="eastAsia" w:ascii="宋体" w:hAnsi="宋体" w:eastAsia="宋体" w:cs="宋体"/>
          <w:b/>
          <w:bCs/>
          <w:sz w:val="24"/>
          <w:szCs w:val="24"/>
          <w:lang w:val="en-US" w:eastAsia="zh-CN"/>
        </w:rPr>
      </w:pPr>
      <w:r>
        <w:rPr>
          <w:rFonts w:hint="eastAsia" w:ascii="宋体" w:hAnsi="宋体" w:eastAsia="宋体" w:cs="宋体"/>
          <w:i w:val="0"/>
          <w:iCs w:val="0"/>
          <w:caps w:val="0"/>
          <w:color w:val="auto"/>
          <w:spacing w:val="0"/>
          <w:sz w:val="24"/>
          <w:szCs w:val="24"/>
          <w:shd w:val="clear" w:color="auto" w:fill="FFFFFF"/>
        </w:rPr>
        <w:br w:type="page"/>
      </w:r>
      <w:r>
        <w:rPr>
          <w:rFonts w:hint="eastAsia" w:ascii="宋体" w:hAnsi="宋体" w:cs="宋体"/>
          <w:b/>
          <w:bCs/>
          <w:sz w:val="24"/>
          <w:szCs w:val="24"/>
          <w:lang w:val="en-US" w:eastAsia="zh-CN"/>
        </w:rPr>
        <w:t>5</w:t>
      </w:r>
      <w:r>
        <w:rPr>
          <w:rFonts w:hint="eastAsia" w:ascii="宋体" w:hAnsi="宋体" w:eastAsia="宋体" w:cs="宋体"/>
          <w:b/>
          <w:bCs/>
          <w:sz w:val="24"/>
          <w:szCs w:val="24"/>
        </w:rPr>
        <w:t>、供应商在近三年经营活动中没有重大违法记录的声明</w:t>
      </w:r>
      <w:r>
        <w:rPr>
          <w:rFonts w:hint="eastAsia" w:ascii="宋体" w:hAnsi="宋体" w:eastAsia="宋体" w:cs="宋体"/>
          <w:b/>
          <w:bCs/>
          <w:sz w:val="24"/>
          <w:szCs w:val="24"/>
          <w:lang w:val="en-US" w:eastAsia="zh-CN"/>
        </w:rPr>
        <w:t>；</w:t>
      </w:r>
    </w:p>
    <w:p w14:paraId="29BB0145">
      <w:pPr>
        <w:adjustRightInd w:val="0"/>
        <w:snapToGrid w:val="0"/>
        <w:spacing w:line="520" w:lineRule="exact"/>
        <w:jc w:val="center"/>
        <w:rPr>
          <w:rFonts w:hint="eastAsia" w:ascii="宋体" w:hAnsi="宋体" w:eastAsia="宋体" w:cs="宋体"/>
          <w:b/>
          <w:bCs/>
          <w:sz w:val="24"/>
          <w:szCs w:val="24"/>
          <w:lang w:eastAsia="zh-CN"/>
        </w:rPr>
      </w:pPr>
      <w:r>
        <w:rPr>
          <w:rFonts w:hint="eastAsia" w:ascii="宋体" w:hAnsi="宋体" w:cs="宋体"/>
          <w:b w:val="0"/>
          <w:bCs/>
          <w:sz w:val="24"/>
          <w:szCs w:val="24"/>
          <w:lang w:val="en-US" w:eastAsia="zh-CN"/>
        </w:rPr>
        <w:t>（格式自拟）</w:t>
      </w:r>
      <w:r>
        <w:rPr>
          <w:rFonts w:hint="eastAsia" w:ascii="宋体" w:hAnsi="宋体" w:eastAsia="宋体" w:cs="宋体"/>
          <w:b w:val="0"/>
          <w:bCs/>
          <w:sz w:val="24"/>
          <w:szCs w:val="24"/>
          <w:lang w:val="en-US" w:eastAsia="zh-CN"/>
        </w:rPr>
        <w:br w:type="page"/>
      </w:r>
      <w:r>
        <w:rPr>
          <w:rFonts w:hint="eastAsia" w:ascii="宋体" w:hAnsi="宋体" w:cs="宋体"/>
          <w:b/>
          <w:bCs/>
          <w:sz w:val="24"/>
          <w:szCs w:val="24"/>
          <w:lang w:val="en-US" w:eastAsia="zh-CN"/>
        </w:rPr>
        <w:t>6</w:t>
      </w:r>
      <w:r>
        <w:rPr>
          <w:rFonts w:hint="eastAsia" w:ascii="宋体" w:hAnsi="宋体" w:eastAsia="宋体" w:cs="宋体"/>
          <w:b/>
          <w:bCs/>
          <w:sz w:val="24"/>
          <w:szCs w:val="24"/>
        </w:rPr>
        <w:t>、具备履行合同所必须的设备和专业技术能力的说明及承诺</w:t>
      </w:r>
      <w:r>
        <w:rPr>
          <w:rFonts w:hint="eastAsia" w:ascii="宋体" w:hAnsi="宋体" w:eastAsia="宋体" w:cs="宋体"/>
          <w:b/>
          <w:bCs/>
          <w:sz w:val="24"/>
          <w:szCs w:val="24"/>
          <w:lang w:eastAsia="zh-CN"/>
        </w:rPr>
        <w:t>；</w:t>
      </w:r>
    </w:p>
    <w:p w14:paraId="216B38A7">
      <w:pPr>
        <w:adjustRightInd w:val="0"/>
        <w:snapToGrid w:val="0"/>
        <w:spacing w:line="520" w:lineRule="exact"/>
        <w:jc w:val="center"/>
        <w:rPr>
          <w:rFonts w:hint="eastAsia" w:ascii="宋体" w:hAnsi="宋体" w:eastAsia="宋体" w:cs="宋体"/>
          <w:b/>
          <w:bCs/>
          <w:sz w:val="24"/>
          <w:szCs w:val="24"/>
        </w:rPr>
      </w:pPr>
      <w:r>
        <w:rPr>
          <w:rFonts w:hint="eastAsia" w:ascii="宋体" w:hAnsi="宋体" w:cs="宋体"/>
          <w:b w:val="0"/>
          <w:bCs/>
          <w:sz w:val="24"/>
          <w:szCs w:val="24"/>
          <w:lang w:val="en-US" w:eastAsia="zh-CN"/>
        </w:rPr>
        <w:t>（格式自拟）</w:t>
      </w:r>
      <w:r>
        <w:rPr>
          <w:rFonts w:hint="eastAsia" w:ascii="宋体" w:hAnsi="宋体" w:eastAsia="宋体" w:cs="宋体"/>
          <w:b/>
          <w:sz w:val="24"/>
          <w:szCs w:val="24"/>
        </w:rPr>
        <w:br w:type="page"/>
      </w:r>
      <w:r>
        <w:rPr>
          <w:rFonts w:hint="eastAsia" w:ascii="宋体" w:hAnsi="宋体" w:cs="宋体"/>
          <w:b/>
          <w:bCs/>
          <w:sz w:val="24"/>
          <w:szCs w:val="24"/>
          <w:lang w:val="en-US" w:eastAsia="zh-CN"/>
        </w:rPr>
        <w:t>7</w:t>
      </w:r>
      <w:r>
        <w:rPr>
          <w:rFonts w:hint="eastAsia" w:ascii="宋体" w:hAnsi="宋体" w:eastAsia="宋体" w:cs="宋体"/>
          <w:b/>
          <w:bCs/>
          <w:sz w:val="24"/>
          <w:szCs w:val="24"/>
        </w:rPr>
        <w:t>、财务状况报告</w:t>
      </w:r>
    </w:p>
    <w:p w14:paraId="5334C68D">
      <w:pPr>
        <w:spacing w:line="360" w:lineRule="auto"/>
        <w:jc w:val="center"/>
        <w:rPr>
          <w:rFonts w:hint="eastAsia" w:ascii="宋体" w:hAnsi="宋体" w:eastAsia="宋体" w:cs="宋体"/>
          <w:b/>
          <w:sz w:val="24"/>
          <w:szCs w:val="24"/>
        </w:rPr>
      </w:pPr>
    </w:p>
    <w:p w14:paraId="3D302686">
      <w:pPr>
        <w:adjustRightInd w:val="0"/>
        <w:snapToGrid w:val="0"/>
        <w:spacing w:line="520" w:lineRule="exact"/>
        <w:jc w:val="center"/>
        <w:rPr>
          <w:rFonts w:hint="eastAsia" w:ascii="宋体" w:hAnsi="宋体" w:eastAsia="宋体" w:cs="宋体"/>
          <w:b/>
          <w:bCs/>
          <w:sz w:val="24"/>
          <w:szCs w:val="24"/>
        </w:rPr>
      </w:pPr>
      <w:r>
        <w:rPr>
          <w:rFonts w:hint="eastAsia" w:ascii="宋体" w:hAnsi="宋体" w:eastAsia="宋体" w:cs="宋体"/>
          <w:b/>
          <w:sz w:val="24"/>
          <w:szCs w:val="24"/>
        </w:rPr>
        <w:br w:type="page"/>
      </w:r>
      <w:r>
        <w:rPr>
          <w:rFonts w:hint="eastAsia" w:ascii="宋体" w:hAnsi="宋体" w:cs="宋体"/>
          <w:b/>
          <w:bCs/>
          <w:sz w:val="24"/>
          <w:szCs w:val="24"/>
          <w:lang w:val="en-US" w:eastAsia="zh-CN"/>
        </w:rPr>
        <w:t>8</w:t>
      </w:r>
      <w:r>
        <w:rPr>
          <w:rFonts w:hint="eastAsia" w:ascii="宋体" w:hAnsi="宋体" w:eastAsia="宋体" w:cs="宋体"/>
          <w:b/>
          <w:bCs/>
          <w:sz w:val="24"/>
          <w:szCs w:val="24"/>
        </w:rPr>
        <w:t>、税收缴纳证明</w:t>
      </w:r>
    </w:p>
    <w:p w14:paraId="3F698AD7">
      <w:pPr>
        <w:adjustRightInd w:val="0"/>
        <w:snapToGrid w:val="0"/>
        <w:spacing w:line="520" w:lineRule="exact"/>
        <w:jc w:val="center"/>
        <w:rPr>
          <w:rFonts w:hint="eastAsia" w:eastAsia="宋体"/>
          <w:b/>
          <w:bCs/>
          <w:lang w:eastAsia="zh-CN"/>
        </w:rPr>
      </w:pPr>
      <w:r>
        <w:rPr>
          <w:rFonts w:hint="eastAsia" w:ascii="宋体" w:hAnsi="宋体" w:eastAsia="宋体" w:cs="宋体"/>
          <w:b/>
          <w:sz w:val="24"/>
          <w:szCs w:val="24"/>
        </w:rPr>
        <w:br w:type="page"/>
      </w:r>
      <w:r>
        <w:rPr>
          <w:rFonts w:hint="eastAsia" w:ascii="宋体" w:hAnsi="宋体" w:cs="宋体"/>
          <w:b/>
          <w:bCs/>
          <w:sz w:val="24"/>
          <w:szCs w:val="24"/>
          <w:lang w:val="en-US" w:eastAsia="zh-CN"/>
        </w:rPr>
        <w:t>9</w:t>
      </w:r>
      <w:r>
        <w:rPr>
          <w:rFonts w:hint="eastAsia" w:ascii="宋体" w:hAnsi="宋体" w:eastAsia="宋体" w:cs="宋体"/>
          <w:b/>
          <w:bCs/>
          <w:sz w:val="24"/>
          <w:szCs w:val="24"/>
        </w:rPr>
        <w:t>、社会保障资金缴纳证明</w:t>
      </w:r>
      <w:r>
        <w:rPr>
          <w:rFonts w:hint="eastAsia" w:ascii="宋体" w:hAnsi="宋体" w:eastAsia="宋体" w:cs="宋体"/>
          <w:b/>
          <w:bCs/>
          <w:sz w:val="24"/>
          <w:szCs w:val="24"/>
          <w:lang w:eastAsia="zh-CN"/>
        </w:rPr>
        <w:t>；</w:t>
      </w:r>
    </w:p>
    <w:p w14:paraId="568CFA6B">
      <w:pPr>
        <w:spacing w:line="560" w:lineRule="exact"/>
        <w:jc w:val="center"/>
        <w:rPr>
          <w:rFonts w:hint="eastAsia" w:ascii="宋体" w:hAnsi="宋体" w:eastAsia="宋体" w:cs="宋体"/>
          <w:b/>
          <w:sz w:val="24"/>
          <w:szCs w:val="24"/>
        </w:rPr>
      </w:pPr>
    </w:p>
    <w:p w14:paraId="258D61E1">
      <w:pPr>
        <w:spacing w:line="560" w:lineRule="exact"/>
        <w:jc w:val="left"/>
        <w:rPr>
          <w:rFonts w:hint="eastAsia" w:ascii="宋体" w:hAnsi="宋体" w:cs="宋体"/>
          <w:sz w:val="24"/>
          <w:highlight w:val="none"/>
        </w:rPr>
      </w:pPr>
    </w:p>
    <w:p w14:paraId="04EF60B5">
      <w:pPr>
        <w:numPr>
          <w:ilvl w:val="0"/>
          <w:numId w:val="0"/>
        </w:numPr>
        <w:spacing w:line="560" w:lineRule="exact"/>
        <w:ind w:firstLine="482" w:firstLineChars="200"/>
        <w:jc w:val="center"/>
        <w:rPr>
          <w:rFonts w:hint="eastAsia" w:ascii="宋体" w:hAnsi="宋体" w:cs="宋体"/>
          <w:b/>
          <w:sz w:val="24"/>
          <w:highlight w:val="none"/>
        </w:rPr>
      </w:pPr>
      <w:r>
        <w:rPr>
          <w:rFonts w:hint="eastAsia" w:ascii="宋体" w:hAnsi="宋体" w:eastAsia="宋体" w:cs="宋体"/>
          <w:b/>
          <w:sz w:val="24"/>
          <w:szCs w:val="24"/>
        </w:rPr>
        <w:br w:type="page"/>
      </w:r>
      <w:r>
        <w:rPr>
          <w:rFonts w:hint="eastAsia" w:ascii="宋体" w:hAnsi="宋体" w:cs="宋体"/>
          <w:b/>
          <w:sz w:val="24"/>
          <w:szCs w:val="24"/>
          <w:lang w:val="en-US" w:eastAsia="zh-CN"/>
        </w:rPr>
        <w:t>10、</w:t>
      </w:r>
      <w:r>
        <w:rPr>
          <w:rFonts w:hint="eastAsia" w:ascii="宋体" w:hAnsi="宋体" w:cs="宋体"/>
          <w:b/>
          <w:sz w:val="24"/>
          <w:highlight w:val="none"/>
          <w:lang w:eastAsia="zh-CN"/>
        </w:rPr>
        <w:t>本项目不接受联合体磋商（提供非联合体承诺书）</w:t>
      </w:r>
    </w:p>
    <w:p w14:paraId="1712FCDB">
      <w:pPr>
        <w:numPr>
          <w:ilvl w:val="0"/>
          <w:numId w:val="0"/>
        </w:numPr>
        <w:spacing w:line="560" w:lineRule="exact"/>
        <w:jc w:val="center"/>
        <w:rPr>
          <w:rFonts w:hint="eastAsia" w:ascii="宋体" w:hAnsi="宋体" w:cs="宋体"/>
          <w:b w:val="0"/>
          <w:bCs/>
          <w:sz w:val="24"/>
          <w:highlight w:val="none"/>
        </w:rPr>
      </w:pPr>
      <w:r>
        <w:rPr>
          <w:rFonts w:hint="eastAsia" w:ascii="宋体" w:hAnsi="宋体" w:cs="宋体"/>
          <w:b w:val="0"/>
          <w:bCs/>
          <w:sz w:val="24"/>
          <w:highlight w:val="none"/>
          <w:lang w:eastAsia="zh-CN"/>
        </w:rPr>
        <w:t>（</w:t>
      </w:r>
      <w:r>
        <w:rPr>
          <w:rFonts w:hint="eastAsia" w:ascii="宋体" w:hAnsi="宋体" w:cs="宋体"/>
          <w:b w:val="0"/>
          <w:bCs/>
          <w:sz w:val="24"/>
          <w:highlight w:val="none"/>
        </w:rPr>
        <w:t>格式自拟</w:t>
      </w:r>
      <w:r>
        <w:rPr>
          <w:rFonts w:hint="eastAsia" w:ascii="宋体" w:hAnsi="宋体" w:cs="宋体"/>
          <w:b w:val="0"/>
          <w:bCs/>
          <w:sz w:val="24"/>
          <w:highlight w:val="none"/>
          <w:lang w:eastAsia="zh-CN"/>
        </w:rPr>
        <w:t>）</w:t>
      </w:r>
    </w:p>
    <w:p w14:paraId="65572BB3">
      <w:pPr>
        <w:spacing w:line="560" w:lineRule="exact"/>
        <w:jc w:val="left"/>
        <w:rPr>
          <w:rFonts w:hint="eastAsia" w:ascii="宋体" w:hAnsi="宋体" w:eastAsia="宋体" w:cs="宋体"/>
          <w:b/>
          <w:bCs w:val="0"/>
          <w:sz w:val="24"/>
          <w:szCs w:val="24"/>
          <w:lang w:eastAsia="zh-CN"/>
        </w:rPr>
      </w:pPr>
      <w:r>
        <w:rPr>
          <w:rFonts w:hint="eastAsia" w:ascii="宋体" w:hAnsi="宋体" w:cs="宋体"/>
          <w:b/>
          <w:bCs w:val="0"/>
          <w:sz w:val="24"/>
          <w:szCs w:val="24"/>
          <w:lang w:val="en-US" w:eastAsia="zh-CN"/>
        </w:rPr>
        <w:br w:type="page"/>
      </w:r>
      <w:r>
        <w:rPr>
          <w:rFonts w:hint="eastAsia" w:ascii="宋体" w:hAnsi="宋体" w:cs="宋体"/>
          <w:b/>
          <w:bCs w:val="0"/>
          <w:sz w:val="24"/>
          <w:szCs w:val="24"/>
          <w:lang w:val="en-US" w:eastAsia="zh-CN"/>
        </w:rPr>
        <w:t>11</w:t>
      </w:r>
      <w:r>
        <w:rPr>
          <w:rFonts w:hint="eastAsia" w:ascii="宋体" w:hAnsi="宋体" w:eastAsia="宋体" w:cs="宋体"/>
          <w:b/>
          <w:bCs w:val="0"/>
          <w:sz w:val="24"/>
          <w:szCs w:val="24"/>
        </w:rPr>
        <w:t>、</w:t>
      </w:r>
      <w:r>
        <w:rPr>
          <w:rFonts w:hint="eastAsia" w:ascii="宋体" w:hAnsi="宋体" w:eastAsia="宋体" w:cs="宋体"/>
          <w:b/>
          <w:bCs w:val="0"/>
          <w:color w:val="auto"/>
          <w:kern w:val="2"/>
          <w:sz w:val="24"/>
          <w:szCs w:val="24"/>
          <w:highlight w:val="none"/>
          <w:lang w:val="en-US" w:eastAsia="zh-CN" w:bidi="ar-SA"/>
        </w:rPr>
        <w:t>单位负责人为同一人或者存在控股、管理关系的不同单位不得同时投标（提供供应商企业关系关联承诺书）</w:t>
      </w:r>
      <w:r>
        <w:rPr>
          <w:rFonts w:hint="eastAsia" w:ascii="宋体" w:hAnsi="宋体" w:eastAsia="宋体" w:cs="宋体"/>
          <w:b/>
          <w:bCs w:val="0"/>
          <w:sz w:val="24"/>
          <w:szCs w:val="24"/>
          <w:lang w:eastAsia="zh-CN"/>
        </w:rPr>
        <w:t>；</w:t>
      </w:r>
    </w:p>
    <w:p w14:paraId="6BE9D117">
      <w:pPr>
        <w:spacing w:line="500" w:lineRule="exact"/>
        <w:ind w:firstLine="241" w:firstLine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供应商企业关系关联承诺书</w:t>
      </w:r>
    </w:p>
    <w:p w14:paraId="1AC0B34C">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1.供应商股东及股权证明。</w:t>
      </w:r>
    </w:p>
    <w:p w14:paraId="47C8534B">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2.供应商在本项目投标中，不存在与其它供应商负责人为同一人，有控股、管理等关联关系承诺：</w:t>
      </w:r>
    </w:p>
    <w:p w14:paraId="3476D89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2.1管理关系说明：</w:t>
      </w:r>
    </w:p>
    <w:p w14:paraId="54F7C12A">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022B83">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BAB06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2.2股权关系说明：</w:t>
      </w:r>
    </w:p>
    <w:p w14:paraId="5121559D">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37E27">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7A5CED5F">
      <w:pPr>
        <w:spacing w:line="50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2.3、单位负责人：</w:t>
      </w:r>
      <w:r>
        <w:rPr>
          <w:rFonts w:hint="eastAsia" w:ascii="宋体" w:hAnsi="宋体" w:eastAsia="宋体" w:cs="宋体"/>
          <w:color w:val="auto"/>
          <w:sz w:val="24"/>
          <w:szCs w:val="24"/>
          <w:highlight w:val="none"/>
          <w:u w:val="single"/>
        </w:rPr>
        <w:t xml:space="preserve">                </w:t>
      </w:r>
    </w:p>
    <w:p w14:paraId="39CC75F7">
      <w:pPr>
        <w:spacing w:line="50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（是或否）为采购项目提供整体设计、规范编制或者项目管理、监理、检测等服务的供应商。</w:t>
      </w:r>
    </w:p>
    <w:p w14:paraId="28241ED3">
      <w:pPr>
        <w:spacing w:line="500" w:lineRule="exact"/>
        <w:ind w:firstLine="240" w:firstLineChars="1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4.其他与本项目有关的利害关系说明：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C1182C8">
      <w:pPr>
        <w:pStyle w:val="7"/>
        <w:rPr>
          <w:rFonts w:hint="eastAsia" w:ascii="宋体" w:hAnsi="宋体" w:eastAsia="宋体" w:cs="宋体"/>
          <w:color w:val="auto"/>
          <w:sz w:val="24"/>
          <w:szCs w:val="24"/>
          <w:highlight w:val="none"/>
        </w:rPr>
      </w:pPr>
    </w:p>
    <w:p w14:paraId="39E9543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14:paraId="0B977914">
      <w:pPr>
        <w:spacing w:line="500" w:lineRule="exact"/>
        <w:ind w:firstLine="240" w:firstLineChars="100"/>
        <w:rPr>
          <w:rFonts w:hint="eastAsia" w:ascii="宋体" w:hAnsi="宋体" w:eastAsia="宋体" w:cs="宋体"/>
          <w:color w:val="auto"/>
          <w:sz w:val="24"/>
          <w:szCs w:val="24"/>
          <w:highlight w:val="none"/>
        </w:rPr>
      </w:pPr>
    </w:p>
    <w:p w14:paraId="1D00BDB7">
      <w:pPr>
        <w:pStyle w:val="7"/>
        <w:rPr>
          <w:rFonts w:hint="eastAsia" w:ascii="宋体" w:hAnsi="宋体" w:eastAsia="宋体" w:cs="宋体"/>
          <w:color w:val="auto"/>
          <w:sz w:val="24"/>
          <w:szCs w:val="24"/>
          <w:highlight w:val="none"/>
        </w:rPr>
      </w:pPr>
    </w:p>
    <w:p w14:paraId="69EFA096">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1248A7CD">
      <w:pPr>
        <w:spacing w:line="500" w:lineRule="exact"/>
        <w:ind w:firstLine="240" w:firstLineChars="100"/>
        <w:rPr>
          <w:rFonts w:hint="eastAsia" w:ascii="宋体" w:hAnsi="宋体" w:eastAsia="宋体" w:cs="宋体"/>
          <w:color w:val="auto"/>
          <w:sz w:val="24"/>
          <w:szCs w:val="24"/>
          <w:highlight w:val="none"/>
        </w:rPr>
      </w:pPr>
    </w:p>
    <w:p w14:paraId="0AB47683">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C61CD62">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0A901E9">
      <w:pPr>
        <w:pageBreakBefore w:val="0"/>
        <w:kinsoku/>
        <w:wordWrap/>
        <w:topLinePunct w:val="0"/>
        <w:bidi w:val="0"/>
        <w:spacing w:line="520" w:lineRule="exact"/>
        <w:ind w:firstLine="2400" w:firstLineChars="1000"/>
        <w:rPr>
          <w:rFonts w:hint="eastAsia" w:ascii="宋体" w:hAnsi="宋体" w:cs="宋体"/>
          <w:sz w:val="24"/>
          <w:highlight w:val="none"/>
        </w:rPr>
      </w:pPr>
      <w:r>
        <w:rPr>
          <w:rFonts w:hint="eastAsia" w:ascii="宋体" w:hAnsi="宋体" w:eastAsia="宋体" w:cs="宋体"/>
          <w:color w:val="auto"/>
          <w:sz w:val="24"/>
          <w:szCs w:val="24"/>
          <w:highlight w:val="none"/>
        </w:rPr>
        <w:t>日      期：      年   月    日</w:t>
      </w:r>
    </w:p>
    <w:p w14:paraId="2CC32EB8">
      <w:pPr>
        <w:spacing w:line="560" w:lineRule="exact"/>
        <w:ind w:firstLine="361" w:firstLineChars="150"/>
        <w:jc w:val="center"/>
        <w:rPr>
          <w:rFonts w:hint="eastAsia" w:ascii="宋体" w:hAnsi="宋体" w:cs="宋体"/>
          <w:b/>
          <w:sz w:val="24"/>
          <w:szCs w:val="24"/>
          <w:lang w:val="en-US" w:eastAsia="zh-CN"/>
        </w:rPr>
      </w:pPr>
      <w:r>
        <w:rPr>
          <w:rFonts w:hint="eastAsia" w:ascii="宋体" w:hAnsi="宋体" w:eastAsia="宋体" w:cs="宋体"/>
          <w:b/>
          <w:sz w:val="24"/>
          <w:szCs w:val="24"/>
        </w:rPr>
        <w:br w:type="page"/>
      </w:r>
      <w:r>
        <w:rPr>
          <w:rFonts w:hint="eastAsia" w:ascii="宋体" w:hAnsi="宋体" w:cs="宋体"/>
          <w:b/>
          <w:sz w:val="24"/>
          <w:szCs w:val="24"/>
          <w:lang w:val="en-US" w:eastAsia="zh-CN"/>
        </w:rPr>
        <w:t>12、磋商保证金缴纳凭证（附开户许可证或基本账户存款信息）；</w:t>
      </w:r>
    </w:p>
    <w:p w14:paraId="026DCBB9">
      <w:pPr>
        <w:spacing w:line="560" w:lineRule="exact"/>
        <w:ind w:firstLine="360" w:firstLineChars="150"/>
        <w:jc w:val="left"/>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 xml:space="preserve"> 1、若采用银行转账形式的，供应商须在此附交纳保证金的转账凭证及开户许可证扫描件或者基本账户存款信息（加盖公章）；</w:t>
      </w:r>
    </w:p>
    <w:p w14:paraId="7349BE2E">
      <w:pPr>
        <w:spacing w:line="560" w:lineRule="exact"/>
        <w:ind w:firstLine="360" w:firstLineChars="150"/>
        <w:jc w:val="left"/>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2、若采用银行保函形式的，供应商须在此附银行保函扫描件及开户许可证扫描件（加盖公章）；</w:t>
      </w:r>
    </w:p>
    <w:p w14:paraId="73F2423E">
      <w:pPr>
        <w:spacing w:line="560" w:lineRule="exact"/>
        <w:ind w:firstLine="360" w:firstLineChars="150"/>
        <w:jc w:val="left"/>
        <w:rPr>
          <w:rFonts w:hint="eastAsia" w:ascii="宋体" w:hAnsi="宋体" w:cs="宋体"/>
          <w:b/>
          <w:sz w:val="24"/>
          <w:szCs w:val="24"/>
          <w:lang w:val="en-US" w:eastAsia="zh-CN"/>
        </w:rPr>
      </w:pPr>
      <w:r>
        <w:rPr>
          <w:rFonts w:hint="eastAsia" w:ascii="宋体" w:hAnsi="宋体" w:cs="宋体"/>
          <w:b w:val="0"/>
          <w:bCs/>
          <w:sz w:val="24"/>
          <w:szCs w:val="24"/>
          <w:lang w:val="en-US" w:eastAsia="zh-CN"/>
        </w:rPr>
        <w:t>3、若采用信用担保形式的，须将信用担保函扫描件装订在磋商响应文件中；</w:t>
      </w:r>
      <w:r>
        <w:rPr>
          <w:rFonts w:hint="eastAsia" w:ascii="宋体" w:hAnsi="宋体" w:cs="宋体"/>
          <w:b w:val="0"/>
          <w:bCs/>
          <w:sz w:val="24"/>
          <w:szCs w:val="24"/>
          <w:lang w:val="en-US" w:eastAsia="zh-CN"/>
        </w:rPr>
        <w:br w:type="page"/>
      </w:r>
      <w:r>
        <w:rPr>
          <w:rFonts w:hint="eastAsia" w:ascii="宋体" w:hAnsi="宋体" w:cs="宋体"/>
          <w:b/>
          <w:sz w:val="24"/>
          <w:szCs w:val="24"/>
          <w:lang w:val="en-US" w:eastAsia="zh-CN"/>
        </w:rPr>
        <w:t xml:space="preserve">13、中小企业声明函（本项目专门面向中小企业采购，非中小企业单位（监狱企业、残疾人福利单位除外）不得参与）。 </w:t>
      </w:r>
    </w:p>
    <w:p w14:paraId="57498F6E">
      <w:pPr>
        <w:spacing w:line="560" w:lineRule="exact"/>
        <w:ind w:firstLine="361" w:firstLineChars="150"/>
        <w:jc w:val="center"/>
        <w:rPr>
          <w:rFonts w:hint="eastAsia" w:ascii="宋体" w:hAnsi="宋体" w:eastAsia="宋体" w:cs="Times New Roman"/>
          <w:color w:val="auto"/>
          <w:sz w:val="24"/>
        </w:rPr>
      </w:pPr>
      <w:r>
        <w:rPr>
          <w:rFonts w:hint="eastAsia" w:ascii="宋体" w:hAnsi="宋体" w:cs="宋体"/>
          <w:b/>
          <w:sz w:val="24"/>
          <w:szCs w:val="24"/>
          <w:lang w:val="en-US" w:eastAsia="zh-CN"/>
        </w:rPr>
        <w:t>中小企业声明函</w:t>
      </w:r>
    </w:p>
    <w:p w14:paraId="1C774584">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本公司郑重声明，根据《政府采购促进中小企业发展管理办法》（财库〔2020〕46号）的规定，本公司参加</w:t>
      </w:r>
      <w:r>
        <w:rPr>
          <w:rFonts w:hint="eastAsia" w:ascii="宋体" w:hAnsi="宋体" w:eastAsia="宋体" w:cs="Times New Roman"/>
          <w:color w:val="auto"/>
          <w:sz w:val="24"/>
          <w:u w:val="single"/>
        </w:rPr>
        <w:t xml:space="preserve"> （单位名称） </w:t>
      </w:r>
      <w:r>
        <w:rPr>
          <w:rFonts w:hint="eastAsia" w:ascii="宋体" w:hAnsi="宋体" w:eastAsia="宋体" w:cs="Times New Roman"/>
          <w:color w:val="auto"/>
          <w:sz w:val="24"/>
        </w:rPr>
        <w:t>的</w:t>
      </w:r>
      <w:r>
        <w:rPr>
          <w:rFonts w:hint="eastAsia" w:ascii="宋体" w:hAnsi="宋体" w:eastAsia="宋体" w:cs="Times New Roman"/>
          <w:color w:val="auto"/>
          <w:sz w:val="24"/>
          <w:u w:val="single"/>
        </w:rPr>
        <w:t xml:space="preserve"> （项目名称） </w:t>
      </w:r>
      <w:r>
        <w:rPr>
          <w:rFonts w:hint="eastAsia" w:ascii="宋体" w:hAnsi="宋体" w:eastAsia="宋体" w:cs="Times New Roman"/>
          <w:color w:val="auto"/>
          <w:sz w:val="24"/>
        </w:rPr>
        <w:t>采购活动，</w:t>
      </w:r>
      <w:r>
        <w:rPr>
          <w:rFonts w:hint="eastAsia" w:ascii="宋体" w:hAnsi="宋体" w:eastAsia="宋体" w:cs="Times New Roman"/>
          <w:color w:val="auto"/>
          <w:sz w:val="24"/>
          <w:lang w:val="en-US" w:eastAsia="zh-CN"/>
        </w:rPr>
        <w:t>服务全部由符合政策要求的中小企业承接</w:t>
      </w:r>
      <w:r>
        <w:rPr>
          <w:rFonts w:hint="eastAsia" w:ascii="宋体" w:hAnsi="宋体" w:eastAsia="宋体" w:cs="Times New Roman"/>
          <w:color w:val="auto"/>
          <w:sz w:val="24"/>
        </w:rPr>
        <w:t>。相关企业的具体情况如下：</w:t>
      </w:r>
    </w:p>
    <w:p w14:paraId="4657568C">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u w:val="single"/>
        </w:rPr>
        <w:t xml:space="preserve">  （标的名称）  </w:t>
      </w:r>
      <w:r>
        <w:rPr>
          <w:rFonts w:hint="eastAsia" w:ascii="宋体" w:hAnsi="宋体" w:eastAsia="宋体" w:cs="Times New Roman"/>
          <w:color w:val="auto"/>
          <w:sz w:val="24"/>
        </w:rPr>
        <w:t>，属于</w:t>
      </w:r>
      <w:r>
        <w:rPr>
          <w:rFonts w:hint="eastAsia" w:ascii="宋体" w:hAnsi="宋体" w:eastAsia="宋体" w:cs="Times New Roman"/>
          <w:color w:val="auto"/>
          <w:sz w:val="24"/>
          <w:u w:val="single"/>
        </w:rPr>
        <w:t xml:space="preserve"> </w:t>
      </w:r>
      <w:r>
        <w:rPr>
          <w:rFonts w:hint="eastAsia" w:ascii="宋体" w:hAnsi="宋体" w:eastAsia="宋体" w:cs="Times New Roman"/>
          <w:b/>
          <w:bCs/>
          <w:color w:val="auto"/>
          <w:sz w:val="24"/>
          <w:u w:val="single"/>
        </w:rPr>
        <w:t>（餐饮业）</w:t>
      </w:r>
      <w:r>
        <w:rPr>
          <w:rFonts w:hint="eastAsia" w:ascii="宋体" w:hAnsi="宋体" w:eastAsia="宋体" w:cs="Times New Roman"/>
          <w:color w:val="auto"/>
          <w:sz w:val="24"/>
          <w:u w:val="single"/>
        </w:rPr>
        <w:t xml:space="preserve"> 行业</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承接企业</w:t>
      </w:r>
      <w:r>
        <w:rPr>
          <w:rFonts w:hint="eastAsia" w:ascii="宋体" w:hAnsi="宋体" w:eastAsia="宋体" w:cs="Times New Roman"/>
          <w:color w:val="auto"/>
          <w:sz w:val="24"/>
        </w:rPr>
        <w:t>为</w:t>
      </w:r>
      <w:r>
        <w:rPr>
          <w:rFonts w:hint="eastAsia" w:ascii="宋体" w:hAnsi="宋体" w:eastAsia="宋体" w:cs="Times New Roman"/>
          <w:color w:val="auto"/>
          <w:sz w:val="24"/>
          <w:u w:val="single"/>
        </w:rPr>
        <w:t xml:space="preserve"> （企业名称） </w:t>
      </w:r>
      <w:r>
        <w:rPr>
          <w:rFonts w:hint="eastAsia" w:ascii="宋体" w:hAnsi="宋体" w:eastAsia="宋体" w:cs="Times New Roman"/>
          <w:color w:val="auto"/>
          <w:sz w:val="24"/>
        </w:rPr>
        <w:t>，从业人员</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人，营业收入为</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万元，资产总额为</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万元，属于</w:t>
      </w:r>
      <w:r>
        <w:rPr>
          <w:rFonts w:hint="eastAsia" w:ascii="宋体" w:hAnsi="宋体" w:eastAsia="宋体" w:cs="Times New Roman"/>
          <w:color w:val="auto"/>
          <w:sz w:val="24"/>
          <w:u w:val="single"/>
        </w:rPr>
        <w:t>（中型企业、小型企业、微型企业）</w:t>
      </w:r>
      <w:r>
        <w:rPr>
          <w:rFonts w:hint="eastAsia" w:ascii="宋体" w:hAnsi="宋体" w:eastAsia="宋体" w:cs="Times New Roman"/>
          <w:color w:val="auto"/>
          <w:sz w:val="24"/>
        </w:rPr>
        <w:t>；</w:t>
      </w:r>
    </w:p>
    <w:p w14:paraId="61C01524">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w:t>
      </w:r>
    </w:p>
    <w:p w14:paraId="7095F75B">
      <w:pPr>
        <w:snapToGrid w:val="0"/>
        <w:spacing w:line="360" w:lineRule="auto"/>
        <w:ind w:right="142" w:firstLine="480" w:firstLineChars="200"/>
        <w:jc w:val="left"/>
        <w:rPr>
          <w:rFonts w:hint="eastAsia" w:ascii="宋体" w:hAnsi="宋体" w:eastAsia="宋体" w:cs="宋体"/>
          <w:sz w:val="24"/>
          <w:szCs w:val="24"/>
        </w:rPr>
      </w:pPr>
    </w:p>
    <w:p w14:paraId="7209B8DA">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E7FD923">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BABFBCF">
      <w:pPr>
        <w:snapToGrid w:val="0"/>
        <w:spacing w:line="360" w:lineRule="auto"/>
        <w:ind w:right="142" w:firstLine="4560" w:firstLineChars="1900"/>
        <w:jc w:val="left"/>
        <w:rPr>
          <w:rFonts w:hint="eastAsia" w:ascii="宋体" w:hAnsi="宋体" w:eastAsia="宋体" w:cs="宋体"/>
          <w:sz w:val="24"/>
          <w:szCs w:val="24"/>
        </w:rPr>
      </w:pPr>
    </w:p>
    <w:p w14:paraId="37C60F96">
      <w:pPr>
        <w:snapToGrid w:val="0"/>
        <w:spacing w:line="360" w:lineRule="auto"/>
        <w:ind w:right="142" w:firstLine="4560" w:firstLineChars="1900"/>
        <w:jc w:val="left"/>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9B8840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sz w:val="24"/>
          <w:szCs w:val="24"/>
        </w:rPr>
        <w:t>日期</w:t>
      </w:r>
      <w:r>
        <w:rPr>
          <w:rFonts w:hint="eastAsia" w:ascii="宋体" w:hAnsi="宋体" w:eastAsia="宋体" w:cs="宋体"/>
          <w:b w:val="0"/>
          <w:bCs w:val="0"/>
          <w:i w:val="0"/>
          <w:iCs w:val="0"/>
          <w:sz w:val="24"/>
          <w:szCs w:val="24"/>
          <w:highlight w:val="none"/>
          <w:lang w:val="en-US" w:eastAsia="zh-CN"/>
        </w:rPr>
        <w:t>：</w:t>
      </w:r>
    </w:p>
    <w:p w14:paraId="0F9690DD">
      <w:pPr>
        <w:spacing w:line="500" w:lineRule="exact"/>
        <w:ind w:firstLine="480"/>
        <w:rPr>
          <w:rFonts w:hint="eastAsia" w:ascii="宋体" w:hAnsi="宋体" w:eastAsia="宋体" w:cs="Times New Roman"/>
          <w:color w:val="auto"/>
          <w:sz w:val="24"/>
        </w:rPr>
      </w:pPr>
    </w:p>
    <w:p w14:paraId="1837FE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说明：</w:t>
      </w:r>
      <w:r>
        <w:rPr>
          <w:rFonts w:hint="eastAsia" w:ascii="宋体" w:hAnsi="宋体" w:eastAsia="宋体" w:cs="宋体"/>
          <w:sz w:val="21"/>
          <w:szCs w:val="21"/>
          <w:highlight w:val="none"/>
        </w:rPr>
        <w:t xml:space="preserve">                                  </w:t>
      </w:r>
    </w:p>
    <w:p w14:paraId="02EE008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1、本项目属于餐饮业。</w:t>
      </w:r>
    </w:p>
    <w:p w14:paraId="0475829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sz w:val="21"/>
          <w:szCs w:val="21"/>
          <w:highlight w:val="none"/>
          <w:lang w:val="en-US" w:eastAsia="zh-CN"/>
        </w:rPr>
        <w:t>2、如不是该类企业则不需提供相关声明，若提供虚假材料谋取中标、成交的，将按照《中华人民共</w:t>
      </w:r>
      <w:r>
        <w:rPr>
          <w:rFonts w:hint="eastAsia" w:ascii="宋体" w:hAnsi="宋体" w:eastAsia="宋体" w:cs="宋体"/>
          <w:b w:val="0"/>
          <w:bCs w:val="0"/>
          <w:sz w:val="21"/>
          <w:szCs w:val="21"/>
          <w:highlight w:val="none"/>
        </w:rPr>
        <w:t>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610FDA">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Times New Roman"/>
          <w:b w:val="0"/>
          <w:bCs/>
          <w:color w:val="auto"/>
          <w:sz w:val="21"/>
          <w:szCs w:val="21"/>
        </w:rPr>
      </w:pPr>
      <w:r>
        <w:rPr>
          <w:rFonts w:hint="eastAsia" w:ascii="宋体" w:hAnsi="宋体" w:eastAsia="宋体" w:cs="Times New Roman"/>
          <w:b w:val="0"/>
          <w:bCs/>
          <w:color w:val="auto"/>
          <w:sz w:val="21"/>
          <w:szCs w:val="21"/>
          <w:lang w:val="en-US" w:eastAsia="zh-CN"/>
        </w:rPr>
        <w:t>3、</w:t>
      </w:r>
      <w:r>
        <w:rPr>
          <w:rFonts w:hint="eastAsia" w:ascii="宋体" w:hAnsi="宋体" w:eastAsia="宋体" w:cs="Times New Roman"/>
          <w:b w:val="0"/>
          <w:bCs/>
          <w:color w:val="auto"/>
          <w:sz w:val="21"/>
          <w:szCs w:val="21"/>
        </w:rPr>
        <w:t>从业人员、营业收入、资产总额填报上一年度数据，无上一年度数据的新成立企业可不填报；</w:t>
      </w:r>
    </w:p>
    <w:p w14:paraId="2F71BF7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b w:val="0"/>
          <w:bCs/>
          <w:color w:val="auto"/>
          <w:sz w:val="21"/>
          <w:szCs w:val="21"/>
        </w:rPr>
      </w:pPr>
      <w:r>
        <w:rPr>
          <w:rFonts w:hint="eastAsia" w:ascii="宋体" w:hAnsi="宋体" w:eastAsia="宋体" w:cs="Times New Roman"/>
          <w:b w:val="0"/>
          <w:bCs/>
          <w:color w:val="auto"/>
          <w:sz w:val="21"/>
          <w:szCs w:val="21"/>
          <w:lang w:val="en-US" w:eastAsia="zh-CN"/>
        </w:rPr>
        <w:t>4、</w:t>
      </w:r>
      <w:r>
        <w:rPr>
          <w:rFonts w:hint="eastAsia" w:ascii="宋体" w:hAnsi="宋体" w:eastAsia="宋体" w:cs="Times New Roman"/>
          <w:b w:val="0"/>
          <w:bCs/>
          <w:color w:val="auto"/>
          <w:sz w:val="21"/>
          <w:szCs w:val="21"/>
        </w:rPr>
        <w:t>若为监狱企业、残疾人福利单位提供监狱企业证明文件或残疾人福利性单位声明函；详见附件一及附件二。</w:t>
      </w:r>
    </w:p>
    <w:p w14:paraId="083E27F5">
      <w:pPr>
        <w:spacing w:line="500" w:lineRule="exact"/>
        <w:rPr>
          <w:rFonts w:ascii="宋体" w:hAnsi="宋体" w:eastAsia="宋体" w:cs="Times New Roman"/>
          <w:b/>
          <w:color w:val="auto"/>
          <w:sz w:val="24"/>
        </w:rPr>
      </w:pPr>
      <w:r>
        <w:rPr>
          <w:rFonts w:hint="eastAsia" w:ascii="宋体" w:hAnsi="宋体" w:eastAsia="宋体" w:cs="Times New Roman"/>
          <w:b/>
          <w:color w:val="auto"/>
          <w:sz w:val="24"/>
        </w:rPr>
        <w:br w:type="page"/>
      </w:r>
      <w:r>
        <w:rPr>
          <w:rFonts w:hint="eastAsia" w:ascii="宋体" w:hAnsi="宋体" w:eastAsia="宋体" w:cs="Times New Roman"/>
          <w:b/>
          <w:color w:val="auto"/>
          <w:sz w:val="24"/>
        </w:rPr>
        <w:t>附：《</w:t>
      </w:r>
      <w:r>
        <w:rPr>
          <w:rFonts w:ascii="宋体" w:hAnsi="宋体" w:eastAsia="宋体" w:cs="Times New Roman"/>
          <w:b/>
          <w:color w:val="auto"/>
          <w:sz w:val="24"/>
        </w:rPr>
        <w:t>中小企业划型标准规定</w:t>
      </w:r>
      <w:r>
        <w:rPr>
          <w:rFonts w:hint="eastAsia" w:ascii="宋体" w:hAnsi="宋体" w:eastAsia="宋体" w:cs="Times New Roman"/>
          <w:b/>
          <w:color w:val="auto"/>
          <w:sz w:val="24"/>
        </w:rPr>
        <w:t>》</w:t>
      </w:r>
      <w:r>
        <w:rPr>
          <w:rFonts w:ascii="宋体" w:hAnsi="宋体" w:eastAsia="宋体" w:cs="Times New Roman"/>
          <w:b/>
          <w:color w:val="auto"/>
          <w:sz w:val="24"/>
        </w:rPr>
        <w:t>各行业划型标准</w:t>
      </w:r>
    </w:p>
    <w:p w14:paraId="79B8D010">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（一）农、林、牧、渔业。营业收入20000万元以下的为中小微型企业。其中，营业收入500万元及以上的为中型企业，营业收入50万元及以上的为小型企业，营业收入50万元以下的为微型企业。</w:t>
      </w:r>
    </w:p>
    <w:p w14:paraId="65146E49">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7F941C">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4ADFA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8965F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CB0141F">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8BF444">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0A2919">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1849BD">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7B8258">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933004">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70907A">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0A9D3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5DE9F">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FC6B12">
      <w:pPr>
        <w:spacing w:line="500" w:lineRule="exact"/>
        <w:ind w:firstLine="480"/>
        <w:rPr>
          <w:rFonts w:hint="eastAsia" w:ascii="宋体" w:hAnsi="宋体" w:eastAsia="宋体" w:cs="Times New Roman"/>
          <w:color w:val="auto"/>
          <w:sz w:val="24"/>
        </w:rPr>
      </w:pPr>
      <w:r>
        <w:rPr>
          <w:rFonts w:ascii="宋体" w:hAnsi="宋体" w:eastAsia="宋体" w:cs="Times New Roman"/>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7D7B79">
      <w:pPr>
        <w:autoSpaceDE w:val="0"/>
        <w:autoSpaceDN w:val="0"/>
        <w:adjustRightInd w:val="0"/>
        <w:spacing w:line="500" w:lineRule="exact"/>
        <w:ind w:firstLine="480" w:firstLineChars="200"/>
        <w:rPr>
          <w:rFonts w:ascii="宋体" w:hAnsi="宋体" w:eastAsia="宋体" w:cs="Times New Roman"/>
          <w:color w:val="auto"/>
          <w:sz w:val="24"/>
        </w:rPr>
      </w:pPr>
      <w:r>
        <w:rPr>
          <w:rFonts w:ascii="宋体" w:hAnsi="宋体" w:eastAsia="宋体" w:cs="Times New Roman"/>
          <w:color w:val="auto"/>
          <w:sz w:val="24"/>
        </w:rPr>
        <w:t>（十六）其他未列明行业。从业人员300人以下的为中小微型企业。其中，从业人员100人及以上的为中型企业；从业人员10人及以上的为小型企业；从业人员10人以下的为微型企业。</w:t>
      </w:r>
    </w:p>
    <w:p w14:paraId="0AC867D7">
      <w:pPr>
        <w:autoSpaceDE w:val="0"/>
        <w:autoSpaceDN w:val="0"/>
        <w:adjustRightInd w:val="0"/>
        <w:spacing w:line="500"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rPr>
        <w:br w:type="page"/>
      </w:r>
      <w:r>
        <w:rPr>
          <w:rFonts w:hint="eastAsia" w:ascii="宋体" w:hAnsi="宋体" w:eastAsia="宋体" w:cs="宋体"/>
          <w:b/>
          <w:bCs/>
          <w:color w:val="auto"/>
          <w:sz w:val="24"/>
        </w:rPr>
        <w:t>附件一：</w:t>
      </w:r>
      <w:r>
        <w:rPr>
          <w:rFonts w:hint="eastAsia" w:ascii="宋体" w:hAnsi="宋体" w:eastAsia="宋体" w:cs="宋体"/>
          <w:b/>
          <w:bCs/>
          <w:color w:val="auto"/>
          <w:sz w:val="24"/>
          <w:lang w:val="zh-CN"/>
        </w:rPr>
        <w:t>监狱企业证明文件（若有）</w:t>
      </w:r>
    </w:p>
    <w:p w14:paraId="71C56389">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C64844">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监狱企业参加政府采购活动时，应当提供由省级以上监狱管理局、戒毒管理局（含新疆生产建设兵团）出具的属于监狱企业的证明文件。</w:t>
      </w:r>
    </w:p>
    <w:p w14:paraId="262F1329">
      <w:pPr>
        <w:spacing w:line="500" w:lineRule="exact"/>
        <w:ind w:firstLine="480"/>
        <w:rPr>
          <w:rFonts w:hint="eastAsia" w:ascii="宋体" w:hAnsi="宋体" w:eastAsia="宋体" w:cs="Times New Roman"/>
          <w:color w:val="auto"/>
          <w:sz w:val="24"/>
        </w:rPr>
      </w:pPr>
    </w:p>
    <w:p w14:paraId="470A0D07">
      <w:pPr>
        <w:spacing w:line="500" w:lineRule="exact"/>
        <w:ind w:firstLine="480"/>
        <w:rPr>
          <w:rFonts w:hint="eastAsia" w:ascii="宋体" w:hAnsi="宋体" w:eastAsia="宋体" w:cs="Times New Roman"/>
          <w:color w:val="auto"/>
          <w:sz w:val="24"/>
        </w:rPr>
      </w:pPr>
    </w:p>
    <w:p w14:paraId="169ECAE1">
      <w:pPr>
        <w:spacing w:line="500" w:lineRule="exact"/>
        <w:ind w:left="600" w:hanging="600" w:hangingChars="250"/>
        <w:rPr>
          <w:rFonts w:hint="eastAsia" w:ascii="宋体" w:hAnsi="宋体" w:eastAsia="宋体" w:cs="Times New Roman"/>
          <w:color w:val="auto"/>
          <w:sz w:val="24"/>
        </w:rPr>
      </w:pPr>
      <w:r>
        <w:rPr>
          <w:rFonts w:hint="eastAsia" w:ascii="宋体" w:hAnsi="宋体" w:eastAsia="宋体" w:cs="Times New Roman"/>
          <w:color w:val="auto"/>
          <w:sz w:val="24"/>
        </w:rPr>
        <w:t>监狱企业</w:t>
      </w:r>
      <w:r>
        <w:rPr>
          <w:rFonts w:hint="eastAsia" w:ascii="宋体" w:hAnsi="宋体" w:eastAsia="宋体" w:cs="Times New Roman"/>
          <w:color w:val="auto"/>
          <w:sz w:val="24"/>
          <w:lang w:eastAsia="zh-CN"/>
        </w:rPr>
        <w:t>磋商</w:t>
      </w:r>
      <w:r>
        <w:rPr>
          <w:rFonts w:hint="eastAsia" w:ascii="宋体" w:hAnsi="宋体" w:eastAsia="宋体" w:cs="Times New Roman"/>
          <w:color w:val="auto"/>
          <w:sz w:val="24"/>
        </w:rPr>
        <w:t>时，应当提供由省级以上监狱管理局、戒毒管理局（含新疆生产建设兵团）出具的属于监狱企业的证明文件（格式不做要求）。</w:t>
      </w:r>
    </w:p>
    <w:p w14:paraId="1601F800">
      <w:pPr>
        <w:spacing w:line="500" w:lineRule="exact"/>
        <w:jc w:val="center"/>
        <w:rPr>
          <w:rFonts w:hint="eastAsia" w:ascii="宋体" w:hAnsi="宋体" w:eastAsia="宋体" w:cs="宋体"/>
          <w:b/>
          <w:color w:val="auto"/>
          <w:spacing w:val="6"/>
          <w:sz w:val="24"/>
        </w:rPr>
      </w:pPr>
    </w:p>
    <w:p w14:paraId="5181EDB1">
      <w:pPr>
        <w:spacing w:line="500" w:lineRule="exact"/>
        <w:jc w:val="center"/>
        <w:rPr>
          <w:rFonts w:hint="eastAsia" w:ascii="宋体" w:hAnsi="宋体" w:eastAsia="宋体" w:cs="宋体"/>
          <w:b/>
          <w:color w:val="auto"/>
          <w:spacing w:val="6"/>
          <w:sz w:val="24"/>
        </w:rPr>
      </w:pPr>
    </w:p>
    <w:p w14:paraId="0BC0C972">
      <w:pPr>
        <w:spacing w:line="500" w:lineRule="exact"/>
        <w:jc w:val="center"/>
        <w:rPr>
          <w:rFonts w:hint="eastAsia" w:ascii="宋体" w:hAnsi="宋体" w:eastAsia="宋体" w:cs="宋体"/>
          <w:b/>
          <w:color w:val="auto"/>
          <w:spacing w:val="6"/>
          <w:sz w:val="24"/>
        </w:rPr>
      </w:pPr>
    </w:p>
    <w:p w14:paraId="62B34A99">
      <w:pPr>
        <w:spacing w:line="500" w:lineRule="exact"/>
        <w:jc w:val="center"/>
        <w:rPr>
          <w:rFonts w:hint="eastAsia" w:ascii="宋体" w:hAnsi="宋体" w:eastAsia="宋体" w:cs="宋体"/>
          <w:b/>
          <w:color w:val="auto"/>
          <w:spacing w:val="6"/>
          <w:sz w:val="24"/>
        </w:rPr>
      </w:pPr>
    </w:p>
    <w:p w14:paraId="5D2B0EB7">
      <w:pPr>
        <w:spacing w:line="500" w:lineRule="exact"/>
        <w:jc w:val="center"/>
        <w:rPr>
          <w:rFonts w:hint="eastAsia" w:ascii="宋体" w:hAnsi="宋体" w:eastAsia="宋体" w:cs="宋体"/>
          <w:b/>
          <w:color w:val="auto"/>
          <w:spacing w:val="6"/>
          <w:sz w:val="24"/>
        </w:rPr>
      </w:pPr>
    </w:p>
    <w:p w14:paraId="4CD0696B">
      <w:pPr>
        <w:spacing w:line="500" w:lineRule="exact"/>
        <w:jc w:val="center"/>
        <w:rPr>
          <w:rFonts w:hint="eastAsia" w:ascii="宋体" w:hAnsi="宋体" w:eastAsia="宋体" w:cs="宋体"/>
          <w:b/>
          <w:color w:val="auto"/>
          <w:spacing w:val="6"/>
          <w:sz w:val="24"/>
        </w:rPr>
      </w:pPr>
    </w:p>
    <w:p w14:paraId="387130D0">
      <w:pPr>
        <w:spacing w:line="500" w:lineRule="exact"/>
        <w:jc w:val="center"/>
        <w:rPr>
          <w:rFonts w:hint="eastAsia" w:ascii="宋体" w:hAnsi="宋体" w:eastAsia="宋体" w:cs="宋体"/>
          <w:b/>
          <w:color w:val="auto"/>
          <w:spacing w:val="6"/>
          <w:sz w:val="24"/>
        </w:rPr>
      </w:pPr>
    </w:p>
    <w:p w14:paraId="1A8AA100">
      <w:pPr>
        <w:spacing w:line="500" w:lineRule="exact"/>
        <w:jc w:val="center"/>
        <w:rPr>
          <w:rFonts w:hint="eastAsia" w:ascii="宋体" w:hAnsi="宋体" w:eastAsia="宋体" w:cs="宋体"/>
          <w:b/>
          <w:color w:val="auto"/>
          <w:spacing w:val="6"/>
          <w:sz w:val="24"/>
        </w:rPr>
      </w:pPr>
    </w:p>
    <w:p w14:paraId="781620FF">
      <w:pPr>
        <w:spacing w:line="500" w:lineRule="exact"/>
        <w:jc w:val="center"/>
        <w:rPr>
          <w:rFonts w:hint="eastAsia" w:ascii="宋体" w:hAnsi="宋体" w:eastAsia="宋体" w:cs="宋体"/>
          <w:b/>
          <w:color w:val="auto"/>
          <w:spacing w:val="6"/>
          <w:sz w:val="24"/>
        </w:rPr>
      </w:pPr>
    </w:p>
    <w:p w14:paraId="004B277F">
      <w:pPr>
        <w:spacing w:line="500" w:lineRule="exact"/>
        <w:jc w:val="center"/>
        <w:rPr>
          <w:rFonts w:hint="eastAsia" w:ascii="宋体" w:hAnsi="宋体" w:eastAsia="宋体" w:cs="宋体"/>
          <w:b/>
          <w:color w:val="auto"/>
          <w:spacing w:val="6"/>
          <w:sz w:val="24"/>
        </w:rPr>
      </w:pPr>
    </w:p>
    <w:p w14:paraId="6804A450">
      <w:pPr>
        <w:spacing w:line="500" w:lineRule="exact"/>
        <w:jc w:val="center"/>
        <w:rPr>
          <w:rFonts w:hint="eastAsia" w:ascii="宋体" w:hAnsi="宋体" w:eastAsia="宋体" w:cs="宋体"/>
          <w:b/>
          <w:color w:val="auto"/>
          <w:spacing w:val="6"/>
          <w:sz w:val="24"/>
        </w:rPr>
      </w:pPr>
    </w:p>
    <w:p w14:paraId="5445932F">
      <w:pPr>
        <w:spacing w:line="500" w:lineRule="exact"/>
        <w:jc w:val="center"/>
        <w:rPr>
          <w:rFonts w:hint="eastAsia" w:ascii="宋体" w:hAnsi="宋体" w:eastAsia="宋体" w:cs="宋体"/>
          <w:b/>
          <w:color w:val="auto"/>
          <w:spacing w:val="6"/>
          <w:sz w:val="24"/>
        </w:rPr>
      </w:pPr>
    </w:p>
    <w:p w14:paraId="166CFDCC">
      <w:pPr>
        <w:pStyle w:val="3"/>
        <w:rPr>
          <w:rFonts w:hint="eastAsia" w:ascii="Times New Roman" w:hAnsi="Times New Roman" w:eastAsia="宋体" w:cs="Times New Roman"/>
          <w:color w:val="auto"/>
        </w:rPr>
      </w:pPr>
    </w:p>
    <w:p w14:paraId="6BCABFA2">
      <w:pPr>
        <w:spacing w:line="500" w:lineRule="exact"/>
        <w:jc w:val="center"/>
        <w:rPr>
          <w:rFonts w:hint="eastAsia" w:ascii="宋体" w:hAnsi="宋体" w:eastAsia="宋体" w:cs="宋体"/>
          <w:b/>
          <w:color w:val="auto"/>
          <w:spacing w:val="6"/>
          <w:sz w:val="24"/>
        </w:rPr>
      </w:pPr>
    </w:p>
    <w:p w14:paraId="756DE59E">
      <w:pPr>
        <w:spacing w:line="500" w:lineRule="exact"/>
        <w:jc w:val="both"/>
        <w:rPr>
          <w:rFonts w:hint="eastAsia" w:ascii="宋体" w:hAnsi="宋体" w:eastAsia="宋体" w:cs="宋体"/>
          <w:b/>
          <w:color w:val="auto"/>
          <w:spacing w:val="6"/>
          <w:sz w:val="24"/>
        </w:rPr>
      </w:pPr>
    </w:p>
    <w:p w14:paraId="357ADEDE">
      <w:pPr>
        <w:spacing w:line="500" w:lineRule="exact"/>
        <w:jc w:val="center"/>
        <w:rPr>
          <w:rFonts w:hint="eastAsia" w:ascii="宋体" w:hAnsi="宋体" w:eastAsia="宋体" w:cs="宋体"/>
          <w:b/>
          <w:color w:val="auto"/>
          <w:kern w:val="0"/>
          <w:sz w:val="24"/>
        </w:rPr>
      </w:pPr>
      <w:r>
        <w:rPr>
          <w:rFonts w:hint="eastAsia" w:ascii="宋体" w:hAnsi="宋体" w:eastAsia="宋体" w:cs="宋体"/>
          <w:b/>
          <w:color w:val="auto"/>
          <w:spacing w:val="6"/>
          <w:sz w:val="24"/>
        </w:rPr>
        <w:t>附件二：残疾人福利性单位声明函</w:t>
      </w:r>
      <w:r>
        <w:rPr>
          <w:rFonts w:hint="eastAsia" w:ascii="宋体" w:hAnsi="宋体" w:eastAsia="宋体" w:cs="宋体"/>
          <w:b/>
          <w:color w:val="auto"/>
          <w:kern w:val="0"/>
          <w:sz w:val="24"/>
        </w:rPr>
        <w:t>（若有）</w:t>
      </w:r>
    </w:p>
    <w:p w14:paraId="034119DB">
      <w:pPr>
        <w:spacing w:line="500" w:lineRule="exact"/>
        <w:ind w:firstLine="504"/>
        <w:jc w:val="both"/>
        <w:rPr>
          <w:rFonts w:ascii="宋体" w:hAnsi="宋体" w:eastAsia="宋体" w:cs="Times New Roman"/>
          <w:color w:val="auto"/>
          <w:spacing w:val="6"/>
          <w:sz w:val="24"/>
        </w:rPr>
      </w:pPr>
      <w:r>
        <w:rPr>
          <w:rFonts w:hint="eastAsia" w:ascii="宋体" w:hAnsi="宋体" w:eastAsia="宋体" w:cs="Times New Roman"/>
          <w:color w:val="auto"/>
          <w:spacing w:val="6"/>
          <w:sz w:val="24"/>
        </w:rPr>
        <w:t>本单位郑重声明，根据《财政部 民政部 中国残疾人联合会关于促进残疾人就业政府采购政策的通知》（财库</w:t>
      </w:r>
      <w:r>
        <w:rPr>
          <w:rFonts w:hint="eastAsia" w:ascii="宋体" w:hAnsi="宋体" w:eastAsia="宋体" w:cs="Times New Roman"/>
          <w:color w:val="auto"/>
          <w:sz w:val="24"/>
        </w:rPr>
        <w:t>〔2017〕 141</w:t>
      </w:r>
      <w:r>
        <w:rPr>
          <w:rFonts w:hint="eastAsia" w:ascii="宋体" w:hAnsi="宋体" w:eastAsia="宋体" w:cs="Times New Roman"/>
          <w:color w:val="auto"/>
          <w:spacing w:val="6"/>
          <w:sz w:val="24"/>
        </w:rPr>
        <w:t>号）的规定，本单位为符合条件的残疾人福利性单位，且本单位参加</w:t>
      </w:r>
      <w:r>
        <w:rPr>
          <w:rFonts w:hint="eastAsia" w:ascii="宋体" w:hAnsi="宋体" w:eastAsia="宋体" w:cs="Times New Roman"/>
          <w:color w:val="auto"/>
          <w:spacing w:val="6"/>
          <w:sz w:val="24"/>
          <w:u w:val="single"/>
        </w:rPr>
        <w:t xml:space="preserve">             </w:t>
      </w:r>
      <w:r>
        <w:rPr>
          <w:rFonts w:hint="eastAsia" w:ascii="宋体" w:hAnsi="宋体" w:eastAsia="宋体" w:cs="Times New Roman"/>
          <w:color w:val="auto"/>
          <w:spacing w:val="6"/>
          <w:sz w:val="24"/>
        </w:rPr>
        <w:t>单位的</w:t>
      </w:r>
      <w:r>
        <w:rPr>
          <w:rFonts w:hint="eastAsia" w:ascii="宋体" w:hAnsi="宋体" w:eastAsia="宋体" w:cs="Times New Roman"/>
          <w:color w:val="auto"/>
          <w:spacing w:val="6"/>
          <w:sz w:val="24"/>
          <w:u w:val="single"/>
        </w:rPr>
        <w:t xml:space="preserve">              </w:t>
      </w:r>
      <w:r>
        <w:rPr>
          <w:rFonts w:hint="eastAsia" w:ascii="宋体" w:hAnsi="宋体" w:eastAsia="宋体" w:cs="Times New Roman"/>
          <w:color w:val="auto"/>
          <w:spacing w:val="6"/>
          <w:sz w:val="24"/>
        </w:rPr>
        <w:t>项目采购活动提供本单位制造的货物（由本单位承担工程/提供服务），或者提供其他残疾人福利性单位制造的货物（不包括使用非残疾人福利性单位注册商标的货物）。</w:t>
      </w:r>
    </w:p>
    <w:p w14:paraId="027CEDDE">
      <w:pPr>
        <w:spacing w:line="500" w:lineRule="exact"/>
        <w:ind w:firstLine="504"/>
        <w:jc w:val="both"/>
        <w:rPr>
          <w:rFonts w:ascii="宋体" w:hAnsi="宋体" w:eastAsia="宋体" w:cs="Times New Roman"/>
          <w:color w:val="auto"/>
          <w:spacing w:val="6"/>
          <w:sz w:val="24"/>
        </w:rPr>
      </w:pPr>
      <w:r>
        <w:rPr>
          <w:rFonts w:hint="eastAsia" w:ascii="宋体" w:hAnsi="宋体" w:eastAsia="宋体" w:cs="Times New Roman"/>
          <w:color w:val="auto"/>
          <w:spacing w:val="6"/>
          <w:sz w:val="24"/>
        </w:rPr>
        <w:t>本单位对上述声明的真实性负责。如有虚假，将依法承担相应责任。</w:t>
      </w:r>
    </w:p>
    <w:p w14:paraId="5D894CBF">
      <w:pPr>
        <w:spacing w:line="500" w:lineRule="exact"/>
        <w:ind w:firstLine="504"/>
        <w:jc w:val="both"/>
        <w:rPr>
          <w:rFonts w:hint="eastAsia" w:ascii="宋体" w:hAnsi="宋体" w:eastAsia="宋体" w:cs="Times New Roman"/>
          <w:color w:val="auto"/>
          <w:spacing w:val="6"/>
          <w:sz w:val="24"/>
        </w:rPr>
      </w:pPr>
      <w:r>
        <w:rPr>
          <w:rFonts w:hint="eastAsia" w:ascii="宋体" w:hAnsi="宋体" w:eastAsia="宋体" w:cs="Times New Roman"/>
          <w:color w:val="auto"/>
          <w:spacing w:val="6"/>
          <w:sz w:val="24"/>
        </w:rPr>
        <w:t>注：如果满足残疾人福利性条件，需提供</w:t>
      </w:r>
      <w:r>
        <w:rPr>
          <w:rFonts w:hint="eastAsia" w:ascii="宋体" w:hAnsi="宋体" w:eastAsia="宋体" w:cs="Times New Roman"/>
          <w:color w:val="auto"/>
          <w:spacing w:val="6"/>
          <w:sz w:val="24"/>
          <w:lang w:eastAsia="zh-CN"/>
        </w:rPr>
        <w:t>磋商</w:t>
      </w:r>
      <w:r>
        <w:rPr>
          <w:rFonts w:hint="eastAsia" w:ascii="宋体" w:hAnsi="宋体" w:eastAsia="宋体" w:cs="Times New Roman"/>
          <w:color w:val="auto"/>
          <w:spacing w:val="6"/>
          <w:sz w:val="24"/>
        </w:rPr>
        <w:t>企业注册地民政部门出具的残疾人福利性企业认定材料和货物制造企业注册地民政部门出具的残疾人福利性企业认定材料。对拟享受残疾人福利性企业价格折扣政策的</w:t>
      </w:r>
      <w:r>
        <w:rPr>
          <w:rFonts w:hint="eastAsia" w:ascii="宋体" w:hAnsi="宋体" w:eastAsia="宋体" w:cs="Times New Roman"/>
          <w:color w:val="auto"/>
          <w:spacing w:val="6"/>
          <w:sz w:val="24"/>
          <w:lang w:eastAsia="zh-CN"/>
        </w:rPr>
        <w:t>磋商</w:t>
      </w:r>
      <w:r>
        <w:rPr>
          <w:rFonts w:hint="eastAsia" w:ascii="宋体" w:hAnsi="宋体" w:eastAsia="宋体" w:cs="Times New Roman"/>
          <w:color w:val="auto"/>
          <w:spacing w:val="6"/>
          <w:sz w:val="24"/>
        </w:rPr>
        <w:t>产品及其报价单独作分类汇总。</w:t>
      </w:r>
    </w:p>
    <w:p w14:paraId="4F82F289">
      <w:pPr>
        <w:spacing w:line="500" w:lineRule="exact"/>
        <w:ind w:firstLine="480"/>
        <w:jc w:val="both"/>
        <w:rPr>
          <w:rFonts w:hint="eastAsia" w:ascii="宋体" w:hAnsi="宋体" w:eastAsia="宋体" w:cs="Times New Roman"/>
          <w:color w:val="auto"/>
          <w:spacing w:val="6"/>
          <w:sz w:val="24"/>
          <w:lang w:eastAsia="zh-CN"/>
        </w:rPr>
      </w:pPr>
      <w:r>
        <w:rPr>
          <w:rFonts w:hint="eastAsia" w:ascii="宋体" w:hAnsi="宋体" w:eastAsia="宋体" w:cs="Times New Roman"/>
          <w:color w:val="auto"/>
          <w:sz w:val="24"/>
        </w:rPr>
        <w:t>残疾人福利性单位</w:t>
      </w:r>
      <w:r>
        <w:rPr>
          <w:rFonts w:hint="eastAsia" w:ascii="宋体" w:hAnsi="宋体" w:eastAsia="宋体" w:cs="Times New Roman"/>
          <w:color w:val="auto"/>
          <w:sz w:val="24"/>
          <w:lang w:eastAsia="zh-CN"/>
        </w:rPr>
        <w:t>磋商</w:t>
      </w:r>
      <w:r>
        <w:rPr>
          <w:rFonts w:hint="eastAsia" w:ascii="宋体" w:hAnsi="宋体" w:eastAsia="宋体" w:cs="Times New Roman"/>
          <w:color w:val="auto"/>
          <w:sz w:val="24"/>
        </w:rPr>
        <w:t>时，应提供声明函（按给定格式）。未提供或未按给定格式提供声明函的</w:t>
      </w:r>
      <w:r>
        <w:rPr>
          <w:rFonts w:hint="eastAsia" w:ascii="宋体" w:hAnsi="宋体" w:eastAsia="宋体" w:cs="Times New Roman"/>
          <w:color w:val="auto"/>
          <w:sz w:val="24"/>
          <w:lang w:eastAsia="zh-CN"/>
        </w:rPr>
        <w:t>。</w:t>
      </w:r>
    </w:p>
    <w:p w14:paraId="49EE7EDE">
      <w:pPr>
        <w:tabs>
          <w:tab w:val="left" w:pos="4860"/>
        </w:tabs>
        <w:spacing w:line="500" w:lineRule="exact"/>
        <w:ind w:right="1686" w:firstLine="504"/>
        <w:rPr>
          <w:rFonts w:hint="eastAsia" w:ascii="宋体" w:hAnsi="宋体" w:eastAsia="宋体" w:cs="Times New Roman"/>
          <w:color w:val="auto"/>
          <w:spacing w:val="6"/>
          <w:sz w:val="24"/>
        </w:rPr>
      </w:pPr>
    </w:p>
    <w:p w14:paraId="2AB4FF6B">
      <w:pPr>
        <w:tabs>
          <w:tab w:val="left" w:pos="4860"/>
        </w:tabs>
        <w:spacing w:line="500" w:lineRule="exact"/>
        <w:ind w:right="1686" w:firstLine="504"/>
        <w:rPr>
          <w:rFonts w:hint="eastAsia" w:ascii="宋体" w:hAnsi="宋体" w:eastAsia="宋体" w:cs="Times New Roman"/>
          <w:color w:val="auto"/>
          <w:spacing w:val="6"/>
          <w:sz w:val="24"/>
        </w:rPr>
      </w:pPr>
    </w:p>
    <w:p w14:paraId="5440D40A">
      <w:pPr>
        <w:spacing w:line="500" w:lineRule="exact"/>
        <w:ind w:firstLine="4759" w:firstLineChars="1983"/>
        <w:rPr>
          <w:rFonts w:hint="eastAsia" w:ascii="宋体" w:hAnsi="宋体" w:eastAsia="宋体" w:cs="Times New Roman"/>
          <w:color w:val="auto"/>
          <w:sz w:val="24"/>
        </w:rPr>
      </w:pPr>
    </w:p>
    <w:p w14:paraId="584D01AD">
      <w:pPr>
        <w:spacing w:line="500" w:lineRule="exact"/>
        <w:ind w:firstLine="4759" w:firstLineChars="1983"/>
        <w:rPr>
          <w:rFonts w:hint="eastAsia" w:ascii="宋体" w:hAnsi="宋体" w:eastAsia="宋体" w:cs="Times New Roman"/>
          <w:color w:val="auto"/>
          <w:sz w:val="24"/>
        </w:rPr>
      </w:pPr>
    </w:p>
    <w:p w14:paraId="7064D482">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供应商全称</w:t>
      </w:r>
      <w:r>
        <w:rPr>
          <w:rFonts w:ascii="宋体" w:hAnsi="宋体" w:eastAsia="宋体" w:cs="Times New Roman"/>
          <w:color w:val="auto"/>
          <w:sz w:val="24"/>
        </w:rPr>
        <w:t>(</w:t>
      </w:r>
      <w:r>
        <w:rPr>
          <w:rFonts w:hint="eastAsia" w:ascii="宋体" w:hAnsi="宋体" w:eastAsia="宋体" w:cs="Times New Roman"/>
          <w:color w:val="auto"/>
          <w:sz w:val="24"/>
        </w:rPr>
        <w:t>盖章</w:t>
      </w:r>
      <w:r>
        <w:rPr>
          <w:rFonts w:ascii="宋体" w:hAnsi="宋体" w:eastAsia="宋体" w:cs="Times New Roman"/>
          <w:color w:val="auto"/>
          <w:sz w:val="24"/>
        </w:rPr>
        <w:t>)</w:t>
      </w:r>
      <w:r>
        <w:rPr>
          <w:rFonts w:hint="eastAsia" w:ascii="宋体" w:hAnsi="宋体" w:eastAsia="宋体" w:cs="Times New Roman"/>
          <w:color w:val="auto"/>
          <w:sz w:val="24"/>
        </w:rPr>
        <w:t>：</w:t>
      </w:r>
    </w:p>
    <w:p w14:paraId="35BE9945">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法人代表人或法定授权代表人</w:t>
      </w:r>
      <w:r>
        <w:rPr>
          <w:rFonts w:ascii="宋体" w:hAnsi="宋体" w:eastAsia="宋体" w:cs="Times New Roman"/>
          <w:color w:val="auto"/>
          <w:sz w:val="24"/>
        </w:rPr>
        <w:t>(</w:t>
      </w:r>
      <w:r>
        <w:rPr>
          <w:rFonts w:hint="eastAsia" w:ascii="宋体" w:hAnsi="宋体" w:eastAsia="宋体" w:cs="Times New Roman"/>
          <w:color w:val="auto"/>
          <w:sz w:val="24"/>
        </w:rPr>
        <w:t>签字或盖章</w:t>
      </w:r>
      <w:r>
        <w:rPr>
          <w:rFonts w:ascii="宋体" w:hAnsi="宋体" w:eastAsia="宋体" w:cs="Times New Roman"/>
          <w:color w:val="auto"/>
          <w:sz w:val="24"/>
        </w:rPr>
        <w:t>)</w:t>
      </w:r>
      <w:r>
        <w:rPr>
          <w:rFonts w:hint="eastAsia" w:ascii="宋体" w:hAnsi="宋体" w:eastAsia="宋体" w:cs="Times New Roman"/>
          <w:color w:val="auto"/>
          <w:sz w:val="24"/>
        </w:rPr>
        <w:t>：</w:t>
      </w:r>
    </w:p>
    <w:p w14:paraId="76C1DFD0">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日  期：</w:t>
      </w:r>
    </w:p>
    <w:p w14:paraId="33D50A96">
      <w:pPr>
        <w:spacing w:line="500" w:lineRule="exact"/>
        <w:ind w:firstLine="480"/>
        <w:rPr>
          <w:rFonts w:hint="eastAsia" w:ascii="宋体" w:hAnsi="宋体" w:eastAsia="宋体" w:cs="Times New Roman"/>
          <w:b/>
          <w:color w:val="auto"/>
          <w:sz w:val="24"/>
        </w:rPr>
      </w:pPr>
      <w:r>
        <w:rPr>
          <w:rFonts w:hint="eastAsia" w:ascii="宋体" w:hAnsi="宋体" w:eastAsia="宋体" w:cs="Times New Roman"/>
          <w:color w:val="auto"/>
          <w:sz w:val="24"/>
        </w:rPr>
        <w:br w:type="page"/>
      </w:r>
      <w:r>
        <w:rPr>
          <w:rFonts w:hint="eastAsia" w:ascii="宋体" w:hAnsi="宋体" w:eastAsia="宋体" w:cs="Times New Roman"/>
          <w:b/>
          <w:color w:val="auto"/>
          <w:sz w:val="24"/>
        </w:rPr>
        <w:t>附：《财政部 民政部 中国残疾人联合会关于促进残疾人就业政府采购政策的通知》</w:t>
      </w:r>
    </w:p>
    <w:p w14:paraId="56D47EBB">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享受政府采购支持政策的残疾人福利性单位应当同时满足以下条件：</w:t>
      </w:r>
    </w:p>
    <w:p w14:paraId="694AB373">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（1）安置的残疾人占本单位在职职工人数的比例不低于25%（含25%），并且安置的残疾人人数不少于10人（含10人）；</w:t>
      </w:r>
    </w:p>
    <w:p w14:paraId="25F47CE9">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（2）依法与安置的每位残疾人签订了一年以上（含一年）的劳动合同或服务协议；</w:t>
      </w:r>
    </w:p>
    <w:p w14:paraId="0EA2915B">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（3）为安置的每位残疾人按月足额缴纳了基本养老保险、基本医疗保险、失业保险、工伤保险和生育保险等社会保险费；</w:t>
      </w:r>
    </w:p>
    <w:p w14:paraId="516C81A7">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（4）通过银行等金融机构向安置的每位残疾人，按月支付了不低于单位所在区县适用的经省级人民政府批准的月最低工资标准的工资；</w:t>
      </w:r>
    </w:p>
    <w:p w14:paraId="11DD249D">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（5）提供本单位制造的货物、承担的工程或者服务（以下简称产品），或者提供其他残疾人福利性单位制造的货物（不包括使用非残疾人福利性单位注册商标的货物）。</w:t>
      </w:r>
    </w:p>
    <w:p w14:paraId="711E10CD">
      <w:pPr>
        <w:autoSpaceDE w:val="0"/>
        <w:autoSpaceDN w:val="0"/>
        <w:adjustRightInd w:val="0"/>
        <w:spacing w:line="500" w:lineRule="exact"/>
        <w:jc w:val="both"/>
        <w:rPr>
          <w:rFonts w:hint="eastAsia" w:ascii="宋体" w:hAnsi="宋体" w:eastAsia="宋体" w:cs="宋体"/>
          <w:b/>
          <w:bCs/>
          <w:color w:val="auto"/>
          <w:szCs w:val="28"/>
        </w:rPr>
      </w:pPr>
      <w:r>
        <w:rPr>
          <w:rFonts w:hint="eastAsia" w:ascii="宋体" w:hAnsi="宋体" w:eastAsia="宋体" w:cs="Times New Roman"/>
          <w:color w:val="auto"/>
          <w:sz w:val="24"/>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9A9382">
      <w:pPr>
        <w:spacing w:line="560" w:lineRule="exact"/>
        <w:ind w:firstLine="361" w:firstLineChars="150"/>
        <w:jc w:val="center"/>
        <w:rPr>
          <w:rFonts w:hint="eastAsia" w:ascii="宋体" w:hAnsi="宋体" w:eastAsia="宋体" w:cs="宋体"/>
          <w:b/>
          <w:kern w:val="0"/>
          <w:sz w:val="28"/>
          <w:szCs w:val="28"/>
          <w:lang w:val="en-US" w:eastAsia="zh-CN"/>
        </w:rPr>
      </w:pPr>
      <w:r>
        <w:rPr>
          <w:rFonts w:hint="eastAsia" w:ascii="宋体" w:hAnsi="宋体" w:eastAsia="宋体" w:cs="宋体"/>
          <w:b/>
          <w:sz w:val="24"/>
          <w:szCs w:val="24"/>
        </w:rPr>
        <w:br w:type="page"/>
      </w:r>
      <w:r>
        <w:rPr>
          <w:rFonts w:hint="eastAsia" w:ascii="宋体" w:hAnsi="宋体" w:cs="宋体"/>
          <w:b/>
          <w:kern w:val="0"/>
          <w:sz w:val="28"/>
          <w:szCs w:val="28"/>
          <w:lang w:eastAsia="zh-CN"/>
        </w:rPr>
        <w:t>七</w:t>
      </w:r>
      <w:r>
        <w:rPr>
          <w:rFonts w:hint="eastAsia" w:ascii="宋体" w:hAnsi="宋体" w:eastAsia="宋体" w:cs="宋体"/>
          <w:b/>
          <w:kern w:val="0"/>
          <w:sz w:val="28"/>
          <w:szCs w:val="28"/>
          <w:lang w:eastAsia="zh-CN"/>
        </w:rPr>
        <w:t>、其他资料</w:t>
      </w:r>
    </w:p>
    <w:p w14:paraId="1B453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1、政府采购供应商拒绝政府采购</w:t>
      </w:r>
      <w:bookmarkStart w:id="1" w:name="_Toc435777821"/>
      <w:bookmarkStart w:id="2" w:name="_Toc438541326"/>
      <w:bookmarkStart w:id="3" w:name="_Toc437247481"/>
      <w:bookmarkStart w:id="4" w:name="_Toc28167"/>
      <w:bookmarkStart w:id="5" w:name="_Toc437425973"/>
      <w:r>
        <w:rPr>
          <w:rFonts w:hint="eastAsia" w:ascii="宋体" w:hAnsi="宋体" w:eastAsia="宋体" w:cs="宋体"/>
          <w:b/>
          <w:sz w:val="24"/>
          <w:szCs w:val="24"/>
        </w:rPr>
        <w:t>领域</w:t>
      </w:r>
      <w:bookmarkStart w:id="6" w:name="_Toc435776434"/>
      <w:bookmarkStart w:id="7" w:name="_Toc435777721"/>
      <w:r>
        <w:rPr>
          <w:rFonts w:hint="eastAsia" w:ascii="宋体" w:hAnsi="宋体" w:eastAsia="宋体" w:cs="宋体"/>
          <w:b/>
          <w:sz w:val="24"/>
          <w:szCs w:val="24"/>
        </w:rPr>
        <w:t>商业</w:t>
      </w:r>
      <w:bookmarkEnd w:id="1"/>
      <w:bookmarkEnd w:id="2"/>
      <w:bookmarkEnd w:id="3"/>
      <w:bookmarkEnd w:id="4"/>
      <w:bookmarkEnd w:id="5"/>
      <w:bookmarkEnd w:id="6"/>
      <w:bookmarkEnd w:id="7"/>
      <w:r>
        <w:rPr>
          <w:rFonts w:hint="eastAsia" w:ascii="宋体" w:hAnsi="宋体" w:eastAsia="宋体" w:cs="宋体"/>
          <w:b/>
          <w:sz w:val="24"/>
          <w:szCs w:val="24"/>
        </w:rPr>
        <w:t>贿赂承诺书</w:t>
      </w:r>
    </w:p>
    <w:p w14:paraId="112D9CFD">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14:paraId="6AE2AAB1">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14:paraId="6064C8C6">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不向采购人、采购代理机构和政府采购评审专家进行任何形式的商业贿赂以谋取交易机会。</w:t>
      </w:r>
    </w:p>
    <w:p w14:paraId="6E33C780">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不向采购代理机构和采购人提供虚假资质文件或采用虚假应标方式参与政府采购市场竞争并谋取成交、成交。</w:t>
      </w:r>
    </w:p>
    <w:p w14:paraId="1947502D">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14:paraId="1930ACC0">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不采取不正当手段低毁、排挤其他供应商。</w:t>
      </w:r>
    </w:p>
    <w:p w14:paraId="137D7642">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不在提供商品和服务时“偷梁换柱、以次充好”损害采购人的合法权益。</w:t>
      </w:r>
    </w:p>
    <w:p w14:paraId="655FD5F5">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不与采购人、采购代理机构、政府采购评审专家或其它供应商恶意串通，进行质疑和投诉，维护政府采购市场秩序。</w:t>
      </w:r>
    </w:p>
    <w:p w14:paraId="6B6C265F">
      <w:pPr>
        <w:numPr>
          <w:ilvl w:val="0"/>
          <w:numId w:val="7"/>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尊重和接受政府采购监督管理部门的监督和采购代理机构的招标要求，承担因违约行为给采购人造成的损失。</w:t>
      </w:r>
    </w:p>
    <w:p w14:paraId="2C8A143E">
      <w:pPr>
        <w:spacing w:line="520" w:lineRule="exact"/>
        <w:ind w:firstLine="480" w:firstLineChars="200"/>
        <w:jc w:val="left"/>
        <w:rPr>
          <w:rFonts w:hint="eastAsia" w:ascii="宋体" w:hAnsi="宋体" w:eastAsia="宋体" w:cs="宋体"/>
        </w:rPr>
      </w:pPr>
      <w:r>
        <w:rPr>
          <w:rFonts w:hint="eastAsia" w:ascii="宋体" w:hAnsi="宋体" w:eastAsia="宋体" w:cs="宋体"/>
          <w:kern w:val="0"/>
          <w:sz w:val="24"/>
          <w:szCs w:val="24"/>
        </w:rPr>
        <w:t>9、不发生其他有悖于政府采购公开、公平、公正和诚信原则的行为。</w:t>
      </w:r>
    </w:p>
    <w:p w14:paraId="25C85E11">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承诺单位：                  （公      章）</w:t>
      </w:r>
    </w:p>
    <w:p w14:paraId="16D3FBC2">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全权代表：                  （签字或盖章）</w:t>
      </w:r>
    </w:p>
    <w:p w14:paraId="1A705AC7">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地    址：                               </w:t>
      </w:r>
    </w:p>
    <w:p w14:paraId="0E04D8F2">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邮    编：                               </w:t>
      </w:r>
    </w:p>
    <w:p w14:paraId="61C95C10">
      <w:pPr>
        <w:tabs>
          <w:tab w:val="left" w:pos="5580"/>
        </w:tabs>
        <w:adjustRightIn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14:paraId="0372902A">
      <w:pPr>
        <w:adjustRightInd w:val="0"/>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  </w:t>
      </w:r>
      <w:r>
        <w:rPr>
          <w:rFonts w:hint="eastAsia" w:ascii="宋体" w:hAnsi="宋体" w:eastAsia="宋体" w:cs="宋体"/>
          <w:b/>
          <w:bCs/>
          <w:sz w:val="36"/>
          <w:szCs w:val="36"/>
          <w:lang w:val="zh-CN"/>
        </w:rPr>
        <w:t xml:space="preserve">  </w:t>
      </w:r>
      <w:r>
        <w:rPr>
          <w:rFonts w:hint="eastAsia" w:ascii="宋体" w:hAnsi="宋体" w:eastAsia="宋体" w:cs="宋体"/>
          <w:b/>
          <w:bCs/>
          <w:sz w:val="32"/>
          <w:szCs w:val="32"/>
          <w:lang w:val="zh-CN"/>
        </w:rPr>
        <w:t xml:space="preserve"> </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供应商声明书</w:t>
      </w:r>
    </w:p>
    <w:p w14:paraId="06E4C317">
      <w:pPr>
        <w:autoSpaceDE w:val="0"/>
        <w:autoSpaceDN w:val="0"/>
        <w:adjustRightInd w:val="0"/>
        <w:spacing w:line="480" w:lineRule="exact"/>
        <w:ind w:firstLine="480" w:firstLineChars="200"/>
        <w:rPr>
          <w:rFonts w:hint="eastAsia" w:ascii="宋体" w:hAnsi="宋体" w:eastAsia="宋体" w:cs="宋体"/>
          <w:sz w:val="24"/>
          <w:szCs w:val="24"/>
        </w:rPr>
      </w:pPr>
    </w:p>
    <w:p w14:paraId="51B33F97">
      <w:pPr>
        <w:autoSpaceDE w:val="0"/>
        <w:autoSpaceDN w:val="0"/>
        <w:adjustRightInd w:val="0"/>
        <w:spacing w:line="480" w:lineRule="exact"/>
        <w:ind w:firstLine="482" w:firstLineChars="200"/>
        <w:rPr>
          <w:rFonts w:hint="eastAsia" w:ascii="宋体" w:hAnsi="宋体" w:eastAsia="宋体" w:cs="宋体"/>
          <w:b/>
          <w:bCs/>
          <w:sz w:val="24"/>
          <w:szCs w:val="24"/>
        </w:rPr>
      </w:pPr>
    </w:p>
    <w:p w14:paraId="54239635">
      <w:pPr>
        <w:autoSpaceDE w:val="0"/>
        <w:autoSpaceDN w:val="0"/>
        <w:adjustRightInd w:val="0"/>
        <w:spacing w:line="480" w:lineRule="exact"/>
        <w:ind w:firstLine="482" w:firstLineChars="200"/>
        <w:rPr>
          <w:rFonts w:hint="eastAsia" w:ascii="宋体" w:hAnsi="宋体" w:eastAsia="宋体" w:cs="宋体"/>
          <w:sz w:val="24"/>
          <w:szCs w:val="24"/>
        </w:rPr>
      </w:pPr>
      <w:r>
        <w:rPr>
          <w:rFonts w:hint="eastAsia" w:ascii="宋体" w:hAnsi="宋体" w:cs="宋体"/>
          <w:b/>
          <w:bCs/>
          <w:sz w:val="24"/>
          <w:szCs w:val="24"/>
          <w:lang w:eastAsia="zh-CN"/>
        </w:rPr>
        <w:t xml:space="preserve">陕西玖聚常安咨询有限公司  </w:t>
      </w:r>
      <w:r>
        <w:rPr>
          <w:rFonts w:hint="eastAsia" w:ascii="宋体" w:hAnsi="宋体" w:eastAsia="宋体" w:cs="宋体"/>
          <w:sz w:val="24"/>
          <w:szCs w:val="24"/>
        </w:rPr>
        <w:t>：</w:t>
      </w:r>
    </w:p>
    <w:p w14:paraId="763DF91B">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作为参加贵单位组织的</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杨凌示范区消防救援支队新区大队厨房劳务外包项目 </w:t>
      </w:r>
      <w:r>
        <w:rPr>
          <w:rFonts w:hint="eastAsia" w:ascii="宋体" w:hAnsi="宋体" w:eastAsia="宋体" w:cs="宋体"/>
          <w:sz w:val="24"/>
          <w:szCs w:val="24"/>
        </w:rPr>
        <w:t>的供应商，本公司郑重承诺：</w:t>
      </w:r>
    </w:p>
    <w:p w14:paraId="4EB3A2EB">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1、在参加本项目磋商之前不存在被依法禁止经营行为、财产被接管或冻结的情况，如有隐瞒实情，愿承担一切责任及后果。</w:t>
      </w:r>
    </w:p>
    <w:p w14:paraId="54BE9B1E">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2、近三年受到有关行政主管部门的行政处理、不良行为记录为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p w14:paraId="203DC781">
      <w:pPr>
        <w:autoSpaceDE w:val="0"/>
        <w:autoSpaceDN w:val="0"/>
        <w:adjustRightInd w:val="0"/>
        <w:spacing w:line="48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3、参加本次磋商提交的所有资质证明文件及业绩证明文件是真实的、有效的，如有隐瞒实情，愿承担一切责任及后果。</w:t>
      </w:r>
    </w:p>
    <w:p w14:paraId="01867D87">
      <w:pPr>
        <w:autoSpaceDE w:val="0"/>
        <w:autoSpaceDN w:val="0"/>
        <w:adjustRightInd w:val="0"/>
        <w:spacing w:line="360" w:lineRule="auto"/>
        <w:ind w:firstLine="562" w:firstLineChars="200"/>
        <w:rPr>
          <w:rFonts w:hint="eastAsia" w:ascii="宋体" w:hAnsi="宋体" w:eastAsia="宋体" w:cs="宋体"/>
          <w:b/>
          <w:sz w:val="28"/>
          <w:szCs w:val="28"/>
        </w:rPr>
      </w:pPr>
    </w:p>
    <w:p w14:paraId="12C102E6">
      <w:pPr>
        <w:autoSpaceDE w:val="0"/>
        <w:autoSpaceDN w:val="0"/>
        <w:adjustRightInd w:val="0"/>
        <w:spacing w:line="360" w:lineRule="auto"/>
        <w:jc w:val="center"/>
        <w:rPr>
          <w:rFonts w:hint="eastAsia" w:ascii="宋体" w:hAnsi="宋体" w:eastAsia="宋体" w:cs="宋体"/>
          <w:b/>
          <w:sz w:val="28"/>
          <w:szCs w:val="28"/>
        </w:rPr>
      </w:pPr>
    </w:p>
    <w:p w14:paraId="5E10F398">
      <w:pPr>
        <w:spacing w:line="360" w:lineRule="auto"/>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磋商供应商名称：（盖章）</w:t>
      </w:r>
    </w:p>
    <w:p w14:paraId="48574477">
      <w:pPr>
        <w:tabs>
          <w:tab w:val="left" w:pos="5580"/>
        </w:tabs>
        <w:adjustRightInd w:val="0"/>
        <w:spacing w:line="52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法定代表人或授权代表（签名或盖章）：       </w:t>
      </w:r>
    </w:p>
    <w:p w14:paraId="38ED47BD">
      <w:pPr>
        <w:tabs>
          <w:tab w:val="left" w:pos="5580"/>
        </w:tabs>
        <w:adjustRightIn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sz w:val="24"/>
          <w:szCs w:val="24"/>
        </w:rPr>
        <w:t xml:space="preserve">  日期：</w:t>
      </w:r>
    </w:p>
    <w:p w14:paraId="6B24F224">
      <w:pPr>
        <w:spacing w:line="560" w:lineRule="exact"/>
        <w:ind w:firstLine="361" w:firstLineChars="150"/>
        <w:jc w:val="center"/>
        <w:rPr>
          <w:rFonts w:hint="eastAsia" w:ascii="宋体" w:hAnsi="宋体" w:eastAsia="宋体" w:cs="宋体"/>
          <w:b/>
          <w:kern w:val="0"/>
          <w:sz w:val="24"/>
          <w:szCs w:val="24"/>
        </w:rPr>
      </w:pPr>
    </w:p>
    <w:p w14:paraId="4DBEA6B3">
      <w:pPr>
        <w:spacing w:line="560" w:lineRule="exact"/>
        <w:ind w:firstLine="361" w:firstLineChars="150"/>
        <w:jc w:val="center"/>
        <w:rPr>
          <w:rFonts w:hint="eastAsia" w:ascii="宋体" w:hAnsi="宋体" w:eastAsia="宋体" w:cs="宋体"/>
          <w:b/>
          <w:kern w:val="0"/>
          <w:sz w:val="24"/>
          <w:szCs w:val="24"/>
        </w:rPr>
      </w:pPr>
    </w:p>
    <w:p w14:paraId="4AB67015">
      <w:pPr>
        <w:spacing w:line="560" w:lineRule="exact"/>
        <w:ind w:firstLine="361" w:firstLineChars="150"/>
        <w:jc w:val="center"/>
        <w:rPr>
          <w:rFonts w:hint="eastAsia" w:ascii="宋体" w:hAnsi="宋体" w:eastAsia="宋体" w:cs="宋体"/>
          <w:b/>
          <w:kern w:val="0"/>
          <w:sz w:val="24"/>
          <w:szCs w:val="24"/>
        </w:rPr>
      </w:pPr>
    </w:p>
    <w:p w14:paraId="3EDF02AD">
      <w:pPr>
        <w:jc w:val="center"/>
        <w:rPr>
          <w:rFonts w:hint="eastAsia" w:ascii="宋体" w:hAnsi="宋体" w:eastAsia="宋体" w:cs="宋体"/>
          <w:b/>
          <w:bCs/>
          <w:sz w:val="24"/>
          <w:szCs w:val="24"/>
        </w:rPr>
      </w:pPr>
      <w:bookmarkStart w:id="8" w:name="_Toc60537407"/>
      <w:r>
        <w:rPr>
          <w:rFonts w:hint="eastAsia" w:ascii="宋体" w:hAnsi="宋体" w:eastAsia="宋体" w:cs="宋体"/>
          <w:b/>
          <w:sz w:val="32"/>
          <w:szCs w:val="32"/>
        </w:rPr>
        <w:br w:type="page"/>
      </w:r>
      <w:r>
        <w:rPr>
          <w:rFonts w:hint="eastAsia" w:ascii="宋体" w:hAnsi="宋体" w:eastAsia="宋体" w:cs="宋体"/>
          <w:b/>
          <w:sz w:val="24"/>
          <w:szCs w:val="24"/>
          <w:lang w:val="en-US" w:eastAsia="zh-CN"/>
        </w:rPr>
        <w:t>3</w:t>
      </w:r>
      <w:r>
        <w:rPr>
          <w:rFonts w:hint="eastAsia" w:ascii="宋体" w:hAnsi="宋体" w:eastAsia="宋体" w:cs="宋体"/>
          <w:b/>
          <w:bCs/>
          <w:sz w:val="24"/>
          <w:szCs w:val="24"/>
        </w:rPr>
        <w:t>、供应商</w:t>
      </w:r>
      <w:r>
        <w:rPr>
          <w:rFonts w:hint="eastAsia" w:ascii="宋体" w:hAnsi="宋体" w:cs="宋体"/>
          <w:b/>
          <w:bCs/>
          <w:sz w:val="24"/>
          <w:szCs w:val="24"/>
          <w:lang w:val="en-US" w:eastAsia="zh-CN"/>
        </w:rPr>
        <w:t>2022</w:t>
      </w:r>
      <w:r>
        <w:rPr>
          <w:rFonts w:hint="eastAsia" w:ascii="宋体" w:hAnsi="宋体" w:eastAsia="宋体" w:cs="宋体"/>
          <w:b/>
          <w:bCs/>
          <w:sz w:val="24"/>
          <w:szCs w:val="24"/>
        </w:rPr>
        <w:t>年</w:t>
      </w:r>
      <w:r>
        <w:rPr>
          <w:rFonts w:hint="eastAsia" w:ascii="宋体" w:hAnsi="宋体" w:cs="宋体"/>
          <w:b/>
          <w:bCs/>
          <w:sz w:val="24"/>
          <w:szCs w:val="24"/>
          <w:lang w:val="en-US" w:eastAsia="zh-CN"/>
        </w:rPr>
        <w:t>1</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1日</w:t>
      </w:r>
      <w:r>
        <w:rPr>
          <w:rFonts w:hint="eastAsia" w:ascii="宋体" w:hAnsi="宋体" w:eastAsia="宋体" w:cs="宋体"/>
          <w:b/>
          <w:bCs/>
          <w:sz w:val="24"/>
          <w:szCs w:val="24"/>
          <w:highlight w:val="none"/>
        </w:rPr>
        <w:t>至今（以</w:t>
      </w:r>
      <w:r>
        <w:rPr>
          <w:rFonts w:hint="eastAsia" w:ascii="宋体" w:hAnsi="宋体" w:eastAsia="宋体" w:cs="宋体"/>
          <w:b/>
          <w:bCs/>
          <w:sz w:val="24"/>
          <w:szCs w:val="24"/>
        </w:rPr>
        <w:t>合同签订时间为准）类似项目业绩一览表</w:t>
      </w:r>
    </w:p>
    <w:p w14:paraId="62FB20C9">
      <w:pPr>
        <w:jc w:val="left"/>
        <w:rPr>
          <w:rFonts w:hint="eastAsia" w:ascii="宋体" w:hAnsi="宋体" w:eastAsia="宋体" w:cs="宋体"/>
          <w:b/>
          <w:bCs/>
          <w:sz w:val="24"/>
          <w:szCs w:val="24"/>
        </w:rPr>
      </w:pPr>
    </w:p>
    <w:p w14:paraId="6DE26A0F">
      <w:pPr>
        <w:jc w:val="left"/>
        <w:rPr>
          <w:rFonts w:hint="eastAsia" w:ascii="宋体" w:hAnsi="宋体" w:eastAsia="宋体" w:cs="宋体"/>
          <w:b/>
          <w:bCs/>
          <w:sz w:val="24"/>
          <w:szCs w:val="24"/>
        </w:rPr>
      </w:pPr>
    </w:p>
    <w:p w14:paraId="1C1ED8FE">
      <w:pPr>
        <w:ind w:firstLine="105" w:firstLineChars="50"/>
        <w:rPr>
          <w:rFonts w:hint="eastAsia" w:ascii="宋体" w:hAnsi="宋体" w:eastAsia="宋体" w:cs="宋体"/>
          <w:sz w:val="21"/>
          <w:szCs w:val="21"/>
        </w:rPr>
      </w:pPr>
      <w:r>
        <w:rPr>
          <w:rFonts w:hint="eastAsia" w:ascii="宋体" w:hAnsi="宋体" w:eastAsia="宋体" w:cs="宋体"/>
          <w:sz w:val="21"/>
          <w:szCs w:val="21"/>
        </w:rPr>
        <w:t>磋商供应商名称：                                                      单位：元</w:t>
      </w:r>
    </w:p>
    <w:p w14:paraId="38972FCC">
      <w:pPr>
        <w:ind w:firstLine="105" w:firstLineChars="50"/>
        <w:rPr>
          <w:rFonts w:hint="eastAsia" w:ascii="宋体" w:hAnsi="宋体" w:eastAsia="宋体" w:cs="宋体"/>
          <w:sz w:val="21"/>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139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404671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61" w:type="dxa"/>
            <w:noWrap w:val="0"/>
            <w:vAlign w:val="center"/>
          </w:tcPr>
          <w:p w14:paraId="2B1E3298">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85" w:type="dxa"/>
            <w:noWrap w:val="0"/>
            <w:vAlign w:val="center"/>
          </w:tcPr>
          <w:p w14:paraId="609C0F11">
            <w:pPr>
              <w:jc w:val="center"/>
              <w:rPr>
                <w:rFonts w:hint="eastAsia" w:ascii="宋体" w:hAnsi="宋体" w:eastAsia="宋体" w:cs="宋体"/>
                <w:sz w:val="24"/>
                <w:szCs w:val="24"/>
              </w:rPr>
            </w:pPr>
            <w:r>
              <w:rPr>
                <w:rFonts w:hint="eastAsia" w:ascii="宋体" w:hAnsi="宋体" w:eastAsia="宋体" w:cs="宋体"/>
                <w:sz w:val="24"/>
                <w:szCs w:val="24"/>
              </w:rPr>
              <w:t>采购人单位名称</w:t>
            </w:r>
          </w:p>
        </w:tc>
        <w:tc>
          <w:tcPr>
            <w:tcW w:w="1545" w:type="dxa"/>
            <w:noWrap w:val="0"/>
            <w:vAlign w:val="center"/>
          </w:tcPr>
          <w:p w14:paraId="3AC2662D">
            <w:pPr>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1680" w:type="dxa"/>
            <w:noWrap w:val="0"/>
            <w:vAlign w:val="center"/>
          </w:tcPr>
          <w:p w14:paraId="4438C4B9">
            <w:pPr>
              <w:jc w:val="center"/>
              <w:rPr>
                <w:rFonts w:hint="eastAsia" w:ascii="宋体" w:hAnsi="宋体" w:eastAsia="宋体" w:cs="宋体"/>
                <w:sz w:val="24"/>
                <w:szCs w:val="24"/>
              </w:rPr>
            </w:pPr>
            <w:r>
              <w:rPr>
                <w:rFonts w:hint="eastAsia" w:ascii="宋体" w:hAnsi="宋体" w:eastAsia="宋体" w:cs="宋体"/>
                <w:sz w:val="24"/>
                <w:szCs w:val="24"/>
              </w:rPr>
              <w:t>完成日期</w:t>
            </w:r>
          </w:p>
        </w:tc>
      </w:tr>
      <w:tr w14:paraId="19D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11BDEDE">
            <w:pPr>
              <w:jc w:val="center"/>
              <w:rPr>
                <w:rFonts w:hint="eastAsia" w:ascii="宋体" w:hAnsi="宋体" w:eastAsia="宋体" w:cs="宋体"/>
                <w:sz w:val="24"/>
                <w:szCs w:val="24"/>
              </w:rPr>
            </w:pPr>
          </w:p>
        </w:tc>
        <w:tc>
          <w:tcPr>
            <w:tcW w:w="2661" w:type="dxa"/>
            <w:noWrap w:val="0"/>
            <w:vAlign w:val="top"/>
          </w:tcPr>
          <w:p w14:paraId="68DA2288">
            <w:pPr>
              <w:rPr>
                <w:rFonts w:hint="eastAsia" w:ascii="宋体" w:hAnsi="宋体" w:eastAsia="宋体" w:cs="宋体"/>
                <w:sz w:val="24"/>
                <w:szCs w:val="24"/>
              </w:rPr>
            </w:pPr>
          </w:p>
        </w:tc>
        <w:tc>
          <w:tcPr>
            <w:tcW w:w="2185" w:type="dxa"/>
            <w:noWrap w:val="0"/>
            <w:vAlign w:val="top"/>
          </w:tcPr>
          <w:p w14:paraId="2A0144ED">
            <w:pPr>
              <w:rPr>
                <w:rFonts w:hint="eastAsia" w:ascii="宋体" w:hAnsi="宋体" w:eastAsia="宋体" w:cs="宋体"/>
                <w:sz w:val="24"/>
                <w:szCs w:val="24"/>
              </w:rPr>
            </w:pPr>
          </w:p>
        </w:tc>
        <w:tc>
          <w:tcPr>
            <w:tcW w:w="1545" w:type="dxa"/>
            <w:noWrap w:val="0"/>
            <w:vAlign w:val="top"/>
          </w:tcPr>
          <w:p w14:paraId="0C7256AD">
            <w:pPr>
              <w:rPr>
                <w:rFonts w:hint="eastAsia" w:ascii="宋体" w:hAnsi="宋体" w:eastAsia="宋体" w:cs="宋体"/>
                <w:sz w:val="24"/>
                <w:szCs w:val="24"/>
              </w:rPr>
            </w:pPr>
          </w:p>
        </w:tc>
        <w:tc>
          <w:tcPr>
            <w:tcW w:w="1680" w:type="dxa"/>
            <w:noWrap w:val="0"/>
            <w:vAlign w:val="top"/>
          </w:tcPr>
          <w:p w14:paraId="338273FA">
            <w:pPr>
              <w:rPr>
                <w:rFonts w:hint="eastAsia" w:ascii="宋体" w:hAnsi="宋体" w:eastAsia="宋体" w:cs="宋体"/>
                <w:sz w:val="24"/>
                <w:szCs w:val="24"/>
              </w:rPr>
            </w:pPr>
          </w:p>
        </w:tc>
      </w:tr>
      <w:tr w14:paraId="3E32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D0B6943">
            <w:pPr>
              <w:jc w:val="center"/>
              <w:rPr>
                <w:rFonts w:hint="eastAsia" w:ascii="宋体" w:hAnsi="宋体" w:eastAsia="宋体" w:cs="宋体"/>
                <w:sz w:val="24"/>
                <w:szCs w:val="24"/>
              </w:rPr>
            </w:pPr>
          </w:p>
        </w:tc>
        <w:tc>
          <w:tcPr>
            <w:tcW w:w="2661" w:type="dxa"/>
            <w:noWrap w:val="0"/>
            <w:vAlign w:val="top"/>
          </w:tcPr>
          <w:p w14:paraId="5A9CA7C3">
            <w:pPr>
              <w:rPr>
                <w:rFonts w:hint="eastAsia" w:ascii="宋体" w:hAnsi="宋体" w:eastAsia="宋体" w:cs="宋体"/>
                <w:sz w:val="24"/>
                <w:szCs w:val="24"/>
              </w:rPr>
            </w:pPr>
          </w:p>
        </w:tc>
        <w:tc>
          <w:tcPr>
            <w:tcW w:w="2185" w:type="dxa"/>
            <w:noWrap w:val="0"/>
            <w:vAlign w:val="top"/>
          </w:tcPr>
          <w:p w14:paraId="2CE7A140">
            <w:pPr>
              <w:rPr>
                <w:rFonts w:hint="eastAsia" w:ascii="宋体" w:hAnsi="宋体" w:eastAsia="宋体" w:cs="宋体"/>
                <w:sz w:val="24"/>
                <w:szCs w:val="24"/>
              </w:rPr>
            </w:pPr>
          </w:p>
        </w:tc>
        <w:tc>
          <w:tcPr>
            <w:tcW w:w="1545" w:type="dxa"/>
            <w:noWrap w:val="0"/>
            <w:vAlign w:val="top"/>
          </w:tcPr>
          <w:p w14:paraId="46774DEE">
            <w:pPr>
              <w:rPr>
                <w:rFonts w:hint="eastAsia" w:ascii="宋体" w:hAnsi="宋体" w:eastAsia="宋体" w:cs="宋体"/>
                <w:sz w:val="24"/>
                <w:szCs w:val="24"/>
              </w:rPr>
            </w:pPr>
          </w:p>
        </w:tc>
        <w:tc>
          <w:tcPr>
            <w:tcW w:w="1680" w:type="dxa"/>
            <w:noWrap w:val="0"/>
            <w:vAlign w:val="top"/>
          </w:tcPr>
          <w:p w14:paraId="3FF72FF6">
            <w:pPr>
              <w:rPr>
                <w:rFonts w:hint="eastAsia" w:ascii="宋体" w:hAnsi="宋体" w:eastAsia="宋体" w:cs="宋体"/>
                <w:sz w:val="24"/>
                <w:szCs w:val="24"/>
              </w:rPr>
            </w:pPr>
          </w:p>
        </w:tc>
      </w:tr>
      <w:tr w14:paraId="1DD5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47" w:type="dxa"/>
            <w:noWrap w:val="0"/>
            <w:vAlign w:val="center"/>
          </w:tcPr>
          <w:p w14:paraId="3379D5FF">
            <w:pPr>
              <w:jc w:val="center"/>
              <w:rPr>
                <w:rFonts w:hint="eastAsia" w:ascii="宋体" w:hAnsi="宋体" w:eastAsia="宋体" w:cs="宋体"/>
                <w:sz w:val="24"/>
                <w:szCs w:val="24"/>
              </w:rPr>
            </w:pPr>
          </w:p>
        </w:tc>
        <w:tc>
          <w:tcPr>
            <w:tcW w:w="2661" w:type="dxa"/>
            <w:noWrap w:val="0"/>
            <w:vAlign w:val="top"/>
          </w:tcPr>
          <w:p w14:paraId="20F00CC8">
            <w:pPr>
              <w:rPr>
                <w:rFonts w:hint="eastAsia" w:ascii="宋体" w:hAnsi="宋体" w:eastAsia="宋体" w:cs="宋体"/>
                <w:sz w:val="24"/>
                <w:szCs w:val="24"/>
              </w:rPr>
            </w:pPr>
          </w:p>
        </w:tc>
        <w:tc>
          <w:tcPr>
            <w:tcW w:w="2185" w:type="dxa"/>
            <w:noWrap w:val="0"/>
            <w:vAlign w:val="top"/>
          </w:tcPr>
          <w:p w14:paraId="3CC7D2DA">
            <w:pPr>
              <w:rPr>
                <w:rFonts w:hint="eastAsia" w:ascii="宋体" w:hAnsi="宋体" w:eastAsia="宋体" w:cs="宋体"/>
                <w:sz w:val="24"/>
                <w:szCs w:val="24"/>
              </w:rPr>
            </w:pPr>
          </w:p>
        </w:tc>
        <w:tc>
          <w:tcPr>
            <w:tcW w:w="1545" w:type="dxa"/>
            <w:noWrap w:val="0"/>
            <w:vAlign w:val="top"/>
          </w:tcPr>
          <w:p w14:paraId="24FB0953">
            <w:pPr>
              <w:rPr>
                <w:rFonts w:hint="eastAsia" w:ascii="宋体" w:hAnsi="宋体" w:eastAsia="宋体" w:cs="宋体"/>
                <w:sz w:val="24"/>
                <w:szCs w:val="24"/>
              </w:rPr>
            </w:pPr>
          </w:p>
        </w:tc>
        <w:tc>
          <w:tcPr>
            <w:tcW w:w="1680" w:type="dxa"/>
            <w:noWrap w:val="0"/>
            <w:vAlign w:val="top"/>
          </w:tcPr>
          <w:p w14:paraId="7FDF0398">
            <w:pPr>
              <w:jc w:val="center"/>
              <w:rPr>
                <w:rFonts w:hint="eastAsia" w:ascii="宋体" w:hAnsi="宋体" w:eastAsia="宋体" w:cs="宋体"/>
                <w:sz w:val="24"/>
                <w:szCs w:val="24"/>
              </w:rPr>
            </w:pPr>
          </w:p>
        </w:tc>
      </w:tr>
      <w:tr w14:paraId="260E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47" w:type="dxa"/>
            <w:noWrap w:val="0"/>
            <w:vAlign w:val="center"/>
          </w:tcPr>
          <w:p w14:paraId="5EEB5C28">
            <w:pPr>
              <w:jc w:val="center"/>
              <w:rPr>
                <w:rFonts w:hint="eastAsia" w:ascii="宋体" w:hAnsi="宋体" w:eastAsia="宋体" w:cs="宋体"/>
                <w:sz w:val="24"/>
                <w:szCs w:val="24"/>
              </w:rPr>
            </w:pPr>
          </w:p>
        </w:tc>
        <w:tc>
          <w:tcPr>
            <w:tcW w:w="2661" w:type="dxa"/>
            <w:noWrap w:val="0"/>
            <w:vAlign w:val="top"/>
          </w:tcPr>
          <w:p w14:paraId="01A61423">
            <w:pPr>
              <w:rPr>
                <w:rFonts w:hint="eastAsia" w:ascii="宋体" w:hAnsi="宋体" w:eastAsia="宋体" w:cs="宋体"/>
                <w:sz w:val="24"/>
                <w:szCs w:val="24"/>
              </w:rPr>
            </w:pPr>
          </w:p>
        </w:tc>
        <w:tc>
          <w:tcPr>
            <w:tcW w:w="2185" w:type="dxa"/>
            <w:noWrap w:val="0"/>
            <w:vAlign w:val="top"/>
          </w:tcPr>
          <w:p w14:paraId="7A1A6EFF">
            <w:pPr>
              <w:rPr>
                <w:rFonts w:hint="eastAsia" w:ascii="宋体" w:hAnsi="宋体" w:eastAsia="宋体" w:cs="宋体"/>
                <w:sz w:val="24"/>
                <w:szCs w:val="24"/>
              </w:rPr>
            </w:pPr>
          </w:p>
        </w:tc>
        <w:tc>
          <w:tcPr>
            <w:tcW w:w="1545" w:type="dxa"/>
            <w:noWrap w:val="0"/>
            <w:vAlign w:val="top"/>
          </w:tcPr>
          <w:p w14:paraId="2719A3A2">
            <w:pPr>
              <w:rPr>
                <w:rFonts w:hint="eastAsia" w:ascii="宋体" w:hAnsi="宋体" w:eastAsia="宋体" w:cs="宋体"/>
                <w:sz w:val="24"/>
                <w:szCs w:val="24"/>
              </w:rPr>
            </w:pPr>
          </w:p>
        </w:tc>
        <w:tc>
          <w:tcPr>
            <w:tcW w:w="1680" w:type="dxa"/>
            <w:noWrap w:val="0"/>
            <w:vAlign w:val="top"/>
          </w:tcPr>
          <w:p w14:paraId="064C78D2">
            <w:pPr>
              <w:rPr>
                <w:rFonts w:hint="eastAsia" w:ascii="宋体" w:hAnsi="宋体" w:eastAsia="宋体" w:cs="宋体"/>
                <w:sz w:val="24"/>
                <w:szCs w:val="24"/>
              </w:rPr>
            </w:pPr>
          </w:p>
        </w:tc>
      </w:tr>
      <w:tr w14:paraId="44FE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47" w:type="dxa"/>
            <w:noWrap w:val="0"/>
            <w:vAlign w:val="top"/>
          </w:tcPr>
          <w:p w14:paraId="309FA5FF">
            <w:pPr>
              <w:jc w:val="center"/>
              <w:rPr>
                <w:rFonts w:hint="eastAsia" w:ascii="宋体" w:hAnsi="宋体" w:eastAsia="宋体" w:cs="宋体"/>
                <w:sz w:val="24"/>
                <w:szCs w:val="24"/>
              </w:rPr>
            </w:pPr>
          </w:p>
        </w:tc>
        <w:tc>
          <w:tcPr>
            <w:tcW w:w="2661" w:type="dxa"/>
            <w:noWrap w:val="0"/>
            <w:vAlign w:val="top"/>
          </w:tcPr>
          <w:p w14:paraId="72544E4C">
            <w:pPr>
              <w:jc w:val="center"/>
              <w:rPr>
                <w:rFonts w:hint="eastAsia" w:ascii="宋体" w:hAnsi="宋体" w:eastAsia="宋体" w:cs="宋体"/>
                <w:sz w:val="24"/>
                <w:szCs w:val="24"/>
              </w:rPr>
            </w:pPr>
          </w:p>
        </w:tc>
        <w:tc>
          <w:tcPr>
            <w:tcW w:w="2185" w:type="dxa"/>
            <w:noWrap w:val="0"/>
            <w:vAlign w:val="top"/>
          </w:tcPr>
          <w:p w14:paraId="1C2FC079">
            <w:pPr>
              <w:jc w:val="center"/>
              <w:rPr>
                <w:rFonts w:hint="eastAsia" w:ascii="宋体" w:hAnsi="宋体" w:eastAsia="宋体" w:cs="宋体"/>
                <w:sz w:val="24"/>
                <w:szCs w:val="24"/>
              </w:rPr>
            </w:pPr>
          </w:p>
        </w:tc>
        <w:tc>
          <w:tcPr>
            <w:tcW w:w="1545" w:type="dxa"/>
            <w:noWrap w:val="0"/>
            <w:vAlign w:val="top"/>
          </w:tcPr>
          <w:p w14:paraId="11270609">
            <w:pPr>
              <w:jc w:val="center"/>
              <w:rPr>
                <w:rFonts w:hint="eastAsia" w:ascii="宋体" w:hAnsi="宋体" w:eastAsia="宋体" w:cs="宋体"/>
                <w:sz w:val="24"/>
                <w:szCs w:val="24"/>
              </w:rPr>
            </w:pPr>
          </w:p>
        </w:tc>
        <w:tc>
          <w:tcPr>
            <w:tcW w:w="1680" w:type="dxa"/>
            <w:noWrap w:val="0"/>
            <w:vAlign w:val="top"/>
          </w:tcPr>
          <w:p w14:paraId="19418FF5">
            <w:pPr>
              <w:jc w:val="center"/>
              <w:rPr>
                <w:rFonts w:hint="eastAsia" w:ascii="宋体" w:hAnsi="宋体" w:eastAsia="宋体" w:cs="宋体"/>
                <w:sz w:val="24"/>
                <w:szCs w:val="24"/>
              </w:rPr>
            </w:pPr>
          </w:p>
        </w:tc>
      </w:tr>
    </w:tbl>
    <w:p w14:paraId="5B0037F2">
      <w:pPr>
        <w:pStyle w:val="3"/>
        <w:spacing w:line="360" w:lineRule="auto"/>
        <w:rPr>
          <w:rFonts w:hint="eastAsia" w:ascii="宋体" w:hAnsi="宋体" w:eastAsia="宋体" w:cs="宋体"/>
        </w:rPr>
      </w:pPr>
    </w:p>
    <w:p w14:paraId="4D03D37D">
      <w:pPr>
        <w:tabs>
          <w:tab w:val="left" w:pos="555"/>
          <w:tab w:val="left" w:pos="2214"/>
          <w:tab w:val="left" w:pos="3774"/>
          <w:tab w:val="left" w:pos="4854"/>
          <w:tab w:val="left" w:pos="5934"/>
          <w:tab w:val="left" w:pos="7014"/>
          <w:tab w:val="left" w:pos="8214"/>
          <w:tab w:val="left" w:pos="10134"/>
          <w:tab w:val="left" w:pos="11124"/>
        </w:tabs>
        <w:spacing w:line="360" w:lineRule="auto"/>
        <w:ind w:left="360" w:hanging="360" w:hangingChars="200"/>
        <w:rPr>
          <w:rFonts w:hint="eastAsia" w:ascii="宋体" w:hAnsi="宋体" w:eastAsia="宋体" w:cs="宋体"/>
          <w:sz w:val="18"/>
          <w:szCs w:val="18"/>
        </w:rPr>
      </w:pPr>
      <w:r>
        <w:rPr>
          <w:rFonts w:hint="eastAsia" w:ascii="宋体" w:hAnsi="宋体" w:eastAsia="宋体" w:cs="宋体"/>
          <w:sz w:val="18"/>
          <w:szCs w:val="18"/>
        </w:rPr>
        <w:t>注：1、项目业绩需提供合同</w:t>
      </w:r>
      <w:r>
        <w:rPr>
          <w:rFonts w:hint="eastAsia" w:ascii="宋体" w:hAnsi="宋体" w:eastAsia="宋体" w:cs="宋体"/>
          <w:sz w:val="18"/>
          <w:szCs w:val="18"/>
          <w:lang w:eastAsia="zh-CN"/>
        </w:rPr>
        <w:t>协议书</w:t>
      </w:r>
      <w:r>
        <w:rPr>
          <w:rFonts w:hint="eastAsia" w:ascii="宋体" w:hAnsi="宋体" w:eastAsia="宋体" w:cs="宋体"/>
          <w:sz w:val="18"/>
          <w:szCs w:val="18"/>
        </w:rPr>
        <w:t>复印件</w:t>
      </w:r>
      <w:r>
        <w:rPr>
          <w:rFonts w:hint="eastAsia" w:ascii="宋体" w:hAnsi="宋体" w:cs="宋体"/>
          <w:sz w:val="18"/>
          <w:szCs w:val="18"/>
          <w:lang w:eastAsia="zh-CN"/>
        </w:rPr>
        <w:t>或扫描件加盖公章</w:t>
      </w:r>
      <w:r>
        <w:rPr>
          <w:rFonts w:hint="eastAsia" w:ascii="宋体" w:hAnsi="宋体" w:eastAsia="宋体" w:cs="宋体"/>
          <w:sz w:val="18"/>
          <w:szCs w:val="18"/>
        </w:rPr>
        <w:t xml:space="preserve">； </w:t>
      </w:r>
    </w:p>
    <w:p w14:paraId="03666C9B">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sz w:val="18"/>
          <w:szCs w:val="18"/>
        </w:rPr>
      </w:pPr>
      <w:r>
        <w:rPr>
          <w:rFonts w:hint="eastAsia" w:ascii="宋体" w:hAnsi="宋体" w:eastAsia="宋体" w:cs="宋体"/>
          <w:sz w:val="18"/>
          <w:szCs w:val="18"/>
        </w:rPr>
        <w:t xml:space="preserve">    2、磋商供应商应如实列出以上情况，如有隐瞒，一经查实将导致其磋商申请被拒绝。</w:t>
      </w:r>
    </w:p>
    <w:p w14:paraId="4F93EE23">
      <w:pPr>
        <w:adjustRightInd w:val="0"/>
        <w:spacing w:line="360"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3、如有多个类似项目，可按此表格扩展</w:t>
      </w:r>
    </w:p>
    <w:p w14:paraId="0373B4C4">
      <w:pPr>
        <w:adjustRightInd w:val="0"/>
        <w:spacing w:line="360" w:lineRule="auto"/>
        <w:ind w:firstLine="480" w:firstLineChars="200"/>
        <w:jc w:val="left"/>
        <w:rPr>
          <w:rFonts w:hint="eastAsia" w:ascii="宋体" w:hAnsi="宋体" w:eastAsia="宋体" w:cs="宋体"/>
          <w:sz w:val="24"/>
          <w:szCs w:val="24"/>
        </w:rPr>
      </w:pPr>
    </w:p>
    <w:p w14:paraId="7DD076FF">
      <w:pPr>
        <w:adjustRightInd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磋商供应商名称：（盖章）</w:t>
      </w:r>
    </w:p>
    <w:p w14:paraId="5C15FDE9">
      <w:pPr>
        <w:adjustRightInd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法定代表人或被授权代表（签名或盖章）：              </w:t>
      </w:r>
    </w:p>
    <w:p w14:paraId="3AC03171">
      <w:pPr>
        <w:spacing w:line="600" w:lineRule="exact"/>
        <w:ind w:left="420" w:leftChars="150"/>
        <w:outlineLvl w:val="1"/>
        <w:rPr>
          <w:rFonts w:hint="eastAsia" w:ascii="宋体" w:hAnsi="宋体" w:eastAsia="宋体" w:cs="宋体"/>
          <w:b/>
          <w:sz w:val="32"/>
          <w:szCs w:val="32"/>
        </w:rPr>
      </w:pPr>
      <w:r>
        <w:rPr>
          <w:rFonts w:hint="eastAsia" w:ascii="宋体" w:hAnsi="宋体" w:eastAsia="宋体" w:cs="宋体"/>
          <w:sz w:val="24"/>
          <w:szCs w:val="24"/>
        </w:rPr>
        <w:t>日期:       年   月   日</w:t>
      </w:r>
    </w:p>
    <w:bookmarkEnd w:id="8"/>
    <w:p w14:paraId="79EDDEA7">
      <w:pPr>
        <w:autoSpaceDE w:val="0"/>
        <w:autoSpaceDN w:val="0"/>
        <w:adjustRightInd w:val="0"/>
        <w:spacing w:line="500" w:lineRule="exact"/>
        <w:jc w:val="center"/>
        <w:rPr>
          <w:rFonts w:hint="eastAsia" w:ascii="宋体" w:hAnsi="宋体" w:eastAsia="宋体" w:cs="宋体"/>
          <w:b/>
          <w:bCs/>
          <w:color w:val="auto"/>
          <w:sz w:val="24"/>
          <w:lang w:val="zh-CN"/>
        </w:rPr>
      </w:pPr>
      <w:r>
        <w:rPr>
          <w:rFonts w:hint="eastAsia" w:ascii="宋体" w:hAnsi="宋体" w:eastAsia="宋体" w:cs="宋体"/>
          <w:szCs w:val="28"/>
        </w:rPr>
        <w:br w:type="page"/>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val="zh-CN"/>
        </w:rPr>
        <w:t>、节能产品”“环境标志产品”“信息安全认证产品”等政府采购法律法规规定的其他证明材料文件（若有）</w:t>
      </w:r>
    </w:p>
    <w:p w14:paraId="73AF6AEE">
      <w:pPr>
        <w:spacing w:line="500" w:lineRule="exact"/>
        <w:ind w:firstLine="480"/>
        <w:jc w:val="center"/>
        <w:rPr>
          <w:rFonts w:hint="eastAsia" w:ascii="宋体" w:hAnsi="宋体" w:eastAsia="宋体" w:cs="宋体"/>
          <w:color w:val="auto"/>
          <w:sz w:val="24"/>
        </w:rPr>
      </w:pPr>
    </w:p>
    <w:p w14:paraId="66DB83D7">
      <w:pPr>
        <w:pStyle w:val="21"/>
        <w:spacing w:line="500" w:lineRule="exact"/>
        <w:ind w:firstLine="482"/>
        <w:jc w:val="center"/>
        <w:rPr>
          <w:rFonts w:hint="eastAsia" w:ascii="宋体" w:hAnsi="宋体" w:eastAsia="宋体" w:cs="宋体"/>
          <w:b/>
          <w:color w:val="auto"/>
          <w:kern w:val="0"/>
          <w:sz w:val="24"/>
          <w:szCs w:val="24"/>
        </w:rPr>
      </w:pPr>
    </w:p>
    <w:p w14:paraId="767E8795">
      <w:pPr>
        <w:pStyle w:val="10"/>
        <w:spacing w:line="500" w:lineRule="exact"/>
        <w:ind w:firstLine="480"/>
        <w:rPr>
          <w:rFonts w:hint="eastAsia" w:hAnsi="宋体" w:eastAsia="宋体" w:cs="宋体"/>
          <w:color w:val="auto"/>
          <w:sz w:val="24"/>
          <w:szCs w:val="24"/>
        </w:rPr>
      </w:pPr>
    </w:p>
    <w:p w14:paraId="26745964">
      <w:pPr>
        <w:pStyle w:val="10"/>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说明：</w:t>
      </w:r>
    </w:p>
    <w:p w14:paraId="6096DB0A">
      <w:pPr>
        <w:pStyle w:val="10"/>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 供应商提供的产品属于《节能产品政府采购品目清单》内产品，提供国家确定的认证机构出具的、处于有效期内的节能产品证书复印件(需要加盖供应商公章)；</w:t>
      </w:r>
    </w:p>
    <w:p w14:paraId="05F84455">
      <w:pPr>
        <w:pStyle w:val="10"/>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 供应商提供的产品属于《环境标志产品政府采购品目清单》内产品，提供提供国家确定的认证机构出具的、处于有效期内的环境标志产品证书复印件(均需要加盖供应商公章)；</w:t>
      </w:r>
    </w:p>
    <w:p w14:paraId="61D4FE84">
      <w:pPr>
        <w:pStyle w:val="10"/>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3、供应商提供的产品属于信息安全认证产品的，应提供相关证明。</w:t>
      </w:r>
    </w:p>
    <w:p w14:paraId="18BF75D3">
      <w:pPr>
        <w:pStyle w:val="21"/>
        <w:spacing w:line="500" w:lineRule="exact"/>
        <w:ind w:firstLine="480" w:firstLineChars="200"/>
        <w:rPr>
          <w:rFonts w:hint="eastAsia" w:ascii="Times New Roman" w:hAnsi="宋体" w:eastAsia="宋体" w:cs="宋体"/>
          <w:color w:val="auto"/>
          <w:sz w:val="24"/>
          <w:szCs w:val="24"/>
        </w:rPr>
      </w:pPr>
      <w:r>
        <w:rPr>
          <w:rFonts w:hint="eastAsia" w:ascii="Times New Roman" w:hAnsi="宋体" w:eastAsia="宋体" w:cs="宋体"/>
          <w:color w:val="auto"/>
          <w:sz w:val="24"/>
          <w:szCs w:val="24"/>
          <w:lang w:val="en-US" w:eastAsia="zh-CN"/>
        </w:rPr>
        <w:t>4</w:t>
      </w:r>
      <w:r>
        <w:rPr>
          <w:rFonts w:hint="eastAsia" w:ascii="Times New Roman" w:hAnsi="宋体" w:eastAsia="宋体" w:cs="宋体"/>
          <w:color w:val="auto"/>
          <w:sz w:val="24"/>
          <w:szCs w:val="24"/>
        </w:rPr>
        <w:t>、未按上述要求提供、填写的，评标时不予以考虑。</w:t>
      </w:r>
    </w:p>
    <w:p w14:paraId="379C5009">
      <w:pPr>
        <w:pStyle w:val="21"/>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14:paraId="365858DD">
      <w:pPr>
        <w:spacing w:line="500" w:lineRule="exact"/>
        <w:rPr>
          <w:rFonts w:hint="eastAsia" w:ascii="宋体" w:hAnsi="宋体" w:eastAsia="宋体" w:cs="Times New Roman"/>
          <w:color w:val="auto"/>
          <w:sz w:val="24"/>
          <w:szCs w:val="24"/>
        </w:rPr>
      </w:pPr>
    </w:p>
    <w:p w14:paraId="53987B5A">
      <w:pPr>
        <w:rPr>
          <w:rFonts w:hint="eastAsia" w:ascii="宋体" w:hAnsi="宋体" w:eastAsia="宋体" w:cs="宋体"/>
          <w:color w:val="auto"/>
          <w:sz w:val="24"/>
          <w:szCs w:val="24"/>
          <w:highlight w:val="none"/>
        </w:rPr>
      </w:pPr>
    </w:p>
    <w:p w14:paraId="7AB9D925">
      <w:pPr>
        <w:jc w:val="center"/>
        <w:rPr>
          <w:rFonts w:hint="eastAsia" w:ascii="宋体" w:hAnsi="宋体" w:eastAsia="宋体" w:cs="宋体"/>
          <w:sz w:val="24"/>
          <w:szCs w:val="24"/>
          <w:lang w:val="en-US" w:eastAsia="zh-CN"/>
        </w:rPr>
      </w:pPr>
      <w:r>
        <w:rPr>
          <w:rFonts w:hint="eastAsia" w:hAnsi="宋体" w:cs="宋体"/>
          <w:color w:val="auto"/>
          <w:sz w:val="24"/>
          <w:szCs w:val="24"/>
        </w:rPr>
        <w:br w:type="page"/>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eastAsia="宋体" w:cs="宋体"/>
          <w:b/>
          <w:sz w:val="24"/>
          <w:szCs w:val="24"/>
        </w:rPr>
        <w:t>供应商认为有必要补充说明的事项</w:t>
      </w:r>
    </w:p>
    <w:p w14:paraId="61A068CD"/>
    <w:sectPr>
      <w:pgSz w:w="11906" w:h="16838"/>
      <w:pgMar w:top="1440" w:right="1440" w:bottom="1440" w:left="144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AA5">
    <w:pPr>
      <w:pStyle w:val="12"/>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538DD">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B538DD">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8422">
    <w:pPr>
      <w:pStyle w:val="13"/>
      <w:pBdr>
        <w:bottom w:val="none" w:color="auto" w:sz="0" w:space="0"/>
      </w:pBdr>
      <w:jc w:val="both"/>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DFF3">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JJZB-2025007  </w:t>
    </w:r>
    <w:r>
      <w:rPr>
        <w:rFonts w:hint="eastAsia" w:ascii="宋体" w:hAnsi="宋体" w:cs="宋体"/>
        <w:sz w:val="18"/>
        <w:szCs w:val="18"/>
        <w:u w:val="single"/>
        <w:lang w:val="en-US" w:eastAsia="zh-CN"/>
      </w:rPr>
      <w:t xml:space="preserve">              杨凌示范区消防救援支队新区大队厨房劳务外包项目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A828">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JJZB-2025007  </w:t>
    </w:r>
    <w:r>
      <w:rPr>
        <w:rFonts w:hint="eastAsia" w:ascii="宋体" w:hAnsi="宋体" w:cs="宋体"/>
        <w:sz w:val="18"/>
        <w:szCs w:val="18"/>
        <w:u w:val="single"/>
        <w:lang w:val="en-US" w:eastAsia="zh-CN"/>
      </w:rPr>
      <w:t xml:space="preserve">                          杨凌示范区消防救援支队新区大队厨房劳务外包项目</w:t>
    </w:r>
  </w:p>
  <w:p w14:paraId="7BC37F28">
    <w:pPr>
      <w:pStyle w:val="13"/>
      <w:pBdr>
        <w:bottom w:val="none" w:color="auto" w:sz="0" w:space="1"/>
      </w:pBdr>
      <w:tabs>
        <w:tab w:val="left" w:pos="3284"/>
        <w:tab w:val="clear" w:pos="4153"/>
      </w:tabs>
      <w:jc w:val="both"/>
      <w:rPr>
        <w:u w:val="single"/>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D82ED"/>
    <w:multiLevelType w:val="singleLevel"/>
    <w:tmpl w:val="962D82ED"/>
    <w:lvl w:ilvl="0" w:tentative="0">
      <w:start w:val="4"/>
      <w:numFmt w:val="chineseCounting"/>
      <w:suff w:val="nothing"/>
      <w:lvlText w:val="%1、"/>
      <w:lvlJc w:val="left"/>
      <w:rPr>
        <w:rFonts w:hint="eastAsia"/>
      </w:rPr>
    </w:lvl>
  </w:abstractNum>
  <w:abstractNum w:abstractNumId="1">
    <w:nsid w:val="D603D724"/>
    <w:multiLevelType w:val="singleLevel"/>
    <w:tmpl w:val="D603D724"/>
    <w:lvl w:ilvl="0" w:tentative="0">
      <w:start w:val="5"/>
      <w:numFmt w:val="chineseCounting"/>
      <w:suff w:val="nothing"/>
      <w:lvlText w:val="%1、"/>
      <w:lvlJc w:val="left"/>
      <w:rPr>
        <w:rFonts w:hint="eastAsia"/>
      </w:rPr>
    </w:lvl>
  </w:abstractNum>
  <w:abstractNum w:abstractNumId="2">
    <w:nsid w:val="26412FAB"/>
    <w:multiLevelType w:val="singleLevel"/>
    <w:tmpl w:val="26412FAB"/>
    <w:lvl w:ilvl="0" w:tentative="0">
      <w:start w:val="1"/>
      <w:numFmt w:val="chineseCounting"/>
      <w:suff w:val="nothing"/>
      <w:lvlText w:val="（%1）"/>
      <w:lvlJc w:val="left"/>
      <w:rPr>
        <w:rFonts w:hint="eastAsia"/>
      </w:rPr>
    </w:lvl>
  </w:abstractNum>
  <w:abstractNum w:abstractNumId="3">
    <w:nsid w:val="2F909D14"/>
    <w:multiLevelType w:val="singleLevel"/>
    <w:tmpl w:val="2F909D14"/>
    <w:lvl w:ilvl="0" w:tentative="0">
      <w:start w:val="2"/>
      <w:numFmt w:val="decimal"/>
      <w:suff w:val="nothing"/>
      <w:lvlText w:val="%1．"/>
      <w:lvlJc w:val="left"/>
    </w:lvl>
  </w:abstractNum>
  <w:abstractNum w:abstractNumId="4">
    <w:nsid w:val="3999620F"/>
    <w:multiLevelType w:val="singleLevel"/>
    <w:tmpl w:val="3999620F"/>
    <w:lvl w:ilvl="0" w:tentative="0">
      <w:start w:val="1"/>
      <w:numFmt w:val="upperLetter"/>
      <w:pStyle w:val="2"/>
      <w:lvlText w:val="%1."/>
      <w:lvlJc w:val="left"/>
      <w:pPr>
        <w:tabs>
          <w:tab w:val="left" w:pos="4397"/>
        </w:tabs>
        <w:ind w:left="4397" w:hanging="285"/>
      </w:pPr>
    </w:lvl>
  </w:abstractNum>
  <w:abstractNum w:abstractNumId="5">
    <w:nsid w:val="56650600"/>
    <w:multiLevelType w:val="singleLevel"/>
    <w:tmpl w:val="56650600"/>
    <w:lvl w:ilvl="0" w:tentative="0">
      <w:start w:val="1"/>
      <w:numFmt w:val="decimal"/>
      <w:suff w:val="nothing"/>
      <w:lvlText w:val="%1、"/>
      <w:lvlJc w:val="left"/>
    </w:lvl>
  </w:abstractNum>
  <w:abstractNum w:abstractNumId="6">
    <w:nsid w:val="664953EF"/>
    <w:multiLevelType w:val="singleLevel"/>
    <w:tmpl w:val="664953EF"/>
    <w:lvl w:ilvl="0" w:tentative="0">
      <w:start w:val="3"/>
      <w:numFmt w:val="chineseCounting"/>
      <w:suff w:val="nothing"/>
      <w:lvlText w:val="%1、"/>
      <w:lvlJc w:val="left"/>
      <w:rPr>
        <w:rFonts w:hint="eastAsia"/>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B0761"/>
    <w:rsid w:val="230761F3"/>
    <w:rsid w:val="28441C98"/>
    <w:rsid w:val="32A76EA3"/>
    <w:rsid w:val="44780FD8"/>
    <w:rsid w:val="4FCC21D8"/>
    <w:rsid w:val="5AE05F09"/>
    <w:rsid w:val="5F326308"/>
    <w:rsid w:val="61E05FC7"/>
    <w:rsid w:val="65DC2EC3"/>
    <w:rsid w:val="7D483C53"/>
    <w:rsid w:val="7ED6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7">
    <w:name w:val="Body Text"/>
    <w:basedOn w:val="1"/>
    <w:next w:val="1"/>
    <w:qFormat/>
    <w:uiPriority w:val="0"/>
    <w:pPr>
      <w:jc w:val="center"/>
    </w:pPr>
    <w:rPr>
      <w:b/>
      <w:spacing w:val="4"/>
      <w:sz w:val="84"/>
    </w:rPr>
  </w:style>
  <w:style w:type="paragraph" w:styleId="8">
    <w:name w:val="Body Text Indent"/>
    <w:basedOn w:val="1"/>
    <w:next w:val="9"/>
    <w:qFormat/>
    <w:uiPriority w:val="0"/>
    <w:pPr>
      <w:widowControl/>
      <w:ind w:left="426" w:hanging="426" w:hangingChars="152"/>
      <w:jc w:val="left"/>
    </w:pPr>
    <w:rPr>
      <w:rFonts w:ascii="宋体"/>
      <w:kern w:val="0"/>
    </w:rPr>
  </w:style>
  <w:style w:type="paragraph" w:styleId="9">
    <w:name w:val="Body Text First Indent 2"/>
    <w:basedOn w:val="8"/>
    <w:qFormat/>
    <w:uiPriority w:val="0"/>
    <w:pPr>
      <w:widowControl w:val="0"/>
      <w:spacing w:after="120"/>
      <w:ind w:left="420" w:leftChars="200" w:firstLine="420" w:firstLineChars="200"/>
      <w:jc w:val="both"/>
    </w:pPr>
    <w:rPr>
      <w:rFonts w:ascii="Calibri" w:hAnsi="Calibri" w:eastAsia="等线" w:cs="Times New Roman"/>
      <w:kern w:val="2"/>
      <w:sz w:val="21"/>
      <w:szCs w:val="22"/>
      <w:lang w:val="en-US" w:eastAsia="zh-CN" w:bidi="ar-SA"/>
    </w:rPr>
  </w:style>
  <w:style w:type="paragraph" w:styleId="10">
    <w:name w:val="Plain Text"/>
    <w:basedOn w:val="1"/>
    <w:qFormat/>
    <w:uiPriority w:val="0"/>
    <w:rPr>
      <w:rFonts w:ascii="宋体" w:hAnsi="Courier New"/>
      <w:kern w:val="0"/>
      <w:sz w:val="20"/>
    </w:rPr>
  </w:style>
  <w:style w:type="paragraph" w:styleId="11">
    <w:name w:val="Body Text Indent 2"/>
    <w:basedOn w:val="1"/>
    <w:qFormat/>
    <w:uiPriority w:val="0"/>
    <w:pPr>
      <w:spacing w:line="440" w:lineRule="exact"/>
      <w:ind w:left="420"/>
    </w:pPr>
    <w:rPr>
      <w:rFonts w:ascii="宋体"/>
    </w:r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440" w:lineRule="exact"/>
    </w:pPr>
    <w:rPr>
      <w:rFonts w:ascii="宋体" w:hAnsi="宋体"/>
      <w:color w:val="00000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w:basedOn w:val="7"/>
    <w:unhideWhenUsed/>
    <w:qFormat/>
    <w:uiPriority w:val="0"/>
    <w:pPr>
      <w:spacing w:after="120" w:afterLines="0" w:line="240" w:lineRule="auto"/>
      <w:ind w:firstLine="420" w:firstLineChars="100"/>
    </w:pPr>
    <w:rPr>
      <w:rFonts w:ascii="Times New Roman" w:hAnsi="Times New Roman"/>
      <w:color w:val="auto"/>
      <w:sz w:val="18"/>
      <w:szCs w:val="18"/>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Char1"/>
    <w:basedOn w:val="1"/>
    <w:qFormat/>
    <w:uiPriority w:val="0"/>
    <w:rPr>
      <w:sz w:val="21"/>
      <w:szCs w:val="21"/>
    </w:rPr>
  </w:style>
  <w:style w:type="paragraph" w:customStyle="1" w:styleId="22">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32602</Words>
  <Characters>34252</Characters>
  <Lines>0</Lines>
  <Paragraphs>0</Paragraphs>
  <TotalTime>0</TotalTime>
  <ScaleCrop>false</ScaleCrop>
  <LinksUpToDate>false</LinksUpToDate>
  <CharactersWithSpaces>36074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2025-11-14T02:57:00Z</dcterms:created>
  <dc:creator>Administrator</dc:creator>
  <cp:lastModifiedBy>宋璟雯</cp:lastModifiedBy>
  <dcterms:modified xsi:type="dcterms:W3CDTF">2025-11-14T09:01:58Z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eyJoZGlkIjoiOTllZGEyOGNlNzUzZDJkMjFmZDM1ZjY5ZTVmYTBjYmQiLCJ1c2VySWQiOiIxNDUxODIyODU0In0=</vt:lpwstr>
  </property>
  <property fmtid="{D5CDD505-2E9C-101B-9397-08002B2CF9AE}" pid="4" name="ICV">
    <vt:lpwstr>22C9B712DA8D4BD8AF99B003F250A54D_12</vt:lpwstr>
  </property>
</Properties>
</file>