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6014B">
      <w:pPr>
        <w:pStyle w:val="2"/>
        <w:keepNext w:val="0"/>
        <w:keepLines w:val="0"/>
        <w:rPr>
          <w:rFonts w:hint="eastAsia" w:ascii="宋体" w:hAnsi="宋体"/>
          <w:b w:val="0"/>
          <w:sz w:val="32"/>
          <w:szCs w:val="32"/>
        </w:rPr>
      </w:pPr>
      <w:r>
        <w:rPr>
          <w:rFonts w:hint="eastAsia" w:ascii="宋体" w:hAnsi="宋体"/>
          <w:sz w:val="32"/>
          <w:szCs w:val="32"/>
        </w:rPr>
        <w:t>技术参数及要求</w:t>
      </w:r>
    </w:p>
    <w:p w14:paraId="1FA5599F">
      <w:pPr>
        <w:spacing w:line="360" w:lineRule="auto"/>
        <w:rPr>
          <w:rFonts w:hint="eastAsia" w:ascii="宋体" w:hAnsi="宋体" w:cs="宋体"/>
          <w:b/>
          <w:bCs/>
          <w:sz w:val="24"/>
        </w:rPr>
      </w:pPr>
      <w:r>
        <w:rPr>
          <w:rFonts w:hint="eastAsia" w:ascii="宋体" w:hAnsi="宋体" w:cs="宋体"/>
          <w:b/>
          <w:bCs/>
          <w:sz w:val="24"/>
        </w:rPr>
        <w:t>1包：2025年教育考试院存储系统维保服务及技术支持</w:t>
      </w:r>
    </w:p>
    <w:p w14:paraId="4110E12B">
      <w:pPr>
        <w:widowControl/>
        <w:numPr>
          <w:ilvl w:val="0"/>
          <w:numId w:val="1"/>
        </w:numPr>
        <w:spacing w:before="60" w:after="60" w:line="360" w:lineRule="auto"/>
        <w:ind w:right="60"/>
        <w:jc w:val="left"/>
        <w:rPr>
          <w:rFonts w:hint="eastAsia" w:ascii="宋体" w:hAnsi="宋体" w:cs="宋体"/>
          <w:b/>
          <w:bCs/>
          <w:kern w:val="0"/>
          <w:sz w:val="24"/>
        </w:rPr>
      </w:pPr>
      <w:bookmarkStart w:id="0" w:name="_Toc493755836"/>
      <w:bookmarkStart w:id="1" w:name="_Toc493755734"/>
      <w:r>
        <w:rPr>
          <w:rFonts w:hint="eastAsia" w:ascii="宋体" w:hAnsi="宋体" w:cs="宋体"/>
          <w:b/>
          <w:bCs/>
          <w:kern w:val="0"/>
          <w:sz w:val="24"/>
        </w:rPr>
        <w:t>服务需求</w:t>
      </w:r>
      <w:bookmarkEnd w:id="0"/>
      <w:bookmarkEnd w:id="1"/>
    </w:p>
    <w:p w14:paraId="476D50DF">
      <w:pPr>
        <w:widowControl/>
        <w:spacing w:before="60" w:after="60" w:line="360" w:lineRule="auto"/>
        <w:ind w:right="60" w:firstLine="480" w:firstLineChars="200"/>
        <w:jc w:val="left"/>
        <w:rPr>
          <w:rFonts w:hint="eastAsia" w:ascii="宋体" w:hAnsi="宋体" w:cs="宋体"/>
          <w:sz w:val="24"/>
        </w:rPr>
      </w:pPr>
      <w:r>
        <w:rPr>
          <w:rFonts w:hint="eastAsia" w:ascii="宋体" w:hAnsi="宋体" w:cs="宋体"/>
          <w:sz w:val="24"/>
        </w:rPr>
        <w:t>提供7*24电话响应服务，服务响应时间小于三十分钟，到达现场时间要求4小时以内。</w:t>
      </w:r>
    </w:p>
    <w:p w14:paraId="24E5F222">
      <w:pPr>
        <w:widowControl/>
        <w:spacing w:before="60" w:after="60" w:line="360" w:lineRule="auto"/>
        <w:ind w:right="60"/>
        <w:jc w:val="left"/>
        <w:rPr>
          <w:rFonts w:hint="eastAsia" w:ascii="宋体" w:hAnsi="宋体" w:cs="宋体"/>
          <w:b/>
          <w:bCs/>
          <w:kern w:val="0"/>
          <w:sz w:val="24"/>
        </w:rPr>
      </w:pPr>
      <w:bookmarkStart w:id="2" w:name="_Toc493755735"/>
      <w:bookmarkStart w:id="3" w:name="_Toc493755837"/>
      <w:r>
        <w:rPr>
          <w:rFonts w:hint="eastAsia" w:ascii="宋体" w:hAnsi="宋体" w:cs="宋体"/>
          <w:b/>
          <w:bCs/>
          <w:kern w:val="0"/>
          <w:sz w:val="24"/>
        </w:rPr>
        <w:t>2、备件需求</w:t>
      </w:r>
      <w:bookmarkEnd w:id="2"/>
      <w:bookmarkEnd w:id="3"/>
    </w:p>
    <w:p w14:paraId="4A4EF606">
      <w:pPr>
        <w:widowControl/>
        <w:wordWrap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供应商必须承诺为本项目中的所有设备提供满足服务期限的备品备件，且保证备品备件必须是来自于设备原厂商的产品。备件提供原厂5*8*NBD服务级别（服务说明：8小时内接受受理，1小时内批复，批复后第二个工作日内安排备件发货。详见附件）。</w:t>
      </w:r>
    </w:p>
    <w:p w14:paraId="0E873430">
      <w:pPr>
        <w:widowControl/>
        <w:spacing w:before="60" w:after="60" w:line="360" w:lineRule="auto"/>
        <w:ind w:right="60"/>
        <w:jc w:val="left"/>
        <w:rPr>
          <w:rFonts w:hint="eastAsia" w:ascii="宋体" w:hAnsi="宋体" w:cs="宋体"/>
          <w:b/>
          <w:bCs/>
          <w:kern w:val="0"/>
          <w:sz w:val="24"/>
        </w:rPr>
      </w:pPr>
      <w:bookmarkStart w:id="4" w:name="_Toc493755736"/>
      <w:bookmarkStart w:id="5" w:name="_Toc493755838"/>
      <w:r>
        <w:rPr>
          <w:rFonts w:hint="eastAsia" w:ascii="宋体" w:hAnsi="宋体" w:cs="宋体"/>
          <w:b/>
          <w:bCs/>
          <w:kern w:val="0"/>
          <w:sz w:val="24"/>
        </w:rPr>
        <w:t>3、维保期限要求</w:t>
      </w:r>
      <w:bookmarkEnd w:id="4"/>
      <w:bookmarkEnd w:id="5"/>
    </w:p>
    <w:p w14:paraId="47FD4A61">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续保时间需为原中止时间后续1年，要求在原厂服务启动书中分别列明，清单中特殊要求的设备除外。</w:t>
      </w:r>
    </w:p>
    <w:p w14:paraId="5101BD7C">
      <w:pPr>
        <w:widowControl/>
        <w:spacing w:before="60" w:after="60" w:line="360" w:lineRule="auto"/>
        <w:ind w:right="60"/>
        <w:jc w:val="left"/>
        <w:rPr>
          <w:rFonts w:hint="eastAsia" w:ascii="宋体" w:hAnsi="宋体" w:cs="宋体"/>
          <w:b/>
          <w:bCs/>
          <w:sz w:val="24"/>
        </w:rPr>
      </w:pPr>
      <w:bookmarkStart w:id="6" w:name="_Toc493755737"/>
      <w:bookmarkStart w:id="7" w:name="_Toc493755839"/>
      <w:r>
        <w:rPr>
          <w:rFonts w:hint="eastAsia" w:ascii="宋体" w:hAnsi="宋体" w:cs="宋体"/>
          <w:b/>
          <w:bCs/>
          <w:sz w:val="24"/>
        </w:rPr>
        <w:t>4、故障确诊时限要求</w:t>
      </w:r>
      <w:bookmarkEnd w:id="6"/>
      <w:bookmarkEnd w:id="7"/>
    </w:p>
    <w:p w14:paraId="5B686414">
      <w:pPr>
        <w:widowControl/>
        <w:wordWrap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重大故障（业务中断，数据丢失）P1级别，1小时之内</w:t>
      </w:r>
      <w:bookmarkStart w:id="8" w:name="OLE_LINK30"/>
      <w:bookmarkStart w:id="9" w:name="OLE_LINK28"/>
      <w:bookmarkStart w:id="10" w:name="OLE_LINK31"/>
      <w:bookmarkStart w:id="11" w:name="OLE_LINK29"/>
      <w:r>
        <w:rPr>
          <w:rFonts w:hint="eastAsia" w:ascii="宋体" w:hAnsi="宋体" w:cs="宋体"/>
          <w:sz w:val="24"/>
        </w:rPr>
        <w:t>故障确诊</w:t>
      </w:r>
      <w:bookmarkEnd w:id="8"/>
      <w:bookmarkEnd w:id="9"/>
      <w:bookmarkEnd w:id="10"/>
      <w:bookmarkEnd w:id="11"/>
      <w:r>
        <w:rPr>
          <w:rFonts w:hint="eastAsia" w:ascii="宋体" w:hAnsi="宋体" w:cs="宋体"/>
          <w:sz w:val="24"/>
        </w:rPr>
        <w:t>；有潜在重大的隐患（影响和限制了部分业务运营）P2级别故障，4小时之内故障确诊；一般性技术故障（发现网络和设备的技术问题，但系统仍可正常运行）P3级别，48小时之内故障确诊。如需工程师抵达现场，上述时间以工程师抵达现场时间起算。请投标方提供响应的承诺。</w:t>
      </w:r>
    </w:p>
    <w:p w14:paraId="1995B2F4">
      <w:pPr>
        <w:pStyle w:val="5"/>
        <w:spacing w:before="60" w:after="60" w:line="360" w:lineRule="auto"/>
        <w:ind w:left="0" w:right="60"/>
        <w:rPr>
          <w:rFonts w:hint="eastAsia" w:ascii="宋体" w:hAnsi="宋体" w:cs="宋体"/>
          <w:lang w:eastAsia="zh-CN"/>
        </w:rPr>
      </w:pPr>
      <w:bookmarkStart w:id="12" w:name="_Toc493755840"/>
      <w:bookmarkStart w:id="13" w:name="_Toc493755738"/>
      <w:r>
        <w:rPr>
          <w:rFonts w:hint="eastAsia" w:ascii="宋体" w:hAnsi="宋体" w:cs="宋体"/>
          <w:lang w:eastAsia="zh-CN"/>
        </w:rPr>
        <w:t>5、在服务期内如用户有需求，供应商对参保设备提供配置调整和调试服务。</w:t>
      </w:r>
      <w:bookmarkEnd w:id="12"/>
      <w:bookmarkEnd w:id="13"/>
      <w:bookmarkStart w:id="14" w:name="_Toc493755739"/>
      <w:bookmarkStart w:id="15" w:name="_Toc493755841"/>
      <w:r>
        <w:rPr>
          <w:rFonts w:hint="eastAsia" w:ascii="宋体" w:hAnsi="宋体" w:cs="宋体"/>
          <w:lang w:eastAsia="zh-CN"/>
        </w:rPr>
        <w:t>这些服务的一切费用计入磋商报价，用户不再支付其他费用。</w:t>
      </w:r>
      <w:bookmarkEnd w:id="14"/>
      <w:bookmarkEnd w:id="15"/>
    </w:p>
    <w:p w14:paraId="2EAD1CAB">
      <w:pPr>
        <w:widowControl/>
        <w:spacing w:before="60" w:after="60" w:line="360" w:lineRule="auto"/>
        <w:ind w:right="60"/>
        <w:jc w:val="left"/>
        <w:rPr>
          <w:rFonts w:hint="eastAsia" w:ascii="宋体" w:hAnsi="宋体" w:cs="宋体"/>
          <w:sz w:val="24"/>
        </w:rPr>
      </w:pPr>
      <w:bookmarkStart w:id="16" w:name="_Toc493755842"/>
      <w:bookmarkStart w:id="17" w:name="_Toc493755740"/>
      <w:r>
        <w:rPr>
          <w:rFonts w:hint="eastAsia" w:ascii="宋体" w:hAnsi="宋体" w:cs="宋体"/>
          <w:sz w:val="24"/>
        </w:rPr>
        <w:t>6、本项目须提供原厂商针对本次维保服务招标项目的授权函。</w:t>
      </w:r>
      <w:bookmarkEnd w:id="16"/>
      <w:bookmarkEnd w:id="17"/>
    </w:p>
    <w:p w14:paraId="5DFF4D08">
      <w:pPr>
        <w:widowControl/>
        <w:spacing w:before="60" w:after="60" w:line="360" w:lineRule="auto"/>
        <w:ind w:right="60"/>
        <w:jc w:val="left"/>
        <w:rPr>
          <w:rFonts w:hint="eastAsia" w:ascii="宋体" w:hAnsi="宋体" w:cs="宋体"/>
          <w:b/>
          <w:bCs/>
          <w:sz w:val="24"/>
        </w:rPr>
      </w:pPr>
      <w:bookmarkStart w:id="18" w:name="_Toc493755843"/>
      <w:bookmarkStart w:id="19" w:name="_Toc493755741"/>
      <w:r>
        <w:rPr>
          <w:rFonts w:hint="eastAsia" w:ascii="宋体" w:hAnsi="宋体" w:cs="宋体"/>
          <w:b/>
          <w:bCs/>
          <w:kern w:val="0"/>
          <w:sz w:val="24"/>
        </w:rPr>
        <w:t>7、服务验证说明</w:t>
      </w:r>
      <w:bookmarkEnd w:id="18"/>
      <w:bookmarkEnd w:id="19"/>
    </w:p>
    <w:p w14:paraId="5D9B7E46">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为保证服务质量的及时有效以及备件品质，供应商需在合同签订之日后20天内由原厂直接寄送服务启动通知书至陕西省教育考试院，且服务启动书最终用户必需与原项目相同，即：“陕西省教育考试院”（以原厂客服电话确认为准）。</w:t>
      </w:r>
    </w:p>
    <w:p w14:paraId="3706C45D">
      <w:pPr>
        <w:widowControl/>
        <w:spacing w:before="60" w:after="60" w:line="360" w:lineRule="auto"/>
        <w:ind w:right="60"/>
        <w:jc w:val="left"/>
        <w:rPr>
          <w:rFonts w:hint="eastAsia" w:ascii="宋体" w:hAnsi="宋体" w:cs="宋体"/>
          <w:sz w:val="24"/>
        </w:rPr>
      </w:pPr>
      <w:bookmarkStart w:id="20" w:name="_Toc493755844"/>
      <w:bookmarkStart w:id="21" w:name="_Toc493755742"/>
      <w:r>
        <w:rPr>
          <w:rFonts w:hint="eastAsia" w:ascii="宋体" w:hAnsi="宋体" w:cs="宋体"/>
          <w:sz w:val="24"/>
        </w:rPr>
        <w:t>8、巡检要求</w:t>
      </w:r>
      <w:bookmarkEnd w:id="20"/>
      <w:bookmarkEnd w:id="21"/>
    </w:p>
    <w:p w14:paraId="0A280B9C">
      <w:r>
        <w:rPr>
          <w:rFonts w:hint="eastAsia" w:ascii="宋体" w:hAnsi="宋体" w:cs="宋体"/>
          <w:sz w:val="24"/>
        </w:rPr>
        <w:t>自启动付款流程起，一年内维保设备定期检查2次，请供应商提供响应的承诺。</w:t>
      </w:r>
    </w:p>
    <w:p w14:paraId="0CEDFA3F">
      <w:pPr>
        <w:snapToGrid w:val="0"/>
        <w:spacing w:line="360" w:lineRule="auto"/>
        <w:rPr>
          <w:rFonts w:hint="eastAsia" w:ascii="宋体" w:hAnsi="宋体" w:cs="宋体"/>
          <w:b/>
          <w:bCs/>
          <w:sz w:val="24"/>
        </w:rPr>
      </w:pPr>
      <w:r>
        <w:rPr>
          <w:rFonts w:hint="eastAsia" w:ascii="宋体" w:hAnsi="宋体"/>
        </w:rPr>
        <w:br w:type="page"/>
      </w:r>
      <w:r>
        <w:rPr>
          <w:rFonts w:hint="eastAsia" w:ascii="宋体" w:hAnsi="宋体" w:cs="宋体"/>
          <w:b/>
          <w:bCs/>
          <w:sz w:val="24"/>
        </w:rPr>
        <w:t>2包：2025年应用安全防护云服务</w:t>
      </w:r>
    </w:p>
    <w:p w14:paraId="4248471B">
      <w:pPr>
        <w:spacing w:line="360" w:lineRule="auto"/>
        <w:rPr>
          <w:rFonts w:hint="eastAsia" w:ascii="宋体" w:hAnsi="宋体" w:cs="宋体"/>
          <w:sz w:val="24"/>
        </w:rPr>
      </w:pPr>
      <w:r>
        <w:rPr>
          <w:rFonts w:hint="eastAsia" w:ascii="宋体" w:hAnsi="宋体" w:cs="宋体"/>
          <w:sz w:val="24"/>
        </w:rPr>
        <w:t>WEB安全防护</w:t>
      </w:r>
    </w:p>
    <w:tbl>
      <w:tblPr>
        <w:tblStyle w:val="3"/>
        <w:tblW w:w="4997" w:type="pct"/>
        <w:tblInd w:w="0" w:type="dxa"/>
        <w:tblLayout w:type="autofit"/>
        <w:tblCellMar>
          <w:top w:w="0" w:type="dxa"/>
          <w:left w:w="108" w:type="dxa"/>
          <w:bottom w:w="0" w:type="dxa"/>
          <w:right w:w="108" w:type="dxa"/>
        </w:tblCellMar>
      </w:tblPr>
      <w:tblGrid>
        <w:gridCol w:w="693"/>
        <w:gridCol w:w="1669"/>
        <w:gridCol w:w="5057"/>
        <w:gridCol w:w="1098"/>
      </w:tblGrid>
      <w:tr w14:paraId="7DF04A31">
        <w:tblPrEx>
          <w:tblCellMar>
            <w:top w:w="0" w:type="dxa"/>
            <w:left w:w="108" w:type="dxa"/>
            <w:bottom w:w="0" w:type="dxa"/>
            <w:right w:w="108" w:type="dxa"/>
          </w:tblCellMar>
        </w:tblPrEx>
        <w:trPr>
          <w:trHeight w:val="550" w:hRule="atLeast"/>
        </w:trPr>
        <w:tc>
          <w:tcPr>
            <w:tcW w:w="407" w:type="pct"/>
            <w:tcBorders>
              <w:top w:val="single" w:color="auto" w:sz="8" w:space="0"/>
              <w:left w:val="single" w:color="auto" w:sz="8" w:space="0"/>
              <w:bottom w:val="single" w:color="auto" w:sz="8" w:space="0"/>
              <w:right w:val="single" w:color="auto" w:sz="4" w:space="0"/>
            </w:tcBorders>
            <w:shd w:val="clear" w:color="000000" w:fill="FFFFFF"/>
            <w:noWrap w:val="0"/>
            <w:vAlign w:val="center"/>
          </w:tcPr>
          <w:p w14:paraId="32557EA7">
            <w:pPr>
              <w:widowControl/>
              <w:spacing w:line="360" w:lineRule="auto"/>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产品名称</w:t>
            </w:r>
          </w:p>
        </w:tc>
        <w:tc>
          <w:tcPr>
            <w:tcW w:w="980" w:type="pct"/>
            <w:tcBorders>
              <w:top w:val="single" w:color="auto" w:sz="8" w:space="0"/>
              <w:left w:val="single" w:color="auto" w:sz="8" w:space="0"/>
              <w:bottom w:val="single" w:color="auto" w:sz="8" w:space="0"/>
              <w:right w:val="single" w:color="auto" w:sz="8" w:space="0"/>
            </w:tcBorders>
            <w:shd w:val="clear" w:color="000000" w:fill="FFFFFF"/>
            <w:noWrap w:val="0"/>
            <w:vAlign w:val="center"/>
          </w:tcPr>
          <w:p w14:paraId="13B52105">
            <w:pPr>
              <w:widowControl/>
              <w:spacing w:line="360" w:lineRule="auto"/>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功能项</w:t>
            </w:r>
          </w:p>
        </w:tc>
        <w:tc>
          <w:tcPr>
            <w:tcW w:w="2969" w:type="pct"/>
            <w:tcBorders>
              <w:top w:val="single" w:color="auto" w:sz="8" w:space="0"/>
              <w:left w:val="nil"/>
              <w:bottom w:val="single" w:color="auto" w:sz="8" w:space="0"/>
              <w:right w:val="nil"/>
            </w:tcBorders>
            <w:shd w:val="clear" w:color="000000" w:fill="FFFFFF"/>
            <w:noWrap w:val="0"/>
            <w:vAlign w:val="center"/>
          </w:tcPr>
          <w:p w14:paraId="121A78D9">
            <w:pPr>
              <w:widowControl/>
              <w:spacing w:line="360" w:lineRule="auto"/>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功能说明</w:t>
            </w:r>
          </w:p>
        </w:tc>
        <w:tc>
          <w:tcPr>
            <w:tcW w:w="644" w:type="pct"/>
            <w:tcBorders>
              <w:top w:val="single" w:color="auto" w:sz="8" w:space="0"/>
              <w:left w:val="single" w:color="auto" w:sz="8" w:space="0"/>
              <w:bottom w:val="single" w:color="auto" w:sz="8" w:space="0"/>
              <w:right w:val="single" w:color="auto" w:sz="8" w:space="0"/>
            </w:tcBorders>
            <w:shd w:val="clear" w:color="000000" w:fill="FFFFFF"/>
            <w:noWrap w:val="0"/>
            <w:vAlign w:val="center"/>
          </w:tcPr>
          <w:p w14:paraId="22BAFA09">
            <w:pPr>
              <w:widowControl/>
              <w:spacing w:line="360" w:lineRule="auto"/>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功能内容</w:t>
            </w:r>
          </w:p>
        </w:tc>
      </w:tr>
      <w:tr w14:paraId="153D76FF">
        <w:tblPrEx>
          <w:tblCellMar>
            <w:top w:w="0" w:type="dxa"/>
            <w:left w:w="108" w:type="dxa"/>
            <w:bottom w:w="0" w:type="dxa"/>
            <w:right w:w="108" w:type="dxa"/>
          </w:tblCellMar>
        </w:tblPrEx>
        <w:trPr>
          <w:trHeight w:val="495" w:hRule="atLeast"/>
        </w:trPr>
        <w:tc>
          <w:tcPr>
            <w:tcW w:w="407" w:type="pct"/>
            <w:vMerge w:val="restart"/>
            <w:tcBorders>
              <w:top w:val="nil"/>
              <w:left w:val="single" w:color="auto" w:sz="8" w:space="0"/>
              <w:bottom w:val="single" w:color="000000" w:sz="8" w:space="0"/>
              <w:right w:val="single" w:color="auto" w:sz="8" w:space="0"/>
            </w:tcBorders>
            <w:noWrap w:val="0"/>
            <w:vAlign w:val="center"/>
          </w:tcPr>
          <w:p w14:paraId="23070F0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云防护</w:t>
            </w:r>
          </w:p>
        </w:tc>
        <w:tc>
          <w:tcPr>
            <w:tcW w:w="980" w:type="pct"/>
            <w:tcBorders>
              <w:top w:val="single" w:color="auto" w:sz="8" w:space="0"/>
              <w:left w:val="single" w:color="auto" w:sz="8" w:space="0"/>
              <w:bottom w:val="single" w:color="auto" w:sz="4" w:space="0"/>
              <w:right w:val="single" w:color="auto" w:sz="8" w:space="0"/>
            </w:tcBorders>
            <w:noWrap w:val="0"/>
            <w:vAlign w:val="center"/>
          </w:tcPr>
          <w:p w14:paraId="6D0A072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智能DNS</w:t>
            </w:r>
          </w:p>
        </w:tc>
        <w:tc>
          <w:tcPr>
            <w:tcW w:w="2969" w:type="pct"/>
            <w:tcBorders>
              <w:top w:val="nil"/>
              <w:left w:val="nil"/>
              <w:bottom w:val="single" w:color="auto" w:sz="4" w:space="0"/>
              <w:right w:val="nil"/>
            </w:tcBorders>
            <w:noWrap w:val="0"/>
            <w:vAlign w:val="center"/>
          </w:tcPr>
          <w:p w14:paraId="51F4EB8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可提供DNS域名解析</w:t>
            </w:r>
          </w:p>
        </w:tc>
        <w:tc>
          <w:tcPr>
            <w:tcW w:w="644" w:type="pct"/>
            <w:tcBorders>
              <w:top w:val="single" w:color="auto" w:sz="8" w:space="0"/>
              <w:left w:val="single" w:color="auto" w:sz="8" w:space="0"/>
              <w:bottom w:val="single" w:color="auto" w:sz="4" w:space="0"/>
              <w:right w:val="single" w:color="auto" w:sz="8" w:space="0"/>
            </w:tcBorders>
            <w:noWrap w:val="0"/>
            <w:vAlign w:val="center"/>
          </w:tcPr>
          <w:p w14:paraId="6FC38B4A">
            <w:pPr>
              <w:widowControl/>
              <w:spacing w:line="36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NS和cname</w:t>
            </w:r>
          </w:p>
        </w:tc>
      </w:tr>
      <w:tr w14:paraId="17C1B972">
        <w:tblPrEx>
          <w:tblCellMar>
            <w:top w:w="0" w:type="dxa"/>
            <w:left w:w="108" w:type="dxa"/>
            <w:bottom w:w="0" w:type="dxa"/>
            <w:right w:w="108" w:type="dxa"/>
          </w:tblCellMar>
        </w:tblPrEx>
        <w:trPr>
          <w:trHeight w:val="5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15CE47AF">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049FD74D">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web防火墙</w:t>
            </w:r>
          </w:p>
        </w:tc>
        <w:tc>
          <w:tcPr>
            <w:tcW w:w="2969" w:type="pct"/>
            <w:tcBorders>
              <w:top w:val="nil"/>
              <w:left w:val="nil"/>
              <w:bottom w:val="single" w:color="auto" w:sz="4" w:space="0"/>
              <w:right w:val="nil"/>
            </w:tcBorders>
            <w:noWrap w:val="0"/>
            <w:vAlign w:val="center"/>
          </w:tcPr>
          <w:p w14:paraId="3AD0E489">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可防护SQL注入、命令注入、跨站脚本、文件包含、信息探测等常见攻击,防止网站因为漏洞导致被篡改，被拖库，被入侵。</w:t>
            </w:r>
          </w:p>
        </w:tc>
        <w:tc>
          <w:tcPr>
            <w:tcW w:w="644" w:type="pct"/>
            <w:tcBorders>
              <w:top w:val="nil"/>
              <w:left w:val="single" w:color="auto" w:sz="8" w:space="0"/>
              <w:bottom w:val="single" w:color="auto" w:sz="4" w:space="0"/>
              <w:right w:val="single" w:color="auto" w:sz="8" w:space="0"/>
            </w:tcBorders>
            <w:noWrap w:val="0"/>
            <w:vAlign w:val="center"/>
          </w:tcPr>
          <w:p w14:paraId="2EA7C8E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775C84DB">
        <w:tblPrEx>
          <w:tblCellMar>
            <w:top w:w="0" w:type="dxa"/>
            <w:left w:w="108" w:type="dxa"/>
            <w:bottom w:w="0" w:type="dxa"/>
            <w:right w:w="108" w:type="dxa"/>
          </w:tblCellMar>
        </w:tblPrEx>
        <w:trPr>
          <w:trHeight w:val="210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66889F8A">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25360F38">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防火墙策略集控制</w:t>
            </w:r>
          </w:p>
        </w:tc>
        <w:tc>
          <w:tcPr>
            <w:tcW w:w="2969" w:type="pct"/>
            <w:tcBorders>
              <w:top w:val="nil"/>
              <w:left w:val="nil"/>
              <w:bottom w:val="single" w:color="auto" w:sz="4" w:space="0"/>
              <w:right w:val="nil"/>
            </w:tcBorders>
            <w:noWrap w:val="0"/>
            <w:vAlign w:val="center"/>
          </w:tcPr>
          <w:p w14:paraId="7CA6A917">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支持子防护策略集打开关闭；</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子防护策略集如下：政企专用防护策略集，扫描器/爬虫防御策略集，异常HTTP请求防御策略集，SQL注入防护策略，POST请求SQL注入防护策略，Webshell防护策略，XSS防护策略，POST请求XSS防护策略，命令/代码执行防护策略，文件包含/注入防护策略，特殊/其他攻击防护策略。</w:t>
            </w:r>
          </w:p>
        </w:tc>
        <w:tc>
          <w:tcPr>
            <w:tcW w:w="644" w:type="pct"/>
            <w:tcBorders>
              <w:top w:val="nil"/>
              <w:left w:val="single" w:color="auto" w:sz="8" w:space="0"/>
              <w:bottom w:val="single" w:color="auto" w:sz="4" w:space="0"/>
              <w:right w:val="single" w:color="auto" w:sz="8" w:space="0"/>
            </w:tcBorders>
            <w:noWrap w:val="0"/>
            <w:vAlign w:val="center"/>
          </w:tcPr>
          <w:p w14:paraId="462DD15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2BC5A223">
        <w:tblPrEx>
          <w:tblCellMar>
            <w:top w:w="0" w:type="dxa"/>
            <w:left w:w="108" w:type="dxa"/>
            <w:bottom w:w="0" w:type="dxa"/>
            <w:right w:w="108" w:type="dxa"/>
          </w:tblCellMar>
        </w:tblPrEx>
        <w:trPr>
          <w:trHeight w:val="375"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24C4E591">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450CD9E1">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防护策略屏蔽时间</w:t>
            </w:r>
          </w:p>
        </w:tc>
        <w:tc>
          <w:tcPr>
            <w:tcW w:w="2969" w:type="pct"/>
            <w:tcBorders>
              <w:top w:val="nil"/>
              <w:left w:val="nil"/>
              <w:bottom w:val="single" w:color="auto" w:sz="4" w:space="0"/>
              <w:right w:val="nil"/>
            </w:tcBorders>
            <w:noWrap w:val="0"/>
            <w:vAlign w:val="center"/>
          </w:tcPr>
          <w:p w14:paraId="26D0DBA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可以设置防火墙策略拦截的IP的屏蔽时间</w:t>
            </w:r>
          </w:p>
        </w:tc>
        <w:tc>
          <w:tcPr>
            <w:tcW w:w="644" w:type="pct"/>
            <w:tcBorders>
              <w:top w:val="nil"/>
              <w:left w:val="single" w:color="auto" w:sz="8" w:space="0"/>
              <w:bottom w:val="single" w:color="auto" w:sz="4" w:space="0"/>
              <w:right w:val="single" w:color="auto" w:sz="8" w:space="0"/>
            </w:tcBorders>
            <w:noWrap w:val="0"/>
            <w:vAlign w:val="center"/>
          </w:tcPr>
          <w:p w14:paraId="1AB6451E">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自定义</w:t>
            </w:r>
          </w:p>
        </w:tc>
      </w:tr>
      <w:tr w14:paraId="327F87B6">
        <w:tblPrEx>
          <w:tblCellMar>
            <w:top w:w="0" w:type="dxa"/>
            <w:left w:w="108" w:type="dxa"/>
            <w:bottom w:w="0" w:type="dxa"/>
            <w:right w:w="108" w:type="dxa"/>
          </w:tblCellMar>
        </w:tblPrEx>
        <w:trPr>
          <w:trHeight w:val="4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5EDE5C6C">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675AC456">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防火墙策略白名单</w:t>
            </w:r>
          </w:p>
        </w:tc>
        <w:tc>
          <w:tcPr>
            <w:tcW w:w="2969" w:type="pct"/>
            <w:tcBorders>
              <w:top w:val="nil"/>
              <w:left w:val="nil"/>
              <w:bottom w:val="single" w:color="auto" w:sz="4" w:space="0"/>
              <w:right w:val="nil"/>
            </w:tcBorders>
            <w:noWrap w:val="0"/>
            <w:vAlign w:val="center"/>
          </w:tcPr>
          <w:p w14:paraId="1D07B99F">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对指定的Web防火墙策略不进行拦截</w:t>
            </w:r>
          </w:p>
        </w:tc>
        <w:tc>
          <w:tcPr>
            <w:tcW w:w="644" w:type="pct"/>
            <w:tcBorders>
              <w:top w:val="nil"/>
              <w:left w:val="single" w:color="auto" w:sz="8" w:space="0"/>
              <w:bottom w:val="single" w:color="auto" w:sz="4" w:space="0"/>
              <w:right w:val="single" w:color="auto" w:sz="8" w:space="0"/>
            </w:tcBorders>
            <w:noWrap w:val="0"/>
            <w:vAlign w:val="center"/>
          </w:tcPr>
          <w:p w14:paraId="2692F51F">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100条</w:t>
            </w:r>
          </w:p>
        </w:tc>
      </w:tr>
      <w:tr w14:paraId="7706EA41">
        <w:tblPrEx>
          <w:tblCellMar>
            <w:top w:w="0" w:type="dxa"/>
            <w:left w:w="108" w:type="dxa"/>
            <w:bottom w:w="0" w:type="dxa"/>
            <w:right w:w="108" w:type="dxa"/>
          </w:tblCellMar>
        </w:tblPrEx>
        <w:trPr>
          <w:trHeight w:val="5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0D6C09D7">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3A878E36">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智能攻击防御</w:t>
            </w:r>
          </w:p>
        </w:tc>
        <w:tc>
          <w:tcPr>
            <w:tcW w:w="2969" w:type="pct"/>
            <w:tcBorders>
              <w:top w:val="nil"/>
              <w:left w:val="nil"/>
              <w:bottom w:val="single" w:color="auto" w:sz="4" w:space="0"/>
              <w:right w:val="nil"/>
            </w:tcBorders>
            <w:noWrap w:val="0"/>
            <w:vAlign w:val="center"/>
          </w:tcPr>
          <w:p w14:paraId="268BA06B">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可精准识别多种自动化扫描和攻击软件，深度解析编码过的、畸形的恶意代码，并阻断其请求，减少90%以上的恶意攻击。</w:t>
            </w:r>
          </w:p>
        </w:tc>
        <w:tc>
          <w:tcPr>
            <w:tcW w:w="644" w:type="pct"/>
            <w:tcBorders>
              <w:top w:val="nil"/>
              <w:left w:val="single" w:color="auto" w:sz="8" w:space="0"/>
              <w:bottom w:val="single" w:color="auto" w:sz="4" w:space="0"/>
              <w:right w:val="single" w:color="auto" w:sz="8" w:space="0"/>
            </w:tcBorders>
            <w:noWrap w:val="0"/>
            <w:vAlign w:val="center"/>
          </w:tcPr>
          <w:p w14:paraId="5EFA20B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15D89D28">
        <w:tblPrEx>
          <w:tblCellMar>
            <w:top w:w="0" w:type="dxa"/>
            <w:left w:w="108" w:type="dxa"/>
            <w:bottom w:w="0" w:type="dxa"/>
            <w:right w:w="108" w:type="dxa"/>
          </w:tblCellMar>
        </w:tblPrEx>
        <w:trPr>
          <w:trHeight w:val="405"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5F755782">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02D1B08F">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WebShell防护</w:t>
            </w:r>
          </w:p>
        </w:tc>
        <w:tc>
          <w:tcPr>
            <w:tcW w:w="2969" w:type="pct"/>
            <w:tcBorders>
              <w:top w:val="nil"/>
              <w:left w:val="nil"/>
              <w:bottom w:val="single" w:color="auto" w:sz="4" w:space="0"/>
              <w:right w:val="nil"/>
            </w:tcBorders>
            <w:noWrap w:val="0"/>
            <w:vAlign w:val="center"/>
          </w:tcPr>
          <w:p w14:paraId="5A32D184">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可防止黑客上传、访问WebShell（网站后门）</w:t>
            </w:r>
          </w:p>
        </w:tc>
        <w:tc>
          <w:tcPr>
            <w:tcW w:w="644" w:type="pct"/>
            <w:tcBorders>
              <w:top w:val="nil"/>
              <w:left w:val="single" w:color="auto" w:sz="8" w:space="0"/>
              <w:bottom w:val="single" w:color="auto" w:sz="4" w:space="0"/>
              <w:right w:val="single" w:color="auto" w:sz="8" w:space="0"/>
            </w:tcBorders>
            <w:noWrap w:val="0"/>
            <w:vAlign w:val="center"/>
          </w:tcPr>
          <w:p w14:paraId="53B1A08D">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58A0FC36">
        <w:tblPrEx>
          <w:tblCellMar>
            <w:top w:w="0" w:type="dxa"/>
            <w:left w:w="108" w:type="dxa"/>
            <w:bottom w:w="0" w:type="dxa"/>
            <w:right w:w="108" w:type="dxa"/>
          </w:tblCellMar>
        </w:tblPrEx>
        <w:trPr>
          <w:trHeight w:val="645"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468FD04A">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3EFBF7DA">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协同防御</w:t>
            </w:r>
          </w:p>
        </w:tc>
        <w:tc>
          <w:tcPr>
            <w:tcW w:w="2969" w:type="pct"/>
            <w:tcBorders>
              <w:top w:val="nil"/>
              <w:left w:val="nil"/>
              <w:bottom w:val="single" w:color="auto" w:sz="4" w:space="0"/>
              <w:right w:val="nil"/>
            </w:tcBorders>
            <w:shd w:val="clear" w:color="000000" w:fill="FFFFFF"/>
            <w:noWrap w:val="0"/>
            <w:vAlign w:val="center"/>
          </w:tcPr>
          <w:p w14:paraId="736F08F1">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防护平台整体防御体系，全网拦截任何攻击过防护体系的攻击者IP</w:t>
            </w:r>
          </w:p>
        </w:tc>
        <w:tc>
          <w:tcPr>
            <w:tcW w:w="644" w:type="pct"/>
            <w:tcBorders>
              <w:top w:val="nil"/>
              <w:left w:val="single" w:color="auto" w:sz="8" w:space="0"/>
              <w:bottom w:val="single" w:color="auto" w:sz="4" w:space="0"/>
              <w:right w:val="single" w:color="auto" w:sz="8" w:space="0"/>
            </w:tcBorders>
            <w:noWrap w:val="0"/>
            <w:vAlign w:val="center"/>
          </w:tcPr>
          <w:p w14:paraId="3456A9CA">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2E85A1CA">
        <w:tblPrEx>
          <w:tblCellMar>
            <w:top w:w="0" w:type="dxa"/>
            <w:left w:w="108" w:type="dxa"/>
            <w:bottom w:w="0" w:type="dxa"/>
            <w:right w:w="108" w:type="dxa"/>
          </w:tblCellMar>
        </w:tblPrEx>
        <w:trPr>
          <w:trHeight w:val="660"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4D07C2F5">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02CC0E4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境外访问控制</w:t>
            </w:r>
          </w:p>
        </w:tc>
        <w:tc>
          <w:tcPr>
            <w:tcW w:w="2969" w:type="pct"/>
            <w:tcBorders>
              <w:top w:val="nil"/>
              <w:left w:val="nil"/>
              <w:bottom w:val="single" w:color="auto" w:sz="4" w:space="0"/>
              <w:right w:val="nil"/>
            </w:tcBorders>
            <w:shd w:val="clear" w:color="000000" w:fill="FFFFFF"/>
            <w:noWrap w:val="0"/>
            <w:vAlign w:val="center"/>
          </w:tcPr>
          <w:p w14:paraId="5B29FDBA">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限制境外IP进行访问。由于攻击者大量使用国外跳板进行攻击，开启本功能可极大减少此类威胁</w:t>
            </w:r>
          </w:p>
        </w:tc>
        <w:tc>
          <w:tcPr>
            <w:tcW w:w="644" w:type="pct"/>
            <w:tcBorders>
              <w:top w:val="nil"/>
              <w:left w:val="single" w:color="auto" w:sz="8" w:space="0"/>
              <w:bottom w:val="single" w:color="auto" w:sz="4" w:space="0"/>
              <w:right w:val="single" w:color="auto" w:sz="8" w:space="0"/>
            </w:tcBorders>
            <w:noWrap w:val="0"/>
            <w:vAlign w:val="center"/>
          </w:tcPr>
          <w:p w14:paraId="1A7C432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40775A0F">
        <w:tblPrEx>
          <w:tblCellMar>
            <w:top w:w="0" w:type="dxa"/>
            <w:left w:w="108" w:type="dxa"/>
            <w:bottom w:w="0" w:type="dxa"/>
            <w:right w:w="108" w:type="dxa"/>
          </w:tblCellMar>
        </w:tblPrEx>
        <w:trPr>
          <w:trHeight w:val="660"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795D053F">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1F9B8E7D">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后台锁</w:t>
            </w:r>
          </w:p>
        </w:tc>
        <w:tc>
          <w:tcPr>
            <w:tcW w:w="2969" w:type="pct"/>
            <w:tcBorders>
              <w:top w:val="nil"/>
              <w:left w:val="nil"/>
              <w:bottom w:val="single" w:color="auto" w:sz="4" w:space="0"/>
              <w:right w:val="nil"/>
            </w:tcBorders>
            <w:shd w:val="clear" w:color="000000" w:fill="FFFFFF"/>
            <w:noWrap w:val="0"/>
            <w:vAlign w:val="center"/>
          </w:tcPr>
          <w:p w14:paraId="16FC232B">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禁止非授权IP访问网站后台管理地址或重要页面</w:t>
            </w:r>
          </w:p>
        </w:tc>
        <w:tc>
          <w:tcPr>
            <w:tcW w:w="644" w:type="pct"/>
            <w:tcBorders>
              <w:top w:val="nil"/>
              <w:left w:val="single" w:color="auto" w:sz="8" w:space="0"/>
              <w:bottom w:val="single" w:color="auto" w:sz="4" w:space="0"/>
              <w:right w:val="single" w:color="auto" w:sz="8" w:space="0"/>
            </w:tcBorders>
            <w:noWrap w:val="0"/>
            <w:vAlign w:val="center"/>
          </w:tcPr>
          <w:p w14:paraId="2DFBD27F">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60条</w:t>
            </w:r>
          </w:p>
        </w:tc>
      </w:tr>
      <w:tr w14:paraId="48C84D1D">
        <w:tblPrEx>
          <w:tblCellMar>
            <w:top w:w="0" w:type="dxa"/>
            <w:left w:w="108" w:type="dxa"/>
            <w:bottom w:w="0" w:type="dxa"/>
            <w:right w:w="108" w:type="dxa"/>
          </w:tblCellMar>
        </w:tblPrEx>
        <w:trPr>
          <w:trHeight w:val="645"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37B9A984">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5B1F03C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防黑锁</w:t>
            </w:r>
          </w:p>
        </w:tc>
        <w:tc>
          <w:tcPr>
            <w:tcW w:w="2969" w:type="pct"/>
            <w:tcBorders>
              <w:top w:val="nil"/>
              <w:left w:val="nil"/>
              <w:bottom w:val="single" w:color="auto" w:sz="4" w:space="0"/>
              <w:right w:val="nil"/>
            </w:tcBorders>
            <w:shd w:val="clear" w:color="000000" w:fill="FFFFFF"/>
            <w:noWrap w:val="0"/>
            <w:vAlign w:val="center"/>
          </w:tcPr>
          <w:p w14:paraId="1AEBE627">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锁定页面关键资源（如Banner图片、LOGO图片），避免关键资源受篡改而影响页面</w:t>
            </w:r>
          </w:p>
        </w:tc>
        <w:tc>
          <w:tcPr>
            <w:tcW w:w="644" w:type="pct"/>
            <w:tcBorders>
              <w:top w:val="nil"/>
              <w:left w:val="single" w:color="auto" w:sz="8" w:space="0"/>
              <w:bottom w:val="single" w:color="auto" w:sz="4" w:space="0"/>
              <w:right w:val="single" w:color="auto" w:sz="8" w:space="0"/>
            </w:tcBorders>
            <w:noWrap w:val="0"/>
            <w:vAlign w:val="center"/>
          </w:tcPr>
          <w:p w14:paraId="1B158754">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10条</w:t>
            </w:r>
          </w:p>
        </w:tc>
      </w:tr>
      <w:tr w14:paraId="6E5710AB">
        <w:tblPrEx>
          <w:tblCellMar>
            <w:top w:w="0" w:type="dxa"/>
            <w:left w:w="108" w:type="dxa"/>
            <w:bottom w:w="0" w:type="dxa"/>
            <w:right w:w="108" w:type="dxa"/>
          </w:tblCellMar>
        </w:tblPrEx>
        <w:trPr>
          <w:trHeight w:val="540"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32454B67">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6E78496A">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在线锁</w:t>
            </w:r>
          </w:p>
        </w:tc>
        <w:tc>
          <w:tcPr>
            <w:tcW w:w="2969" w:type="pct"/>
            <w:tcBorders>
              <w:top w:val="nil"/>
              <w:left w:val="nil"/>
              <w:bottom w:val="single" w:color="auto" w:sz="4" w:space="0"/>
              <w:right w:val="nil"/>
            </w:tcBorders>
            <w:shd w:val="clear" w:color="000000" w:fill="FFFFFF"/>
            <w:noWrap w:val="0"/>
            <w:vAlign w:val="center"/>
          </w:tcPr>
          <w:p w14:paraId="296D5926">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确保网站永久在线，发现页面不可访问可立即恢复</w:t>
            </w:r>
          </w:p>
        </w:tc>
        <w:tc>
          <w:tcPr>
            <w:tcW w:w="644" w:type="pct"/>
            <w:tcBorders>
              <w:top w:val="nil"/>
              <w:left w:val="single" w:color="auto" w:sz="8" w:space="0"/>
              <w:bottom w:val="single" w:color="auto" w:sz="4" w:space="0"/>
              <w:right w:val="single" w:color="auto" w:sz="8" w:space="0"/>
            </w:tcBorders>
            <w:noWrap w:val="0"/>
            <w:vAlign w:val="center"/>
          </w:tcPr>
          <w:p w14:paraId="60E8B25B">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028D75BD">
        <w:tblPrEx>
          <w:tblCellMar>
            <w:top w:w="0" w:type="dxa"/>
            <w:left w:w="108" w:type="dxa"/>
            <w:bottom w:w="0" w:type="dxa"/>
            <w:right w:w="108" w:type="dxa"/>
          </w:tblCellMar>
        </w:tblPrEx>
        <w:trPr>
          <w:trHeight w:val="525"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1167BE95">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14EEA4D3">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裤带锁</w:t>
            </w:r>
          </w:p>
        </w:tc>
        <w:tc>
          <w:tcPr>
            <w:tcW w:w="2969" w:type="pct"/>
            <w:tcBorders>
              <w:top w:val="nil"/>
              <w:left w:val="nil"/>
              <w:bottom w:val="single" w:color="auto" w:sz="4" w:space="0"/>
              <w:right w:val="nil"/>
            </w:tcBorders>
            <w:shd w:val="clear" w:color="000000" w:fill="FFFFFF"/>
            <w:noWrap w:val="0"/>
            <w:vAlign w:val="center"/>
          </w:tcPr>
          <w:p w14:paraId="4C82E69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防止黑客进行“撞库”攻击，保护网站敏感数据不被泄露</w:t>
            </w:r>
          </w:p>
        </w:tc>
        <w:tc>
          <w:tcPr>
            <w:tcW w:w="644" w:type="pct"/>
            <w:tcBorders>
              <w:top w:val="nil"/>
              <w:left w:val="single" w:color="auto" w:sz="8" w:space="0"/>
              <w:bottom w:val="single" w:color="auto" w:sz="4" w:space="0"/>
              <w:right w:val="single" w:color="auto" w:sz="8" w:space="0"/>
            </w:tcBorders>
            <w:noWrap w:val="0"/>
            <w:vAlign w:val="center"/>
          </w:tcPr>
          <w:p w14:paraId="7B26A8F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594A2D3E">
        <w:tblPrEx>
          <w:tblCellMar>
            <w:top w:w="0" w:type="dxa"/>
            <w:left w:w="108" w:type="dxa"/>
            <w:bottom w:w="0" w:type="dxa"/>
            <w:right w:w="108" w:type="dxa"/>
          </w:tblCellMar>
        </w:tblPrEx>
        <w:trPr>
          <w:trHeight w:val="570"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508E437C">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shd w:val="clear" w:color="000000" w:fill="FFFFFF"/>
            <w:noWrap w:val="0"/>
            <w:vAlign w:val="center"/>
          </w:tcPr>
          <w:p w14:paraId="0E6E6044">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防盗链</w:t>
            </w:r>
          </w:p>
        </w:tc>
        <w:tc>
          <w:tcPr>
            <w:tcW w:w="2969" w:type="pct"/>
            <w:tcBorders>
              <w:top w:val="nil"/>
              <w:left w:val="nil"/>
              <w:bottom w:val="single" w:color="auto" w:sz="4" w:space="0"/>
              <w:right w:val="nil"/>
            </w:tcBorders>
            <w:shd w:val="clear" w:color="000000" w:fill="FFFFFF"/>
            <w:noWrap w:val="0"/>
            <w:vAlign w:val="center"/>
          </w:tcPr>
          <w:p w14:paraId="178D513E">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保护网站图片、压缩包等资源文件不被其它站点盗用</w:t>
            </w:r>
          </w:p>
        </w:tc>
        <w:tc>
          <w:tcPr>
            <w:tcW w:w="644" w:type="pct"/>
            <w:tcBorders>
              <w:top w:val="nil"/>
              <w:left w:val="single" w:color="auto" w:sz="8" w:space="0"/>
              <w:bottom w:val="single" w:color="auto" w:sz="4" w:space="0"/>
              <w:right w:val="single" w:color="auto" w:sz="8" w:space="0"/>
            </w:tcBorders>
            <w:noWrap w:val="0"/>
            <w:vAlign w:val="center"/>
          </w:tcPr>
          <w:p w14:paraId="06F3CB80">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50条</w:t>
            </w:r>
          </w:p>
        </w:tc>
      </w:tr>
      <w:tr w14:paraId="49FE5ECD">
        <w:tblPrEx>
          <w:tblCellMar>
            <w:top w:w="0" w:type="dxa"/>
            <w:left w:w="108" w:type="dxa"/>
            <w:bottom w:w="0" w:type="dxa"/>
            <w:right w:w="108" w:type="dxa"/>
          </w:tblCellMar>
        </w:tblPrEx>
        <w:trPr>
          <w:trHeight w:val="855" w:hRule="atLeast"/>
        </w:trPr>
        <w:tc>
          <w:tcPr>
            <w:tcW w:w="40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49B365CB">
            <w:pPr>
              <w:widowControl/>
              <w:spacing w:line="360" w:lineRule="auto"/>
              <w:textAlignment w:val="center"/>
              <w:rPr>
                <w:rFonts w:hint="eastAsia" w:ascii="宋体" w:hAnsi="宋体" w:cs="宋体"/>
                <w:color w:val="000000"/>
                <w:kern w:val="0"/>
                <w:sz w:val="24"/>
                <w:lang w:bidi="ar"/>
              </w:rPr>
            </w:pPr>
          </w:p>
        </w:tc>
        <w:tc>
          <w:tcPr>
            <w:tcW w:w="980" w:type="pct"/>
            <w:tcBorders>
              <w:top w:val="nil"/>
              <w:left w:val="nil"/>
              <w:bottom w:val="single" w:color="auto" w:sz="8" w:space="0"/>
              <w:right w:val="single" w:color="auto" w:sz="8" w:space="0"/>
            </w:tcBorders>
            <w:shd w:val="clear" w:color="000000" w:fill="FFFFFF"/>
            <w:noWrap w:val="0"/>
            <w:vAlign w:val="center"/>
          </w:tcPr>
          <w:p w14:paraId="456E7F69">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夜间模式</w:t>
            </w:r>
          </w:p>
        </w:tc>
        <w:tc>
          <w:tcPr>
            <w:tcW w:w="2969" w:type="pct"/>
            <w:tcBorders>
              <w:top w:val="nil"/>
              <w:left w:val="nil"/>
              <w:bottom w:val="single" w:color="auto" w:sz="8" w:space="0"/>
              <w:right w:val="nil"/>
            </w:tcBorders>
            <w:shd w:val="clear" w:color="000000" w:fill="FFFFFF"/>
            <w:noWrap w:val="0"/>
            <w:vAlign w:val="center"/>
          </w:tcPr>
          <w:p w14:paraId="63089698">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针对夜间网站更新频率较低、黑客攻击比较频繁的情况，设置夜间模式，可提高防护等级，大幅降低网站被黑可能性</w:t>
            </w:r>
          </w:p>
        </w:tc>
        <w:tc>
          <w:tcPr>
            <w:tcW w:w="644" w:type="pct"/>
            <w:tcBorders>
              <w:top w:val="nil"/>
              <w:left w:val="single" w:color="auto" w:sz="8" w:space="0"/>
              <w:bottom w:val="single" w:color="auto" w:sz="4" w:space="0"/>
              <w:right w:val="single" w:color="auto" w:sz="8" w:space="0"/>
            </w:tcBorders>
            <w:noWrap w:val="0"/>
            <w:vAlign w:val="center"/>
          </w:tcPr>
          <w:p w14:paraId="3E346DA0">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3494CBA1">
        <w:tblPrEx>
          <w:tblCellMar>
            <w:top w:w="0" w:type="dxa"/>
            <w:left w:w="108" w:type="dxa"/>
            <w:bottom w:w="0" w:type="dxa"/>
            <w:right w:w="108" w:type="dxa"/>
          </w:tblCellMar>
        </w:tblPrEx>
        <w:trPr>
          <w:trHeight w:val="5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27FFCEFB">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31F0293D">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URL黑白名单</w:t>
            </w:r>
          </w:p>
        </w:tc>
        <w:tc>
          <w:tcPr>
            <w:tcW w:w="2969" w:type="pct"/>
            <w:tcBorders>
              <w:top w:val="nil"/>
              <w:left w:val="nil"/>
              <w:bottom w:val="single" w:color="auto" w:sz="4" w:space="0"/>
              <w:right w:val="nil"/>
            </w:tcBorders>
            <w:noWrap w:val="0"/>
            <w:vAlign w:val="center"/>
          </w:tcPr>
          <w:p w14:paraId="4D6C7B99">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不经过防护的URL地址（URL白名单）、不允许访问的URL地址（URL黑名单）</w:t>
            </w:r>
          </w:p>
        </w:tc>
        <w:tc>
          <w:tcPr>
            <w:tcW w:w="644" w:type="pct"/>
            <w:tcBorders>
              <w:top w:val="single" w:color="auto" w:sz="8" w:space="0"/>
              <w:left w:val="single" w:color="auto" w:sz="8" w:space="0"/>
              <w:bottom w:val="single" w:color="auto" w:sz="4" w:space="0"/>
              <w:right w:val="single" w:color="auto" w:sz="8" w:space="0"/>
            </w:tcBorders>
            <w:noWrap w:val="0"/>
            <w:vAlign w:val="center"/>
          </w:tcPr>
          <w:p w14:paraId="67ACBC3F">
            <w:pPr>
              <w:widowControl/>
              <w:spacing w:line="36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各100条</w:t>
            </w:r>
          </w:p>
        </w:tc>
      </w:tr>
      <w:tr w14:paraId="3BA19D00">
        <w:tblPrEx>
          <w:tblCellMar>
            <w:top w:w="0" w:type="dxa"/>
            <w:left w:w="108" w:type="dxa"/>
            <w:bottom w:w="0" w:type="dxa"/>
            <w:right w:w="108" w:type="dxa"/>
          </w:tblCellMar>
        </w:tblPrEx>
        <w:trPr>
          <w:trHeight w:val="5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63F6D928">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066D75B0">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IP地址黑白名单</w:t>
            </w:r>
          </w:p>
        </w:tc>
        <w:tc>
          <w:tcPr>
            <w:tcW w:w="2969" w:type="pct"/>
            <w:tcBorders>
              <w:top w:val="nil"/>
              <w:left w:val="nil"/>
              <w:bottom w:val="single" w:color="auto" w:sz="4" w:space="0"/>
              <w:right w:val="nil"/>
            </w:tcBorders>
            <w:noWrap w:val="0"/>
            <w:vAlign w:val="center"/>
          </w:tcPr>
          <w:p w14:paraId="119A12D3">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可设置不进行防护的IP地址（IP白名单）、不允许访问的IP地址（IP黑名单）</w:t>
            </w:r>
          </w:p>
        </w:tc>
        <w:tc>
          <w:tcPr>
            <w:tcW w:w="644" w:type="pct"/>
            <w:tcBorders>
              <w:top w:val="nil"/>
              <w:left w:val="single" w:color="auto" w:sz="8" w:space="0"/>
              <w:bottom w:val="single" w:color="auto" w:sz="4" w:space="0"/>
              <w:right w:val="single" w:color="auto" w:sz="8" w:space="0"/>
            </w:tcBorders>
            <w:noWrap w:val="0"/>
            <w:vAlign w:val="center"/>
          </w:tcPr>
          <w:p w14:paraId="12710D4A">
            <w:pPr>
              <w:widowControl/>
              <w:spacing w:line="36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各100条</w:t>
            </w:r>
          </w:p>
        </w:tc>
      </w:tr>
      <w:tr w14:paraId="067EC2E6">
        <w:tblPrEx>
          <w:tblCellMar>
            <w:top w:w="0" w:type="dxa"/>
            <w:left w:w="108" w:type="dxa"/>
            <w:bottom w:w="0" w:type="dxa"/>
            <w:right w:w="108" w:type="dxa"/>
          </w:tblCellMar>
        </w:tblPrEx>
        <w:trPr>
          <w:trHeight w:val="78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54C5320F">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6DDFC10D">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网站概况显示</w:t>
            </w:r>
          </w:p>
        </w:tc>
        <w:tc>
          <w:tcPr>
            <w:tcW w:w="2969" w:type="pct"/>
            <w:tcBorders>
              <w:top w:val="nil"/>
              <w:left w:val="nil"/>
              <w:bottom w:val="single" w:color="auto" w:sz="4" w:space="0"/>
              <w:right w:val="nil"/>
            </w:tcBorders>
            <w:noWrap w:val="0"/>
            <w:vAlign w:val="center"/>
          </w:tcPr>
          <w:p w14:paraId="61C1EE49">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提供网站访问情况信息展示，包括请求数、总流量、网站浏览人数，搜索引擎引导量，遭受攻击次数等，并能按照时间来统计的网站访问量</w:t>
            </w:r>
          </w:p>
        </w:tc>
        <w:tc>
          <w:tcPr>
            <w:tcW w:w="644" w:type="pct"/>
            <w:tcBorders>
              <w:top w:val="nil"/>
              <w:left w:val="single" w:color="auto" w:sz="8" w:space="0"/>
              <w:bottom w:val="single" w:color="auto" w:sz="4" w:space="0"/>
              <w:right w:val="single" w:color="auto" w:sz="8" w:space="0"/>
            </w:tcBorders>
            <w:noWrap w:val="0"/>
            <w:vAlign w:val="center"/>
          </w:tcPr>
          <w:p w14:paraId="136E0D06">
            <w:pPr>
              <w:widowControl/>
              <w:spacing w:line="36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32EE912C">
        <w:tblPrEx>
          <w:tblCellMar>
            <w:top w:w="0" w:type="dxa"/>
            <w:left w:w="108" w:type="dxa"/>
            <w:bottom w:w="0" w:type="dxa"/>
            <w:right w:w="108" w:type="dxa"/>
          </w:tblCellMar>
        </w:tblPrEx>
        <w:trPr>
          <w:trHeight w:val="156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7A6122E3">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53FFC737">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安全报告</w:t>
            </w:r>
          </w:p>
        </w:tc>
        <w:tc>
          <w:tcPr>
            <w:tcW w:w="2969" w:type="pct"/>
            <w:tcBorders>
              <w:top w:val="nil"/>
              <w:left w:val="nil"/>
              <w:bottom w:val="single" w:color="auto" w:sz="4" w:space="0"/>
              <w:right w:val="nil"/>
            </w:tcBorders>
            <w:noWrap w:val="0"/>
            <w:vAlign w:val="center"/>
          </w:tcPr>
          <w:p w14:paraId="0253D3F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查看网站安全状况，包括各种攻击发生次数，攻击IP、来源（国家）等；可显示对网站的安全评级，如安全、危险等等，可显示历史攻击次数等；可显示CC攻击详细情况；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可显示攻击情况，包括时间、攻击URL，攻击者IP及归属地，攻击类型等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提供一年内自定义报表功能</w:t>
            </w:r>
          </w:p>
        </w:tc>
        <w:tc>
          <w:tcPr>
            <w:tcW w:w="644" w:type="pct"/>
            <w:tcBorders>
              <w:top w:val="nil"/>
              <w:left w:val="single" w:color="auto" w:sz="8" w:space="0"/>
              <w:bottom w:val="single" w:color="auto" w:sz="4" w:space="0"/>
              <w:right w:val="single" w:color="auto" w:sz="8" w:space="0"/>
            </w:tcBorders>
            <w:noWrap w:val="0"/>
            <w:vAlign w:val="center"/>
          </w:tcPr>
          <w:p w14:paraId="577A94D4">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4C5274C1">
        <w:tblPrEx>
          <w:tblCellMar>
            <w:top w:w="0" w:type="dxa"/>
            <w:left w:w="108" w:type="dxa"/>
            <w:bottom w:w="0" w:type="dxa"/>
            <w:right w:w="108" w:type="dxa"/>
          </w:tblCellMar>
        </w:tblPrEx>
        <w:trPr>
          <w:trHeight w:val="5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73BB2DD1">
            <w:pPr>
              <w:widowControl/>
              <w:spacing w:line="360" w:lineRule="auto"/>
              <w:textAlignment w:val="center"/>
              <w:rPr>
                <w:rFonts w:hint="eastAsia" w:ascii="宋体" w:hAnsi="宋体" w:cs="宋体"/>
                <w:color w:val="000000"/>
                <w:kern w:val="0"/>
                <w:sz w:val="24"/>
                <w:lang w:bidi="ar"/>
              </w:rPr>
            </w:pPr>
          </w:p>
        </w:tc>
        <w:tc>
          <w:tcPr>
            <w:tcW w:w="980" w:type="pct"/>
            <w:tcBorders>
              <w:top w:val="nil"/>
              <w:left w:val="nil"/>
              <w:bottom w:val="nil"/>
              <w:right w:val="single" w:color="auto" w:sz="8" w:space="0"/>
            </w:tcBorders>
            <w:noWrap w:val="0"/>
            <w:vAlign w:val="center"/>
          </w:tcPr>
          <w:p w14:paraId="7D3904D5">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实时攻击显示</w:t>
            </w:r>
          </w:p>
        </w:tc>
        <w:tc>
          <w:tcPr>
            <w:tcW w:w="2969" w:type="pct"/>
            <w:tcBorders>
              <w:top w:val="nil"/>
              <w:left w:val="nil"/>
              <w:bottom w:val="nil"/>
              <w:right w:val="nil"/>
            </w:tcBorders>
            <w:noWrap w:val="0"/>
            <w:vAlign w:val="center"/>
          </w:tcPr>
          <w:p w14:paraId="29DBC8E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提供实时攻击视图，在视图中实时显示攻击源IP，国家，目标域名，目标所在地等</w:t>
            </w:r>
          </w:p>
        </w:tc>
        <w:tc>
          <w:tcPr>
            <w:tcW w:w="644" w:type="pct"/>
            <w:tcBorders>
              <w:top w:val="nil"/>
              <w:left w:val="single" w:color="auto" w:sz="8" w:space="0"/>
              <w:bottom w:val="nil"/>
              <w:right w:val="single" w:color="auto" w:sz="8" w:space="0"/>
            </w:tcBorders>
            <w:noWrap w:val="0"/>
            <w:vAlign w:val="center"/>
          </w:tcPr>
          <w:p w14:paraId="004B8DE0">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24ED3C39">
        <w:tblPrEx>
          <w:tblCellMar>
            <w:top w:w="0" w:type="dxa"/>
            <w:left w:w="108" w:type="dxa"/>
            <w:bottom w:w="0" w:type="dxa"/>
            <w:right w:w="108" w:type="dxa"/>
          </w:tblCellMar>
        </w:tblPrEx>
        <w:trPr>
          <w:trHeight w:val="29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724D415E">
            <w:pPr>
              <w:widowControl/>
              <w:spacing w:line="360" w:lineRule="auto"/>
              <w:textAlignment w:val="center"/>
              <w:rPr>
                <w:rFonts w:hint="eastAsia" w:ascii="宋体" w:hAnsi="宋体" w:cs="宋体"/>
                <w:color w:val="000000"/>
                <w:kern w:val="0"/>
                <w:sz w:val="24"/>
                <w:lang w:bidi="ar"/>
              </w:rPr>
            </w:pPr>
          </w:p>
        </w:tc>
        <w:tc>
          <w:tcPr>
            <w:tcW w:w="980" w:type="pct"/>
            <w:tcBorders>
              <w:top w:val="single" w:color="auto" w:sz="4" w:space="0"/>
              <w:left w:val="nil"/>
              <w:bottom w:val="single" w:color="auto" w:sz="8" w:space="0"/>
              <w:right w:val="single" w:color="auto" w:sz="8" w:space="0"/>
            </w:tcBorders>
            <w:noWrap w:val="0"/>
            <w:vAlign w:val="center"/>
          </w:tcPr>
          <w:p w14:paraId="45D4365B">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攻击预警</w:t>
            </w:r>
          </w:p>
        </w:tc>
        <w:tc>
          <w:tcPr>
            <w:tcW w:w="2969" w:type="pct"/>
            <w:tcBorders>
              <w:top w:val="single" w:color="auto" w:sz="4" w:space="0"/>
              <w:left w:val="nil"/>
              <w:bottom w:val="single" w:color="auto" w:sz="8" w:space="0"/>
              <w:right w:val="nil"/>
            </w:tcBorders>
            <w:noWrap w:val="0"/>
            <w:vAlign w:val="center"/>
          </w:tcPr>
          <w:p w14:paraId="1BCB4661">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提供按照攻击阈值设定攻击预警功能</w:t>
            </w:r>
          </w:p>
        </w:tc>
        <w:tc>
          <w:tcPr>
            <w:tcW w:w="644" w:type="pct"/>
            <w:tcBorders>
              <w:top w:val="single" w:color="auto" w:sz="4" w:space="0"/>
              <w:left w:val="single" w:color="auto" w:sz="8" w:space="0"/>
              <w:bottom w:val="single" w:color="auto" w:sz="8" w:space="0"/>
              <w:right w:val="single" w:color="auto" w:sz="8" w:space="0"/>
            </w:tcBorders>
            <w:noWrap w:val="0"/>
            <w:vAlign w:val="center"/>
          </w:tcPr>
          <w:p w14:paraId="406DF080">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413D4F84">
        <w:tblPrEx>
          <w:tblCellMar>
            <w:top w:w="0" w:type="dxa"/>
            <w:left w:w="108" w:type="dxa"/>
            <w:bottom w:w="0" w:type="dxa"/>
            <w:right w:w="108" w:type="dxa"/>
          </w:tblCellMar>
        </w:tblPrEx>
        <w:trPr>
          <w:trHeight w:val="28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614AD75A">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51953C4C">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报表下载</w:t>
            </w:r>
          </w:p>
        </w:tc>
        <w:tc>
          <w:tcPr>
            <w:tcW w:w="2969" w:type="pct"/>
            <w:tcBorders>
              <w:top w:val="nil"/>
              <w:left w:val="nil"/>
              <w:bottom w:val="single" w:color="auto" w:sz="4" w:space="0"/>
              <w:right w:val="nil"/>
            </w:tcBorders>
            <w:noWrap w:val="0"/>
            <w:vAlign w:val="center"/>
          </w:tcPr>
          <w:p w14:paraId="06ABB0B9">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默认支持当日、前一天、最近30天和最近一年的报表统计下载</w:t>
            </w:r>
          </w:p>
        </w:tc>
        <w:tc>
          <w:tcPr>
            <w:tcW w:w="644" w:type="pct"/>
            <w:tcBorders>
              <w:top w:val="nil"/>
              <w:left w:val="single" w:color="auto" w:sz="8" w:space="0"/>
              <w:bottom w:val="single" w:color="auto" w:sz="4" w:space="0"/>
              <w:right w:val="single" w:color="auto" w:sz="8" w:space="0"/>
            </w:tcBorders>
            <w:noWrap w:val="0"/>
            <w:vAlign w:val="center"/>
          </w:tcPr>
          <w:p w14:paraId="5DFFCF98">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490FC47C">
        <w:tblPrEx>
          <w:tblCellMar>
            <w:top w:w="0" w:type="dxa"/>
            <w:left w:w="108" w:type="dxa"/>
            <w:bottom w:w="0" w:type="dxa"/>
            <w:right w:w="108" w:type="dxa"/>
          </w:tblCellMar>
        </w:tblPrEx>
        <w:trPr>
          <w:trHeight w:val="39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63777908">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6CFDDFA2">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日志下载</w:t>
            </w:r>
          </w:p>
        </w:tc>
        <w:tc>
          <w:tcPr>
            <w:tcW w:w="2969" w:type="pct"/>
            <w:tcBorders>
              <w:top w:val="nil"/>
              <w:left w:val="nil"/>
              <w:bottom w:val="single" w:color="auto" w:sz="4" w:space="0"/>
              <w:right w:val="nil"/>
            </w:tcBorders>
            <w:noWrap w:val="0"/>
            <w:vAlign w:val="center"/>
          </w:tcPr>
          <w:p w14:paraId="334E0D54">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提供最近7天内的攻击和访问日志自助下载服务</w:t>
            </w:r>
          </w:p>
        </w:tc>
        <w:tc>
          <w:tcPr>
            <w:tcW w:w="644" w:type="pct"/>
            <w:tcBorders>
              <w:top w:val="nil"/>
              <w:left w:val="single" w:color="auto" w:sz="8" w:space="0"/>
              <w:bottom w:val="single" w:color="auto" w:sz="4" w:space="0"/>
              <w:right w:val="single" w:color="auto" w:sz="8" w:space="0"/>
            </w:tcBorders>
            <w:noWrap w:val="0"/>
            <w:vAlign w:val="center"/>
          </w:tcPr>
          <w:p w14:paraId="5C06D431">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6A63D91F">
        <w:tblPrEx>
          <w:tblCellMar>
            <w:top w:w="0" w:type="dxa"/>
            <w:left w:w="108" w:type="dxa"/>
            <w:bottom w:w="0" w:type="dxa"/>
            <w:right w:w="108" w:type="dxa"/>
          </w:tblCellMar>
        </w:tblPrEx>
        <w:trPr>
          <w:trHeight w:val="52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71FB8E6E">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622935A3">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一键关停</w:t>
            </w:r>
          </w:p>
        </w:tc>
        <w:tc>
          <w:tcPr>
            <w:tcW w:w="2969" w:type="pct"/>
            <w:tcBorders>
              <w:top w:val="nil"/>
              <w:left w:val="nil"/>
              <w:bottom w:val="single" w:color="auto" w:sz="4" w:space="0"/>
              <w:right w:val="nil"/>
            </w:tcBorders>
            <w:noWrap w:val="0"/>
            <w:vAlign w:val="center"/>
          </w:tcPr>
          <w:p w14:paraId="31ACBE8E">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提供一键关停网站服务功能，用户需要事先在防护平台上认证手机</w:t>
            </w:r>
          </w:p>
        </w:tc>
        <w:tc>
          <w:tcPr>
            <w:tcW w:w="644" w:type="pct"/>
            <w:tcBorders>
              <w:top w:val="nil"/>
              <w:left w:val="single" w:color="auto" w:sz="8" w:space="0"/>
              <w:bottom w:val="single" w:color="auto" w:sz="4" w:space="0"/>
              <w:right w:val="single" w:color="auto" w:sz="8" w:space="0"/>
            </w:tcBorders>
            <w:noWrap w:val="0"/>
            <w:vAlign w:val="center"/>
          </w:tcPr>
          <w:p w14:paraId="3834CDFA">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483FB491">
        <w:tblPrEx>
          <w:tblCellMar>
            <w:top w:w="0" w:type="dxa"/>
            <w:left w:w="108" w:type="dxa"/>
            <w:bottom w:w="0" w:type="dxa"/>
            <w:right w:w="108" w:type="dxa"/>
          </w:tblCellMar>
        </w:tblPrEx>
        <w:trPr>
          <w:trHeight w:val="645"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1B117F2B">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7283A49E">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共享SSL证书节点</w:t>
            </w:r>
          </w:p>
        </w:tc>
        <w:tc>
          <w:tcPr>
            <w:tcW w:w="2969" w:type="pct"/>
            <w:tcBorders>
              <w:top w:val="nil"/>
              <w:left w:val="nil"/>
              <w:bottom w:val="single" w:color="auto" w:sz="4" w:space="0"/>
              <w:right w:val="nil"/>
            </w:tcBorders>
            <w:noWrap w:val="0"/>
            <w:vAlign w:val="center"/>
          </w:tcPr>
          <w:p w14:paraId="2FFF5198">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提供共享证书节点（sni方式，低版本浏览器会有告警）SSL证书自助上传功能（pem格式，含证书和私钥）</w:t>
            </w:r>
          </w:p>
        </w:tc>
        <w:tc>
          <w:tcPr>
            <w:tcW w:w="644" w:type="pct"/>
            <w:tcBorders>
              <w:top w:val="nil"/>
              <w:left w:val="single" w:color="auto" w:sz="8" w:space="0"/>
              <w:bottom w:val="single" w:color="auto" w:sz="4" w:space="0"/>
              <w:right w:val="single" w:color="auto" w:sz="8" w:space="0"/>
            </w:tcBorders>
            <w:noWrap w:val="0"/>
            <w:vAlign w:val="center"/>
          </w:tcPr>
          <w:p w14:paraId="1F74528F">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w:t>
            </w:r>
          </w:p>
        </w:tc>
      </w:tr>
      <w:tr w14:paraId="480DB81D">
        <w:tblPrEx>
          <w:tblCellMar>
            <w:top w:w="0" w:type="dxa"/>
            <w:left w:w="108" w:type="dxa"/>
            <w:bottom w:w="0" w:type="dxa"/>
            <w:right w:w="108" w:type="dxa"/>
          </w:tblCellMar>
        </w:tblPrEx>
        <w:trPr>
          <w:trHeight w:val="1140" w:hRule="atLeast"/>
        </w:trPr>
        <w:tc>
          <w:tcPr>
            <w:tcW w:w="407" w:type="pct"/>
            <w:vMerge w:val="continue"/>
            <w:tcBorders>
              <w:top w:val="nil"/>
              <w:left w:val="single" w:color="auto" w:sz="8" w:space="0"/>
              <w:bottom w:val="single" w:color="000000" w:sz="8" w:space="0"/>
              <w:right w:val="single" w:color="auto" w:sz="8" w:space="0"/>
            </w:tcBorders>
            <w:noWrap w:val="0"/>
            <w:vAlign w:val="center"/>
          </w:tcPr>
          <w:p w14:paraId="61DBB237">
            <w:pPr>
              <w:widowControl/>
              <w:spacing w:line="360" w:lineRule="auto"/>
              <w:textAlignment w:val="center"/>
              <w:rPr>
                <w:rFonts w:hint="eastAsia" w:ascii="宋体" w:hAnsi="宋体" w:cs="宋体"/>
                <w:color w:val="000000"/>
                <w:kern w:val="0"/>
                <w:sz w:val="24"/>
                <w:lang w:bidi="ar"/>
              </w:rPr>
            </w:pPr>
          </w:p>
        </w:tc>
        <w:tc>
          <w:tcPr>
            <w:tcW w:w="980" w:type="pct"/>
            <w:tcBorders>
              <w:top w:val="nil"/>
              <w:left w:val="single" w:color="auto" w:sz="8" w:space="0"/>
              <w:bottom w:val="single" w:color="auto" w:sz="4" w:space="0"/>
              <w:right w:val="single" w:color="auto" w:sz="8" w:space="0"/>
            </w:tcBorders>
            <w:noWrap w:val="0"/>
            <w:vAlign w:val="center"/>
          </w:tcPr>
          <w:p w14:paraId="5AC3659D">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子域名</w:t>
            </w:r>
          </w:p>
        </w:tc>
        <w:tc>
          <w:tcPr>
            <w:tcW w:w="2969" w:type="pct"/>
            <w:tcBorders>
              <w:top w:val="nil"/>
              <w:left w:val="nil"/>
              <w:bottom w:val="single" w:color="auto" w:sz="4" w:space="0"/>
              <w:right w:val="nil"/>
            </w:tcBorders>
            <w:noWrap w:val="0"/>
            <w:vAlign w:val="center"/>
          </w:tcPr>
          <w:p w14:paraId="381C19B7">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支持子域名数量</w:t>
            </w:r>
          </w:p>
        </w:tc>
        <w:tc>
          <w:tcPr>
            <w:tcW w:w="644" w:type="pct"/>
            <w:tcBorders>
              <w:top w:val="nil"/>
              <w:left w:val="single" w:color="auto" w:sz="8" w:space="0"/>
              <w:bottom w:val="single" w:color="auto" w:sz="4" w:space="0"/>
              <w:right w:val="single" w:color="auto" w:sz="8" w:space="0"/>
            </w:tcBorders>
            <w:noWrap w:val="0"/>
            <w:vAlign w:val="center"/>
          </w:tcPr>
          <w:p w14:paraId="708A9896">
            <w:pPr>
              <w:widowControl/>
              <w:spacing w:line="360" w:lineRule="auto"/>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10个子域名</w:t>
            </w:r>
          </w:p>
        </w:tc>
      </w:tr>
    </w:tbl>
    <w:p w14:paraId="5192A73C">
      <w:pPr>
        <w:spacing w:line="360" w:lineRule="auto"/>
        <w:rPr>
          <w:rFonts w:hint="eastAsia" w:ascii="宋体" w:hAnsi="宋体" w:cs="宋体"/>
          <w:sz w:val="24"/>
          <w:lang w:eastAsia="zh-Hans"/>
        </w:rPr>
      </w:pPr>
    </w:p>
    <w:p w14:paraId="544CF3F4">
      <w:pPr>
        <w:spacing w:line="360" w:lineRule="auto"/>
        <w:rPr>
          <w:rFonts w:hint="eastAsia" w:ascii="宋体" w:hAnsi="宋体" w:cs="宋体"/>
          <w:sz w:val="24"/>
          <w:lang w:eastAsia="zh-Hans"/>
        </w:rPr>
      </w:pPr>
      <w:r>
        <w:rPr>
          <w:rFonts w:hint="eastAsia" w:ascii="宋体" w:hAnsi="宋体" w:cs="宋体"/>
          <w:sz w:val="24"/>
          <w:lang w:eastAsia="zh-Hans"/>
        </w:rPr>
        <w:t>IPV6安全改造服务</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4251"/>
        <w:gridCol w:w="1967"/>
      </w:tblGrid>
      <w:tr w14:paraId="0F24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3"/>
            <w:shd w:val="clear" w:color="auto" w:fill="FFFFFF"/>
            <w:noWrap w:val="0"/>
            <w:vAlign w:val="center"/>
          </w:tcPr>
          <w:p w14:paraId="04440DD9">
            <w:pPr>
              <w:pStyle w:val="6"/>
              <w:spacing w:line="360" w:lineRule="auto"/>
              <w:jc w:val="center"/>
              <w:rPr>
                <w:rFonts w:hint="eastAsia" w:ascii="宋体" w:hAnsi="宋体" w:cs="宋体"/>
                <w:b/>
                <w:sz w:val="24"/>
              </w:rPr>
            </w:pPr>
            <w:r>
              <w:rPr>
                <w:rFonts w:hint="eastAsia" w:ascii="宋体" w:hAnsi="宋体" w:cs="宋体"/>
                <w:b/>
                <w:sz w:val="24"/>
              </w:rPr>
              <w:t>IPv6安全改造服务内容</w:t>
            </w:r>
          </w:p>
        </w:tc>
      </w:tr>
      <w:tr w14:paraId="1445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pct"/>
            <w:shd w:val="clear" w:color="auto" w:fill="FFFFFF"/>
            <w:noWrap w:val="0"/>
            <w:vAlign w:val="center"/>
          </w:tcPr>
          <w:p w14:paraId="300786A7">
            <w:pPr>
              <w:pStyle w:val="6"/>
              <w:spacing w:line="360" w:lineRule="auto"/>
              <w:jc w:val="left"/>
              <w:rPr>
                <w:rFonts w:hint="eastAsia" w:ascii="宋体" w:hAnsi="宋体" w:cs="宋体"/>
                <w:b/>
                <w:sz w:val="24"/>
              </w:rPr>
            </w:pPr>
            <w:r>
              <w:rPr>
                <w:rFonts w:hint="eastAsia" w:ascii="宋体" w:hAnsi="宋体" w:cs="宋体"/>
                <w:b/>
                <w:sz w:val="24"/>
              </w:rPr>
              <w:t>模块</w:t>
            </w:r>
          </w:p>
        </w:tc>
        <w:tc>
          <w:tcPr>
            <w:tcW w:w="2494" w:type="pct"/>
            <w:shd w:val="clear" w:color="auto" w:fill="FFFFFF"/>
            <w:noWrap w:val="0"/>
            <w:vAlign w:val="center"/>
          </w:tcPr>
          <w:p w14:paraId="352F1904">
            <w:pPr>
              <w:pStyle w:val="6"/>
              <w:spacing w:line="360" w:lineRule="auto"/>
              <w:jc w:val="left"/>
              <w:rPr>
                <w:rFonts w:hint="eastAsia" w:ascii="宋体" w:hAnsi="宋体" w:cs="宋体"/>
                <w:b/>
                <w:sz w:val="24"/>
              </w:rPr>
            </w:pPr>
            <w:r>
              <w:rPr>
                <w:rFonts w:hint="eastAsia" w:ascii="宋体" w:hAnsi="宋体" w:cs="宋体"/>
                <w:b/>
                <w:sz w:val="24"/>
              </w:rPr>
              <w:t>服务说明</w:t>
            </w:r>
          </w:p>
        </w:tc>
        <w:tc>
          <w:tcPr>
            <w:tcW w:w="1152" w:type="pct"/>
            <w:shd w:val="clear" w:color="auto" w:fill="FFFFFF"/>
            <w:noWrap w:val="0"/>
            <w:vAlign w:val="center"/>
          </w:tcPr>
          <w:p w14:paraId="75BB438F">
            <w:pPr>
              <w:pStyle w:val="6"/>
              <w:spacing w:line="360" w:lineRule="auto"/>
              <w:jc w:val="left"/>
              <w:rPr>
                <w:rFonts w:hint="eastAsia" w:ascii="宋体" w:hAnsi="宋体" w:cs="宋体"/>
                <w:b/>
                <w:sz w:val="24"/>
              </w:rPr>
            </w:pPr>
            <w:r>
              <w:rPr>
                <w:rFonts w:hint="eastAsia" w:ascii="宋体" w:hAnsi="宋体" w:cs="宋体"/>
                <w:b/>
                <w:sz w:val="24"/>
              </w:rPr>
              <w:t>服务内容</w:t>
            </w:r>
          </w:p>
        </w:tc>
      </w:tr>
      <w:tr w14:paraId="1DCE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pct"/>
            <w:shd w:val="clear" w:color="auto" w:fill="FFFFFF"/>
            <w:noWrap w:val="0"/>
            <w:vAlign w:val="center"/>
          </w:tcPr>
          <w:p w14:paraId="0CFCDC46">
            <w:pPr>
              <w:pStyle w:val="6"/>
              <w:spacing w:line="360" w:lineRule="auto"/>
              <w:rPr>
                <w:rFonts w:hint="eastAsia" w:ascii="宋体" w:hAnsi="宋体" w:cs="宋体"/>
                <w:sz w:val="24"/>
              </w:rPr>
            </w:pPr>
            <w:r>
              <w:rPr>
                <w:rFonts w:hint="eastAsia" w:ascii="宋体" w:hAnsi="宋体" w:cs="宋体"/>
                <w:sz w:val="24"/>
              </w:rPr>
              <w:t>IPv6 DNS</w:t>
            </w:r>
          </w:p>
        </w:tc>
        <w:tc>
          <w:tcPr>
            <w:tcW w:w="2494" w:type="pct"/>
            <w:shd w:val="clear" w:color="auto" w:fill="FFFFFF"/>
            <w:noWrap w:val="0"/>
            <w:vAlign w:val="center"/>
          </w:tcPr>
          <w:p w14:paraId="528394BB">
            <w:pPr>
              <w:pStyle w:val="6"/>
              <w:spacing w:line="360" w:lineRule="auto"/>
              <w:rPr>
                <w:rFonts w:hint="eastAsia" w:ascii="宋体" w:hAnsi="宋体" w:cs="宋体"/>
                <w:sz w:val="24"/>
              </w:rPr>
            </w:pPr>
            <w:r>
              <w:rPr>
                <w:rFonts w:hint="eastAsia" w:ascii="宋体" w:hAnsi="宋体" w:cs="宋体"/>
                <w:sz w:val="24"/>
              </w:rPr>
              <w:t>IPv6 DNS解析服务</w:t>
            </w:r>
          </w:p>
        </w:tc>
        <w:tc>
          <w:tcPr>
            <w:tcW w:w="1152" w:type="pct"/>
            <w:shd w:val="clear" w:color="auto" w:fill="FFFFFF"/>
            <w:noWrap w:val="0"/>
            <w:vAlign w:val="center"/>
          </w:tcPr>
          <w:p w14:paraId="29A57945">
            <w:pPr>
              <w:pStyle w:val="6"/>
              <w:spacing w:line="360" w:lineRule="auto"/>
              <w:rPr>
                <w:rFonts w:hint="eastAsia" w:ascii="宋体" w:hAnsi="宋体" w:cs="宋体"/>
                <w:sz w:val="24"/>
              </w:rPr>
            </w:pPr>
            <w:r>
              <w:rPr>
                <w:rFonts w:hint="eastAsia" w:ascii="宋体" w:hAnsi="宋体" w:cs="宋体"/>
                <w:sz w:val="24"/>
              </w:rPr>
              <w:t>支持</w:t>
            </w:r>
          </w:p>
        </w:tc>
      </w:tr>
      <w:tr w14:paraId="3356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52" w:type="pct"/>
            <w:shd w:val="clear" w:color="auto" w:fill="FFFFFF"/>
            <w:noWrap w:val="0"/>
            <w:vAlign w:val="center"/>
          </w:tcPr>
          <w:p w14:paraId="4983FA67">
            <w:pPr>
              <w:pStyle w:val="6"/>
              <w:spacing w:line="360" w:lineRule="auto"/>
              <w:rPr>
                <w:rFonts w:hint="eastAsia" w:ascii="宋体" w:hAnsi="宋体" w:cs="宋体"/>
                <w:sz w:val="24"/>
              </w:rPr>
            </w:pPr>
            <w:r>
              <w:rPr>
                <w:rFonts w:hint="eastAsia" w:ascii="宋体" w:hAnsi="宋体" w:cs="宋体"/>
                <w:sz w:val="24"/>
              </w:rPr>
              <w:t>IPv6/IPv4双向转换</w:t>
            </w:r>
          </w:p>
        </w:tc>
        <w:tc>
          <w:tcPr>
            <w:tcW w:w="2494" w:type="pct"/>
            <w:shd w:val="clear" w:color="auto" w:fill="FFFFFF"/>
            <w:noWrap w:val="0"/>
            <w:vAlign w:val="center"/>
          </w:tcPr>
          <w:p w14:paraId="337137A1">
            <w:pPr>
              <w:pStyle w:val="6"/>
              <w:spacing w:line="360" w:lineRule="auto"/>
              <w:rPr>
                <w:rFonts w:hint="eastAsia" w:ascii="宋体" w:hAnsi="宋体" w:cs="宋体"/>
                <w:sz w:val="24"/>
              </w:rPr>
            </w:pPr>
            <w:r>
              <w:rPr>
                <w:rFonts w:hint="eastAsia" w:ascii="宋体" w:hAnsi="宋体" w:cs="宋体"/>
                <w:sz w:val="24"/>
              </w:rPr>
              <w:t>将访客的IPv6请求转换为IPv4请求，将源站返回的IPv4内容转换为IPv6内容</w:t>
            </w:r>
          </w:p>
        </w:tc>
        <w:tc>
          <w:tcPr>
            <w:tcW w:w="1152" w:type="pct"/>
            <w:shd w:val="clear" w:color="auto" w:fill="FFFFFF"/>
            <w:noWrap w:val="0"/>
            <w:vAlign w:val="center"/>
          </w:tcPr>
          <w:p w14:paraId="7EAA2AF0">
            <w:pPr>
              <w:pStyle w:val="6"/>
              <w:spacing w:line="360" w:lineRule="auto"/>
              <w:rPr>
                <w:rFonts w:hint="eastAsia" w:ascii="宋体" w:hAnsi="宋体" w:cs="宋体"/>
                <w:sz w:val="24"/>
              </w:rPr>
            </w:pPr>
            <w:r>
              <w:rPr>
                <w:rFonts w:hint="eastAsia" w:ascii="宋体" w:hAnsi="宋体" w:cs="宋体"/>
                <w:sz w:val="24"/>
              </w:rPr>
              <w:t>支持</w:t>
            </w:r>
          </w:p>
        </w:tc>
      </w:tr>
      <w:tr w14:paraId="00B9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52" w:type="pct"/>
            <w:shd w:val="clear" w:color="auto" w:fill="FFFFFF"/>
            <w:noWrap w:val="0"/>
            <w:vAlign w:val="center"/>
          </w:tcPr>
          <w:p w14:paraId="323ABB6E">
            <w:pPr>
              <w:pStyle w:val="6"/>
              <w:spacing w:line="360" w:lineRule="auto"/>
              <w:rPr>
                <w:rFonts w:hint="eastAsia" w:ascii="宋体" w:hAnsi="宋体" w:cs="宋体"/>
                <w:sz w:val="24"/>
              </w:rPr>
            </w:pPr>
            <w:r>
              <w:rPr>
                <w:rFonts w:hint="eastAsia" w:ascii="宋体" w:hAnsi="宋体" w:cs="宋体"/>
                <w:sz w:val="24"/>
              </w:rPr>
              <w:t>IPv6访问加速</w:t>
            </w:r>
          </w:p>
        </w:tc>
        <w:tc>
          <w:tcPr>
            <w:tcW w:w="2494" w:type="pct"/>
            <w:shd w:val="clear" w:color="auto" w:fill="FFFFFF"/>
            <w:noWrap w:val="0"/>
            <w:vAlign w:val="center"/>
          </w:tcPr>
          <w:p w14:paraId="29426F26">
            <w:pPr>
              <w:pStyle w:val="6"/>
              <w:spacing w:line="360" w:lineRule="auto"/>
              <w:rPr>
                <w:rFonts w:hint="eastAsia" w:ascii="宋体" w:hAnsi="宋体" w:cs="宋体"/>
                <w:sz w:val="24"/>
              </w:rPr>
            </w:pPr>
            <w:r>
              <w:rPr>
                <w:rFonts w:hint="eastAsia" w:ascii="宋体" w:hAnsi="宋体" w:cs="宋体"/>
                <w:sz w:val="24"/>
              </w:rPr>
              <w:t>在IPv6网络环境下对网站资源进行缓存、压缩（CDN）。</w:t>
            </w:r>
          </w:p>
        </w:tc>
        <w:tc>
          <w:tcPr>
            <w:tcW w:w="1152" w:type="pct"/>
            <w:shd w:val="clear" w:color="auto" w:fill="FFFFFF"/>
            <w:noWrap w:val="0"/>
            <w:vAlign w:val="center"/>
          </w:tcPr>
          <w:p w14:paraId="653E6E24">
            <w:pPr>
              <w:pStyle w:val="6"/>
              <w:spacing w:line="360" w:lineRule="auto"/>
              <w:jc w:val="left"/>
              <w:rPr>
                <w:rFonts w:hint="eastAsia" w:ascii="宋体" w:hAnsi="宋体" w:cs="宋体"/>
                <w:sz w:val="24"/>
              </w:rPr>
            </w:pPr>
            <w:r>
              <w:rPr>
                <w:rFonts w:hint="eastAsia" w:ascii="宋体" w:hAnsi="宋体" w:cs="宋体"/>
                <w:sz w:val="24"/>
              </w:rPr>
              <w:t>支持</w:t>
            </w:r>
          </w:p>
        </w:tc>
      </w:tr>
      <w:tr w14:paraId="7383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pct"/>
            <w:shd w:val="clear" w:color="auto" w:fill="FFFFFF"/>
            <w:noWrap w:val="0"/>
            <w:vAlign w:val="center"/>
          </w:tcPr>
          <w:p w14:paraId="7297AC62">
            <w:pPr>
              <w:pStyle w:val="6"/>
              <w:spacing w:line="360" w:lineRule="auto"/>
              <w:rPr>
                <w:rFonts w:hint="eastAsia" w:ascii="宋体" w:hAnsi="宋体" w:cs="宋体"/>
                <w:sz w:val="24"/>
              </w:rPr>
            </w:pPr>
            <w:r>
              <w:rPr>
                <w:rFonts w:hint="eastAsia" w:ascii="宋体" w:hAnsi="宋体" w:cs="宋体"/>
                <w:sz w:val="24"/>
              </w:rPr>
              <w:t>IPv6安全防护</w:t>
            </w:r>
          </w:p>
        </w:tc>
        <w:tc>
          <w:tcPr>
            <w:tcW w:w="2494" w:type="pct"/>
            <w:shd w:val="clear" w:color="auto" w:fill="FFFFFF"/>
            <w:noWrap w:val="0"/>
            <w:vAlign w:val="center"/>
          </w:tcPr>
          <w:p w14:paraId="4EF60983">
            <w:pPr>
              <w:pStyle w:val="6"/>
              <w:spacing w:line="360" w:lineRule="auto"/>
              <w:rPr>
                <w:rFonts w:hint="eastAsia" w:ascii="宋体" w:hAnsi="宋体" w:cs="宋体"/>
                <w:sz w:val="24"/>
              </w:rPr>
            </w:pPr>
            <w:r>
              <w:rPr>
                <w:rFonts w:hint="eastAsia" w:ascii="宋体" w:hAnsi="宋体" w:cs="宋体"/>
                <w:sz w:val="24"/>
              </w:rPr>
              <w:t>在IPv6网络环境下为网站提供Web应用防火墙，抵御常见Web漏洞攻击</w:t>
            </w:r>
          </w:p>
        </w:tc>
        <w:tc>
          <w:tcPr>
            <w:tcW w:w="1152" w:type="pct"/>
            <w:shd w:val="clear" w:color="auto" w:fill="FFFFFF"/>
            <w:noWrap w:val="0"/>
            <w:vAlign w:val="center"/>
          </w:tcPr>
          <w:p w14:paraId="6DF439A6">
            <w:pPr>
              <w:pStyle w:val="6"/>
              <w:spacing w:line="360" w:lineRule="auto"/>
              <w:jc w:val="left"/>
              <w:rPr>
                <w:rFonts w:hint="eastAsia" w:ascii="宋体" w:hAnsi="宋体" w:cs="宋体"/>
                <w:sz w:val="24"/>
              </w:rPr>
            </w:pPr>
            <w:r>
              <w:rPr>
                <w:rFonts w:hint="eastAsia" w:ascii="宋体" w:hAnsi="宋体" w:cs="宋体"/>
                <w:sz w:val="24"/>
              </w:rPr>
              <w:t>支持</w:t>
            </w:r>
          </w:p>
        </w:tc>
      </w:tr>
      <w:tr w14:paraId="1949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pct"/>
            <w:shd w:val="clear" w:color="auto" w:fill="FFFFFF"/>
            <w:noWrap w:val="0"/>
            <w:vAlign w:val="center"/>
          </w:tcPr>
          <w:p w14:paraId="7AD7A2C2">
            <w:pPr>
              <w:pStyle w:val="6"/>
              <w:spacing w:line="360" w:lineRule="auto"/>
              <w:rPr>
                <w:rFonts w:hint="eastAsia" w:ascii="宋体" w:hAnsi="宋体" w:cs="宋体"/>
                <w:sz w:val="24"/>
              </w:rPr>
            </w:pPr>
            <w:r>
              <w:rPr>
                <w:rFonts w:hint="eastAsia" w:ascii="宋体" w:hAnsi="宋体" w:cs="宋体"/>
                <w:sz w:val="24"/>
              </w:rPr>
              <w:t>IPv6天窗修复</w:t>
            </w:r>
          </w:p>
        </w:tc>
        <w:tc>
          <w:tcPr>
            <w:tcW w:w="2494" w:type="pct"/>
            <w:shd w:val="clear" w:color="auto" w:fill="FFFFFF"/>
            <w:noWrap w:val="0"/>
            <w:vAlign w:val="center"/>
          </w:tcPr>
          <w:p w14:paraId="775E33A0">
            <w:pPr>
              <w:pStyle w:val="6"/>
              <w:spacing w:line="360" w:lineRule="auto"/>
              <w:rPr>
                <w:rFonts w:hint="eastAsia" w:ascii="宋体" w:hAnsi="宋体" w:cs="宋体"/>
                <w:sz w:val="24"/>
              </w:rPr>
            </w:pPr>
            <w:r>
              <w:rPr>
                <w:rFonts w:hint="eastAsia" w:ascii="宋体" w:hAnsi="宋体" w:cs="宋体"/>
                <w:sz w:val="24"/>
              </w:rPr>
              <w:t>无感知解决IPv6天窗问题</w:t>
            </w:r>
          </w:p>
        </w:tc>
        <w:tc>
          <w:tcPr>
            <w:tcW w:w="1152" w:type="pct"/>
            <w:shd w:val="clear" w:color="auto" w:fill="FFFFFF"/>
            <w:noWrap w:val="0"/>
            <w:vAlign w:val="center"/>
          </w:tcPr>
          <w:p w14:paraId="25699974">
            <w:pPr>
              <w:pStyle w:val="6"/>
              <w:spacing w:line="360" w:lineRule="auto"/>
              <w:jc w:val="left"/>
              <w:rPr>
                <w:rFonts w:hint="eastAsia" w:ascii="宋体" w:hAnsi="宋体" w:cs="宋体"/>
                <w:sz w:val="24"/>
              </w:rPr>
            </w:pPr>
            <w:r>
              <w:rPr>
                <w:rFonts w:hint="eastAsia" w:ascii="宋体" w:hAnsi="宋体" w:cs="宋体"/>
                <w:sz w:val="24"/>
              </w:rPr>
              <w:t>支持</w:t>
            </w:r>
          </w:p>
        </w:tc>
      </w:tr>
    </w:tbl>
    <w:p w14:paraId="73558FE0">
      <w:bookmarkStart w:id="22" w:name="_GoBack"/>
      <w:bookmarkEnd w:id="2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66E81"/>
    <w:multiLevelType w:val="singleLevel"/>
    <w:tmpl w:val="67B66E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36724"/>
    <w:rsid w:val="1DA36724"/>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6">
    <w:name w:val="KS表格"/>
    <w:basedOn w:val="1"/>
    <w:qFormat/>
    <w:uiPriority w:val="99"/>
    <w:pPr>
      <w:spacing w:beforeLines="0" w:afterLines="0" w:line="300" w:lineRule="auto"/>
      <w:ind w:firstLine="0" w:firstLineChars="0"/>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2025-11-18T09:19:00Z</dcterms:created>
  <dc:creator>张娜</dc:creator>
  <cp:lastModifiedBy>张娜</cp:lastModifiedBy>
  <dcterms:modified xsi:type="dcterms:W3CDTF">2025-11-18T09:19:48Z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567B08B2009B4220B6A39035098281D0_11</vt:lpwstr>
  </property>
  <property fmtid="{D5CDD505-2E9C-101B-9397-08002B2CF9AE}" pid="4" name="KSOTemplateDocerSaveRecord">
    <vt:lpwstr>eyJoZGlkIjoiOGFlZDBjMTkxMjAyY2VhMDJmNjJkYjY5NWY5ZGZmNGMiLCJ1c2VySWQiOiI0NTE5NDQwNTQifQ==</vt:lpwstr>
  </property>
</Properties>
</file>