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18509">
      <w:pPr>
        <w:jc w:val="center"/>
        <w:outlineLvl w:val="9"/>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采购需求</w:t>
      </w:r>
    </w:p>
    <w:p w14:paraId="05FA0263">
      <w:pPr>
        <w:jc w:val="both"/>
        <w:outlineLvl w:val="0"/>
        <w:rPr>
          <w:rFonts w:hint="eastAsia" w:ascii="仿宋" w:hAnsi="仿宋" w:eastAsia="仿宋" w:cs="仿宋"/>
          <w:b/>
          <w:bCs/>
        </w:rPr>
      </w:pPr>
      <w:r>
        <w:rPr>
          <w:rFonts w:hint="eastAsia" w:ascii="仿宋" w:hAnsi="仿宋" w:eastAsia="仿宋" w:cs="仿宋"/>
          <w:b/>
          <w:bCs/>
        </w:rPr>
        <w:t>采购包1：</w:t>
      </w:r>
    </w:p>
    <w:p w14:paraId="07E93E07">
      <w:pPr>
        <w:spacing w:line="240" w:lineRule="auto"/>
        <w:ind w:firstLine="402" w:firstLineChars="200"/>
        <w:jc w:val="both"/>
        <w:outlineLvl w:val="9"/>
        <w:rPr>
          <w:rFonts w:hint="eastAsia" w:ascii="仿宋" w:hAnsi="仿宋" w:eastAsia="仿宋" w:cs="仿宋"/>
          <w:b/>
          <w:bCs/>
          <w:sz w:val="20"/>
          <w:szCs w:val="20"/>
        </w:rPr>
      </w:pPr>
      <w:r>
        <w:rPr>
          <w:rFonts w:hint="eastAsia" w:ascii="仿宋" w:hAnsi="仿宋" w:eastAsia="仿宋" w:cs="仿宋"/>
          <w:b/>
          <w:bCs/>
          <w:sz w:val="20"/>
          <w:szCs w:val="20"/>
        </w:rPr>
        <w:t>一、项目背景</w:t>
      </w:r>
    </w:p>
    <w:p w14:paraId="774C04A5">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2025年，根据最高法院《关于进一步明确“一张网”建设相关要求的通知》，陕西法院需要建设2条“一张网”跨省骨干链路，用于分别连接最高院建设的南、北中心机房，实现执行、审判等业务系统的互联访问。目前，杭州南中心机房已经建设完成，北中心机房尚未建好，2条“一张网”跨省骨干链路先建设到南中心机房，后待北中心机房建成后，将其中1条链路迁移到北中心机房。</w:t>
      </w:r>
    </w:p>
    <w:p w14:paraId="676A1056">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2025年陕西法院“一张网”跨省骨干链路租赁项目由各级法院按照各自承担份额自行采购服务。现陕西省高级人民法院针对陕西法院“一张网”跨省骨干链路1租赁项目省本院侧进行采购，采购预算为15万元。</w:t>
      </w:r>
    </w:p>
    <w:p w14:paraId="0E97F847">
      <w:pPr>
        <w:spacing w:line="240" w:lineRule="auto"/>
        <w:ind w:firstLine="402" w:firstLineChars="200"/>
        <w:jc w:val="both"/>
        <w:outlineLvl w:val="9"/>
        <w:rPr>
          <w:rFonts w:hint="eastAsia" w:ascii="仿宋" w:hAnsi="仿宋" w:eastAsia="仿宋" w:cs="仿宋"/>
          <w:b/>
          <w:bCs/>
          <w:sz w:val="20"/>
          <w:szCs w:val="20"/>
        </w:rPr>
      </w:pPr>
      <w:r>
        <w:rPr>
          <w:rFonts w:hint="eastAsia" w:ascii="仿宋" w:hAnsi="仿宋" w:eastAsia="仿宋" w:cs="仿宋"/>
          <w:b/>
          <w:bCs/>
          <w:sz w:val="20"/>
          <w:szCs w:val="20"/>
        </w:rPr>
        <w:t>二、跨省</w:t>
      </w:r>
      <w:r>
        <w:rPr>
          <w:rFonts w:hint="eastAsia" w:ascii="仿宋" w:hAnsi="仿宋" w:eastAsia="仿宋" w:cs="仿宋"/>
          <w:b/>
          <w:bCs/>
          <w:sz w:val="20"/>
          <w:szCs w:val="20"/>
          <w:lang w:val="en-US" w:eastAsia="zh-CN"/>
        </w:rPr>
        <w:t>链路</w:t>
      </w:r>
      <w:r>
        <w:rPr>
          <w:rFonts w:hint="eastAsia" w:ascii="仿宋" w:hAnsi="仿宋" w:eastAsia="仿宋" w:cs="仿宋"/>
          <w:b/>
          <w:bCs/>
          <w:sz w:val="20"/>
          <w:szCs w:val="20"/>
        </w:rPr>
        <w:t>租用需求</w:t>
      </w:r>
    </w:p>
    <w:p w14:paraId="4B901A8F">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sz w:val="20"/>
          <w:szCs w:val="20"/>
        </w:rPr>
      </w:pPr>
      <w:r>
        <w:rPr>
          <w:rFonts w:hint="eastAsia" w:ascii="仿宋" w:hAnsi="仿宋" w:eastAsia="仿宋" w:cs="仿宋"/>
          <w:sz w:val="20"/>
          <w:szCs w:val="20"/>
          <w:lang w:val="en-US" w:eastAsia="zh-CN"/>
        </w:rPr>
        <w:t>此次陕西法院“一张网”跨省骨干链路1租赁项目，采用租用大型基础电信业务供应商专线服务的方式，即供应商负责从省高院到南中心机房或北中心机房进行点对点连接，为法院系统提供符合要求的链路通道。</w:t>
      </w:r>
      <w:r>
        <w:rPr>
          <w:rFonts w:hint="eastAsia" w:ascii="仿宋" w:hAnsi="仿宋" w:eastAsia="仿宋" w:cs="仿宋"/>
          <w:sz w:val="20"/>
          <w:szCs w:val="20"/>
        </w:rPr>
        <w:t>从省高院到南中心机房或北中心机房</w:t>
      </w:r>
      <w:r>
        <w:rPr>
          <w:rFonts w:hint="eastAsia" w:ascii="仿宋" w:hAnsi="仿宋" w:eastAsia="仿宋" w:cs="仿宋"/>
          <w:sz w:val="20"/>
          <w:szCs w:val="20"/>
          <w:lang w:val="en-US" w:eastAsia="zh-CN"/>
        </w:rPr>
        <w:t>由供应商建设1条OTN专线，带宽5G</w:t>
      </w:r>
      <w:r>
        <w:rPr>
          <w:rFonts w:hint="eastAsia" w:ascii="仿宋" w:hAnsi="仿宋" w:eastAsia="仿宋" w:cs="仿宋"/>
          <w:sz w:val="20"/>
          <w:szCs w:val="20"/>
        </w:rPr>
        <w:t>，</w:t>
      </w:r>
      <w:r>
        <w:rPr>
          <w:rFonts w:hint="eastAsia" w:ascii="仿宋" w:hAnsi="仿宋" w:eastAsia="仿宋" w:cs="仿宋"/>
          <w:sz w:val="20"/>
          <w:szCs w:val="20"/>
          <w:lang w:val="en-US" w:eastAsia="zh-CN"/>
        </w:rPr>
        <w:t>客户侧传输设备由供应商免费提供，具体</w:t>
      </w:r>
      <w:r>
        <w:rPr>
          <w:rFonts w:hint="eastAsia" w:ascii="仿宋" w:hAnsi="仿宋" w:eastAsia="仿宋" w:cs="仿宋"/>
          <w:sz w:val="20"/>
          <w:szCs w:val="20"/>
        </w:rPr>
        <w:t>如下表：</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706"/>
        <w:gridCol w:w="1679"/>
        <w:gridCol w:w="1832"/>
        <w:gridCol w:w="928"/>
        <w:gridCol w:w="907"/>
        <w:gridCol w:w="2307"/>
      </w:tblGrid>
      <w:tr w14:paraId="72729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08"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9DC0">
            <w:pPr>
              <w:spacing w:line="240" w:lineRule="auto"/>
              <w:jc w:val="both"/>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序号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4FE8">
            <w:pPr>
              <w:spacing w:line="240" w:lineRule="auto"/>
              <w:jc w:val="both"/>
              <w:outlineLvl w:val="9"/>
              <w:rPr>
                <w:rFonts w:hint="eastAsia" w:ascii="仿宋" w:hAnsi="仿宋" w:eastAsia="仿宋" w:cs="仿宋"/>
                <w:sz w:val="20"/>
                <w:szCs w:val="20"/>
                <w:lang w:val="en-US" w:eastAsia="zh-CN"/>
              </w:rPr>
            </w:pPr>
            <w:r>
              <w:rPr>
                <w:rFonts w:hint="eastAsia" w:ascii="仿宋" w:hAnsi="仿宋" w:eastAsia="仿宋" w:cs="仿宋"/>
                <w:sz w:val="20"/>
                <w:szCs w:val="20"/>
              </w:rPr>
              <w:t>线路</w:t>
            </w:r>
            <w:r>
              <w:rPr>
                <w:rFonts w:hint="eastAsia" w:ascii="仿宋" w:hAnsi="仿宋" w:eastAsia="仿宋" w:cs="仿宋"/>
                <w:sz w:val="20"/>
                <w:szCs w:val="20"/>
                <w:lang w:val="en-US" w:eastAsia="zh-CN"/>
              </w:rPr>
              <w:t>A点位置</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D7F8">
            <w:pPr>
              <w:spacing w:line="240" w:lineRule="auto"/>
              <w:jc w:val="both"/>
              <w:outlineLvl w:val="9"/>
              <w:rPr>
                <w:rFonts w:hint="eastAsia" w:ascii="仿宋" w:hAnsi="仿宋" w:eastAsia="仿宋" w:cs="仿宋"/>
                <w:sz w:val="20"/>
                <w:szCs w:val="20"/>
              </w:rPr>
            </w:pPr>
            <w:r>
              <w:rPr>
                <w:rFonts w:hint="eastAsia" w:ascii="仿宋" w:hAnsi="仿宋" w:eastAsia="仿宋" w:cs="仿宋"/>
                <w:sz w:val="20"/>
                <w:szCs w:val="20"/>
              </w:rPr>
              <w:t>线路</w:t>
            </w:r>
            <w:r>
              <w:rPr>
                <w:rFonts w:hint="eastAsia" w:ascii="仿宋" w:hAnsi="仿宋" w:eastAsia="仿宋" w:cs="仿宋"/>
                <w:sz w:val="20"/>
                <w:szCs w:val="20"/>
                <w:lang w:val="en-US" w:eastAsia="zh-CN"/>
              </w:rPr>
              <w:t>B点位置</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D703">
            <w:pPr>
              <w:spacing w:line="240" w:lineRule="auto"/>
              <w:jc w:val="both"/>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带宽</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9B07">
            <w:pPr>
              <w:spacing w:line="240" w:lineRule="auto"/>
              <w:jc w:val="both"/>
              <w:outlineLvl w:val="9"/>
              <w:rPr>
                <w:rFonts w:hint="eastAsia" w:ascii="仿宋" w:hAnsi="仿宋" w:eastAsia="仿宋" w:cs="仿宋"/>
                <w:sz w:val="20"/>
                <w:szCs w:val="20"/>
              </w:rPr>
            </w:pPr>
            <w:r>
              <w:rPr>
                <w:rFonts w:hint="eastAsia" w:ascii="仿宋" w:hAnsi="仿宋" w:eastAsia="仿宋" w:cs="仿宋"/>
                <w:sz w:val="20"/>
                <w:szCs w:val="20"/>
              </w:rPr>
              <w:t>数量</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3077">
            <w:pPr>
              <w:spacing w:line="240" w:lineRule="auto"/>
              <w:jc w:val="both"/>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接入方式</w:t>
            </w:r>
          </w:p>
        </w:tc>
      </w:tr>
      <w:tr w14:paraId="4B4D9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79" w:hRule="atLeast"/>
        </w:trPr>
        <w:tc>
          <w:tcPr>
            <w:tcW w:w="422" w:type="pct"/>
            <w:tcBorders>
              <w:top w:val="single" w:color="000000" w:sz="4" w:space="0"/>
            </w:tcBorders>
            <w:shd w:val="clear" w:color="auto" w:fill="auto"/>
            <w:vAlign w:val="center"/>
          </w:tcPr>
          <w:p w14:paraId="671B71B9">
            <w:pPr>
              <w:spacing w:line="240" w:lineRule="auto"/>
              <w:jc w:val="both"/>
              <w:outlineLvl w:val="9"/>
              <w:rPr>
                <w:rFonts w:hint="eastAsia" w:ascii="仿宋" w:hAnsi="仿宋" w:eastAsia="仿宋" w:cs="仿宋"/>
                <w:sz w:val="20"/>
                <w:szCs w:val="20"/>
              </w:rPr>
            </w:pPr>
            <w:r>
              <w:rPr>
                <w:rFonts w:hint="eastAsia" w:ascii="仿宋" w:hAnsi="仿宋" w:eastAsia="仿宋" w:cs="仿宋"/>
                <w:sz w:val="20"/>
                <w:szCs w:val="20"/>
              </w:rPr>
              <w:t>1</w:t>
            </w:r>
          </w:p>
        </w:tc>
        <w:tc>
          <w:tcPr>
            <w:tcW w:w="1004" w:type="pct"/>
            <w:tcBorders>
              <w:top w:val="single" w:color="000000" w:sz="4" w:space="0"/>
            </w:tcBorders>
            <w:shd w:val="clear" w:color="auto" w:fill="auto"/>
            <w:vAlign w:val="center"/>
          </w:tcPr>
          <w:p w14:paraId="072F9EBE">
            <w:pPr>
              <w:spacing w:line="240" w:lineRule="auto"/>
              <w:jc w:val="both"/>
              <w:outlineLvl w:val="9"/>
              <w:rPr>
                <w:rFonts w:hint="eastAsia" w:ascii="仿宋" w:hAnsi="仿宋" w:eastAsia="仿宋" w:cs="仿宋"/>
                <w:sz w:val="20"/>
                <w:szCs w:val="20"/>
              </w:rPr>
            </w:pPr>
            <w:r>
              <w:rPr>
                <w:rFonts w:hint="eastAsia" w:ascii="仿宋" w:hAnsi="仿宋" w:eastAsia="仿宋" w:cs="仿宋"/>
                <w:sz w:val="20"/>
                <w:szCs w:val="20"/>
              </w:rPr>
              <w:t>陕西省高级人民法院</w:t>
            </w:r>
          </w:p>
        </w:tc>
        <w:tc>
          <w:tcPr>
            <w:tcW w:w="1095" w:type="pct"/>
            <w:tcBorders>
              <w:top w:val="single" w:color="000000" w:sz="4" w:space="0"/>
            </w:tcBorders>
            <w:shd w:val="clear" w:color="auto" w:fill="auto"/>
            <w:vAlign w:val="center"/>
          </w:tcPr>
          <w:p w14:paraId="76A3EDF6">
            <w:pPr>
              <w:widowControl/>
              <w:spacing w:line="240" w:lineRule="auto"/>
              <w:jc w:val="both"/>
              <w:outlineLvl w:val="9"/>
              <w:rPr>
                <w:rFonts w:hint="eastAsia" w:ascii="仿宋" w:hAnsi="仿宋" w:eastAsia="仿宋" w:cs="仿宋"/>
                <w:kern w:val="0"/>
                <w:sz w:val="20"/>
                <w:szCs w:val="20"/>
              </w:rPr>
            </w:pPr>
            <w:r>
              <w:rPr>
                <w:rFonts w:hint="eastAsia" w:ascii="仿宋" w:hAnsi="仿宋" w:eastAsia="仿宋" w:cs="仿宋"/>
                <w:sz w:val="20"/>
                <w:szCs w:val="20"/>
                <w:lang w:val="en-US" w:eastAsia="zh-CN"/>
              </w:rPr>
              <w:t>南中心机房或北中心机房</w:t>
            </w:r>
          </w:p>
        </w:tc>
        <w:tc>
          <w:tcPr>
            <w:tcW w:w="555" w:type="pct"/>
            <w:tcBorders>
              <w:top w:val="single" w:color="000000" w:sz="4" w:space="0"/>
            </w:tcBorders>
            <w:shd w:val="clear" w:color="auto" w:fill="auto"/>
            <w:vAlign w:val="center"/>
          </w:tcPr>
          <w:p w14:paraId="56A76CEB">
            <w:pPr>
              <w:widowControl/>
              <w:spacing w:line="240" w:lineRule="auto"/>
              <w:jc w:val="both"/>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5G</w:t>
            </w:r>
          </w:p>
        </w:tc>
        <w:tc>
          <w:tcPr>
            <w:tcW w:w="542" w:type="pct"/>
            <w:tcBorders>
              <w:top w:val="single" w:color="000000" w:sz="4" w:space="0"/>
            </w:tcBorders>
            <w:shd w:val="clear" w:color="auto" w:fill="auto"/>
            <w:vAlign w:val="center"/>
          </w:tcPr>
          <w:p w14:paraId="79F03604">
            <w:pPr>
              <w:widowControl/>
              <w:spacing w:line="240" w:lineRule="auto"/>
              <w:jc w:val="both"/>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val="en-US" w:eastAsia="zh-CN"/>
              </w:rPr>
              <w:t>1</w:t>
            </w:r>
          </w:p>
        </w:tc>
        <w:tc>
          <w:tcPr>
            <w:tcW w:w="1379" w:type="pct"/>
            <w:tcBorders>
              <w:top w:val="single" w:color="000000" w:sz="4" w:space="0"/>
            </w:tcBorders>
            <w:shd w:val="clear" w:color="auto" w:fill="auto"/>
            <w:vAlign w:val="center"/>
          </w:tcPr>
          <w:p w14:paraId="6E2A9EA1">
            <w:pPr>
              <w:widowControl/>
              <w:spacing w:line="240" w:lineRule="auto"/>
              <w:jc w:val="both"/>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双节点双路由</w:t>
            </w:r>
          </w:p>
        </w:tc>
      </w:tr>
    </w:tbl>
    <w:p w14:paraId="4596F3A2">
      <w:pPr>
        <w:spacing w:line="240" w:lineRule="auto"/>
        <w:ind w:firstLine="400" w:firstLineChars="200"/>
        <w:jc w:val="both"/>
        <w:outlineLvl w:val="9"/>
        <w:rPr>
          <w:rFonts w:hint="eastAsia" w:ascii="仿宋" w:hAnsi="仿宋" w:eastAsia="仿宋" w:cs="仿宋"/>
          <w:sz w:val="20"/>
          <w:szCs w:val="20"/>
        </w:rPr>
      </w:pPr>
    </w:p>
    <w:p w14:paraId="02642C48">
      <w:pPr>
        <w:spacing w:line="240" w:lineRule="auto"/>
        <w:ind w:firstLine="402" w:firstLineChars="200"/>
        <w:jc w:val="both"/>
        <w:outlineLvl w:val="9"/>
        <w:rPr>
          <w:rFonts w:hint="eastAsia" w:ascii="仿宋" w:hAnsi="仿宋" w:eastAsia="仿宋" w:cs="仿宋"/>
          <w:b/>
          <w:bCs/>
          <w:sz w:val="20"/>
          <w:szCs w:val="20"/>
        </w:rPr>
      </w:pPr>
      <w:r>
        <w:rPr>
          <w:rFonts w:hint="eastAsia" w:ascii="仿宋" w:hAnsi="仿宋" w:eastAsia="仿宋" w:cs="仿宋"/>
          <w:b/>
          <w:bCs/>
          <w:sz w:val="20"/>
          <w:szCs w:val="20"/>
        </w:rPr>
        <w:t>三、</w:t>
      </w:r>
      <w:r>
        <w:rPr>
          <w:rFonts w:hint="eastAsia" w:ascii="仿宋" w:hAnsi="仿宋" w:eastAsia="仿宋" w:cs="仿宋"/>
          <w:b/>
          <w:bCs/>
          <w:sz w:val="20"/>
          <w:szCs w:val="20"/>
          <w:lang w:val="en-US" w:eastAsia="zh-CN"/>
        </w:rPr>
        <w:t>网络</w:t>
      </w:r>
      <w:r>
        <w:rPr>
          <w:rFonts w:hint="eastAsia" w:ascii="仿宋" w:hAnsi="仿宋" w:eastAsia="仿宋" w:cs="仿宋"/>
          <w:b/>
          <w:bCs/>
          <w:sz w:val="20"/>
          <w:szCs w:val="20"/>
        </w:rPr>
        <w:t>设备及连接需求</w:t>
      </w:r>
    </w:p>
    <w:p w14:paraId="0D6AF7FF">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省高院侧需新增1台路由器和1台防火墙，此部分数通设备及数据配置由供应商提供，同时负责配合与南中心机房或北中心机房的互联互通。</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972"/>
        <w:gridCol w:w="3676"/>
        <w:gridCol w:w="1886"/>
        <w:gridCol w:w="1825"/>
      </w:tblGrid>
      <w:tr w14:paraId="444B1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01" w:hRule="atLeast"/>
        </w:trPr>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A1A8">
            <w:pPr>
              <w:spacing w:line="240" w:lineRule="auto"/>
              <w:jc w:val="both"/>
              <w:outlineLvl w:val="9"/>
              <w:rPr>
                <w:rFonts w:hint="eastAsia" w:ascii="仿宋" w:hAnsi="仿宋" w:eastAsia="仿宋" w:cs="仿宋"/>
                <w:sz w:val="20"/>
                <w:szCs w:val="20"/>
              </w:rPr>
            </w:pPr>
            <w:r>
              <w:rPr>
                <w:rFonts w:hint="eastAsia" w:ascii="仿宋" w:hAnsi="仿宋" w:eastAsia="仿宋" w:cs="仿宋"/>
                <w:sz w:val="20"/>
                <w:szCs w:val="20"/>
              </w:rPr>
              <w:t>序号</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9DF7">
            <w:pPr>
              <w:spacing w:line="240" w:lineRule="auto"/>
              <w:jc w:val="both"/>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网络设备用途</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4976">
            <w:pPr>
              <w:spacing w:line="240" w:lineRule="auto"/>
              <w:jc w:val="both"/>
              <w:outlineLvl w:val="9"/>
              <w:rPr>
                <w:rFonts w:hint="eastAsia" w:ascii="仿宋" w:hAnsi="仿宋" w:eastAsia="仿宋" w:cs="仿宋"/>
                <w:sz w:val="20"/>
                <w:szCs w:val="20"/>
              </w:rPr>
            </w:pPr>
            <w:r>
              <w:rPr>
                <w:rFonts w:hint="eastAsia" w:ascii="仿宋" w:hAnsi="仿宋" w:eastAsia="仿宋" w:cs="仿宋"/>
                <w:sz w:val="20"/>
                <w:szCs w:val="20"/>
              </w:rPr>
              <w:t>路由器数量</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AE0D">
            <w:pPr>
              <w:spacing w:line="240" w:lineRule="auto"/>
              <w:jc w:val="both"/>
              <w:outlineLvl w:val="9"/>
              <w:rPr>
                <w:rFonts w:hint="eastAsia" w:ascii="仿宋" w:hAnsi="仿宋" w:eastAsia="仿宋" w:cs="仿宋"/>
                <w:sz w:val="20"/>
                <w:szCs w:val="20"/>
              </w:rPr>
            </w:pPr>
            <w:r>
              <w:rPr>
                <w:rFonts w:hint="eastAsia" w:ascii="仿宋" w:hAnsi="仿宋" w:eastAsia="仿宋" w:cs="仿宋"/>
                <w:sz w:val="20"/>
                <w:szCs w:val="20"/>
              </w:rPr>
              <w:t>防火墙数量</w:t>
            </w:r>
          </w:p>
        </w:tc>
      </w:tr>
      <w:tr w14:paraId="40F15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37" w:hRule="atLeast"/>
        </w:trPr>
        <w:tc>
          <w:tcPr>
            <w:tcW w:w="581" w:type="pct"/>
            <w:tcBorders>
              <w:top w:val="single" w:color="000000" w:sz="4" w:space="0"/>
            </w:tcBorders>
            <w:shd w:val="clear" w:color="auto" w:fill="auto"/>
            <w:vAlign w:val="center"/>
          </w:tcPr>
          <w:p w14:paraId="24422890">
            <w:pPr>
              <w:spacing w:line="240" w:lineRule="auto"/>
              <w:jc w:val="both"/>
              <w:outlineLvl w:val="9"/>
              <w:rPr>
                <w:rFonts w:hint="eastAsia" w:ascii="仿宋" w:hAnsi="仿宋" w:eastAsia="仿宋" w:cs="仿宋"/>
                <w:sz w:val="20"/>
                <w:szCs w:val="20"/>
              </w:rPr>
            </w:pPr>
            <w:r>
              <w:rPr>
                <w:rFonts w:hint="eastAsia" w:ascii="仿宋" w:hAnsi="仿宋" w:eastAsia="仿宋" w:cs="仿宋"/>
                <w:sz w:val="20"/>
                <w:szCs w:val="20"/>
              </w:rPr>
              <w:t>1</w:t>
            </w:r>
          </w:p>
        </w:tc>
        <w:tc>
          <w:tcPr>
            <w:tcW w:w="2198" w:type="pct"/>
            <w:tcBorders>
              <w:top w:val="single" w:color="000000" w:sz="4" w:space="0"/>
            </w:tcBorders>
            <w:shd w:val="clear" w:color="auto" w:fill="auto"/>
            <w:vAlign w:val="center"/>
          </w:tcPr>
          <w:p w14:paraId="55C46B30">
            <w:pPr>
              <w:spacing w:line="240" w:lineRule="auto"/>
              <w:jc w:val="both"/>
              <w:outlineLvl w:val="9"/>
              <w:rPr>
                <w:rFonts w:hint="eastAsia" w:ascii="仿宋" w:hAnsi="仿宋" w:eastAsia="仿宋" w:cs="仿宋"/>
                <w:sz w:val="20"/>
                <w:szCs w:val="20"/>
                <w:lang w:val="en-US"/>
              </w:rPr>
            </w:pPr>
            <w:r>
              <w:rPr>
                <w:rFonts w:hint="eastAsia" w:ascii="仿宋" w:hAnsi="仿宋" w:eastAsia="仿宋" w:cs="仿宋"/>
                <w:sz w:val="20"/>
                <w:szCs w:val="20"/>
                <w:lang w:val="en-US"/>
              </w:rPr>
              <w:t>连接南中心机房或</w:t>
            </w:r>
          </w:p>
          <w:p w14:paraId="6084315F">
            <w:pPr>
              <w:spacing w:line="240" w:lineRule="auto"/>
              <w:jc w:val="both"/>
              <w:outlineLvl w:val="9"/>
              <w:rPr>
                <w:rFonts w:hint="eastAsia" w:ascii="仿宋" w:hAnsi="仿宋" w:eastAsia="仿宋" w:cs="仿宋"/>
                <w:sz w:val="20"/>
                <w:szCs w:val="20"/>
                <w:lang w:val="en-US"/>
              </w:rPr>
            </w:pPr>
            <w:r>
              <w:rPr>
                <w:rFonts w:hint="eastAsia" w:ascii="仿宋" w:hAnsi="仿宋" w:eastAsia="仿宋" w:cs="仿宋"/>
                <w:sz w:val="20"/>
                <w:szCs w:val="20"/>
                <w:lang w:val="en-US"/>
              </w:rPr>
              <w:t>北中心机房</w:t>
            </w:r>
          </w:p>
        </w:tc>
        <w:tc>
          <w:tcPr>
            <w:tcW w:w="1128" w:type="pct"/>
            <w:tcBorders>
              <w:top w:val="single" w:color="000000" w:sz="4" w:space="0"/>
            </w:tcBorders>
            <w:shd w:val="clear" w:color="auto" w:fill="auto"/>
            <w:vAlign w:val="center"/>
          </w:tcPr>
          <w:p w14:paraId="061249D0">
            <w:pPr>
              <w:spacing w:line="240" w:lineRule="auto"/>
              <w:jc w:val="both"/>
              <w:outlineLvl w:val="9"/>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p>
        </w:tc>
        <w:tc>
          <w:tcPr>
            <w:tcW w:w="1091" w:type="pct"/>
            <w:tcBorders>
              <w:top w:val="single" w:color="000000" w:sz="4" w:space="0"/>
            </w:tcBorders>
            <w:shd w:val="clear" w:color="auto" w:fill="auto"/>
            <w:vAlign w:val="center"/>
          </w:tcPr>
          <w:p w14:paraId="38BDC18D">
            <w:pPr>
              <w:spacing w:line="240" w:lineRule="auto"/>
              <w:jc w:val="both"/>
              <w:outlineLvl w:val="9"/>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p>
        </w:tc>
      </w:tr>
    </w:tbl>
    <w:p w14:paraId="2BFAFC1F">
      <w:pPr>
        <w:spacing w:line="240" w:lineRule="auto"/>
        <w:ind w:firstLine="400" w:firstLineChars="200"/>
        <w:jc w:val="both"/>
        <w:outlineLvl w:val="9"/>
        <w:rPr>
          <w:rFonts w:hint="eastAsia" w:ascii="仿宋" w:hAnsi="仿宋" w:eastAsia="仿宋" w:cs="仿宋"/>
          <w:sz w:val="20"/>
          <w:szCs w:val="20"/>
        </w:rPr>
      </w:pPr>
    </w:p>
    <w:p w14:paraId="639D50F5">
      <w:pPr>
        <w:spacing w:line="240" w:lineRule="auto"/>
        <w:ind w:firstLine="402" w:firstLineChars="200"/>
        <w:jc w:val="both"/>
        <w:outlineLvl w:val="9"/>
        <w:rPr>
          <w:rFonts w:hint="eastAsia" w:ascii="仿宋" w:hAnsi="仿宋" w:eastAsia="仿宋" w:cs="仿宋"/>
          <w:b/>
          <w:bCs/>
          <w:sz w:val="20"/>
          <w:szCs w:val="20"/>
        </w:rPr>
      </w:pPr>
      <w:r>
        <w:rPr>
          <w:rFonts w:hint="eastAsia" w:ascii="仿宋" w:hAnsi="仿宋" w:eastAsia="仿宋" w:cs="仿宋"/>
          <w:b/>
          <w:bCs/>
          <w:sz w:val="20"/>
          <w:szCs w:val="20"/>
        </w:rPr>
        <w:t>四、技术参数要求</w:t>
      </w:r>
    </w:p>
    <w:p w14:paraId="09B69F8A">
      <w:pPr>
        <w:spacing w:line="240" w:lineRule="auto"/>
        <w:jc w:val="both"/>
        <w:outlineLvl w:val="9"/>
        <w:rPr>
          <w:rFonts w:hint="eastAsia" w:ascii="仿宋" w:hAnsi="仿宋" w:eastAsia="仿宋" w:cs="仿宋"/>
          <w:b w:val="0"/>
          <w:bCs/>
          <w:sz w:val="20"/>
          <w:szCs w:val="20"/>
        </w:rPr>
      </w:pPr>
      <w:r>
        <w:rPr>
          <w:rFonts w:hint="eastAsia" w:ascii="仿宋" w:hAnsi="仿宋" w:eastAsia="仿宋" w:cs="仿宋"/>
          <w:b w:val="0"/>
          <w:bCs/>
          <w:sz w:val="20"/>
          <w:szCs w:val="20"/>
        </w:rPr>
        <w:t>（一）网络接入模式</w:t>
      </w:r>
    </w:p>
    <w:p w14:paraId="747C531E">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1．省高院侧路由器、防火墙网络设备及数据配置由投标供应商提供，确保与南中心机房的联通，甲方负责提供配套机房环境，包括供电、空调等。</w:t>
      </w:r>
    </w:p>
    <w:p w14:paraId="0C5509BE">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2．网络接入模式：接入均为OTN专线双节点双路由模式，免费提供相关传输设备。</w:t>
      </w:r>
    </w:p>
    <w:p w14:paraId="78B0F2D4">
      <w:pPr>
        <w:widowControl/>
        <w:spacing w:line="240" w:lineRule="auto"/>
        <w:jc w:val="both"/>
        <w:outlineLvl w:val="9"/>
        <w:rPr>
          <w:rFonts w:hint="eastAsia" w:ascii="仿宋" w:hAnsi="仿宋" w:eastAsia="仿宋" w:cs="仿宋"/>
          <w:b w:val="0"/>
          <w:bCs/>
          <w:sz w:val="20"/>
          <w:szCs w:val="20"/>
          <w:lang w:eastAsia="zh-CN"/>
        </w:rPr>
      </w:pPr>
      <w:r>
        <w:rPr>
          <w:rFonts w:hint="eastAsia" w:ascii="仿宋" w:hAnsi="仿宋" w:eastAsia="仿宋" w:cs="仿宋"/>
          <w:b w:val="0"/>
          <w:bCs/>
          <w:sz w:val="20"/>
          <w:szCs w:val="20"/>
        </w:rPr>
        <w:t>（二）网络</w:t>
      </w:r>
      <w:r>
        <w:rPr>
          <w:rFonts w:hint="eastAsia" w:ascii="仿宋" w:hAnsi="仿宋" w:eastAsia="仿宋" w:cs="仿宋"/>
          <w:b w:val="0"/>
          <w:bCs/>
          <w:sz w:val="20"/>
          <w:szCs w:val="20"/>
          <w:lang w:val="en-US" w:eastAsia="zh-CN"/>
        </w:rPr>
        <w:t>拓扑</w:t>
      </w:r>
      <w:r>
        <w:rPr>
          <w:rFonts w:hint="eastAsia" w:ascii="仿宋" w:hAnsi="仿宋" w:eastAsia="仿宋" w:cs="仿宋"/>
          <w:b w:val="0"/>
          <w:bCs/>
          <w:sz w:val="20"/>
          <w:szCs w:val="20"/>
        </w:rPr>
        <w:t>图</w:t>
      </w:r>
      <w:r>
        <w:rPr>
          <w:rFonts w:hint="eastAsia" w:ascii="仿宋" w:hAnsi="仿宋" w:eastAsia="仿宋" w:cs="仿宋"/>
          <w:b w:val="0"/>
          <w:bCs/>
          <w:sz w:val="20"/>
          <w:szCs w:val="20"/>
          <w:lang w:eastAsia="zh-CN"/>
        </w:rPr>
        <w:t>（</w:t>
      </w:r>
      <w:r>
        <w:rPr>
          <w:rFonts w:hint="eastAsia" w:ascii="仿宋" w:hAnsi="仿宋" w:eastAsia="仿宋" w:cs="仿宋"/>
          <w:b w:val="0"/>
          <w:bCs/>
          <w:sz w:val="20"/>
          <w:szCs w:val="20"/>
          <w:lang w:val="en-US" w:eastAsia="zh-CN"/>
        </w:rPr>
        <w:t>详见附件</w:t>
      </w:r>
      <w:r>
        <w:rPr>
          <w:rFonts w:hint="eastAsia" w:ascii="仿宋" w:hAnsi="仿宋" w:eastAsia="仿宋" w:cs="仿宋"/>
          <w:b w:val="0"/>
          <w:bCs/>
          <w:sz w:val="20"/>
          <w:szCs w:val="20"/>
          <w:lang w:eastAsia="zh-CN"/>
        </w:rPr>
        <w:t>）</w:t>
      </w:r>
    </w:p>
    <w:p w14:paraId="200429CF">
      <w:pPr>
        <w:spacing w:line="240" w:lineRule="auto"/>
        <w:jc w:val="both"/>
        <w:outlineLvl w:val="9"/>
        <w:rPr>
          <w:rFonts w:hint="eastAsia" w:ascii="仿宋" w:hAnsi="仿宋" w:eastAsia="仿宋" w:cs="仿宋"/>
          <w:sz w:val="20"/>
          <w:szCs w:val="20"/>
          <w:lang w:eastAsia="zh-CN"/>
        </w:rPr>
      </w:pPr>
      <w:r>
        <w:rPr>
          <w:rFonts w:hint="eastAsia" w:ascii="仿宋" w:hAnsi="仿宋" w:eastAsia="仿宋" w:cs="仿宋"/>
          <w:sz w:val="20"/>
          <w:szCs w:val="20"/>
          <w:lang w:eastAsia="zh-CN"/>
        </w:rPr>
        <w:drawing>
          <wp:inline distT="0" distB="0" distL="114300" distR="114300">
            <wp:extent cx="4318000" cy="3053080"/>
            <wp:effectExtent l="0" t="0" r="6350" b="13970"/>
            <wp:docPr id="2" name="图片 2" descr="E:/尹蕾/看管单位/1-高院/项目-一张网专线/法院线路建设手续/拓扑图.jpg拓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尹蕾/看管单位/1-高院/项目-一张网专线/法院线路建设手续/拓扑图.jpg拓扑图"/>
                    <pic:cNvPicPr>
                      <a:picLocks noChangeAspect="1"/>
                    </pic:cNvPicPr>
                  </pic:nvPicPr>
                  <pic:blipFill>
                    <a:blip r:embed="rId4"/>
                    <a:srcRect l="9" r="9"/>
                    <a:stretch>
                      <a:fillRect/>
                    </a:stretch>
                  </pic:blipFill>
                  <pic:spPr>
                    <a:xfrm>
                      <a:off x="0" y="0"/>
                      <a:ext cx="4318000" cy="3053080"/>
                    </a:xfrm>
                    <a:prstGeom prst="rect">
                      <a:avLst/>
                    </a:prstGeom>
                  </pic:spPr>
                </pic:pic>
              </a:graphicData>
            </a:graphic>
          </wp:inline>
        </w:drawing>
      </w:r>
    </w:p>
    <w:p w14:paraId="71BBDDEA">
      <w:pPr>
        <w:spacing w:line="240" w:lineRule="auto"/>
        <w:jc w:val="both"/>
        <w:outlineLvl w:val="9"/>
        <w:rPr>
          <w:rFonts w:hint="eastAsia" w:ascii="仿宋" w:hAnsi="仿宋" w:eastAsia="仿宋" w:cs="仿宋"/>
          <w:b w:val="0"/>
          <w:bCs/>
          <w:sz w:val="20"/>
          <w:szCs w:val="20"/>
        </w:rPr>
      </w:pPr>
      <w:r>
        <w:rPr>
          <w:rFonts w:hint="eastAsia" w:ascii="仿宋" w:hAnsi="仿宋" w:eastAsia="仿宋" w:cs="仿宋"/>
          <w:b w:val="0"/>
          <w:bCs/>
          <w:sz w:val="20"/>
          <w:szCs w:val="20"/>
        </w:rPr>
        <w:t>（三）线路</w:t>
      </w:r>
      <w:r>
        <w:rPr>
          <w:rFonts w:hint="eastAsia" w:ascii="仿宋" w:hAnsi="仿宋" w:eastAsia="仿宋" w:cs="仿宋"/>
          <w:b w:val="0"/>
          <w:bCs/>
          <w:sz w:val="20"/>
          <w:szCs w:val="20"/>
          <w:lang w:val="en-US" w:eastAsia="zh-CN"/>
        </w:rPr>
        <w:t>技术</w:t>
      </w:r>
      <w:r>
        <w:rPr>
          <w:rFonts w:hint="eastAsia" w:ascii="仿宋" w:hAnsi="仿宋" w:eastAsia="仿宋" w:cs="仿宋"/>
          <w:b w:val="0"/>
          <w:bCs/>
          <w:sz w:val="20"/>
          <w:szCs w:val="20"/>
        </w:rPr>
        <w:t>指标要求</w:t>
      </w:r>
    </w:p>
    <w:p w14:paraId="51286219">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jc w:val="both"/>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（1）</w:t>
      </w:r>
      <w:r>
        <w:rPr>
          <w:rFonts w:hint="eastAsia" w:ascii="仿宋" w:hAnsi="仿宋" w:eastAsia="仿宋" w:cs="仿宋"/>
          <w:sz w:val="20"/>
          <w:szCs w:val="20"/>
        </w:rPr>
        <w:t>采用</w:t>
      </w:r>
      <w:r>
        <w:rPr>
          <w:rFonts w:hint="eastAsia" w:ascii="仿宋" w:hAnsi="仿宋" w:eastAsia="仿宋" w:cs="仿宋"/>
          <w:sz w:val="20"/>
          <w:szCs w:val="20"/>
          <w:lang w:val="en-US" w:eastAsia="zh-CN"/>
        </w:rPr>
        <w:t>OTN传输技术接入，</w:t>
      </w:r>
      <w:r>
        <w:rPr>
          <w:rFonts w:hint="eastAsia" w:ascii="仿宋" w:hAnsi="仿宋" w:eastAsia="仿宋" w:cs="仿宋"/>
          <w:sz w:val="20"/>
          <w:szCs w:val="20"/>
        </w:rPr>
        <w:t>双路由双节点保护，以自愈环方式接入线路</w:t>
      </w:r>
      <w:r>
        <w:rPr>
          <w:rFonts w:hint="eastAsia" w:ascii="仿宋" w:hAnsi="仿宋" w:eastAsia="仿宋" w:cs="仿宋"/>
          <w:sz w:val="20"/>
          <w:szCs w:val="20"/>
          <w:lang w:eastAsia="zh-CN"/>
        </w:rPr>
        <w:t>供应商</w:t>
      </w:r>
      <w:r>
        <w:rPr>
          <w:rFonts w:hint="eastAsia" w:ascii="仿宋" w:hAnsi="仿宋" w:eastAsia="仿宋" w:cs="仿宋"/>
          <w:sz w:val="20"/>
          <w:szCs w:val="20"/>
        </w:rPr>
        <w:t>的两个不同局向，保护倒换时间不大于50ms</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传输设备由供应商免费提供</w:t>
      </w:r>
      <w:r>
        <w:rPr>
          <w:rFonts w:hint="eastAsia" w:ascii="仿宋" w:hAnsi="仿宋" w:eastAsia="仿宋" w:cs="仿宋"/>
          <w:sz w:val="20"/>
          <w:szCs w:val="20"/>
        </w:rPr>
        <w:t>。</w:t>
      </w:r>
    </w:p>
    <w:p w14:paraId="133EA587">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jc w:val="both"/>
        <w:textAlignment w:val="auto"/>
        <w:outlineLvl w:val="9"/>
        <w:rPr>
          <w:rFonts w:hint="eastAsia" w:ascii="仿宋" w:hAnsi="仿宋" w:eastAsia="仿宋" w:cs="仿宋"/>
          <w:sz w:val="20"/>
          <w:szCs w:val="20"/>
          <w:highlight w:val="none"/>
        </w:rPr>
      </w:pPr>
      <w:r>
        <w:rPr>
          <w:rFonts w:hint="eastAsia" w:ascii="仿宋" w:hAnsi="仿宋" w:eastAsia="仿宋" w:cs="仿宋"/>
          <w:kern w:val="2"/>
          <w:sz w:val="20"/>
          <w:szCs w:val="20"/>
          <w:lang w:val="en-US" w:eastAsia="zh-CN" w:bidi="ar-SA"/>
        </w:rPr>
        <w:t>（2）</w:t>
      </w:r>
      <w:r>
        <w:rPr>
          <w:rFonts w:hint="eastAsia" w:ascii="仿宋" w:hAnsi="仿宋" w:eastAsia="仿宋" w:cs="仿宋"/>
          <w:sz w:val="20"/>
          <w:szCs w:val="20"/>
          <w:highlight w:val="none"/>
        </w:rPr>
        <w:t>时延指标：跨省（按光缆距离计算）：0.7ms/百公里（单向时延）</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省高院路由器至</w:t>
      </w:r>
      <w:r>
        <w:rPr>
          <w:rFonts w:hint="eastAsia" w:ascii="仿宋" w:hAnsi="仿宋" w:eastAsia="仿宋" w:cs="仿宋"/>
          <w:sz w:val="20"/>
          <w:szCs w:val="20"/>
          <w:highlight w:val="none"/>
          <w:lang w:val="en-US" w:eastAsia="zh-CN"/>
        </w:rPr>
        <w:t>南中心机房路由器平均</w:t>
      </w:r>
      <w:r>
        <w:rPr>
          <w:rFonts w:hint="eastAsia" w:ascii="仿宋" w:hAnsi="仿宋" w:eastAsia="仿宋" w:cs="仿宋"/>
          <w:sz w:val="20"/>
          <w:szCs w:val="20"/>
          <w:highlight w:val="none"/>
        </w:rPr>
        <w:t>时延&lt;</w:t>
      </w:r>
      <w:r>
        <w:rPr>
          <w:rFonts w:hint="eastAsia" w:ascii="仿宋" w:hAnsi="仿宋" w:eastAsia="仿宋" w:cs="仿宋"/>
          <w:sz w:val="20"/>
          <w:szCs w:val="20"/>
          <w:highlight w:val="none"/>
          <w:lang w:val="en-US" w:eastAsia="zh-CN"/>
        </w:rPr>
        <w:t>40</w:t>
      </w:r>
      <w:r>
        <w:rPr>
          <w:rFonts w:hint="eastAsia" w:ascii="仿宋" w:hAnsi="仿宋" w:eastAsia="仿宋" w:cs="仿宋"/>
          <w:sz w:val="20"/>
          <w:szCs w:val="20"/>
          <w:highlight w:val="none"/>
        </w:rPr>
        <w:t>ms。</w:t>
      </w:r>
    </w:p>
    <w:p w14:paraId="72B392E2">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jc w:val="both"/>
        <w:textAlignment w:val="auto"/>
        <w:outlineLvl w:val="9"/>
        <w:rPr>
          <w:rFonts w:hint="eastAsia" w:ascii="仿宋" w:hAnsi="仿宋" w:eastAsia="仿宋" w:cs="仿宋"/>
          <w:sz w:val="20"/>
          <w:szCs w:val="20"/>
          <w:highlight w:val="none"/>
        </w:rPr>
      </w:pPr>
      <w:r>
        <w:rPr>
          <w:rFonts w:hint="eastAsia" w:ascii="仿宋" w:hAnsi="仿宋" w:eastAsia="仿宋" w:cs="仿宋"/>
          <w:kern w:val="2"/>
          <w:sz w:val="20"/>
          <w:szCs w:val="20"/>
          <w:lang w:val="en-US" w:eastAsia="zh-CN" w:bidi="ar-SA"/>
        </w:rPr>
        <w:t>（3）</w:t>
      </w:r>
      <w:r>
        <w:rPr>
          <w:rFonts w:hint="eastAsia" w:ascii="仿宋" w:hAnsi="仿宋" w:eastAsia="仿宋" w:cs="仿宋"/>
          <w:sz w:val="20"/>
          <w:szCs w:val="20"/>
          <w:highlight w:val="none"/>
        </w:rPr>
        <w:t>丢</w:t>
      </w:r>
      <w:r>
        <w:rPr>
          <w:rFonts w:hint="eastAsia" w:ascii="仿宋" w:hAnsi="仿宋" w:eastAsia="仿宋" w:cs="仿宋"/>
          <w:sz w:val="20"/>
          <w:szCs w:val="20"/>
          <w:highlight w:val="none"/>
          <w:lang w:val="en-US" w:eastAsia="zh-CN"/>
        </w:rPr>
        <w:t>包</w:t>
      </w:r>
      <w:r>
        <w:rPr>
          <w:rFonts w:hint="eastAsia" w:ascii="仿宋" w:hAnsi="仿宋" w:eastAsia="仿宋" w:cs="仿宋"/>
          <w:sz w:val="20"/>
          <w:szCs w:val="20"/>
          <w:highlight w:val="none"/>
        </w:rPr>
        <w:t>率指标：≤0.</w:t>
      </w:r>
      <w:r>
        <w:rPr>
          <w:rFonts w:hint="eastAsia" w:ascii="仿宋" w:hAnsi="仿宋" w:eastAsia="仿宋" w:cs="仿宋"/>
          <w:sz w:val="20"/>
          <w:szCs w:val="20"/>
          <w:highlight w:val="none"/>
          <w:lang w:val="en-US" w:eastAsia="zh-CN"/>
        </w:rPr>
        <w:t>0</w:t>
      </w:r>
      <w:r>
        <w:rPr>
          <w:rFonts w:hint="eastAsia" w:ascii="仿宋" w:hAnsi="仿宋" w:eastAsia="仿宋" w:cs="仿宋"/>
          <w:sz w:val="20"/>
          <w:szCs w:val="20"/>
          <w:highlight w:val="none"/>
        </w:rPr>
        <w:t>1%</w:t>
      </w:r>
      <w:r>
        <w:rPr>
          <w:rFonts w:hint="eastAsia" w:ascii="仿宋" w:hAnsi="仿宋" w:eastAsia="仿宋" w:cs="仿宋"/>
          <w:sz w:val="20"/>
          <w:szCs w:val="20"/>
          <w:highlight w:val="none"/>
          <w:lang w:eastAsia="zh-CN"/>
        </w:rPr>
        <w:t>。</w:t>
      </w:r>
    </w:p>
    <w:p w14:paraId="25206BA5">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jc w:val="both"/>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（4）</w:t>
      </w:r>
      <w:r>
        <w:rPr>
          <w:rFonts w:hint="eastAsia" w:ascii="仿宋" w:hAnsi="仿宋" w:eastAsia="仿宋" w:cs="仿宋"/>
          <w:sz w:val="20"/>
          <w:szCs w:val="20"/>
        </w:rPr>
        <w:t>误码率</w:t>
      </w:r>
      <w:r>
        <w:rPr>
          <w:rFonts w:hint="eastAsia" w:ascii="仿宋" w:hAnsi="仿宋" w:eastAsia="仿宋" w:cs="仿宋"/>
          <w:sz w:val="20"/>
          <w:szCs w:val="20"/>
          <w:lang w:val="en-US" w:eastAsia="zh-CN"/>
        </w:rPr>
        <w:t>指标：≤1e-9。</w:t>
      </w:r>
    </w:p>
    <w:p w14:paraId="66930C1B">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jc w:val="both"/>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（5）</w:t>
      </w:r>
      <w:r>
        <w:rPr>
          <w:rFonts w:hint="eastAsia" w:ascii="仿宋" w:hAnsi="仿宋" w:eastAsia="仿宋" w:cs="仿宋"/>
          <w:sz w:val="20"/>
          <w:szCs w:val="20"/>
        </w:rPr>
        <w:t>电路可用率指标：全年电路可用率不小于99.9</w:t>
      </w:r>
      <w:r>
        <w:rPr>
          <w:rFonts w:hint="eastAsia" w:ascii="仿宋" w:hAnsi="仿宋" w:eastAsia="仿宋" w:cs="仿宋"/>
          <w:sz w:val="20"/>
          <w:szCs w:val="20"/>
          <w:lang w:val="en-US" w:eastAsia="zh-CN"/>
        </w:rPr>
        <w:t>9</w:t>
      </w:r>
      <w:r>
        <w:rPr>
          <w:rFonts w:hint="eastAsia" w:ascii="仿宋" w:hAnsi="仿宋" w:eastAsia="仿宋" w:cs="仿宋"/>
          <w:sz w:val="20"/>
          <w:szCs w:val="20"/>
        </w:rPr>
        <w:t>%。</w:t>
      </w:r>
    </w:p>
    <w:p w14:paraId="12E46342">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jc w:val="both"/>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（6）</w:t>
      </w:r>
      <w:r>
        <w:rPr>
          <w:rFonts w:hint="eastAsia" w:ascii="仿宋" w:hAnsi="仿宋" w:eastAsia="仿宋" w:cs="仿宋"/>
          <w:sz w:val="20"/>
          <w:szCs w:val="20"/>
        </w:rPr>
        <w:t>实际带宽和标称带宽负偏差：不大于1%。</w:t>
      </w:r>
    </w:p>
    <w:p w14:paraId="07A67AF9">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jc w:val="both"/>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（7）</w:t>
      </w:r>
      <w:r>
        <w:rPr>
          <w:rFonts w:hint="eastAsia" w:ascii="仿宋" w:hAnsi="仿宋" w:eastAsia="仿宋" w:cs="仿宋"/>
          <w:sz w:val="20"/>
          <w:szCs w:val="20"/>
          <w:lang w:eastAsia="zh-CN"/>
        </w:rPr>
        <w:t>供应商</w:t>
      </w:r>
      <w:r>
        <w:rPr>
          <w:rFonts w:hint="eastAsia" w:ascii="仿宋" w:hAnsi="仿宋" w:eastAsia="仿宋" w:cs="仿宋"/>
          <w:sz w:val="20"/>
          <w:szCs w:val="20"/>
        </w:rPr>
        <w:t>负责</w:t>
      </w:r>
      <w:r>
        <w:rPr>
          <w:rFonts w:hint="eastAsia" w:ascii="仿宋" w:hAnsi="仿宋" w:eastAsia="仿宋" w:cs="仿宋"/>
          <w:sz w:val="20"/>
          <w:szCs w:val="20"/>
          <w:lang w:val="en-US" w:eastAsia="zh-CN"/>
        </w:rPr>
        <w:t>两端</w:t>
      </w:r>
      <w:r>
        <w:rPr>
          <w:rFonts w:hint="eastAsia" w:ascii="仿宋" w:hAnsi="仿宋" w:eastAsia="仿宋" w:cs="仿宋"/>
          <w:sz w:val="20"/>
          <w:szCs w:val="20"/>
        </w:rPr>
        <w:t>光缆的规范接入，并采取相应的安全保护措施。</w:t>
      </w:r>
    </w:p>
    <w:p w14:paraId="46E44AD5">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jc w:val="both"/>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（8）</w:t>
      </w:r>
      <w:r>
        <w:rPr>
          <w:rFonts w:hint="eastAsia" w:ascii="仿宋" w:hAnsi="仿宋" w:eastAsia="仿宋" w:cs="仿宋"/>
          <w:sz w:val="20"/>
          <w:szCs w:val="20"/>
        </w:rPr>
        <w:t>线路开通后，</w:t>
      </w:r>
      <w:r>
        <w:rPr>
          <w:rFonts w:hint="eastAsia" w:ascii="仿宋" w:hAnsi="仿宋" w:eastAsia="仿宋" w:cs="仿宋"/>
          <w:sz w:val="20"/>
          <w:szCs w:val="20"/>
          <w:lang w:eastAsia="zh-CN"/>
        </w:rPr>
        <w:t>供应商</w:t>
      </w:r>
      <w:r>
        <w:rPr>
          <w:rFonts w:hint="eastAsia" w:ascii="仿宋" w:hAnsi="仿宋" w:eastAsia="仿宋" w:cs="仿宋"/>
          <w:sz w:val="20"/>
          <w:szCs w:val="20"/>
        </w:rPr>
        <w:t>应提供相应的测试</w:t>
      </w:r>
      <w:r>
        <w:rPr>
          <w:rFonts w:hint="eastAsia" w:ascii="仿宋" w:hAnsi="仿宋" w:eastAsia="仿宋" w:cs="仿宋"/>
          <w:sz w:val="20"/>
          <w:szCs w:val="20"/>
          <w:lang w:val="en-US" w:eastAsia="zh-CN"/>
        </w:rPr>
        <w:t>报告</w:t>
      </w:r>
      <w:r>
        <w:rPr>
          <w:rFonts w:hint="eastAsia" w:ascii="仿宋" w:hAnsi="仿宋" w:eastAsia="仿宋" w:cs="仿宋"/>
          <w:sz w:val="20"/>
          <w:szCs w:val="20"/>
        </w:rPr>
        <w:t>，测试内容包括吞吐量、丢</w:t>
      </w:r>
      <w:r>
        <w:rPr>
          <w:rFonts w:hint="eastAsia" w:ascii="仿宋" w:hAnsi="仿宋" w:eastAsia="仿宋" w:cs="仿宋"/>
          <w:sz w:val="20"/>
          <w:szCs w:val="20"/>
          <w:lang w:val="en-US" w:eastAsia="zh-CN"/>
        </w:rPr>
        <w:t>包</w:t>
      </w:r>
      <w:r>
        <w:rPr>
          <w:rFonts w:hint="eastAsia" w:ascii="仿宋" w:hAnsi="仿宋" w:eastAsia="仿宋" w:cs="仿宋"/>
          <w:sz w:val="20"/>
          <w:szCs w:val="20"/>
        </w:rPr>
        <w:t>率、时延等。</w:t>
      </w:r>
    </w:p>
    <w:p w14:paraId="41F7B173">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jc w:val="both"/>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（9）</w:t>
      </w:r>
      <w:r>
        <w:rPr>
          <w:rFonts w:hint="eastAsia" w:ascii="仿宋" w:hAnsi="仿宋" w:eastAsia="仿宋" w:cs="仿宋"/>
          <w:sz w:val="20"/>
          <w:szCs w:val="20"/>
        </w:rPr>
        <w:t>线路开通时限：</w:t>
      </w:r>
      <w:r>
        <w:rPr>
          <w:rFonts w:hint="eastAsia" w:ascii="仿宋" w:hAnsi="仿宋" w:eastAsia="仿宋" w:cs="仿宋"/>
          <w:sz w:val="20"/>
          <w:szCs w:val="20"/>
          <w:lang w:eastAsia="zh-CN"/>
        </w:rPr>
        <w:t>供应商</w:t>
      </w:r>
      <w:r>
        <w:rPr>
          <w:rFonts w:hint="eastAsia" w:ascii="仿宋" w:hAnsi="仿宋" w:eastAsia="仿宋" w:cs="仿宋"/>
          <w:sz w:val="20"/>
          <w:szCs w:val="20"/>
        </w:rPr>
        <w:t>应保证线路按照法院部门要求的时间开通到位，线路开通时间不超过合同正式签订后</w:t>
      </w:r>
      <w:r>
        <w:rPr>
          <w:rFonts w:hint="eastAsia" w:ascii="仿宋" w:hAnsi="仿宋" w:eastAsia="仿宋" w:cs="仿宋"/>
          <w:sz w:val="20"/>
          <w:szCs w:val="20"/>
          <w:lang w:val="en-US" w:eastAsia="zh-CN"/>
        </w:rPr>
        <w:t>1</w:t>
      </w:r>
      <w:r>
        <w:rPr>
          <w:rFonts w:hint="eastAsia" w:ascii="仿宋" w:hAnsi="仿宋" w:eastAsia="仿宋" w:cs="仿宋"/>
          <w:sz w:val="20"/>
          <w:szCs w:val="20"/>
        </w:rPr>
        <w:t>0</w:t>
      </w:r>
      <w:r>
        <w:rPr>
          <w:rFonts w:hint="eastAsia" w:ascii="仿宋" w:hAnsi="仿宋" w:eastAsia="仿宋" w:cs="仿宋"/>
          <w:sz w:val="20"/>
          <w:szCs w:val="20"/>
          <w:lang w:val="en-US" w:eastAsia="zh-CN"/>
        </w:rPr>
        <w:t>天</w:t>
      </w:r>
      <w:r>
        <w:rPr>
          <w:rFonts w:hint="eastAsia" w:ascii="仿宋" w:hAnsi="仿宋" w:eastAsia="仿宋" w:cs="仿宋"/>
          <w:sz w:val="20"/>
          <w:szCs w:val="20"/>
        </w:rPr>
        <w:t>。</w:t>
      </w:r>
    </w:p>
    <w:p w14:paraId="2473365D">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jc w:val="both"/>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（10）</w:t>
      </w:r>
      <w:r>
        <w:rPr>
          <w:rFonts w:hint="eastAsia" w:ascii="仿宋" w:hAnsi="仿宋" w:eastAsia="仿宋" w:cs="仿宋"/>
          <w:sz w:val="20"/>
          <w:szCs w:val="20"/>
          <w:lang w:val="en-US" w:eastAsia="zh-CN"/>
        </w:rPr>
        <w:t>供应商提供的传输设备和链路应能够为采购人以后链路扩容需求提供无缝升级能力且采购人业务不受影响。</w:t>
      </w:r>
    </w:p>
    <w:p w14:paraId="2EFA5BA8">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jc w:val="both"/>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（11）</w:t>
      </w:r>
      <w:r>
        <w:rPr>
          <w:rFonts w:hint="eastAsia" w:ascii="仿宋" w:hAnsi="仿宋" w:eastAsia="仿宋" w:cs="仿宋"/>
          <w:sz w:val="20"/>
          <w:szCs w:val="20"/>
          <w:lang w:val="en-US" w:eastAsia="zh-CN"/>
        </w:rPr>
        <w:t>供应商提供从南中心至省高院数据中心机房的所有必须的设备和耗材，法院不采购相关设备。</w:t>
      </w:r>
    </w:p>
    <w:p w14:paraId="7E4F883B">
      <w:pPr>
        <w:spacing w:line="240" w:lineRule="auto"/>
        <w:ind w:firstLine="400" w:firstLineChars="200"/>
        <w:jc w:val="both"/>
        <w:outlineLvl w:val="9"/>
        <w:rPr>
          <w:rFonts w:hint="eastAsia" w:ascii="仿宋" w:hAnsi="仿宋" w:eastAsia="仿宋" w:cs="仿宋"/>
          <w:b w:val="0"/>
          <w:bCs/>
          <w:sz w:val="20"/>
          <w:szCs w:val="20"/>
          <w:highlight w:val="none"/>
        </w:rPr>
      </w:pPr>
      <w:r>
        <w:rPr>
          <w:rFonts w:hint="eastAsia" w:ascii="仿宋" w:hAnsi="仿宋" w:eastAsia="仿宋" w:cs="仿宋"/>
          <w:b w:val="0"/>
          <w:bCs/>
          <w:sz w:val="20"/>
          <w:szCs w:val="20"/>
        </w:rPr>
        <w:t>（</w:t>
      </w:r>
      <w:r>
        <w:rPr>
          <w:rFonts w:hint="eastAsia" w:ascii="仿宋" w:hAnsi="仿宋" w:eastAsia="仿宋" w:cs="仿宋"/>
          <w:b w:val="0"/>
          <w:bCs/>
          <w:sz w:val="20"/>
          <w:szCs w:val="20"/>
          <w:highlight w:val="none"/>
        </w:rPr>
        <w:t>四）设备指标要求</w:t>
      </w:r>
    </w:p>
    <w:p w14:paraId="18BEAB2C">
      <w:pPr>
        <w:spacing w:line="240" w:lineRule="auto"/>
        <w:ind w:firstLine="400" w:firstLineChars="200"/>
        <w:jc w:val="both"/>
        <w:outlineLvl w:val="9"/>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1．网络交换路由服务</w:t>
      </w:r>
    </w:p>
    <w:p w14:paraId="4B0C5BF8">
      <w:pPr>
        <w:keepNext w:val="0"/>
        <w:keepLines w:val="0"/>
        <w:pageBreakBefore w:val="0"/>
        <w:widowControl w:val="0"/>
        <w:kinsoku/>
        <w:wordWrap/>
        <w:overflowPunct/>
        <w:topLinePunct w:val="0"/>
        <w:autoSpaceDE/>
        <w:autoSpaceDN/>
        <w:bidi w:val="0"/>
        <w:adjustRightInd/>
        <w:snapToGrid/>
        <w:spacing w:line="240" w:lineRule="auto"/>
        <w:ind w:left="638" w:leftChars="304" w:firstLine="0" w:firstLineChars="0"/>
        <w:jc w:val="both"/>
        <w:textAlignment w:val="auto"/>
        <w:outlineLvl w:val="9"/>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kern w:val="2"/>
          <w:sz w:val="20"/>
          <w:szCs w:val="20"/>
          <w:highlight w:val="none"/>
          <w:lang w:val="en-US" w:eastAsia="zh-CN" w:bidi="ar-SA"/>
        </w:rPr>
        <w:t>满足自主可控要求，路由器配置满足本次网络拓扑、接口、带宽要求。</w:t>
      </w:r>
      <w:r>
        <w:rPr>
          <w:rFonts w:hint="eastAsia" w:ascii="仿宋" w:hAnsi="仿宋" w:eastAsia="仿宋" w:cs="仿宋"/>
          <w:b w:val="0"/>
          <w:bCs/>
          <w:kern w:val="2"/>
          <w:sz w:val="20"/>
          <w:szCs w:val="20"/>
          <w:highlight w:val="none"/>
          <w:lang w:val="en-US" w:eastAsia="zh-CN" w:bidi="ar-SA"/>
        </w:rPr>
        <w:br w:type="textWrapping"/>
      </w:r>
      <w:r>
        <w:rPr>
          <w:rFonts w:hint="eastAsia" w:ascii="仿宋" w:hAnsi="仿宋" w:eastAsia="仿宋" w:cs="仿宋"/>
          <w:b w:val="0"/>
          <w:bCs/>
          <w:kern w:val="2"/>
          <w:sz w:val="20"/>
          <w:szCs w:val="20"/>
          <w:highlight w:val="none"/>
          <w:lang w:val="en-US" w:eastAsia="zh-CN" w:bidi="ar-SA"/>
        </w:rPr>
        <w:t>（1）交换容量≥500Tbps，包转发率≥100000Mpps</w:t>
      </w:r>
    </w:p>
    <w:p w14:paraId="6A3A4881">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kern w:val="2"/>
          <w:sz w:val="20"/>
          <w:szCs w:val="20"/>
          <w:highlight w:val="none"/>
          <w:lang w:val="en-US" w:eastAsia="zh-CN" w:bidi="ar-SA"/>
        </w:rPr>
        <w:t>（2）整机框全物理尺寸的线卡槽位数≥4（非子卡槽位）；总槽位数≥6（包括线卡槽位+主控+交换网板），电源个数≥4个，电源系统支持N+M冗余。</w:t>
      </w:r>
    </w:p>
    <w:p w14:paraId="62EA0851">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kern w:val="2"/>
          <w:sz w:val="20"/>
          <w:szCs w:val="20"/>
          <w:highlight w:val="none"/>
          <w:lang w:val="en-US" w:eastAsia="zh-CN" w:bidi="ar-SA"/>
        </w:rPr>
        <w:t>（3）配置：实配双主控双网板，冗余电源，实配≥12个万兆光接口（满配万兆单模光模块），≥12个千兆光接口（满配千兆单模光模块），配备安装所需滑轨等辅材。</w:t>
      </w:r>
    </w:p>
    <w:p w14:paraId="7BC0E325">
      <w:pPr>
        <w:spacing w:line="240" w:lineRule="auto"/>
        <w:ind w:firstLine="400" w:firstLineChars="200"/>
        <w:jc w:val="both"/>
        <w:outlineLvl w:val="9"/>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2．网络接入安全防护服务</w:t>
      </w:r>
    </w:p>
    <w:p w14:paraId="1690A89A">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（1）防火墙吞吐量≥200G，并发连接数≥8000万，新建连接数≥80万/秒。</w:t>
      </w:r>
    </w:p>
    <w:p w14:paraId="5C66C23A">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（2）实配≥6个100G以太光口（配置2个100G单模，4个100G多模光模块），≥16个万兆以太光口（满配万兆单模光模块），含3年AV、IPS功能函授权。</w:t>
      </w:r>
    </w:p>
    <w:p w14:paraId="064B7AE7">
      <w:pPr>
        <w:spacing w:line="240" w:lineRule="auto"/>
        <w:ind w:firstLine="402" w:firstLineChars="200"/>
        <w:jc w:val="both"/>
        <w:outlineLvl w:val="9"/>
        <w:rPr>
          <w:rFonts w:hint="eastAsia" w:ascii="仿宋" w:hAnsi="仿宋" w:eastAsia="仿宋" w:cs="仿宋"/>
          <w:b/>
          <w:bCs/>
          <w:sz w:val="20"/>
          <w:szCs w:val="20"/>
          <w:highlight w:val="none"/>
          <w:lang w:eastAsia="zh-CN"/>
        </w:rPr>
      </w:pPr>
      <w:r>
        <w:rPr>
          <w:rFonts w:hint="eastAsia" w:ascii="仿宋" w:hAnsi="仿宋" w:eastAsia="仿宋" w:cs="仿宋"/>
          <w:b/>
          <w:bCs/>
          <w:sz w:val="20"/>
          <w:szCs w:val="20"/>
          <w:highlight w:val="none"/>
        </w:rPr>
        <w:t>五、服务</w:t>
      </w:r>
      <w:r>
        <w:rPr>
          <w:rFonts w:hint="eastAsia" w:ascii="仿宋" w:hAnsi="仿宋" w:eastAsia="仿宋" w:cs="仿宋"/>
          <w:b/>
          <w:bCs/>
          <w:sz w:val="20"/>
          <w:szCs w:val="20"/>
          <w:highlight w:val="none"/>
          <w:lang w:val="en-US" w:eastAsia="zh-CN"/>
        </w:rPr>
        <w:t>要求</w:t>
      </w:r>
    </w:p>
    <w:p w14:paraId="63D674EC">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both"/>
        <w:textAlignment w:val="auto"/>
        <w:outlineLvl w:val="9"/>
        <w:rPr>
          <w:rFonts w:hint="eastAsia" w:ascii="仿宋" w:hAnsi="仿宋" w:eastAsia="仿宋" w:cs="仿宋"/>
          <w:kern w:val="0"/>
          <w:sz w:val="20"/>
          <w:szCs w:val="20"/>
          <w:highlight w:val="none"/>
          <w:lang w:val="en-US" w:eastAsia="zh-CN" w:bidi="ar-SA"/>
        </w:rPr>
      </w:pPr>
      <w:r>
        <w:rPr>
          <w:rFonts w:hint="eastAsia" w:ascii="仿宋" w:hAnsi="仿宋" w:eastAsia="仿宋" w:cs="仿宋"/>
          <w:sz w:val="20"/>
          <w:szCs w:val="20"/>
          <w:highlight w:val="none"/>
          <w:lang w:val="en-US" w:eastAsia="zh-CN"/>
        </w:rPr>
        <w:t>1、</w:t>
      </w:r>
      <w:r>
        <w:rPr>
          <w:rFonts w:hint="eastAsia" w:ascii="仿宋" w:hAnsi="仿宋" w:eastAsia="仿宋" w:cs="仿宋"/>
          <w:kern w:val="0"/>
          <w:sz w:val="20"/>
          <w:szCs w:val="20"/>
          <w:highlight w:val="none"/>
          <w:lang w:val="en-US" w:eastAsia="zh-CN" w:bidi="ar-SA"/>
        </w:rPr>
        <w:t>供应商按国家电信主管部门颁布的电信服务标准和电路质量要求，建设保障线路，保证电路畅通。</w:t>
      </w:r>
    </w:p>
    <w:p w14:paraId="70E36ABA">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2、供应商应提供7×24小时电话技术支持和故障申告服务。</w:t>
      </w:r>
    </w:p>
    <w:p w14:paraId="4901ADE3">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0"/>
          <w:sz w:val="20"/>
          <w:szCs w:val="20"/>
          <w:lang w:val="en-US" w:eastAsia="zh-CN" w:bidi="ar-SA"/>
        </w:rPr>
        <w:t>3、线路故障响应时间≤15分钟，修复时间≤2小时。全年中断次数</w:t>
      </w:r>
      <w:r>
        <w:rPr>
          <w:rFonts w:hint="eastAsia" w:ascii="仿宋" w:hAnsi="仿宋" w:eastAsia="仿宋" w:cs="仿宋"/>
          <w:sz w:val="20"/>
          <w:szCs w:val="20"/>
          <w:lang w:val="en-US" w:eastAsia="zh-CN"/>
        </w:rPr>
        <w:t>≤1次。</w:t>
      </w:r>
    </w:p>
    <w:p w14:paraId="6982AAA1">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w:t>
      </w:r>
      <w:r>
        <w:rPr>
          <w:rFonts w:hint="eastAsia" w:ascii="仿宋" w:hAnsi="仿宋" w:eastAsia="仿宋" w:cs="仿宋"/>
          <w:kern w:val="0"/>
          <w:sz w:val="20"/>
          <w:szCs w:val="20"/>
          <w:lang w:val="en-US" w:eastAsia="zh-CN" w:bidi="ar-SA"/>
        </w:rPr>
        <w:t>供应商应对高院跨省骨干电路通信质量提供7×24小时长期、不间断的监测和重保，切实保障链路稳定运行，一旦发现问题应及时解决并告知客户。</w:t>
      </w:r>
    </w:p>
    <w:p w14:paraId="4733B268">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5、供应商按用户要求免费提供重要时段的特殊保障。</w:t>
      </w:r>
    </w:p>
    <w:p w14:paraId="06558BEF">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6、供应商如需中断客户线路，应提前48小时通知客户，经协商同意后实施，并不能影响客户的正常业务。</w:t>
      </w:r>
    </w:p>
    <w:p w14:paraId="061DB068">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left="17" w:leftChars="8" w:right="-197" w:rightChars="-94" w:firstLine="386" w:firstLineChars="193"/>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7、服务期内，供应商免费提供线路迁移服务，迁移服务包含：用户方办公地点或机房位置迁移。要求线路提供商根据用户需求，免费提供接入光缆或光传输设备的移位服务，要求线路提供商先开通新地点的线路，用户迁移工作完毕后，再拆除原地点线路。新老线路在迁移期间不再额外收取任何费用。新旧光传输设备型号、容量不变。迁移前应制定详细的线路迁移方案，迁移中线路中断时间应在用户的要求范围内，迁移后保证线路的可用性，确保系统如期正常运行。</w:t>
      </w:r>
    </w:p>
    <w:p w14:paraId="393E8593">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8、供应商应具备应急通信的能力，如遇不可抗力因素（如地震、洪水等）造成的线路阻断，供应商应在短期内采用应急手段恢复通信。</w:t>
      </w:r>
    </w:p>
    <w:p w14:paraId="05E6A148">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9、建立完备的客户档案：供应商应对相应的电路、设备进行特殊标记，以保证客户相关维护资料的准确性；建立详细、完备的电路资料档案和网络运行档案，并提交高院信息化部门。</w:t>
      </w:r>
    </w:p>
    <w:p w14:paraId="58F61BE3">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10、未经采购人书面许可，供应商不得向第三方提供或泄露法院系统线路和业务的各种参数、资料和信息，法律另有规定的除外。</w:t>
      </w:r>
    </w:p>
    <w:p w14:paraId="7A7A6D9B">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both"/>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11、供应商应成立法院专线保障小组或团队，提供人员名单、联系方式及故障受理电话。</w:t>
      </w:r>
    </w:p>
    <w:p w14:paraId="4858F806">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both"/>
        <w:textAlignment w:val="auto"/>
        <w:outlineLvl w:val="9"/>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12、供应商应以半年为周期提供法院骨干链路的使用情况报告。</w:t>
      </w:r>
    </w:p>
    <w:p w14:paraId="16C8E189">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both"/>
        <w:textAlignment w:val="auto"/>
        <w:outlineLvl w:val="9"/>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13、线路开通并且用户网络设备调通后，提供1个月的免费试运行期，试运行期满经验收通过后开始计费；若验收不通过，试运行期顺延。</w:t>
      </w:r>
    </w:p>
    <w:p w14:paraId="2FE4C03D">
      <w:pPr>
        <w:spacing w:line="240" w:lineRule="auto"/>
        <w:ind w:firstLine="400" w:firstLineChars="200"/>
        <w:jc w:val="both"/>
        <w:outlineLvl w:val="9"/>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六</w:t>
      </w:r>
      <w:r>
        <w:rPr>
          <w:rFonts w:hint="eastAsia" w:ascii="仿宋" w:hAnsi="仿宋" w:eastAsia="仿宋" w:cs="仿宋"/>
          <w:sz w:val="20"/>
          <w:szCs w:val="20"/>
          <w:highlight w:val="none"/>
        </w:rPr>
        <w:t>、</w:t>
      </w:r>
      <w:r>
        <w:rPr>
          <w:rFonts w:hint="eastAsia" w:ascii="仿宋" w:hAnsi="仿宋" w:eastAsia="仿宋" w:cs="仿宋"/>
          <w:sz w:val="20"/>
          <w:szCs w:val="20"/>
          <w:highlight w:val="none"/>
          <w:lang w:val="en-US" w:eastAsia="zh-CN"/>
        </w:rPr>
        <w:t>商务要求</w:t>
      </w:r>
    </w:p>
    <w:p w14:paraId="186620AD">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both"/>
        <w:textAlignment w:val="auto"/>
        <w:outlineLvl w:val="9"/>
        <w:rPr>
          <w:rFonts w:hint="eastAsia" w:ascii="仿宋" w:hAnsi="仿宋" w:eastAsia="仿宋" w:cs="仿宋"/>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服务期限：</w:t>
      </w:r>
      <w:r>
        <w:rPr>
          <w:rFonts w:hint="eastAsia" w:ascii="仿宋" w:hAnsi="仿宋" w:eastAsia="仿宋" w:cs="仿宋"/>
          <w:sz w:val="20"/>
          <w:szCs w:val="20"/>
          <w:lang w:val="en-US" w:eastAsia="zh-CN"/>
        </w:rPr>
        <w:t>服务期3年，</w:t>
      </w:r>
      <w:r>
        <w:rPr>
          <w:rFonts w:hint="eastAsia" w:ascii="仿宋" w:hAnsi="仿宋" w:eastAsia="仿宋" w:cs="仿宋"/>
          <w:sz w:val="20"/>
          <w:szCs w:val="20"/>
        </w:rPr>
        <w:t>本项目采取实行一年一考核一续签合同的办法。每1年合同期满后，经双方协商一致，可续签合同，续签不超过2次。自线路开通至通过验收期间为试运行时间，验收通过后为正式运行时间。</w:t>
      </w:r>
    </w:p>
    <w:p w14:paraId="600F4FFA">
      <w:pPr>
        <w:pStyle w:val="4"/>
        <w:spacing w:line="240" w:lineRule="auto"/>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七、报价说明</w:t>
      </w:r>
    </w:p>
    <w:p w14:paraId="709D7EEF">
      <w:pPr>
        <w:pStyle w:val="4"/>
        <w:spacing w:line="240" w:lineRule="auto"/>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本项目中标金额与预算之间的</w:t>
      </w:r>
      <w:r>
        <w:rPr>
          <w:rFonts w:hint="eastAsia" w:ascii="仿宋" w:hAnsi="仿宋" w:eastAsia="仿宋" w:cs="仿宋"/>
          <w:sz w:val="20"/>
          <w:szCs w:val="20"/>
          <w:highlight w:val="none"/>
          <w:lang w:val="en-US" w:eastAsia="zh-CN"/>
        </w:rPr>
        <w:t>实际</w:t>
      </w:r>
      <w:r>
        <w:rPr>
          <w:rFonts w:hint="default" w:ascii="仿宋" w:hAnsi="仿宋" w:eastAsia="仿宋" w:cs="仿宋"/>
          <w:sz w:val="20"/>
          <w:szCs w:val="20"/>
          <w:highlight w:val="none"/>
          <w:lang w:val="en-US" w:eastAsia="zh-CN"/>
        </w:rPr>
        <w:t>比例，将作为下游单位采购时的预算申报依据或最高限价</w:t>
      </w:r>
      <w:r>
        <w:rPr>
          <w:rFonts w:hint="eastAsia" w:ascii="仿宋" w:hAnsi="仿宋" w:eastAsia="仿宋" w:cs="仿宋"/>
          <w:sz w:val="20"/>
          <w:szCs w:val="20"/>
          <w:highlight w:val="none"/>
          <w:lang w:val="en-US" w:eastAsia="zh-CN"/>
        </w:rPr>
        <w:t>的重要参考</w:t>
      </w:r>
      <w:r>
        <w:rPr>
          <w:rFonts w:hint="default" w:ascii="仿宋" w:hAnsi="仿宋" w:eastAsia="仿宋" w:cs="仿宋"/>
          <w:sz w:val="20"/>
          <w:szCs w:val="20"/>
          <w:highlight w:val="none"/>
          <w:lang w:val="en-US" w:eastAsia="zh-CN"/>
        </w:rPr>
        <w:t>。</w:t>
      </w:r>
    </w:p>
    <w:p w14:paraId="7C435283">
      <w:pPr>
        <w:pStyle w:val="4"/>
        <w:spacing w:line="240" w:lineRule="auto"/>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八、整体预算说明</w:t>
      </w:r>
    </w:p>
    <w:p w14:paraId="6F83F91C">
      <w:pPr>
        <w:jc w:val="both"/>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本项目整体预算金额为170万，本次采购范围为省高院部分共计15万元，其余部分由各中院自行采购。</w:t>
      </w:r>
    </w:p>
    <w:p w14:paraId="4F5D9BA3">
      <w:pPr>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br w:type="page"/>
      </w:r>
    </w:p>
    <w:p w14:paraId="2C0F94CC">
      <w:pPr>
        <w:pStyle w:val="11"/>
        <w:pageBreakBefore w:val="0"/>
        <w:kinsoku/>
        <w:wordWrap/>
        <w:overflowPunct/>
        <w:topLinePunct w:val="0"/>
        <w:autoSpaceDE/>
        <w:autoSpaceDN/>
        <w:bidi w:val="0"/>
        <w:adjustRightInd/>
        <w:snapToGrid/>
        <w:ind w:left="0"/>
        <w:textAlignment w:val="auto"/>
        <w:outlineLvl w:val="0"/>
        <w:rPr>
          <w:rFonts w:hint="eastAsia" w:ascii="仿宋" w:hAnsi="仿宋" w:eastAsia="仿宋" w:cs="仿宋"/>
          <w:b/>
          <w:bCs/>
        </w:rPr>
      </w:pPr>
      <w:r>
        <w:rPr>
          <w:rFonts w:hint="eastAsia" w:ascii="仿宋" w:hAnsi="仿宋" w:eastAsia="仿宋" w:cs="仿宋"/>
          <w:b/>
          <w:bCs/>
        </w:rPr>
        <w:t>采购包</w:t>
      </w:r>
      <w:r>
        <w:rPr>
          <w:rFonts w:hint="eastAsia" w:ascii="仿宋" w:hAnsi="仿宋" w:eastAsia="仿宋" w:cs="仿宋"/>
          <w:b/>
          <w:bCs/>
          <w:lang w:val="en-US" w:eastAsia="zh-CN"/>
        </w:rPr>
        <w:t>2</w:t>
      </w:r>
      <w:r>
        <w:rPr>
          <w:rFonts w:hint="eastAsia" w:ascii="仿宋" w:hAnsi="仿宋" w:eastAsia="仿宋" w:cs="仿宋"/>
          <w:b/>
          <w:bCs/>
        </w:rPr>
        <w:t>：</w:t>
      </w:r>
    </w:p>
    <w:p w14:paraId="4FE31BD8">
      <w:pPr>
        <w:spacing w:line="240" w:lineRule="auto"/>
        <w:ind w:firstLine="402" w:firstLineChars="200"/>
        <w:outlineLvl w:val="9"/>
        <w:rPr>
          <w:rFonts w:hint="eastAsia" w:ascii="仿宋" w:hAnsi="仿宋" w:eastAsia="仿宋" w:cs="仿宋"/>
          <w:b/>
          <w:bCs/>
          <w:sz w:val="20"/>
          <w:szCs w:val="20"/>
        </w:rPr>
      </w:pPr>
      <w:r>
        <w:rPr>
          <w:rFonts w:hint="eastAsia" w:ascii="仿宋" w:hAnsi="仿宋" w:eastAsia="仿宋" w:cs="仿宋"/>
          <w:b/>
          <w:bCs/>
          <w:sz w:val="20"/>
          <w:szCs w:val="20"/>
        </w:rPr>
        <w:t>一、项目背景</w:t>
      </w:r>
    </w:p>
    <w:p w14:paraId="15846D1A">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2025年，根据最高法院《关于进一步明确“一张网”建设相关要求的通知》，陕西法院需要建设2条“一张网”跨省骨干链路，用于分别连接最高院建设的南、北中心机房，实现执行、审判等业务系统的互联访问。目前，杭州南中心机房已经建设完成，北中心机房尚未建好，2条“一张网”跨省骨干链路先建设到南中心机房，后待北中心机房建成后，将其中1条链路迁移到北中心机房。</w:t>
      </w:r>
    </w:p>
    <w:p w14:paraId="12CB526A">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2025年陕西法院“一张网”跨省骨干链路租赁项目由各级法院按照各自承担份额自行采购服务。现陕西省高级人民法院针对陕西法院“一张网”跨省骨干链路2租赁项目省本院侧进行采购，采购预算为15万元。</w:t>
      </w:r>
    </w:p>
    <w:p w14:paraId="666DAD36">
      <w:pPr>
        <w:spacing w:line="240" w:lineRule="auto"/>
        <w:ind w:firstLine="402" w:firstLineChars="200"/>
        <w:outlineLvl w:val="9"/>
        <w:rPr>
          <w:rFonts w:hint="eastAsia" w:ascii="仿宋" w:hAnsi="仿宋" w:eastAsia="仿宋" w:cs="仿宋"/>
          <w:b/>
          <w:bCs/>
          <w:sz w:val="20"/>
          <w:szCs w:val="20"/>
        </w:rPr>
      </w:pPr>
      <w:r>
        <w:rPr>
          <w:rFonts w:hint="eastAsia" w:ascii="仿宋" w:hAnsi="仿宋" w:eastAsia="仿宋" w:cs="仿宋"/>
          <w:b/>
          <w:bCs/>
          <w:sz w:val="20"/>
          <w:szCs w:val="20"/>
        </w:rPr>
        <w:t>二、跨省</w:t>
      </w:r>
      <w:r>
        <w:rPr>
          <w:rFonts w:hint="eastAsia" w:ascii="仿宋" w:hAnsi="仿宋" w:eastAsia="仿宋" w:cs="仿宋"/>
          <w:b/>
          <w:bCs/>
          <w:sz w:val="20"/>
          <w:szCs w:val="20"/>
          <w:lang w:val="en-US" w:eastAsia="zh-CN"/>
        </w:rPr>
        <w:t>链路</w:t>
      </w:r>
      <w:r>
        <w:rPr>
          <w:rFonts w:hint="eastAsia" w:ascii="仿宋" w:hAnsi="仿宋" w:eastAsia="仿宋" w:cs="仿宋"/>
          <w:b/>
          <w:bCs/>
          <w:sz w:val="20"/>
          <w:szCs w:val="20"/>
        </w:rPr>
        <w:t>租用需求</w:t>
      </w:r>
    </w:p>
    <w:p w14:paraId="2961BC6F">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lang w:val="en-US" w:eastAsia="zh-CN"/>
        </w:rPr>
        <w:t>此次陕西法院“一张网”跨省骨干链路2租赁项目，采用租用大型基础电信业务供应商专线服务的方式，即供应商负责从省高院到南中心机房或北中心机房进行点对点连接，为法院系统提供符合要求的链路通道。</w:t>
      </w:r>
      <w:r>
        <w:rPr>
          <w:rFonts w:hint="eastAsia" w:ascii="仿宋" w:hAnsi="仿宋" w:eastAsia="仿宋" w:cs="仿宋"/>
          <w:sz w:val="20"/>
          <w:szCs w:val="20"/>
        </w:rPr>
        <w:t>从省高院到</w:t>
      </w:r>
      <w:r>
        <w:rPr>
          <w:rFonts w:hint="eastAsia" w:ascii="仿宋" w:hAnsi="仿宋" w:eastAsia="仿宋" w:cs="仿宋"/>
          <w:sz w:val="20"/>
          <w:szCs w:val="20"/>
          <w:lang w:val="en-US" w:eastAsia="zh-CN"/>
        </w:rPr>
        <w:t>南中心机房或北中心机房由供应商建设1条OTN 专线，带宽5G</w:t>
      </w:r>
      <w:r>
        <w:rPr>
          <w:rFonts w:hint="eastAsia" w:ascii="仿宋" w:hAnsi="仿宋" w:eastAsia="仿宋" w:cs="仿宋"/>
          <w:sz w:val="20"/>
          <w:szCs w:val="20"/>
        </w:rPr>
        <w:t>，</w:t>
      </w:r>
      <w:r>
        <w:rPr>
          <w:rFonts w:hint="eastAsia" w:ascii="仿宋" w:hAnsi="仿宋" w:eastAsia="仿宋" w:cs="仿宋"/>
          <w:sz w:val="20"/>
          <w:szCs w:val="20"/>
          <w:lang w:val="en-US" w:eastAsia="zh-CN"/>
        </w:rPr>
        <w:t>客户侧传输设备由供应商免费提供，具体</w:t>
      </w:r>
      <w:r>
        <w:rPr>
          <w:rFonts w:hint="eastAsia" w:ascii="仿宋" w:hAnsi="仿宋" w:eastAsia="仿宋" w:cs="仿宋"/>
          <w:sz w:val="20"/>
          <w:szCs w:val="20"/>
        </w:rPr>
        <w:t>如下表：</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706"/>
        <w:gridCol w:w="1679"/>
        <w:gridCol w:w="1832"/>
        <w:gridCol w:w="928"/>
        <w:gridCol w:w="907"/>
        <w:gridCol w:w="2307"/>
      </w:tblGrid>
      <w:tr w14:paraId="3F487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08"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CAF3">
            <w:pPr>
              <w:spacing w:line="240" w:lineRule="auto"/>
              <w:jc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序号</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3E2C">
            <w:pPr>
              <w:spacing w:line="240" w:lineRule="auto"/>
              <w:jc w:val="center"/>
              <w:outlineLvl w:val="9"/>
              <w:rPr>
                <w:rFonts w:hint="eastAsia" w:ascii="仿宋" w:hAnsi="仿宋" w:eastAsia="仿宋" w:cs="仿宋"/>
                <w:sz w:val="20"/>
                <w:szCs w:val="20"/>
                <w:lang w:val="en-US" w:eastAsia="zh-CN"/>
              </w:rPr>
            </w:pPr>
            <w:r>
              <w:rPr>
                <w:rFonts w:hint="eastAsia" w:ascii="仿宋" w:hAnsi="仿宋" w:eastAsia="仿宋" w:cs="仿宋"/>
                <w:sz w:val="20"/>
                <w:szCs w:val="20"/>
              </w:rPr>
              <w:t>线路</w:t>
            </w:r>
            <w:r>
              <w:rPr>
                <w:rFonts w:hint="eastAsia" w:ascii="仿宋" w:hAnsi="仿宋" w:eastAsia="仿宋" w:cs="仿宋"/>
                <w:sz w:val="20"/>
                <w:szCs w:val="20"/>
                <w:lang w:val="en-US" w:eastAsia="zh-CN"/>
              </w:rPr>
              <w:t>A点位置</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C42D">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线路</w:t>
            </w:r>
            <w:r>
              <w:rPr>
                <w:rFonts w:hint="eastAsia" w:ascii="仿宋" w:hAnsi="仿宋" w:eastAsia="仿宋" w:cs="仿宋"/>
                <w:sz w:val="20"/>
                <w:szCs w:val="20"/>
                <w:lang w:val="en-US" w:eastAsia="zh-CN"/>
              </w:rPr>
              <w:t>B点位置</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EDAD">
            <w:pPr>
              <w:spacing w:line="240" w:lineRule="auto"/>
              <w:jc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带宽</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0154">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数量</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044D">
            <w:pPr>
              <w:spacing w:line="240" w:lineRule="auto"/>
              <w:jc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接入方式</w:t>
            </w:r>
          </w:p>
        </w:tc>
      </w:tr>
      <w:tr w14:paraId="6C23E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79" w:hRule="atLeast"/>
        </w:trPr>
        <w:tc>
          <w:tcPr>
            <w:tcW w:w="422" w:type="pct"/>
            <w:tcBorders>
              <w:top w:val="single" w:color="000000" w:sz="4" w:space="0"/>
            </w:tcBorders>
            <w:shd w:val="clear" w:color="auto" w:fill="auto"/>
            <w:vAlign w:val="center"/>
          </w:tcPr>
          <w:p w14:paraId="26E53EFF">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c>
          <w:tcPr>
            <w:tcW w:w="1004" w:type="pct"/>
            <w:tcBorders>
              <w:top w:val="single" w:color="000000" w:sz="4" w:space="0"/>
            </w:tcBorders>
            <w:shd w:val="clear" w:color="auto" w:fill="auto"/>
            <w:vAlign w:val="center"/>
          </w:tcPr>
          <w:p w14:paraId="2C6FC051">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陕西省高级人民法院</w:t>
            </w:r>
          </w:p>
        </w:tc>
        <w:tc>
          <w:tcPr>
            <w:tcW w:w="1095" w:type="pct"/>
            <w:tcBorders>
              <w:top w:val="single" w:color="000000" w:sz="4" w:space="0"/>
            </w:tcBorders>
            <w:shd w:val="clear" w:color="auto" w:fill="auto"/>
            <w:vAlign w:val="center"/>
          </w:tcPr>
          <w:p w14:paraId="6FF4B397">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lang w:val="en-US" w:eastAsia="zh-CN"/>
              </w:rPr>
              <w:t>南中心机房或北中心机房</w:t>
            </w:r>
          </w:p>
        </w:tc>
        <w:tc>
          <w:tcPr>
            <w:tcW w:w="555" w:type="pct"/>
            <w:tcBorders>
              <w:top w:val="single" w:color="000000" w:sz="4" w:space="0"/>
            </w:tcBorders>
            <w:shd w:val="clear" w:color="auto" w:fill="auto"/>
            <w:vAlign w:val="center"/>
          </w:tcPr>
          <w:p w14:paraId="48206494">
            <w:pPr>
              <w:widowControl/>
              <w:spacing w:line="240" w:lineRule="auto"/>
              <w:jc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5G</w:t>
            </w:r>
          </w:p>
        </w:tc>
        <w:tc>
          <w:tcPr>
            <w:tcW w:w="542" w:type="pct"/>
            <w:tcBorders>
              <w:top w:val="single" w:color="000000" w:sz="4" w:space="0"/>
            </w:tcBorders>
            <w:shd w:val="clear" w:color="auto" w:fill="auto"/>
            <w:vAlign w:val="center"/>
          </w:tcPr>
          <w:p w14:paraId="1E3BE222">
            <w:pPr>
              <w:widowControl/>
              <w:spacing w:line="240" w:lineRule="auto"/>
              <w:jc w:val="center"/>
              <w:outlineLvl w:val="9"/>
              <w:rPr>
                <w:rFonts w:hint="eastAsia" w:ascii="仿宋" w:hAnsi="仿宋" w:eastAsia="仿宋" w:cs="仿宋"/>
                <w:kern w:val="0"/>
                <w:sz w:val="20"/>
                <w:szCs w:val="20"/>
                <w:lang w:eastAsia="zh-CN"/>
              </w:rPr>
            </w:pPr>
            <w:r>
              <w:rPr>
                <w:rFonts w:hint="eastAsia" w:ascii="仿宋" w:hAnsi="仿宋" w:eastAsia="仿宋" w:cs="仿宋"/>
                <w:kern w:val="0"/>
                <w:sz w:val="20"/>
                <w:szCs w:val="20"/>
                <w:lang w:val="en-US" w:eastAsia="zh-CN"/>
              </w:rPr>
              <w:t>1</w:t>
            </w:r>
          </w:p>
        </w:tc>
        <w:tc>
          <w:tcPr>
            <w:tcW w:w="1379" w:type="pct"/>
            <w:tcBorders>
              <w:top w:val="single" w:color="000000" w:sz="4" w:space="0"/>
            </w:tcBorders>
            <w:shd w:val="clear" w:color="auto" w:fill="auto"/>
            <w:vAlign w:val="center"/>
          </w:tcPr>
          <w:p w14:paraId="3DEEB2D6">
            <w:pPr>
              <w:widowControl/>
              <w:spacing w:line="240" w:lineRule="auto"/>
              <w:jc w:val="center"/>
              <w:outlineLvl w:val="9"/>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双节点双路由</w:t>
            </w:r>
          </w:p>
        </w:tc>
      </w:tr>
    </w:tbl>
    <w:p w14:paraId="28D641C4">
      <w:pPr>
        <w:spacing w:line="240" w:lineRule="auto"/>
        <w:ind w:firstLine="402" w:firstLineChars="200"/>
        <w:outlineLvl w:val="9"/>
        <w:rPr>
          <w:rFonts w:hint="eastAsia" w:ascii="仿宋" w:hAnsi="仿宋" w:eastAsia="仿宋" w:cs="仿宋"/>
          <w:b/>
          <w:bCs/>
          <w:sz w:val="20"/>
          <w:szCs w:val="20"/>
        </w:rPr>
      </w:pPr>
      <w:r>
        <w:rPr>
          <w:rFonts w:hint="eastAsia" w:ascii="仿宋" w:hAnsi="仿宋" w:eastAsia="仿宋" w:cs="仿宋"/>
          <w:b/>
          <w:bCs/>
          <w:sz w:val="20"/>
          <w:szCs w:val="20"/>
        </w:rPr>
        <w:t>三、</w:t>
      </w:r>
      <w:r>
        <w:rPr>
          <w:rFonts w:hint="eastAsia" w:ascii="仿宋" w:hAnsi="仿宋" w:eastAsia="仿宋" w:cs="仿宋"/>
          <w:b/>
          <w:bCs/>
          <w:sz w:val="20"/>
          <w:szCs w:val="20"/>
          <w:lang w:val="en-US" w:eastAsia="zh-CN"/>
        </w:rPr>
        <w:t>网络</w:t>
      </w:r>
      <w:r>
        <w:rPr>
          <w:rFonts w:hint="eastAsia" w:ascii="仿宋" w:hAnsi="仿宋" w:eastAsia="仿宋" w:cs="仿宋"/>
          <w:b/>
          <w:bCs/>
          <w:sz w:val="20"/>
          <w:szCs w:val="20"/>
        </w:rPr>
        <w:t>设备及连接需求</w:t>
      </w:r>
    </w:p>
    <w:p w14:paraId="222CC2E6">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省高院侧需新增1台路由器和1台防火墙，此部分数通设备及数据配置由供应商提供，同时负责配合与南中心机房或北中心机房的互联互通。</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952"/>
        <w:gridCol w:w="3704"/>
        <w:gridCol w:w="1883"/>
        <w:gridCol w:w="1820"/>
      </w:tblGrid>
      <w:tr w14:paraId="488A5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97"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071B">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序号</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7592">
            <w:pPr>
              <w:spacing w:line="240" w:lineRule="auto"/>
              <w:jc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网络设备用途</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85DB">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路由器数量</w:t>
            </w:r>
          </w:p>
        </w:tc>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EDDB">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防火墙数量</w:t>
            </w:r>
          </w:p>
        </w:tc>
      </w:tr>
      <w:tr w14:paraId="26923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05" w:hRule="atLeast"/>
        </w:trPr>
        <w:tc>
          <w:tcPr>
            <w:tcW w:w="569" w:type="pct"/>
            <w:tcBorders>
              <w:top w:val="single" w:color="000000" w:sz="4" w:space="0"/>
            </w:tcBorders>
            <w:shd w:val="clear" w:color="auto" w:fill="auto"/>
            <w:vAlign w:val="center"/>
          </w:tcPr>
          <w:p w14:paraId="2B959B10">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c>
          <w:tcPr>
            <w:tcW w:w="2215" w:type="pct"/>
            <w:tcBorders>
              <w:top w:val="single" w:color="000000" w:sz="4" w:space="0"/>
            </w:tcBorders>
            <w:shd w:val="clear" w:color="auto" w:fill="auto"/>
            <w:vAlign w:val="center"/>
          </w:tcPr>
          <w:p w14:paraId="7DF431F2">
            <w:pPr>
              <w:spacing w:line="240" w:lineRule="auto"/>
              <w:jc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连接南中心机房或</w:t>
            </w:r>
          </w:p>
          <w:p w14:paraId="26E79CAE">
            <w:pPr>
              <w:spacing w:line="240" w:lineRule="auto"/>
              <w:jc w:val="center"/>
              <w:outlineLvl w:val="9"/>
              <w:rPr>
                <w:rFonts w:hint="eastAsia" w:ascii="仿宋" w:hAnsi="仿宋" w:eastAsia="仿宋" w:cs="仿宋"/>
                <w:sz w:val="20"/>
                <w:szCs w:val="20"/>
                <w:lang w:val="en-US"/>
              </w:rPr>
            </w:pPr>
            <w:r>
              <w:rPr>
                <w:rFonts w:hint="eastAsia" w:ascii="仿宋" w:hAnsi="仿宋" w:eastAsia="仿宋" w:cs="仿宋"/>
                <w:sz w:val="20"/>
                <w:szCs w:val="20"/>
                <w:lang w:val="en-US" w:eastAsia="zh-CN"/>
              </w:rPr>
              <w:t>北中心机房</w:t>
            </w:r>
          </w:p>
        </w:tc>
        <w:tc>
          <w:tcPr>
            <w:tcW w:w="1126" w:type="pct"/>
            <w:tcBorders>
              <w:top w:val="single" w:color="000000" w:sz="4" w:space="0"/>
            </w:tcBorders>
            <w:shd w:val="clear" w:color="auto" w:fill="auto"/>
            <w:vAlign w:val="center"/>
          </w:tcPr>
          <w:p w14:paraId="0E01AC88">
            <w:pPr>
              <w:spacing w:line="240" w:lineRule="auto"/>
              <w:jc w:val="center"/>
              <w:outlineLvl w:val="9"/>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p>
        </w:tc>
        <w:tc>
          <w:tcPr>
            <w:tcW w:w="1088" w:type="pct"/>
            <w:tcBorders>
              <w:top w:val="single" w:color="000000" w:sz="4" w:space="0"/>
            </w:tcBorders>
            <w:shd w:val="clear" w:color="auto" w:fill="auto"/>
            <w:vAlign w:val="center"/>
          </w:tcPr>
          <w:p w14:paraId="1BD0B318">
            <w:pPr>
              <w:spacing w:line="240" w:lineRule="auto"/>
              <w:jc w:val="center"/>
              <w:outlineLvl w:val="9"/>
              <w:rPr>
                <w:rFonts w:hint="eastAsia" w:ascii="仿宋" w:hAnsi="仿宋" w:eastAsia="仿宋" w:cs="仿宋"/>
                <w:sz w:val="20"/>
                <w:szCs w:val="20"/>
                <w:lang w:eastAsia="zh-CN"/>
              </w:rPr>
            </w:pPr>
            <w:r>
              <w:rPr>
                <w:rFonts w:hint="eastAsia" w:ascii="仿宋" w:hAnsi="仿宋" w:eastAsia="仿宋" w:cs="仿宋"/>
                <w:sz w:val="20"/>
                <w:szCs w:val="20"/>
                <w:lang w:val="en-US" w:eastAsia="zh-CN"/>
              </w:rPr>
              <w:t>1</w:t>
            </w:r>
          </w:p>
        </w:tc>
      </w:tr>
    </w:tbl>
    <w:p w14:paraId="2808F483">
      <w:pPr>
        <w:spacing w:line="240" w:lineRule="auto"/>
        <w:ind w:firstLine="400" w:firstLineChars="200"/>
        <w:outlineLvl w:val="9"/>
        <w:rPr>
          <w:rFonts w:hint="eastAsia" w:ascii="仿宋" w:hAnsi="仿宋" w:eastAsia="仿宋" w:cs="仿宋"/>
          <w:sz w:val="20"/>
          <w:szCs w:val="20"/>
        </w:rPr>
      </w:pPr>
    </w:p>
    <w:p w14:paraId="1154E7A4">
      <w:pPr>
        <w:spacing w:line="240" w:lineRule="auto"/>
        <w:ind w:firstLine="402" w:firstLineChars="200"/>
        <w:outlineLvl w:val="9"/>
        <w:rPr>
          <w:rFonts w:hint="eastAsia" w:ascii="仿宋" w:hAnsi="仿宋" w:eastAsia="仿宋" w:cs="仿宋"/>
          <w:b/>
          <w:bCs/>
          <w:sz w:val="20"/>
          <w:szCs w:val="20"/>
        </w:rPr>
      </w:pPr>
      <w:r>
        <w:rPr>
          <w:rFonts w:hint="eastAsia" w:ascii="仿宋" w:hAnsi="仿宋" w:eastAsia="仿宋" w:cs="仿宋"/>
          <w:b/>
          <w:bCs/>
          <w:sz w:val="20"/>
          <w:szCs w:val="20"/>
        </w:rPr>
        <w:t>四、技术参数要求</w:t>
      </w:r>
    </w:p>
    <w:p w14:paraId="7AAD071A">
      <w:pPr>
        <w:spacing w:line="240" w:lineRule="auto"/>
        <w:ind w:firstLine="400" w:firstLineChars="200"/>
        <w:outlineLvl w:val="9"/>
        <w:rPr>
          <w:rFonts w:hint="eastAsia" w:ascii="仿宋" w:hAnsi="仿宋" w:eastAsia="仿宋" w:cs="仿宋"/>
          <w:b w:val="0"/>
          <w:bCs/>
          <w:sz w:val="20"/>
          <w:szCs w:val="20"/>
        </w:rPr>
      </w:pPr>
      <w:r>
        <w:rPr>
          <w:rFonts w:hint="eastAsia" w:ascii="仿宋" w:hAnsi="仿宋" w:eastAsia="仿宋" w:cs="仿宋"/>
          <w:b w:val="0"/>
          <w:bCs/>
          <w:sz w:val="20"/>
          <w:szCs w:val="20"/>
        </w:rPr>
        <w:t>（一）网络接入模式</w:t>
      </w:r>
    </w:p>
    <w:p w14:paraId="55603100">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1．省高院侧路由器、防火墙网络设备及数据配置由投标供应商提供，确保与南中心机房的联通，甲方负责提供配套机房环境，包括供电、空调等。</w:t>
      </w:r>
    </w:p>
    <w:p w14:paraId="510A0698">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b w:val="0"/>
          <w:bCs/>
          <w:sz w:val="20"/>
          <w:szCs w:val="20"/>
          <w:lang w:val="en-US" w:eastAsia="zh-CN"/>
        </w:rPr>
      </w:pPr>
      <w:r>
        <w:rPr>
          <w:rFonts w:hint="eastAsia" w:ascii="仿宋" w:hAnsi="仿宋" w:eastAsia="仿宋" w:cs="仿宋"/>
          <w:b w:val="0"/>
          <w:bCs/>
          <w:sz w:val="20"/>
          <w:szCs w:val="20"/>
          <w:lang w:val="en-US" w:eastAsia="zh-CN"/>
        </w:rPr>
        <w:t>2．网络接入模式：接入均为OTN专线双节点双路由模式，免费提供相关传输设备。</w:t>
      </w:r>
    </w:p>
    <w:p w14:paraId="481660B7">
      <w:pPr>
        <w:widowControl/>
        <w:spacing w:line="240" w:lineRule="auto"/>
        <w:jc w:val="left"/>
        <w:outlineLvl w:val="9"/>
        <w:rPr>
          <w:rFonts w:hint="eastAsia" w:ascii="仿宋" w:hAnsi="仿宋" w:eastAsia="仿宋" w:cs="仿宋"/>
          <w:b w:val="0"/>
          <w:bCs/>
          <w:sz w:val="20"/>
          <w:szCs w:val="20"/>
        </w:rPr>
      </w:pPr>
      <w:r>
        <w:rPr>
          <w:rFonts w:hint="eastAsia" w:ascii="仿宋" w:hAnsi="仿宋" w:eastAsia="仿宋" w:cs="仿宋"/>
          <w:b w:val="0"/>
          <w:bCs/>
          <w:sz w:val="20"/>
          <w:szCs w:val="20"/>
        </w:rPr>
        <w:t>（二）网络</w:t>
      </w:r>
      <w:r>
        <w:rPr>
          <w:rFonts w:hint="eastAsia" w:ascii="仿宋" w:hAnsi="仿宋" w:eastAsia="仿宋" w:cs="仿宋"/>
          <w:b w:val="0"/>
          <w:bCs/>
          <w:sz w:val="20"/>
          <w:szCs w:val="20"/>
          <w:lang w:val="en-US" w:eastAsia="zh-CN"/>
        </w:rPr>
        <w:t>拓扑</w:t>
      </w:r>
      <w:r>
        <w:rPr>
          <w:rFonts w:hint="eastAsia" w:ascii="仿宋" w:hAnsi="仿宋" w:eastAsia="仿宋" w:cs="仿宋"/>
          <w:b w:val="0"/>
          <w:bCs/>
          <w:sz w:val="20"/>
          <w:szCs w:val="20"/>
        </w:rPr>
        <w:t>图（详见附件）</w:t>
      </w:r>
    </w:p>
    <w:p w14:paraId="61E54D33">
      <w:pPr>
        <w:spacing w:line="240" w:lineRule="auto"/>
        <w:jc w:val="center"/>
        <w:outlineLvl w:val="9"/>
        <w:rPr>
          <w:rFonts w:hint="eastAsia" w:ascii="仿宋" w:hAnsi="仿宋" w:eastAsia="仿宋" w:cs="仿宋"/>
          <w:sz w:val="20"/>
          <w:szCs w:val="20"/>
          <w:lang w:eastAsia="zh-CN"/>
        </w:rPr>
      </w:pPr>
      <w:r>
        <w:rPr>
          <w:rFonts w:hint="eastAsia" w:ascii="仿宋" w:hAnsi="仿宋" w:eastAsia="仿宋" w:cs="仿宋"/>
          <w:sz w:val="20"/>
          <w:szCs w:val="20"/>
          <w:lang w:eastAsia="zh-CN"/>
        </w:rPr>
        <w:drawing>
          <wp:inline distT="0" distB="0" distL="114300" distR="114300">
            <wp:extent cx="4559300" cy="3223895"/>
            <wp:effectExtent l="0" t="0" r="12700" b="14605"/>
            <wp:docPr id="3" name="图片 3" descr="E:/尹蕾/看管单位/1-高院/项目-一张网专线/法院线路建设手续/拓扑图.jpg拓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尹蕾/看管单位/1-高院/项目-一张网专线/法院线路建设手续/拓扑图.jpg拓扑图"/>
                    <pic:cNvPicPr>
                      <a:picLocks noChangeAspect="1"/>
                    </pic:cNvPicPr>
                  </pic:nvPicPr>
                  <pic:blipFill>
                    <a:blip r:embed="rId4"/>
                    <a:srcRect l="9" r="9"/>
                    <a:stretch>
                      <a:fillRect/>
                    </a:stretch>
                  </pic:blipFill>
                  <pic:spPr>
                    <a:xfrm>
                      <a:off x="0" y="0"/>
                      <a:ext cx="4559300" cy="3223895"/>
                    </a:xfrm>
                    <a:prstGeom prst="rect">
                      <a:avLst/>
                    </a:prstGeom>
                  </pic:spPr>
                </pic:pic>
              </a:graphicData>
            </a:graphic>
          </wp:inline>
        </w:drawing>
      </w:r>
    </w:p>
    <w:p w14:paraId="002062CC">
      <w:pPr>
        <w:spacing w:line="240" w:lineRule="auto"/>
        <w:ind w:firstLine="400" w:firstLineChars="200"/>
        <w:outlineLvl w:val="9"/>
        <w:rPr>
          <w:rFonts w:hint="eastAsia" w:ascii="仿宋" w:hAnsi="仿宋" w:eastAsia="仿宋" w:cs="仿宋"/>
          <w:b w:val="0"/>
          <w:bCs/>
          <w:sz w:val="20"/>
          <w:szCs w:val="20"/>
        </w:rPr>
      </w:pPr>
      <w:r>
        <w:rPr>
          <w:rFonts w:hint="eastAsia" w:ascii="仿宋" w:hAnsi="仿宋" w:eastAsia="仿宋" w:cs="仿宋"/>
          <w:b w:val="0"/>
          <w:bCs/>
          <w:sz w:val="20"/>
          <w:szCs w:val="20"/>
        </w:rPr>
        <w:t>（三）线路</w:t>
      </w:r>
      <w:r>
        <w:rPr>
          <w:rFonts w:hint="eastAsia" w:ascii="仿宋" w:hAnsi="仿宋" w:eastAsia="仿宋" w:cs="仿宋"/>
          <w:b w:val="0"/>
          <w:bCs/>
          <w:sz w:val="20"/>
          <w:szCs w:val="20"/>
          <w:lang w:val="en-US" w:eastAsia="zh-CN"/>
        </w:rPr>
        <w:t>技术</w:t>
      </w:r>
      <w:r>
        <w:rPr>
          <w:rFonts w:hint="eastAsia" w:ascii="仿宋" w:hAnsi="仿宋" w:eastAsia="仿宋" w:cs="仿宋"/>
          <w:b w:val="0"/>
          <w:bCs/>
          <w:sz w:val="20"/>
          <w:szCs w:val="20"/>
        </w:rPr>
        <w:t>指标要求</w:t>
      </w:r>
    </w:p>
    <w:p w14:paraId="6AC6AF91">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（12）</w:t>
      </w:r>
      <w:r>
        <w:rPr>
          <w:rFonts w:hint="eastAsia" w:ascii="仿宋" w:hAnsi="仿宋" w:eastAsia="仿宋" w:cs="仿宋"/>
          <w:sz w:val="20"/>
          <w:szCs w:val="20"/>
        </w:rPr>
        <w:t>采用</w:t>
      </w:r>
      <w:r>
        <w:rPr>
          <w:rFonts w:hint="eastAsia" w:ascii="仿宋" w:hAnsi="仿宋" w:eastAsia="仿宋" w:cs="仿宋"/>
          <w:sz w:val="20"/>
          <w:szCs w:val="20"/>
          <w:lang w:val="en-US" w:eastAsia="zh-CN"/>
        </w:rPr>
        <w:t>OTN传输技术接入，</w:t>
      </w:r>
      <w:r>
        <w:rPr>
          <w:rFonts w:hint="eastAsia" w:ascii="仿宋" w:hAnsi="仿宋" w:eastAsia="仿宋" w:cs="仿宋"/>
          <w:sz w:val="20"/>
          <w:szCs w:val="20"/>
        </w:rPr>
        <w:t>双路由双节点保护，以自愈环方式接入线路</w:t>
      </w:r>
      <w:r>
        <w:rPr>
          <w:rFonts w:hint="eastAsia" w:ascii="仿宋" w:hAnsi="仿宋" w:eastAsia="仿宋" w:cs="仿宋"/>
          <w:sz w:val="20"/>
          <w:szCs w:val="20"/>
          <w:lang w:eastAsia="zh-CN"/>
        </w:rPr>
        <w:t>供应商</w:t>
      </w:r>
      <w:r>
        <w:rPr>
          <w:rFonts w:hint="eastAsia" w:ascii="仿宋" w:hAnsi="仿宋" w:eastAsia="仿宋" w:cs="仿宋"/>
          <w:sz w:val="20"/>
          <w:szCs w:val="20"/>
        </w:rPr>
        <w:t>的两个不同局向，保护倒换时间不大于50ms</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传输设备由供应商免费提供</w:t>
      </w:r>
      <w:r>
        <w:rPr>
          <w:rFonts w:hint="eastAsia" w:ascii="仿宋" w:hAnsi="仿宋" w:eastAsia="仿宋" w:cs="仿宋"/>
          <w:sz w:val="20"/>
          <w:szCs w:val="20"/>
        </w:rPr>
        <w:t>。</w:t>
      </w:r>
    </w:p>
    <w:p w14:paraId="08C06DF3">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textAlignment w:val="auto"/>
        <w:outlineLvl w:val="9"/>
        <w:rPr>
          <w:rFonts w:hint="eastAsia" w:ascii="仿宋" w:hAnsi="仿宋" w:eastAsia="仿宋" w:cs="仿宋"/>
          <w:sz w:val="20"/>
          <w:szCs w:val="20"/>
          <w:highlight w:val="none"/>
        </w:rPr>
      </w:pPr>
      <w:r>
        <w:rPr>
          <w:rFonts w:hint="eastAsia" w:ascii="仿宋" w:hAnsi="仿宋" w:eastAsia="仿宋" w:cs="仿宋"/>
          <w:kern w:val="2"/>
          <w:sz w:val="20"/>
          <w:szCs w:val="20"/>
          <w:lang w:val="en-US" w:eastAsia="zh-CN" w:bidi="ar-SA"/>
        </w:rPr>
        <w:t>（13）</w:t>
      </w:r>
      <w:r>
        <w:rPr>
          <w:rFonts w:hint="eastAsia" w:ascii="仿宋" w:hAnsi="仿宋" w:eastAsia="仿宋" w:cs="仿宋"/>
          <w:sz w:val="20"/>
          <w:szCs w:val="20"/>
          <w:highlight w:val="none"/>
        </w:rPr>
        <w:t>时延指标：跨省（按光缆距离计算）：0.7ms/百公里（单向时延）</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省高院路由器至</w:t>
      </w:r>
      <w:r>
        <w:rPr>
          <w:rFonts w:hint="eastAsia" w:ascii="仿宋" w:hAnsi="仿宋" w:eastAsia="仿宋" w:cs="仿宋"/>
          <w:sz w:val="20"/>
          <w:szCs w:val="20"/>
          <w:highlight w:val="none"/>
          <w:lang w:val="en-US" w:eastAsia="zh-CN"/>
        </w:rPr>
        <w:t>南中心机房路由器平均</w:t>
      </w:r>
      <w:r>
        <w:rPr>
          <w:rFonts w:hint="eastAsia" w:ascii="仿宋" w:hAnsi="仿宋" w:eastAsia="仿宋" w:cs="仿宋"/>
          <w:sz w:val="20"/>
          <w:szCs w:val="20"/>
          <w:highlight w:val="none"/>
        </w:rPr>
        <w:t>时延&lt;</w:t>
      </w:r>
      <w:r>
        <w:rPr>
          <w:rFonts w:hint="eastAsia" w:ascii="仿宋" w:hAnsi="仿宋" w:eastAsia="仿宋" w:cs="仿宋"/>
          <w:sz w:val="20"/>
          <w:szCs w:val="20"/>
          <w:highlight w:val="none"/>
          <w:lang w:val="en-US" w:eastAsia="zh-CN"/>
        </w:rPr>
        <w:t>40</w:t>
      </w:r>
      <w:r>
        <w:rPr>
          <w:rFonts w:hint="eastAsia" w:ascii="仿宋" w:hAnsi="仿宋" w:eastAsia="仿宋" w:cs="仿宋"/>
          <w:sz w:val="20"/>
          <w:szCs w:val="20"/>
          <w:highlight w:val="none"/>
        </w:rPr>
        <w:t>ms。</w:t>
      </w:r>
    </w:p>
    <w:p w14:paraId="01AF18E7">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textAlignment w:val="auto"/>
        <w:outlineLvl w:val="9"/>
        <w:rPr>
          <w:rFonts w:hint="eastAsia" w:ascii="仿宋" w:hAnsi="仿宋" w:eastAsia="仿宋" w:cs="仿宋"/>
          <w:sz w:val="20"/>
          <w:szCs w:val="20"/>
          <w:highlight w:val="none"/>
        </w:rPr>
      </w:pPr>
      <w:r>
        <w:rPr>
          <w:rFonts w:hint="eastAsia" w:ascii="仿宋" w:hAnsi="仿宋" w:eastAsia="仿宋" w:cs="仿宋"/>
          <w:kern w:val="2"/>
          <w:sz w:val="20"/>
          <w:szCs w:val="20"/>
          <w:lang w:val="en-US" w:eastAsia="zh-CN" w:bidi="ar-SA"/>
        </w:rPr>
        <w:t>（14）</w:t>
      </w:r>
      <w:r>
        <w:rPr>
          <w:rFonts w:hint="eastAsia" w:ascii="仿宋" w:hAnsi="仿宋" w:eastAsia="仿宋" w:cs="仿宋"/>
          <w:sz w:val="20"/>
          <w:szCs w:val="20"/>
          <w:highlight w:val="none"/>
        </w:rPr>
        <w:t>丢</w:t>
      </w:r>
      <w:r>
        <w:rPr>
          <w:rFonts w:hint="eastAsia" w:ascii="仿宋" w:hAnsi="仿宋" w:eastAsia="仿宋" w:cs="仿宋"/>
          <w:sz w:val="20"/>
          <w:szCs w:val="20"/>
          <w:highlight w:val="none"/>
          <w:lang w:val="en-US" w:eastAsia="zh-CN"/>
        </w:rPr>
        <w:t>包</w:t>
      </w:r>
      <w:r>
        <w:rPr>
          <w:rFonts w:hint="eastAsia" w:ascii="仿宋" w:hAnsi="仿宋" w:eastAsia="仿宋" w:cs="仿宋"/>
          <w:sz w:val="20"/>
          <w:szCs w:val="20"/>
          <w:highlight w:val="none"/>
        </w:rPr>
        <w:t>率指标：≤0.</w:t>
      </w:r>
      <w:r>
        <w:rPr>
          <w:rFonts w:hint="eastAsia" w:ascii="仿宋" w:hAnsi="仿宋" w:eastAsia="仿宋" w:cs="仿宋"/>
          <w:sz w:val="20"/>
          <w:szCs w:val="20"/>
          <w:highlight w:val="none"/>
          <w:lang w:val="en-US" w:eastAsia="zh-CN"/>
        </w:rPr>
        <w:t>0</w:t>
      </w:r>
      <w:r>
        <w:rPr>
          <w:rFonts w:hint="eastAsia" w:ascii="仿宋" w:hAnsi="仿宋" w:eastAsia="仿宋" w:cs="仿宋"/>
          <w:sz w:val="20"/>
          <w:szCs w:val="20"/>
          <w:highlight w:val="none"/>
        </w:rPr>
        <w:t>1%</w:t>
      </w:r>
      <w:r>
        <w:rPr>
          <w:rFonts w:hint="eastAsia" w:ascii="仿宋" w:hAnsi="仿宋" w:eastAsia="仿宋" w:cs="仿宋"/>
          <w:sz w:val="20"/>
          <w:szCs w:val="20"/>
          <w:highlight w:val="none"/>
          <w:lang w:eastAsia="zh-CN"/>
        </w:rPr>
        <w:t>。</w:t>
      </w:r>
    </w:p>
    <w:p w14:paraId="3FD537AF">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（15）</w:t>
      </w:r>
      <w:r>
        <w:rPr>
          <w:rFonts w:hint="eastAsia" w:ascii="仿宋" w:hAnsi="仿宋" w:eastAsia="仿宋" w:cs="仿宋"/>
          <w:sz w:val="20"/>
          <w:szCs w:val="20"/>
        </w:rPr>
        <w:t>误码率</w:t>
      </w:r>
      <w:r>
        <w:rPr>
          <w:rFonts w:hint="eastAsia" w:ascii="仿宋" w:hAnsi="仿宋" w:eastAsia="仿宋" w:cs="仿宋"/>
          <w:sz w:val="20"/>
          <w:szCs w:val="20"/>
          <w:lang w:val="en-US" w:eastAsia="zh-CN"/>
        </w:rPr>
        <w:t>指标：≤1e-9。</w:t>
      </w:r>
    </w:p>
    <w:p w14:paraId="3C3B4160">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（16）</w:t>
      </w:r>
      <w:r>
        <w:rPr>
          <w:rFonts w:hint="eastAsia" w:ascii="仿宋" w:hAnsi="仿宋" w:eastAsia="仿宋" w:cs="仿宋"/>
          <w:sz w:val="20"/>
          <w:szCs w:val="20"/>
        </w:rPr>
        <w:t>电路可用率指标：全年电路可用率不小于99.9</w:t>
      </w:r>
      <w:r>
        <w:rPr>
          <w:rFonts w:hint="eastAsia" w:ascii="仿宋" w:hAnsi="仿宋" w:eastAsia="仿宋" w:cs="仿宋"/>
          <w:sz w:val="20"/>
          <w:szCs w:val="20"/>
          <w:lang w:val="en-US" w:eastAsia="zh-CN"/>
        </w:rPr>
        <w:t>9</w:t>
      </w:r>
      <w:r>
        <w:rPr>
          <w:rFonts w:hint="eastAsia" w:ascii="仿宋" w:hAnsi="仿宋" w:eastAsia="仿宋" w:cs="仿宋"/>
          <w:sz w:val="20"/>
          <w:szCs w:val="20"/>
        </w:rPr>
        <w:t>%。</w:t>
      </w:r>
    </w:p>
    <w:p w14:paraId="37B1389A">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（17）</w:t>
      </w:r>
      <w:r>
        <w:rPr>
          <w:rFonts w:hint="eastAsia" w:ascii="仿宋" w:hAnsi="仿宋" w:eastAsia="仿宋" w:cs="仿宋"/>
          <w:sz w:val="20"/>
          <w:szCs w:val="20"/>
        </w:rPr>
        <w:t>实际带宽和标称带宽负偏差：不大于1%。</w:t>
      </w:r>
    </w:p>
    <w:p w14:paraId="60DC40BB">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（18）</w:t>
      </w:r>
      <w:r>
        <w:rPr>
          <w:rFonts w:hint="eastAsia" w:ascii="仿宋" w:hAnsi="仿宋" w:eastAsia="仿宋" w:cs="仿宋"/>
          <w:sz w:val="20"/>
          <w:szCs w:val="20"/>
          <w:lang w:eastAsia="zh-CN"/>
        </w:rPr>
        <w:t>供应商</w:t>
      </w:r>
      <w:r>
        <w:rPr>
          <w:rFonts w:hint="eastAsia" w:ascii="仿宋" w:hAnsi="仿宋" w:eastAsia="仿宋" w:cs="仿宋"/>
          <w:sz w:val="20"/>
          <w:szCs w:val="20"/>
        </w:rPr>
        <w:t>负责</w:t>
      </w:r>
      <w:r>
        <w:rPr>
          <w:rFonts w:hint="eastAsia" w:ascii="仿宋" w:hAnsi="仿宋" w:eastAsia="仿宋" w:cs="仿宋"/>
          <w:sz w:val="20"/>
          <w:szCs w:val="20"/>
          <w:lang w:val="en-US" w:eastAsia="zh-CN"/>
        </w:rPr>
        <w:t>两端</w:t>
      </w:r>
      <w:r>
        <w:rPr>
          <w:rFonts w:hint="eastAsia" w:ascii="仿宋" w:hAnsi="仿宋" w:eastAsia="仿宋" w:cs="仿宋"/>
          <w:sz w:val="20"/>
          <w:szCs w:val="20"/>
        </w:rPr>
        <w:t>光缆的规范接入，并采取相应的安全保护措施。</w:t>
      </w:r>
    </w:p>
    <w:p w14:paraId="5ABB76E2">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（19）</w:t>
      </w:r>
      <w:r>
        <w:rPr>
          <w:rFonts w:hint="eastAsia" w:ascii="仿宋" w:hAnsi="仿宋" w:eastAsia="仿宋" w:cs="仿宋"/>
          <w:sz w:val="20"/>
          <w:szCs w:val="20"/>
        </w:rPr>
        <w:t>线路开通后，</w:t>
      </w:r>
      <w:r>
        <w:rPr>
          <w:rFonts w:hint="eastAsia" w:ascii="仿宋" w:hAnsi="仿宋" w:eastAsia="仿宋" w:cs="仿宋"/>
          <w:sz w:val="20"/>
          <w:szCs w:val="20"/>
          <w:lang w:eastAsia="zh-CN"/>
        </w:rPr>
        <w:t>供应商</w:t>
      </w:r>
      <w:r>
        <w:rPr>
          <w:rFonts w:hint="eastAsia" w:ascii="仿宋" w:hAnsi="仿宋" w:eastAsia="仿宋" w:cs="仿宋"/>
          <w:sz w:val="20"/>
          <w:szCs w:val="20"/>
        </w:rPr>
        <w:t>应提供相应的测试</w:t>
      </w:r>
      <w:r>
        <w:rPr>
          <w:rFonts w:hint="eastAsia" w:ascii="仿宋" w:hAnsi="仿宋" w:eastAsia="仿宋" w:cs="仿宋"/>
          <w:sz w:val="20"/>
          <w:szCs w:val="20"/>
          <w:lang w:val="en-US" w:eastAsia="zh-CN"/>
        </w:rPr>
        <w:t>报告</w:t>
      </w:r>
      <w:r>
        <w:rPr>
          <w:rFonts w:hint="eastAsia" w:ascii="仿宋" w:hAnsi="仿宋" w:eastAsia="仿宋" w:cs="仿宋"/>
          <w:sz w:val="20"/>
          <w:szCs w:val="20"/>
        </w:rPr>
        <w:t>，测试内容包括吞吐量、丢</w:t>
      </w:r>
      <w:r>
        <w:rPr>
          <w:rFonts w:hint="eastAsia" w:ascii="仿宋" w:hAnsi="仿宋" w:eastAsia="仿宋" w:cs="仿宋"/>
          <w:sz w:val="20"/>
          <w:szCs w:val="20"/>
          <w:lang w:val="en-US" w:eastAsia="zh-CN"/>
        </w:rPr>
        <w:t>包</w:t>
      </w:r>
      <w:r>
        <w:rPr>
          <w:rFonts w:hint="eastAsia" w:ascii="仿宋" w:hAnsi="仿宋" w:eastAsia="仿宋" w:cs="仿宋"/>
          <w:sz w:val="20"/>
          <w:szCs w:val="20"/>
        </w:rPr>
        <w:t>率、时延等。</w:t>
      </w:r>
    </w:p>
    <w:p w14:paraId="4FF6C8AE">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7" w:firstLineChars="0"/>
        <w:textAlignment w:val="auto"/>
        <w:outlineLvl w:val="9"/>
        <w:rPr>
          <w:rFonts w:hint="eastAsia" w:ascii="仿宋" w:hAnsi="仿宋" w:eastAsia="仿宋" w:cs="仿宋"/>
          <w:sz w:val="20"/>
          <w:szCs w:val="20"/>
          <w:highlight w:val="none"/>
        </w:rPr>
      </w:pPr>
      <w:r>
        <w:rPr>
          <w:rFonts w:hint="eastAsia" w:ascii="仿宋" w:hAnsi="仿宋" w:eastAsia="仿宋" w:cs="仿宋"/>
          <w:kern w:val="2"/>
          <w:sz w:val="20"/>
          <w:szCs w:val="20"/>
          <w:lang w:val="en-US" w:eastAsia="zh-CN" w:bidi="ar-SA"/>
        </w:rPr>
        <w:t>（20）</w:t>
      </w:r>
      <w:r>
        <w:rPr>
          <w:rFonts w:hint="eastAsia" w:ascii="仿宋" w:hAnsi="仿宋" w:eastAsia="仿宋" w:cs="仿宋"/>
          <w:sz w:val="20"/>
          <w:szCs w:val="20"/>
        </w:rPr>
        <w:t>线路开通时限：</w:t>
      </w:r>
      <w:r>
        <w:rPr>
          <w:rFonts w:hint="eastAsia" w:ascii="仿宋" w:hAnsi="仿宋" w:eastAsia="仿宋" w:cs="仿宋"/>
          <w:sz w:val="20"/>
          <w:szCs w:val="20"/>
          <w:lang w:eastAsia="zh-CN"/>
        </w:rPr>
        <w:t>供应商</w:t>
      </w:r>
      <w:r>
        <w:rPr>
          <w:rFonts w:hint="eastAsia" w:ascii="仿宋" w:hAnsi="仿宋" w:eastAsia="仿宋" w:cs="仿宋"/>
          <w:sz w:val="20"/>
          <w:szCs w:val="20"/>
        </w:rPr>
        <w:t>应保证线路按照法院部门要求的时间开通到位，线路开通时间不超过合同正式签订后</w:t>
      </w:r>
      <w:r>
        <w:rPr>
          <w:rFonts w:hint="eastAsia" w:ascii="仿宋" w:hAnsi="仿宋" w:eastAsia="仿宋" w:cs="仿宋"/>
          <w:sz w:val="20"/>
          <w:szCs w:val="20"/>
          <w:lang w:val="en-US" w:eastAsia="zh-CN"/>
        </w:rPr>
        <w:t>1</w:t>
      </w:r>
      <w:r>
        <w:rPr>
          <w:rFonts w:hint="eastAsia" w:ascii="仿宋" w:hAnsi="仿宋" w:eastAsia="仿宋" w:cs="仿宋"/>
          <w:sz w:val="20"/>
          <w:szCs w:val="20"/>
        </w:rPr>
        <w:t>0</w:t>
      </w:r>
      <w:r>
        <w:rPr>
          <w:rFonts w:hint="eastAsia" w:ascii="仿宋" w:hAnsi="仿宋" w:eastAsia="仿宋" w:cs="仿宋"/>
          <w:sz w:val="20"/>
          <w:szCs w:val="20"/>
          <w:lang w:val="en-US" w:eastAsia="zh-CN"/>
        </w:rPr>
        <w:t>天</w:t>
      </w:r>
      <w:r>
        <w:rPr>
          <w:rFonts w:hint="eastAsia" w:ascii="仿宋" w:hAnsi="仿宋" w:eastAsia="仿宋" w:cs="仿宋"/>
          <w:sz w:val="20"/>
          <w:szCs w:val="20"/>
        </w:rPr>
        <w:t>。</w:t>
      </w:r>
      <w:r>
        <w:rPr>
          <w:rFonts w:hint="eastAsia" w:ascii="仿宋" w:hAnsi="仿宋" w:eastAsia="仿宋" w:cs="仿宋"/>
          <w:sz w:val="20"/>
          <w:szCs w:val="20"/>
        </w:rPr>
        <w:br w:type="textWrapping"/>
      </w:r>
      <w:r>
        <w:rPr>
          <w:rFonts w:hint="eastAsia" w:ascii="仿宋" w:hAnsi="仿宋" w:eastAsia="仿宋" w:cs="仿宋"/>
          <w:sz w:val="20"/>
          <w:szCs w:val="20"/>
          <w:lang w:val="en-US" w:eastAsia="zh-CN"/>
        </w:rPr>
        <w:t xml:space="preserve">    （10）供应商提供的传输设备和链路应能够为采购人以后链路扩容需求提供无缝升级能力且采购人业务不受影响。</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 xml:space="preserve">    （11）</w:t>
      </w:r>
      <w:r>
        <w:rPr>
          <w:rFonts w:hint="eastAsia" w:ascii="仿宋" w:hAnsi="仿宋" w:eastAsia="仿宋" w:cs="仿宋"/>
          <w:sz w:val="20"/>
          <w:szCs w:val="20"/>
          <w:highlight w:val="none"/>
          <w:lang w:val="en-US" w:eastAsia="zh-CN"/>
        </w:rPr>
        <w:t>供应商提供采购人从传输设备至路由器等设备所需的跳纤等耗材。</w:t>
      </w:r>
    </w:p>
    <w:p w14:paraId="1535BB6F">
      <w:pPr>
        <w:spacing w:line="240" w:lineRule="auto"/>
        <w:ind w:firstLine="400" w:firstLineChars="200"/>
        <w:jc w:val="both"/>
        <w:outlineLvl w:val="9"/>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（四）设备指标要求</w:t>
      </w:r>
    </w:p>
    <w:p w14:paraId="76645D73">
      <w:pPr>
        <w:spacing w:line="240" w:lineRule="auto"/>
        <w:ind w:firstLine="400" w:firstLineChars="200"/>
        <w:jc w:val="both"/>
        <w:outlineLvl w:val="9"/>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1．网络交换路由服务</w:t>
      </w:r>
    </w:p>
    <w:p w14:paraId="45695096">
      <w:pPr>
        <w:keepNext w:val="0"/>
        <w:keepLines w:val="0"/>
        <w:pageBreakBefore w:val="0"/>
        <w:widowControl w:val="0"/>
        <w:kinsoku/>
        <w:wordWrap/>
        <w:overflowPunct/>
        <w:topLinePunct w:val="0"/>
        <w:autoSpaceDE/>
        <w:autoSpaceDN/>
        <w:bidi w:val="0"/>
        <w:adjustRightInd/>
        <w:snapToGrid/>
        <w:spacing w:line="240" w:lineRule="auto"/>
        <w:ind w:left="638" w:leftChars="304" w:firstLine="0" w:firstLineChars="0"/>
        <w:jc w:val="both"/>
        <w:textAlignment w:val="auto"/>
        <w:outlineLvl w:val="9"/>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kern w:val="2"/>
          <w:sz w:val="20"/>
          <w:szCs w:val="20"/>
          <w:highlight w:val="none"/>
          <w:lang w:val="en-US" w:eastAsia="zh-CN" w:bidi="ar-SA"/>
        </w:rPr>
        <w:t>满足自主可控要求，路由器配置满足本次网络拓扑、接口、带宽要求。</w:t>
      </w:r>
      <w:r>
        <w:rPr>
          <w:rFonts w:hint="eastAsia" w:ascii="仿宋" w:hAnsi="仿宋" w:eastAsia="仿宋" w:cs="仿宋"/>
          <w:b w:val="0"/>
          <w:bCs/>
          <w:kern w:val="2"/>
          <w:sz w:val="20"/>
          <w:szCs w:val="20"/>
          <w:highlight w:val="none"/>
          <w:lang w:val="en-US" w:eastAsia="zh-CN" w:bidi="ar-SA"/>
        </w:rPr>
        <w:br w:type="textWrapping"/>
      </w:r>
      <w:r>
        <w:rPr>
          <w:rFonts w:hint="eastAsia" w:ascii="仿宋" w:hAnsi="仿宋" w:eastAsia="仿宋" w:cs="仿宋"/>
          <w:b w:val="0"/>
          <w:bCs/>
          <w:kern w:val="2"/>
          <w:sz w:val="20"/>
          <w:szCs w:val="20"/>
          <w:highlight w:val="none"/>
          <w:lang w:val="en-US" w:eastAsia="zh-CN" w:bidi="ar-SA"/>
        </w:rPr>
        <w:t>（1）交换容量≥500Tbps，包转发率≥100000Mpps</w:t>
      </w:r>
    </w:p>
    <w:p w14:paraId="28F08775">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kern w:val="2"/>
          <w:sz w:val="20"/>
          <w:szCs w:val="20"/>
          <w:highlight w:val="none"/>
          <w:lang w:val="en-US" w:eastAsia="zh-CN" w:bidi="ar-SA"/>
        </w:rPr>
        <w:t>（2）整机框全物理尺寸的线卡槽位数≥4（非子卡槽位）；总槽位数≥6（包括线卡槽位+主控+交换网板），电源个数≥4个，电源系统支持N+M冗余。</w:t>
      </w:r>
    </w:p>
    <w:p w14:paraId="1C0C944F">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kern w:val="2"/>
          <w:sz w:val="20"/>
          <w:szCs w:val="20"/>
          <w:highlight w:val="none"/>
          <w:lang w:val="en-US" w:eastAsia="zh-CN" w:bidi="ar-SA"/>
        </w:rPr>
        <w:t>（3）配置：实配双主控双网板，冗余电源，实配≥12个万兆光接口（满配万兆单模光模块），≥12个千兆光接口（满配千兆单模光模块），配备安装所需滑轨等辅材。</w:t>
      </w:r>
    </w:p>
    <w:p w14:paraId="659661BC">
      <w:pPr>
        <w:spacing w:line="240" w:lineRule="auto"/>
        <w:ind w:firstLine="400" w:firstLineChars="200"/>
        <w:jc w:val="both"/>
        <w:outlineLvl w:val="9"/>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2．网络接入安全防护服务</w:t>
      </w:r>
    </w:p>
    <w:p w14:paraId="0AE0156D">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（1）防火墙吞吐量≥200G，并发连接数≥8000万，新建连接数≥80万/秒。</w:t>
      </w:r>
    </w:p>
    <w:p w14:paraId="4E3D4FE0">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highlight w:val="none"/>
          <w:lang w:val="en-US" w:eastAsia="zh-CN" w:bidi="ar-SA"/>
        </w:rPr>
        <w:t>（2）实配≥6个100G</w:t>
      </w:r>
      <w:r>
        <w:rPr>
          <w:rFonts w:hint="eastAsia" w:ascii="仿宋" w:hAnsi="仿宋" w:eastAsia="仿宋" w:cs="仿宋"/>
          <w:kern w:val="2"/>
          <w:sz w:val="20"/>
          <w:szCs w:val="20"/>
          <w:lang w:val="en-US" w:eastAsia="zh-CN" w:bidi="ar-SA"/>
        </w:rPr>
        <w:t>以太光口（配置2个100G单模，4个100G多模光模块），≥16个万兆以太光口（满配万兆单模光模块），含3年AV、IPS功能函授权。</w:t>
      </w:r>
    </w:p>
    <w:p w14:paraId="5A4373E9">
      <w:pPr>
        <w:spacing w:line="240" w:lineRule="auto"/>
        <w:ind w:firstLine="402" w:firstLineChars="200"/>
        <w:outlineLvl w:val="9"/>
        <w:rPr>
          <w:rFonts w:hint="eastAsia" w:ascii="仿宋" w:hAnsi="仿宋" w:eastAsia="仿宋" w:cs="仿宋"/>
          <w:b/>
          <w:bCs/>
          <w:sz w:val="20"/>
          <w:szCs w:val="20"/>
          <w:lang w:eastAsia="zh-CN"/>
        </w:rPr>
      </w:pPr>
      <w:r>
        <w:rPr>
          <w:rFonts w:hint="eastAsia" w:ascii="仿宋" w:hAnsi="仿宋" w:eastAsia="仿宋" w:cs="仿宋"/>
          <w:b/>
          <w:bCs/>
          <w:sz w:val="20"/>
          <w:szCs w:val="20"/>
        </w:rPr>
        <w:t>五、服务</w:t>
      </w:r>
      <w:r>
        <w:rPr>
          <w:rFonts w:hint="eastAsia" w:ascii="仿宋" w:hAnsi="仿宋" w:eastAsia="仿宋" w:cs="仿宋"/>
          <w:b/>
          <w:bCs/>
          <w:sz w:val="20"/>
          <w:szCs w:val="20"/>
          <w:lang w:val="en-US" w:eastAsia="zh-CN"/>
        </w:rPr>
        <w:t>要求</w:t>
      </w:r>
    </w:p>
    <w:p w14:paraId="3985F3E6">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left"/>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sz w:val="20"/>
          <w:szCs w:val="20"/>
          <w:lang w:val="en-US" w:eastAsia="zh-CN"/>
        </w:rPr>
        <w:t>1、</w:t>
      </w:r>
      <w:r>
        <w:rPr>
          <w:rFonts w:hint="eastAsia" w:ascii="仿宋" w:hAnsi="仿宋" w:eastAsia="仿宋" w:cs="仿宋"/>
          <w:kern w:val="0"/>
          <w:sz w:val="20"/>
          <w:szCs w:val="20"/>
          <w:lang w:val="en-US" w:eastAsia="zh-CN" w:bidi="ar-SA"/>
        </w:rPr>
        <w:t>供应商按国家电信主管部门颁布的电信服务标准和电路质量要求，建设保障线路，保证电路畅通。</w:t>
      </w:r>
    </w:p>
    <w:p w14:paraId="30CBA378">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left"/>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2、供应商应提供7×24小时电话技术支持和故障申告服务。</w:t>
      </w:r>
    </w:p>
    <w:p w14:paraId="1C006935">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left"/>
        <w:textAlignment w:val="auto"/>
        <w:outlineLvl w:val="9"/>
        <w:rPr>
          <w:rFonts w:hint="eastAsia" w:ascii="仿宋" w:hAnsi="仿宋" w:eastAsia="仿宋" w:cs="仿宋"/>
          <w:sz w:val="20"/>
          <w:szCs w:val="20"/>
          <w:lang w:val="en-US" w:eastAsia="zh-CN"/>
        </w:rPr>
      </w:pPr>
      <w:r>
        <w:rPr>
          <w:rFonts w:hint="eastAsia" w:ascii="仿宋" w:hAnsi="仿宋" w:eastAsia="仿宋" w:cs="仿宋"/>
          <w:kern w:val="0"/>
          <w:sz w:val="20"/>
          <w:szCs w:val="20"/>
          <w:lang w:val="en-US" w:eastAsia="zh-CN" w:bidi="ar-SA"/>
        </w:rPr>
        <w:t>3、线路故障响应时间≤15分钟，修复时间≤2小时。全年中断次数</w:t>
      </w:r>
      <w:r>
        <w:rPr>
          <w:rFonts w:hint="eastAsia" w:ascii="仿宋" w:hAnsi="仿宋" w:eastAsia="仿宋" w:cs="仿宋"/>
          <w:sz w:val="20"/>
          <w:szCs w:val="20"/>
          <w:lang w:val="en-US" w:eastAsia="zh-CN"/>
        </w:rPr>
        <w:t>≤1次。</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 xml:space="preserve">    4、</w:t>
      </w:r>
      <w:r>
        <w:rPr>
          <w:rFonts w:hint="eastAsia" w:ascii="仿宋" w:hAnsi="仿宋" w:eastAsia="仿宋" w:cs="仿宋"/>
          <w:kern w:val="0"/>
          <w:sz w:val="20"/>
          <w:szCs w:val="20"/>
          <w:lang w:val="en-US" w:eastAsia="zh-CN" w:bidi="ar-SA"/>
        </w:rPr>
        <w:t>供应商应对高院跨省骨干电路通信质量提供7×24小时长期、不间断的监测和重保，切实保障链路稳定运行，一旦发现问题应及时解决并告知客户。</w:t>
      </w:r>
    </w:p>
    <w:p w14:paraId="20627739">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left"/>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5、供应商按用户要求免费提供重要时段的特殊保障。</w:t>
      </w:r>
    </w:p>
    <w:p w14:paraId="6BC32159">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left="17" w:leftChars="8" w:right="-197" w:rightChars="-94" w:firstLine="386" w:firstLineChars="193"/>
        <w:jc w:val="left"/>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6、供应商如需中断客户线路，应提前48小时通知客户，经协商同意后实施，并不能影响客户的正常业务。</w:t>
      </w:r>
      <w:r>
        <w:rPr>
          <w:rFonts w:hint="eastAsia" w:ascii="仿宋" w:hAnsi="仿宋" w:eastAsia="仿宋" w:cs="仿宋"/>
          <w:kern w:val="0"/>
          <w:sz w:val="20"/>
          <w:szCs w:val="20"/>
          <w:lang w:val="en-US" w:eastAsia="zh-CN" w:bidi="ar-SA"/>
        </w:rPr>
        <w:br w:type="textWrapping"/>
      </w:r>
      <w:r>
        <w:rPr>
          <w:rFonts w:hint="eastAsia" w:ascii="仿宋" w:hAnsi="仿宋" w:eastAsia="仿宋" w:cs="仿宋"/>
          <w:kern w:val="0"/>
          <w:sz w:val="20"/>
          <w:szCs w:val="20"/>
          <w:lang w:val="en-US" w:eastAsia="zh-CN" w:bidi="ar-SA"/>
        </w:rPr>
        <w:t xml:space="preserve">    7、服务期内，供应商免费提供线路迁移服务，迁移服务包含：用户方办公地点或机房位置迁移。要求线路提供商根据用户需求，免费提供接入光缆或光传输设备的移位服务，要求线路提供商先开通新地点的线路，用户迁移工作完毕后，再拆除原地点线路。新老线路在迁移期间不再额外收取任何费用。新旧光传输设备型号、容量不变。迁移前应制定详细的线路迁移方案，迁移中线路中断时间应在用户的要求范围内，迁移后保证线路的可用性，确保系统如期正常运行。</w:t>
      </w:r>
    </w:p>
    <w:p w14:paraId="6B3C44E2">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left"/>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8、供应商应具备应急通信的能力，如遇不可抗力因素（如地震、洪水等）造成的线路阻断，供应商应在短期内采用应急手段恢复通信。</w:t>
      </w:r>
    </w:p>
    <w:p w14:paraId="13297BC9">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left"/>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9、建立完备的客户档案：供应商应对相应的电路、设备进行特殊标记，以保证客户相关维护资料的准确性；建立详细、完备的电路资料档案和网络运行档案，并提交高院信息化部门。</w:t>
      </w:r>
    </w:p>
    <w:p w14:paraId="4554DB2A">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left"/>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10、未经采购人书面许可，供应商不得向第三方提供或泄露法院系统线路和业务的各种参数、资料和信息，法律另有规定的除外。</w:t>
      </w:r>
    </w:p>
    <w:p w14:paraId="22F67E72">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left"/>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11、供应商应成立法院专线保障小组或团队，提供人员名单、联系方式及故障受理电话。</w:t>
      </w:r>
    </w:p>
    <w:p w14:paraId="5D62738C">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left"/>
        <w:textAlignment w:val="auto"/>
        <w:outlineLvl w:val="9"/>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12、供应商应以半年为周期提供法院骨干链路的使用情况报告。</w:t>
      </w:r>
    </w:p>
    <w:p w14:paraId="2B71AEF1">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left"/>
        <w:textAlignment w:val="auto"/>
        <w:outlineLvl w:val="9"/>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lang w:val="en-US" w:eastAsia="zh-CN" w:bidi="ar-SA"/>
        </w:rPr>
        <w:t>13、线路开通并且用户网络设备调通后，提供1个月的免费试运行期，试运行期满经验收通过后开始计</w:t>
      </w:r>
      <w:r>
        <w:rPr>
          <w:rFonts w:hint="eastAsia" w:ascii="仿宋" w:hAnsi="仿宋" w:eastAsia="仿宋" w:cs="仿宋"/>
          <w:kern w:val="0"/>
          <w:sz w:val="20"/>
          <w:szCs w:val="20"/>
          <w:highlight w:val="none"/>
          <w:lang w:val="en-US" w:eastAsia="zh-CN" w:bidi="ar-SA"/>
        </w:rPr>
        <w:t>费；若验收不通过，试运行期顺延。</w:t>
      </w:r>
    </w:p>
    <w:p w14:paraId="2930CD18">
      <w:pPr>
        <w:spacing w:line="240" w:lineRule="auto"/>
        <w:ind w:firstLine="400" w:firstLineChars="200"/>
        <w:outlineLvl w:val="9"/>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六</w:t>
      </w:r>
      <w:r>
        <w:rPr>
          <w:rFonts w:hint="eastAsia" w:ascii="仿宋" w:hAnsi="仿宋" w:eastAsia="仿宋" w:cs="仿宋"/>
          <w:sz w:val="20"/>
          <w:szCs w:val="20"/>
          <w:highlight w:val="none"/>
        </w:rPr>
        <w:t>、</w:t>
      </w:r>
      <w:r>
        <w:rPr>
          <w:rFonts w:hint="eastAsia" w:ascii="仿宋" w:hAnsi="仿宋" w:eastAsia="仿宋" w:cs="仿宋"/>
          <w:sz w:val="20"/>
          <w:szCs w:val="20"/>
          <w:highlight w:val="none"/>
          <w:lang w:val="en-US" w:eastAsia="zh-CN"/>
        </w:rPr>
        <w:t>商务要求</w:t>
      </w:r>
    </w:p>
    <w:p w14:paraId="72CB0534">
      <w:pPr>
        <w:keepNext w:val="0"/>
        <w:keepLines w:val="0"/>
        <w:pageBreakBefore w:val="0"/>
        <w:widowControl/>
        <w:tabs>
          <w:tab w:val="left" w:pos="1620"/>
        </w:tabs>
        <w:kinsoku/>
        <w:wordWrap/>
        <w:overflowPunct/>
        <w:topLinePunct w:val="0"/>
        <w:autoSpaceDE/>
        <w:autoSpaceDN/>
        <w:bidi w:val="0"/>
        <w:adjustRightInd w:val="0"/>
        <w:snapToGrid w:val="0"/>
        <w:spacing w:line="240" w:lineRule="auto"/>
        <w:ind w:right="-197" w:rightChars="-94" w:firstLine="400" w:firstLineChars="200"/>
        <w:jc w:val="left"/>
        <w:textAlignment w:val="auto"/>
        <w:outlineLvl w:val="9"/>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rPr>
        <w:t>服务期限：</w:t>
      </w:r>
      <w:r>
        <w:rPr>
          <w:rFonts w:hint="eastAsia" w:ascii="仿宋" w:hAnsi="仿宋" w:eastAsia="仿宋" w:cs="仿宋"/>
          <w:sz w:val="20"/>
          <w:szCs w:val="20"/>
          <w:highlight w:val="none"/>
          <w:lang w:val="en-US" w:eastAsia="zh-CN"/>
        </w:rPr>
        <w:t>服务期3年，</w:t>
      </w:r>
      <w:r>
        <w:rPr>
          <w:rFonts w:hint="eastAsia" w:ascii="仿宋" w:hAnsi="仿宋" w:eastAsia="仿宋" w:cs="仿宋"/>
          <w:sz w:val="20"/>
          <w:szCs w:val="20"/>
          <w:highlight w:val="none"/>
        </w:rPr>
        <w:t>本项目采取实行一年一考核一续签合同的办法。每1年合同期满后，经双方协商一致，可续签合同，续签不超过2次。自线路开通至通过验收期间为试运行时间，验收通过后为正式运行时间。</w:t>
      </w:r>
    </w:p>
    <w:p w14:paraId="4696033A">
      <w:pPr>
        <w:pStyle w:val="4"/>
        <w:spacing w:line="240" w:lineRule="auto"/>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七、报价说明</w:t>
      </w:r>
    </w:p>
    <w:p w14:paraId="486ACD34">
      <w:pPr>
        <w:pStyle w:val="4"/>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本项目中标金额与预算之间的</w:t>
      </w:r>
      <w:r>
        <w:rPr>
          <w:rFonts w:hint="eastAsia" w:ascii="仿宋" w:hAnsi="仿宋" w:eastAsia="仿宋" w:cs="仿宋"/>
          <w:sz w:val="20"/>
          <w:szCs w:val="20"/>
          <w:highlight w:val="none"/>
          <w:lang w:val="en-US" w:eastAsia="zh-CN"/>
        </w:rPr>
        <w:t>实际</w:t>
      </w:r>
      <w:r>
        <w:rPr>
          <w:rFonts w:hint="default" w:ascii="仿宋" w:hAnsi="仿宋" w:eastAsia="仿宋" w:cs="仿宋"/>
          <w:sz w:val="20"/>
          <w:szCs w:val="20"/>
          <w:highlight w:val="none"/>
          <w:lang w:val="en-US" w:eastAsia="zh-CN"/>
        </w:rPr>
        <w:t>比例，将作为下游单位采购时的预算申报依据或最高限价</w:t>
      </w:r>
      <w:r>
        <w:rPr>
          <w:rFonts w:hint="eastAsia" w:ascii="仿宋" w:hAnsi="仿宋" w:eastAsia="仿宋" w:cs="仿宋"/>
          <w:sz w:val="20"/>
          <w:szCs w:val="20"/>
          <w:highlight w:val="none"/>
          <w:lang w:val="en-US" w:eastAsia="zh-CN"/>
        </w:rPr>
        <w:t>的重要参考</w:t>
      </w:r>
      <w:r>
        <w:rPr>
          <w:rFonts w:hint="default" w:ascii="仿宋" w:hAnsi="仿宋" w:eastAsia="仿宋" w:cs="仿宋"/>
          <w:sz w:val="20"/>
          <w:szCs w:val="20"/>
          <w:highlight w:val="none"/>
          <w:lang w:val="en-US" w:eastAsia="zh-CN"/>
        </w:rPr>
        <w:t>。</w:t>
      </w:r>
    </w:p>
    <w:p w14:paraId="6982721B">
      <w:pPr>
        <w:pStyle w:val="4"/>
        <w:spacing w:line="240" w:lineRule="auto"/>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八、整体预算说明</w:t>
      </w:r>
    </w:p>
    <w:p w14:paraId="290708D2">
      <w:pPr>
        <w:jc w:val="both"/>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本项目整体预算金额为170万，本次采购范围为省高院部分共计15万元，其余部分由各中院自行采购。</w:t>
      </w:r>
    </w:p>
    <w:p w14:paraId="01744BC7">
      <w:pPr>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br w:type="page"/>
      </w:r>
    </w:p>
    <w:p w14:paraId="2B7B0FFF">
      <w:pPr>
        <w:pStyle w:val="11"/>
        <w:pageBreakBefore w:val="0"/>
        <w:kinsoku/>
        <w:wordWrap/>
        <w:overflowPunct/>
        <w:topLinePunct w:val="0"/>
        <w:autoSpaceDE/>
        <w:autoSpaceDN/>
        <w:bidi w:val="0"/>
        <w:adjustRightInd/>
        <w:snapToGrid/>
        <w:ind w:left="0"/>
        <w:textAlignment w:val="auto"/>
        <w:outlineLvl w:val="0"/>
        <w:rPr>
          <w:rFonts w:hint="eastAsia" w:ascii="仿宋" w:hAnsi="仿宋" w:eastAsia="仿宋" w:cs="仿宋"/>
          <w:b/>
          <w:bCs/>
        </w:rPr>
      </w:pPr>
      <w:r>
        <w:rPr>
          <w:rFonts w:hint="eastAsia" w:ascii="仿宋" w:hAnsi="仿宋" w:eastAsia="仿宋" w:cs="仿宋"/>
          <w:b/>
          <w:bCs/>
        </w:rPr>
        <w:t>采购包</w:t>
      </w:r>
      <w:r>
        <w:rPr>
          <w:rFonts w:hint="eastAsia" w:ascii="仿宋" w:hAnsi="仿宋" w:eastAsia="仿宋" w:cs="仿宋"/>
          <w:b/>
          <w:bCs/>
          <w:lang w:val="en-US" w:eastAsia="zh-CN"/>
        </w:rPr>
        <w:t>3</w:t>
      </w:r>
      <w:r>
        <w:rPr>
          <w:rFonts w:hint="eastAsia" w:ascii="仿宋" w:hAnsi="仿宋" w:eastAsia="仿宋" w:cs="仿宋"/>
          <w:b/>
          <w:bCs/>
        </w:rPr>
        <w:t>：</w:t>
      </w:r>
    </w:p>
    <w:p w14:paraId="25BCE943">
      <w:pPr>
        <w:numPr>
          <w:ilvl w:val="0"/>
          <w:numId w:val="0"/>
        </w:numPr>
        <w:bidi w:val="0"/>
        <w:ind w:left="1074" w:leftChars="0" w:hanging="900" w:firstLineChars="0"/>
        <w:jc w:val="both"/>
        <w:outlineLvl w:val="9"/>
        <w:rPr>
          <w:rFonts w:hint="eastAsia" w:ascii="仿宋" w:hAnsi="仿宋" w:eastAsia="仿宋" w:cs="仿宋"/>
          <w:b/>
          <w:bCs/>
        </w:rPr>
      </w:pPr>
      <w:bookmarkStart w:id="0" w:name="_Toc126155937"/>
      <w:r>
        <w:rPr>
          <w:rFonts w:hint="default" w:ascii="仿宋" w:hAnsi="仿宋" w:eastAsia="仿宋" w:cs="仿宋"/>
          <w:b/>
          <w:bCs/>
          <w:kern w:val="2"/>
          <w:sz w:val="21"/>
          <w:szCs w:val="24"/>
          <w:lang w:val="en-US" w:eastAsia="zh-CN" w:bidi="ar-SA"/>
        </w:rPr>
        <w:t>一、</w:t>
      </w:r>
      <w:r>
        <w:rPr>
          <w:rFonts w:hint="eastAsia" w:ascii="仿宋" w:hAnsi="仿宋" w:eastAsia="仿宋" w:cs="仿宋"/>
          <w:b/>
          <w:bCs/>
        </w:rPr>
        <w:t>项目背景</w:t>
      </w:r>
      <w:bookmarkEnd w:id="0"/>
    </w:p>
    <w:p w14:paraId="312F6069">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outlineLvl w:val="9"/>
        <w:rPr>
          <w:rFonts w:hint="eastAsia" w:ascii="仿宋" w:hAnsi="仿宋" w:eastAsia="仿宋" w:cs="仿宋"/>
          <w:sz w:val="20"/>
          <w:szCs w:val="20"/>
        </w:rPr>
      </w:pPr>
      <w:r>
        <w:rPr>
          <w:rFonts w:hint="eastAsia" w:ascii="仿宋" w:hAnsi="仿宋" w:eastAsia="仿宋" w:cs="仿宋"/>
          <w:sz w:val="20"/>
          <w:szCs w:val="20"/>
        </w:rPr>
        <w:t>2020年</w:t>
      </w:r>
      <w:r>
        <w:rPr>
          <w:rFonts w:hint="eastAsia" w:ascii="仿宋" w:hAnsi="仿宋" w:eastAsia="仿宋" w:cs="仿宋"/>
          <w:sz w:val="20"/>
          <w:szCs w:val="20"/>
          <w:lang w:val="en-US" w:eastAsia="zh-CN"/>
        </w:rPr>
        <w:t>至2024年</w:t>
      </w:r>
      <w:r>
        <w:rPr>
          <w:rFonts w:hint="eastAsia" w:ascii="仿宋" w:hAnsi="仿宋" w:eastAsia="仿宋" w:cs="仿宋"/>
          <w:sz w:val="20"/>
          <w:szCs w:val="20"/>
        </w:rPr>
        <w:t>，陕西高院科学筹划和创新，</w:t>
      </w:r>
      <w:r>
        <w:rPr>
          <w:rFonts w:hint="eastAsia" w:ascii="仿宋" w:hAnsi="仿宋" w:eastAsia="仿宋" w:cs="仿宋"/>
          <w:sz w:val="20"/>
          <w:szCs w:val="20"/>
          <w:lang w:val="en-US" w:eastAsia="zh-CN"/>
        </w:rPr>
        <w:t>持续</w:t>
      </w:r>
      <w:r>
        <w:rPr>
          <w:rFonts w:hint="eastAsia" w:ascii="仿宋" w:hAnsi="仿宋" w:eastAsia="仿宋" w:cs="仿宋"/>
          <w:sz w:val="20"/>
          <w:szCs w:val="20"/>
        </w:rPr>
        <w:t>推动信息系统运行维护由分散管理向集中管理转变，由职能管理向流程管理转变，由粗放服务向精细服务转变，由无序服务向有序服务转变，并起草了《陕西省高级人民法院信息系统运行维护管理办法（试行）》，明确了“信息系统运行维护管理工作采用购买专业服务、统一集中运维的方式”，为</w:t>
      </w:r>
      <w:r>
        <w:rPr>
          <w:rFonts w:hint="eastAsia" w:ascii="仿宋" w:hAnsi="仿宋" w:eastAsia="仿宋" w:cs="仿宋"/>
          <w:sz w:val="20"/>
          <w:szCs w:val="20"/>
          <w:lang w:val="en-US" w:eastAsia="zh-CN"/>
        </w:rPr>
        <w:t>全</w:t>
      </w:r>
      <w:r>
        <w:rPr>
          <w:rFonts w:hint="eastAsia" w:ascii="仿宋" w:hAnsi="仿宋" w:eastAsia="仿宋" w:cs="仿宋"/>
          <w:sz w:val="20"/>
          <w:szCs w:val="20"/>
        </w:rPr>
        <w:t>省法院开展信息系统运维提供了制度保障。根据管理办法要求，将陕西</w:t>
      </w:r>
      <w:r>
        <w:rPr>
          <w:rFonts w:hint="eastAsia" w:ascii="仿宋" w:hAnsi="仿宋" w:eastAsia="仿宋" w:cs="仿宋"/>
          <w:sz w:val="20"/>
          <w:szCs w:val="20"/>
          <w:lang w:val="en-US" w:eastAsia="zh-CN"/>
        </w:rPr>
        <w:t>法院</w:t>
      </w:r>
      <w:r>
        <w:rPr>
          <w:rFonts w:hint="eastAsia" w:ascii="仿宋" w:hAnsi="仿宋" w:eastAsia="仿宋" w:cs="仿宋"/>
          <w:sz w:val="20"/>
          <w:szCs w:val="20"/>
        </w:rPr>
        <w:t>需要运维服务的任务进行打包，引进了有运行维护服务能力、有法院领域服务经验、有专业技术，能够承担运行维护任务的公司进行维护。</w:t>
      </w:r>
    </w:p>
    <w:p w14:paraId="5BD80DE4">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outlineLvl w:val="9"/>
        <w:rPr>
          <w:rFonts w:hint="eastAsia" w:ascii="仿宋" w:hAnsi="仿宋" w:eastAsia="仿宋" w:cs="仿宋"/>
          <w:sz w:val="20"/>
          <w:szCs w:val="20"/>
        </w:rPr>
      </w:pPr>
      <w:r>
        <w:rPr>
          <w:rFonts w:hint="eastAsia" w:ascii="仿宋" w:hAnsi="仿宋" w:eastAsia="仿宋" w:cs="仿宋"/>
          <w:sz w:val="20"/>
          <w:szCs w:val="20"/>
          <w:lang w:val="en-US" w:eastAsia="zh-CN"/>
        </w:rPr>
        <w:t>2025年，根据最高法院《关于进一步明确“一张网”建设相关要求的通知》及我省法院信息化系统现状，陕西高院对信息系统进行了整合和迁移，现按照最新</w:t>
      </w:r>
      <w:r>
        <w:rPr>
          <w:rFonts w:hint="eastAsia" w:ascii="仿宋" w:hAnsi="仿宋" w:eastAsia="仿宋" w:cs="仿宋"/>
          <w:sz w:val="20"/>
          <w:szCs w:val="20"/>
        </w:rPr>
        <w:t>信息系统</w:t>
      </w:r>
      <w:r>
        <w:rPr>
          <w:rFonts w:hint="eastAsia" w:ascii="仿宋" w:hAnsi="仿宋" w:eastAsia="仿宋" w:cs="仿宋"/>
          <w:sz w:val="20"/>
          <w:szCs w:val="20"/>
          <w:lang w:val="en-US" w:eastAsia="zh-CN"/>
        </w:rPr>
        <w:t>情况进行运维采购。</w:t>
      </w:r>
    </w:p>
    <w:p w14:paraId="516CF5ED">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2025年陕西法院“一张网”信息系统运维服务项目由各级法院按照各自承担份额自行采购服务。现陕西省高级人民法院针对陕西法院“一张网”信息系统运维保障服务项目省本院侧进行采购，采购预算为50万元。</w:t>
      </w:r>
    </w:p>
    <w:p w14:paraId="5020C5F4">
      <w:pPr>
        <w:numPr>
          <w:ilvl w:val="0"/>
          <w:numId w:val="0"/>
        </w:numPr>
        <w:bidi w:val="0"/>
        <w:ind w:left="1074" w:leftChars="0" w:hanging="900" w:firstLineChars="0"/>
        <w:outlineLvl w:val="9"/>
        <w:rPr>
          <w:rFonts w:hint="eastAsia" w:ascii="仿宋" w:hAnsi="仿宋" w:eastAsia="仿宋" w:cs="仿宋"/>
          <w:b/>
          <w:bCs/>
          <w:lang w:val="en-US" w:eastAsia="zh-CN"/>
        </w:rPr>
      </w:pPr>
      <w:bookmarkStart w:id="1" w:name="_Toc126155939"/>
      <w:r>
        <w:rPr>
          <w:rFonts w:hint="default" w:ascii="仿宋" w:hAnsi="仿宋" w:eastAsia="仿宋" w:cs="仿宋"/>
          <w:b/>
          <w:bCs/>
          <w:kern w:val="2"/>
          <w:sz w:val="21"/>
          <w:szCs w:val="24"/>
          <w:lang w:val="en-US" w:eastAsia="zh-CN" w:bidi="ar-SA"/>
        </w:rPr>
        <w:t>二、</w:t>
      </w:r>
      <w:r>
        <w:rPr>
          <w:rFonts w:hint="eastAsia" w:ascii="仿宋" w:hAnsi="仿宋" w:eastAsia="仿宋" w:cs="仿宋"/>
          <w:b/>
          <w:bCs/>
          <w:lang w:val="en-US" w:eastAsia="zh-CN"/>
        </w:rPr>
        <w:t>运维目标</w:t>
      </w:r>
      <w:bookmarkEnd w:id="1"/>
    </w:p>
    <w:p w14:paraId="3C967169">
      <w:pPr>
        <w:bidi w:val="0"/>
        <w:outlineLvl w:val="9"/>
        <w:rPr>
          <w:rFonts w:hint="eastAsia" w:ascii="仿宋" w:hAnsi="仿宋" w:eastAsia="仿宋" w:cs="仿宋"/>
          <w:lang w:val="en-US" w:eastAsia="zh-CN"/>
        </w:rPr>
      </w:pPr>
      <w:r>
        <w:rPr>
          <w:rFonts w:hint="eastAsia" w:ascii="仿宋" w:hAnsi="仿宋" w:eastAsia="仿宋" w:cs="仿宋"/>
          <w:lang w:val="en-US" w:eastAsia="zh-CN"/>
        </w:rPr>
        <w:t>1.持续完善运维管理标准，通过制度规范的落实，做到有据可查，有规可依。</w:t>
      </w:r>
    </w:p>
    <w:p w14:paraId="110E0DB2">
      <w:pPr>
        <w:bidi w:val="0"/>
        <w:outlineLvl w:val="9"/>
        <w:rPr>
          <w:rFonts w:hint="eastAsia" w:ascii="仿宋" w:hAnsi="仿宋" w:eastAsia="仿宋" w:cs="仿宋"/>
          <w:lang w:val="en-US" w:eastAsia="zh-CN"/>
        </w:rPr>
      </w:pPr>
      <w:r>
        <w:rPr>
          <w:rFonts w:hint="eastAsia" w:ascii="仿宋" w:hAnsi="仿宋" w:eastAsia="仿宋" w:cs="仿宋"/>
          <w:lang w:val="en-US" w:eastAsia="zh-CN"/>
        </w:rPr>
        <w:t>2.持续优化运维团队和工作机制，实现运维工作由有序向规范转变。</w:t>
      </w:r>
    </w:p>
    <w:p w14:paraId="7499F295">
      <w:pPr>
        <w:bidi w:val="0"/>
        <w:outlineLvl w:val="9"/>
        <w:rPr>
          <w:rFonts w:hint="eastAsia" w:ascii="仿宋" w:hAnsi="仿宋" w:eastAsia="仿宋" w:cs="仿宋"/>
          <w:lang w:val="en-US" w:eastAsia="zh-CN"/>
        </w:rPr>
      </w:pPr>
      <w:r>
        <w:rPr>
          <w:rFonts w:hint="eastAsia" w:ascii="仿宋" w:hAnsi="仿宋" w:eastAsia="仿宋" w:cs="仿宋"/>
          <w:lang w:val="en-US" w:eastAsia="zh-CN"/>
        </w:rPr>
        <w:t>3.依靠可视化运维监控管理平台，实现资产可视、故障及时上报处理。</w:t>
      </w:r>
    </w:p>
    <w:p w14:paraId="372BA41B">
      <w:pPr>
        <w:bidi w:val="0"/>
        <w:outlineLvl w:val="9"/>
        <w:rPr>
          <w:rFonts w:hint="eastAsia" w:ascii="仿宋" w:hAnsi="仿宋" w:eastAsia="仿宋" w:cs="仿宋"/>
          <w:lang w:val="en-US" w:eastAsia="zh-CN"/>
        </w:rPr>
      </w:pPr>
      <w:r>
        <w:rPr>
          <w:rFonts w:hint="eastAsia" w:ascii="仿宋" w:hAnsi="仿宋" w:eastAsia="仿宋" w:cs="仿宋"/>
          <w:lang w:val="en-US" w:eastAsia="zh-CN"/>
        </w:rPr>
        <w:t>4.建立运维质效管理，运维工作能真实反映运维目标达成情况。</w:t>
      </w:r>
    </w:p>
    <w:p w14:paraId="6AA3B075">
      <w:pPr>
        <w:numPr>
          <w:ilvl w:val="0"/>
          <w:numId w:val="0"/>
        </w:numPr>
        <w:bidi w:val="0"/>
        <w:ind w:left="1074" w:leftChars="0" w:hanging="900" w:firstLineChars="0"/>
        <w:jc w:val="left"/>
        <w:outlineLvl w:val="9"/>
        <w:rPr>
          <w:rFonts w:hint="eastAsia" w:ascii="仿宋" w:hAnsi="仿宋" w:eastAsia="仿宋" w:cs="仿宋"/>
          <w:b/>
          <w:bCs/>
          <w:lang w:val="en-US" w:eastAsia="zh-CN"/>
        </w:rPr>
      </w:pPr>
      <w:bookmarkStart w:id="2" w:name="_Toc126155941"/>
      <w:r>
        <w:rPr>
          <w:rFonts w:hint="default" w:ascii="仿宋" w:hAnsi="仿宋" w:eastAsia="仿宋" w:cs="仿宋"/>
          <w:b/>
          <w:bCs/>
          <w:kern w:val="2"/>
          <w:sz w:val="21"/>
          <w:szCs w:val="24"/>
          <w:lang w:val="en-US" w:eastAsia="zh-CN" w:bidi="ar-SA"/>
        </w:rPr>
        <w:t>三、</w:t>
      </w:r>
      <w:r>
        <w:rPr>
          <w:rFonts w:hint="eastAsia" w:ascii="仿宋" w:hAnsi="仿宋" w:eastAsia="仿宋" w:cs="仿宋"/>
          <w:b/>
          <w:bCs/>
          <w:lang w:val="en-US" w:eastAsia="zh-CN"/>
        </w:rPr>
        <w:t>运维服务</w:t>
      </w:r>
      <w:bookmarkEnd w:id="2"/>
      <w:r>
        <w:rPr>
          <w:rFonts w:hint="eastAsia" w:ascii="仿宋" w:hAnsi="仿宋" w:eastAsia="仿宋" w:cs="仿宋"/>
          <w:b/>
          <w:bCs/>
          <w:lang w:val="en-US" w:eastAsia="zh-CN"/>
        </w:rPr>
        <w:t>内容及要求</w:t>
      </w:r>
    </w:p>
    <w:p w14:paraId="70F8011E">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 </w:t>
      </w:r>
      <w:r>
        <w:rPr>
          <w:rFonts w:hint="eastAsia" w:ascii="仿宋" w:hAnsi="仿宋" w:eastAsia="仿宋" w:cs="仿宋"/>
          <w:b w:val="0"/>
          <w:bCs w:val="0"/>
          <w:color w:val="auto"/>
          <w:sz w:val="20"/>
          <w:szCs w:val="20"/>
          <w:lang w:val="en-US" w:eastAsia="zh-CN" w:bidi="ar-SA"/>
        </w:rPr>
        <w:t xml:space="preserve">  本次运维服务内容分为两部分，第一部分是2025年1月1日至10月31日的旧有业务系统运维服务，第二部分是2025年11月1日至12月31日，“一张网”运维服务。</w:t>
      </w:r>
    </w:p>
    <w:p w14:paraId="79955E57">
      <w:pPr>
        <w:pStyle w:val="12"/>
        <w:keepNext/>
        <w:keepLines/>
        <w:spacing w:before="260" w:line="240" w:lineRule="auto"/>
        <w:ind w:left="744" w:leftChars="304" w:hanging="106" w:hangingChars="53"/>
        <w:jc w:val="both"/>
        <w:outlineLvl w:val="9"/>
        <w:rPr>
          <w:rFonts w:hint="eastAsia" w:ascii="仿宋" w:hAnsi="仿宋" w:eastAsia="仿宋" w:cs="仿宋"/>
          <w:b/>
          <w:bCs/>
          <w:caps w:val="0"/>
          <w:smallCaps w:val="0"/>
          <w:vanish w:val="0"/>
          <w:sz w:val="20"/>
          <w:szCs w:val="20"/>
          <w:lang w:val="en-US" w:eastAsia="zh-CN"/>
        </w:rPr>
      </w:pPr>
      <w:r>
        <w:rPr>
          <w:rFonts w:hint="eastAsia" w:ascii="仿宋" w:hAnsi="仿宋" w:eastAsia="仿宋" w:cs="仿宋"/>
          <w:b/>
          <w:bCs/>
          <w:caps w:val="0"/>
          <w:smallCaps w:val="0"/>
          <w:vanish w:val="0"/>
          <w:sz w:val="20"/>
          <w:szCs w:val="20"/>
          <w:lang w:val="en-US" w:eastAsia="zh-CN"/>
        </w:rPr>
        <w:t xml:space="preserve"> 3.1 旧有业务系统运维服务内容及要求</w:t>
      </w:r>
    </w:p>
    <w:p w14:paraId="378B863E">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旧有业务系统运维服务内容主要包含对审判、政务、信访、档案等审判类业务系统运维，对执行、诉讼费、执行款管理、执行指挥中心、电子票据等执行类业务系统运维，对高院数据中心机房、软硬件终端等可视化运维及本院软硬件维护，对数据中台运维服务。具体如下表：</w:t>
      </w:r>
    </w:p>
    <w:tbl>
      <w:tblPr>
        <w:tblStyle w:val="8"/>
        <w:tblpPr w:leftFromText="180" w:rightFromText="180" w:vertAnchor="text" w:horzAnchor="page" w:tblpXSpec="center" w:tblpY="615"/>
        <w:tblOverlap w:val="never"/>
        <w:tblW w:w="47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
        <w:gridCol w:w="711"/>
        <w:gridCol w:w="885"/>
        <w:gridCol w:w="3170"/>
        <w:gridCol w:w="2770"/>
      </w:tblGrid>
      <w:tr w14:paraId="1E52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jc w:val="center"/>
        </w:trPr>
        <w:tc>
          <w:tcPr>
            <w:tcW w:w="383" w:type="pct"/>
            <w:tcBorders>
              <w:top w:val="single" w:color="000000" w:sz="4" w:space="0"/>
              <w:left w:val="single" w:color="000000" w:sz="4" w:space="0"/>
              <w:bottom w:val="single" w:color="000000" w:sz="4" w:space="0"/>
              <w:right w:val="single" w:color="000000" w:sz="4" w:space="0"/>
            </w:tcBorders>
            <w:noWrap w:val="0"/>
            <w:vAlign w:val="center"/>
          </w:tcPr>
          <w:p w14:paraId="09485F27">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序号</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A2B95F6">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运维分项名称</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9241331">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运维子项目名称</w:t>
            </w:r>
          </w:p>
        </w:tc>
        <w:tc>
          <w:tcPr>
            <w:tcW w:w="1941" w:type="pct"/>
            <w:tcBorders>
              <w:top w:val="single" w:color="000000" w:sz="4" w:space="0"/>
              <w:left w:val="single" w:color="000000" w:sz="4" w:space="0"/>
              <w:bottom w:val="single" w:color="000000" w:sz="4" w:space="0"/>
              <w:right w:val="single" w:color="000000" w:sz="4" w:space="0"/>
            </w:tcBorders>
            <w:noWrap w:val="0"/>
            <w:vAlign w:val="center"/>
          </w:tcPr>
          <w:p w14:paraId="1BCDE1BE">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运维服务内容</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7DC26F62">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运维服务要求</w:t>
            </w:r>
          </w:p>
        </w:tc>
      </w:tr>
      <w:tr w14:paraId="64CC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383" w:type="pct"/>
            <w:tcBorders>
              <w:top w:val="single" w:color="000000" w:sz="4" w:space="0"/>
              <w:left w:val="single" w:color="000000" w:sz="4" w:space="0"/>
              <w:bottom w:val="single" w:color="000000" w:sz="4" w:space="0"/>
              <w:right w:val="single" w:color="000000" w:sz="4" w:space="0"/>
            </w:tcBorders>
            <w:noWrap w:val="0"/>
            <w:vAlign w:val="center"/>
          </w:tcPr>
          <w:p w14:paraId="4D02A9CD">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435" w:type="pct"/>
            <w:vMerge w:val="restart"/>
            <w:tcBorders>
              <w:top w:val="single" w:color="000000" w:sz="4" w:space="0"/>
              <w:left w:val="single" w:color="000000" w:sz="4" w:space="0"/>
              <w:right w:val="single" w:color="000000" w:sz="4" w:space="0"/>
            </w:tcBorders>
            <w:noWrap w:val="0"/>
            <w:vAlign w:val="center"/>
          </w:tcPr>
          <w:p w14:paraId="01C4BCE6">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审判类业务系统运维</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718EE71">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核心软件系统运维</w:t>
            </w:r>
          </w:p>
        </w:tc>
        <w:tc>
          <w:tcPr>
            <w:tcW w:w="1941" w:type="pct"/>
            <w:tcBorders>
              <w:top w:val="single" w:color="000000" w:sz="4" w:space="0"/>
              <w:left w:val="single" w:color="000000" w:sz="4" w:space="0"/>
              <w:bottom w:val="single" w:color="000000" w:sz="4" w:space="0"/>
              <w:right w:val="single" w:color="000000" w:sz="4" w:space="0"/>
            </w:tcBorders>
            <w:noWrap/>
            <w:vAlign w:val="center"/>
          </w:tcPr>
          <w:p w14:paraId="55162B8D">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为审判类业务</w:t>
            </w:r>
            <w:r>
              <w:rPr>
                <w:rFonts w:hint="eastAsia" w:ascii="仿宋" w:hAnsi="仿宋" w:eastAsia="仿宋" w:cs="仿宋"/>
                <w:sz w:val="20"/>
                <w:szCs w:val="20"/>
                <w:lang w:val="en-US"/>
              </w:rPr>
              <w:t>系统提供运维</w:t>
            </w:r>
            <w:r>
              <w:rPr>
                <w:rFonts w:hint="eastAsia" w:ascii="仿宋" w:hAnsi="仿宋" w:eastAsia="仿宋" w:cs="仿宋"/>
                <w:sz w:val="20"/>
                <w:szCs w:val="20"/>
                <w:lang w:val="en-US" w:eastAsia="zh-CN"/>
              </w:rPr>
              <w:t>保障服务，具体如下：</w:t>
            </w:r>
          </w:p>
          <w:p w14:paraId="3440F5EF">
            <w:pPr>
              <w:keepNext w:val="0"/>
              <w:keepLines w:val="0"/>
              <w:widowControl/>
              <w:numPr>
                <w:ilvl w:val="0"/>
                <w:numId w:val="1"/>
              </w:numPr>
              <w:suppressLineNumbers w:val="0"/>
              <w:spacing w:line="240" w:lineRule="auto"/>
              <w:jc w:val="both"/>
              <w:textAlignment w:val="center"/>
              <w:outlineLvl w:val="9"/>
              <w:rPr>
                <w:rFonts w:hint="eastAsia" w:ascii="仿宋" w:hAnsi="仿宋" w:eastAsia="仿宋" w:cs="仿宋"/>
                <w:sz w:val="20"/>
                <w:szCs w:val="20"/>
                <w:lang w:val="en-US"/>
              </w:rPr>
            </w:pPr>
            <w:r>
              <w:rPr>
                <w:rFonts w:hint="eastAsia" w:ascii="仿宋" w:hAnsi="仿宋" w:eastAsia="仿宋" w:cs="仿宋"/>
                <w:sz w:val="20"/>
                <w:szCs w:val="20"/>
              </w:rPr>
              <w:t>审判管理系统</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为省高院</w:t>
            </w:r>
            <w:r>
              <w:rPr>
                <w:rFonts w:hint="eastAsia" w:ascii="仿宋" w:hAnsi="仿宋" w:eastAsia="仿宋" w:cs="仿宋"/>
                <w:sz w:val="20"/>
                <w:szCs w:val="20"/>
                <w:lang w:val="en-US"/>
              </w:rPr>
              <w:t>提供日常运维服务、各类巡检服务、数据备份服务、应急响应以及现场值守服务、系统更新服务、即时响应服务、数据质检服务。</w:t>
            </w:r>
          </w:p>
          <w:p w14:paraId="6DBCBF95">
            <w:pPr>
              <w:keepNext w:val="0"/>
              <w:keepLines w:val="0"/>
              <w:widowControl/>
              <w:numPr>
                <w:ilvl w:val="0"/>
                <w:numId w:val="1"/>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rPr>
              <w:t>政务系统</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为省高院</w:t>
            </w:r>
            <w:r>
              <w:rPr>
                <w:rFonts w:hint="eastAsia" w:ascii="仿宋" w:hAnsi="仿宋" w:eastAsia="仿宋" w:cs="仿宋"/>
                <w:sz w:val="20"/>
                <w:szCs w:val="20"/>
                <w:lang w:val="en-US"/>
              </w:rPr>
              <w:t>提供日常运维服务、各类巡检服务、数据备份服务、应急响应以及现场值守服务、系统更新服务、即时响应服务。</w:t>
            </w:r>
          </w:p>
          <w:p w14:paraId="0D9B9ACE">
            <w:pPr>
              <w:keepNext w:val="0"/>
              <w:keepLines w:val="0"/>
              <w:widowControl/>
              <w:numPr>
                <w:ilvl w:val="0"/>
                <w:numId w:val="1"/>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rPr>
              <w:t>审委会系统</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为省高院</w:t>
            </w:r>
            <w:r>
              <w:rPr>
                <w:rFonts w:hint="eastAsia" w:ascii="仿宋" w:hAnsi="仿宋" w:eastAsia="仿宋" w:cs="仿宋"/>
                <w:sz w:val="20"/>
                <w:szCs w:val="20"/>
                <w:lang w:val="en-US"/>
              </w:rPr>
              <w:t>提供日常运维服务、各类巡检服务、数据备份服务、应急响应以及现场值守服务（含</w:t>
            </w:r>
            <w:r>
              <w:rPr>
                <w:rFonts w:hint="eastAsia" w:ascii="仿宋" w:hAnsi="仿宋" w:eastAsia="仿宋" w:cs="仿宋"/>
                <w:sz w:val="20"/>
                <w:szCs w:val="20"/>
              </w:rPr>
              <w:t>省院审委会现场保障服务</w:t>
            </w:r>
            <w:r>
              <w:rPr>
                <w:rFonts w:hint="eastAsia" w:ascii="仿宋" w:hAnsi="仿宋" w:eastAsia="仿宋" w:cs="仿宋"/>
                <w:sz w:val="20"/>
                <w:szCs w:val="20"/>
                <w:lang w:val="en-US"/>
              </w:rPr>
              <w:t>）、系统更新服务、即时响应服务</w:t>
            </w:r>
            <w:r>
              <w:rPr>
                <w:rFonts w:hint="eastAsia" w:ascii="仿宋" w:hAnsi="仿宋" w:eastAsia="仿宋" w:cs="仿宋"/>
                <w:sz w:val="20"/>
                <w:szCs w:val="20"/>
              </w:rPr>
              <w:t>等</w:t>
            </w:r>
            <w:r>
              <w:rPr>
                <w:rFonts w:hint="eastAsia" w:ascii="仿宋" w:hAnsi="仿宋" w:eastAsia="仿宋" w:cs="仿宋"/>
                <w:sz w:val="20"/>
                <w:szCs w:val="20"/>
                <w:lang w:val="en-US"/>
              </w:rPr>
              <w:t>。</w:t>
            </w:r>
          </w:p>
          <w:p w14:paraId="68BE97D5">
            <w:pPr>
              <w:keepNext w:val="0"/>
              <w:keepLines w:val="0"/>
              <w:widowControl/>
              <w:numPr>
                <w:ilvl w:val="0"/>
                <w:numId w:val="1"/>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rPr>
              <w:t>信访系统</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为省高院</w:t>
            </w:r>
            <w:r>
              <w:rPr>
                <w:rFonts w:hint="eastAsia" w:ascii="仿宋" w:hAnsi="仿宋" w:eastAsia="仿宋" w:cs="仿宋"/>
                <w:sz w:val="20"/>
                <w:szCs w:val="20"/>
                <w:lang w:val="en-US"/>
              </w:rPr>
              <w:t>提供日常运维服务、各类巡检服务、数据备份服务、应急响应以及现场值守服务、系统更新服务、即时响应服务、信访系统与陕西高院大数据分析平台数据对接服务。</w:t>
            </w:r>
          </w:p>
          <w:p w14:paraId="1BD731FF">
            <w:pPr>
              <w:pStyle w:val="13"/>
              <w:spacing w:line="240" w:lineRule="auto"/>
              <w:jc w:val="both"/>
              <w:outlineLvl w:val="9"/>
              <w:rPr>
                <w:rFonts w:hint="eastAsia" w:ascii="仿宋" w:hAnsi="仿宋" w:eastAsia="仿宋" w:cs="仿宋"/>
                <w:sz w:val="20"/>
                <w:szCs w:val="20"/>
                <w:lang w:eastAsia="zh-CN"/>
              </w:rPr>
            </w:pPr>
            <w:r>
              <w:rPr>
                <w:rFonts w:hint="eastAsia" w:ascii="仿宋" w:hAnsi="仿宋" w:eastAsia="仿宋" w:cs="仿宋"/>
                <w:sz w:val="20"/>
                <w:szCs w:val="20"/>
                <w:lang w:val="en-US" w:eastAsia="zh-CN"/>
              </w:rPr>
              <w:t>5.</w:t>
            </w:r>
            <w:r>
              <w:rPr>
                <w:rFonts w:hint="eastAsia" w:ascii="仿宋" w:hAnsi="仿宋" w:eastAsia="仿宋" w:cs="仿宋"/>
                <w:sz w:val="20"/>
                <w:szCs w:val="20"/>
              </w:rPr>
              <w:t>省高院门户系统</w:t>
            </w:r>
            <w:r>
              <w:rPr>
                <w:rFonts w:hint="eastAsia" w:ascii="仿宋" w:hAnsi="仿宋" w:eastAsia="仿宋" w:cs="仿宋"/>
                <w:sz w:val="20"/>
                <w:szCs w:val="20"/>
                <w:lang w:eastAsia="zh-CN"/>
              </w:rPr>
              <w:t>：</w:t>
            </w:r>
            <w:r>
              <w:rPr>
                <w:rFonts w:hint="eastAsia" w:ascii="仿宋" w:hAnsi="仿宋" w:eastAsia="仿宋" w:cs="仿宋"/>
                <w:sz w:val="20"/>
                <w:szCs w:val="20"/>
                <w:lang w:val="en-US"/>
              </w:rPr>
              <w:t>提供日常运维服务、各类巡检服务、数据备份服务、应急响应以及现场值守服务、系统更新服务、即时响应服务。</w:t>
            </w:r>
          </w:p>
          <w:p w14:paraId="421C98C6">
            <w:pPr>
              <w:pStyle w:val="13"/>
              <w:spacing w:line="240" w:lineRule="auto"/>
              <w:jc w:val="both"/>
              <w:outlineLvl w:val="9"/>
              <w:rPr>
                <w:rFonts w:hint="eastAsia" w:ascii="仿宋" w:hAnsi="仿宋" w:eastAsia="仿宋" w:cs="仿宋"/>
                <w:sz w:val="20"/>
                <w:szCs w:val="20"/>
                <w:lang w:eastAsia="zh-CN"/>
              </w:rPr>
            </w:pPr>
            <w:r>
              <w:rPr>
                <w:rFonts w:hint="eastAsia" w:ascii="仿宋" w:hAnsi="仿宋" w:eastAsia="仿宋" w:cs="仿宋"/>
                <w:sz w:val="20"/>
                <w:szCs w:val="20"/>
                <w:lang w:val="en-US" w:eastAsia="zh-CN"/>
              </w:rPr>
              <w:t>6.</w:t>
            </w:r>
            <w:r>
              <w:rPr>
                <w:rFonts w:hint="eastAsia" w:ascii="仿宋" w:hAnsi="仿宋" w:eastAsia="仿宋" w:cs="仿宋"/>
                <w:sz w:val="20"/>
                <w:szCs w:val="20"/>
              </w:rPr>
              <w:t>省高院网上报销系统</w:t>
            </w:r>
            <w:r>
              <w:rPr>
                <w:rFonts w:hint="eastAsia" w:ascii="仿宋" w:hAnsi="仿宋" w:eastAsia="仿宋" w:cs="仿宋"/>
                <w:sz w:val="20"/>
                <w:szCs w:val="20"/>
                <w:lang w:eastAsia="zh-CN"/>
              </w:rPr>
              <w:t>：</w:t>
            </w:r>
            <w:r>
              <w:rPr>
                <w:rFonts w:hint="eastAsia" w:ascii="仿宋" w:hAnsi="仿宋" w:eastAsia="仿宋" w:cs="仿宋"/>
                <w:sz w:val="20"/>
                <w:szCs w:val="20"/>
                <w:lang w:val="en-US"/>
              </w:rPr>
              <w:t>提供日常运维服务、各类巡检服务、数据备份服务、应急响应以及现场值守服务、系统更新服务、即时响应服务。</w:t>
            </w:r>
          </w:p>
          <w:p w14:paraId="51B9EF65">
            <w:pPr>
              <w:pStyle w:val="13"/>
              <w:spacing w:line="240" w:lineRule="auto"/>
              <w:jc w:val="both"/>
              <w:outlineLvl w:val="9"/>
              <w:rPr>
                <w:rFonts w:hint="eastAsia" w:ascii="仿宋" w:hAnsi="仿宋" w:eastAsia="仿宋" w:cs="仿宋"/>
                <w:sz w:val="20"/>
                <w:szCs w:val="20"/>
                <w:lang w:val="en-US"/>
              </w:rPr>
            </w:pPr>
            <w:r>
              <w:rPr>
                <w:rFonts w:hint="eastAsia" w:ascii="仿宋" w:hAnsi="仿宋" w:eastAsia="仿宋" w:cs="仿宋"/>
                <w:sz w:val="20"/>
                <w:szCs w:val="20"/>
                <w:lang w:val="en-US" w:eastAsia="zh-CN"/>
              </w:rPr>
              <w:t>7.</w:t>
            </w:r>
            <w:r>
              <w:rPr>
                <w:rFonts w:hint="eastAsia" w:ascii="仿宋" w:hAnsi="仿宋" w:eastAsia="仿宋" w:cs="仿宋"/>
                <w:sz w:val="20"/>
                <w:szCs w:val="20"/>
              </w:rPr>
              <w:t>省高院移动办公</w:t>
            </w:r>
            <w:r>
              <w:rPr>
                <w:rFonts w:hint="eastAsia" w:ascii="仿宋" w:hAnsi="仿宋" w:eastAsia="仿宋" w:cs="仿宋"/>
                <w:sz w:val="20"/>
                <w:szCs w:val="20"/>
                <w:lang w:eastAsia="zh-CN"/>
              </w:rPr>
              <w:t>：</w:t>
            </w:r>
            <w:r>
              <w:rPr>
                <w:rFonts w:hint="eastAsia" w:ascii="仿宋" w:hAnsi="仿宋" w:eastAsia="仿宋" w:cs="仿宋"/>
                <w:sz w:val="20"/>
                <w:szCs w:val="20"/>
                <w:lang w:val="en-US"/>
              </w:rPr>
              <w:t>提供日常运维服务、各类巡检服务、数据备份服务、应急响应以及现场值守服务、系统更新服务、即时响应服务。</w:t>
            </w:r>
          </w:p>
          <w:p w14:paraId="0AF6925B">
            <w:pPr>
              <w:pStyle w:val="13"/>
              <w:spacing w:line="240" w:lineRule="auto"/>
              <w:jc w:val="both"/>
              <w:outlineLvl w:val="9"/>
              <w:rPr>
                <w:rFonts w:hint="eastAsia" w:ascii="仿宋" w:hAnsi="仿宋" w:eastAsia="仿宋" w:cs="仿宋"/>
                <w:sz w:val="20"/>
                <w:szCs w:val="20"/>
                <w:lang w:val="en-US"/>
              </w:rPr>
            </w:pPr>
            <w:r>
              <w:rPr>
                <w:rFonts w:hint="eastAsia" w:ascii="仿宋" w:hAnsi="仿宋" w:eastAsia="仿宋" w:cs="仿宋"/>
                <w:sz w:val="20"/>
                <w:szCs w:val="20"/>
                <w:lang w:val="en-US" w:eastAsia="zh-CN"/>
              </w:rPr>
              <w:t>8.</w:t>
            </w:r>
            <w:r>
              <w:rPr>
                <w:rFonts w:hint="eastAsia" w:ascii="仿宋" w:hAnsi="仿宋" w:eastAsia="仿宋" w:cs="仿宋"/>
                <w:sz w:val="20"/>
                <w:szCs w:val="20"/>
              </w:rPr>
              <w:t>数据上报系统</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为省高院</w:t>
            </w:r>
            <w:r>
              <w:rPr>
                <w:rFonts w:hint="eastAsia" w:ascii="仿宋" w:hAnsi="仿宋" w:eastAsia="仿宋" w:cs="仿宋"/>
                <w:sz w:val="20"/>
                <w:szCs w:val="20"/>
                <w:lang w:val="en-US"/>
              </w:rPr>
              <w:t>提供日常运维服务、各类巡检服务、数据备份服务、应急响应以及现场值守服务、系统更新服务、即时响应服务。</w:t>
            </w:r>
          </w:p>
          <w:p w14:paraId="20C9C1CA">
            <w:pPr>
              <w:pStyle w:val="13"/>
              <w:spacing w:line="240" w:lineRule="auto"/>
              <w:jc w:val="both"/>
              <w:outlineLvl w:val="9"/>
              <w:rPr>
                <w:rFonts w:hint="eastAsia" w:ascii="仿宋" w:hAnsi="仿宋" w:eastAsia="仿宋" w:cs="仿宋"/>
                <w:sz w:val="20"/>
                <w:szCs w:val="20"/>
                <w:lang w:val="en-US"/>
              </w:rPr>
            </w:pPr>
            <w:r>
              <w:rPr>
                <w:rFonts w:hint="eastAsia" w:ascii="仿宋" w:hAnsi="仿宋" w:eastAsia="仿宋" w:cs="仿宋"/>
                <w:sz w:val="20"/>
                <w:szCs w:val="20"/>
                <w:lang w:val="en-US" w:eastAsia="zh-CN"/>
              </w:rPr>
              <w:t>9.</w:t>
            </w:r>
            <w:r>
              <w:rPr>
                <w:rFonts w:hint="eastAsia" w:ascii="仿宋" w:hAnsi="仿宋" w:eastAsia="仿宋" w:cs="仿宋"/>
                <w:sz w:val="20"/>
                <w:szCs w:val="20"/>
              </w:rPr>
              <w:t>司法统计</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为省高院</w:t>
            </w:r>
            <w:r>
              <w:rPr>
                <w:rFonts w:hint="eastAsia" w:ascii="仿宋" w:hAnsi="仿宋" w:eastAsia="仿宋" w:cs="仿宋"/>
                <w:sz w:val="20"/>
                <w:szCs w:val="20"/>
                <w:lang w:val="en-US"/>
              </w:rPr>
              <w:t>提供日常运维服务、各类巡检服务、数据备份服务、应急响应以及现场值守服务、系统更新服务、即时响应服务。</w:t>
            </w:r>
          </w:p>
          <w:p w14:paraId="0317ED04">
            <w:pPr>
              <w:pStyle w:val="13"/>
              <w:spacing w:line="240" w:lineRule="auto"/>
              <w:jc w:val="both"/>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r>
              <w:rPr>
                <w:rFonts w:hint="eastAsia" w:ascii="仿宋" w:hAnsi="仿宋" w:eastAsia="仿宋" w:cs="仿宋"/>
                <w:sz w:val="20"/>
                <w:szCs w:val="20"/>
              </w:rPr>
              <w:t>电子卷宗随案生成系统</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为省高院</w:t>
            </w:r>
            <w:r>
              <w:rPr>
                <w:rFonts w:hint="eastAsia" w:ascii="仿宋" w:hAnsi="仿宋" w:eastAsia="仿宋" w:cs="仿宋"/>
                <w:sz w:val="20"/>
                <w:szCs w:val="20"/>
                <w:lang w:val="en-US"/>
              </w:rPr>
              <w:t>提供日常运维服务、各类巡检服务、数据备份服务、应急响应以及现场值守服务、系统更新服务、即时响应服务。</w:t>
            </w:r>
          </w:p>
          <w:p w14:paraId="1655BFE2">
            <w:pPr>
              <w:pStyle w:val="13"/>
              <w:spacing w:line="240" w:lineRule="auto"/>
              <w:jc w:val="both"/>
              <w:outlineLvl w:val="9"/>
              <w:rPr>
                <w:rFonts w:hint="eastAsia" w:ascii="仿宋" w:hAnsi="仿宋" w:eastAsia="仿宋" w:cs="仿宋"/>
                <w:sz w:val="20"/>
                <w:szCs w:val="20"/>
                <w:highlight w:val="none"/>
                <w:lang w:val="en-US"/>
              </w:rPr>
            </w:pPr>
            <w:r>
              <w:rPr>
                <w:rFonts w:hint="eastAsia" w:ascii="仿宋" w:hAnsi="仿宋" w:eastAsia="仿宋" w:cs="仿宋"/>
                <w:sz w:val="20"/>
                <w:szCs w:val="20"/>
                <w:highlight w:val="none"/>
                <w:lang w:val="en-US" w:eastAsia="zh-CN"/>
              </w:rPr>
              <w:t>11.</w:t>
            </w:r>
            <w:r>
              <w:rPr>
                <w:rFonts w:hint="eastAsia" w:ascii="仿宋" w:hAnsi="仿宋" w:eastAsia="仿宋" w:cs="仿宋"/>
                <w:sz w:val="20"/>
                <w:szCs w:val="20"/>
                <w:highlight w:val="none"/>
              </w:rPr>
              <w:t>诉讼服务网</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为省高院</w:t>
            </w:r>
            <w:r>
              <w:rPr>
                <w:rFonts w:hint="eastAsia" w:ascii="仿宋" w:hAnsi="仿宋" w:eastAsia="仿宋" w:cs="仿宋"/>
                <w:sz w:val="20"/>
                <w:szCs w:val="20"/>
                <w:highlight w:val="none"/>
                <w:lang w:val="en-US"/>
              </w:rPr>
              <w:t>提供日常运维服务、各类巡检服务、数据备份服务、应急响应以及现场值守服务、系统更新服务、即时响应服务。</w:t>
            </w:r>
          </w:p>
          <w:p w14:paraId="09BE6EDA">
            <w:pPr>
              <w:pStyle w:val="13"/>
              <w:spacing w:line="240" w:lineRule="auto"/>
              <w:jc w:val="both"/>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12.</w:t>
            </w:r>
            <w:r>
              <w:rPr>
                <w:rFonts w:hint="eastAsia" w:ascii="仿宋" w:hAnsi="仿宋" w:eastAsia="仿宋" w:cs="仿宋"/>
                <w:sz w:val="20"/>
                <w:szCs w:val="20"/>
              </w:rPr>
              <w:t>诉讼服务审核平台</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为省高院</w:t>
            </w:r>
            <w:r>
              <w:rPr>
                <w:rFonts w:hint="eastAsia" w:ascii="仿宋" w:hAnsi="仿宋" w:eastAsia="仿宋" w:cs="仿宋"/>
                <w:sz w:val="20"/>
                <w:szCs w:val="20"/>
                <w:lang w:val="en-US"/>
              </w:rPr>
              <w:t>提供日常运维服务、各类巡检服务、数据备份服务、应急响应以及现场值守服务、系统更新服务、即时响应服务。</w:t>
            </w:r>
          </w:p>
          <w:p w14:paraId="7E781F28">
            <w:pPr>
              <w:pStyle w:val="13"/>
              <w:spacing w:line="240" w:lineRule="auto"/>
              <w:jc w:val="both"/>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13.</w:t>
            </w:r>
            <w:r>
              <w:rPr>
                <w:rFonts w:hint="eastAsia" w:ascii="仿宋" w:hAnsi="仿宋" w:eastAsia="仿宋" w:cs="仿宋"/>
                <w:sz w:val="20"/>
                <w:szCs w:val="20"/>
              </w:rPr>
              <w:t>司法鉴定系统</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为省高院</w:t>
            </w:r>
            <w:r>
              <w:rPr>
                <w:rFonts w:hint="eastAsia" w:ascii="仿宋" w:hAnsi="仿宋" w:eastAsia="仿宋" w:cs="仿宋"/>
                <w:sz w:val="20"/>
                <w:szCs w:val="20"/>
                <w:lang w:val="en-US"/>
              </w:rPr>
              <w:t>提供日常运维服务、各类巡检服务、数据备份服务、应急响应以及现场值守服务、系统更新服务、即时响应服务。</w:t>
            </w:r>
          </w:p>
          <w:p w14:paraId="14705277">
            <w:pPr>
              <w:pStyle w:val="13"/>
              <w:spacing w:line="240" w:lineRule="auto"/>
              <w:jc w:val="both"/>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lang w:val="en-US" w:eastAsia="zh-CN"/>
              </w:rPr>
              <w:t>14.</w:t>
            </w:r>
            <w:r>
              <w:rPr>
                <w:rFonts w:hint="eastAsia" w:ascii="仿宋" w:hAnsi="仿宋" w:eastAsia="仿宋" w:cs="仿宋"/>
                <w:sz w:val="20"/>
                <w:szCs w:val="20"/>
              </w:rPr>
              <w:t>电子档案系统</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为省高院</w:t>
            </w:r>
            <w:r>
              <w:rPr>
                <w:rFonts w:hint="eastAsia" w:ascii="仿宋" w:hAnsi="仿宋" w:eastAsia="仿宋" w:cs="仿宋"/>
                <w:sz w:val="20"/>
                <w:szCs w:val="20"/>
                <w:lang w:val="en-US"/>
              </w:rPr>
              <w:t>提供日常运维服务、各类巡检服务、数据备份服务、应急响应以及现场值守服务、系统更新服务、即时响应服务。</w:t>
            </w:r>
          </w:p>
        </w:tc>
        <w:tc>
          <w:tcPr>
            <w:tcW w:w="1696" w:type="pct"/>
            <w:tcBorders>
              <w:top w:val="single" w:color="000000" w:sz="4" w:space="0"/>
              <w:left w:val="single" w:color="000000" w:sz="4" w:space="0"/>
              <w:bottom w:val="single" w:color="000000" w:sz="4" w:space="0"/>
              <w:right w:val="single" w:color="000000" w:sz="4" w:space="0"/>
            </w:tcBorders>
            <w:noWrap/>
            <w:vAlign w:val="top"/>
          </w:tcPr>
          <w:p w14:paraId="5E6A04F4">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1.运维服务商的服务要求严格对照工作要求内容及运维服务指标要求执行。</w:t>
            </w:r>
          </w:p>
          <w:p w14:paraId="392BE183">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为了保证全省核心软件系统稳定运行，涉及系统升级和维护服务，需由运维服务商采购原软件生产商升级和维护服务；运维服务商需统一管理协调，运维服务商对软件生产商的服务质量要进行有效的检查和考核，并报告省高院信息技术部门备案；省高院信息技术部门负责审查运维条款并考核运维服务商。</w:t>
            </w:r>
          </w:p>
          <w:p w14:paraId="5EB0E78F">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3.对于系统升级服务，运维服务商需做好升级方案的初审并报省高院信息技术部门终审，终审后方可联合原软件生产商执行升级操作，并做好升级操作后的观察和文档保存。</w:t>
            </w:r>
          </w:p>
          <w:p w14:paraId="11AFECCD">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4.对于日常维护服务，运维服务商需做好日常维护记录档案并报省高院信息技术部门备案。</w:t>
            </w:r>
          </w:p>
          <w:p w14:paraId="7CF4D849">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5.运维服务商应提供7*24小时电话技术支持和故障申告服务；</w:t>
            </w:r>
            <w:r>
              <w:rPr>
                <w:rFonts w:hint="eastAsia" w:ascii="仿宋" w:hAnsi="仿宋" w:eastAsia="仿宋" w:cs="仿宋"/>
                <w:sz w:val="20"/>
                <w:szCs w:val="20"/>
                <w:lang w:val="zh-CN" w:eastAsia="zh-CN"/>
              </w:rPr>
              <w:t>在 5*8 小时工作时间内设置由专人职守的热线电话，接听内部的服务请求，并记录服务台事件处理结果；在非工作时间设置有专人 7*24 小时接听的移动电话热线，用于解决内部的技术问题以及接听7*24 小时突发情况。</w:t>
            </w:r>
          </w:p>
          <w:p w14:paraId="731F6CF3">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6.运维服务商应对法院系统的故障申告响应时间小于15分钟；对于故障解决时间，根据不同故障情况建立SLA故障服务等级并报备省高院信息技术部门并严格执行，但是要求紧急故障的单次中断时间不能超过12小时。 </w:t>
            </w:r>
          </w:p>
          <w:p w14:paraId="3EE455CD">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7.运维服务商需免费提供重要时段的特殊保障。</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8.运维服务商要制定完善的紧急故障处理流程及应急方案，保证紧急情况下快速故障处理，缩短故障处理时限。</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9.运维服务商需按月提供质效运维分析报告并报省高院信息技术部门，以便提升运维效率。</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10.运维服务商在服务期内要免费提供业务迁移服务。</w:t>
            </w:r>
          </w:p>
        </w:tc>
      </w:tr>
      <w:tr w14:paraId="48E1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1" w:hRule="atLeast"/>
          <w:jc w:val="center"/>
        </w:trPr>
        <w:tc>
          <w:tcPr>
            <w:tcW w:w="383" w:type="pct"/>
            <w:tcBorders>
              <w:top w:val="single" w:color="000000" w:sz="4" w:space="0"/>
              <w:left w:val="single" w:color="000000" w:sz="4" w:space="0"/>
              <w:bottom w:val="single" w:color="000000" w:sz="4" w:space="0"/>
              <w:right w:val="single" w:color="000000" w:sz="4" w:space="0"/>
            </w:tcBorders>
            <w:noWrap w:val="0"/>
            <w:vAlign w:val="center"/>
          </w:tcPr>
          <w:p w14:paraId="6C24AF6B">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435" w:type="pct"/>
            <w:vMerge w:val="continue"/>
            <w:tcBorders>
              <w:left w:val="single" w:color="000000" w:sz="4" w:space="0"/>
              <w:right w:val="single" w:color="000000" w:sz="4" w:space="0"/>
            </w:tcBorders>
            <w:noWrap w:val="0"/>
            <w:vAlign w:val="center"/>
          </w:tcPr>
          <w:p w14:paraId="0B7D4F2E">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4B0B8DA">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科技法庭运维</w:t>
            </w:r>
          </w:p>
        </w:tc>
        <w:tc>
          <w:tcPr>
            <w:tcW w:w="1941" w:type="pct"/>
            <w:tcBorders>
              <w:top w:val="single" w:color="000000" w:sz="4" w:space="0"/>
              <w:left w:val="single" w:color="000000" w:sz="4" w:space="0"/>
              <w:bottom w:val="single" w:color="000000" w:sz="4" w:space="0"/>
              <w:right w:val="single" w:color="000000" w:sz="4" w:space="0"/>
            </w:tcBorders>
            <w:noWrap/>
            <w:vAlign w:val="top"/>
          </w:tcPr>
          <w:p w14:paraId="10E5185D">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1.对我院14套科技法庭设备包括高清数字庭审主机、书记员系统软件、书记员电脑、高清摄像机、话筒、功率放大器、音箱、实物展台、液晶电视、打印机、光盘刻录机等设备提供维护巡检、技术参数测试服务。</w:t>
            </w:r>
          </w:p>
          <w:p w14:paraId="329A034B">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2.提供14套科技法庭设备的软件升级服务。</w:t>
            </w:r>
          </w:p>
          <w:p w14:paraId="6A0BBE0E">
            <w:pPr>
              <w:keepNext w:val="0"/>
              <w:keepLines w:val="0"/>
              <w:widowControl/>
              <w:numPr>
                <w:ilvl w:val="0"/>
                <w:numId w:val="0"/>
              </w:numPr>
              <w:suppressLineNumbers w:val="0"/>
              <w:spacing w:line="240" w:lineRule="auto"/>
              <w:ind w:left="0" w:leftChars="0" w:firstLine="0" w:firstLineChars="0"/>
              <w:jc w:val="both"/>
              <w:textAlignment w:val="center"/>
              <w:outlineLvl w:val="9"/>
              <w:rPr>
                <w:rFonts w:hint="eastAsia" w:ascii="仿宋" w:hAnsi="仿宋" w:eastAsia="仿宋" w:cs="仿宋"/>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3.提供全年不间断的开庭技术保障服务。</w:t>
            </w:r>
          </w:p>
        </w:tc>
        <w:tc>
          <w:tcPr>
            <w:tcW w:w="1696" w:type="pct"/>
            <w:vMerge w:val="restart"/>
            <w:tcBorders>
              <w:top w:val="single" w:color="000000" w:sz="4" w:space="0"/>
              <w:left w:val="single" w:color="000000" w:sz="4" w:space="0"/>
              <w:right w:val="single" w:color="000000" w:sz="4" w:space="0"/>
            </w:tcBorders>
            <w:noWrap/>
            <w:vAlign w:val="center"/>
          </w:tcPr>
          <w:p w14:paraId="59DC07FF">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i w:val="0"/>
                <w:iCs w:val="0"/>
                <w:color w:val="000000"/>
                <w:kern w:val="0"/>
                <w:sz w:val="20"/>
                <w:szCs w:val="20"/>
                <w:u w:val="none"/>
                <w:lang w:val="en-US" w:eastAsia="zh-CN" w:bidi="ar"/>
              </w:rPr>
              <w:t>1.运维服务商的</w:t>
            </w:r>
            <w:r>
              <w:rPr>
                <w:rFonts w:hint="eastAsia" w:ascii="仿宋" w:hAnsi="仿宋" w:eastAsia="仿宋" w:cs="仿宋"/>
                <w:sz w:val="20"/>
                <w:szCs w:val="20"/>
                <w:lang w:val="en-US" w:eastAsia="zh-CN"/>
              </w:rPr>
              <w:t>服务要求严格对照工作要求内容及运维服务指标要求执行。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w:t>
            </w:r>
            <w:r>
              <w:rPr>
                <w:rFonts w:hint="eastAsia" w:ascii="仿宋" w:hAnsi="仿宋" w:eastAsia="仿宋" w:cs="仿宋"/>
                <w:sz w:val="20"/>
                <w:szCs w:val="20"/>
                <w:lang w:val="en-US" w:eastAsia="zh-CN"/>
              </w:rPr>
              <w:t>对于系统升级服务，运维服务商需做好升级方案的初审并报省高院信息技术部门终审，终审后方可执行升级操作，并做好升级操作后的观察和文档保存。</w:t>
            </w:r>
          </w:p>
          <w:p w14:paraId="4D391397">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3.对于日常维护服务，运维服务商需做好日常维护记录档案并报省高院信息技术部门备案。</w:t>
            </w:r>
          </w:p>
          <w:p w14:paraId="29C911F5">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4.运维服务商应提供7*24小时电话技术支持和故障申告服务；</w:t>
            </w:r>
            <w:r>
              <w:rPr>
                <w:rFonts w:hint="eastAsia" w:ascii="仿宋" w:hAnsi="仿宋" w:eastAsia="仿宋" w:cs="仿宋"/>
                <w:sz w:val="20"/>
                <w:szCs w:val="20"/>
                <w:lang w:val="zh-CN" w:eastAsia="zh-CN"/>
              </w:rPr>
              <w:t>在 5*8 小时工作时间内设置由专人职守的热线电话，接听内部的服务请求，并记录服务台事件处理结果；在非工作时间设置有专人 7*24 小时接听的移动电话热线，用于解决内部的技术问题以及接听7*24 小时突发情况。</w:t>
            </w:r>
          </w:p>
          <w:p w14:paraId="384BC441">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5.运维服务商应对法院系统的故障申告响应时间小于15分钟；对于故障解决时间，根据不同故障情况建立SLA故障服务等级并报备省高院信息技术部门并严格执行，但是要求紧急故障的单次中断时间不能超过12小时。 </w:t>
            </w:r>
          </w:p>
          <w:p w14:paraId="4EA5034A">
            <w:pPr>
              <w:keepNext w:val="0"/>
              <w:keepLines w:val="0"/>
              <w:widowControl/>
              <w:numPr>
                <w:ilvl w:val="0"/>
                <w:numId w:val="0"/>
              </w:numPr>
              <w:suppressLineNumbers w:val="0"/>
              <w:spacing w:line="240" w:lineRule="auto"/>
              <w:ind w:left="0" w:leftChars="0" w:firstLine="0" w:firstLineChars="0"/>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lang w:val="en-US" w:eastAsia="zh-CN"/>
              </w:rPr>
              <w:t>6.运维服务商需免费提供重要时段的特殊保障。</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7.运维服务商要制定完善的紧急故障处理流程及应急方案，保证紧急情况下快速故障处理，缩短故障处理时限。</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8.运维服务商需按月提供质效运维分析报告并报省高院信息技术部门，以便提升运维效率。</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9.运维服务商在服务期内要免费提供业务迁移服务。</w:t>
            </w:r>
          </w:p>
        </w:tc>
      </w:tr>
      <w:tr w14:paraId="318B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jc w:val="center"/>
        </w:trPr>
        <w:tc>
          <w:tcPr>
            <w:tcW w:w="383" w:type="pct"/>
            <w:tcBorders>
              <w:top w:val="single" w:color="000000" w:sz="4" w:space="0"/>
              <w:left w:val="single" w:color="000000" w:sz="4" w:space="0"/>
              <w:bottom w:val="single" w:color="000000" w:sz="4" w:space="0"/>
              <w:right w:val="single" w:color="000000" w:sz="4" w:space="0"/>
            </w:tcBorders>
            <w:noWrap w:val="0"/>
            <w:vAlign w:val="center"/>
          </w:tcPr>
          <w:p w14:paraId="43B1167A">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435" w:type="pct"/>
            <w:vMerge w:val="continue"/>
            <w:tcBorders>
              <w:left w:val="single" w:color="000000" w:sz="4" w:space="0"/>
              <w:bottom w:val="single" w:color="000000" w:sz="4" w:space="0"/>
              <w:right w:val="single" w:color="000000" w:sz="4" w:space="0"/>
            </w:tcBorders>
            <w:noWrap w:val="0"/>
            <w:vAlign w:val="center"/>
          </w:tcPr>
          <w:p w14:paraId="08E868A4">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A1CC916">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审务督察系统维保服务</w:t>
            </w:r>
          </w:p>
        </w:tc>
        <w:tc>
          <w:tcPr>
            <w:tcW w:w="1941" w:type="pct"/>
            <w:tcBorders>
              <w:top w:val="single" w:color="000000" w:sz="4" w:space="0"/>
              <w:left w:val="single" w:color="000000" w:sz="4" w:space="0"/>
              <w:bottom w:val="single" w:color="000000" w:sz="4" w:space="0"/>
              <w:right w:val="single" w:color="000000" w:sz="4" w:space="0"/>
            </w:tcBorders>
            <w:noWrap/>
            <w:vAlign w:val="top"/>
          </w:tcPr>
          <w:p w14:paraId="7FCFB65A">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对审务督察系统提供设备管理、硬件设备及系统运行状态检查、文档归档、故障检修、软件使用培训、系统需求管理、数据库定期备份、庭审视频的违规确认、新增账号的维护、并按照督察室要求定期生成审务督察违规报告等工作。</w:t>
            </w:r>
          </w:p>
        </w:tc>
        <w:tc>
          <w:tcPr>
            <w:tcW w:w="1696" w:type="pct"/>
            <w:vMerge w:val="continue"/>
            <w:tcBorders>
              <w:left w:val="single" w:color="000000" w:sz="4" w:space="0"/>
              <w:bottom w:val="single" w:color="000000" w:sz="4" w:space="0"/>
              <w:right w:val="single" w:color="000000" w:sz="4" w:space="0"/>
            </w:tcBorders>
            <w:noWrap/>
            <w:vAlign w:val="center"/>
          </w:tcPr>
          <w:p w14:paraId="658FBC11">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p>
        </w:tc>
      </w:tr>
      <w:tr w14:paraId="41A8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3" w:hRule="atLeast"/>
          <w:jc w:val="center"/>
        </w:trPr>
        <w:tc>
          <w:tcPr>
            <w:tcW w:w="383" w:type="pct"/>
            <w:tcBorders>
              <w:top w:val="single" w:color="000000" w:sz="4" w:space="0"/>
              <w:left w:val="single" w:color="000000" w:sz="4" w:space="0"/>
              <w:bottom w:val="single" w:color="000000" w:sz="4" w:space="0"/>
              <w:right w:val="single" w:color="000000" w:sz="4" w:space="0"/>
            </w:tcBorders>
            <w:noWrap w:val="0"/>
            <w:vAlign w:val="center"/>
          </w:tcPr>
          <w:p w14:paraId="7FB9AA5E">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435" w:type="pct"/>
            <w:vMerge w:val="restart"/>
            <w:tcBorders>
              <w:top w:val="single" w:color="000000" w:sz="4" w:space="0"/>
              <w:left w:val="single" w:color="000000" w:sz="4" w:space="0"/>
              <w:bottom w:val="single" w:color="000000" w:sz="4" w:space="0"/>
              <w:right w:val="single" w:color="000000" w:sz="4" w:space="0"/>
            </w:tcBorders>
            <w:noWrap w:val="0"/>
            <w:vAlign w:val="center"/>
          </w:tcPr>
          <w:p w14:paraId="2F9A17DF">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执行类业务系统运维</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FD6B6C9">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执行和案款系统运维</w:t>
            </w:r>
          </w:p>
        </w:tc>
        <w:tc>
          <w:tcPr>
            <w:tcW w:w="1941" w:type="pct"/>
            <w:tcBorders>
              <w:top w:val="single" w:color="000000" w:sz="4" w:space="0"/>
              <w:left w:val="single" w:color="000000" w:sz="4" w:space="0"/>
              <w:bottom w:val="single" w:color="000000" w:sz="4" w:space="0"/>
              <w:right w:val="single" w:color="000000" w:sz="4" w:space="0"/>
            </w:tcBorders>
            <w:noWrap w:val="0"/>
            <w:vAlign w:val="center"/>
          </w:tcPr>
          <w:p w14:paraId="34BB73FF">
            <w:pPr>
              <w:keepNext w:val="0"/>
              <w:keepLines w:val="0"/>
              <w:widowControl/>
              <w:numPr>
                <w:ilvl w:val="0"/>
                <w:numId w:val="2"/>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zh-CN" w:eastAsia="zh-CN" w:bidi="ar"/>
              </w:rPr>
            </w:pPr>
            <w:r>
              <w:rPr>
                <w:rFonts w:hint="eastAsia" w:ascii="仿宋" w:hAnsi="仿宋" w:eastAsia="仿宋" w:cs="仿宋"/>
                <w:i w:val="0"/>
                <w:iCs w:val="0"/>
                <w:color w:val="000000"/>
                <w:kern w:val="0"/>
                <w:sz w:val="20"/>
                <w:szCs w:val="20"/>
                <w:u w:val="none"/>
                <w:lang w:val="en-US" w:eastAsia="zh-CN" w:bidi="ar"/>
              </w:rPr>
              <w:t>为省高院提供</w:t>
            </w:r>
            <w:r>
              <w:rPr>
                <w:rFonts w:hint="eastAsia" w:ascii="仿宋" w:hAnsi="仿宋" w:eastAsia="仿宋" w:cs="仿宋"/>
                <w:i w:val="0"/>
                <w:iCs w:val="0"/>
                <w:color w:val="000000"/>
                <w:kern w:val="0"/>
                <w:sz w:val="20"/>
                <w:szCs w:val="20"/>
                <w:u w:val="none"/>
                <w:lang w:val="zh-CN" w:eastAsia="zh-CN" w:bidi="ar"/>
              </w:rPr>
              <w:t>执行流程管理等系统运行使用保障</w:t>
            </w:r>
            <w:r>
              <w:rPr>
                <w:rFonts w:hint="eastAsia" w:ascii="仿宋" w:hAnsi="仿宋" w:eastAsia="仿宋" w:cs="仿宋"/>
                <w:i w:val="0"/>
                <w:iCs w:val="0"/>
                <w:color w:val="000000"/>
                <w:kern w:val="0"/>
                <w:sz w:val="20"/>
                <w:szCs w:val="20"/>
                <w:u w:val="none"/>
                <w:lang w:val="en-US" w:eastAsia="zh-CN" w:bidi="ar"/>
              </w:rPr>
              <w:t>服务</w:t>
            </w:r>
            <w:r>
              <w:rPr>
                <w:rFonts w:hint="eastAsia" w:ascii="仿宋" w:hAnsi="仿宋" w:eastAsia="仿宋" w:cs="仿宋"/>
                <w:i w:val="0"/>
                <w:iCs w:val="0"/>
                <w:color w:val="000000"/>
                <w:kern w:val="0"/>
                <w:sz w:val="20"/>
                <w:szCs w:val="20"/>
                <w:u w:val="none"/>
                <w:lang w:val="zh-CN" w:eastAsia="zh-CN" w:bidi="ar"/>
              </w:rPr>
              <w:t>：</w:t>
            </w:r>
            <w:r>
              <w:rPr>
                <w:rFonts w:hint="eastAsia" w:ascii="仿宋" w:hAnsi="仿宋" w:eastAsia="仿宋" w:cs="仿宋"/>
                <w:i w:val="0"/>
                <w:iCs w:val="0"/>
                <w:color w:val="000000"/>
                <w:kern w:val="0"/>
                <w:sz w:val="20"/>
                <w:szCs w:val="20"/>
                <w:u w:val="none"/>
                <w:lang w:val="zh-CN" w:eastAsia="zh-CN" w:bidi="ar"/>
              </w:rPr>
              <w:br w:type="textWrapping"/>
            </w:r>
            <w:r>
              <w:rPr>
                <w:rFonts w:hint="eastAsia" w:ascii="仿宋" w:hAnsi="仿宋" w:eastAsia="仿宋" w:cs="仿宋"/>
                <w:i w:val="0"/>
                <w:iCs w:val="0"/>
                <w:color w:val="000000"/>
                <w:kern w:val="0"/>
                <w:sz w:val="20"/>
                <w:szCs w:val="20"/>
                <w:u w:val="none"/>
                <w:lang w:val="zh-CN" w:eastAsia="zh-CN" w:bidi="ar"/>
              </w:rPr>
              <w:t>（</w:t>
            </w:r>
            <w:r>
              <w:rPr>
                <w:rFonts w:hint="eastAsia" w:ascii="仿宋" w:hAnsi="仿宋" w:eastAsia="仿宋" w:cs="仿宋"/>
                <w:i w:val="0"/>
                <w:iCs w:val="0"/>
                <w:color w:val="000000"/>
                <w:kern w:val="0"/>
                <w:sz w:val="20"/>
                <w:szCs w:val="20"/>
                <w:u w:val="none"/>
                <w:lang w:val="en-US" w:eastAsia="zh-CN" w:bidi="ar"/>
              </w:rPr>
              <w:t>1</w:t>
            </w:r>
            <w:r>
              <w:rPr>
                <w:rFonts w:hint="eastAsia" w:ascii="仿宋" w:hAnsi="仿宋" w:eastAsia="仿宋" w:cs="仿宋"/>
                <w:i w:val="0"/>
                <w:iCs w:val="0"/>
                <w:color w:val="000000"/>
                <w:kern w:val="0"/>
                <w:sz w:val="20"/>
                <w:szCs w:val="20"/>
                <w:u w:val="none"/>
                <w:lang w:val="zh-CN" w:eastAsia="zh-CN" w:bidi="ar"/>
              </w:rPr>
              <w:t>）</w:t>
            </w:r>
            <w:r>
              <w:rPr>
                <w:rFonts w:hint="eastAsia" w:ascii="仿宋" w:hAnsi="仿宋" w:eastAsia="仿宋" w:cs="仿宋"/>
                <w:i w:val="0"/>
                <w:iCs w:val="0"/>
                <w:color w:val="000000"/>
                <w:kern w:val="0"/>
                <w:sz w:val="20"/>
                <w:szCs w:val="20"/>
                <w:u w:val="none"/>
                <w:lang w:val="en-US" w:eastAsia="zh-CN" w:bidi="ar"/>
              </w:rPr>
              <w:t>日常</w:t>
            </w:r>
            <w:r>
              <w:rPr>
                <w:rFonts w:hint="eastAsia" w:ascii="仿宋" w:hAnsi="仿宋" w:eastAsia="仿宋" w:cs="仿宋"/>
                <w:i w:val="0"/>
                <w:iCs w:val="0"/>
                <w:color w:val="000000"/>
                <w:kern w:val="0"/>
                <w:sz w:val="20"/>
                <w:szCs w:val="20"/>
                <w:u w:val="none"/>
                <w:lang w:val="zh-CN" w:eastAsia="zh-CN" w:bidi="ar"/>
              </w:rPr>
              <w:t>例行操作服务：</w:t>
            </w:r>
            <w:r>
              <w:rPr>
                <w:rFonts w:hint="eastAsia" w:ascii="仿宋" w:hAnsi="仿宋" w:eastAsia="仿宋" w:cs="仿宋"/>
                <w:i w:val="0"/>
                <w:iCs w:val="0"/>
                <w:color w:val="000000"/>
                <w:kern w:val="0"/>
                <w:sz w:val="20"/>
                <w:szCs w:val="20"/>
                <w:u w:val="none"/>
                <w:lang w:val="en-US" w:eastAsia="zh-CN" w:bidi="ar"/>
              </w:rPr>
              <w:t>提供</w:t>
            </w:r>
            <w:r>
              <w:rPr>
                <w:rFonts w:hint="eastAsia" w:ascii="仿宋" w:hAnsi="仿宋" w:eastAsia="仿宋" w:cs="仿宋"/>
                <w:i w:val="0"/>
                <w:iCs w:val="0"/>
                <w:color w:val="000000"/>
                <w:kern w:val="0"/>
                <w:sz w:val="20"/>
                <w:szCs w:val="20"/>
                <w:u w:val="none"/>
                <w:lang w:val="zh-CN" w:eastAsia="zh-CN" w:bidi="ar"/>
              </w:rPr>
              <w:t>5*8</w:t>
            </w:r>
            <w:r>
              <w:rPr>
                <w:rFonts w:hint="eastAsia" w:ascii="仿宋" w:hAnsi="仿宋" w:eastAsia="仿宋" w:cs="仿宋"/>
                <w:i w:val="0"/>
                <w:iCs w:val="0"/>
                <w:color w:val="000000"/>
                <w:kern w:val="0"/>
                <w:sz w:val="20"/>
                <w:szCs w:val="20"/>
                <w:u w:val="none"/>
                <w:lang w:val="en-US" w:eastAsia="zh-CN" w:bidi="ar"/>
              </w:rPr>
              <w:t>小时</w:t>
            </w:r>
            <w:r>
              <w:rPr>
                <w:rFonts w:hint="eastAsia" w:ascii="仿宋" w:hAnsi="仿宋" w:eastAsia="仿宋" w:cs="仿宋"/>
                <w:i w:val="0"/>
                <w:iCs w:val="0"/>
                <w:color w:val="000000"/>
                <w:kern w:val="0"/>
                <w:sz w:val="20"/>
                <w:szCs w:val="20"/>
                <w:u w:val="none"/>
                <w:lang w:val="zh-CN" w:eastAsia="zh-CN" w:bidi="ar"/>
              </w:rPr>
              <w:t>业务数据质量检查、备份数据可恢复性检查、业务数据备份、7*24</w:t>
            </w:r>
            <w:r>
              <w:rPr>
                <w:rFonts w:hint="eastAsia" w:ascii="仿宋" w:hAnsi="仿宋" w:eastAsia="仿宋" w:cs="仿宋"/>
                <w:i w:val="0"/>
                <w:iCs w:val="0"/>
                <w:color w:val="000000"/>
                <w:kern w:val="0"/>
                <w:sz w:val="20"/>
                <w:szCs w:val="20"/>
                <w:u w:val="none"/>
                <w:lang w:val="en-US" w:eastAsia="zh-CN" w:bidi="ar"/>
              </w:rPr>
              <w:t>小时应用系统</w:t>
            </w:r>
            <w:r>
              <w:rPr>
                <w:rFonts w:hint="eastAsia" w:ascii="仿宋" w:hAnsi="仿宋" w:eastAsia="仿宋" w:cs="仿宋"/>
                <w:i w:val="0"/>
                <w:iCs w:val="0"/>
                <w:color w:val="000000"/>
                <w:kern w:val="0"/>
                <w:sz w:val="20"/>
                <w:szCs w:val="20"/>
                <w:u w:val="none"/>
                <w:lang w:val="zh-CN" w:eastAsia="zh-CN" w:bidi="ar"/>
              </w:rPr>
              <w:t>性能监控、5*8</w:t>
            </w:r>
            <w:r>
              <w:rPr>
                <w:rFonts w:hint="eastAsia" w:ascii="仿宋" w:hAnsi="仿宋" w:eastAsia="仿宋" w:cs="仿宋"/>
                <w:i w:val="0"/>
                <w:iCs w:val="0"/>
                <w:color w:val="000000"/>
                <w:kern w:val="0"/>
                <w:sz w:val="20"/>
                <w:szCs w:val="20"/>
                <w:u w:val="none"/>
                <w:lang w:val="en-US" w:eastAsia="zh-CN" w:bidi="ar"/>
              </w:rPr>
              <w:t>小时应用系统巡检</w:t>
            </w:r>
            <w:r>
              <w:rPr>
                <w:rFonts w:hint="eastAsia" w:ascii="仿宋" w:hAnsi="仿宋" w:eastAsia="仿宋" w:cs="仿宋"/>
                <w:i w:val="0"/>
                <w:iCs w:val="0"/>
                <w:color w:val="000000"/>
                <w:kern w:val="0"/>
                <w:sz w:val="20"/>
                <w:szCs w:val="20"/>
                <w:u w:val="none"/>
                <w:lang w:val="zh-CN" w:eastAsia="zh-CN" w:bidi="ar"/>
              </w:rPr>
              <w:t>、5*8</w:t>
            </w:r>
            <w:r>
              <w:rPr>
                <w:rFonts w:hint="eastAsia" w:ascii="仿宋" w:hAnsi="仿宋" w:eastAsia="仿宋" w:cs="仿宋"/>
                <w:i w:val="0"/>
                <w:iCs w:val="0"/>
                <w:color w:val="000000"/>
                <w:kern w:val="0"/>
                <w:sz w:val="20"/>
                <w:szCs w:val="20"/>
                <w:u w:val="none"/>
                <w:lang w:val="en-US" w:eastAsia="zh-CN" w:bidi="ar"/>
              </w:rPr>
              <w:t>小时</w:t>
            </w:r>
            <w:r>
              <w:rPr>
                <w:rFonts w:hint="eastAsia" w:ascii="仿宋" w:hAnsi="仿宋" w:eastAsia="仿宋" w:cs="仿宋"/>
                <w:i w:val="0"/>
                <w:iCs w:val="0"/>
                <w:color w:val="000000"/>
                <w:kern w:val="0"/>
                <w:sz w:val="20"/>
                <w:szCs w:val="20"/>
                <w:u w:val="none"/>
                <w:lang w:val="zh-CN" w:eastAsia="zh-CN" w:bidi="ar"/>
              </w:rPr>
              <w:t>业务数据质量检查、</w:t>
            </w:r>
            <w:r>
              <w:rPr>
                <w:rFonts w:hint="eastAsia" w:ascii="仿宋" w:hAnsi="仿宋" w:eastAsia="仿宋" w:cs="仿宋"/>
                <w:i w:val="0"/>
                <w:iCs w:val="0"/>
                <w:color w:val="000000"/>
                <w:kern w:val="0"/>
                <w:sz w:val="20"/>
                <w:szCs w:val="20"/>
                <w:u w:val="none"/>
                <w:lang w:val="en-US" w:eastAsia="zh-CN" w:bidi="ar"/>
              </w:rPr>
              <w:t>日志和告警信息分析</w:t>
            </w:r>
            <w:r>
              <w:rPr>
                <w:rFonts w:hint="eastAsia" w:ascii="仿宋" w:hAnsi="仿宋" w:eastAsia="仿宋" w:cs="仿宋"/>
                <w:i w:val="0"/>
                <w:iCs w:val="0"/>
                <w:color w:val="000000"/>
                <w:kern w:val="0"/>
                <w:sz w:val="20"/>
                <w:szCs w:val="20"/>
                <w:u w:val="none"/>
                <w:lang w:val="zh-CN" w:eastAsia="zh-CN" w:bidi="ar"/>
              </w:rPr>
              <w:t>、数据备份、配置管理、运维文档管理等日常例行操作服务。</w:t>
            </w:r>
          </w:p>
          <w:p w14:paraId="7A66F24E">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zh-CN" w:eastAsia="zh-CN" w:bidi="ar"/>
              </w:rPr>
            </w:pPr>
            <w:r>
              <w:rPr>
                <w:rFonts w:hint="eastAsia" w:ascii="仿宋" w:hAnsi="仿宋" w:eastAsia="仿宋" w:cs="仿宋"/>
                <w:i w:val="0"/>
                <w:iCs w:val="0"/>
                <w:color w:val="000000"/>
                <w:kern w:val="0"/>
                <w:sz w:val="20"/>
                <w:szCs w:val="20"/>
                <w:u w:val="none"/>
                <w:lang w:val="zh-CN" w:eastAsia="zh-CN" w:bidi="ar"/>
              </w:rPr>
              <w:t>（</w:t>
            </w:r>
            <w:r>
              <w:rPr>
                <w:rFonts w:hint="eastAsia" w:ascii="仿宋" w:hAnsi="仿宋" w:eastAsia="仿宋" w:cs="仿宋"/>
                <w:i w:val="0"/>
                <w:iCs w:val="0"/>
                <w:color w:val="000000"/>
                <w:kern w:val="0"/>
                <w:sz w:val="20"/>
                <w:szCs w:val="20"/>
                <w:u w:val="none"/>
                <w:lang w:val="en-US" w:eastAsia="zh-CN" w:bidi="ar"/>
              </w:rPr>
              <w:t>2</w:t>
            </w:r>
            <w:r>
              <w:rPr>
                <w:rFonts w:hint="eastAsia" w:ascii="仿宋" w:hAnsi="仿宋" w:eastAsia="仿宋" w:cs="仿宋"/>
                <w:i w:val="0"/>
                <w:iCs w:val="0"/>
                <w:color w:val="000000"/>
                <w:kern w:val="0"/>
                <w:sz w:val="20"/>
                <w:szCs w:val="20"/>
                <w:u w:val="none"/>
                <w:lang w:val="zh-CN" w:eastAsia="zh-CN" w:bidi="ar"/>
              </w:rPr>
              <w:t>）响应支持服务：提供5*8</w:t>
            </w:r>
            <w:r>
              <w:rPr>
                <w:rFonts w:hint="eastAsia" w:ascii="仿宋" w:hAnsi="仿宋" w:eastAsia="仿宋" w:cs="仿宋"/>
                <w:i w:val="0"/>
                <w:iCs w:val="0"/>
                <w:color w:val="000000"/>
                <w:kern w:val="0"/>
                <w:sz w:val="20"/>
                <w:szCs w:val="20"/>
                <w:u w:val="none"/>
                <w:lang w:val="en-US" w:eastAsia="zh-CN" w:bidi="ar"/>
              </w:rPr>
              <w:t>小时</w:t>
            </w:r>
            <w:r>
              <w:rPr>
                <w:rFonts w:hint="eastAsia" w:ascii="仿宋" w:hAnsi="仿宋" w:eastAsia="仿宋" w:cs="仿宋"/>
                <w:i w:val="0"/>
                <w:iCs w:val="0"/>
                <w:color w:val="000000"/>
                <w:kern w:val="0"/>
                <w:sz w:val="20"/>
                <w:szCs w:val="20"/>
                <w:u w:val="none"/>
                <w:lang w:val="zh-CN" w:eastAsia="zh-CN" w:bidi="ar"/>
              </w:rPr>
              <w:t>用户在使用过程中的数据恢复协助、数据存储空间调整、用户增加删除修改、</w:t>
            </w:r>
            <w:r>
              <w:rPr>
                <w:rFonts w:hint="eastAsia" w:ascii="仿宋" w:hAnsi="仿宋" w:eastAsia="仿宋" w:cs="仿宋"/>
                <w:i w:val="0"/>
                <w:iCs w:val="0"/>
                <w:color w:val="000000"/>
                <w:kern w:val="0"/>
                <w:sz w:val="20"/>
                <w:szCs w:val="20"/>
                <w:u w:val="none"/>
                <w:lang w:val="en-US" w:eastAsia="zh-CN" w:bidi="ar"/>
              </w:rPr>
              <w:t>现场或</w:t>
            </w:r>
            <w:r>
              <w:rPr>
                <w:rFonts w:hint="eastAsia" w:ascii="仿宋" w:hAnsi="仿宋" w:eastAsia="仿宋" w:cs="仿宋"/>
                <w:i w:val="0"/>
                <w:iCs w:val="0"/>
                <w:color w:val="000000"/>
                <w:kern w:val="0"/>
                <w:sz w:val="20"/>
                <w:szCs w:val="20"/>
                <w:u w:val="none"/>
                <w:lang w:val="zh-CN" w:eastAsia="zh-CN" w:bidi="ar"/>
              </w:rPr>
              <w:t>在线支持、应用系统使用支持、用户需求和Bug记录、数据调整、数据处理、数据清理、数据修复、应用系统使用培训、应用程序故障处理、应用性能测试、应用迁移、应急演练等响应支持服务。</w:t>
            </w:r>
          </w:p>
          <w:p w14:paraId="5AABA33E">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zh-CN" w:eastAsia="zh-CN" w:bidi="ar"/>
              </w:rPr>
            </w:pPr>
            <w:r>
              <w:rPr>
                <w:rFonts w:hint="eastAsia" w:ascii="仿宋" w:hAnsi="仿宋" w:eastAsia="仿宋" w:cs="仿宋"/>
                <w:i w:val="0"/>
                <w:iCs w:val="0"/>
                <w:color w:val="000000"/>
                <w:kern w:val="0"/>
                <w:sz w:val="20"/>
                <w:szCs w:val="20"/>
                <w:u w:val="none"/>
                <w:lang w:val="zh-CN" w:eastAsia="zh-CN" w:bidi="ar"/>
              </w:rPr>
              <w:t>（</w:t>
            </w:r>
            <w:r>
              <w:rPr>
                <w:rFonts w:hint="eastAsia" w:ascii="仿宋" w:hAnsi="仿宋" w:eastAsia="仿宋" w:cs="仿宋"/>
                <w:i w:val="0"/>
                <w:iCs w:val="0"/>
                <w:color w:val="000000"/>
                <w:kern w:val="0"/>
                <w:sz w:val="20"/>
                <w:szCs w:val="20"/>
                <w:u w:val="none"/>
                <w:lang w:val="en-US" w:eastAsia="zh-CN" w:bidi="ar"/>
              </w:rPr>
              <w:t>3</w:t>
            </w:r>
            <w:r>
              <w:rPr>
                <w:rFonts w:hint="eastAsia" w:ascii="仿宋" w:hAnsi="仿宋" w:eastAsia="仿宋" w:cs="仿宋"/>
                <w:i w:val="0"/>
                <w:iCs w:val="0"/>
                <w:color w:val="000000"/>
                <w:kern w:val="0"/>
                <w:sz w:val="20"/>
                <w:szCs w:val="20"/>
                <w:u w:val="none"/>
                <w:lang w:val="zh-CN" w:eastAsia="zh-CN" w:bidi="ar"/>
              </w:rPr>
              <w:t>）优化改善服务：提供5*8</w:t>
            </w:r>
            <w:r>
              <w:rPr>
                <w:rFonts w:hint="eastAsia" w:ascii="仿宋" w:hAnsi="仿宋" w:eastAsia="仿宋" w:cs="仿宋"/>
                <w:i w:val="0"/>
                <w:iCs w:val="0"/>
                <w:color w:val="000000"/>
                <w:kern w:val="0"/>
                <w:sz w:val="20"/>
                <w:szCs w:val="20"/>
                <w:u w:val="none"/>
                <w:lang w:val="en-US" w:eastAsia="zh-CN" w:bidi="ar"/>
              </w:rPr>
              <w:t>小时数据库优化、</w:t>
            </w:r>
            <w:r>
              <w:rPr>
                <w:rFonts w:hint="eastAsia" w:ascii="仿宋" w:hAnsi="仿宋" w:eastAsia="仿宋" w:cs="仿宋"/>
                <w:i w:val="0"/>
                <w:iCs w:val="0"/>
                <w:color w:val="000000"/>
                <w:kern w:val="0"/>
                <w:sz w:val="20"/>
                <w:szCs w:val="20"/>
                <w:u w:val="none"/>
                <w:lang w:val="zh-CN" w:eastAsia="zh-CN" w:bidi="ar"/>
              </w:rPr>
              <w:t>应用系统版本升级、补丁</w:t>
            </w:r>
            <w:r>
              <w:rPr>
                <w:rFonts w:hint="eastAsia" w:ascii="仿宋" w:hAnsi="仿宋" w:eastAsia="仿宋" w:cs="仿宋"/>
                <w:i w:val="0"/>
                <w:iCs w:val="0"/>
                <w:color w:val="000000"/>
                <w:kern w:val="0"/>
                <w:sz w:val="20"/>
                <w:szCs w:val="20"/>
                <w:u w:val="none"/>
                <w:lang w:val="en-US" w:eastAsia="zh-CN" w:bidi="ar"/>
              </w:rPr>
              <w:t>和</w:t>
            </w:r>
            <w:r>
              <w:rPr>
                <w:rFonts w:hint="eastAsia" w:ascii="仿宋" w:hAnsi="仿宋" w:eastAsia="仿宋" w:cs="仿宋"/>
                <w:i w:val="0"/>
                <w:iCs w:val="0"/>
                <w:color w:val="000000"/>
                <w:kern w:val="0"/>
                <w:sz w:val="20"/>
                <w:szCs w:val="20"/>
                <w:u w:val="none"/>
                <w:lang w:val="zh-CN" w:eastAsia="zh-CN" w:bidi="ar"/>
              </w:rPr>
              <w:t>版本测试、应用程序BUG修复、中间件补丁升级、中间件参数调整等优化改善服务。</w:t>
            </w:r>
          </w:p>
          <w:p w14:paraId="44E90491">
            <w:pPr>
              <w:pStyle w:val="7"/>
              <w:spacing w:line="240" w:lineRule="auto"/>
              <w:jc w:val="both"/>
              <w:outlineLvl w:val="9"/>
              <w:rPr>
                <w:rFonts w:hint="eastAsia" w:ascii="仿宋" w:hAnsi="仿宋" w:eastAsia="仿宋" w:cs="仿宋"/>
                <w:i w:val="0"/>
                <w:iCs w:val="0"/>
                <w:color w:val="000000"/>
                <w:kern w:val="0"/>
                <w:sz w:val="20"/>
                <w:szCs w:val="20"/>
                <w:u w:val="none"/>
                <w:lang w:val="zh-CN" w:eastAsia="zh-CN" w:bidi="ar"/>
              </w:rPr>
            </w:pPr>
            <w:r>
              <w:rPr>
                <w:rFonts w:hint="eastAsia" w:ascii="仿宋" w:hAnsi="仿宋" w:eastAsia="仿宋" w:cs="仿宋"/>
                <w:i w:val="0"/>
                <w:iCs w:val="0"/>
                <w:color w:val="000000"/>
                <w:kern w:val="0"/>
                <w:sz w:val="20"/>
                <w:szCs w:val="20"/>
                <w:u w:val="none"/>
                <w:lang w:val="en-US" w:eastAsia="zh-CN" w:bidi="ar"/>
              </w:rPr>
              <w:t>2.为省高院提供</w:t>
            </w:r>
            <w:r>
              <w:rPr>
                <w:rFonts w:hint="eastAsia" w:ascii="仿宋" w:hAnsi="仿宋" w:eastAsia="仿宋" w:cs="仿宋"/>
                <w:i w:val="0"/>
                <w:iCs w:val="0"/>
                <w:color w:val="000000"/>
                <w:kern w:val="0"/>
                <w:sz w:val="20"/>
                <w:szCs w:val="20"/>
                <w:u w:val="none"/>
                <w:lang w:val="zh-CN" w:eastAsia="zh-CN" w:bidi="ar"/>
              </w:rPr>
              <w:t>执行流程管理等系统平台案件报送保障</w:t>
            </w:r>
            <w:r>
              <w:rPr>
                <w:rFonts w:hint="eastAsia" w:ascii="仿宋" w:hAnsi="仿宋" w:eastAsia="仿宋" w:cs="仿宋"/>
                <w:i w:val="0"/>
                <w:iCs w:val="0"/>
                <w:color w:val="000000"/>
                <w:kern w:val="0"/>
                <w:sz w:val="20"/>
                <w:szCs w:val="20"/>
                <w:u w:val="none"/>
                <w:lang w:val="en-US" w:eastAsia="zh-CN" w:bidi="ar"/>
              </w:rPr>
              <w:t>服务</w:t>
            </w:r>
            <w:r>
              <w:rPr>
                <w:rFonts w:hint="eastAsia" w:ascii="仿宋" w:hAnsi="仿宋" w:eastAsia="仿宋" w:cs="仿宋"/>
                <w:i w:val="0"/>
                <w:iCs w:val="0"/>
                <w:color w:val="000000"/>
                <w:kern w:val="0"/>
                <w:sz w:val="20"/>
                <w:szCs w:val="20"/>
                <w:u w:val="none"/>
                <w:lang w:val="zh-CN" w:eastAsia="zh-CN" w:bidi="ar"/>
              </w:rPr>
              <w:t>：</w:t>
            </w:r>
          </w:p>
          <w:p w14:paraId="2E16AB79">
            <w:pPr>
              <w:pStyle w:val="7"/>
              <w:spacing w:line="240" w:lineRule="auto"/>
              <w:jc w:val="both"/>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（1）数据汇聚</w:t>
            </w:r>
            <w:r>
              <w:rPr>
                <w:rFonts w:hint="eastAsia" w:ascii="仿宋" w:hAnsi="仿宋" w:eastAsia="仿宋" w:cs="仿宋"/>
                <w:i w:val="0"/>
                <w:iCs w:val="0"/>
                <w:color w:val="000000"/>
                <w:kern w:val="0"/>
                <w:sz w:val="20"/>
                <w:szCs w:val="20"/>
                <w:u w:val="none"/>
                <w:lang w:val="zh-CN" w:eastAsia="zh-CN" w:bidi="ar"/>
              </w:rPr>
              <w:t>服务：针对陕西高院上下级间的数据汇聚工作进行7*24</w:t>
            </w:r>
            <w:r>
              <w:rPr>
                <w:rFonts w:hint="eastAsia" w:ascii="仿宋" w:hAnsi="仿宋" w:eastAsia="仿宋" w:cs="仿宋"/>
                <w:i w:val="0"/>
                <w:iCs w:val="0"/>
                <w:color w:val="000000"/>
                <w:kern w:val="0"/>
                <w:sz w:val="20"/>
                <w:szCs w:val="20"/>
                <w:u w:val="none"/>
                <w:lang w:val="en-US" w:eastAsia="zh-CN" w:bidi="ar"/>
              </w:rPr>
              <w:t>小时</w:t>
            </w:r>
            <w:r>
              <w:rPr>
                <w:rFonts w:hint="eastAsia" w:ascii="仿宋" w:hAnsi="仿宋" w:eastAsia="仿宋" w:cs="仿宋"/>
                <w:i w:val="0"/>
                <w:iCs w:val="0"/>
                <w:color w:val="000000"/>
                <w:kern w:val="0"/>
                <w:sz w:val="20"/>
                <w:szCs w:val="20"/>
                <w:u w:val="none"/>
                <w:lang w:val="zh-CN" w:eastAsia="zh-CN" w:bidi="ar"/>
              </w:rPr>
              <w:t>保障，确保数据完整、及时、准确汇聚至高院数据库；</w:t>
            </w:r>
            <w:r>
              <w:rPr>
                <w:rFonts w:hint="eastAsia" w:ascii="仿宋" w:hAnsi="仿宋" w:eastAsia="仿宋" w:cs="仿宋"/>
                <w:i w:val="0"/>
                <w:iCs w:val="0"/>
                <w:color w:val="000000"/>
                <w:kern w:val="0"/>
                <w:sz w:val="20"/>
                <w:szCs w:val="20"/>
                <w:u w:val="none"/>
                <w:lang w:val="en-US" w:eastAsia="zh-CN" w:bidi="ar"/>
              </w:rPr>
              <w:t>具体包括</w:t>
            </w:r>
            <w:r>
              <w:rPr>
                <w:rFonts w:hint="eastAsia" w:ascii="仿宋" w:hAnsi="仿宋" w:eastAsia="仿宋" w:cs="仿宋"/>
                <w:i w:val="0"/>
                <w:iCs w:val="0"/>
                <w:color w:val="000000"/>
                <w:kern w:val="0"/>
                <w:sz w:val="20"/>
                <w:szCs w:val="20"/>
                <w:u w:val="none"/>
                <w:lang w:val="zh-CN" w:eastAsia="zh-CN" w:bidi="ar"/>
              </w:rPr>
              <w:t>省内数据同步状态监控、同步工具运行日志检查、</w:t>
            </w:r>
            <w:r>
              <w:rPr>
                <w:rFonts w:hint="eastAsia" w:ascii="仿宋" w:hAnsi="仿宋" w:eastAsia="仿宋" w:cs="仿宋"/>
                <w:i w:val="0"/>
                <w:iCs w:val="0"/>
                <w:color w:val="000000"/>
                <w:kern w:val="0"/>
                <w:sz w:val="20"/>
                <w:szCs w:val="20"/>
                <w:u w:val="none"/>
                <w:lang w:val="en-US" w:eastAsia="zh-CN" w:bidi="ar"/>
              </w:rPr>
              <w:t>高</w:t>
            </w:r>
            <w:r>
              <w:rPr>
                <w:rFonts w:hint="eastAsia" w:ascii="仿宋" w:hAnsi="仿宋" w:eastAsia="仿宋" w:cs="仿宋"/>
                <w:i w:val="0"/>
                <w:iCs w:val="0"/>
                <w:color w:val="000000"/>
                <w:kern w:val="0"/>
                <w:sz w:val="20"/>
                <w:szCs w:val="20"/>
                <w:u w:val="none"/>
                <w:lang w:val="zh-CN" w:eastAsia="zh-CN" w:bidi="ar"/>
              </w:rPr>
              <w:t>院及上下级院间案件一致性检查、案件差异处理</w:t>
            </w:r>
            <w:r>
              <w:rPr>
                <w:rFonts w:hint="eastAsia" w:ascii="仿宋" w:hAnsi="仿宋" w:eastAsia="仿宋" w:cs="仿宋"/>
                <w:i w:val="0"/>
                <w:iCs w:val="0"/>
                <w:color w:val="000000"/>
                <w:kern w:val="0"/>
                <w:sz w:val="20"/>
                <w:szCs w:val="20"/>
                <w:u w:val="none"/>
                <w:lang w:val="en-US" w:eastAsia="zh-CN" w:bidi="ar"/>
              </w:rPr>
              <w:t>等服务。</w:t>
            </w:r>
          </w:p>
          <w:p w14:paraId="77CCCF75">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zh-CN" w:eastAsia="zh-CN" w:bidi="ar"/>
              </w:rPr>
            </w:pPr>
            <w:r>
              <w:rPr>
                <w:rFonts w:hint="eastAsia" w:ascii="仿宋" w:hAnsi="仿宋" w:eastAsia="仿宋" w:cs="仿宋"/>
                <w:i w:val="0"/>
                <w:iCs w:val="0"/>
                <w:color w:val="000000"/>
                <w:kern w:val="0"/>
                <w:sz w:val="20"/>
                <w:szCs w:val="20"/>
                <w:u w:val="none"/>
                <w:lang w:val="en-US" w:eastAsia="zh-CN" w:bidi="ar"/>
              </w:rPr>
              <w:t>（2）</w:t>
            </w:r>
            <w:r>
              <w:rPr>
                <w:rFonts w:hint="eastAsia" w:ascii="仿宋" w:hAnsi="仿宋" w:eastAsia="仿宋" w:cs="仿宋"/>
                <w:i w:val="0"/>
                <w:iCs w:val="0"/>
                <w:color w:val="000000"/>
                <w:kern w:val="0"/>
                <w:sz w:val="20"/>
                <w:szCs w:val="20"/>
                <w:u w:val="none"/>
                <w:lang w:val="zh-CN" w:eastAsia="zh-CN" w:bidi="ar"/>
              </w:rPr>
              <w:t>执行数据上报服务：按照最高法院的要求，</w:t>
            </w:r>
            <w:r>
              <w:rPr>
                <w:rFonts w:hint="eastAsia" w:ascii="仿宋" w:hAnsi="仿宋" w:eastAsia="仿宋" w:cs="仿宋"/>
                <w:i w:val="0"/>
                <w:iCs w:val="0"/>
                <w:color w:val="000000"/>
                <w:kern w:val="0"/>
                <w:sz w:val="20"/>
                <w:szCs w:val="20"/>
                <w:u w:val="none"/>
                <w:lang w:val="en-US" w:eastAsia="zh-CN" w:bidi="ar"/>
              </w:rPr>
              <w:t>对</w:t>
            </w:r>
            <w:r>
              <w:rPr>
                <w:rFonts w:hint="eastAsia" w:ascii="仿宋" w:hAnsi="仿宋" w:eastAsia="仿宋" w:cs="仿宋"/>
                <w:i w:val="0"/>
                <w:iCs w:val="0"/>
                <w:color w:val="000000"/>
                <w:kern w:val="0"/>
                <w:sz w:val="20"/>
                <w:szCs w:val="20"/>
                <w:u w:val="none"/>
                <w:lang w:val="zh-CN" w:eastAsia="zh-CN" w:bidi="ar"/>
              </w:rPr>
              <w:t>相关数据</w:t>
            </w:r>
            <w:r>
              <w:rPr>
                <w:rFonts w:hint="eastAsia" w:ascii="仿宋" w:hAnsi="仿宋" w:eastAsia="仿宋" w:cs="仿宋"/>
                <w:i w:val="0"/>
                <w:iCs w:val="0"/>
                <w:color w:val="000000"/>
                <w:kern w:val="0"/>
                <w:sz w:val="20"/>
                <w:szCs w:val="20"/>
                <w:u w:val="none"/>
                <w:lang w:val="en-US" w:eastAsia="zh-CN" w:bidi="ar"/>
              </w:rPr>
              <w:t>进行</w:t>
            </w:r>
            <w:r>
              <w:rPr>
                <w:rFonts w:hint="eastAsia" w:ascii="仿宋" w:hAnsi="仿宋" w:eastAsia="仿宋" w:cs="仿宋"/>
                <w:i w:val="0"/>
                <w:iCs w:val="0"/>
                <w:color w:val="000000"/>
                <w:kern w:val="0"/>
                <w:sz w:val="20"/>
                <w:szCs w:val="20"/>
                <w:u w:val="none"/>
                <w:lang w:val="zh-CN" w:eastAsia="zh-CN" w:bidi="ar"/>
              </w:rPr>
              <w:t>提取并打包发送、</w:t>
            </w:r>
            <w:r>
              <w:rPr>
                <w:rFonts w:hint="eastAsia" w:ascii="仿宋" w:hAnsi="仿宋" w:eastAsia="仿宋" w:cs="仿宋"/>
                <w:i w:val="0"/>
                <w:iCs w:val="0"/>
                <w:color w:val="000000"/>
                <w:kern w:val="0"/>
                <w:sz w:val="20"/>
                <w:szCs w:val="20"/>
                <w:u w:val="none"/>
                <w:lang w:val="en-US" w:eastAsia="zh-CN" w:bidi="ar"/>
              </w:rPr>
              <w:t>对</w:t>
            </w:r>
            <w:r>
              <w:rPr>
                <w:rFonts w:hint="eastAsia" w:ascii="仿宋" w:hAnsi="仿宋" w:eastAsia="仿宋" w:cs="仿宋"/>
                <w:i w:val="0"/>
                <w:iCs w:val="0"/>
                <w:color w:val="000000"/>
                <w:kern w:val="0"/>
                <w:sz w:val="20"/>
                <w:szCs w:val="20"/>
                <w:u w:val="none"/>
                <w:lang w:val="zh-CN" w:eastAsia="zh-CN" w:bidi="ar"/>
              </w:rPr>
              <w:t>实时数据报送保障、月结数据传送保障、利用数据发送工具进行数据的传送</w:t>
            </w:r>
            <w:r>
              <w:rPr>
                <w:rFonts w:hint="eastAsia" w:ascii="仿宋" w:hAnsi="仿宋" w:eastAsia="仿宋" w:cs="仿宋"/>
                <w:i w:val="0"/>
                <w:iCs w:val="0"/>
                <w:color w:val="000000"/>
                <w:kern w:val="0"/>
                <w:sz w:val="20"/>
                <w:szCs w:val="20"/>
                <w:u w:val="none"/>
                <w:lang w:val="en-US" w:eastAsia="zh-CN" w:bidi="ar"/>
              </w:rPr>
              <w:t>保障</w:t>
            </w:r>
            <w:r>
              <w:rPr>
                <w:rFonts w:hint="eastAsia" w:ascii="仿宋" w:hAnsi="仿宋" w:eastAsia="仿宋" w:cs="仿宋"/>
                <w:i w:val="0"/>
                <w:iCs w:val="0"/>
                <w:color w:val="000000"/>
                <w:kern w:val="0"/>
                <w:sz w:val="20"/>
                <w:szCs w:val="20"/>
                <w:u w:val="none"/>
                <w:lang w:val="zh-CN" w:eastAsia="zh-CN" w:bidi="ar"/>
              </w:rPr>
              <w:t>、对数据传输交换进行监控保障。</w:t>
            </w:r>
          </w:p>
          <w:p w14:paraId="45AA184C">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r>
              <w:rPr>
                <w:rFonts w:hint="eastAsia" w:ascii="仿宋" w:hAnsi="仿宋" w:eastAsia="仿宋" w:cs="仿宋"/>
                <w:i w:val="0"/>
                <w:iCs w:val="0"/>
                <w:color w:val="000000"/>
                <w:kern w:val="0"/>
                <w:sz w:val="20"/>
                <w:szCs w:val="20"/>
                <w:u w:val="none"/>
                <w:lang w:val="zh-CN" w:eastAsia="zh-CN" w:bidi="ar"/>
              </w:rPr>
              <w:t>数据质量管理服务：</w:t>
            </w:r>
            <w:r>
              <w:rPr>
                <w:rFonts w:hint="eastAsia" w:ascii="仿宋" w:hAnsi="仿宋" w:eastAsia="仿宋" w:cs="仿宋"/>
                <w:i w:val="0"/>
                <w:iCs w:val="0"/>
                <w:color w:val="000000"/>
                <w:kern w:val="0"/>
                <w:sz w:val="20"/>
                <w:szCs w:val="20"/>
                <w:u w:val="none"/>
                <w:lang w:val="en-US" w:eastAsia="zh-CN" w:bidi="ar"/>
              </w:rPr>
              <w:t>提供5*8小时</w:t>
            </w:r>
            <w:r>
              <w:rPr>
                <w:rFonts w:hint="eastAsia" w:ascii="仿宋" w:hAnsi="仿宋" w:eastAsia="仿宋" w:cs="仿宋"/>
                <w:i w:val="0"/>
                <w:iCs w:val="0"/>
                <w:color w:val="000000"/>
                <w:kern w:val="0"/>
                <w:sz w:val="20"/>
                <w:szCs w:val="20"/>
                <w:u w:val="none"/>
                <w:lang w:val="zh-CN" w:eastAsia="zh-CN" w:bidi="ar"/>
              </w:rPr>
              <w:t>数据准确性维护，</w:t>
            </w:r>
            <w:r>
              <w:rPr>
                <w:rFonts w:hint="eastAsia" w:ascii="仿宋" w:hAnsi="仿宋" w:eastAsia="仿宋" w:cs="仿宋"/>
                <w:i w:val="0"/>
                <w:iCs w:val="0"/>
                <w:color w:val="000000"/>
                <w:kern w:val="0"/>
                <w:sz w:val="20"/>
                <w:szCs w:val="20"/>
                <w:u w:val="none"/>
                <w:lang w:val="en-US" w:eastAsia="zh-CN" w:bidi="ar"/>
              </w:rPr>
              <w:t>包括对</w:t>
            </w:r>
            <w:r>
              <w:rPr>
                <w:rFonts w:hint="eastAsia" w:ascii="仿宋" w:hAnsi="仿宋" w:eastAsia="仿宋" w:cs="仿宋"/>
                <w:i w:val="0"/>
                <w:iCs w:val="0"/>
                <w:color w:val="000000"/>
                <w:kern w:val="0"/>
                <w:sz w:val="20"/>
                <w:szCs w:val="20"/>
                <w:u w:val="none"/>
                <w:lang w:val="zh-CN" w:eastAsia="zh-CN" w:bidi="ar"/>
              </w:rPr>
              <w:t>数据质量问题检查、</w:t>
            </w:r>
            <w:r>
              <w:rPr>
                <w:rFonts w:hint="eastAsia" w:ascii="仿宋" w:hAnsi="仿宋" w:eastAsia="仿宋" w:cs="仿宋"/>
                <w:i w:val="0"/>
                <w:iCs w:val="0"/>
                <w:color w:val="000000"/>
                <w:kern w:val="0"/>
                <w:sz w:val="20"/>
                <w:szCs w:val="20"/>
                <w:u w:val="none"/>
                <w:lang w:val="en-US" w:eastAsia="zh-CN" w:bidi="ar"/>
              </w:rPr>
              <w:t>分析、</w:t>
            </w:r>
            <w:r>
              <w:rPr>
                <w:rFonts w:hint="eastAsia" w:ascii="仿宋" w:hAnsi="仿宋" w:eastAsia="仿宋" w:cs="仿宋"/>
                <w:i w:val="0"/>
                <w:iCs w:val="0"/>
                <w:color w:val="000000"/>
                <w:kern w:val="0"/>
                <w:sz w:val="20"/>
                <w:szCs w:val="20"/>
                <w:u w:val="none"/>
                <w:lang w:val="zh-CN" w:eastAsia="zh-CN" w:bidi="ar"/>
              </w:rPr>
              <w:t>矫正处理，</w:t>
            </w:r>
            <w:r>
              <w:rPr>
                <w:rFonts w:hint="eastAsia" w:ascii="仿宋" w:hAnsi="仿宋" w:eastAsia="仿宋" w:cs="仿宋"/>
                <w:i w:val="0"/>
                <w:iCs w:val="0"/>
                <w:color w:val="000000"/>
                <w:kern w:val="0"/>
                <w:sz w:val="20"/>
                <w:szCs w:val="20"/>
                <w:u w:val="none"/>
                <w:lang w:val="en-US" w:eastAsia="zh-CN" w:bidi="ar"/>
              </w:rPr>
              <w:t>对</w:t>
            </w:r>
            <w:r>
              <w:rPr>
                <w:rFonts w:hint="eastAsia" w:ascii="仿宋" w:hAnsi="仿宋" w:eastAsia="仿宋" w:cs="仿宋"/>
                <w:i w:val="0"/>
                <w:iCs w:val="0"/>
                <w:color w:val="000000"/>
                <w:kern w:val="0"/>
                <w:sz w:val="20"/>
                <w:szCs w:val="20"/>
                <w:u w:val="none"/>
                <w:lang w:val="zh-CN" w:eastAsia="zh-CN" w:bidi="ar"/>
              </w:rPr>
              <w:t>文书数据质量检查、</w:t>
            </w:r>
            <w:r>
              <w:rPr>
                <w:rFonts w:hint="eastAsia" w:ascii="仿宋" w:hAnsi="仿宋" w:eastAsia="仿宋" w:cs="仿宋"/>
                <w:i w:val="0"/>
                <w:iCs w:val="0"/>
                <w:color w:val="000000"/>
                <w:kern w:val="0"/>
                <w:sz w:val="20"/>
                <w:szCs w:val="20"/>
                <w:u w:val="none"/>
                <w:lang w:val="en-US" w:eastAsia="zh-CN" w:bidi="ar"/>
              </w:rPr>
              <w:t>分析和改进。</w:t>
            </w:r>
          </w:p>
          <w:p w14:paraId="49112759">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zh-CN" w:eastAsia="zh-CN" w:bidi="ar"/>
              </w:rPr>
            </w:pPr>
            <w:r>
              <w:rPr>
                <w:rFonts w:hint="eastAsia" w:ascii="仿宋" w:hAnsi="仿宋" w:eastAsia="仿宋" w:cs="仿宋"/>
                <w:i w:val="0"/>
                <w:iCs w:val="0"/>
                <w:color w:val="000000"/>
                <w:kern w:val="0"/>
                <w:sz w:val="20"/>
                <w:szCs w:val="20"/>
                <w:u w:val="none"/>
                <w:lang w:val="en-US" w:eastAsia="zh-CN" w:bidi="ar"/>
              </w:rPr>
              <w:t>（4）</w:t>
            </w:r>
            <w:r>
              <w:rPr>
                <w:rFonts w:hint="eastAsia" w:ascii="仿宋" w:hAnsi="仿宋" w:eastAsia="仿宋" w:cs="仿宋"/>
                <w:i w:val="0"/>
                <w:iCs w:val="0"/>
                <w:color w:val="000000"/>
                <w:kern w:val="0"/>
                <w:sz w:val="20"/>
                <w:szCs w:val="20"/>
                <w:u w:val="none"/>
                <w:lang w:val="zh-CN" w:eastAsia="zh-CN" w:bidi="ar"/>
              </w:rPr>
              <w:t>数据监控服务：对数据的导出、发送、传输、接收、入库、质检、加工处理和数据展现全处理过程进行监控，确保数据正常处理。</w:t>
            </w:r>
          </w:p>
          <w:p w14:paraId="04780316">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r>
              <w:rPr>
                <w:rFonts w:hint="eastAsia" w:ascii="仿宋" w:hAnsi="仿宋" w:eastAsia="仿宋" w:cs="仿宋"/>
                <w:i w:val="0"/>
                <w:iCs w:val="0"/>
                <w:color w:val="000000"/>
                <w:kern w:val="0"/>
                <w:sz w:val="20"/>
                <w:szCs w:val="20"/>
                <w:u w:val="none"/>
                <w:lang w:val="zh-CN" w:eastAsia="zh-CN" w:bidi="ar"/>
              </w:rPr>
              <w:t>数据应用服务：根据</w:t>
            </w:r>
            <w:r>
              <w:rPr>
                <w:rFonts w:hint="eastAsia" w:ascii="仿宋" w:hAnsi="仿宋" w:eastAsia="仿宋" w:cs="仿宋"/>
                <w:i w:val="0"/>
                <w:iCs w:val="0"/>
                <w:color w:val="000000"/>
                <w:kern w:val="0"/>
                <w:sz w:val="20"/>
                <w:szCs w:val="20"/>
                <w:u w:val="none"/>
                <w:lang w:val="en-US" w:eastAsia="zh-CN" w:bidi="ar"/>
              </w:rPr>
              <w:t>省高院</w:t>
            </w:r>
            <w:r>
              <w:rPr>
                <w:rFonts w:hint="eastAsia" w:ascii="仿宋" w:hAnsi="仿宋" w:eastAsia="仿宋" w:cs="仿宋"/>
                <w:i w:val="0"/>
                <w:iCs w:val="0"/>
                <w:color w:val="000000"/>
                <w:kern w:val="0"/>
                <w:sz w:val="20"/>
                <w:szCs w:val="20"/>
                <w:u w:val="none"/>
                <w:lang w:val="zh-CN" w:eastAsia="zh-CN" w:bidi="ar"/>
              </w:rPr>
              <w:t>需要，或主动投入进行数据的统计和分析，并形成分析报告；对数据运算或统计结果的系统页面和报告进行发布，对数据发布内容的准确性进行检查和验证。</w:t>
            </w:r>
          </w:p>
          <w:p w14:paraId="0174B369">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r>
              <w:rPr>
                <w:rFonts w:hint="eastAsia" w:ascii="仿宋" w:hAnsi="仿宋" w:eastAsia="仿宋" w:cs="仿宋"/>
                <w:i w:val="0"/>
                <w:iCs w:val="0"/>
                <w:color w:val="000000"/>
                <w:kern w:val="0"/>
                <w:sz w:val="20"/>
                <w:szCs w:val="20"/>
                <w:u w:val="none"/>
                <w:lang w:val="zh-CN" w:eastAsia="zh-CN" w:bidi="ar"/>
              </w:rPr>
              <w:t>数据安全服务</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zh-CN" w:eastAsia="zh-CN" w:bidi="ar"/>
              </w:rPr>
              <w:t>进行数据安全风险评估分析，预防和监控数据安全风险；制定数据备份策略，并严格按照策略执行备份，定期检查数据备份情况，确保备份数据可用；数据库系统故障处理，确保快速恢复数据库应用。</w:t>
            </w:r>
          </w:p>
          <w:p w14:paraId="3A40BD8B">
            <w:pPr>
              <w:keepNext w:val="0"/>
              <w:keepLines w:val="0"/>
              <w:widowControl/>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i w:val="0"/>
                <w:iCs w:val="0"/>
                <w:color w:val="000000"/>
                <w:kern w:val="0"/>
                <w:sz w:val="20"/>
                <w:szCs w:val="20"/>
                <w:u w:val="none"/>
                <w:lang w:val="en-US" w:eastAsia="zh-CN" w:bidi="ar"/>
              </w:rPr>
              <w:t>（7）</w:t>
            </w:r>
            <w:r>
              <w:rPr>
                <w:rFonts w:hint="eastAsia" w:ascii="仿宋" w:hAnsi="仿宋" w:eastAsia="仿宋" w:cs="仿宋"/>
                <w:i w:val="0"/>
                <w:iCs w:val="0"/>
                <w:color w:val="000000"/>
                <w:kern w:val="0"/>
                <w:sz w:val="20"/>
                <w:szCs w:val="20"/>
                <w:u w:val="none"/>
                <w:lang w:val="zh-CN" w:eastAsia="zh-CN" w:bidi="ar"/>
              </w:rPr>
              <w:t>数据运维管理服务</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zh-CN" w:eastAsia="zh-CN" w:bidi="ar"/>
              </w:rPr>
              <w:t>制定数据运维工作计划和执行管控；制定数据运维制度流程和操作规范</w:t>
            </w:r>
            <w:r>
              <w:rPr>
                <w:rFonts w:hint="eastAsia" w:ascii="仿宋" w:hAnsi="仿宋" w:eastAsia="仿宋" w:cs="仿宋"/>
                <w:i w:val="0"/>
                <w:iCs w:val="0"/>
                <w:color w:val="000000"/>
                <w:kern w:val="0"/>
                <w:sz w:val="20"/>
                <w:szCs w:val="20"/>
                <w:u w:val="none"/>
                <w:lang w:val="en-US" w:eastAsia="zh-CN" w:bidi="ar"/>
              </w:rPr>
              <w:t>。</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14:paraId="4A740A2A">
            <w:pPr>
              <w:keepNext w:val="0"/>
              <w:keepLines w:val="0"/>
              <w:widowControl/>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i w:val="0"/>
                <w:iCs w:val="0"/>
                <w:color w:val="000000"/>
                <w:kern w:val="0"/>
                <w:sz w:val="20"/>
                <w:szCs w:val="20"/>
                <w:u w:val="none"/>
                <w:lang w:val="en-US" w:eastAsia="zh-CN" w:bidi="ar"/>
              </w:rPr>
              <w:t>1.运维服务商</w:t>
            </w:r>
            <w:r>
              <w:rPr>
                <w:rFonts w:hint="eastAsia" w:ascii="仿宋" w:hAnsi="仿宋" w:eastAsia="仿宋" w:cs="仿宋"/>
                <w:sz w:val="20"/>
                <w:szCs w:val="20"/>
                <w:lang w:val="en-US" w:eastAsia="zh-CN"/>
              </w:rPr>
              <w:t>的服务要求严格对照工作要求内容及运维服务指标要求执行。</w:t>
            </w:r>
          </w:p>
          <w:p w14:paraId="69850490">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为了保证全省核心软件系统稳定运行，涉及系统升级和维护服务，需由运维服务商采购原软件生产商升级和维护服务；运维服务商需统一管理协调，运维服务商对软件生产商的服务质量要进行有效的检查和考核，并报告省高院信息技术部门备案；省高院信息技术部门负责审查运维条款并考核运维服务商。</w:t>
            </w:r>
          </w:p>
          <w:p w14:paraId="54C9ECFF">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3.对于系统升级服务，运维服务商需做好升级方案的初审并报省高院信息技术部门终审，终审后方可联合原软件生产商执行升级操作，并做好升级操作后的观察和文档保存。</w:t>
            </w:r>
          </w:p>
          <w:p w14:paraId="4AB14CA2">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4.对于日常维护服务，运维服务商需做好日常维护记录档案并报省高院信息技术部门备案。</w:t>
            </w:r>
          </w:p>
          <w:p w14:paraId="254D2707">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5.运维服务商应提供7*24小时电话技术支持和故障申告服务；</w:t>
            </w:r>
            <w:r>
              <w:rPr>
                <w:rFonts w:hint="eastAsia" w:ascii="仿宋" w:hAnsi="仿宋" w:eastAsia="仿宋" w:cs="仿宋"/>
                <w:sz w:val="20"/>
                <w:szCs w:val="20"/>
                <w:lang w:val="zh-CN" w:eastAsia="zh-CN"/>
              </w:rPr>
              <w:t>在 5*8 小时工作时间内设置由专人职守的热线电话，接听内部的服务请求，并记录服务台事件处理结果；在非工作时间设置有专人 7*24 小时接听的移动电话热线，用于解决内部的技术问题以及接听7*24 小时突发情况。</w:t>
            </w:r>
          </w:p>
          <w:p w14:paraId="317FB7A0">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6.运维服务商应对法院系统的故障申告响应时间小于15分钟；对于故障解决时间，根据不同故障情况建立SLA故障服务等级并报备省高院信息技术部门并严格执行，但是要求紧急故障的单次中断时间不能超过12小时。</w:t>
            </w:r>
          </w:p>
          <w:p w14:paraId="397A9D11">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lang w:val="en-US" w:eastAsia="zh-CN"/>
              </w:rPr>
              <w:t>7.运维服务商需免费提供重要时段的特殊保障。</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8.运维服务商要制定完善的紧急故障处理流程及应急方案，保证紧急情况下快速故障处理，缩短故障处理时限。</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9.运维服务商需按月提供质效运维分析报告并报省高院信息技术部门，以便提升运维效率。</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10.运维服务商在服务期内要免费提供业务迁移服务。</w:t>
            </w:r>
          </w:p>
        </w:tc>
      </w:tr>
      <w:tr w14:paraId="7561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1" w:hRule="atLeast"/>
          <w:jc w:val="center"/>
        </w:trPr>
        <w:tc>
          <w:tcPr>
            <w:tcW w:w="383" w:type="pct"/>
            <w:tcBorders>
              <w:top w:val="single" w:color="000000" w:sz="4" w:space="0"/>
              <w:left w:val="single" w:color="000000" w:sz="4" w:space="0"/>
              <w:bottom w:val="single" w:color="000000" w:sz="4" w:space="0"/>
              <w:right w:val="single" w:color="000000" w:sz="4" w:space="0"/>
            </w:tcBorders>
            <w:noWrap w:val="0"/>
            <w:vAlign w:val="center"/>
          </w:tcPr>
          <w:p w14:paraId="62AACD10">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4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50BE18">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p>
        </w:tc>
        <w:tc>
          <w:tcPr>
            <w:tcW w:w="542" w:type="pct"/>
            <w:vMerge w:val="restart"/>
            <w:tcBorders>
              <w:top w:val="single" w:color="000000" w:sz="4" w:space="0"/>
              <w:left w:val="single" w:color="000000" w:sz="4" w:space="0"/>
              <w:right w:val="single" w:color="000000" w:sz="4" w:space="0"/>
            </w:tcBorders>
            <w:noWrap w:val="0"/>
            <w:vAlign w:val="center"/>
          </w:tcPr>
          <w:p w14:paraId="22583661">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执行指挥中心值守</w:t>
            </w:r>
          </w:p>
        </w:tc>
        <w:tc>
          <w:tcPr>
            <w:tcW w:w="1941" w:type="pct"/>
            <w:tcBorders>
              <w:top w:val="single" w:color="000000" w:sz="4" w:space="0"/>
              <w:left w:val="single" w:color="000000" w:sz="4" w:space="0"/>
              <w:bottom w:val="single" w:color="000000" w:sz="4" w:space="0"/>
              <w:right w:val="single" w:color="000000" w:sz="4" w:space="0"/>
            </w:tcBorders>
            <w:noWrap w:val="0"/>
            <w:vAlign w:val="center"/>
          </w:tcPr>
          <w:p w14:paraId="6724175D">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1.保障陕西高院执行二套视频会议系统：包括终端设备、矩阵设备和会控软件等的调试任务，保障全国执行四级视频会议顺利召开。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2.保障陕西高院8楼执行指挥中心音视频调度系统：保障执行指挥中心各设备的稳定运行。</w:t>
            </w:r>
          </w:p>
          <w:p w14:paraId="771BAC2B">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3.保障移动执行现场视频连线与视频传输系统：保障满足高院执行指挥中心与执法现场的远程指挥。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4.保障陕西高院5楼机房全国二路音视频传输系统保障：保障执行局与最高法院7*24小时不间断的连线。</w:t>
            </w:r>
          </w:p>
          <w:p w14:paraId="1DAEF69D">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5.保障陕西高院5楼中兴全省备用视频传输系统：保障满足执行局同时召开两个远程会议的要求。</w:t>
            </w:r>
          </w:p>
          <w:p w14:paraId="7C5AE5B1">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6.对执行二套系统远程诊断及系统使用指导培训。</w:t>
            </w:r>
          </w:p>
          <w:p w14:paraId="0ACA20F2">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7.及时响应执行局对系统音视频设备及功能相关调整和需求，及时反馈存在的问题并解决。</w:t>
            </w:r>
          </w:p>
          <w:p w14:paraId="7163EF54">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8.远程检查法院音视频连接状态；远程巡检或者定期到岗巡检设备状态，确保设备正常使用。</w:t>
            </w:r>
          </w:p>
          <w:p w14:paraId="28DBE7CE">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9.指导、诊断、协助召开本辖区的视频会议。</w:t>
            </w:r>
          </w:p>
          <w:p w14:paraId="23CA95E7">
            <w:pPr>
              <w:keepNext w:val="0"/>
              <w:keepLines w:val="0"/>
              <w:widowControl/>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i w:val="0"/>
                <w:iCs w:val="0"/>
                <w:color w:val="000000"/>
                <w:kern w:val="0"/>
                <w:sz w:val="20"/>
                <w:szCs w:val="20"/>
                <w:u w:val="none"/>
                <w:lang w:val="en-US" w:eastAsia="zh-CN" w:bidi="ar"/>
              </w:rPr>
              <w:t>10.最高法院5*8小时值守点名工作：根据最高法院要求，满足5*8小时连线要求，配合最高法院执行局完成每日点名、巡检测试等工作要求。</w:t>
            </w:r>
          </w:p>
        </w:tc>
        <w:tc>
          <w:tcPr>
            <w:tcW w:w="1696" w:type="pct"/>
            <w:vMerge w:val="restart"/>
            <w:tcBorders>
              <w:top w:val="single" w:color="000000" w:sz="4" w:space="0"/>
              <w:left w:val="single" w:color="000000" w:sz="4" w:space="0"/>
              <w:right w:val="single" w:color="000000" w:sz="4" w:space="0"/>
            </w:tcBorders>
            <w:noWrap w:val="0"/>
            <w:vAlign w:val="top"/>
          </w:tcPr>
          <w:p w14:paraId="375D259C">
            <w:pPr>
              <w:keepNext w:val="0"/>
              <w:keepLines w:val="0"/>
              <w:widowControl/>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i w:val="0"/>
                <w:iCs w:val="0"/>
                <w:color w:val="000000"/>
                <w:kern w:val="0"/>
                <w:sz w:val="20"/>
                <w:szCs w:val="20"/>
                <w:u w:val="none"/>
                <w:lang w:val="en-US" w:eastAsia="zh-CN" w:bidi="ar"/>
              </w:rPr>
              <w:t>1.运维服务商</w:t>
            </w:r>
            <w:r>
              <w:rPr>
                <w:rFonts w:hint="eastAsia" w:ascii="仿宋" w:hAnsi="仿宋" w:eastAsia="仿宋" w:cs="仿宋"/>
                <w:sz w:val="20"/>
                <w:szCs w:val="20"/>
                <w:lang w:val="en-US" w:eastAsia="zh-CN"/>
              </w:rPr>
              <w:t>的服务要求严格对照工作要求内容及运维服务指标要求执行。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w:t>
            </w:r>
            <w:r>
              <w:rPr>
                <w:rFonts w:hint="eastAsia" w:ascii="仿宋" w:hAnsi="仿宋" w:eastAsia="仿宋" w:cs="仿宋"/>
                <w:sz w:val="20"/>
                <w:szCs w:val="20"/>
                <w:lang w:val="en-US" w:eastAsia="zh-CN"/>
              </w:rPr>
              <w:t>对于系统升级服务，运维服务商需做好升级方案的初审并报省高院信息技术部门终审，终审后方可执行升级操作，并做好升级操作后的观察和文档保存。</w:t>
            </w:r>
          </w:p>
          <w:p w14:paraId="653EBA29">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3.对于日常维护服务，运维服务商需做好日常维护记录档案并报省高院信息技术部门备案。</w:t>
            </w:r>
          </w:p>
          <w:p w14:paraId="68D6C475">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4.运维服务商应提供7*24小时电话技术支持和故障申告服务；</w:t>
            </w:r>
            <w:r>
              <w:rPr>
                <w:rFonts w:hint="eastAsia" w:ascii="仿宋" w:hAnsi="仿宋" w:eastAsia="仿宋" w:cs="仿宋"/>
                <w:sz w:val="20"/>
                <w:szCs w:val="20"/>
                <w:lang w:val="zh-CN" w:eastAsia="zh-CN"/>
              </w:rPr>
              <w:t>在 5*8 小时工作时间内设置由专人职守的热线电话，接听内部的服务请求，并记录服务台事件处理结果；在非工作时间设置有专人 7*24 小时接听的移动电话热线，用于解决内部的技术问题以及接听7*24 小时突发情况。</w:t>
            </w:r>
          </w:p>
          <w:p w14:paraId="6F6EE03C">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5.运维服务商应对法院系统的故障申告响应时间小于15分钟；对于故障解决时间，根据不同故障情况建立SLA故障服务等级并报备省高院信息技术部门并严格执行，但是要求紧急故障的单次中断时间不能超过12小时。 </w:t>
            </w:r>
          </w:p>
          <w:p w14:paraId="5C604B63">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lang w:val="en-US" w:eastAsia="zh-CN"/>
              </w:rPr>
              <w:t>6.运维服务商需免费提供重要时段的特殊保障。</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7.运维服务商要制定完善的紧急故障处理流程及应急方案，保证紧急情况下快速故障处理，缩短故障处理时限。</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8.运维服务商需按月提供质效运维分析报告并报省高院信息技术部门，以便提升运维效率。</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9.运维服务商在服务期内要免费提供业务迁移服务。</w:t>
            </w:r>
          </w:p>
        </w:tc>
      </w:tr>
      <w:tr w14:paraId="73B5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jc w:val="center"/>
        </w:trPr>
        <w:tc>
          <w:tcPr>
            <w:tcW w:w="383" w:type="pct"/>
            <w:tcBorders>
              <w:top w:val="single" w:color="000000" w:sz="4" w:space="0"/>
              <w:left w:val="single" w:color="000000" w:sz="4" w:space="0"/>
              <w:bottom w:val="single" w:color="000000" w:sz="4" w:space="0"/>
              <w:right w:val="single" w:color="000000" w:sz="4" w:space="0"/>
            </w:tcBorders>
            <w:noWrap w:val="0"/>
            <w:vAlign w:val="center"/>
          </w:tcPr>
          <w:p w14:paraId="55023D9A">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4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78454E">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p>
        </w:tc>
        <w:tc>
          <w:tcPr>
            <w:tcW w:w="542" w:type="pct"/>
            <w:vMerge w:val="continue"/>
            <w:tcBorders>
              <w:left w:val="single" w:color="000000" w:sz="4" w:space="0"/>
              <w:bottom w:val="single" w:color="000000" w:sz="4" w:space="0"/>
              <w:right w:val="single" w:color="000000" w:sz="4" w:space="0"/>
            </w:tcBorders>
            <w:noWrap w:val="0"/>
            <w:vAlign w:val="center"/>
          </w:tcPr>
          <w:p w14:paraId="2017AE05">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p>
        </w:tc>
        <w:tc>
          <w:tcPr>
            <w:tcW w:w="1941" w:type="pct"/>
            <w:tcBorders>
              <w:top w:val="single" w:color="000000" w:sz="4" w:space="0"/>
              <w:left w:val="single" w:color="000000" w:sz="4" w:space="0"/>
              <w:bottom w:val="single" w:color="000000" w:sz="4" w:space="0"/>
              <w:right w:val="single" w:color="000000" w:sz="4" w:space="0"/>
            </w:tcBorders>
            <w:noWrap w:val="0"/>
            <w:vAlign w:val="center"/>
          </w:tcPr>
          <w:p w14:paraId="076DF520">
            <w:pPr>
              <w:numPr>
                <w:ilvl w:val="0"/>
                <w:numId w:val="3"/>
              </w:numPr>
              <w:spacing w:line="240" w:lineRule="auto"/>
              <w:jc w:val="both"/>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保障我院八楼执行指挥中心应急调度服务平台可用性。</w:t>
            </w:r>
          </w:p>
          <w:p w14:paraId="1E7861AB">
            <w:pPr>
              <w:pStyle w:val="5"/>
              <w:numPr>
                <w:ilvl w:val="0"/>
                <w:numId w:val="0"/>
              </w:numPr>
              <w:spacing w:line="240" w:lineRule="auto"/>
              <w:ind w:leftChars="0"/>
              <w:jc w:val="both"/>
              <w:outlineLvl w:val="9"/>
              <w:rPr>
                <w:rFonts w:hint="eastAsia" w:ascii="仿宋" w:hAnsi="仿宋" w:eastAsia="仿宋" w:cs="仿宋"/>
                <w:sz w:val="20"/>
                <w:szCs w:val="20"/>
                <w:lang w:val="en-US" w:eastAsia="zh-CN"/>
              </w:rPr>
            </w:pPr>
            <w:r>
              <w:rPr>
                <w:rFonts w:hint="eastAsia" w:ascii="仿宋" w:hAnsi="仿宋" w:eastAsia="仿宋" w:cs="仿宋"/>
                <w:i w:val="0"/>
                <w:iCs w:val="0"/>
                <w:caps w:val="0"/>
                <w:smallCaps w:val="0"/>
                <w:vanish w:val="0"/>
                <w:color w:val="000000"/>
                <w:kern w:val="0"/>
                <w:sz w:val="20"/>
                <w:szCs w:val="20"/>
                <w:u w:val="none"/>
                <w:lang w:val="en-US" w:eastAsia="zh-CN" w:bidi="ar"/>
              </w:rPr>
              <w:t>2.对平台进行定期巡检和维护，定期对值守系统例行运维服务。</w:t>
            </w:r>
          </w:p>
        </w:tc>
        <w:tc>
          <w:tcPr>
            <w:tcW w:w="1696" w:type="pct"/>
            <w:vMerge w:val="continue"/>
            <w:tcBorders>
              <w:left w:val="single" w:color="000000" w:sz="4" w:space="0"/>
              <w:right w:val="single" w:color="000000" w:sz="4" w:space="0"/>
            </w:tcBorders>
            <w:noWrap w:val="0"/>
            <w:vAlign w:val="top"/>
          </w:tcPr>
          <w:p w14:paraId="4EA896A9">
            <w:pPr>
              <w:keepNext w:val="0"/>
              <w:keepLines w:val="0"/>
              <w:widowControl/>
              <w:suppressLineNumbers w:val="0"/>
              <w:spacing w:line="240" w:lineRule="auto"/>
              <w:jc w:val="both"/>
              <w:textAlignment w:val="center"/>
              <w:outlineLvl w:val="9"/>
              <w:rPr>
                <w:rFonts w:hint="eastAsia" w:ascii="仿宋" w:hAnsi="仿宋" w:eastAsia="仿宋" w:cs="仿宋"/>
                <w:sz w:val="20"/>
                <w:szCs w:val="20"/>
                <w:lang w:val="en-US" w:eastAsia="zh-CN"/>
              </w:rPr>
            </w:pPr>
          </w:p>
        </w:tc>
      </w:tr>
      <w:tr w14:paraId="0088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jc w:val="center"/>
        </w:trPr>
        <w:tc>
          <w:tcPr>
            <w:tcW w:w="383" w:type="pct"/>
            <w:tcBorders>
              <w:top w:val="single" w:color="000000" w:sz="4" w:space="0"/>
              <w:left w:val="single" w:color="000000" w:sz="4" w:space="0"/>
              <w:bottom w:val="single" w:color="000000" w:sz="4" w:space="0"/>
              <w:right w:val="single" w:color="000000" w:sz="4" w:space="0"/>
            </w:tcBorders>
            <w:noWrap w:val="0"/>
            <w:vAlign w:val="center"/>
          </w:tcPr>
          <w:p w14:paraId="5B3E48C0">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w:t>
            </w:r>
          </w:p>
        </w:tc>
        <w:tc>
          <w:tcPr>
            <w:tcW w:w="4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7C8BBD">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0E6119A">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诉讼费电子票据系统运维</w:t>
            </w:r>
          </w:p>
        </w:tc>
        <w:tc>
          <w:tcPr>
            <w:tcW w:w="1941" w:type="pct"/>
            <w:tcBorders>
              <w:top w:val="single" w:color="000000" w:sz="4" w:space="0"/>
              <w:left w:val="single" w:color="000000" w:sz="4" w:space="0"/>
              <w:bottom w:val="single" w:color="000000" w:sz="4" w:space="0"/>
              <w:right w:val="single" w:color="000000" w:sz="4" w:space="0"/>
            </w:tcBorders>
            <w:noWrap w:val="0"/>
            <w:vAlign w:val="top"/>
          </w:tcPr>
          <w:p w14:paraId="05C7FD9D">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1.对应用系统在运行过程出现的相关故障、接口问题进行排查和处理。</w:t>
            </w:r>
          </w:p>
          <w:p w14:paraId="4D2C7C2B">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2.提供省高院大楼终端电脑、打印机、扫码设备等日常问题排查手册以及问题的排查和处理。</w:t>
            </w:r>
          </w:p>
          <w:p w14:paraId="63D898B0">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3.提供基础信息管理、咨询服务。</w:t>
            </w:r>
          </w:p>
        </w:tc>
        <w:tc>
          <w:tcPr>
            <w:tcW w:w="1696" w:type="pct"/>
            <w:vMerge w:val="continue"/>
            <w:tcBorders>
              <w:left w:val="single" w:color="000000" w:sz="4" w:space="0"/>
              <w:bottom w:val="single" w:color="000000" w:sz="4" w:space="0"/>
              <w:right w:val="single" w:color="000000" w:sz="4" w:space="0"/>
            </w:tcBorders>
            <w:noWrap w:val="0"/>
            <w:vAlign w:val="center"/>
          </w:tcPr>
          <w:p w14:paraId="412DDD90">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p>
        </w:tc>
      </w:tr>
      <w:tr w14:paraId="051D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0" w:hRule="atLeast"/>
          <w:jc w:val="center"/>
        </w:trPr>
        <w:tc>
          <w:tcPr>
            <w:tcW w:w="383" w:type="pct"/>
            <w:tcBorders>
              <w:top w:val="single" w:color="000000" w:sz="4" w:space="0"/>
              <w:left w:val="single" w:color="000000" w:sz="4" w:space="0"/>
              <w:bottom w:val="single" w:color="000000" w:sz="4" w:space="0"/>
              <w:right w:val="single" w:color="000000" w:sz="4" w:space="0"/>
            </w:tcBorders>
            <w:noWrap w:val="0"/>
            <w:vAlign w:val="center"/>
          </w:tcPr>
          <w:p w14:paraId="74D95DFD">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w:t>
            </w:r>
          </w:p>
        </w:tc>
        <w:tc>
          <w:tcPr>
            <w:tcW w:w="435" w:type="pct"/>
            <w:vMerge w:val="restart"/>
            <w:tcBorders>
              <w:top w:val="single" w:color="000000" w:sz="4" w:space="0"/>
              <w:left w:val="single" w:color="000000" w:sz="4" w:space="0"/>
              <w:right w:val="single" w:color="000000" w:sz="4" w:space="0"/>
            </w:tcBorders>
            <w:noWrap w:val="0"/>
            <w:vAlign w:val="center"/>
          </w:tcPr>
          <w:p w14:paraId="6DF872CF">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数据中台运维</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83A6B05">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数据中台</w:t>
            </w:r>
          </w:p>
        </w:tc>
        <w:tc>
          <w:tcPr>
            <w:tcW w:w="1941" w:type="pct"/>
            <w:tcBorders>
              <w:top w:val="single" w:color="000000" w:sz="4" w:space="0"/>
              <w:left w:val="single" w:color="000000" w:sz="4" w:space="0"/>
              <w:bottom w:val="single" w:color="000000" w:sz="4" w:space="0"/>
              <w:right w:val="single" w:color="000000" w:sz="4" w:space="0"/>
            </w:tcBorders>
            <w:noWrap w:val="0"/>
            <w:vAlign w:val="center"/>
          </w:tcPr>
          <w:p w14:paraId="2603DC88">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1.提供大数据管理平台及应用系统运营服务对象包括数据平台底座及数据应用系统以及相关硬件的保障工作。</w:t>
            </w:r>
          </w:p>
          <w:p w14:paraId="414910D3">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2.提供各个业务庭室的数据应用系统的需求收集及数据分析、数据开发等工作。</w:t>
            </w:r>
          </w:p>
          <w:p w14:paraId="4EF64706">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3.提供大数据管理平台及应用系统的使用培训和操作使用指南编写，对法官及干警在使用过程中出现问题的沟通和解决。</w:t>
            </w:r>
          </w:p>
          <w:p w14:paraId="27974037">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4.提供软件维护、系统升级、调试、数据备份、数据运营等。</w:t>
            </w:r>
          </w:p>
          <w:p w14:paraId="0BE3CEC7">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5.提供法院上下级单位、处室等日常数据调用、查询、共享、运维、培训服务。</w:t>
            </w:r>
          </w:p>
          <w:p w14:paraId="207E01BC">
            <w:pPr>
              <w:keepNext w:val="0"/>
              <w:keepLines w:val="0"/>
              <w:widowControl/>
              <w:numPr>
                <w:ilvl w:val="0"/>
                <w:numId w:val="0"/>
              </w:numPr>
              <w:suppressLineNumbers w:val="0"/>
              <w:spacing w:line="240" w:lineRule="auto"/>
              <w:ind w:left="0" w:leftChars="0" w:firstLine="0" w:firstLineChars="0"/>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6.大数据管理平台底座及应用参观保障、以及系统演示等工作。</w:t>
            </w:r>
          </w:p>
        </w:tc>
        <w:tc>
          <w:tcPr>
            <w:tcW w:w="16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835CD7B">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1.服务要求严格对照工作要求内容及运维服务指标要求执行。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w:t>
            </w:r>
            <w:r>
              <w:rPr>
                <w:rFonts w:hint="eastAsia" w:ascii="仿宋" w:hAnsi="仿宋" w:eastAsia="仿宋" w:cs="仿宋"/>
                <w:sz w:val="20"/>
                <w:szCs w:val="20"/>
                <w:lang w:val="en-US" w:eastAsia="zh-CN"/>
              </w:rPr>
              <w:t>对于系统升级服务，运维服务商需做好升级方案的初审并报省高院信息技术部门终审，终审后方可执行升级操作，并做好升级操作后的观察和文档保存。</w:t>
            </w:r>
          </w:p>
          <w:p w14:paraId="1EE6E1FD">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3.对于日常维护服务，运维服务商需做好日常维护记录档案并报省高院信息技术部门备案。</w:t>
            </w:r>
          </w:p>
          <w:p w14:paraId="4A5B4880">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4.运维服务商应提供7*24小时电话技术支持和故障申告服务；</w:t>
            </w:r>
            <w:r>
              <w:rPr>
                <w:rFonts w:hint="eastAsia" w:ascii="仿宋" w:hAnsi="仿宋" w:eastAsia="仿宋" w:cs="仿宋"/>
                <w:sz w:val="20"/>
                <w:szCs w:val="20"/>
                <w:lang w:val="zh-CN" w:eastAsia="zh-CN"/>
              </w:rPr>
              <w:t>在 5*8 小时工作时间内设置由专人职守的热线电话，接听内部的服务请求，并记录服务台事件处理结果；在非工作时间设置有专人 7*24 小时接听的移动电话热线，用于解决内部的技术问题以及接听7*24 小时突发情况。</w:t>
            </w:r>
          </w:p>
          <w:p w14:paraId="4C540FD6">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5.运维服务商应对法院系统的故障申告响应时间小于15分钟；对于故障解决时间，根据不同故障情况建立SLA故障服务等级并报备省高院信息技术部门并严格执行，但是要求紧急故障的单次中断时间不能超过12小时。 </w:t>
            </w:r>
          </w:p>
          <w:p w14:paraId="3636814C">
            <w:pPr>
              <w:keepNext w:val="0"/>
              <w:keepLines w:val="0"/>
              <w:widowControl/>
              <w:numPr>
                <w:ilvl w:val="0"/>
                <w:numId w:val="0"/>
              </w:numPr>
              <w:suppressLineNumbers w:val="0"/>
              <w:spacing w:line="240" w:lineRule="auto"/>
              <w:ind w:left="0" w:leftChars="0" w:firstLine="0" w:firstLineChars="0"/>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6.运维服务商需免费提供重要时段的特殊保障。</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7.运维服务商要制定完善的紧急故障处理流程及应急方案，保证紧急情况下快速故障处理，缩短故障处理时限。</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8.运维服务商需按月提供质效运维分析报告并报省高院信息技术部门，以便提升运维效率。</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9.运维服务商在服务期内要免费提供业务迁移服务。</w:t>
            </w:r>
          </w:p>
        </w:tc>
      </w:tr>
      <w:tr w14:paraId="252A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383" w:type="pct"/>
            <w:tcBorders>
              <w:top w:val="single" w:color="000000" w:sz="4" w:space="0"/>
              <w:left w:val="single" w:color="000000" w:sz="4" w:space="0"/>
              <w:bottom w:val="single" w:color="000000" w:sz="4" w:space="0"/>
              <w:right w:val="single" w:color="000000" w:sz="4" w:space="0"/>
            </w:tcBorders>
            <w:noWrap w:val="0"/>
            <w:vAlign w:val="center"/>
          </w:tcPr>
          <w:p w14:paraId="3922C25E">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435" w:type="pct"/>
            <w:vMerge w:val="continue"/>
            <w:tcBorders>
              <w:left w:val="single" w:color="000000" w:sz="4" w:space="0"/>
              <w:bottom w:val="single" w:color="000000" w:sz="4" w:space="0"/>
              <w:right w:val="single" w:color="000000" w:sz="4" w:space="0"/>
            </w:tcBorders>
            <w:noWrap w:val="0"/>
            <w:vAlign w:val="center"/>
          </w:tcPr>
          <w:p w14:paraId="01F4A876">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79057FD">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云策系统</w:t>
            </w:r>
          </w:p>
        </w:tc>
        <w:tc>
          <w:tcPr>
            <w:tcW w:w="1941" w:type="pct"/>
            <w:tcBorders>
              <w:top w:val="single" w:color="000000" w:sz="4" w:space="0"/>
              <w:left w:val="single" w:color="000000" w:sz="4" w:space="0"/>
              <w:bottom w:val="single" w:color="000000" w:sz="4" w:space="0"/>
              <w:right w:val="single" w:color="000000" w:sz="4" w:space="0"/>
            </w:tcBorders>
            <w:noWrap w:val="0"/>
            <w:vAlign w:val="center"/>
          </w:tcPr>
          <w:p w14:paraId="4D1F8064">
            <w:pPr>
              <w:keepNext w:val="0"/>
              <w:keepLines w:val="0"/>
              <w:widowControl/>
              <w:numPr>
                <w:ilvl w:val="0"/>
                <w:numId w:val="4"/>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对云策系统应用巡检与监控，确保云策系统的持续性、可用性。</w:t>
            </w:r>
          </w:p>
          <w:p w14:paraId="5CFA2A77">
            <w:pPr>
              <w:keepNext w:val="0"/>
              <w:keepLines w:val="0"/>
              <w:widowControl/>
              <w:numPr>
                <w:ilvl w:val="0"/>
                <w:numId w:val="4"/>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提供云策应用需求与BUG管理，定期对用户应用需求与应用BUG进行反馈，需求经验总结与管理。</w:t>
            </w:r>
          </w:p>
          <w:p w14:paraId="054698D5">
            <w:pPr>
              <w:keepNext w:val="0"/>
              <w:keepLines w:val="0"/>
              <w:widowControl/>
              <w:numPr>
                <w:ilvl w:val="0"/>
                <w:numId w:val="4"/>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提供云策系统应用使用支持，对客户咨询解答、系统问题排查与处理、应用数据校正、业务数据查询与统计、分析结果合理性检查、系统使用指导等。</w:t>
            </w:r>
          </w:p>
          <w:p w14:paraId="1720DCFB">
            <w:pPr>
              <w:keepNext w:val="0"/>
              <w:keepLines w:val="0"/>
              <w:widowControl/>
              <w:numPr>
                <w:ilvl w:val="0"/>
                <w:numId w:val="4"/>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提供云策应用培训推广与参观演示。</w:t>
            </w:r>
          </w:p>
          <w:p w14:paraId="26B1D511">
            <w:pPr>
              <w:keepNext w:val="0"/>
              <w:keepLines w:val="0"/>
              <w:widowControl/>
              <w:numPr>
                <w:ilvl w:val="0"/>
                <w:numId w:val="4"/>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提供云策应用系统优化改善，系统监控与调优，服务器资源管理与调优、数据存储空间调整、数据备份协助、应用程序BUG修复升级、应用程序打补丁、中间件补丁升级、参数调整、漏洞修复、应用验证等。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6.提供数据库与中间件系统维护，通过主动检查云策数据库运行状态，主要包括Aterybase数据库，每日巡检分析，并定期进行优化，数据校正，确保业务应用系统的稳定运行。</w:t>
            </w:r>
          </w:p>
          <w:p w14:paraId="2DD23CBC">
            <w:pPr>
              <w:keepNext w:val="0"/>
              <w:keepLines w:val="0"/>
              <w:widowControl/>
              <w:numPr>
                <w:ilvl w:val="0"/>
                <w:numId w:val="0"/>
              </w:numPr>
              <w:suppressLineNumbers w:val="0"/>
              <w:spacing w:line="240" w:lineRule="auto"/>
              <w:ind w:left="0" w:leftChars="0" w:firstLine="0" w:firstLineChars="0"/>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7.提供云策办公终端维护服务，对法院内部的办公终端设备打开云策系统进行有效保障。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8.提供数据采集、下行入库、统计、备份服务。</w:t>
            </w:r>
          </w:p>
        </w:tc>
        <w:tc>
          <w:tcPr>
            <w:tcW w:w="16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A3594D">
            <w:pPr>
              <w:keepNext w:val="0"/>
              <w:keepLines w:val="0"/>
              <w:widowControl/>
              <w:numPr>
                <w:ilvl w:val="0"/>
                <w:numId w:val="0"/>
              </w:numPr>
              <w:suppressLineNumbers w:val="0"/>
              <w:spacing w:line="240" w:lineRule="auto"/>
              <w:ind w:left="0" w:leftChars="0" w:firstLine="0" w:firstLineChars="0"/>
              <w:jc w:val="both"/>
              <w:textAlignment w:val="center"/>
              <w:outlineLvl w:val="9"/>
              <w:rPr>
                <w:rFonts w:hint="eastAsia" w:ascii="仿宋" w:hAnsi="仿宋" w:eastAsia="仿宋" w:cs="仿宋"/>
                <w:sz w:val="20"/>
                <w:szCs w:val="20"/>
                <w:lang w:val="en-US" w:eastAsia="zh-CN"/>
              </w:rPr>
            </w:pPr>
          </w:p>
        </w:tc>
      </w:tr>
      <w:tr w14:paraId="0DE5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0" w:hRule="atLeast"/>
          <w:jc w:val="center"/>
        </w:trPr>
        <w:tc>
          <w:tcPr>
            <w:tcW w:w="383" w:type="pct"/>
            <w:vMerge w:val="restart"/>
            <w:tcBorders>
              <w:top w:val="single" w:color="000000" w:sz="4" w:space="0"/>
              <w:left w:val="single" w:color="000000" w:sz="4" w:space="0"/>
              <w:bottom w:val="single" w:color="000000" w:sz="4" w:space="0"/>
              <w:right w:val="single" w:color="000000" w:sz="4" w:space="0"/>
            </w:tcBorders>
            <w:noWrap w:val="0"/>
            <w:vAlign w:val="center"/>
          </w:tcPr>
          <w:p w14:paraId="2BB1E646">
            <w:pPr>
              <w:keepNext w:val="0"/>
              <w:keepLines w:val="0"/>
              <w:widowControl/>
              <w:suppressLineNumbers w:val="0"/>
              <w:spacing w:line="240" w:lineRule="auto"/>
              <w:jc w:val="both"/>
              <w:textAlignment w:val="center"/>
              <w:outlineLvl w:val="9"/>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435" w:type="pct"/>
            <w:vMerge w:val="restart"/>
            <w:tcBorders>
              <w:top w:val="single" w:color="000000" w:sz="4" w:space="0"/>
              <w:left w:val="single" w:color="000000" w:sz="4" w:space="0"/>
              <w:bottom w:val="single" w:color="000000" w:sz="4" w:space="0"/>
              <w:right w:val="single" w:color="000000" w:sz="4" w:space="0"/>
            </w:tcBorders>
            <w:noWrap w:val="0"/>
            <w:vAlign w:val="center"/>
          </w:tcPr>
          <w:p w14:paraId="3D6DCCD2">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可视化运维及院机关软硬件维护</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5EF2A1C">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高院办公大楼相关维护</w:t>
            </w:r>
          </w:p>
        </w:tc>
        <w:tc>
          <w:tcPr>
            <w:tcW w:w="1941" w:type="pct"/>
            <w:tcBorders>
              <w:top w:val="single" w:color="000000" w:sz="4" w:space="0"/>
              <w:left w:val="single" w:color="000000" w:sz="4" w:space="0"/>
              <w:bottom w:val="single" w:color="000000" w:sz="4" w:space="0"/>
              <w:right w:val="single" w:color="000000" w:sz="4" w:space="0"/>
            </w:tcBorders>
            <w:noWrap w:val="0"/>
            <w:vAlign w:val="center"/>
          </w:tcPr>
          <w:p w14:paraId="0C3F9971">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1.提供省高院中心机房及机房基础设施运维服务：包括UPS电源及电池组、5台精密空调、1台壁挂空调、5个配电柜、1套动环监控等。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2.提供省高院中心机房网络设施运维服务：包括2台机房路由器、43台交换机、32台网闸或者光闸、传输设备、传输链路等。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3.提供省高院中心机房计算与存储设施以及安全设备运维服务：包括国产或非国产共计254台服务器、47台安全设备。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4.提供中心机房安防设施运维服务：包括视频监控系统等。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5.提供省高院大楼办公区终端运维服务：包括764台台式机、510台国产化台式机、441台笔记本、358台多功能一体机、400台打印机、若干电话机、传真机等运维服务。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6.提供省高院各楼层弱电间75台交换机等网络设备运维服务。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7.提供视频会议系统运维服务，包括华为视频会议系统和执行二套高清视频会议系统。</w:t>
            </w:r>
          </w:p>
          <w:p w14:paraId="5AAFBEAC">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8.提供高院云平台监控、业务系统性能监控运维服务。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9.提供其他临时性的工作。</w:t>
            </w:r>
          </w:p>
        </w:tc>
        <w:tc>
          <w:tcPr>
            <w:tcW w:w="1696" w:type="pct"/>
            <w:vMerge w:val="restart"/>
            <w:tcBorders>
              <w:top w:val="single" w:color="000000" w:sz="4" w:space="0"/>
              <w:left w:val="single" w:color="000000" w:sz="4" w:space="0"/>
              <w:right w:val="single" w:color="000000" w:sz="4" w:space="0"/>
            </w:tcBorders>
            <w:noWrap w:val="0"/>
            <w:vAlign w:val="top"/>
          </w:tcPr>
          <w:p w14:paraId="23FD4FD6">
            <w:pPr>
              <w:keepNext w:val="0"/>
              <w:keepLines w:val="0"/>
              <w:widowControl/>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i w:val="0"/>
                <w:iCs w:val="0"/>
                <w:color w:val="000000"/>
                <w:kern w:val="0"/>
                <w:sz w:val="20"/>
                <w:szCs w:val="20"/>
                <w:u w:val="none"/>
                <w:lang w:val="en-US" w:eastAsia="zh-CN" w:bidi="ar"/>
              </w:rPr>
              <w:t>1.运维服务商的</w:t>
            </w:r>
            <w:r>
              <w:rPr>
                <w:rFonts w:hint="eastAsia" w:ascii="仿宋" w:hAnsi="仿宋" w:eastAsia="仿宋" w:cs="仿宋"/>
                <w:sz w:val="20"/>
                <w:szCs w:val="20"/>
                <w:lang w:val="en-US" w:eastAsia="zh-CN"/>
              </w:rPr>
              <w:t>服务要求严格对照工作要求内容及运维服务指标要求执行。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w:t>
            </w:r>
            <w:r>
              <w:rPr>
                <w:rFonts w:hint="eastAsia" w:ascii="仿宋" w:hAnsi="仿宋" w:eastAsia="仿宋" w:cs="仿宋"/>
                <w:sz w:val="20"/>
                <w:szCs w:val="20"/>
                <w:lang w:val="en-US" w:eastAsia="zh-CN"/>
              </w:rPr>
              <w:t>对于系统升级服务，运维服务商需做好升级方案的初审并报省高院信息技术部门终审，终审后方可执行升级操作，并做好升级操作后的观察和文档保存。</w:t>
            </w:r>
          </w:p>
          <w:p w14:paraId="47AABC5C">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3.对于日常维护服务，运维服务商需做好日常维护记录档案并报省高院信息技术部门备案。</w:t>
            </w:r>
          </w:p>
          <w:p w14:paraId="22671845">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4.运维服务商应提供7*24小时电话技术支持和故障申告服务；</w:t>
            </w:r>
            <w:r>
              <w:rPr>
                <w:rFonts w:hint="eastAsia" w:ascii="仿宋" w:hAnsi="仿宋" w:eastAsia="仿宋" w:cs="仿宋"/>
                <w:sz w:val="20"/>
                <w:szCs w:val="20"/>
                <w:lang w:val="zh-CN" w:eastAsia="zh-CN"/>
              </w:rPr>
              <w:t>在 5*8 小时工作时间内设置由专人职守的热线电话，接听内部的服务请求，并记录服务台事件处理结果；在非工作时间设置有专人 7*24 小时接听的移动电话热线，用于解决内部的技术问题以及接听7*24 小时突发情况。</w:t>
            </w:r>
          </w:p>
          <w:p w14:paraId="05274B02">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5.运维服务商应对法院系统的故障申告响应时间小于15分钟；对于故障解决时间，根据不同故障情况建立SLA故障服务等级并报备省高院信息技术部门并严格执行，但是要求紧急故障的单次中断时间不能超过12小时。 </w:t>
            </w:r>
          </w:p>
          <w:p w14:paraId="277E0309">
            <w:pPr>
              <w:pStyle w:val="7"/>
              <w:spacing w:line="240" w:lineRule="auto"/>
              <w:jc w:val="both"/>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6.运维服务商需免费提供重要时段的特殊保障。</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7.运维服务商要制定完善的紧急故障处理流程及应急方案，保证紧急情况下快速故障处理，缩短故障处理时限。</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8.运维服务商需按月提供质效运维分析报告并报省高院信息技术部门，以便提升运维效率。</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9.运维服务商在服务期内要免费提供业务迁移服务。</w:t>
            </w:r>
          </w:p>
        </w:tc>
      </w:tr>
      <w:tr w14:paraId="5726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3" w:hRule="atLeast"/>
          <w:jc w:val="center"/>
        </w:trPr>
        <w:tc>
          <w:tcPr>
            <w:tcW w:w="3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45ED93">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p>
        </w:tc>
        <w:tc>
          <w:tcPr>
            <w:tcW w:w="4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A60E9F">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26B235A">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sz w:val="20"/>
                <w:szCs w:val="20"/>
              </w:rPr>
              <w:t>可视化质效运维管理平台</w:t>
            </w:r>
            <w:r>
              <w:rPr>
                <w:rFonts w:hint="eastAsia" w:ascii="仿宋" w:hAnsi="仿宋" w:eastAsia="仿宋" w:cs="仿宋"/>
                <w:sz w:val="20"/>
                <w:szCs w:val="20"/>
                <w:lang w:val="en-US" w:eastAsia="zh-CN"/>
              </w:rPr>
              <w:t>维护</w:t>
            </w:r>
          </w:p>
        </w:tc>
        <w:tc>
          <w:tcPr>
            <w:tcW w:w="1941" w:type="pct"/>
            <w:tcBorders>
              <w:top w:val="single" w:color="000000" w:sz="4" w:space="0"/>
              <w:left w:val="single" w:color="000000" w:sz="4" w:space="0"/>
              <w:bottom w:val="single" w:color="000000" w:sz="4" w:space="0"/>
              <w:right w:val="single" w:color="000000" w:sz="4" w:space="0"/>
            </w:tcBorders>
            <w:noWrap w:val="0"/>
            <w:vAlign w:val="top"/>
          </w:tcPr>
          <w:p w14:paraId="37CE018F">
            <w:pPr>
              <w:spacing w:line="240" w:lineRule="auto"/>
              <w:jc w:val="both"/>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1.对省高院已建可视化质效运维管理平台进行日常维护，保障平台</w:t>
            </w:r>
            <w:r>
              <w:rPr>
                <w:rFonts w:hint="eastAsia" w:ascii="仿宋" w:hAnsi="仿宋" w:eastAsia="仿宋" w:cs="仿宋"/>
                <w:i w:val="0"/>
                <w:iCs w:val="0"/>
                <w:color w:val="000000"/>
                <w:kern w:val="0"/>
                <w:sz w:val="20"/>
                <w:szCs w:val="20"/>
                <w:u w:val="none"/>
                <w:lang w:val="en-US" w:eastAsia="zh-CN" w:bidi="ar"/>
              </w:rPr>
              <w:t>可用性。</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2.提供平台日常硬件与网络日常运维服务。</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3.提供平台软件与中间件日常运维服务。</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4.提供平台数据与内容日常运维服务。</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5.提供平台核心功能服务与应用日常运维服务。</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6.提供平台安全运维。</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7.提供平台持续改进与优化服务。</w:t>
            </w:r>
            <w:r>
              <w:rPr>
                <w:rFonts w:hint="eastAsia" w:ascii="仿宋" w:hAnsi="仿宋" w:eastAsia="仿宋" w:cs="仿宋"/>
                <w:caps w:val="0"/>
                <w:smallCaps w:val="0"/>
                <w:vanish w:val="0"/>
                <w:sz w:val="20"/>
                <w:szCs w:val="20"/>
                <w:lang w:val="en-US" w:eastAsia="zh-CN" w:bidi="ar-SA"/>
              </w:rPr>
              <w:br w:type="textWrapping"/>
            </w:r>
          </w:p>
        </w:tc>
        <w:tc>
          <w:tcPr>
            <w:tcW w:w="1696" w:type="pct"/>
            <w:vMerge w:val="continue"/>
            <w:tcBorders>
              <w:left w:val="single" w:color="000000" w:sz="4" w:space="0"/>
              <w:bottom w:val="single" w:color="000000" w:sz="4" w:space="0"/>
              <w:right w:val="single" w:color="000000" w:sz="4" w:space="0"/>
            </w:tcBorders>
            <w:noWrap w:val="0"/>
            <w:vAlign w:val="center"/>
          </w:tcPr>
          <w:p w14:paraId="01EE9803">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p>
        </w:tc>
      </w:tr>
    </w:tbl>
    <w:p w14:paraId="01AF2CC3">
      <w:pPr>
        <w:pStyle w:val="12"/>
        <w:keepNext/>
        <w:keepLines/>
        <w:spacing w:before="260" w:line="240" w:lineRule="auto"/>
        <w:ind w:left="744" w:leftChars="304" w:hanging="106" w:hangingChars="53"/>
        <w:jc w:val="both"/>
        <w:outlineLvl w:val="9"/>
        <w:rPr>
          <w:rFonts w:hint="eastAsia" w:ascii="仿宋" w:hAnsi="仿宋" w:eastAsia="仿宋" w:cs="仿宋"/>
          <w:b/>
          <w:bCs/>
          <w:caps w:val="0"/>
          <w:smallCaps w:val="0"/>
          <w:vanish w:val="0"/>
          <w:sz w:val="20"/>
          <w:szCs w:val="20"/>
          <w:lang w:val="en-US" w:eastAsia="zh-CN"/>
        </w:rPr>
      </w:pPr>
      <w:r>
        <w:rPr>
          <w:rFonts w:hint="eastAsia" w:ascii="仿宋" w:hAnsi="仿宋" w:eastAsia="仿宋" w:cs="仿宋"/>
          <w:b/>
          <w:bCs/>
          <w:caps w:val="0"/>
          <w:smallCaps w:val="0"/>
          <w:vanish w:val="0"/>
          <w:sz w:val="20"/>
          <w:szCs w:val="20"/>
          <w:lang w:val="en-US" w:eastAsia="zh-CN"/>
        </w:rPr>
        <w:t xml:space="preserve"> 3.2 “一张网”运维服务内容及要求</w:t>
      </w:r>
    </w:p>
    <w:p w14:paraId="332AA1F5">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全省法院“一张网”上线运行后，运维保障工作将是支撑全省整个“一张网”系统业务成效的重要手段。为切实保障一张网上线后全省法院业务系统的“安全、稳定、高效”运行，按照最高法有关工作要求，省高院需要建立二级运维保障中心，主要对包含办案办公工作桌面、诉讼服务、立案、审判、执行、信访、通用业务、移动办案、审判管理、行政办公、人事管理、纪检监察与审务督察、业务中台等一级功能点和二级功能点进行运维。</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 xml:space="preserve">    具体如下表：</w:t>
      </w:r>
    </w:p>
    <w:tbl>
      <w:tblPr>
        <w:tblStyle w:val="8"/>
        <w:tblpPr w:leftFromText="180" w:rightFromText="180" w:vertAnchor="text" w:horzAnchor="page" w:tblpXSpec="center" w:tblpY="615"/>
        <w:tblOverlap w:val="never"/>
        <w:tblW w:w="4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806"/>
        <w:gridCol w:w="2988"/>
        <w:gridCol w:w="3269"/>
      </w:tblGrid>
      <w:tr w14:paraId="6E53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382" w:type="pct"/>
            <w:noWrap w:val="0"/>
            <w:vAlign w:val="center"/>
          </w:tcPr>
          <w:p w14:paraId="6ECAF5F3">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序号</w:t>
            </w:r>
          </w:p>
        </w:tc>
        <w:tc>
          <w:tcPr>
            <w:tcW w:w="526" w:type="pct"/>
            <w:noWrap w:val="0"/>
            <w:vAlign w:val="center"/>
          </w:tcPr>
          <w:p w14:paraId="20191346">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运维分项名称</w:t>
            </w:r>
          </w:p>
        </w:tc>
        <w:tc>
          <w:tcPr>
            <w:tcW w:w="1953" w:type="pct"/>
            <w:noWrap w:val="0"/>
            <w:vAlign w:val="center"/>
          </w:tcPr>
          <w:p w14:paraId="4875CA59">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运维服务内容</w:t>
            </w:r>
          </w:p>
        </w:tc>
        <w:tc>
          <w:tcPr>
            <w:tcW w:w="2137" w:type="pct"/>
            <w:noWrap w:val="0"/>
            <w:vAlign w:val="center"/>
          </w:tcPr>
          <w:p w14:paraId="2EBF603E">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运维服务要求</w:t>
            </w:r>
          </w:p>
        </w:tc>
      </w:tr>
      <w:tr w14:paraId="3353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jc w:val="center"/>
        </w:trPr>
        <w:tc>
          <w:tcPr>
            <w:tcW w:w="382" w:type="pct"/>
            <w:noWrap w:val="0"/>
            <w:vAlign w:val="center"/>
          </w:tcPr>
          <w:p w14:paraId="358E2A81">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1</w:t>
            </w:r>
          </w:p>
        </w:tc>
        <w:tc>
          <w:tcPr>
            <w:tcW w:w="526" w:type="pct"/>
            <w:noWrap w:val="0"/>
            <w:vAlign w:val="center"/>
          </w:tcPr>
          <w:p w14:paraId="3EE2DC38">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“一张网”应用运维</w:t>
            </w:r>
          </w:p>
        </w:tc>
        <w:tc>
          <w:tcPr>
            <w:tcW w:w="1953" w:type="pct"/>
            <w:noWrap w:val="0"/>
            <w:vAlign w:val="center"/>
          </w:tcPr>
          <w:p w14:paraId="5FF89391">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为</w:t>
            </w:r>
            <w:r>
              <w:rPr>
                <w:rFonts w:hint="eastAsia" w:ascii="仿宋" w:hAnsi="仿宋" w:eastAsia="仿宋" w:cs="仿宋"/>
                <w:i w:val="0"/>
                <w:iCs w:val="0"/>
                <w:color w:val="000000"/>
                <w:kern w:val="0"/>
                <w:sz w:val="20"/>
                <w:szCs w:val="20"/>
                <w:u w:val="none"/>
                <w:lang w:val="en-US" w:eastAsia="zh-CN" w:bidi="ar"/>
              </w:rPr>
              <w:t>“一张网”应用运维提供</w:t>
            </w:r>
            <w:r>
              <w:rPr>
                <w:rFonts w:hint="eastAsia" w:ascii="仿宋" w:hAnsi="仿宋" w:eastAsia="仿宋" w:cs="仿宋"/>
                <w:sz w:val="20"/>
                <w:szCs w:val="20"/>
                <w:lang w:val="en-US" w:eastAsia="zh-CN"/>
              </w:rPr>
              <w:t>保障服务，具体如下：</w:t>
            </w:r>
          </w:p>
          <w:p w14:paraId="793C447A">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1.提供诉服业务、执行业务、用户中心、人事中心、流程中心、签章、移动办公、审判管理等应用运维服务。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2.提供应用咨询、审判业务、材料收转、文书维护（含上网）、卷宗、阅核、送达、司法技术、个人工作平台、档案、审委会、点对点查控、数据下行、费款、办文、办会、办事等应用运维服务。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3.提供政法协同系统运维服务。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4.提供信访系统运维。</w:t>
            </w:r>
          </w:p>
        </w:tc>
        <w:tc>
          <w:tcPr>
            <w:tcW w:w="2137" w:type="pct"/>
            <w:vMerge w:val="restart"/>
            <w:noWrap w:val="0"/>
            <w:vAlign w:val="center"/>
          </w:tcPr>
          <w:p w14:paraId="7B8EB950">
            <w:pPr>
              <w:keepNext w:val="0"/>
              <w:keepLines w:val="0"/>
              <w:widowControl/>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i w:val="0"/>
                <w:iCs w:val="0"/>
                <w:color w:val="000000"/>
                <w:kern w:val="0"/>
                <w:sz w:val="20"/>
                <w:szCs w:val="20"/>
                <w:u w:val="none"/>
                <w:lang w:val="en-US" w:eastAsia="zh-CN" w:bidi="ar"/>
              </w:rPr>
              <w:t>1.运维服务商</w:t>
            </w:r>
            <w:r>
              <w:rPr>
                <w:rFonts w:hint="eastAsia" w:ascii="仿宋" w:hAnsi="仿宋" w:eastAsia="仿宋" w:cs="仿宋"/>
                <w:sz w:val="20"/>
                <w:szCs w:val="20"/>
                <w:lang w:val="en-US" w:eastAsia="zh-CN"/>
              </w:rPr>
              <w:t>的服务要求严格对照工作要求内容及运维服务指标要求执行。</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w:t>
            </w:r>
            <w:r>
              <w:rPr>
                <w:rFonts w:hint="eastAsia" w:ascii="仿宋" w:hAnsi="仿宋" w:eastAsia="仿宋" w:cs="仿宋"/>
                <w:sz w:val="20"/>
                <w:szCs w:val="20"/>
                <w:lang w:val="en-US" w:eastAsia="zh-CN"/>
              </w:rPr>
              <w:t>对于系统升级服务，运维服务商需做好升级方案的初审并报省高院信息技术部门终审，终审后方可执行升级操作，并做好升级操作后的观察和文档保存。</w:t>
            </w:r>
          </w:p>
          <w:p w14:paraId="1D893459">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3.对于日常维护服务，运维服务商需做好日常维护记录档案并报省高院信息技术部门备案。</w:t>
            </w:r>
          </w:p>
          <w:p w14:paraId="5B510F2F">
            <w:pPr>
              <w:keepNext w:val="0"/>
              <w:keepLines w:val="0"/>
              <w:widowControl/>
              <w:numPr>
                <w:ilvl w:val="0"/>
                <w:numId w:val="0"/>
              </w:numPr>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4.运维服务商应提供7*24小时电话技术支持和故障申告服务；</w:t>
            </w:r>
            <w:r>
              <w:rPr>
                <w:rFonts w:hint="eastAsia" w:ascii="仿宋" w:hAnsi="仿宋" w:eastAsia="仿宋" w:cs="仿宋"/>
                <w:sz w:val="20"/>
                <w:szCs w:val="20"/>
                <w:lang w:val="zh-CN" w:eastAsia="zh-CN"/>
              </w:rPr>
              <w:t>在 5*8 小时工作时间内设置由专人职守的热线电话，接听内部的服务请求，并记录服务台事件处理结果；在非工作时间设置有专人 7*24 小时接听的移动电话热线，用于解决内部的技术问题以及接听7*24 小时突发情况。</w:t>
            </w:r>
          </w:p>
          <w:p w14:paraId="594C1FC9">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5.运维服务商应对法院系统的故障申告响应时间小于15分钟；对于故障解决时间，根据不同故障情况建立SLA故障服务等级并报备省高院信息技术部门并严格执行，但是要求紧急故障的单次中断时间不能超过12小时。 </w:t>
            </w:r>
          </w:p>
          <w:p w14:paraId="2DD84536">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sz w:val="20"/>
                <w:szCs w:val="20"/>
                <w:lang w:val="en-US" w:eastAsia="zh-CN"/>
              </w:rPr>
              <w:t>6.运维服务商需免费提供重要时段的特殊保障。</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7.运维服务商要制定完善的紧急故障处理流程及应急方案，保证紧急情况下快速故障处理，缩短故障处理时限。</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8.运维服务商需按月提供质效运维分析报告并报省高院信息技术部门，以便提升运维效率。</w:t>
            </w:r>
          </w:p>
        </w:tc>
      </w:tr>
      <w:tr w14:paraId="181C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382" w:type="pct"/>
            <w:noWrap w:val="0"/>
            <w:vAlign w:val="center"/>
          </w:tcPr>
          <w:p w14:paraId="4E61A956">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2</w:t>
            </w:r>
          </w:p>
        </w:tc>
        <w:tc>
          <w:tcPr>
            <w:tcW w:w="526" w:type="pct"/>
            <w:noWrap w:val="0"/>
            <w:vAlign w:val="center"/>
          </w:tcPr>
          <w:p w14:paraId="49509B3E">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本地软硬件运维</w:t>
            </w:r>
          </w:p>
        </w:tc>
        <w:tc>
          <w:tcPr>
            <w:tcW w:w="1953" w:type="pct"/>
            <w:noWrap w:val="0"/>
            <w:vAlign w:val="center"/>
          </w:tcPr>
          <w:p w14:paraId="4CC066DF">
            <w:pPr>
              <w:keepNext w:val="0"/>
              <w:keepLines w:val="0"/>
              <w:widowControl/>
              <w:suppressLineNumbers w:val="0"/>
              <w:spacing w:line="240" w:lineRule="auto"/>
              <w:jc w:val="both"/>
              <w:textAlignment w:val="center"/>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提供</w:t>
            </w:r>
            <w:r>
              <w:rPr>
                <w:rFonts w:hint="eastAsia" w:ascii="仿宋" w:hAnsi="仿宋" w:eastAsia="仿宋" w:cs="仿宋"/>
                <w:i w:val="0"/>
                <w:iCs w:val="0"/>
                <w:color w:val="000000"/>
                <w:kern w:val="0"/>
                <w:sz w:val="20"/>
                <w:szCs w:val="20"/>
                <w:u w:val="none"/>
                <w:lang w:val="en-US" w:eastAsia="zh-CN" w:bidi="ar"/>
              </w:rPr>
              <w:t>本地软硬件运维服务，具体如下：</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1.门户、政务、邮箱、报销、用车、未迁移档案卷宗等系统运维服务。</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2.音视频综合管理平台、审务督查等运维服务。</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3.数据中台、数据共享、数据分析、IRM平台维护。</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4.工单分配、人员考勤、运维质效管理、机房、弱电间、会议室、干警终端等运维。</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5.法庭、干警终端等维护。</w:t>
            </w:r>
          </w:p>
          <w:p w14:paraId="7E2068BD">
            <w:pPr>
              <w:keepNext w:val="0"/>
              <w:keepLines w:val="0"/>
              <w:widowControl/>
              <w:suppressLineNumbers w:val="0"/>
              <w:spacing w:line="240" w:lineRule="auto"/>
              <w:jc w:val="both"/>
              <w:textAlignment w:val="center"/>
              <w:outlineLvl w:val="9"/>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6.违规外联检测服务。</w:t>
            </w:r>
          </w:p>
        </w:tc>
        <w:tc>
          <w:tcPr>
            <w:tcW w:w="2137" w:type="pct"/>
            <w:vMerge w:val="continue"/>
            <w:noWrap w:val="0"/>
            <w:vAlign w:val="center"/>
          </w:tcPr>
          <w:p w14:paraId="4FFB7E3A">
            <w:pPr>
              <w:keepNext w:val="0"/>
              <w:keepLines w:val="0"/>
              <w:widowControl/>
              <w:suppressLineNumbers w:val="0"/>
              <w:spacing w:line="240" w:lineRule="auto"/>
              <w:jc w:val="both"/>
              <w:textAlignment w:val="center"/>
              <w:outlineLvl w:val="9"/>
              <w:rPr>
                <w:rFonts w:hint="eastAsia" w:ascii="仿宋" w:hAnsi="仿宋" w:eastAsia="仿宋" w:cs="仿宋"/>
                <w:b w:val="0"/>
                <w:bCs w:val="0"/>
                <w:i w:val="0"/>
                <w:iCs w:val="0"/>
                <w:color w:val="000000"/>
                <w:kern w:val="0"/>
                <w:sz w:val="20"/>
                <w:szCs w:val="20"/>
                <w:u w:val="none"/>
                <w:lang w:val="en-US" w:eastAsia="zh-CN" w:bidi="ar"/>
              </w:rPr>
            </w:pPr>
          </w:p>
        </w:tc>
      </w:tr>
    </w:tbl>
    <w:p w14:paraId="7D98B632">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sz w:val="20"/>
          <w:szCs w:val="20"/>
          <w:lang w:val="en-US" w:eastAsia="zh-CN"/>
        </w:rPr>
      </w:pPr>
    </w:p>
    <w:p w14:paraId="3F74403F">
      <w:pPr>
        <w:pStyle w:val="12"/>
        <w:keepNext/>
        <w:keepLines/>
        <w:spacing w:before="260" w:line="240" w:lineRule="auto"/>
        <w:ind w:left="744" w:leftChars="304" w:hanging="106" w:hangingChars="53"/>
        <w:jc w:val="both"/>
        <w:outlineLvl w:val="9"/>
        <w:rPr>
          <w:rFonts w:hint="eastAsia" w:ascii="仿宋" w:hAnsi="仿宋" w:eastAsia="仿宋" w:cs="仿宋"/>
          <w:b/>
          <w:bCs/>
          <w:caps w:val="0"/>
          <w:smallCaps w:val="0"/>
          <w:vanish w:val="0"/>
          <w:sz w:val="20"/>
          <w:szCs w:val="20"/>
          <w:lang w:val="en-US" w:eastAsia="zh-CN"/>
        </w:rPr>
      </w:pPr>
      <w:r>
        <w:rPr>
          <w:rFonts w:hint="eastAsia" w:ascii="仿宋" w:hAnsi="仿宋" w:eastAsia="仿宋" w:cs="仿宋"/>
          <w:b/>
          <w:bCs/>
          <w:caps w:val="0"/>
          <w:smallCaps w:val="0"/>
          <w:vanish w:val="0"/>
          <w:sz w:val="20"/>
          <w:szCs w:val="20"/>
          <w:lang w:val="en-US" w:eastAsia="zh-CN"/>
        </w:rPr>
        <w:t xml:space="preserve"> 3.3 其他运维要求</w:t>
      </w:r>
    </w:p>
    <w:p w14:paraId="5EE23371">
      <w:pPr>
        <w:spacing w:line="240" w:lineRule="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除以上运维内容中要遵守的要求外，还要同时遵守以下服务要求：</w:t>
      </w:r>
    </w:p>
    <w:p w14:paraId="112B5C6E">
      <w:pPr>
        <w:spacing w:line="240" w:lineRule="auto"/>
        <w:ind w:firstLine="200" w:firstLineChars="100"/>
        <w:outlineLvl w:val="9"/>
        <w:rPr>
          <w:rFonts w:hint="eastAsia" w:ascii="仿宋" w:hAnsi="仿宋" w:eastAsia="仿宋" w:cs="仿宋"/>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在保修期内的所有信息化硬件设备：由负责保修的厂家提供保修服务，运维服务商提供日常维护，在设备发生故障时负责联系厂家进行维修，协助排查故障原因，并报告省高院。</w:t>
      </w:r>
    </w:p>
    <w:p w14:paraId="510B21CF">
      <w:pPr>
        <w:spacing w:line="240" w:lineRule="auto"/>
        <w:ind w:firstLine="200" w:firstLineChars="100"/>
        <w:outlineLvl w:val="9"/>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已出保的硬件设备，不属于核心重要设备的，暂时不采购保修服务，由</w:t>
      </w:r>
      <w:r>
        <w:rPr>
          <w:rFonts w:hint="eastAsia" w:ascii="仿宋" w:hAnsi="仿宋" w:eastAsia="仿宋" w:cs="仿宋"/>
          <w:sz w:val="20"/>
          <w:szCs w:val="20"/>
          <w:lang w:eastAsia="zh-CN"/>
        </w:rPr>
        <w:t>运维服务商</w:t>
      </w:r>
      <w:r>
        <w:rPr>
          <w:rFonts w:hint="eastAsia" w:ascii="仿宋" w:hAnsi="仿宋" w:eastAsia="仿宋" w:cs="仿宋"/>
          <w:sz w:val="20"/>
          <w:szCs w:val="20"/>
        </w:rPr>
        <w:t>提供日常维护，在设备发生故障时报告</w:t>
      </w:r>
      <w:r>
        <w:rPr>
          <w:rFonts w:hint="eastAsia" w:ascii="仿宋" w:hAnsi="仿宋" w:eastAsia="仿宋" w:cs="仿宋"/>
          <w:sz w:val="20"/>
          <w:szCs w:val="20"/>
          <w:lang w:eastAsia="zh-CN"/>
        </w:rPr>
        <w:t>省高院</w:t>
      </w:r>
      <w:r>
        <w:rPr>
          <w:rFonts w:hint="eastAsia" w:ascii="仿宋" w:hAnsi="仿宋" w:eastAsia="仿宋" w:cs="仿宋"/>
          <w:sz w:val="20"/>
          <w:szCs w:val="20"/>
        </w:rPr>
        <w:t>，并提出维修建议，协助</w:t>
      </w:r>
      <w:r>
        <w:rPr>
          <w:rFonts w:hint="eastAsia" w:ascii="仿宋" w:hAnsi="仿宋" w:eastAsia="仿宋" w:cs="仿宋"/>
          <w:sz w:val="20"/>
          <w:szCs w:val="20"/>
          <w:lang w:eastAsia="zh-CN"/>
        </w:rPr>
        <w:t>省高院</w:t>
      </w:r>
      <w:r>
        <w:rPr>
          <w:rFonts w:hint="eastAsia" w:ascii="仿宋" w:hAnsi="仿宋" w:eastAsia="仿宋" w:cs="仿宋"/>
          <w:sz w:val="20"/>
          <w:szCs w:val="20"/>
        </w:rPr>
        <w:t>进行设备维修。</w:t>
      </w:r>
    </w:p>
    <w:p w14:paraId="1A59CEEB">
      <w:pPr>
        <w:spacing w:line="240" w:lineRule="auto"/>
        <w:ind w:firstLine="200" w:firstLineChars="100"/>
        <w:outlineLvl w:val="9"/>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已出保的硬件设备，属于无法自行修理而又很重要的，需要采购原厂保修服务，由</w:t>
      </w:r>
      <w:r>
        <w:rPr>
          <w:rFonts w:hint="eastAsia" w:ascii="仿宋" w:hAnsi="仿宋" w:eastAsia="仿宋" w:cs="仿宋"/>
          <w:sz w:val="20"/>
          <w:szCs w:val="20"/>
          <w:lang w:eastAsia="zh-CN"/>
        </w:rPr>
        <w:t>运维服务商</w:t>
      </w:r>
      <w:r>
        <w:rPr>
          <w:rFonts w:hint="eastAsia" w:ascii="仿宋" w:hAnsi="仿宋" w:eastAsia="仿宋" w:cs="仿宋"/>
          <w:sz w:val="20"/>
          <w:szCs w:val="20"/>
        </w:rPr>
        <w:t>向</w:t>
      </w:r>
      <w:r>
        <w:rPr>
          <w:rFonts w:hint="eastAsia" w:ascii="仿宋" w:hAnsi="仿宋" w:eastAsia="仿宋" w:cs="仿宋"/>
          <w:sz w:val="20"/>
          <w:szCs w:val="20"/>
          <w:lang w:eastAsia="zh-CN"/>
        </w:rPr>
        <w:t>省高院</w:t>
      </w:r>
      <w:r>
        <w:rPr>
          <w:rFonts w:hint="eastAsia" w:ascii="仿宋" w:hAnsi="仿宋" w:eastAsia="仿宋" w:cs="仿宋"/>
          <w:sz w:val="20"/>
          <w:szCs w:val="20"/>
        </w:rPr>
        <w:t>备案，</w:t>
      </w:r>
      <w:r>
        <w:rPr>
          <w:rFonts w:hint="eastAsia" w:ascii="仿宋" w:hAnsi="仿宋" w:eastAsia="仿宋" w:cs="仿宋"/>
          <w:sz w:val="20"/>
          <w:szCs w:val="20"/>
          <w:lang w:val="en-US" w:eastAsia="zh-CN"/>
        </w:rPr>
        <w:t>协助</w:t>
      </w:r>
      <w:r>
        <w:rPr>
          <w:rFonts w:hint="eastAsia" w:ascii="仿宋" w:hAnsi="仿宋" w:eastAsia="仿宋" w:cs="仿宋"/>
          <w:sz w:val="20"/>
          <w:szCs w:val="20"/>
          <w:lang w:eastAsia="zh-CN"/>
        </w:rPr>
        <w:t>省高院</w:t>
      </w:r>
      <w:r>
        <w:rPr>
          <w:rFonts w:hint="eastAsia" w:ascii="仿宋" w:hAnsi="仿宋" w:eastAsia="仿宋" w:cs="仿宋"/>
          <w:sz w:val="20"/>
          <w:szCs w:val="20"/>
        </w:rPr>
        <w:t>完成</w:t>
      </w:r>
      <w:r>
        <w:rPr>
          <w:rFonts w:hint="eastAsia" w:ascii="仿宋" w:hAnsi="仿宋" w:eastAsia="仿宋" w:cs="仿宋"/>
          <w:sz w:val="20"/>
          <w:szCs w:val="20"/>
          <w:lang w:val="en-US" w:eastAsia="zh-CN"/>
        </w:rPr>
        <w:t>采购和维护</w:t>
      </w:r>
      <w:r>
        <w:rPr>
          <w:rFonts w:hint="eastAsia" w:ascii="仿宋" w:hAnsi="仿宋" w:eastAsia="仿宋" w:cs="仿宋"/>
          <w:sz w:val="20"/>
          <w:szCs w:val="20"/>
        </w:rPr>
        <w:t>服务。</w:t>
      </w:r>
    </w:p>
    <w:p w14:paraId="764BD904">
      <w:pPr>
        <w:spacing w:line="240" w:lineRule="auto"/>
        <w:ind w:firstLine="200" w:firstLineChars="100"/>
        <w:outlineLvl w:val="9"/>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已出保的通用硬件设备，如果</w:t>
      </w:r>
      <w:r>
        <w:rPr>
          <w:rFonts w:hint="eastAsia" w:ascii="仿宋" w:hAnsi="仿宋" w:eastAsia="仿宋" w:cs="仿宋"/>
          <w:sz w:val="20"/>
          <w:szCs w:val="20"/>
          <w:lang w:eastAsia="zh-CN"/>
        </w:rPr>
        <w:t>运维服务商</w:t>
      </w:r>
      <w:r>
        <w:rPr>
          <w:rFonts w:hint="eastAsia" w:ascii="仿宋" w:hAnsi="仿宋" w:eastAsia="仿宋" w:cs="仿宋"/>
          <w:sz w:val="20"/>
          <w:szCs w:val="20"/>
        </w:rPr>
        <w:t>完全有能力提供保修和维护服务的，由</w:t>
      </w:r>
      <w:r>
        <w:rPr>
          <w:rFonts w:hint="eastAsia" w:ascii="仿宋" w:hAnsi="仿宋" w:eastAsia="仿宋" w:cs="仿宋"/>
          <w:sz w:val="20"/>
          <w:szCs w:val="20"/>
          <w:lang w:eastAsia="zh-CN"/>
        </w:rPr>
        <w:t>运维服务商</w:t>
      </w:r>
      <w:r>
        <w:rPr>
          <w:rFonts w:hint="eastAsia" w:ascii="仿宋" w:hAnsi="仿宋" w:eastAsia="仿宋" w:cs="仿宋"/>
          <w:sz w:val="20"/>
          <w:szCs w:val="20"/>
        </w:rPr>
        <w:t>决定自行运维或</w:t>
      </w:r>
      <w:r>
        <w:rPr>
          <w:rFonts w:hint="eastAsia" w:ascii="仿宋" w:hAnsi="仿宋" w:eastAsia="仿宋" w:cs="仿宋"/>
          <w:sz w:val="20"/>
          <w:szCs w:val="20"/>
          <w:lang w:val="en-US" w:eastAsia="zh-CN"/>
        </w:rPr>
        <w:t>报告省高院</w:t>
      </w:r>
      <w:r>
        <w:rPr>
          <w:rFonts w:hint="eastAsia" w:ascii="仿宋" w:hAnsi="仿宋" w:eastAsia="仿宋" w:cs="仿宋"/>
          <w:sz w:val="20"/>
          <w:szCs w:val="20"/>
        </w:rPr>
        <w:t>购买第三方服务完成保修和维护</w:t>
      </w:r>
      <w:r>
        <w:rPr>
          <w:rFonts w:hint="eastAsia" w:ascii="仿宋" w:hAnsi="仿宋" w:eastAsia="仿宋" w:cs="仿宋"/>
          <w:sz w:val="20"/>
          <w:szCs w:val="20"/>
          <w:lang w:eastAsia="zh-CN"/>
        </w:rPr>
        <w:t>。</w:t>
      </w:r>
    </w:p>
    <w:p w14:paraId="25145517">
      <w:pPr>
        <w:spacing w:line="240" w:lineRule="auto"/>
        <w:ind w:firstLine="200" w:firstLineChars="100"/>
        <w:outlineLvl w:val="9"/>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中心机房非整机备件服务，对于已过保服务器、存储单元、机房空调内零件设备，由</w:t>
      </w:r>
      <w:r>
        <w:rPr>
          <w:rFonts w:hint="eastAsia" w:ascii="仿宋" w:hAnsi="仿宋" w:eastAsia="仿宋" w:cs="仿宋"/>
          <w:sz w:val="20"/>
          <w:szCs w:val="20"/>
          <w:lang w:eastAsia="zh-CN"/>
        </w:rPr>
        <w:t>运维服务商</w:t>
      </w:r>
      <w:r>
        <w:rPr>
          <w:rFonts w:hint="eastAsia" w:ascii="仿宋" w:hAnsi="仿宋" w:eastAsia="仿宋" w:cs="仿宋"/>
          <w:sz w:val="20"/>
          <w:szCs w:val="20"/>
        </w:rPr>
        <w:t>向</w:t>
      </w:r>
      <w:r>
        <w:rPr>
          <w:rFonts w:hint="eastAsia" w:ascii="仿宋" w:hAnsi="仿宋" w:eastAsia="仿宋" w:cs="仿宋"/>
          <w:sz w:val="20"/>
          <w:szCs w:val="20"/>
          <w:lang w:eastAsia="zh-CN"/>
        </w:rPr>
        <w:t>省高院</w:t>
      </w:r>
      <w:r>
        <w:rPr>
          <w:rFonts w:hint="eastAsia" w:ascii="仿宋" w:hAnsi="仿宋" w:eastAsia="仿宋" w:cs="仿宋"/>
          <w:sz w:val="20"/>
          <w:szCs w:val="20"/>
        </w:rPr>
        <w:t>备案，</w:t>
      </w:r>
      <w:r>
        <w:rPr>
          <w:rFonts w:hint="eastAsia" w:ascii="仿宋" w:hAnsi="仿宋" w:eastAsia="仿宋" w:cs="仿宋"/>
          <w:sz w:val="20"/>
          <w:szCs w:val="20"/>
          <w:lang w:val="en-US" w:eastAsia="zh-CN"/>
        </w:rPr>
        <w:t>协助</w:t>
      </w:r>
      <w:r>
        <w:rPr>
          <w:rFonts w:hint="eastAsia" w:ascii="仿宋" w:hAnsi="仿宋" w:eastAsia="仿宋" w:cs="仿宋"/>
          <w:sz w:val="20"/>
          <w:szCs w:val="20"/>
          <w:lang w:eastAsia="zh-CN"/>
        </w:rPr>
        <w:t>省高院</w:t>
      </w:r>
      <w:r>
        <w:rPr>
          <w:rFonts w:hint="eastAsia" w:ascii="仿宋" w:hAnsi="仿宋" w:eastAsia="仿宋" w:cs="仿宋"/>
          <w:sz w:val="20"/>
          <w:szCs w:val="20"/>
        </w:rPr>
        <w:t>完成</w:t>
      </w:r>
      <w:r>
        <w:rPr>
          <w:rFonts w:hint="eastAsia" w:ascii="仿宋" w:hAnsi="仿宋" w:eastAsia="仿宋" w:cs="仿宋"/>
          <w:sz w:val="20"/>
          <w:szCs w:val="20"/>
          <w:lang w:val="en-US" w:eastAsia="zh-CN"/>
        </w:rPr>
        <w:t>采购和维护</w:t>
      </w:r>
      <w:r>
        <w:rPr>
          <w:rFonts w:hint="eastAsia" w:ascii="仿宋" w:hAnsi="仿宋" w:eastAsia="仿宋" w:cs="仿宋"/>
          <w:sz w:val="20"/>
          <w:szCs w:val="20"/>
        </w:rPr>
        <w:t>服务。在质保期内的备件，由供货商（厂商）承担更换责任及费用。</w:t>
      </w:r>
    </w:p>
    <w:p w14:paraId="51452A07">
      <w:pPr>
        <w:spacing w:line="240" w:lineRule="auto"/>
        <w:ind w:firstLine="200" w:firstLineChars="100"/>
        <w:outlineLvl w:val="9"/>
        <w:rPr>
          <w:rFonts w:hint="eastAsia" w:ascii="仿宋" w:hAnsi="仿宋" w:eastAsia="仿宋" w:cs="仿宋"/>
          <w:sz w:val="20"/>
          <w:szCs w:val="20"/>
        </w:rPr>
      </w:pPr>
      <w:r>
        <w:rPr>
          <w:rFonts w:hint="eastAsia" w:ascii="仿宋" w:hAnsi="仿宋" w:eastAsia="仿宋" w:cs="仿宋"/>
          <w:sz w:val="20"/>
          <w:szCs w:val="20"/>
          <w:lang w:val="en-US" w:eastAsia="zh-CN"/>
        </w:rPr>
        <w:t>6.为了保证核心软件系统、执行和案款系统稳定运行，涉及系统升级和维护服务，需由运维服务商采购原软件生产商升级和维护服务，运维服务商需统一管理协调。</w:t>
      </w:r>
    </w:p>
    <w:p w14:paraId="1B1EB934">
      <w:pPr>
        <w:spacing w:line="240" w:lineRule="auto"/>
        <w:ind w:firstLine="200" w:firstLineChars="100"/>
        <w:outlineLvl w:val="9"/>
        <w:rPr>
          <w:rFonts w:hint="eastAsia" w:ascii="仿宋" w:hAnsi="仿宋" w:eastAsia="仿宋" w:cs="仿宋"/>
          <w:sz w:val="20"/>
          <w:szCs w:val="20"/>
        </w:rPr>
      </w:pPr>
      <w:r>
        <w:rPr>
          <w:rFonts w:hint="eastAsia" w:ascii="仿宋" w:hAnsi="仿宋" w:eastAsia="仿宋" w:cs="仿宋"/>
          <w:sz w:val="20"/>
          <w:szCs w:val="20"/>
          <w:lang w:val="en-US" w:eastAsia="zh-CN"/>
        </w:rPr>
        <w:t>7.</w:t>
      </w:r>
      <w:r>
        <w:rPr>
          <w:rFonts w:hint="eastAsia" w:ascii="仿宋" w:hAnsi="仿宋" w:eastAsia="仿宋" w:cs="仿宋"/>
          <w:sz w:val="20"/>
          <w:szCs w:val="20"/>
        </w:rPr>
        <w:t>其它应用系统，如果</w:t>
      </w:r>
      <w:r>
        <w:rPr>
          <w:rFonts w:hint="eastAsia" w:ascii="仿宋" w:hAnsi="仿宋" w:eastAsia="仿宋" w:cs="仿宋"/>
          <w:sz w:val="20"/>
          <w:szCs w:val="20"/>
          <w:lang w:eastAsia="zh-CN"/>
        </w:rPr>
        <w:t>运维服务商</w:t>
      </w:r>
      <w:r>
        <w:rPr>
          <w:rFonts w:hint="eastAsia" w:ascii="仿宋" w:hAnsi="仿宋" w:eastAsia="仿宋" w:cs="仿宋"/>
          <w:sz w:val="20"/>
          <w:szCs w:val="20"/>
        </w:rPr>
        <w:t>完全有能力提供软件升级和维护服务的，由</w:t>
      </w:r>
      <w:r>
        <w:rPr>
          <w:rFonts w:hint="eastAsia" w:ascii="仿宋" w:hAnsi="仿宋" w:eastAsia="仿宋" w:cs="仿宋"/>
          <w:sz w:val="20"/>
          <w:szCs w:val="20"/>
          <w:lang w:eastAsia="zh-CN"/>
        </w:rPr>
        <w:t>运维服务商</w:t>
      </w:r>
      <w:r>
        <w:rPr>
          <w:rFonts w:hint="eastAsia" w:ascii="仿宋" w:hAnsi="仿宋" w:eastAsia="仿宋" w:cs="仿宋"/>
          <w:sz w:val="20"/>
          <w:szCs w:val="20"/>
        </w:rPr>
        <w:t>决定自行运维或</w:t>
      </w:r>
      <w:r>
        <w:rPr>
          <w:rFonts w:hint="eastAsia" w:ascii="仿宋" w:hAnsi="仿宋" w:eastAsia="仿宋" w:cs="仿宋"/>
          <w:sz w:val="20"/>
          <w:szCs w:val="20"/>
          <w:lang w:val="en-US" w:eastAsia="zh-CN"/>
        </w:rPr>
        <w:t>报告省高院</w:t>
      </w:r>
      <w:r>
        <w:rPr>
          <w:rFonts w:hint="eastAsia" w:ascii="仿宋" w:hAnsi="仿宋" w:eastAsia="仿宋" w:cs="仿宋"/>
          <w:sz w:val="20"/>
          <w:szCs w:val="20"/>
        </w:rPr>
        <w:t>购买第三方服务完成升级和维护</w:t>
      </w:r>
      <w:r>
        <w:rPr>
          <w:rFonts w:hint="eastAsia" w:ascii="仿宋" w:hAnsi="仿宋" w:eastAsia="仿宋" w:cs="仿宋"/>
          <w:sz w:val="20"/>
          <w:szCs w:val="20"/>
          <w:lang w:eastAsia="zh-CN"/>
        </w:rPr>
        <w:t>。</w:t>
      </w:r>
    </w:p>
    <w:p w14:paraId="30C85ABD">
      <w:pPr>
        <w:spacing w:line="240" w:lineRule="auto"/>
        <w:ind w:firstLine="200" w:firstLineChars="100"/>
        <w:outlineLvl w:val="9"/>
        <w:rPr>
          <w:rFonts w:hint="eastAsia" w:ascii="仿宋" w:hAnsi="仿宋" w:eastAsia="仿宋" w:cs="仿宋"/>
          <w:sz w:val="20"/>
          <w:szCs w:val="20"/>
        </w:rPr>
      </w:pPr>
      <w:r>
        <w:rPr>
          <w:rFonts w:hint="eastAsia" w:ascii="仿宋" w:hAnsi="仿宋" w:eastAsia="仿宋" w:cs="仿宋"/>
          <w:sz w:val="20"/>
          <w:szCs w:val="20"/>
          <w:lang w:val="en-US" w:eastAsia="zh-CN"/>
        </w:rPr>
        <w:t>8.</w:t>
      </w:r>
      <w:r>
        <w:rPr>
          <w:rFonts w:hint="eastAsia" w:ascii="仿宋" w:hAnsi="仿宋" w:eastAsia="仿宋" w:cs="仿宋"/>
          <w:sz w:val="20"/>
          <w:szCs w:val="20"/>
        </w:rPr>
        <w:t>省高院办公办案区域内所有非国产化电脑终端、打印机、电话机等办公设备，由</w:t>
      </w:r>
      <w:r>
        <w:rPr>
          <w:rFonts w:hint="eastAsia" w:ascii="仿宋" w:hAnsi="仿宋" w:eastAsia="仿宋" w:cs="仿宋"/>
          <w:sz w:val="20"/>
          <w:szCs w:val="20"/>
          <w:lang w:eastAsia="zh-CN"/>
        </w:rPr>
        <w:t>省高院</w:t>
      </w:r>
      <w:r>
        <w:rPr>
          <w:rFonts w:hint="eastAsia" w:ascii="仿宋" w:hAnsi="仿宋" w:eastAsia="仿宋" w:cs="仿宋"/>
          <w:sz w:val="20"/>
          <w:szCs w:val="20"/>
        </w:rPr>
        <w:t>负责采购并进行国有资产管理，</w:t>
      </w:r>
      <w:r>
        <w:rPr>
          <w:rFonts w:hint="eastAsia" w:ascii="仿宋" w:hAnsi="仿宋" w:eastAsia="仿宋" w:cs="仿宋"/>
          <w:sz w:val="20"/>
          <w:szCs w:val="20"/>
          <w:lang w:eastAsia="zh-CN"/>
        </w:rPr>
        <w:t>运维服务商</w:t>
      </w:r>
      <w:r>
        <w:rPr>
          <w:rFonts w:hint="eastAsia" w:ascii="仿宋" w:hAnsi="仿宋" w:eastAsia="仿宋" w:cs="仿宋"/>
          <w:sz w:val="20"/>
          <w:szCs w:val="20"/>
        </w:rPr>
        <w:t>负责建立运维台账，完成日常维护和故障处理。</w:t>
      </w:r>
    </w:p>
    <w:p w14:paraId="078B97A2">
      <w:pPr>
        <w:spacing w:line="240" w:lineRule="auto"/>
        <w:ind w:firstLine="200" w:firstLineChars="100"/>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w:t>
      </w:r>
      <w:r>
        <w:rPr>
          <w:rFonts w:hint="eastAsia" w:ascii="仿宋" w:hAnsi="仿宋" w:eastAsia="仿宋" w:cs="仿宋"/>
          <w:sz w:val="20"/>
          <w:szCs w:val="20"/>
        </w:rPr>
        <w:t>省高院办公办案区域内法院专网、互联网、政务网、大楼内综合布线等信息设施，</w:t>
      </w:r>
      <w:r>
        <w:rPr>
          <w:rFonts w:hint="eastAsia" w:ascii="仿宋" w:hAnsi="仿宋" w:eastAsia="仿宋" w:cs="仿宋"/>
          <w:sz w:val="20"/>
          <w:szCs w:val="20"/>
          <w:lang w:eastAsia="zh-CN"/>
        </w:rPr>
        <w:t>运维服务商</w:t>
      </w:r>
      <w:r>
        <w:rPr>
          <w:rFonts w:hint="eastAsia" w:ascii="仿宋" w:hAnsi="仿宋" w:eastAsia="仿宋" w:cs="仿宋"/>
          <w:sz w:val="20"/>
          <w:szCs w:val="20"/>
        </w:rPr>
        <w:t>负责维护，</w:t>
      </w:r>
      <w:r>
        <w:rPr>
          <w:rFonts w:hint="eastAsia" w:ascii="仿宋" w:hAnsi="仿宋" w:eastAsia="仿宋" w:cs="仿宋"/>
          <w:sz w:val="20"/>
          <w:szCs w:val="20"/>
          <w:lang w:eastAsia="zh-CN"/>
        </w:rPr>
        <w:t>省高院</w:t>
      </w:r>
      <w:r>
        <w:rPr>
          <w:rFonts w:hint="eastAsia" w:ascii="仿宋" w:hAnsi="仿宋" w:eastAsia="仿宋" w:cs="仿宋"/>
          <w:sz w:val="20"/>
          <w:szCs w:val="20"/>
        </w:rPr>
        <w:t>提供网线、光纤跳线等日常耗材，</w:t>
      </w:r>
      <w:r>
        <w:rPr>
          <w:rFonts w:hint="eastAsia" w:ascii="仿宋" w:hAnsi="仿宋" w:eastAsia="仿宋" w:cs="仿宋"/>
          <w:sz w:val="20"/>
          <w:szCs w:val="20"/>
          <w:lang w:eastAsia="zh-CN"/>
        </w:rPr>
        <w:t>运维服务商</w:t>
      </w:r>
      <w:r>
        <w:rPr>
          <w:rFonts w:hint="eastAsia" w:ascii="仿宋" w:hAnsi="仿宋" w:eastAsia="仿宋" w:cs="仿宋"/>
          <w:sz w:val="20"/>
          <w:szCs w:val="20"/>
        </w:rPr>
        <w:t>负责安装更换。</w:t>
      </w:r>
    </w:p>
    <w:p w14:paraId="010F4176">
      <w:pPr>
        <w:spacing w:line="240" w:lineRule="auto"/>
        <w:ind w:firstLine="200" w:firstLineChars="100"/>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r>
        <w:rPr>
          <w:rFonts w:hint="eastAsia" w:ascii="仿宋" w:hAnsi="仿宋" w:eastAsia="仿宋" w:cs="仿宋"/>
          <w:sz w:val="20"/>
          <w:szCs w:val="20"/>
        </w:rPr>
        <w:t>省高院视频会议系统及设备，</w:t>
      </w:r>
      <w:r>
        <w:rPr>
          <w:rFonts w:hint="eastAsia" w:ascii="仿宋" w:hAnsi="仿宋" w:eastAsia="仿宋" w:cs="仿宋"/>
          <w:sz w:val="20"/>
          <w:szCs w:val="20"/>
          <w:lang w:eastAsia="zh-CN"/>
        </w:rPr>
        <w:t>运维服务商</w:t>
      </w:r>
      <w:r>
        <w:rPr>
          <w:rFonts w:hint="eastAsia" w:ascii="仿宋" w:hAnsi="仿宋" w:eastAsia="仿宋" w:cs="仿宋"/>
          <w:sz w:val="20"/>
          <w:szCs w:val="20"/>
        </w:rPr>
        <w:t>负责日常维护及会议保障。</w:t>
      </w:r>
    </w:p>
    <w:p w14:paraId="65FCDC22">
      <w:pPr>
        <w:spacing w:line="240" w:lineRule="auto"/>
        <w:ind w:firstLine="200" w:firstLineChars="100"/>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11.考虑到涉及业务系统较多，服务内容复杂，运维服务商需为省高院提供1名项目经理统筹管理运维管理工作，驻场时间与服务期相同，主要负责以下工作：（1）负责全盘运维工作管理；（2）制定省高院日常运维管理制度、考核制度等，报省高院备案。（3）编制省高院运维服务月报，次月第一周向省高院报告上月运维报告。（4）量化工作绩效。（5）定期召开运维工作会议。（6）协调资源，保障运维工作质效发展。（7）省高院交办的各类工作。。</w:t>
      </w:r>
    </w:p>
    <w:p w14:paraId="3F721D79">
      <w:pPr>
        <w:spacing w:line="240" w:lineRule="auto"/>
        <w:outlineLvl w:val="9"/>
        <w:rPr>
          <w:rFonts w:hint="eastAsia" w:ascii="仿宋" w:hAnsi="仿宋" w:eastAsia="仿宋" w:cs="仿宋"/>
          <w:b/>
          <w:bCs/>
          <w:sz w:val="20"/>
          <w:szCs w:val="20"/>
          <w:lang w:val="en-US" w:eastAsia="zh-CN"/>
        </w:rPr>
      </w:pPr>
      <w:bookmarkStart w:id="3" w:name="_Toc126155950"/>
      <w:r>
        <w:rPr>
          <w:rFonts w:hint="eastAsia" w:ascii="仿宋" w:hAnsi="仿宋" w:eastAsia="仿宋" w:cs="仿宋"/>
          <w:b/>
          <w:bCs/>
          <w:sz w:val="20"/>
          <w:szCs w:val="20"/>
          <w:lang w:val="en-US" w:eastAsia="zh-CN"/>
        </w:rPr>
        <w:t>四、质效型运维管理</w:t>
      </w:r>
      <w:bookmarkEnd w:id="3"/>
    </w:p>
    <w:p w14:paraId="5C776E6E">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b/>
          <w:bCs/>
          <w:caps w:val="0"/>
          <w:smallCaps w:val="0"/>
          <w:vanish w:val="0"/>
          <w:sz w:val="20"/>
          <w:szCs w:val="20"/>
          <w:lang w:val="en-US" w:eastAsia="zh-CN"/>
        </w:rPr>
      </w:pPr>
      <w:r>
        <w:rPr>
          <w:rFonts w:hint="eastAsia" w:ascii="仿宋" w:hAnsi="仿宋" w:eastAsia="仿宋" w:cs="仿宋"/>
          <w:caps w:val="0"/>
          <w:smallCaps w:val="0"/>
          <w:vanish w:val="0"/>
          <w:color w:val="auto"/>
          <w:sz w:val="20"/>
          <w:szCs w:val="20"/>
          <w:lang w:val="en-US" w:eastAsia="zh-CN" w:bidi="ar-SA"/>
        </w:rPr>
        <w:t>按照最高法“一张网”要求，各省</w:t>
      </w:r>
      <w:r>
        <w:rPr>
          <w:rFonts w:hint="eastAsia" w:ascii="仿宋" w:hAnsi="仿宋" w:eastAsia="仿宋" w:cs="仿宋"/>
          <w:sz w:val="20"/>
          <w:szCs w:val="20"/>
        </w:rPr>
        <w:t>省高院应建设二级运维保障中心，下设应用组、基础设施组、数据组和质效管理组，包括应用咨询、数据维护、接口维护和质效分析等10类岗位</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确保</w:t>
      </w:r>
      <w:r>
        <w:rPr>
          <w:rFonts w:hint="eastAsia" w:ascii="仿宋" w:hAnsi="仿宋" w:eastAsia="仿宋" w:cs="仿宋"/>
          <w:caps w:val="0"/>
          <w:smallCaps w:val="0"/>
          <w:vanish w:val="0"/>
          <w:color w:val="auto"/>
          <w:sz w:val="20"/>
          <w:szCs w:val="20"/>
          <w:lang w:val="en-US" w:eastAsia="zh-CN" w:bidi="ar-SA"/>
        </w:rPr>
        <w:t>法院运维工作向质效型转变，建成质效型运维团队、可视化质效型运维管理平台、信息化运行质效分析“三位一体”的质效型运维管理体系，支撑智慧法院建设成效的科学管理。</w:t>
      </w:r>
    </w:p>
    <w:p w14:paraId="4E22731A">
      <w:pPr>
        <w:pStyle w:val="12"/>
        <w:keepNext/>
        <w:keepLines/>
        <w:pageBreakBefore w:val="0"/>
        <w:widowControl w:val="0"/>
        <w:kinsoku/>
        <w:wordWrap/>
        <w:overflowPunct/>
        <w:topLinePunct w:val="0"/>
        <w:autoSpaceDE/>
        <w:autoSpaceDN/>
        <w:bidi w:val="0"/>
        <w:adjustRightInd/>
        <w:snapToGrid/>
        <w:spacing w:before="0" w:line="240" w:lineRule="auto"/>
        <w:ind w:left="0" w:firstLine="402" w:firstLineChars="200"/>
        <w:jc w:val="both"/>
        <w:textAlignment w:val="auto"/>
        <w:outlineLvl w:val="9"/>
        <w:rPr>
          <w:rFonts w:hint="eastAsia" w:ascii="仿宋" w:hAnsi="仿宋" w:eastAsia="仿宋" w:cs="仿宋"/>
          <w:b/>
          <w:bCs/>
          <w:caps w:val="0"/>
          <w:smallCaps w:val="0"/>
          <w:vanish w:val="0"/>
          <w:sz w:val="20"/>
          <w:szCs w:val="20"/>
          <w:lang w:val="en-US" w:eastAsia="zh-CN"/>
        </w:rPr>
      </w:pPr>
      <w:bookmarkStart w:id="4" w:name="_Toc126155946"/>
      <w:r>
        <w:rPr>
          <w:rFonts w:hint="eastAsia" w:ascii="仿宋" w:hAnsi="仿宋" w:eastAsia="仿宋" w:cs="仿宋"/>
          <w:b/>
          <w:bCs/>
          <w:caps w:val="0"/>
          <w:smallCaps w:val="0"/>
          <w:vanish w:val="0"/>
          <w:sz w:val="20"/>
          <w:szCs w:val="20"/>
          <w:lang w:val="en-US" w:eastAsia="zh-CN"/>
        </w:rPr>
        <w:t>4.1运维管理组织架构</w:t>
      </w:r>
    </w:p>
    <w:p w14:paraId="40CB7BC0">
      <w:pPr>
        <w:pStyle w:val="7"/>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400" w:firstLineChars="200"/>
        <w:jc w:val="both"/>
        <w:textAlignment w:val="auto"/>
        <w:outlineLvl w:val="9"/>
        <w:rPr>
          <w:rFonts w:hint="eastAsia" w:ascii="仿宋" w:hAnsi="仿宋" w:eastAsia="仿宋" w:cs="仿宋"/>
          <w:caps w:val="0"/>
          <w:smallCaps w:val="0"/>
          <w:vanish w:val="0"/>
          <w:color w:val="auto"/>
          <w:sz w:val="20"/>
          <w:szCs w:val="20"/>
          <w:lang w:val="en-US" w:eastAsia="zh-CN" w:bidi="ar-SA"/>
        </w:rPr>
      </w:pPr>
      <w:r>
        <w:rPr>
          <w:rFonts w:hint="eastAsia" w:ascii="仿宋" w:hAnsi="仿宋" w:eastAsia="仿宋" w:cs="仿宋"/>
          <w:caps w:val="0"/>
          <w:smallCaps w:val="0"/>
          <w:vanish w:val="0"/>
          <w:color w:val="auto"/>
          <w:sz w:val="20"/>
          <w:szCs w:val="20"/>
          <w:lang w:val="en-US" w:eastAsia="zh-CN" w:bidi="ar-SA"/>
        </w:rPr>
        <w:t>决策机构</w:t>
      </w:r>
      <w:bookmarkEnd w:id="4"/>
      <w:r>
        <w:rPr>
          <w:rFonts w:hint="eastAsia" w:ascii="仿宋" w:hAnsi="仿宋" w:eastAsia="仿宋" w:cs="仿宋"/>
          <w:caps w:val="0"/>
          <w:smallCaps w:val="0"/>
          <w:vanish w:val="0"/>
          <w:color w:val="auto"/>
          <w:sz w:val="20"/>
          <w:szCs w:val="20"/>
          <w:lang w:val="en-US" w:eastAsia="zh-CN" w:bidi="ar-SA"/>
        </w:rPr>
        <w:t>：陕西省高级人民法院是信息系统运行维护管理的决策机构，负责运行维护工作的规划、指导、监督。决策信息化运维重大事项，指导中基层法院信息化运维管理工作。</w:t>
      </w:r>
    </w:p>
    <w:p w14:paraId="41849EDD">
      <w:pPr>
        <w:pStyle w:val="7"/>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400" w:firstLineChars="200"/>
        <w:jc w:val="both"/>
        <w:textAlignment w:val="auto"/>
        <w:outlineLvl w:val="9"/>
        <w:rPr>
          <w:rFonts w:hint="eastAsia" w:ascii="仿宋" w:hAnsi="仿宋" w:eastAsia="仿宋" w:cs="仿宋"/>
          <w:caps w:val="0"/>
          <w:smallCaps w:val="0"/>
          <w:vanish w:val="0"/>
          <w:color w:val="auto"/>
          <w:sz w:val="20"/>
          <w:szCs w:val="20"/>
          <w:lang w:val="en-US" w:eastAsia="zh-CN" w:bidi="ar-SA"/>
        </w:rPr>
      </w:pPr>
      <w:bookmarkStart w:id="5" w:name="_Toc126155947"/>
      <w:r>
        <w:rPr>
          <w:rFonts w:hint="eastAsia" w:ascii="仿宋" w:hAnsi="仿宋" w:eastAsia="仿宋" w:cs="仿宋"/>
          <w:caps w:val="0"/>
          <w:smallCaps w:val="0"/>
          <w:vanish w:val="0"/>
          <w:color w:val="auto"/>
          <w:sz w:val="20"/>
          <w:szCs w:val="20"/>
          <w:lang w:val="en-US" w:eastAsia="zh-CN" w:bidi="ar-SA"/>
        </w:rPr>
        <w:t>实施机构</w:t>
      </w:r>
      <w:bookmarkEnd w:id="5"/>
      <w:r>
        <w:rPr>
          <w:rFonts w:hint="eastAsia" w:ascii="仿宋" w:hAnsi="仿宋" w:eastAsia="仿宋" w:cs="仿宋"/>
          <w:caps w:val="0"/>
          <w:smallCaps w:val="0"/>
          <w:vanish w:val="0"/>
          <w:color w:val="auto"/>
          <w:sz w:val="20"/>
          <w:szCs w:val="20"/>
          <w:lang w:val="en-US" w:eastAsia="zh-CN" w:bidi="ar-SA"/>
        </w:rPr>
        <w:t>：陕西省高级人民法院信息技术部门是我院信息系统运行维护组织实施机构，负责牵头制定年度运维计划，提出运维服务项目、内容、响应级别、指标要求和评估办法等内容，负责法院“一张网”信息系统运维保障服务招标采购和运维工作全过程的实施和监管。</w:t>
      </w:r>
    </w:p>
    <w:p w14:paraId="1F91F86E">
      <w:pPr>
        <w:pStyle w:val="7"/>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400" w:firstLineChars="200"/>
        <w:jc w:val="both"/>
        <w:textAlignment w:val="auto"/>
        <w:outlineLvl w:val="9"/>
        <w:rPr>
          <w:rFonts w:hint="eastAsia" w:ascii="仿宋" w:hAnsi="仿宋" w:eastAsia="仿宋" w:cs="仿宋"/>
          <w:sz w:val="20"/>
          <w:szCs w:val="20"/>
        </w:rPr>
      </w:pPr>
      <w:bookmarkStart w:id="6" w:name="_Toc126155948"/>
      <w:r>
        <w:rPr>
          <w:rFonts w:hint="eastAsia" w:ascii="仿宋" w:hAnsi="仿宋" w:eastAsia="仿宋" w:cs="仿宋"/>
          <w:caps w:val="0"/>
          <w:smallCaps w:val="0"/>
          <w:vanish w:val="0"/>
          <w:color w:val="auto"/>
          <w:sz w:val="20"/>
          <w:szCs w:val="20"/>
          <w:lang w:val="en-US" w:eastAsia="zh-CN" w:bidi="ar-SA"/>
        </w:rPr>
        <w:t>运维执行团队</w:t>
      </w:r>
      <w:bookmarkEnd w:id="6"/>
      <w:r>
        <w:rPr>
          <w:rFonts w:hint="eastAsia" w:ascii="仿宋" w:hAnsi="仿宋" w:eastAsia="仿宋" w:cs="仿宋"/>
          <w:caps w:val="0"/>
          <w:smallCaps w:val="0"/>
          <w:vanish w:val="0"/>
          <w:color w:val="auto"/>
          <w:sz w:val="20"/>
          <w:szCs w:val="20"/>
          <w:lang w:val="en-US" w:eastAsia="zh-CN" w:bidi="ar-SA"/>
        </w:rPr>
        <w:t>：运维执行团队由运维服务企业管理人员、技术人员和服务质量人员组成，负责具体运维管理、运维服务和服务质量保障工作。运维团队人员分为两个部分：第一部分运维管理人员，负责协助规划、执行、完善项目的运维工作，建立和持续完善运维管理体系，优化运维流程，解决运维服务中出现的问题。提升运维工程师专业服务能力，在整体上为运维满意度负责；第二部分运维人员，负责完成日常维护和服务工作，收集、记录工单信息，并且及时、高效、满意的解决工单。</w:t>
      </w:r>
    </w:p>
    <w:p w14:paraId="7758E742">
      <w:pPr>
        <w:spacing w:line="240" w:lineRule="auto"/>
        <w:jc w:val="center"/>
        <w:outlineLvl w:val="9"/>
        <w:rPr>
          <w:rFonts w:hint="eastAsia" w:ascii="仿宋" w:hAnsi="仿宋" w:eastAsia="仿宋" w:cs="仿宋"/>
          <w:b/>
          <w:bCs/>
          <w:caps w:val="0"/>
          <w:smallCaps w:val="0"/>
          <w:vanish w:val="0"/>
          <w:sz w:val="20"/>
          <w:szCs w:val="20"/>
          <w:lang w:val="en-US" w:eastAsia="zh-CN"/>
        </w:rPr>
      </w:pPr>
      <w:r>
        <w:rPr>
          <w:rFonts w:hint="eastAsia" w:ascii="仿宋" w:hAnsi="仿宋" w:eastAsia="仿宋" w:cs="仿宋"/>
          <w:sz w:val="20"/>
          <w:szCs w:val="20"/>
          <w:lang w:eastAsia="zh-CN"/>
        </w:rPr>
        <w:drawing>
          <wp:inline distT="0" distB="0" distL="114300" distR="114300">
            <wp:extent cx="4337685" cy="3159760"/>
            <wp:effectExtent l="0" t="0" r="5715" b="2540"/>
            <wp:docPr id="5"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图片2"/>
                    <pic:cNvPicPr>
                      <a:picLocks noChangeAspect="1"/>
                    </pic:cNvPicPr>
                  </pic:nvPicPr>
                  <pic:blipFill>
                    <a:blip r:embed="rId5"/>
                    <a:stretch>
                      <a:fillRect/>
                    </a:stretch>
                  </pic:blipFill>
                  <pic:spPr>
                    <a:xfrm>
                      <a:off x="0" y="0"/>
                      <a:ext cx="4337685" cy="3159760"/>
                    </a:xfrm>
                    <a:prstGeom prst="rect">
                      <a:avLst/>
                    </a:prstGeom>
                    <a:noFill/>
                    <a:ln>
                      <a:noFill/>
                    </a:ln>
                  </pic:spPr>
                </pic:pic>
              </a:graphicData>
            </a:graphic>
          </wp:inline>
        </w:drawing>
      </w:r>
    </w:p>
    <w:p w14:paraId="5BF666C4">
      <w:pPr>
        <w:spacing w:line="240" w:lineRule="auto"/>
        <w:jc w:val="center"/>
        <w:outlineLvl w:val="9"/>
        <w:rPr>
          <w:rFonts w:hint="eastAsia" w:ascii="仿宋" w:hAnsi="仿宋" w:eastAsia="仿宋" w:cs="仿宋"/>
          <w:sz w:val="20"/>
          <w:szCs w:val="20"/>
          <w:lang w:val="en-US"/>
        </w:rPr>
      </w:pPr>
      <w:r>
        <w:rPr>
          <w:rFonts w:hint="eastAsia" w:ascii="仿宋" w:hAnsi="仿宋" w:eastAsia="仿宋" w:cs="仿宋"/>
          <w:b/>
          <w:bCs/>
          <w:caps w:val="0"/>
          <w:smallCaps w:val="0"/>
          <w:vanish w:val="0"/>
          <w:sz w:val="20"/>
          <w:szCs w:val="20"/>
          <w:lang w:val="en-US" w:eastAsia="zh-CN"/>
        </w:rPr>
        <w:t>运维管理组织架构（详见附件）</w:t>
      </w:r>
    </w:p>
    <w:p w14:paraId="336218AA">
      <w:pPr>
        <w:pStyle w:val="12"/>
        <w:keepNext/>
        <w:keepLines/>
        <w:spacing w:before="260" w:line="240" w:lineRule="auto"/>
        <w:ind w:left="744" w:leftChars="304" w:hanging="106" w:hangingChars="53"/>
        <w:jc w:val="both"/>
        <w:outlineLvl w:val="9"/>
        <w:rPr>
          <w:rFonts w:hint="eastAsia" w:ascii="仿宋" w:hAnsi="仿宋" w:eastAsia="仿宋" w:cs="仿宋"/>
          <w:b/>
          <w:bCs/>
          <w:caps w:val="0"/>
          <w:smallCaps w:val="0"/>
          <w:vanish w:val="0"/>
          <w:sz w:val="20"/>
          <w:szCs w:val="20"/>
          <w:lang w:val="en-US" w:eastAsia="zh-CN"/>
        </w:rPr>
      </w:pPr>
      <w:r>
        <w:rPr>
          <w:rFonts w:hint="eastAsia" w:ascii="仿宋" w:hAnsi="仿宋" w:eastAsia="仿宋" w:cs="仿宋"/>
          <w:b/>
          <w:bCs/>
          <w:caps w:val="0"/>
          <w:smallCaps w:val="0"/>
          <w:vanish w:val="0"/>
          <w:sz w:val="20"/>
          <w:szCs w:val="20"/>
          <w:lang w:val="en-US" w:eastAsia="zh-CN"/>
        </w:rPr>
        <w:t>4.2运维管理服务规范</w:t>
      </w:r>
    </w:p>
    <w:p w14:paraId="169F59C3">
      <w:pPr>
        <w:pStyle w:val="14"/>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00" w:firstLineChars="200"/>
        <w:jc w:val="both"/>
        <w:textAlignment w:val="auto"/>
        <w:outlineLvl w:val="9"/>
        <w:rPr>
          <w:rFonts w:hint="eastAsia" w:ascii="仿宋" w:hAnsi="仿宋" w:eastAsia="仿宋" w:cs="仿宋"/>
          <w:caps w:val="0"/>
          <w:smallCaps w:val="0"/>
          <w:vanish w:val="0"/>
          <w:color w:val="auto"/>
          <w:sz w:val="20"/>
          <w:szCs w:val="20"/>
          <w:lang w:val="en-US" w:eastAsia="zh-CN" w:bidi="ar-SA"/>
        </w:rPr>
      </w:pPr>
      <w:r>
        <w:rPr>
          <w:rFonts w:hint="eastAsia" w:ascii="仿宋" w:hAnsi="仿宋" w:eastAsia="仿宋" w:cs="仿宋"/>
          <w:caps w:val="0"/>
          <w:smallCaps w:val="0"/>
          <w:vanish w:val="0"/>
          <w:color w:val="auto"/>
          <w:sz w:val="20"/>
          <w:szCs w:val="20"/>
          <w:lang w:val="en-US" w:eastAsia="zh-CN" w:bidi="ar-SA"/>
        </w:rPr>
        <w:t>制度管理</w:t>
      </w:r>
    </w:p>
    <w:p w14:paraId="50FEB98D">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outlineLvl w:val="9"/>
        <w:rPr>
          <w:rFonts w:hint="eastAsia" w:ascii="仿宋" w:hAnsi="仿宋" w:eastAsia="仿宋" w:cs="仿宋"/>
          <w:caps w:val="0"/>
          <w:smallCaps w:val="0"/>
          <w:vanish w:val="0"/>
          <w:color w:val="auto"/>
          <w:sz w:val="20"/>
          <w:szCs w:val="20"/>
          <w:lang w:val="en-US" w:eastAsia="zh-CN" w:bidi="ar-SA"/>
        </w:rPr>
      </w:pPr>
      <w:r>
        <w:rPr>
          <w:rFonts w:hint="eastAsia" w:ascii="仿宋" w:hAnsi="仿宋" w:eastAsia="仿宋" w:cs="仿宋"/>
          <w:caps w:val="0"/>
          <w:smallCaps w:val="0"/>
          <w:vanish w:val="0"/>
          <w:color w:val="auto"/>
          <w:sz w:val="20"/>
          <w:szCs w:val="20"/>
          <w:lang w:val="en-US" w:eastAsia="zh-CN" w:bidi="ar-SA"/>
        </w:rPr>
        <w:t>建立完善的运维人员和运维对象的各项管理制度：</w:t>
      </w:r>
    </w:p>
    <w:p w14:paraId="79CAB311">
      <w:pPr>
        <w:pStyle w:val="14"/>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286" w:firstLineChars="143"/>
        <w:jc w:val="both"/>
        <w:textAlignment w:val="auto"/>
        <w:outlineLvl w:val="9"/>
        <w:rPr>
          <w:rFonts w:hint="eastAsia" w:ascii="仿宋" w:hAnsi="仿宋" w:eastAsia="仿宋" w:cs="仿宋"/>
          <w:caps w:val="0"/>
          <w:smallCaps w:val="0"/>
          <w:vanish w:val="0"/>
          <w:color w:val="auto"/>
          <w:sz w:val="20"/>
          <w:szCs w:val="20"/>
          <w:lang w:val="en-US" w:eastAsia="zh-CN" w:bidi="ar-SA"/>
        </w:rPr>
      </w:pPr>
      <w:r>
        <w:rPr>
          <w:rFonts w:hint="eastAsia" w:ascii="仿宋" w:hAnsi="仿宋" w:eastAsia="仿宋" w:cs="仿宋"/>
          <w:caps w:val="0"/>
          <w:smallCaps w:val="0"/>
          <w:vanish w:val="0"/>
          <w:color w:val="auto"/>
          <w:sz w:val="20"/>
          <w:szCs w:val="20"/>
          <w:lang w:val="en-US" w:eastAsia="zh-CN" w:bidi="ar-SA"/>
        </w:rPr>
        <w:t>运维人员管理制度包括</w:t>
      </w:r>
      <w:r>
        <w:rPr>
          <w:rFonts w:hint="eastAsia" w:ascii="仿宋" w:hAnsi="仿宋" w:eastAsia="仿宋" w:cs="仿宋"/>
          <w:caps w:val="0"/>
          <w:smallCaps w:val="0"/>
          <w:vanish w:val="0"/>
          <w:color w:val="auto"/>
          <w:sz w:val="20"/>
          <w:szCs w:val="20"/>
          <w:lang w:val="en-US" w:eastAsia="zh" w:bidi="ar-SA"/>
        </w:rPr>
        <w:t>考勤管理制度</w:t>
      </w:r>
      <w:r>
        <w:rPr>
          <w:rFonts w:hint="eastAsia" w:ascii="仿宋" w:hAnsi="仿宋" w:eastAsia="仿宋" w:cs="仿宋"/>
          <w:caps w:val="0"/>
          <w:smallCaps w:val="0"/>
          <w:vanish w:val="0"/>
          <w:color w:val="auto"/>
          <w:sz w:val="20"/>
          <w:szCs w:val="20"/>
          <w:lang w:val="en-US" w:eastAsia="zh-CN" w:bidi="ar-SA"/>
        </w:rPr>
        <w:t>、</w:t>
      </w:r>
      <w:r>
        <w:rPr>
          <w:rFonts w:hint="eastAsia" w:ascii="仿宋" w:hAnsi="仿宋" w:eastAsia="仿宋" w:cs="仿宋"/>
          <w:caps w:val="0"/>
          <w:smallCaps w:val="0"/>
          <w:vanish w:val="0"/>
          <w:color w:val="auto"/>
          <w:sz w:val="20"/>
          <w:szCs w:val="20"/>
          <w:lang w:val="en-US" w:eastAsia="zh" w:bidi="ar-SA"/>
        </w:rPr>
        <w:t>派单及故障处理制度</w:t>
      </w:r>
      <w:r>
        <w:rPr>
          <w:rFonts w:hint="eastAsia" w:ascii="仿宋" w:hAnsi="仿宋" w:eastAsia="仿宋" w:cs="仿宋"/>
          <w:caps w:val="0"/>
          <w:smallCaps w:val="0"/>
          <w:vanish w:val="0"/>
          <w:color w:val="auto"/>
          <w:sz w:val="20"/>
          <w:szCs w:val="20"/>
          <w:lang w:val="en-US" w:eastAsia="zh-CN" w:bidi="ar-SA"/>
        </w:rPr>
        <w:t>、绩效管理制度、服务考核制度、保密管理制度、培训管理制度等。</w:t>
      </w:r>
    </w:p>
    <w:p w14:paraId="12D3B9BB">
      <w:pPr>
        <w:pStyle w:val="14"/>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286" w:firstLineChars="143"/>
        <w:jc w:val="both"/>
        <w:textAlignment w:val="auto"/>
        <w:outlineLvl w:val="9"/>
        <w:rPr>
          <w:rFonts w:hint="eastAsia" w:ascii="仿宋" w:hAnsi="仿宋" w:eastAsia="仿宋" w:cs="仿宋"/>
          <w:caps w:val="0"/>
          <w:smallCaps w:val="0"/>
          <w:vanish w:val="0"/>
          <w:color w:val="auto"/>
          <w:sz w:val="20"/>
          <w:szCs w:val="20"/>
          <w:lang w:val="en-US" w:eastAsia="zh-CN" w:bidi="ar-SA"/>
        </w:rPr>
      </w:pPr>
      <w:r>
        <w:rPr>
          <w:rFonts w:hint="eastAsia" w:ascii="仿宋" w:hAnsi="仿宋" w:eastAsia="仿宋" w:cs="仿宋"/>
          <w:caps w:val="0"/>
          <w:smallCaps w:val="0"/>
          <w:vanish w:val="0"/>
          <w:color w:val="auto"/>
          <w:sz w:val="20"/>
          <w:szCs w:val="20"/>
          <w:lang w:val="en-US" w:eastAsia="zh-CN" w:bidi="ar-SA"/>
        </w:rPr>
        <w:t>运维对象管理制度包括机房管理制度、安全管理制度、事故分级制度、故障处理及报告制度、系统上下线管理制度、资源使用管理制度、业务应用运维巡检制度、应急支撑制度、满意度考核制度等。</w:t>
      </w:r>
    </w:p>
    <w:p w14:paraId="4BA9CD04">
      <w:pPr>
        <w:pStyle w:val="14"/>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00" w:firstLineChars="200"/>
        <w:jc w:val="both"/>
        <w:textAlignment w:val="auto"/>
        <w:outlineLvl w:val="9"/>
        <w:rPr>
          <w:rFonts w:hint="eastAsia" w:ascii="仿宋" w:hAnsi="仿宋" w:eastAsia="仿宋" w:cs="仿宋"/>
          <w:caps w:val="0"/>
          <w:smallCaps w:val="0"/>
          <w:vanish w:val="0"/>
          <w:color w:val="auto"/>
          <w:sz w:val="20"/>
          <w:szCs w:val="20"/>
          <w:lang w:val="en-US" w:eastAsia="zh-CN" w:bidi="ar-SA"/>
        </w:rPr>
      </w:pPr>
      <w:r>
        <w:rPr>
          <w:rFonts w:hint="eastAsia" w:ascii="仿宋" w:hAnsi="仿宋" w:eastAsia="仿宋" w:cs="仿宋"/>
          <w:caps w:val="0"/>
          <w:smallCaps w:val="0"/>
          <w:vanish w:val="0"/>
          <w:color w:val="auto"/>
          <w:sz w:val="20"/>
          <w:szCs w:val="20"/>
          <w:lang w:val="en-US" w:eastAsia="zh-CN" w:bidi="ar-SA"/>
        </w:rPr>
        <w:t>流程管理</w:t>
      </w:r>
    </w:p>
    <w:p w14:paraId="7C3C3BB3">
      <w:pPr>
        <w:pageBreakBefore w:val="0"/>
        <w:widowControl w:val="0"/>
        <w:kinsoku/>
        <w:wordWrap/>
        <w:overflowPunct/>
        <w:topLinePunct w:val="0"/>
        <w:autoSpaceDE/>
        <w:autoSpaceDN/>
        <w:bidi w:val="0"/>
        <w:adjustRightInd/>
        <w:snapToGrid/>
        <w:spacing w:line="240" w:lineRule="auto"/>
        <w:ind w:firstLine="400" w:firstLineChars="200"/>
        <w:jc w:val="both"/>
        <w:textAlignment w:val="auto"/>
        <w:outlineLvl w:val="9"/>
        <w:rPr>
          <w:rFonts w:hint="eastAsia" w:ascii="仿宋" w:hAnsi="仿宋" w:eastAsia="仿宋" w:cs="仿宋"/>
          <w:caps w:val="0"/>
          <w:smallCaps w:val="0"/>
          <w:vanish w:val="0"/>
          <w:color w:val="auto"/>
          <w:sz w:val="20"/>
          <w:szCs w:val="20"/>
          <w:lang w:val="en-US" w:eastAsia="zh-CN" w:bidi="ar-SA"/>
        </w:rPr>
      </w:pPr>
      <w:r>
        <w:rPr>
          <w:rFonts w:hint="eastAsia" w:ascii="仿宋" w:hAnsi="仿宋" w:eastAsia="仿宋" w:cs="仿宋"/>
          <w:caps w:val="0"/>
          <w:smallCaps w:val="0"/>
          <w:vanish w:val="0"/>
          <w:color w:val="auto"/>
          <w:sz w:val="20"/>
          <w:szCs w:val="20"/>
          <w:lang w:val="en-US" w:eastAsia="zh-CN" w:bidi="ar-SA"/>
        </w:rPr>
        <w:t>建立运维事项管理流程，包含故障处理流程、应急处理流程、项目交维流程、自动处理流程、服务工单闭环管理流程等。由跟踪服务请求的响应和完成情况,记录服务效果，通过维护工单统计、用户满意度回访调研、工作报表输出等工作，评估运维效能。</w:t>
      </w:r>
    </w:p>
    <w:p w14:paraId="1E28227E">
      <w:pPr>
        <w:pStyle w:val="14"/>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00" w:firstLineChars="200"/>
        <w:jc w:val="both"/>
        <w:textAlignment w:val="auto"/>
        <w:outlineLvl w:val="9"/>
        <w:rPr>
          <w:rFonts w:hint="eastAsia" w:ascii="仿宋" w:hAnsi="仿宋" w:eastAsia="仿宋" w:cs="仿宋"/>
          <w:caps w:val="0"/>
          <w:smallCaps w:val="0"/>
          <w:vanish w:val="0"/>
          <w:color w:val="auto"/>
          <w:sz w:val="20"/>
          <w:szCs w:val="20"/>
          <w:lang w:val="en-US" w:eastAsia="zh-CN" w:bidi="ar-SA"/>
        </w:rPr>
      </w:pPr>
      <w:r>
        <w:rPr>
          <w:rFonts w:hint="eastAsia" w:ascii="仿宋" w:hAnsi="仿宋" w:eastAsia="仿宋" w:cs="仿宋"/>
          <w:caps w:val="0"/>
          <w:smallCaps w:val="0"/>
          <w:vanish w:val="0"/>
          <w:color w:val="auto"/>
          <w:sz w:val="20"/>
          <w:szCs w:val="20"/>
          <w:lang w:val="en-US" w:eastAsia="zh-CN" w:bidi="ar-SA"/>
        </w:rPr>
        <w:t>资产管理</w:t>
      </w:r>
    </w:p>
    <w:p w14:paraId="0A5C56B9">
      <w:pPr>
        <w:pStyle w:val="6"/>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outlineLvl w:val="9"/>
        <w:rPr>
          <w:rFonts w:hint="eastAsia" w:ascii="仿宋" w:hAnsi="仿宋" w:eastAsia="仿宋" w:cs="仿宋"/>
          <w:caps w:val="0"/>
          <w:smallCaps w:val="0"/>
          <w:vanish w:val="0"/>
          <w:color w:val="auto"/>
          <w:sz w:val="20"/>
          <w:szCs w:val="20"/>
          <w:lang w:val="en-US" w:eastAsia="zh-CN" w:bidi="ar-SA"/>
        </w:rPr>
      </w:pPr>
      <w:r>
        <w:rPr>
          <w:rFonts w:hint="eastAsia" w:ascii="仿宋" w:hAnsi="仿宋" w:eastAsia="仿宋" w:cs="仿宋"/>
          <w:caps w:val="0"/>
          <w:smallCaps w:val="0"/>
          <w:vanish w:val="0"/>
          <w:color w:val="auto"/>
          <w:sz w:val="20"/>
          <w:szCs w:val="20"/>
          <w:lang w:val="en-US" w:eastAsia="zh-CN" w:bidi="ar-SA"/>
        </w:rPr>
        <w:t>健全信息系统资产管理机制，按信息系统资产所在的场所和资产所属的信息系统对资产进行分类，建立目录台账，加强对资产的保管和实物台帐的管理。</w:t>
      </w:r>
    </w:p>
    <w:p w14:paraId="63E42A94">
      <w:pPr>
        <w:pStyle w:val="12"/>
        <w:keepNext/>
        <w:keepLines/>
        <w:spacing w:before="260" w:line="240" w:lineRule="auto"/>
        <w:ind w:left="422" w:leftChars="200" w:hanging="2" w:hangingChars="1"/>
        <w:jc w:val="both"/>
        <w:outlineLvl w:val="9"/>
        <w:rPr>
          <w:rFonts w:hint="eastAsia" w:ascii="仿宋" w:hAnsi="仿宋" w:eastAsia="仿宋" w:cs="仿宋"/>
          <w:b/>
          <w:bCs/>
          <w:caps w:val="0"/>
          <w:smallCaps w:val="0"/>
          <w:vanish w:val="0"/>
          <w:sz w:val="20"/>
          <w:szCs w:val="20"/>
          <w:lang w:val="en-US" w:eastAsia="zh-CN"/>
        </w:rPr>
      </w:pPr>
      <w:r>
        <w:rPr>
          <w:rFonts w:hint="eastAsia" w:ascii="仿宋" w:hAnsi="仿宋" w:eastAsia="仿宋" w:cs="仿宋"/>
          <w:b/>
          <w:bCs/>
          <w:caps w:val="0"/>
          <w:smallCaps w:val="0"/>
          <w:vanish w:val="0"/>
          <w:sz w:val="20"/>
          <w:szCs w:val="20"/>
          <w:lang w:val="en-US" w:eastAsia="zh-CN"/>
        </w:rPr>
        <w:t>4.3编制运维分析报告</w:t>
      </w:r>
    </w:p>
    <w:p w14:paraId="2FD7B872">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both"/>
        <w:textAlignment w:val="auto"/>
        <w:outlineLvl w:val="9"/>
        <w:rPr>
          <w:rFonts w:hint="eastAsia" w:ascii="仿宋" w:hAnsi="仿宋" w:eastAsia="仿宋" w:cs="仿宋"/>
          <w:caps w:val="0"/>
          <w:smallCaps w:val="0"/>
          <w:vanish w:val="0"/>
          <w:color w:val="auto"/>
          <w:sz w:val="20"/>
          <w:szCs w:val="20"/>
          <w:lang w:val="en-US" w:eastAsia="zh-CN" w:bidi="ar-SA"/>
        </w:rPr>
      </w:pPr>
      <w:r>
        <w:rPr>
          <w:rFonts w:hint="eastAsia" w:ascii="仿宋" w:hAnsi="仿宋" w:eastAsia="仿宋" w:cs="仿宋"/>
          <w:caps w:val="0"/>
          <w:smallCaps w:val="0"/>
          <w:vanish w:val="0"/>
          <w:color w:val="auto"/>
          <w:sz w:val="20"/>
          <w:szCs w:val="20"/>
          <w:lang w:val="en-US" w:eastAsia="zh-CN" w:bidi="ar-SA"/>
        </w:rPr>
        <w:t>利用可视化质效运维管理平台监测数据和重要系统人工体验数据，收集反映网络信息系统运行性能、质效和业务使用情况，包括网络基础设施运行性能和负载情况，应用系统响应时间、资源占用和业务办理情况，数据资源汇聚情况、数据质量和交换调用情况，信息安全防护、安全态势、 安全威胁情况，以及运维工单及其办理、用户满意度情况等等，通过这些数据对信息系统进行多维度关联分析评价，定期编制运维质效分析报告，分析信息系统运行状态，评估信息系统应用质效，提出问题和改进建议，并提交陕西省高级人民法院信息技术部门报备，以促进运维工作的质效提升。</w:t>
      </w:r>
    </w:p>
    <w:p w14:paraId="62579B07">
      <w:pPr>
        <w:keepNext/>
        <w:keepLines/>
        <w:pageBreakBefore w:val="0"/>
        <w:widowControl w:val="0"/>
        <w:numPr>
          <w:ilvl w:val="0"/>
          <w:numId w:val="0"/>
        </w:numPr>
        <w:kinsoku/>
        <w:wordWrap/>
        <w:overflowPunct/>
        <w:topLinePunct w:val="0"/>
        <w:autoSpaceDE/>
        <w:autoSpaceDN/>
        <w:bidi w:val="0"/>
        <w:adjustRightInd/>
        <w:snapToGrid/>
        <w:spacing w:before="260" w:line="240" w:lineRule="auto"/>
        <w:ind w:left="340" w:leftChars="0"/>
        <w:jc w:val="both"/>
        <w:textAlignment w:val="auto"/>
        <w:outlineLvl w:val="9"/>
        <w:rPr>
          <w:rFonts w:hint="eastAsia" w:ascii="仿宋" w:hAnsi="仿宋" w:eastAsia="仿宋" w:cs="仿宋"/>
          <w:b/>
          <w:bCs/>
          <w:caps w:val="0"/>
          <w:smallCaps w:val="0"/>
          <w:vanish w:val="0"/>
          <w:sz w:val="20"/>
          <w:szCs w:val="20"/>
          <w:lang w:val="en-US" w:eastAsia="zh-CN"/>
        </w:rPr>
      </w:pPr>
      <w:r>
        <w:rPr>
          <w:rFonts w:hint="eastAsia" w:ascii="仿宋" w:hAnsi="仿宋" w:eastAsia="仿宋" w:cs="仿宋"/>
          <w:b/>
          <w:bCs/>
          <w:caps w:val="0"/>
          <w:smallCaps w:val="0"/>
          <w:vanish w:val="0"/>
          <w:sz w:val="20"/>
          <w:szCs w:val="20"/>
          <w:lang w:val="en-US" w:eastAsia="zh-CN"/>
        </w:rPr>
        <w:t>五、运维服务指标要求</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
        <w:gridCol w:w="1785"/>
        <w:gridCol w:w="5944"/>
      </w:tblGrid>
      <w:tr w14:paraId="2314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466" w:type="pct"/>
            <w:tcBorders>
              <w:top w:val="single" w:color="000000" w:sz="4" w:space="0"/>
              <w:left w:val="single" w:color="000000" w:sz="4" w:space="0"/>
              <w:bottom w:val="single" w:color="000000" w:sz="4" w:space="0"/>
              <w:right w:val="single" w:color="000000" w:sz="4" w:space="0"/>
            </w:tcBorders>
            <w:noWrap/>
            <w:vAlign w:val="center"/>
          </w:tcPr>
          <w:p w14:paraId="1987188B">
            <w:pPr>
              <w:keepNext w:val="0"/>
              <w:keepLines w:val="0"/>
              <w:widowControl/>
              <w:suppressLineNumbers w:val="0"/>
              <w:spacing w:line="240" w:lineRule="auto"/>
              <w:jc w:val="both"/>
              <w:textAlignment w:val="center"/>
              <w:outlineLvl w:val="9"/>
              <w:rPr>
                <w:rFonts w:hint="eastAsia" w:ascii="仿宋" w:hAnsi="仿宋" w:eastAsia="仿宋" w:cs="仿宋"/>
                <w:b/>
                <w:bCs/>
                <w:i w:val="0"/>
                <w:iCs w:val="0"/>
                <w:color w:val="000000"/>
                <w:sz w:val="20"/>
                <w:szCs w:val="20"/>
                <w:u w:val="none"/>
              </w:rPr>
            </w:pPr>
            <w:bookmarkStart w:id="7" w:name="_Toc126155951"/>
            <w:r>
              <w:rPr>
                <w:rFonts w:hint="eastAsia" w:ascii="仿宋" w:hAnsi="仿宋" w:eastAsia="仿宋" w:cs="仿宋"/>
                <w:b/>
                <w:bCs/>
                <w:i w:val="0"/>
                <w:iCs w:val="0"/>
                <w:color w:val="000000"/>
                <w:kern w:val="0"/>
                <w:sz w:val="20"/>
                <w:szCs w:val="20"/>
                <w:u w:val="none"/>
                <w:lang w:val="en-US" w:eastAsia="zh-CN" w:bidi="ar"/>
              </w:rPr>
              <w:t xml:space="preserve">序号 </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6F1B22FE">
            <w:pPr>
              <w:keepNext w:val="0"/>
              <w:keepLines w:val="0"/>
              <w:widowControl/>
              <w:suppressLineNumbers w:val="0"/>
              <w:spacing w:line="240" w:lineRule="auto"/>
              <w:jc w:val="both"/>
              <w:textAlignment w:val="center"/>
              <w:outlineLvl w:val="9"/>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服务名称</w:t>
            </w:r>
          </w:p>
        </w:tc>
        <w:tc>
          <w:tcPr>
            <w:tcW w:w="3486" w:type="pct"/>
            <w:tcBorders>
              <w:top w:val="single" w:color="000000" w:sz="4" w:space="0"/>
              <w:left w:val="single" w:color="000000" w:sz="4" w:space="0"/>
              <w:bottom w:val="single" w:color="000000" w:sz="4" w:space="0"/>
              <w:right w:val="single" w:color="000000" w:sz="4" w:space="0"/>
            </w:tcBorders>
            <w:noWrap/>
            <w:vAlign w:val="center"/>
          </w:tcPr>
          <w:p w14:paraId="38E00DD8">
            <w:pPr>
              <w:keepNext w:val="0"/>
              <w:keepLines w:val="0"/>
              <w:widowControl/>
              <w:suppressLineNumbers w:val="0"/>
              <w:spacing w:line="240" w:lineRule="auto"/>
              <w:jc w:val="both"/>
              <w:textAlignment w:val="center"/>
              <w:outlineLvl w:val="9"/>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指标要求</w:t>
            </w:r>
          </w:p>
        </w:tc>
      </w:tr>
      <w:tr w14:paraId="330F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6" w:type="pct"/>
            <w:tcBorders>
              <w:top w:val="single" w:color="000000" w:sz="4" w:space="0"/>
              <w:left w:val="single" w:color="000000" w:sz="4" w:space="0"/>
              <w:bottom w:val="single" w:color="000000" w:sz="4" w:space="0"/>
              <w:right w:val="single" w:color="000000" w:sz="4" w:space="0"/>
            </w:tcBorders>
            <w:noWrap/>
            <w:vAlign w:val="center"/>
          </w:tcPr>
          <w:p w14:paraId="4ABDCFA5">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5F08DFC0">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信息系统运行质效分析</w:t>
            </w:r>
          </w:p>
        </w:tc>
        <w:tc>
          <w:tcPr>
            <w:tcW w:w="3486" w:type="pct"/>
            <w:tcBorders>
              <w:top w:val="single" w:color="000000" w:sz="4" w:space="0"/>
              <w:left w:val="single" w:color="000000" w:sz="4" w:space="0"/>
              <w:bottom w:val="single" w:color="000000" w:sz="4" w:space="0"/>
              <w:right w:val="single" w:color="000000" w:sz="4" w:space="0"/>
            </w:tcBorders>
            <w:noWrap/>
            <w:vAlign w:val="center"/>
          </w:tcPr>
          <w:p w14:paraId="5362EBB8">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建立长效的质效分析机制，定期出具信息系统运行质效分析报告。每季度一次。</w:t>
            </w:r>
          </w:p>
        </w:tc>
      </w:tr>
      <w:tr w14:paraId="6A73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466" w:type="pct"/>
            <w:tcBorders>
              <w:top w:val="single" w:color="000000" w:sz="4" w:space="0"/>
              <w:left w:val="single" w:color="000000" w:sz="4" w:space="0"/>
              <w:bottom w:val="single" w:color="000000" w:sz="4" w:space="0"/>
              <w:right w:val="single" w:color="000000" w:sz="4" w:space="0"/>
            </w:tcBorders>
            <w:noWrap/>
            <w:vAlign w:val="center"/>
          </w:tcPr>
          <w:p w14:paraId="78E59803">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0B202165">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基础设施故障响应及修复</w:t>
            </w:r>
          </w:p>
        </w:tc>
        <w:tc>
          <w:tcPr>
            <w:tcW w:w="3486" w:type="pct"/>
            <w:tcBorders>
              <w:top w:val="single" w:color="000000" w:sz="4" w:space="0"/>
              <w:left w:val="single" w:color="000000" w:sz="4" w:space="0"/>
              <w:bottom w:val="single" w:color="000000" w:sz="4" w:space="0"/>
              <w:right w:val="single" w:color="000000" w:sz="4" w:space="0"/>
            </w:tcBorders>
            <w:noWrap w:val="0"/>
            <w:vAlign w:val="center"/>
          </w:tcPr>
          <w:p w14:paraId="28C588A8">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15分钟内响应；在服务期内，确保网络系统、音视频系统等基础设施在一般故障情况下从出现故障到恢复的时间&lt;8小时，特殊情况特殊处理。 </w:t>
            </w:r>
          </w:p>
        </w:tc>
      </w:tr>
      <w:tr w14:paraId="5946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66" w:type="pct"/>
            <w:tcBorders>
              <w:top w:val="single" w:color="000000" w:sz="4" w:space="0"/>
              <w:left w:val="single" w:color="000000" w:sz="4" w:space="0"/>
              <w:bottom w:val="single" w:color="000000" w:sz="4" w:space="0"/>
              <w:right w:val="single" w:color="000000" w:sz="4" w:space="0"/>
            </w:tcBorders>
            <w:noWrap/>
            <w:vAlign w:val="center"/>
          </w:tcPr>
          <w:p w14:paraId="31DD04CD">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40E7390B">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应用系统需求实现率和问题修改率</w:t>
            </w:r>
          </w:p>
        </w:tc>
        <w:tc>
          <w:tcPr>
            <w:tcW w:w="3486" w:type="pct"/>
            <w:tcBorders>
              <w:top w:val="single" w:color="000000" w:sz="4" w:space="0"/>
              <w:left w:val="single" w:color="000000" w:sz="4" w:space="0"/>
              <w:bottom w:val="single" w:color="000000" w:sz="4" w:space="0"/>
              <w:right w:val="single" w:color="000000" w:sz="4" w:space="0"/>
            </w:tcBorders>
            <w:noWrap w:val="0"/>
            <w:vAlign w:val="center"/>
          </w:tcPr>
          <w:p w14:paraId="245AB984">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对于用户反映的应用系统需求和问题，整理分析后按法院下达的要求尽快安排驻地研发人员或研发厂商修改软件解决问题的比率=100%。</w:t>
            </w:r>
          </w:p>
        </w:tc>
      </w:tr>
      <w:tr w14:paraId="6F3C4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66" w:type="pct"/>
            <w:tcBorders>
              <w:top w:val="single" w:color="000000" w:sz="4" w:space="0"/>
              <w:left w:val="single" w:color="000000" w:sz="4" w:space="0"/>
              <w:bottom w:val="single" w:color="000000" w:sz="4" w:space="0"/>
              <w:right w:val="single" w:color="000000" w:sz="4" w:space="0"/>
            </w:tcBorders>
            <w:noWrap/>
            <w:vAlign w:val="center"/>
          </w:tcPr>
          <w:p w14:paraId="280234CF">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072CCEBC">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用户终端故障响应</w:t>
            </w:r>
          </w:p>
        </w:tc>
        <w:tc>
          <w:tcPr>
            <w:tcW w:w="3486" w:type="pct"/>
            <w:tcBorders>
              <w:top w:val="single" w:color="000000" w:sz="4" w:space="0"/>
              <w:left w:val="single" w:color="000000" w:sz="4" w:space="0"/>
              <w:bottom w:val="single" w:color="000000" w:sz="4" w:space="0"/>
              <w:right w:val="single" w:color="000000" w:sz="4" w:space="0"/>
            </w:tcBorders>
            <w:noWrap/>
            <w:vAlign w:val="center"/>
          </w:tcPr>
          <w:p w14:paraId="70E9A182">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出现故障后的响应时间&lt;10分钟。</w:t>
            </w:r>
          </w:p>
        </w:tc>
      </w:tr>
      <w:tr w14:paraId="16DE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66" w:type="pct"/>
            <w:tcBorders>
              <w:top w:val="single" w:color="000000" w:sz="4" w:space="0"/>
              <w:left w:val="single" w:color="000000" w:sz="4" w:space="0"/>
              <w:bottom w:val="single" w:color="000000" w:sz="4" w:space="0"/>
              <w:right w:val="single" w:color="000000" w:sz="4" w:space="0"/>
            </w:tcBorders>
            <w:noWrap/>
            <w:vAlign w:val="center"/>
          </w:tcPr>
          <w:p w14:paraId="5737360F">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32E2764E">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机房环境管理</w:t>
            </w:r>
          </w:p>
        </w:tc>
        <w:tc>
          <w:tcPr>
            <w:tcW w:w="3486" w:type="pct"/>
            <w:tcBorders>
              <w:top w:val="single" w:color="000000" w:sz="4" w:space="0"/>
              <w:left w:val="single" w:color="000000" w:sz="4" w:space="0"/>
              <w:bottom w:val="single" w:color="000000" w:sz="4" w:space="0"/>
              <w:right w:val="single" w:color="000000" w:sz="4" w:space="0"/>
            </w:tcBorders>
            <w:noWrap/>
            <w:vAlign w:val="center"/>
          </w:tcPr>
          <w:p w14:paraId="4CE9DB85">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巡检次数2次/天；温湿度、UPS负载情况监控覆盖率100%。</w:t>
            </w:r>
          </w:p>
        </w:tc>
      </w:tr>
      <w:tr w14:paraId="76D6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466" w:type="pct"/>
            <w:tcBorders>
              <w:top w:val="single" w:color="000000" w:sz="4" w:space="0"/>
              <w:left w:val="single" w:color="000000" w:sz="4" w:space="0"/>
              <w:bottom w:val="single" w:color="000000" w:sz="4" w:space="0"/>
              <w:right w:val="single" w:color="000000" w:sz="4" w:space="0"/>
            </w:tcBorders>
            <w:noWrap/>
            <w:vAlign w:val="center"/>
          </w:tcPr>
          <w:p w14:paraId="336DF51E">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201F982B">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重大责任安全事故次数</w:t>
            </w:r>
          </w:p>
        </w:tc>
        <w:tc>
          <w:tcPr>
            <w:tcW w:w="3486" w:type="pct"/>
            <w:tcBorders>
              <w:top w:val="single" w:color="000000" w:sz="4" w:space="0"/>
              <w:left w:val="single" w:color="000000" w:sz="4" w:space="0"/>
              <w:bottom w:val="single" w:color="000000" w:sz="4" w:space="0"/>
              <w:right w:val="single" w:color="000000" w:sz="4" w:space="0"/>
            </w:tcBorders>
            <w:noWrap w:val="0"/>
            <w:vAlign w:val="center"/>
          </w:tcPr>
          <w:p w14:paraId="18901BFD">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因运维失误导致数据丢失、信息失窃或泄密、黑客入侵、全网病毒爆发等信息安全事故的次数=0次。</w:t>
            </w:r>
          </w:p>
        </w:tc>
      </w:tr>
      <w:tr w14:paraId="74B8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66" w:type="pct"/>
            <w:tcBorders>
              <w:top w:val="single" w:color="000000" w:sz="4" w:space="0"/>
              <w:left w:val="single" w:color="000000" w:sz="4" w:space="0"/>
              <w:bottom w:val="single" w:color="000000" w:sz="4" w:space="0"/>
              <w:right w:val="single" w:color="000000" w:sz="4" w:space="0"/>
            </w:tcBorders>
            <w:noWrap/>
            <w:vAlign w:val="center"/>
          </w:tcPr>
          <w:p w14:paraId="44FC452A">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47" w:type="pct"/>
            <w:tcBorders>
              <w:top w:val="single" w:color="000000" w:sz="4" w:space="0"/>
              <w:left w:val="single" w:color="000000" w:sz="4" w:space="0"/>
              <w:bottom w:val="single" w:color="000000" w:sz="4" w:space="0"/>
              <w:right w:val="single" w:color="000000" w:sz="4" w:space="0"/>
            </w:tcBorders>
            <w:noWrap w:val="0"/>
            <w:vAlign w:val="center"/>
          </w:tcPr>
          <w:p w14:paraId="634080EE">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涉密管理要求 </w:t>
            </w:r>
          </w:p>
        </w:tc>
        <w:tc>
          <w:tcPr>
            <w:tcW w:w="3486" w:type="pct"/>
            <w:tcBorders>
              <w:top w:val="single" w:color="000000" w:sz="4" w:space="0"/>
              <w:left w:val="single" w:color="000000" w:sz="4" w:space="0"/>
              <w:bottom w:val="single" w:color="000000" w:sz="4" w:space="0"/>
              <w:right w:val="single" w:color="000000" w:sz="4" w:space="0"/>
            </w:tcBorders>
            <w:noWrap w:val="0"/>
            <w:vAlign w:val="center"/>
          </w:tcPr>
          <w:p w14:paraId="455E1D52">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标运维服务商所有运维人员以及公司相关人员必须遵守陕西省高级人民法院对信息安全保密的各项管理规定和要求，并按照要求与运维主管部门签署《信息安全保密协议书》，采取切实可行的措施保障信息系统及数据安全；</w:t>
            </w:r>
          </w:p>
        </w:tc>
      </w:tr>
      <w:tr w14:paraId="5289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66" w:type="pct"/>
            <w:tcBorders>
              <w:top w:val="single" w:color="000000" w:sz="4" w:space="0"/>
              <w:left w:val="single" w:color="000000" w:sz="4" w:space="0"/>
              <w:bottom w:val="single" w:color="000000" w:sz="4" w:space="0"/>
              <w:right w:val="single" w:color="000000" w:sz="4" w:space="0"/>
            </w:tcBorders>
            <w:noWrap/>
            <w:vAlign w:val="center"/>
          </w:tcPr>
          <w:p w14:paraId="71EDFC74">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5D7E84D9">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绩效考核</w:t>
            </w:r>
          </w:p>
        </w:tc>
        <w:tc>
          <w:tcPr>
            <w:tcW w:w="3486" w:type="pct"/>
            <w:tcBorders>
              <w:top w:val="single" w:color="000000" w:sz="4" w:space="0"/>
              <w:left w:val="single" w:color="000000" w:sz="4" w:space="0"/>
              <w:bottom w:val="single" w:color="000000" w:sz="4" w:space="0"/>
              <w:right w:val="single" w:color="000000" w:sz="4" w:space="0"/>
            </w:tcBorders>
            <w:noWrap w:val="0"/>
            <w:vAlign w:val="center"/>
          </w:tcPr>
          <w:p w14:paraId="185AF30C">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陕西省高级人民法院司法技术室是本项目的主管部门，负责对中标运维服务商的运维绩效考核，本项目中标金额的1‰，作为对运维服务商的绩效考核费用，根据考核评分结果在核算时统筹支付。</w:t>
            </w:r>
          </w:p>
        </w:tc>
      </w:tr>
      <w:tr w14:paraId="14C05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0" w:hRule="atLeast"/>
        </w:trPr>
        <w:tc>
          <w:tcPr>
            <w:tcW w:w="466" w:type="pct"/>
            <w:tcBorders>
              <w:top w:val="single" w:color="000000" w:sz="4" w:space="0"/>
              <w:left w:val="single" w:color="000000" w:sz="4" w:space="0"/>
              <w:bottom w:val="single" w:color="000000" w:sz="4" w:space="0"/>
              <w:right w:val="single" w:color="000000" w:sz="4" w:space="0"/>
            </w:tcBorders>
            <w:noWrap/>
            <w:vAlign w:val="center"/>
          </w:tcPr>
          <w:p w14:paraId="5B3ED73A">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0A6CB73C">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服务质量</w:t>
            </w:r>
          </w:p>
        </w:tc>
        <w:tc>
          <w:tcPr>
            <w:tcW w:w="3486" w:type="pct"/>
            <w:tcBorders>
              <w:top w:val="single" w:color="000000" w:sz="4" w:space="0"/>
              <w:left w:val="single" w:color="000000" w:sz="4" w:space="0"/>
              <w:bottom w:val="single" w:color="000000" w:sz="4" w:space="0"/>
              <w:right w:val="single" w:color="000000" w:sz="4" w:space="0"/>
            </w:tcBorders>
            <w:noWrap w:val="0"/>
            <w:vAlign w:val="center"/>
          </w:tcPr>
          <w:p w14:paraId="781274B8">
            <w:pPr>
              <w:keepNext w:val="0"/>
              <w:keepLines w:val="0"/>
              <w:widowControl/>
              <w:numPr>
                <w:ilvl w:val="0"/>
                <w:numId w:val="8"/>
              </w:numPr>
              <w:suppressLineNumbers w:val="0"/>
              <w:spacing w:line="240" w:lineRule="auto"/>
              <w:jc w:val="both"/>
              <w:textAlignment w:val="center"/>
              <w:outlineLvl w:val="9"/>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中标运维服务商应综合考虑省高院运维服务场景，为所有运维对象设定不同的服务级别和服务等级协议（SLA）；</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2、每年对中标运维服务商进行一次运维服务满意度调查，对服务处理及时性、服务处理时间 SLA 达标率进行综合评估，整体运维服务满意度不能低于90%；</w:t>
            </w:r>
          </w:p>
          <w:p w14:paraId="266AC366">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3、全年内核心应用系统（核心软件系统、执行和案款系统）中断不能超过10次，紧急故障的单次中断时间不能超过12小时； </w:t>
            </w:r>
          </w:p>
          <w:p w14:paraId="3C78405C">
            <w:pPr>
              <w:keepNext w:val="0"/>
              <w:keepLines w:val="0"/>
              <w:widowControl/>
              <w:numPr>
                <w:ilvl w:val="0"/>
                <w:numId w:val="0"/>
              </w:numPr>
              <w:suppressLineNumbers w:val="0"/>
              <w:spacing w:line="240" w:lineRule="auto"/>
              <w:ind w:leftChars="0"/>
              <w:jc w:val="both"/>
              <w:textAlignment w:val="center"/>
              <w:outlineLvl w:val="9"/>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4、服务质量的考核结果，作为中标运维服务商的绩效考核费用支付依据。 </w:t>
            </w:r>
          </w:p>
        </w:tc>
      </w:tr>
      <w:tr w14:paraId="0F71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66" w:type="pct"/>
            <w:tcBorders>
              <w:top w:val="single" w:color="000000" w:sz="4" w:space="0"/>
              <w:left w:val="single" w:color="000000" w:sz="4" w:space="0"/>
              <w:bottom w:val="single" w:color="000000" w:sz="4" w:space="0"/>
              <w:right w:val="single" w:color="000000" w:sz="4" w:space="0"/>
            </w:tcBorders>
            <w:noWrap/>
            <w:vAlign w:val="center"/>
          </w:tcPr>
          <w:p w14:paraId="654E65A7">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w:t>
            </w:r>
          </w:p>
        </w:tc>
        <w:tc>
          <w:tcPr>
            <w:tcW w:w="1047" w:type="pct"/>
            <w:tcBorders>
              <w:top w:val="single" w:color="000000" w:sz="4" w:space="0"/>
              <w:left w:val="single" w:color="000000" w:sz="4" w:space="0"/>
              <w:bottom w:val="single" w:color="000000" w:sz="4" w:space="0"/>
              <w:right w:val="single" w:color="000000" w:sz="4" w:space="0"/>
            </w:tcBorders>
            <w:noWrap/>
            <w:vAlign w:val="center"/>
          </w:tcPr>
          <w:p w14:paraId="20BA4C13">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运维安全</w:t>
            </w:r>
          </w:p>
        </w:tc>
        <w:tc>
          <w:tcPr>
            <w:tcW w:w="3486" w:type="pct"/>
            <w:tcBorders>
              <w:top w:val="single" w:color="000000" w:sz="4" w:space="0"/>
              <w:left w:val="single" w:color="000000" w:sz="4" w:space="0"/>
              <w:bottom w:val="single" w:color="000000" w:sz="4" w:space="0"/>
              <w:right w:val="single" w:color="000000" w:sz="4" w:space="0"/>
            </w:tcBorders>
            <w:noWrap w:val="0"/>
            <w:vAlign w:val="center"/>
          </w:tcPr>
          <w:p w14:paraId="592221FB">
            <w:pPr>
              <w:keepNext w:val="0"/>
              <w:keepLines w:val="0"/>
              <w:widowControl/>
              <w:suppressLineNumbers w:val="0"/>
              <w:spacing w:line="240" w:lineRule="auto"/>
              <w:jc w:val="both"/>
              <w:textAlignment w:val="center"/>
              <w:outlineLvl w:val="9"/>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运维工作开展应遵循《陕西省高级人民法院运维安全管理制度》，严格遵守运维账号管理要求，运维安全管理技术要求、运维安全审计要求。</w:t>
            </w:r>
          </w:p>
        </w:tc>
      </w:tr>
      <w:bookmarkEnd w:id="7"/>
    </w:tbl>
    <w:p w14:paraId="6B842618">
      <w:pPr>
        <w:pStyle w:val="4"/>
        <w:spacing w:line="240" w:lineRule="auto"/>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六、报价说明</w:t>
      </w:r>
    </w:p>
    <w:p w14:paraId="42F5BA49">
      <w:pPr>
        <w:pStyle w:val="4"/>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本项目中标金额与预算之间的</w:t>
      </w:r>
      <w:r>
        <w:rPr>
          <w:rFonts w:hint="eastAsia" w:ascii="仿宋" w:hAnsi="仿宋" w:eastAsia="仿宋" w:cs="仿宋"/>
          <w:sz w:val="20"/>
          <w:szCs w:val="20"/>
          <w:highlight w:val="none"/>
          <w:lang w:val="en-US" w:eastAsia="zh-CN"/>
        </w:rPr>
        <w:t>实际</w:t>
      </w:r>
      <w:r>
        <w:rPr>
          <w:rFonts w:hint="default" w:ascii="仿宋" w:hAnsi="仿宋" w:eastAsia="仿宋" w:cs="仿宋"/>
          <w:sz w:val="20"/>
          <w:szCs w:val="20"/>
          <w:highlight w:val="none"/>
          <w:lang w:val="en-US" w:eastAsia="zh-CN"/>
        </w:rPr>
        <w:t>比例，将作为下游单位采购时的预算申报依据或最高限价</w:t>
      </w:r>
      <w:r>
        <w:rPr>
          <w:rFonts w:hint="eastAsia" w:ascii="仿宋" w:hAnsi="仿宋" w:eastAsia="仿宋" w:cs="仿宋"/>
          <w:sz w:val="20"/>
          <w:szCs w:val="20"/>
          <w:highlight w:val="none"/>
          <w:lang w:val="en-US" w:eastAsia="zh-CN"/>
        </w:rPr>
        <w:t>的重要参考</w:t>
      </w:r>
      <w:r>
        <w:rPr>
          <w:rFonts w:hint="default" w:ascii="仿宋" w:hAnsi="仿宋" w:eastAsia="仿宋" w:cs="仿宋"/>
          <w:sz w:val="20"/>
          <w:szCs w:val="20"/>
          <w:highlight w:val="none"/>
          <w:lang w:val="en-US" w:eastAsia="zh-CN"/>
        </w:rPr>
        <w:t>。</w:t>
      </w:r>
    </w:p>
    <w:p w14:paraId="41BF4765">
      <w:pPr>
        <w:pStyle w:val="4"/>
        <w:spacing w:line="240" w:lineRule="auto"/>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七、整体预算说明</w:t>
      </w:r>
    </w:p>
    <w:p w14:paraId="3D7BA5D6">
      <w:pPr>
        <w:jc w:val="both"/>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本项目整体预算金额为</w:t>
      </w:r>
      <w:r>
        <w:rPr>
          <w:rFonts w:hint="eastAsia" w:ascii="仿宋" w:hAnsi="仿宋" w:eastAsia="仿宋" w:cs="仿宋"/>
          <w:sz w:val="20"/>
          <w:szCs w:val="20"/>
          <w:highlight w:val="none"/>
          <w:lang w:val="en-US" w:eastAsia="zh-CN"/>
        </w:rPr>
        <w:t>840</w:t>
      </w:r>
      <w:r>
        <w:rPr>
          <w:rFonts w:hint="default" w:ascii="仿宋" w:hAnsi="仿宋" w:eastAsia="仿宋" w:cs="仿宋"/>
          <w:sz w:val="20"/>
          <w:szCs w:val="20"/>
          <w:highlight w:val="none"/>
          <w:lang w:val="en-US" w:eastAsia="zh-CN"/>
        </w:rPr>
        <w:t>万，本次采购范围为省高院部分共计</w:t>
      </w:r>
      <w:r>
        <w:rPr>
          <w:rFonts w:hint="eastAsia" w:ascii="仿宋" w:hAnsi="仿宋" w:eastAsia="仿宋" w:cs="仿宋"/>
          <w:sz w:val="20"/>
          <w:szCs w:val="20"/>
          <w:highlight w:val="none"/>
          <w:lang w:val="en-US" w:eastAsia="zh-CN"/>
        </w:rPr>
        <w:t>50</w:t>
      </w:r>
      <w:r>
        <w:rPr>
          <w:rFonts w:hint="default" w:ascii="仿宋" w:hAnsi="仿宋" w:eastAsia="仿宋" w:cs="仿宋"/>
          <w:sz w:val="20"/>
          <w:szCs w:val="20"/>
          <w:highlight w:val="none"/>
          <w:lang w:val="en-US" w:eastAsia="zh-CN"/>
        </w:rPr>
        <w:t>万元，其余部分由各中院自行采购。</w:t>
      </w:r>
    </w:p>
    <w:p w14:paraId="515F1003">
      <w:pPr>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br w:type="page"/>
      </w:r>
    </w:p>
    <w:p w14:paraId="0338800F">
      <w:pPr>
        <w:jc w:val="both"/>
        <w:outlineLvl w:val="0"/>
        <w:rPr>
          <w:rFonts w:hint="eastAsia" w:ascii="仿宋" w:hAnsi="仿宋" w:eastAsia="仿宋" w:cs="仿宋"/>
          <w:b/>
          <w:bCs/>
        </w:rPr>
      </w:pPr>
      <w:r>
        <w:rPr>
          <w:rFonts w:hint="eastAsia" w:ascii="仿宋" w:hAnsi="仿宋" w:eastAsia="仿宋" w:cs="仿宋"/>
          <w:b/>
          <w:bCs/>
        </w:rPr>
        <w:t>采购包</w:t>
      </w:r>
      <w:r>
        <w:rPr>
          <w:rFonts w:hint="eastAsia" w:ascii="仿宋" w:hAnsi="仿宋" w:eastAsia="仿宋" w:cs="仿宋"/>
          <w:b/>
          <w:bCs/>
          <w:lang w:val="en-US" w:eastAsia="zh-CN"/>
        </w:rPr>
        <w:t>4</w:t>
      </w:r>
      <w:r>
        <w:rPr>
          <w:rFonts w:hint="eastAsia" w:ascii="仿宋" w:hAnsi="仿宋" w:eastAsia="仿宋" w:cs="仿宋"/>
          <w:b/>
          <w:bCs/>
        </w:rPr>
        <w:t>：</w:t>
      </w:r>
    </w:p>
    <w:p w14:paraId="246ED567">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根据</w:t>
      </w:r>
      <w:r>
        <w:rPr>
          <w:rFonts w:hint="eastAsia" w:ascii="仿宋" w:hAnsi="仿宋" w:eastAsia="仿宋" w:cs="仿宋"/>
          <w:sz w:val="20"/>
          <w:szCs w:val="20"/>
          <w:lang w:val="en-US" w:eastAsia="zh-CN"/>
        </w:rPr>
        <w:t>最高人民法院</w:t>
      </w:r>
      <w:r>
        <w:rPr>
          <w:rFonts w:hint="eastAsia" w:ascii="仿宋" w:hAnsi="仿宋" w:eastAsia="仿宋" w:cs="仿宋"/>
          <w:sz w:val="20"/>
          <w:szCs w:val="20"/>
        </w:rPr>
        <w:t>《全国法院“一张网”安全运营工作方案》要求，</w:t>
      </w:r>
      <w:r>
        <w:rPr>
          <w:rFonts w:hint="eastAsia" w:ascii="仿宋" w:hAnsi="仿宋" w:eastAsia="仿宋" w:cs="仿宋"/>
          <w:sz w:val="20"/>
          <w:szCs w:val="20"/>
          <w:lang w:val="en-US" w:eastAsia="zh-CN"/>
        </w:rPr>
        <w:t>陕西省</w:t>
      </w:r>
      <w:r>
        <w:rPr>
          <w:rFonts w:hint="eastAsia" w:ascii="仿宋" w:hAnsi="仿宋" w:eastAsia="仿宋" w:cs="仿宋"/>
          <w:sz w:val="20"/>
          <w:szCs w:val="20"/>
        </w:rPr>
        <w:t>高级</w:t>
      </w:r>
      <w:r>
        <w:rPr>
          <w:rFonts w:hint="eastAsia" w:ascii="仿宋" w:hAnsi="仿宋" w:eastAsia="仿宋" w:cs="仿宋"/>
          <w:sz w:val="20"/>
          <w:szCs w:val="20"/>
          <w:lang w:val="en-US" w:eastAsia="zh-CN"/>
        </w:rPr>
        <w:t>人民</w:t>
      </w:r>
      <w:r>
        <w:rPr>
          <w:rFonts w:hint="eastAsia" w:ascii="仿宋" w:hAnsi="仿宋" w:eastAsia="仿宋" w:cs="仿宋"/>
          <w:sz w:val="20"/>
          <w:szCs w:val="20"/>
        </w:rPr>
        <w:t>法院</w:t>
      </w:r>
      <w:r>
        <w:rPr>
          <w:rFonts w:hint="eastAsia" w:ascii="仿宋" w:hAnsi="仿宋" w:eastAsia="仿宋" w:cs="仿宋"/>
          <w:sz w:val="20"/>
          <w:szCs w:val="20"/>
          <w:lang w:val="en-US" w:eastAsia="zh-CN"/>
        </w:rPr>
        <w:t>决定</w:t>
      </w:r>
      <w:r>
        <w:rPr>
          <w:rFonts w:hint="eastAsia" w:ascii="仿宋" w:hAnsi="仿宋" w:eastAsia="仿宋" w:cs="仿宋"/>
          <w:sz w:val="20"/>
          <w:szCs w:val="20"/>
        </w:rPr>
        <w:t>建设网络和数据安全运营分中心，在最高院安全运营中心的指导下，落实高级人民法院本级</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一张网</w:t>
      </w:r>
      <w:r>
        <w:rPr>
          <w:rFonts w:hint="eastAsia" w:ascii="仿宋" w:hAnsi="仿宋" w:eastAsia="仿宋" w:cs="仿宋"/>
          <w:sz w:val="20"/>
          <w:szCs w:val="20"/>
          <w:lang w:eastAsia="zh-CN"/>
        </w:rPr>
        <w:t>”</w:t>
      </w:r>
      <w:r>
        <w:rPr>
          <w:rFonts w:hint="eastAsia" w:ascii="仿宋" w:hAnsi="仿宋" w:eastAsia="仿宋" w:cs="仿宋"/>
          <w:sz w:val="20"/>
          <w:szCs w:val="20"/>
        </w:rPr>
        <w:t>安全运营工作，</w:t>
      </w:r>
      <w:r>
        <w:rPr>
          <w:rFonts w:hint="eastAsia" w:ascii="仿宋" w:hAnsi="仿宋" w:eastAsia="仿宋" w:cs="仿宋"/>
          <w:sz w:val="20"/>
          <w:szCs w:val="20"/>
          <w:lang w:val="en-US" w:eastAsia="zh-CN"/>
        </w:rPr>
        <w:t>并</w:t>
      </w:r>
      <w:r>
        <w:rPr>
          <w:rFonts w:hint="eastAsia" w:ascii="仿宋" w:hAnsi="仿宋" w:eastAsia="仿宋" w:cs="仿宋"/>
          <w:sz w:val="20"/>
          <w:szCs w:val="20"/>
        </w:rPr>
        <w:t>履行</w:t>
      </w:r>
      <w:r>
        <w:rPr>
          <w:rFonts w:hint="eastAsia" w:ascii="仿宋" w:hAnsi="仿宋" w:eastAsia="仿宋" w:cs="仿宋"/>
          <w:sz w:val="20"/>
          <w:szCs w:val="20"/>
          <w:lang w:val="en-US" w:eastAsia="zh-CN"/>
        </w:rPr>
        <w:t>对全省中基层法院“一张网”安全运营工作</w:t>
      </w:r>
      <w:r>
        <w:rPr>
          <w:rFonts w:hint="eastAsia" w:ascii="仿宋" w:hAnsi="仿宋" w:eastAsia="仿宋" w:cs="仿宋"/>
          <w:sz w:val="20"/>
          <w:szCs w:val="20"/>
        </w:rPr>
        <w:t>监督指导职责，向辖区内法院提供安全赋能。根据</w:t>
      </w:r>
      <w:r>
        <w:rPr>
          <w:rFonts w:hint="eastAsia" w:ascii="仿宋" w:hAnsi="仿宋" w:eastAsia="仿宋" w:cs="仿宋"/>
          <w:sz w:val="20"/>
          <w:szCs w:val="20"/>
          <w:lang w:val="en-US" w:eastAsia="zh-CN"/>
        </w:rPr>
        <w:t>全</w:t>
      </w:r>
      <w:r>
        <w:rPr>
          <w:rFonts w:hint="eastAsia" w:ascii="仿宋" w:hAnsi="仿宋" w:eastAsia="仿宋" w:cs="仿宋"/>
          <w:sz w:val="20"/>
          <w:szCs w:val="20"/>
        </w:rPr>
        <w:t>省法院安全基础及需求，</w:t>
      </w:r>
      <w:r>
        <w:rPr>
          <w:rFonts w:hint="eastAsia" w:ascii="仿宋" w:hAnsi="仿宋" w:eastAsia="仿宋" w:cs="仿宋"/>
          <w:sz w:val="20"/>
          <w:szCs w:val="20"/>
          <w:lang w:val="en-US" w:eastAsia="zh-CN"/>
        </w:rPr>
        <w:t>采购安全服务，由中标单位（一家</w:t>
      </w:r>
      <w:r>
        <w:rPr>
          <w:rFonts w:hint="eastAsia" w:ascii="仿宋" w:hAnsi="仿宋" w:eastAsia="仿宋" w:cs="仿宋"/>
          <w:sz w:val="20"/>
          <w:szCs w:val="20"/>
        </w:rPr>
        <w:t>国内安全单位</w:t>
      </w:r>
      <w:r>
        <w:rPr>
          <w:rFonts w:hint="eastAsia" w:ascii="仿宋" w:hAnsi="仿宋" w:eastAsia="仿宋" w:cs="仿宋"/>
          <w:sz w:val="20"/>
          <w:szCs w:val="20"/>
          <w:lang w:val="en-US" w:eastAsia="zh-CN"/>
        </w:rPr>
        <w:t>)</w:t>
      </w:r>
      <w:r>
        <w:rPr>
          <w:rFonts w:hint="eastAsia" w:ascii="仿宋" w:hAnsi="仿宋" w:eastAsia="仿宋" w:cs="仿宋"/>
          <w:sz w:val="20"/>
          <w:szCs w:val="20"/>
        </w:rPr>
        <w:t>牵头，按照工作内容和人员配置需求，组织</w:t>
      </w:r>
      <w:r>
        <w:rPr>
          <w:rFonts w:hint="eastAsia" w:ascii="仿宋" w:hAnsi="仿宋" w:eastAsia="仿宋" w:cs="仿宋"/>
          <w:sz w:val="20"/>
          <w:szCs w:val="20"/>
          <w:lang w:val="en-US" w:eastAsia="zh-CN"/>
        </w:rPr>
        <w:t>技术力量成立</w:t>
      </w:r>
      <w:r>
        <w:rPr>
          <w:rFonts w:hint="eastAsia" w:ascii="仿宋" w:hAnsi="仿宋" w:eastAsia="仿宋" w:cs="仿宋"/>
          <w:sz w:val="20"/>
          <w:szCs w:val="20"/>
        </w:rPr>
        <w:t>技术支撑团队</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全面负责</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一张网</w:t>
      </w:r>
      <w:r>
        <w:rPr>
          <w:rFonts w:hint="eastAsia" w:ascii="仿宋" w:hAnsi="仿宋" w:eastAsia="仿宋" w:cs="仿宋"/>
          <w:sz w:val="20"/>
          <w:szCs w:val="20"/>
          <w:lang w:eastAsia="zh-CN"/>
        </w:rPr>
        <w:t>”</w:t>
      </w:r>
      <w:r>
        <w:rPr>
          <w:rFonts w:hint="eastAsia" w:ascii="仿宋" w:hAnsi="仿宋" w:eastAsia="仿宋" w:cs="仿宋"/>
          <w:sz w:val="20"/>
          <w:szCs w:val="20"/>
        </w:rPr>
        <w:t>安全运营工作</w:t>
      </w:r>
      <w:r>
        <w:rPr>
          <w:rFonts w:hint="eastAsia" w:ascii="仿宋" w:hAnsi="仿宋" w:eastAsia="仿宋" w:cs="仿宋"/>
          <w:sz w:val="20"/>
          <w:szCs w:val="20"/>
          <w:lang w:eastAsia="zh-CN"/>
        </w:rPr>
        <w:t>。</w:t>
      </w:r>
    </w:p>
    <w:p w14:paraId="06A8108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right="0" w:rightChars="0" w:firstLine="400" w:firstLineChars="200"/>
        <w:jc w:val="both"/>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一、</w:t>
      </w:r>
      <w:r>
        <w:rPr>
          <w:rFonts w:hint="eastAsia" w:ascii="仿宋" w:hAnsi="仿宋" w:eastAsia="仿宋" w:cs="仿宋"/>
          <w:sz w:val="20"/>
          <w:szCs w:val="20"/>
        </w:rPr>
        <w:t>人员配备</w:t>
      </w:r>
    </w:p>
    <w:p w14:paraId="42B30E07">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lang w:val="en-US" w:eastAsia="zh-CN"/>
        </w:rPr>
        <w:t>中标供应商应在陕西省高级人民法院常驻核心</w:t>
      </w:r>
      <w:r>
        <w:rPr>
          <w:rFonts w:hint="eastAsia" w:ascii="仿宋" w:hAnsi="仿宋" w:eastAsia="仿宋" w:cs="仿宋"/>
          <w:sz w:val="20"/>
          <w:szCs w:val="20"/>
        </w:rPr>
        <w:t>技术团队</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包含</w:t>
      </w:r>
      <w:r>
        <w:rPr>
          <w:rFonts w:hint="eastAsia" w:ascii="仿宋" w:hAnsi="仿宋" w:eastAsia="仿宋" w:cs="仿宋"/>
          <w:sz w:val="20"/>
          <w:szCs w:val="20"/>
        </w:rPr>
        <w:t>通报联络</w:t>
      </w:r>
      <w:r>
        <w:rPr>
          <w:rFonts w:hint="eastAsia" w:ascii="仿宋" w:hAnsi="仿宋" w:eastAsia="仿宋" w:cs="仿宋"/>
          <w:sz w:val="20"/>
          <w:szCs w:val="20"/>
          <w:lang w:val="en-US" w:eastAsia="zh-CN"/>
        </w:rPr>
        <w:t>人员</w:t>
      </w:r>
      <w:r>
        <w:rPr>
          <w:rFonts w:hint="eastAsia" w:ascii="仿宋" w:hAnsi="仿宋" w:eastAsia="仿宋" w:cs="仿宋"/>
          <w:sz w:val="20"/>
          <w:szCs w:val="20"/>
        </w:rPr>
        <w:t>、监测分析</w:t>
      </w:r>
      <w:r>
        <w:rPr>
          <w:rFonts w:hint="eastAsia" w:ascii="仿宋" w:hAnsi="仿宋" w:eastAsia="仿宋" w:cs="仿宋"/>
          <w:sz w:val="20"/>
          <w:szCs w:val="20"/>
          <w:lang w:val="en-US" w:eastAsia="zh-CN"/>
        </w:rPr>
        <w:t>人员</w:t>
      </w:r>
      <w:r>
        <w:rPr>
          <w:rFonts w:hint="eastAsia" w:ascii="仿宋" w:hAnsi="仿宋" w:eastAsia="仿宋" w:cs="仿宋"/>
          <w:sz w:val="20"/>
          <w:szCs w:val="20"/>
        </w:rPr>
        <w:t>、安全检测</w:t>
      </w:r>
      <w:r>
        <w:rPr>
          <w:rFonts w:hint="eastAsia" w:ascii="仿宋" w:hAnsi="仿宋" w:eastAsia="仿宋" w:cs="仿宋"/>
          <w:sz w:val="20"/>
          <w:szCs w:val="20"/>
          <w:lang w:val="en-US" w:eastAsia="zh-CN"/>
        </w:rPr>
        <w:t>人员</w:t>
      </w:r>
      <w:r>
        <w:rPr>
          <w:rFonts w:hint="eastAsia" w:ascii="仿宋" w:hAnsi="仿宋" w:eastAsia="仿宋" w:cs="仿宋"/>
          <w:sz w:val="20"/>
          <w:szCs w:val="20"/>
        </w:rPr>
        <w:t>、应急响应</w:t>
      </w:r>
      <w:r>
        <w:rPr>
          <w:rFonts w:hint="eastAsia" w:ascii="仿宋" w:hAnsi="仿宋" w:eastAsia="仿宋" w:cs="仿宋"/>
          <w:sz w:val="20"/>
          <w:szCs w:val="20"/>
          <w:lang w:val="en-US" w:eastAsia="zh-CN"/>
        </w:rPr>
        <w:t>人员</w:t>
      </w:r>
      <w:r>
        <w:rPr>
          <w:rFonts w:hint="eastAsia" w:ascii="仿宋" w:hAnsi="仿宋" w:eastAsia="仿宋" w:cs="仿宋"/>
          <w:sz w:val="20"/>
          <w:szCs w:val="20"/>
        </w:rPr>
        <w:t>、安全运维</w:t>
      </w:r>
      <w:r>
        <w:rPr>
          <w:rFonts w:hint="eastAsia" w:ascii="仿宋" w:hAnsi="仿宋" w:eastAsia="仿宋" w:cs="仿宋"/>
          <w:sz w:val="20"/>
          <w:szCs w:val="20"/>
          <w:lang w:val="en-US" w:eastAsia="zh-CN"/>
        </w:rPr>
        <w:t>人员。</w:t>
      </w:r>
    </w:p>
    <w:p w14:paraId="251C64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技术人员应满足如下条件：计算机、网络安全相关专业大专以上学历；熟悉计算机网络、数据库、云技术；熟悉交换路由技术，能对网络TCP/IP协议进行抓包分析，故障排查；熟悉主流的网络安全技术、产品和设备，了解常见安全漏洞及技术原理；具有系统应用日志分析能力，能从中发现异常行为；对安全事件及时响应处理；具有良好的团队合作能力。</w:t>
      </w:r>
    </w:p>
    <w:p w14:paraId="3B8502C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二、</w:t>
      </w:r>
      <w:r>
        <w:rPr>
          <w:rFonts w:hint="eastAsia" w:ascii="仿宋" w:hAnsi="仿宋" w:eastAsia="仿宋" w:cs="仿宋"/>
          <w:sz w:val="20"/>
          <w:szCs w:val="20"/>
          <w:lang w:val="en-US" w:eastAsia="zh-CN"/>
        </w:rPr>
        <w:t>网络安全服务内容</w:t>
      </w:r>
    </w:p>
    <w:p w14:paraId="31CDA5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（一）</w:t>
      </w:r>
      <w:r>
        <w:rPr>
          <w:rFonts w:hint="eastAsia" w:ascii="仿宋" w:hAnsi="仿宋" w:eastAsia="仿宋" w:cs="仿宋"/>
          <w:sz w:val="20"/>
          <w:szCs w:val="20"/>
          <w:lang w:val="en-US" w:eastAsia="zh-CN"/>
        </w:rPr>
        <w:t>承担数据安全和网络安全运营分中心工作任务，在最高院安全运营中心业务指导下，落实省高院本级数据和网络安全工作，在省高院有关部门的管理下指导监督中基层法院完成数据和网络安全各项任务，提供安全赋能。</w:t>
      </w:r>
    </w:p>
    <w:p w14:paraId="0929CE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（二）</w:t>
      </w:r>
      <w:r>
        <w:rPr>
          <w:rFonts w:hint="eastAsia" w:ascii="仿宋" w:hAnsi="仿宋" w:eastAsia="仿宋" w:cs="仿宋"/>
          <w:sz w:val="20"/>
          <w:szCs w:val="20"/>
          <w:lang w:val="en-US" w:eastAsia="zh-CN"/>
        </w:rPr>
        <w:t>做好法院专网边界安全防护工作，常态化开展跨网隔离交换通道核查监管。</w:t>
      </w:r>
      <w:r>
        <w:rPr>
          <w:rFonts w:hint="eastAsia" w:ascii="仿宋" w:hAnsi="仿宋" w:eastAsia="仿宋" w:cs="仿宋"/>
          <w:sz w:val="20"/>
          <w:szCs w:val="20"/>
        </w:rPr>
        <w:t>梳理法院专网内部跨单位、跨区域的边界策略需求，根据访问需求清单和最小化原则优化法院专网各法院、各单位区域边界的访问控制策略</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建立全面准确的专网跨网交换通道情况台账；制定辖区隔离交换通道缩减收敛方案和计划。</w:t>
      </w:r>
    </w:p>
    <w:p w14:paraId="797974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（三）</w:t>
      </w:r>
      <w:r>
        <w:rPr>
          <w:rFonts w:hint="eastAsia" w:ascii="仿宋" w:hAnsi="仿宋" w:eastAsia="仿宋" w:cs="仿宋"/>
          <w:sz w:val="20"/>
          <w:szCs w:val="20"/>
          <w:lang w:val="en-US" w:eastAsia="zh-CN"/>
        </w:rPr>
        <w:t>进行“两高一弱”隐患治理，根据最高院安全运营平台和陕西省网络信息与安全信息通报中心发布的预警通知，动态排查整改重要网络重要系统存在的高危端口、高危漏洞、弱口令等问题。</w:t>
      </w:r>
    </w:p>
    <w:p w14:paraId="33F34B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（四）</w:t>
      </w:r>
      <w:r>
        <w:rPr>
          <w:rFonts w:hint="eastAsia" w:ascii="仿宋" w:hAnsi="仿宋" w:eastAsia="仿宋" w:cs="仿宋"/>
          <w:sz w:val="20"/>
          <w:szCs w:val="20"/>
          <w:lang w:val="en-US" w:eastAsia="zh-CN"/>
        </w:rPr>
        <w:t>常态化开展供应链安全审查，对等保三级以上网络、信息系统、关键信息基础设施从产品供应商、运维运营和安全服务、集成建设、系统开发、云服务5个层面抓好供应链安全工作，消除由软硬件质量缺陷和供应商管理缺陷引发的网络安全隐患。</w:t>
      </w:r>
    </w:p>
    <w:p w14:paraId="305528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rPr>
      </w:pPr>
      <w:r>
        <w:rPr>
          <w:rFonts w:hint="eastAsia" w:ascii="仿宋" w:hAnsi="仿宋" w:eastAsia="仿宋" w:cs="仿宋"/>
          <w:kern w:val="2"/>
          <w:sz w:val="20"/>
          <w:szCs w:val="20"/>
          <w:lang w:val="en-US" w:eastAsia="zh-CN" w:bidi="ar-SA"/>
        </w:rPr>
        <w:t>（五）</w:t>
      </w:r>
      <w:r>
        <w:rPr>
          <w:rFonts w:hint="eastAsia" w:ascii="仿宋" w:hAnsi="仿宋" w:eastAsia="仿宋" w:cs="仿宋"/>
          <w:sz w:val="20"/>
          <w:szCs w:val="20"/>
        </w:rPr>
        <w:t>开展常态化安全监测，对监测发现的各类网络和数据安全事件开展研判、处置和溯源，相关情况及时报最高法院安全运营中心；对重大安全事件组织研判，开展应急处置、分析溯源和信息通报。</w:t>
      </w:r>
    </w:p>
    <w:p w14:paraId="235268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eastAsia="zh-CN"/>
        </w:rPr>
      </w:pPr>
      <w:r>
        <w:rPr>
          <w:rFonts w:hint="eastAsia" w:ascii="仿宋" w:hAnsi="仿宋" w:eastAsia="仿宋" w:cs="仿宋"/>
          <w:kern w:val="2"/>
          <w:sz w:val="20"/>
          <w:szCs w:val="20"/>
          <w:lang w:val="en-US" w:eastAsia="zh-CN" w:bidi="ar-SA"/>
        </w:rPr>
        <w:t>（六）</w:t>
      </w:r>
      <w:r>
        <w:rPr>
          <w:rFonts w:hint="eastAsia" w:ascii="仿宋" w:hAnsi="仿宋" w:eastAsia="仿宋" w:cs="仿宋"/>
          <w:sz w:val="20"/>
          <w:szCs w:val="20"/>
          <w:lang w:val="en-US" w:eastAsia="zh-CN"/>
        </w:rPr>
        <w:t>组织完成网络安全攻防演练。落实公安部“护网行动”、最高院攻防演练有关要求，整合网络安全防护资源，开展攻防演练安全培训，组织辖区法院完成网络安全防护任务，发现和整改安全问题，不断提高防护能力。</w:t>
      </w:r>
    </w:p>
    <w:p w14:paraId="778D8B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eastAsia="zh-CN"/>
        </w:rPr>
      </w:pPr>
      <w:r>
        <w:rPr>
          <w:rFonts w:hint="eastAsia" w:ascii="仿宋" w:hAnsi="仿宋" w:eastAsia="仿宋" w:cs="仿宋"/>
          <w:kern w:val="2"/>
          <w:sz w:val="20"/>
          <w:szCs w:val="20"/>
          <w:lang w:val="en-US" w:eastAsia="zh-CN" w:bidi="ar-SA"/>
        </w:rPr>
        <w:t>（七）</w:t>
      </w:r>
      <w:r>
        <w:rPr>
          <w:rFonts w:hint="eastAsia" w:ascii="仿宋" w:hAnsi="仿宋" w:eastAsia="仿宋" w:cs="仿宋"/>
          <w:sz w:val="20"/>
          <w:szCs w:val="20"/>
          <w:lang w:val="en-US" w:eastAsia="zh-CN"/>
        </w:rPr>
        <w:t>完成全国“两会”“双节”等</w:t>
      </w:r>
      <w:r>
        <w:rPr>
          <w:rFonts w:hint="eastAsia" w:ascii="仿宋" w:hAnsi="仿宋" w:eastAsia="仿宋" w:cs="仿宋"/>
          <w:sz w:val="20"/>
          <w:szCs w:val="20"/>
        </w:rPr>
        <w:t>重要时期</w:t>
      </w:r>
      <w:r>
        <w:rPr>
          <w:rFonts w:hint="eastAsia" w:ascii="仿宋" w:hAnsi="仿宋" w:eastAsia="仿宋" w:cs="仿宋"/>
          <w:sz w:val="20"/>
          <w:szCs w:val="20"/>
          <w:lang w:val="en-US" w:eastAsia="zh-CN"/>
        </w:rPr>
        <w:t>网络和数据</w:t>
      </w:r>
      <w:r>
        <w:rPr>
          <w:rFonts w:hint="eastAsia" w:ascii="仿宋" w:hAnsi="仿宋" w:eastAsia="仿宋" w:cs="仿宋"/>
          <w:sz w:val="20"/>
          <w:szCs w:val="20"/>
        </w:rPr>
        <w:t>安全保障</w:t>
      </w:r>
      <w:r>
        <w:rPr>
          <w:rFonts w:hint="eastAsia" w:ascii="仿宋" w:hAnsi="仿宋" w:eastAsia="仿宋" w:cs="仿宋"/>
          <w:sz w:val="20"/>
          <w:szCs w:val="20"/>
          <w:lang w:val="en-US" w:eastAsia="zh-CN"/>
        </w:rPr>
        <w:t>任务</w:t>
      </w:r>
      <w:r>
        <w:rPr>
          <w:rFonts w:hint="eastAsia" w:ascii="仿宋" w:hAnsi="仿宋" w:eastAsia="仿宋" w:cs="仿宋"/>
          <w:sz w:val="20"/>
          <w:szCs w:val="20"/>
          <w:lang w:eastAsia="zh-CN"/>
        </w:rPr>
        <w:t>。</w:t>
      </w:r>
    </w:p>
    <w:p w14:paraId="5AA2022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三、</w:t>
      </w:r>
      <w:r>
        <w:rPr>
          <w:rFonts w:hint="eastAsia" w:ascii="仿宋" w:hAnsi="仿宋" w:eastAsia="仿宋" w:cs="仿宋"/>
          <w:sz w:val="20"/>
          <w:szCs w:val="20"/>
          <w:lang w:val="en-US" w:eastAsia="zh-CN"/>
        </w:rPr>
        <w:t>具体工作任务</w:t>
      </w:r>
    </w:p>
    <w:p w14:paraId="5DC27D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（一）</w:t>
      </w:r>
      <w:r>
        <w:rPr>
          <w:rFonts w:hint="eastAsia" w:ascii="仿宋" w:hAnsi="仿宋" w:eastAsia="仿宋" w:cs="仿宋"/>
          <w:sz w:val="20"/>
          <w:szCs w:val="20"/>
          <w:lang w:val="en-US" w:eastAsia="zh-CN"/>
        </w:rPr>
        <w:t>梳理“一张网”资产清单。梳理网络安全设备、应用系统、数据交换通道、各类终端以及各类数据资产，切实做到资产管理一本账，为安全管控手段部署、安全问题快速排查提供基础信息。</w:t>
      </w:r>
    </w:p>
    <w:p w14:paraId="0EFC5A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（二）</w:t>
      </w:r>
      <w:r>
        <w:rPr>
          <w:rFonts w:hint="eastAsia" w:ascii="仿宋" w:hAnsi="仿宋" w:eastAsia="仿宋" w:cs="仿宋"/>
          <w:sz w:val="20"/>
          <w:szCs w:val="20"/>
          <w:lang w:val="en-US" w:eastAsia="zh-CN"/>
        </w:rPr>
        <w:t>强化终端安全防护。落实网络准入、服务器和终端杀毒软件部署、移动介质管理等安全管控手段。</w:t>
      </w:r>
    </w:p>
    <w:p w14:paraId="5FE5CF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（三）</w:t>
      </w:r>
      <w:r>
        <w:rPr>
          <w:rFonts w:hint="eastAsia" w:ascii="仿宋" w:hAnsi="仿宋" w:eastAsia="仿宋" w:cs="仿宋"/>
          <w:sz w:val="20"/>
          <w:szCs w:val="20"/>
          <w:lang w:val="en-US" w:eastAsia="zh-CN"/>
        </w:rPr>
        <w:t>加强违规外联的管理和处置：</w:t>
      </w:r>
    </w:p>
    <w:p w14:paraId="285A0EFC">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接入法院专网的服务器和PC终端全部安装违规外联客户端，确实无法安装客户端的设备在系统内如实做好标记，并加强日常巡查，严禁接入互联网。</w:t>
      </w:r>
    </w:p>
    <w:p w14:paraId="248A5C1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利用全国法院违规外联监测系统监控本院及辖区法院违规外联情况，发现问题及时处置。</w:t>
      </w:r>
    </w:p>
    <w:p w14:paraId="3CE2554F">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专网出口防火墙上按照《违规外联统一监管网络访问策略放通要求》完成策略配置工作，保障违规外联监控数据正常上报到省高院和最高院监控服务器。</w:t>
      </w:r>
    </w:p>
    <w:p w14:paraId="1720C36C">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对退出法院专网的服务器、PC终端，根据管理流程处理存储部件、擦除数据，在违规外联监测系统中注销设备。</w:t>
      </w:r>
    </w:p>
    <w:p w14:paraId="1D252C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（四）</w:t>
      </w:r>
      <w:r>
        <w:rPr>
          <w:rFonts w:hint="eastAsia" w:ascii="仿宋" w:hAnsi="仿宋" w:eastAsia="仿宋" w:cs="仿宋"/>
          <w:sz w:val="20"/>
          <w:szCs w:val="20"/>
          <w:lang w:val="en-US" w:eastAsia="zh-CN"/>
        </w:rPr>
        <w:t>加强隔离交换通道管理：</w:t>
      </w:r>
    </w:p>
    <w:p w14:paraId="39CA6876">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对在用隔离交换通道彻底清查，常态化做好台账信息的在线填报、管理与维护。</w:t>
      </w:r>
    </w:p>
    <w:p w14:paraId="5C1C15A4">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结合“一张网”上线工作，对隔离交换通道资产进行清理整合，关停应用系统对应的隔离交换通道。</w:t>
      </w:r>
    </w:p>
    <w:p w14:paraId="1E365D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（五）</w:t>
      </w:r>
      <w:r>
        <w:rPr>
          <w:rFonts w:hint="eastAsia" w:ascii="仿宋" w:hAnsi="仿宋" w:eastAsia="仿宋" w:cs="仿宋"/>
          <w:sz w:val="20"/>
          <w:szCs w:val="20"/>
          <w:lang w:val="en-US" w:eastAsia="zh-CN"/>
        </w:rPr>
        <w:t>加强数据接口管理。清查各法院在用的从专网到互联网的数据接口和对应业务系统，对接口进行安全检查。</w:t>
      </w:r>
    </w:p>
    <w:p w14:paraId="7BA52B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（六）</w:t>
      </w:r>
      <w:r>
        <w:rPr>
          <w:rFonts w:hint="eastAsia" w:ascii="仿宋" w:hAnsi="仿宋" w:eastAsia="仿宋" w:cs="仿宋"/>
          <w:sz w:val="20"/>
          <w:szCs w:val="20"/>
          <w:lang w:val="en-US" w:eastAsia="zh-CN"/>
        </w:rPr>
        <w:t>在法院专网和互联网侧部署各类安全防护工具构建基础安全防护能力。包括但不限于防火墙、网络入入侵检测、堡垒机、网络审计、全流量分析、恶意域名访问监测、主机入侵检测等工具设备，开展常态化安全监测。</w:t>
      </w:r>
    </w:p>
    <w:p w14:paraId="1E9F2F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（七）</w:t>
      </w:r>
      <w:r>
        <w:rPr>
          <w:rFonts w:hint="eastAsia" w:ascii="仿宋" w:hAnsi="仿宋" w:eastAsia="仿宋" w:cs="仿宋"/>
          <w:sz w:val="20"/>
          <w:szCs w:val="20"/>
          <w:lang w:val="en-US" w:eastAsia="zh-CN"/>
        </w:rPr>
        <w:t>落实关键信息基础设施安全保护有关规定，在软硬件采购和服务商选择中突出供应链安全管理，确保“一张网”相关设备和运营服务符合数据和网络安全要求。</w:t>
      </w:r>
    </w:p>
    <w:p w14:paraId="47EAF5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（八）</w:t>
      </w:r>
      <w:r>
        <w:rPr>
          <w:rFonts w:hint="eastAsia" w:ascii="仿宋" w:hAnsi="仿宋" w:eastAsia="仿宋" w:cs="仿宋"/>
          <w:sz w:val="20"/>
          <w:szCs w:val="20"/>
          <w:lang w:val="en-US" w:eastAsia="zh-CN"/>
        </w:rPr>
        <w:t>做好各类安全常态化服务：</w:t>
      </w:r>
    </w:p>
    <w:p w14:paraId="32556F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default" w:ascii="仿宋" w:hAnsi="仿宋" w:eastAsia="仿宋" w:cs="仿宋"/>
          <w:kern w:val="2"/>
          <w:sz w:val="20"/>
          <w:szCs w:val="20"/>
          <w:lang w:val="en-US" w:eastAsia="zh-CN" w:bidi="ar-SA"/>
        </w:rPr>
        <w:t>1.</w:t>
      </w:r>
      <w:r>
        <w:rPr>
          <w:rFonts w:hint="eastAsia" w:ascii="仿宋" w:hAnsi="仿宋" w:eastAsia="仿宋" w:cs="仿宋"/>
          <w:sz w:val="20"/>
          <w:szCs w:val="20"/>
          <w:lang w:val="en-US" w:eastAsia="zh-CN"/>
        </w:rPr>
        <w:t>对陕西省高级人民法院及11个中级人民法院每季度提供一次漏洞扫描服务；</w:t>
      </w:r>
    </w:p>
    <w:p w14:paraId="21A094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default" w:ascii="仿宋" w:hAnsi="仿宋" w:eastAsia="仿宋" w:cs="仿宋"/>
          <w:kern w:val="2"/>
          <w:sz w:val="20"/>
          <w:szCs w:val="20"/>
          <w:lang w:val="en-US" w:eastAsia="zh-CN" w:bidi="ar-SA"/>
        </w:rPr>
        <w:t>2.</w:t>
      </w:r>
      <w:r>
        <w:rPr>
          <w:rFonts w:hint="eastAsia" w:ascii="仿宋" w:hAnsi="仿宋" w:eastAsia="仿宋" w:cs="仿宋"/>
          <w:sz w:val="20"/>
          <w:szCs w:val="20"/>
          <w:lang w:val="en-US" w:eastAsia="zh-CN"/>
        </w:rPr>
        <w:t>对陕西省高级人民法院网络和系统每季度提供一次渗透测试服务；</w:t>
      </w:r>
    </w:p>
    <w:p w14:paraId="3C8CFB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default" w:ascii="仿宋" w:hAnsi="仿宋" w:eastAsia="仿宋" w:cs="仿宋"/>
          <w:kern w:val="2"/>
          <w:sz w:val="20"/>
          <w:szCs w:val="20"/>
          <w:lang w:val="en-US" w:eastAsia="zh-CN" w:bidi="ar-SA"/>
        </w:rPr>
        <w:t>3.</w:t>
      </w:r>
      <w:r>
        <w:rPr>
          <w:rFonts w:hint="eastAsia" w:ascii="仿宋" w:hAnsi="仿宋" w:eastAsia="仿宋" w:cs="仿宋"/>
          <w:sz w:val="20"/>
          <w:szCs w:val="20"/>
          <w:lang w:val="en-US" w:eastAsia="zh-CN"/>
        </w:rPr>
        <w:t>对陕西省高级人民法院每年至少提供一次网络安全培训服务；</w:t>
      </w:r>
    </w:p>
    <w:p w14:paraId="1CBC93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default" w:ascii="仿宋" w:hAnsi="仿宋" w:eastAsia="仿宋" w:cs="仿宋"/>
          <w:kern w:val="2"/>
          <w:sz w:val="20"/>
          <w:szCs w:val="20"/>
          <w:lang w:val="en-US" w:eastAsia="zh-CN" w:bidi="ar-SA"/>
        </w:rPr>
        <w:t>4.</w:t>
      </w:r>
      <w:r>
        <w:rPr>
          <w:rFonts w:hint="eastAsia" w:ascii="仿宋" w:hAnsi="仿宋" w:eastAsia="仿宋" w:cs="仿宋"/>
          <w:sz w:val="20"/>
          <w:szCs w:val="20"/>
          <w:lang w:val="en-US" w:eastAsia="zh-CN"/>
        </w:rPr>
        <w:t>对陕西省11个中级人民法院每年各提供一次现场安全巡检服务；</w:t>
      </w:r>
    </w:p>
    <w:p w14:paraId="659BD4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default" w:ascii="仿宋" w:hAnsi="仿宋" w:eastAsia="仿宋" w:cs="仿宋"/>
          <w:kern w:val="2"/>
          <w:sz w:val="20"/>
          <w:szCs w:val="20"/>
          <w:lang w:val="en-US" w:eastAsia="zh-CN" w:bidi="ar-SA"/>
        </w:rPr>
        <w:t>5.</w:t>
      </w:r>
      <w:r>
        <w:rPr>
          <w:rFonts w:hint="eastAsia" w:ascii="仿宋" w:hAnsi="仿宋" w:eastAsia="仿宋" w:cs="仿宋"/>
          <w:sz w:val="20"/>
          <w:szCs w:val="20"/>
          <w:lang w:val="en-US" w:eastAsia="zh-CN"/>
        </w:rPr>
        <w:t>协助陕西省高级人民法院组织每年一次全省法院参与的实战攻防演练服务；</w:t>
      </w:r>
    </w:p>
    <w:p w14:paraId="7E64EC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default" w:ascii="仿宋" w:hAnsi="仿宋" w:eastAsia="仿宋" w:cs="仿宋"/>
          <w:kern w:val="2"/>
          <w:sz w:val="20"/>
          <w:szCs w:val="20"/>
          <w:lang w:val="en-US" w:eastAsia="zh-CN" w:bidi="ar-SA"/>
        </w:rPr>
        <w:t>6.</w:t>
      </w:r>
      <w:r>
        <w:rPr>
          <w:rFonts w:hint="eastAsia" w:ascii="仿宋" w:hAnsi="仿宋" w:eastAsia="仿宋" w:cs="仿宋"/>
          <w:sz w:val="20"/>
          <w:szCs w:val="20"/>
          <w:lang w:val="en-US" w:eastAsia="zh-CN"/>
        </w:rPr>
        <w:t>对陕西省高级人民法院提供每年的重大活动期间保障服务。</w:t>
      </w:r>
    </w:p>
    <w:p w14:paraId="484CAB55">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right="0" w:rightChars="0" w:firstLine="400" w:firstLineChars="200"/>
        <w:jc w:val="both"/>
        <w:textAlignment w:val="auto"/>
        <w:outlineLvl w:val="9"/>
        <w:rPr>
          <w:rFonts w:hint="eastAsia" w:ascii="仿宋" w:hAnsi="仿宋" w:eastAsia="仿宋" w:cs="仿宋"/>
          <w:sz w:val="20"/>
          <w:szCs w:val="20"/>
          <w:lang w:val="en-US" w:eastAsia="zh-CN"/>
        </w:rPr>
      </w:pPr>
      <w:r>
        <w:rPr>
          <w:rFonts w:hint="eastAsia" w:ascii="仿宋" w:hAnsi="仿宋" w:eastAsia="仿宋" w:cs="仿宋"/>
          <w:kern w:val="2"/>
          <w:sz w:val="20"/>
          <w:szCs w:val="20"/>
          <w:lang w:val="en-US" w:eastAsia="zh-CN" w:bidi="ar-SA"/>
        </w:rPr>
        <w:t>四、</w:t>
      </w:r>
      <w:r>
        <w:rPr>
          <w:rFonts w:hint="eastAsia" w:ascii="仿宋" w:hAnsi="仿宋" w:eastAsia="仿宋" w:cs="仿宋"/>
          <w:sz w:val="20"/>
          <w:szCs w:val="20"/>
          <w:lang w:val="en-US" w:eastAsia="zh-CN"/>
        </w:rPr>
        <w:t>服务要求</w:t>
      </w:r>
    </w:p>
    <w:p w14:paraId="3BC006F5">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lang w:eastAsia="zh-CN"/>
        </w:rPr>
        <w:t>1.</w:t>
      </w:r>
      <w:r>
        <w:rPr>
          <w:rFonts w:hint="eastAsia" w:ascii="仿宋" w:hAnsi="仿宋" w:eastAsia="仿宋" w:cs="仿宋"/>
          <w:sz w:val="20"/>
          <w:szCs w:val="20"/>
        </w:rPr>
        <w:t>日常网络安全服务要求</w:t>
      </w:r>
    </w:p>
    <w:p w14:paraId="0F03579D">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常驻陕西省高级人民法院提供日常网络安全服务包括但不限于以下内容：</w:t>
      </w:r>
    </w:p>
    <w:p w14:paraId="2A7AAE8E">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1.1、网络资产管理</w:t>
      </w:r>
    </w:p>
    <w:p w14:paraId="60C32652">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lang w:eastAsia="zh-CN"/>
        </w:rPr>
      </w:pPr>
      <w:r>
        <w:rPr>
          <w:rFonts w:hint="eastAsia" w:ascii="仿宋" w:hAnsi="仿宋" w:eastAsia="仿宋" w:cs="仿宋"/>
          <w:sz w:val="20"/>
          <w:szCs w:val="20"/>
        </w:rPr>
        <w:t>建立</w:t>
      </w:r>
      <w:r>
        <w:rPr>
          <w:rFonts w:hint="eastAsia" w:ascii="仿宋" w:hAnsi="仿宋" w:eastAsia="仿宋" w:cs="仿宋"/>
          <w:sz w:val="20"/>
          <w:szCs w:val="20"/>
          <w:lang w:val="en-US" w:eastAsia="zh-CN"/>
        </w:rPr>
        <w:t>高院</w:t>
      </w:r>
      <w:r>
        <w:rPr>
          <w:rFonts w:hint="eastAsia" w:ascii="仿宋" w:hAnsi="仿宋" w:eastAsia="仿宋" w:cs="仿宋"/>
          <w:sz w:val="20"/>
          <w:szCs w:val="20"/>
        </w:rPr>
        <w:t>网络资产台账，实现动态更新</w:t>
      </w:r>
      <w:r>
        <w:rPr>
          <w:rFonts w:hint="eastAsia" w:ascii="仿宋" w:hAnsi="仿宋" w:eastAsia="仿宋" w:cs="仿宋"/>
          <w:sz w:val="20"/>
          <w:szCs w:val="20"/>
          <w:lang w:eastAsia="zh-CN"/>
        </w:rPr>
        <w:t>，</w:t>
      </w:r>
      <w:r>
        <w:rPr>
          <w:rFonts w:hint="eastAsia" w:ascii="仿宋" w:hAnsi="仿宋" w:eastAsia="仿宋" w:cs="仿宋"/>
          <w:sz w:val="20"/>
          <w:szCs w:val="20"/>
        </w:rPr>
        <w:t>涵盖网络拓扑、安全域、主机系统、内外网数据交换设备等</w:t>
      </w:r>
      <w:r>
        <w:rPr>
          <w:rFonts w:hint="eastAsia" w:ascii="仿宋" w:hAnsi="仿宋" w:eastAsia="仿宋" w:cs="仿宋"/>
          <w:sz w:val="20"/>
          <w:szCs w:val="20"/>
          <w:lang w:eastAsia="zh-CN"/>
        </w:rPr>
        <w:t>，</w:t>
      </w:r>
      <w:r>
        <w:rPr>
          <w:rFonts w:hint="eastAsia" w:ascii="仿宋" w:hAnsi="仿宋" w:eastAsia="仿宋" w:cs="仿宋"/>
          <w:sz w:val="20"/>
          <w:szCs w:val="20"/>
        </w:rPr>
        <w:t>每季度开展资产梳理和未知资产清理</w:t>
      </w:r>
      <w:r>
        <w:rPr>
          <w:rFonts w:hint="eastAsia" w:ascii="仿宋" w:hAnsi="仿宋" w:eastAsia="仿宋" w:cs="仿宋"/>
          <w:sz w:val="20"/>
          <w:szCs w:val="20"/>
          <w:lang w:eastAsia="zh-CN"/>
        </w:rPr>
        <w:t>。</w:t>
      </w:r>
    </w:p>
    <w:p w14:paraId="6C112413">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1.2网络安全制度</w:t>
      </w:r>
    </w:p>
    <w:p w14:paraId="4E84BB1D">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完善网络安全各项管理制度，每年至少进行一次对各项网络安全制度的审查修改更新，配合陕西省高级人民法院信息化部门每年至少进行一次对网络安全制度执行落实情况的检查。</w:t>
      </w:r>
    </w:p>
    <w:p w14:paraId="761A444F">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1.3防病毒防漏洞工作</w:t>
      </w:r>
    </w:p>
    <w:p w14:paraId="6AC2DCBB">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定期升级更新主机防病毒软件、操作系统漏洞，进行日常检查、状态监控、漏洞扫描、版本升级、故障处理、性能调优等。</w:t>
      </w:r>
    </w:p>
    <w:p w14:paraId="645AB4BE">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1.4网络安全监测与预警</w:t>
      </w:r>
    </w:p>
    <w:p w14:paraId="48EEE05C">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对网络状态、主机违规外联、网络安全事件、网络端口、移动存储介质使用情况进行实时安全监测，对网络遭受的攻击事件、漏洞事件、病毒木马等进行安全预警，针对攻击事件、违规外联行为，应及时在相关平台反馈，并按照程序处置。</w:t>
      </w:r>
    </w:p>
    <w:p w14:paraId="4EE0DA2E">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1.5网络安全配置变更管理</w:t>
      </w:r>
    </w:p>
    <w:p w14:paraId="738502DA">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根据法院网络实际需求，制定边界防护策略、网络配置策略、用户终端安全配置策略、服务器强密码设置；对安全域、网络边界、网络接入、网络配置、服务器密码变更进行控制管理。</w:t>
      </w:r>
    </w:p>
    <w:p w14:paraId="5D556A8A">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1.6网络安全设备操作管理</w:t>
      </w:r>
    </w:p>
    <w:p w14:paraId="4A521F38">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对防火墙、堡垒机、入侵检测、入侵防护、流量探针、光闸、上网行为管理、漏洞扫描等系统进行例行操作、响应支持、优化改善，包括但不限于设备日常管理、系统配置、设备巡检、数据库配置、网络配置、特征库升级、策略变更等。针对入侵事件，应立即阻断并分析入侵源，并在规定时间内完成处置。</w:t>
      </w:r>
    </w:p>
    <w:p w14:paraId="6AB54706">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1.7等级保护咨询服务</w:t>
      </w:r>
    </w:p>
    <w:p w14:paraId="51A7AEE0">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针对陕西省高级人民法院网络和应用系统提供等级保护咨询及协助服务</w:t>
      </w:r>
      <w:r>
        <w:rPr>
          <w:rFonts w:hint="eastAsia" w:ascii="仿宋" w:hAnsi="仿宋" w:eastAsia="仿宋" w:cs="仿宋"/>
          <w:sz w:val="20"/>
          <w:szCs w:val="20"/>
          <w:lang w:eastAsia="zh-CN"/>
        </w:rPr>
        <w:t>（</w:t>
      </w:r>
      <w:r>
        <w:rPr>
          <w:rFonts w:hint="eastAsia" w:ascii="仿宋" w:hAnsi="仿宋" w:eastAsia="仿宋" w:cs="仿宋"/>
          <w:sz w:val="20"/>
          <w:szCs w:val="20"/>
        </w:rPr>
        <w:t>包含二级、三级系统</w:t>
      </w:r>
      <w:r>
        <w:rPr>
          <w:rFonts w:hint="eastAsia" w:ascii="仿宋" w:hAnsi="仿宋" w:eastAsia="仿宋" w:cs="仿宋"/>
          <w:sz w:val="20"/>
          <w:szCs w:val="20"/>
          <w:lang w:eastAsia="zh-CN"/>
        </w:rPr>
        <w:t>），</w:t>
      </w:r>
      <w:r>
        <w:rPr>
          <w:rFonts w:hint="eastAsia" w:ascii="仿宋" w:hAnsi="仿宋" w:eastAsia="仿宋" w:cs="仿宋"/>
          <w:sz w:val="20"/>
          <w:szCs w:val="20"/>
        </w:rPr>
        <w:t>为定级备案、整改实施提供技术支持。</w:t>
      </w:r>
    </w:p>
    <w:p w14:paraId="6D145240">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sz w:val="20"/>
          <w:szCs w:val="20"/>
          <w:lang w:val="en-US"/>
        </w:rPr>
        <w:t>8</w:t>
      </w:r>
      <w:r>
        <w:rPr>
          <w:rFonts w:hint="eastAsia" w:ascii="仿宋" w:hAnsi="仿宋" w:eastAsia="仿宋" w:cs="仿宋"/>
          <w:sz w:val="20"/>
          <w:szCs w:val="20"/>
          <w:lang w:val="en-US" w:eastAsia="zh-CN"/>
        </w:rPr>
        <w:t>违规外联检测</w:t>
      </w:r>
      <w:r>
        <w:rPr>
          <w:rFonts w:hint="eastAsia" w:ascii="仿宋" w:hAnsi="仿宋" w:eastAsia="仿宋" w:cs="仿宋"/>
          <w:sz w:val="20"/>
          <w:szCs w:val="20"/>
        </w:rPr>
        <w:t>服务</w:t>
      </w:r>
    </w:p>
    <w:p w14:paraId="7FC9DEE0">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lang w:val="en-US" w:eastAsia="zh-CN"/>
        </w:rPr>
        <w:t>定时对全省辖区法院内网开展探测，检测是否有辖区法院内外网互联情况。为</w:t>
      </w:r>
      <w:r>
        <w:rPr>
          <w:rFonts w:hint="eastAsia" w:ascii="仿宋" w:hAnsi="仿宋" w:eastAsia="仿宋" w:cs="仿宋"/>
          <w:sz w:val="20"/>
          <w:szCs w:val="20"/>
        </w:rPr>
        <w:t>陕西省高级人民法院</w:t>
      </w:r>
      <w:r>
        <w:rPr>
          <w:rFonts w:hint="eastAsia" w:ascii="仿宋" w:hAnsi="仿宋" w:eastAsia="仿宋" w:cs="仿宋"/>
          <w:sz w:val="20"/>
          <w:szCs w:val="20"/>
          <w:lang w:val="en-US" w:eastAsia="zh-CN"/>
        </w:rPr>
        <w:t>的服务器和PC终端全部安装违规外联客户端，违规外联客户端要求具备阻断功能。</w:t>
      </w:r>
    </w:p>
    <w:p w14:paraId="1D046CF4">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lang w:eastAsia="zh-CN"/>
        </w:rPr>
        <w:t>2.</w:t>
      </w:r>
      <w:r>
        <w:rPr>
          <w:rFonts w:hint="eastAsia" w:ascii="仿宋" w:hAnsi="仿宋" w:eastAsia="仿宋" w:cs="仿宋"/>
          <w:sz w:val="20"/>
          <w:szCs w:val="20"/>
        </w:rPr>
        <w:t>漏洞扫描服务</w:t>
      </w:r>
    </w:p>
    <w:p w14:paraId="14745037">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对陕西省高级人民法院及11个中级人民法院每季度提供一次漏洞扫描服务，全方位检测各系统存在的脆弱性，发现网络安全漏洞、应用系统安全漏洞，检查系统存在的弱口令，发现系统不必要开放的账号、服务、端口，进行安全风险分析和提出针对性的解决方案和建议，并对整改提供技术支持。</w:t>
      </w:r>
    </w:p>
    <w:p w14:paraId="419BC9D9">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lang w:eastAsia="zh-CN"/>
        </w:rPr>
        <w:t>3.</w:t>
      </w:r>
      <w:r>
        <w:rPr>
          <w:rFonts w:hint="eastAsia" w:ascii="仿宋" w:hAnsi="仿宋" w:eastAsia="仿宋" w:cs="仿宋"/>
          <w:sz w:val="20"/>
          <w:szCs w:val="20"/>
        </w:rPr>
        <w:t>渗透测试服务</w:t>
      </w:r>
    </w:p>
    <w:p w14:paraId="64C097D3">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服务方需选派专业技术人员对陕西省高级人民法院网络及信息系统每季度提供一次渗透测试服务，模拟攻击者对陕西省高级人民法院网络及信息系统进行全面检测和评估，形成渗透测试报告。在攻击者之前找到漏洞</w:t>
      </w:r>
      <w:r>
        <w:rPr>
          <w:rFonts w:hint="eastAsia" w:ascii="仿宋" w:hAnsi="仿宋" w:eastAsia="仿宋" w:cs="仿宋"/>
          <w:sz w:val="20"/>
          <w:szCs w:val="20"/>
          <w:lang w:eastAsia="zh-CN"/>
        </w:rPr>
        <w:t>并</w:t>
      </w:r>
      <w:r>
        <w:rPr>
          <w:rFonts w:hint="eastAsia" w:ascii="仿宋" w:hAnsi="仿宋" w:eastAsia="仿宋" w:cs="仿宋"/>
          <w:sz w:val="20"/>
          <w:szCs w:val="20"/>
        </w:rPr>
        <w:t>进行修复，防止互联网系统遭受黑客攻击等安全事件的发生。</w:t>
      </w:r>
    </w:p>
    <w:p w14:paraId="2389F4E5">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lang w:eastAsia="zh-CN"/>
        </w:rPr>
        <w:t>4.</w:t>
      </w:r>
      <w:r>
        <w:rPr>
          <w:rFonts w:hint="eastAsia" w:ascii="仿宋" w:hAnsi="仿宋" w:eastAsia="仿宋" w:cs="仿宋"/>
          <w:sz w:val="20"/>
          <w:szCs w:val="20"/>
        </w:rPr>
        <w:t>网络安全培训服务</w:t>
      </w:r>
    </w:p>
    <w:p w14:paraId="31903A6E">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服务方须派遣专业的网络安全培训讲师为陕西省高级</w:t>
      </w:r>
    </w:p>
    <w:p w14:paraId="5CAC244D">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人民法院在服务期内每年提供不少于一次的网络安全培训讲座，内容涵盖信息安全的基本概念、安全管理制度要求、日常操作安全须知、常见应用软件安全配置、恶意代码的防范等知识、个人网络安全意识等相关内容，增强全省法院信息化部门及厂商驻场人员的网络安全意识，提升网络安全防护技能和水平。</w:t>
      </w:r>
    </w:p>
    <w:p w14:paraId="73014C34">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lang w:eastAsia="zh-CN"/>
        </w:rPr>
        <w:t>5.</w:t>
      </w:r>
      <w:r>
        <w:rPr>
          <w:rFonts w:hint="eastAsia" w:ascii="仿宋" w:hAnsi="仿宋" w:eastAsia="仿宋" w:cs="仿宋"/>
          <w:sz w:val="20"/>
          <w:szCs w:val="20"/>
        </w:rPr>
        <w:t>网络安全巡检服务</w:t>
      </w:r>
    </w:p>
    <w:p w14:paraId="31E1DCAF">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对陕西省11个中级法院网络安全设备运行现状进行巡检，通过分析相关设备策略、配置、日志等，提供巡检报告及分析报表。及时发现安全隐患并帮助整改，提升安全防护水平，保障网络及相关系统正常运行。</w:t>
      </w:r>
    </w:p>
    <w:p w14:paraId="644AA71F">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lang w:eastAsia="zh-CN"/>
        </w:rPr>
        <w:t>6.</w:t>
      </w:r>
      <w:r>
        <w:rPr>
          <w:rFonts w:hint="eastAsia" w:ascii="仿宋" w:hAnsi="仿宋" w:eastAsia="仿宋" w:cs="仿宋"/>
          <w:sz w:val="20"/>
          <w:szCs w:val="20"/>
        </w:rPr>
        <w:t>攻防演习服务</w:t>
      </w:r>
    </w:p>
    <w:p w14:paraId="6B61CC4E">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服务方需协助陕西省高级人民法院立足网络安全实战化工作需要，组建优秀攻防技术力量，投入使用相关辅助软件平台协助陕西省高级人民法院每年组织一次全省法院参与的实战化攻防演习服务，组合利用社会工程学攻击、供应链打击、漏洞利用、木马植入、内网渗透等多种攻击手段，针对目标单位、网络和系统全面开展网络暴露面排查、安全漏洞发现利用、网络边界突破绕过、重要系统权限控制、敏感数据信息获取、攻击痕迹排查等，帮助我省各级法院发现深层次网络安全隐患问题，并有效检验监测发现、分析研判、应急响应、通报预警、协同联动和追踪溯源等安全防护能力。</w:t>
      </w:r>
    </w:p>
    <w:p w14:paraId="287D41B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0"/>
          <w:szCs w:val="20"/>
        </w:rPr>
      </w:pPr>
      <w:r>
        <w:rPr>
          <w:rFonts w:hint="eastAsia" w:ascii="仿宋" w:hAnsi="仿宋" w:eastAsia="仿宋" w:cs="仿宋"/>
          <w:sz w:val="20"/>
          <w:szCs w:val="20"/>
        </w:rPr>
        <w:t>防演练服务中涉及的软硬件平台须在演练现场统一搭建。演练结束后所有技术资料统一交付省法院，由现场监督人员对服务器进行技术性涉密残余数据安全擦除，避免数据发生泄密，服务方须提供服务保密承诺。</w:t>
      </w:r>
    </w:p>
    <w:p w14:paraId="6C1E79C2">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lang w:eastAsia="zh-CN"/>
        </w:rPr>
        <w:t>7.</w:t>
      </w:r>
      <w:r>
        <w:rPr>
          <w:rFonts w:hint="eastAsia" w:ascii="仿宋" w:hAnsi="仿宋" w:eastAsia="仿宋" w:cs="仿宋"/>
          <w:sz w:val="20"/>
          <w:szCs w:val="20"/>
        </w:rPr>
        <w:t>重大活动期间保障服务</w:t>
      </w:r>
    </w:p>
    <w:p w14:paraId="500C4758">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rPr>
        <w:t>包</w:t>
      </w:r>
      <w:r>
        <w:rPr>
          <w:rFonts w:hint="eastAsia" w:ascii="仿宋" w:hAnsi="仿宋" w:eastAsia="仿宋" w:cs="仿宋"/>
          <w:sz w:val="20"/>
          <w:szCs w:val="20"/>
          <w:lang w:eastAsia="zh-CN"/>
        </w:rPr>
        <w:t>括但</w:t>
      </w:r>
      <w:r>
        <w:rPr>
          <w:rFonts w:hint="eastAsia" w:ascii="仿宋" w:hAnsi="仿宋" w:eastAsia="仿宋" w:cs="仿宋"/>
          <w:sz w:val="20"/>
          <w:szCs w:val="20"/>
        </w:rPr>
        <w:t>不限于协助陕西省高级人民法院参加每年最高人民法院、公安部、省委网信办、省公安厅年度网络安全攻防演习以及其他重大活动网络安全保障提供技术支持服务。</w:t>
      </w:r>
    </w:p>
    <w:p w14:paraId="142DBA5A">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rPr>
        <w:t>8.</w:t>
      </w:r>
      <w:r>
        <w:rPr>
          <w:rFonts w:hint="eastAsia" w:ascii="仿宋" w:hAnsi="仿宋" w:eastAsia="仿宋" w:cs="仿宋"/>
          <w:sz w:val="20"/>
          <w:szCs w:val="20"/>
          <w:highlight w:val="none"/>
        </w:rPr>
        <w:t>二线专家技术支持能力</w:t>
      </w:r>
    </w:p>
    <w:p w14:paraId="53DFF4D0">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highlight w:val="none"/>
        </w:rPr>
        <w:t>服务方应具备</w:t>
      </w:r>
      <w:r>
        <w:rPr>
          <w:rFonts w:hint="eastAsia" w:ascii="仿宋" w:hAnsi="仿宋" w:eastAsia="仿宋" w:cs="仿宋"/>
          <w:sz w:val="20"/>
          <w:szCs w:val="20"/>
          <w:highlight w:val="none"/>
          <w:lang w:val="en-US" w:eastAsia="zh-CN"/>
        </w:rPr>
        <w:t>不少于5人的</w:t>
      </w:r>
      <w:r>
        <w:rPr>
          <w:rFonts w:hint="eastAsia" w:ascii="仿宋" w:hAnsi="仿宋" w:eastAsia="仿宋" w:cs="仿宋"/>
          <w:sz w:val="20"/>
          <w:szCs w:val="20"/>
          <w:highlight w:val="none"/>
        </w:rPr>
        <w:t>二线技术专家团队提供技术支撑，二线服务团队的成员必须由具备网络安全权威机构认证高级和中级资质的人员组成；应具备主动发</w:t>
      </w:r>
      <w:r>
        <w:rPr>
          <w:rFonts w:hint="eastAsia" w:ascii="仿宋" w:hAnsi="仿宋" w:eastAsia="仿宋" w:cs="仿宋"/>
          <w:sz w:val="20"/>
          <w:szCs w:val="20"/>
        </w:rPr>
        <w:t>现对方安全漏洞、对攻击方溯源反制的能力；平时提供远程技术支持服务；有实际需要或重大活动期间，提供现场技术支持服务。</w:t>
      </w:r>
    </w:p>
    <w:p w14:paraId="6A82DCDE">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b w:val="0"/>
          <w:bCs w:val="0"/>
          <w:sz w:val="20"/>
          <w:szCs w:val="20"/>
          <w:lang w:eastAsia="zh-CN"/>
        </w:rPr>
      </w:pPr>
      <w:r>
        <w:rPr>
          <w:rFonts w:hint="eastAsia" w:ascii="仿宋" w:hAnsi="仿宋" w:eastAsia="仿宋" w:cs="仿宋"/>
          <w:b w:val="0"/>
          <w:bCs w:val="0"/>
          <w:sz w:val="20"/>
          <w:szCs w:val="20"/>
          <w:lang w:eastAsia="zh-CN"/>
        </w:rPr>
        <w:t>五、采购预算</w:t>
      </w:r>
    </w:p>
    <w:p w14:paraId="0D326B38">
      <w:pPr>
        <w:pStyle w:val="4"/>
        <w:spacing w:line="240" w:lineRule="auto"/>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lang w:val="en-US" w:eastAsia="zh-CN"/>
        </w:rPr>
        <w:t>“一张网”安全运营分中心建设项目，由陕西省高级人民法院和辖区各中级人民法院</w:t>
      </w:r>
      <w:r>
        <w:rPr>
          <w:rFonts w:hint="eastAsia" w:ascii="仿宋" w:hAnsi="仿宋" w:eastAsia="仿宋" w:cs="仿宋"/>
          <w:sz w:val="20"/>
          <w:szCs w:val="20"/>
          <w:highlight w:val="none"/>
          <w:lang w:val="en-US" w:eastAsia="zh-CN"/>
        </w:rPr>
        <w:t>共同建设，本次采购仅涉及陕西省高级人民法院所承担份额，采购预算20万元。该项目其余份额，由陕西省高级人民法院负责指导辖区各中级人民法院在2026年采购预算资金批复后，另行组织采购。</w:t>
      </w:r>
    </w:p>
    <w:p w14:paraId="140CB71C">
      <w:pPr>
        <w:pStyle w:val="4"/>
        <w:spacing w:line="240" w:lineRule="auto"/>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六、报价说明</w:t>
      </w:r>
    </w:p>
    <w:p w14:paraId="01E42493">
      <w:pPr>
        <w:pStyle w:val="4"/>
        <w:spacing w:line="240" w:lineRule="auto"/>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本项目中标金额与预算之间的</w:t>
      </w:r>
      <w:r>
        <w:rPr>
          <w:rFonts w:hint="eastAsia" w:ascii="仿宋" w:hAnsi="仿宋" w:eastAsia="仿宋" w:cs="仿宋"/>
          <w:sz w:val="20"/>
          <w:szCs w:val="20"/>
          <w:highlight w:val="none"/>
          <w:lang w:val="en-US" w:eastAsia="zh-CN"/>
        </w:rPr>
        <w:t>实际</w:t>
      </w:r>
      <w:r>
        <w:rPr>
          <w:rFonts w:hint="default" w:ascii="仿宋" w:hAnsi="仿宋" w:eastAsia="仿宋" w:cs="仿宋"/>
          <w:sz w:val="20"/>
          <w:szCs w:val="20"/>
          <w:highlight w:val="none"/>
          <w:lang w:val="en-US" w:eastAsia="zh-CN"/>
        </w:rPr>
        <w:t>比例，将作为下游单位采购时的预算申报依据或最高限价</w:t>
      </w:r>
      <w:r>
        <w:rPr>
          <w:rFonts w:hint="eastAsia" w:ascii="仿宋" w:hAnsi="仿宋" w:eastAsia="仿宋" w:cs="仿宋"/>
          <w:sz w:val="20"/>
          <w:szCs w:val="20"/>
          <w:highlight w:val="none"/>
          <w:lang w:val="en-US" w:eastAsia="zh-CN"/>
        </w:rPr>
        <w:t>的重要参考</w:t>
      </w:r>
      <w:r>
        <w:rPr>
          <w:rFonts w:hint="default" w:ascii="仿宋" w:hAnsi="仿宋" w:eastAsia="仿宋" w:cs="仿宋"/>
          <w:sz w:val="20"/>
          <w:szCs w:val="20"/>
          <w:highlight w:val="none"/>
          <w:lang w:val="en-US" w:eastAsia="zh-CN"/>
        </w:rPr>
        <w:t>。</w:t>
      </w:r>
    </w:p>
    <w:p w14:paraId="4B6154FC">
      <w:pPr>
        <w:pStyle w:val="4"/>
        <w:spacing w:line="240" w:lineRule="auto"/>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七、整体预算说明</w:t>
      </w:r>
    </w:p>
    <w:p w14:paraId="77ADA6A3">
      <w:pPr>
        <w:jc w:val="both"/>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本项目整体预算金额为</w:t>
      </w:r>
      <w:r>
        <w:rPr>
          <w:rFonts w:hint="eastAsia" w:ascii="仿宋" w:hAnsi="仿宋" w:eastAsia="仿宋" w:cs="仿宋"/>
          <w:sz w:val="20"/>
          <w:szCs w:val="20"/>
          <w:highlight w:val="none"/>
          <w:lang w:val="en-US" w:eastAsia="zh-CN"/>
        </w:rPr>
        <w:t>238</w:t>
      </w:r>
      <w:r>
        <w:rPr>
          <w:rFonts w:hint="default" w:ascii="仿宋" w:hAnsi="仿宋" w:eastAsia="仿宋" w:cs="仿宋"/>
          <w:sz w:val="20"/>
          <w:szCs w:val="20"/>
          <w:highlight w:val="none"/>
          <w:lang w:val="en-US" w:eastAsia="zh-CN"/>
        </w:rPr>
        <w:t>万，本次采购范围为省高院部分共计</w:t>
      </w:r>
      <w:r>
        <w:rPr>
          <w:rFonts w:hint="eastAsia" w:ascii="仿宋" w:hAnsi="仿宋" w:eastAsia="仿宋" w:cs="仿宋"/>
          <w:sz w:val="20"/>
          <w:szCs w:val="20"/>
          <w:highlight w:val="none"/>
          <w:lang w:val="en-US" w:eastAsia="zh-CN"/>
        </w:rPr>
        <w:t>20</w:t>
      </w:r>
      <w:r>
        <w:rPr>
          <w:rFonts w:hint="default" w:ascii="仿宋" w:hAnsi="仿宋" w:eastAsia="仿宋" w:cs="仿宋"/>
          <w:sz w:val="20"/>
          <w:szCs w:val="20"/>
          <w:highlight w:val="none"/>
          <w:lang w:val="en-US" w:eastAsia="zh-CN"/>
        </w:rPr>
        <w:t>万元，其余部分由各中院自行采购。</w:t>
      </w:r>
    </w:p>
    <w:p w14:paraId="7ECAE667">
      <w:pPr>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br w:type="page"/>
      </w:r>
    </w:p>
    <w:p w14:paraId="443B808C">
      <w:pPr>
        <w:jc w:val="both"/>
        <w:outlineLvl w:val="0"/>
        <w:rPr>
          <w:rFonts w:hint="eastAsia" w:ascii="仿宋" w:hAnsi="仿宋" w:eastAsia="仿宋" w:cs="仿宋"/>
          <w:b/>
          <w:bCs/>
        </w:rPr>
      </w:pPr>
      <w:r>
        <w:rPr>
          <w:rFonts w:hint="eastAsia" w:ascii="仿宋" w:hAnsi="仿宋" w:eastAsia="仿宋" w:cs="仿宋"/>
          <w:b/>
          <w:bCs/>
        </w:rPr>
        <w:t>采购包</w:t>
      </w:r>
      <w:r>
        <w:rPr>
          <w:rFonts w:hint="eastAsia" w:ascii="仿宋" w:hAnsi="仿宋" w:eastAsia="仿宋" w:cs="仿宋"/>
          <w:b/>
          <w:bCs/>
          <w:lang w:val="en-US" w:eastAsia="zh-CN"/>
        </w:rPr>
        <w:t>5</w:t>
      </w:r>
      <w:r>
        <w:rPr>
          <w:rFonts w:hint="eastAsia" w:ascii="仿宋" w:hAnsi="仿宋" w:eastAsia="仿宋" w:cs="仿宋"/>
          <w:b/>
          <w:bCs/>
        </w:rPr>
        <w:t>：</w:t>
      </w:r>
    </w:p>
    <w:p w14:paraId="16048376">
      <w:pPr>
        <w:bidi w:val="0"/>
        <w:outlineLvl w:val="9"/>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项目背景</w:t>
      </w:r>
    </w:p>
    <w:p w14:paraId="758073ED">
      <w:pPr>
        <w:spacing w:line="240" w:lineRule="auto"/>
        <w:ind w:firstLine="400" w:firstLineChars="200"/>
        <w:outlineLvl w:val="9"/>
        <w:rPr>
          <w:rFonts w:hint="eastAsia" w:ascii="仿宋" w:hAnsi="仿宋" w:eastAsia="仿宋" w:cs="仿宋"/>
          <w:sz w:val="20"/>
          <w:szCs w:val="20"/>
        </w:rPr>
      </w:pPr>
      <w:r>
        <w:rPr>
          <w:rFonts w:hint="eastAsia" w:ascii="仿宋" w:hAnsi="仿宋" w:eastAsia="仿宋" w:cs="仿宋"/>
          <w:sz w:val="20"/>
          <w:szCs w:val="20"/>
        </w:rPr>
        <w:t>2025年，根据最高法院《关于进一步明确“一张网”建设相关要求的通知》，在最高院建设的“一张网”的基础上，陕西法院还需在本地以专属云资源租用方式自建庭审数据管理平台、政务系统等接入系统，以实现本地系统接入“一张网”。</w:t>
      </w:r>
    </w:p>
    <w:p w14:paraId="1545D6DE">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rPr>
        <w:t>2025年陕西法院“一张网”自建接入系统云资源租赁项目</w:t>
      </w:r>
      <w:r>
        <w:rPr>
          <w:rFonts w:hint="eastAsia" w:ascii="仿宋" w:hAnsi="仿宋" w:eastAsia="仿宋" w:cs="仿宋"/>
          <w:sz w:val="20"/>
          <w:szCs w:val="20"/>
          <w:lang w:val="en-US" w:eastAsia="zh-CN"/>
        </w:rPr>
        <w:t>由各级法院按照各自承担份额自行采购服务。现陕西省高级人民法院针对陕西法院“一张网”</w:t>
      </w:r>
      <w:r>
        <w:rPr>
          <w:rFonts w:hint="eastAsia" w:ascii="仿宋" w:hAnsi="仿宋" w:eastAsia="仿宋" w:cs="仿宋"/>
          <w:sz w:val="20"/>
          <w:szCs w:val="20"/>
        </w:rPr>
        <w:t>自建接入系统云资源租</w:t>
      </w:r>
      <w:r>
        <w:rPr>
          <w:rFonts w:hint="eastAsia" w:ascii="仿宋" w:hAnsi="仿宋" w:eastAsia="仿宋" w:cs="仿宋"/>
          <w:sz w:val="20"/>
          <w:szCs w:val="20"/>
          <w:lang w:val="en-US" w:eastAsia="zh-CN"/>
        </w:rPr>
        <w:t>项目省本院侧进行采购，采购预算为15万元。</w:t>
      </w:r>
    </w:p>
    <w:p w14:paraId="2649D461">
      <w:pPr>
        <w:bidi w:val="0"/>
        <w:outlineLvl w:val="9"/>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总体服务要求</w:t>
      </w:r>
    </w:p>
    <w:p w14:paraId="09176BCA">
      <w:pPr>
        <w:pStyle w:val="10"/>
        <w:numPr>
          <w:ilvl w:val="0"/>
          <w:numId w:val="11"/>
        </w:numPr>
        <w:spacing w:line="240" w:lineRule="auto"/>
        <w:ind w:left="0" w:firstLine="640"/>
        <w:jc w:val="left"/>
        <w:outlineLvl w:val="9"/>
        <w:rPr>
          <w:rFonts w:hint="eastAsia" w:ascii="仿宋" w:hAnsi="仿宋" w:eastAsia="仿宋" w:cs="仿宋"/>
          <w:sz w:val="20"/>
          <w:szCs w:val="20"/>
        </w:rPr>
      </w:pPr>
      <w:r>
        <w:rPr>
          <w:rFonts w:hint="eastAsia" w:ascii="仿宋" w:hAnsi="仿宋" w:eastAsia="仿宋" w:cs="仿宋"/>
          <w:sz w:val="20"/>
          <w:szCs w:val="20"/>
        </w:rPr>
        <w:t>本次项目云资源要求：物理核心数CPU≥704C、内存≥5632G、存储可用空间（三副本）≥40T（全闪盘存储）、存储备份容量≥120T；本次项目所提供的云资源量至少需满足“资源需求”中系统部署所需的资源，并且做到一定的资源冗余。</w:t>
      </w:r>
    </w:p>
    <w:p w14:paraId="60E26F58">
      <w:pPr>
        <w:pStyle w:val="10"/>
        <w:numPr>
          <w:ilvl w:val="0"/>
          <w:numId w:val="11"/>
        </w:numPr>
        <w:spacing w:line="240" w:lineRule="auto"/>
        <w:ind w:left="0" w:firstLine="640"/>
        <w:jc w:val="left"/>
        <w:outlineLvl w:val="9"/>
        <w:rPr>
          <w:rFonts w:hint="eastAsia" w:ascii="仿宋" w:hAnsi="仿宋" w:eastAsia="仿宋" w:cs="仿宋"/>
          <w:sz w:val="20"/>
          <w:szCs w:val="20"/>
        </w:rPr>
      </w:pPr>
      <w:r>
        <w:rPr>
          <w:rFonts w:hint="eastAsia" w:ascii="仿宋" w:hAnsi="仿宋" w:eastAsia="仿宋" w:cs="仿宋"/>
          <w:sz w:val="20"/>
          <w:szCs w:val="20"/>
        </w:rPr>
        <w:t>本次项目承载业务系统的云主机及云资源的云平台软件需满足技术标准，详见“云平台及云服务资源服务要求”。</w:t>
      </w:r>
    </w:p>
    <w:p w14:paraId="4EAE86CF">
      <w:pPr>
        <w:pStyle w:val="10"/>
        <w:numPr>
          <w:ilvl w:val="0"/>
          <w:numId w:val="11"/>
        </w:numPr>
        <w:spacing w:line="240" w:lineRule="auto"/>
        <w:ind w:left="0" w:firstLine="640"/>
        <w:jc w:val="left"/>
        <w:outlineLvl w:val="9"/>
        <w:rPr>
          <w:rFonts w:hint="eastAsia" w:ascii="仿宋" w:hAnsi="仿宋" w:eastAsia="仿宋" w:cs="仿宋"/>
          <w:sz w:val="20"/>
          <w:szCs w:val="20"/>
        </w:rPr>
      </w:pPr>
      <w:r>
        <w:rPr>
          <w:rFonts w:hint="eastAsia" w:ascii="仿宋" w:hAnsi="仿宋" w:eastAsia="仿宋" w:cs="仿宋"/>
          <w:sz w:val="20"/>
          <w:szCs w:val="20"/>
        </w:rPr>
        <w:t>本次项目业务系统为本省院核心业务系统，本次网络安全服务需满足等级保护2.0三级标准建设，网络安全建设技术指标详见“网络安全服务要求”。</w:t>
      </w:r>
    </w:p>
    <w:p w14:paraId="778D43C4">
      <w:pPr>
        <w:pStyle w:val="10"/>
        <w:numPr>
          <w:ilvl w:val="0"/>
          <w:numId w:val="11"/>
        </w:numPr>
        <w:spacing w:line="240" w:lineRule="auto"/>
        <w:ind w:left="0" w:firstLine="640"/>
        <w:jc w:val="left"/>
        <w:outlineLvl w:val="9"/>
        <w:rPr>
          <w:rFonts w:hint="eastAsia" w:ascii="仿宋" w:hAnsi="仿宋" w:eastAsia="仿宋" w:cs="仿宋"/>
          <w:sz w:val="20"/>
          <w:szCs w:val="20"/>
        </w:rPr>
      </w:pPr>
      <w:r>
        <w:rPr>
          <w:rFonts w:hint="eastAsia" w:ascii="仿宋" w:hAnsi="仿宋" w:eastAsia="仿宋" w:cs="仿宋"/>
          <w:sz w:val="20"/>
          <w:szCs w:val="20"/>
        </w:rPr>
        <w:t>本次项目服务具体实施地点需按照招标人指定地点实施。</w:t>
      </w:r>
    </w:p>
    <w:p w14:paraId="3A29168A">
      <w:pPr>
        <w:bidi w:val="0"/>
        <w:spacing w:line="240" w:lineRule="auto"/>
        <w:outlineLvl w:val="9"/>
        <w:rPr>
          <w:rFonts w:hint="eastAsia" w:ascii="仿宋" w:hAnsi="仿宋" w:eastAsia="仿宋" w:cs="仿宋"/>
        </w:rPr>
      </w:pPr>
      <w:r>
        <w:rPr>
          <w:rFonts w:hint="eastAsia" w:ascii="仿宋" w:hAnsi="仿宋" w:eastAsia="仿宋" w:cs="仿宋"/>
          <w:lang w:val="en-US" w:eastAsia="zh-CN"/>
        </w:rPr>
        <w:t>三、</w:t>
      </w:r>
      <w:r>
        <w:rPr>
          <w:rFonts w:hint="eastAsia" w:ascii="仿宋" w:hAnsi="仿宋" w:eastAsia="仿宋" w:cs="仿宋"/>
        </w:rPr>
        <w:t>云平台及云资源服务要求</w:t>
      </w:r>
    </w:p>
    <w:p w14:paraId="11DD4229">
      <w:pPr>
        <w:keepNext w:val="0"/>
        <w:keepLines w:val="0"/>
        <w:pageBreakBefore w:val="0"/>
        <w:widowControl w:val="0"/>
        <w:kinsoku/>
        <w:wordWrap/>
        <w:overflowPunct/>
        <w:topLinePunct w:val="0"/>
        <w:autoSpaceDE/>
        <w:autoSpaceDN/>
        <w:bidi w:val="0"/>
        <w:adjustRightInd/>
        <w:snapToGrid/>
        <w:spacing w:before="120" w:after="120" w:line="240" w:lineRule="auto"/>
        <w:jc w:val="both"/>
        <w:textAlignment w:val="auto"/>
        <w:outlineLvl w:val="9"/>
        <w:rPr>
          <w:rFonts w:hint="eastAsia" w:ascii="仿宋" w:hAnsi="仿宋" w:eastAsia="仿宋" w:cs="仿宋"/>
          <w:sz w:val="20"/>
          <w:szCs w:val="20"/>
        </w:rPr>
      </w:pPr>
      <w:r>
        <w:rPr>
          <w:rFonts w:hint="eastAsia" w:ascii="仿宋" w:hAnsi="仿宋" w:eastAsia="仿宋" w:cs="仿宋"/>
          <w:sz w:val="20"/>
          <w:szCs w:val="20"/>
          <w:lang w:val="en-US" w:eastAsia="zh-CN"/>
        </w:rPr>
        <w:t>3.1</w:t>
      </w:r>
      <w:r>
        <w:rPr>
          <w:rFonts w:hint="eastAsia" w:ascii="仿宋" w:hAnsi="仿宋" w:eastAsia="仿宋" w:cs="仿宋"/>
          <w:sz w:val="20"/>
          <w:szCs w:val="20"/>
        </w:rPr>
        <w:t>业务系统资源服务需求规格</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142"/>
        <w:gridCol w:w="3462"/>
        <w:gridCol w:w="1755"/>
      </w:tblGrid>
      <w:tr w14:paraId="29AD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8"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22881805">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应用名称</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1452BF78">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参数</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4487C0F3">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资源数量</w:t>
            </w:r>
          </w:p>
        </w:tc>
      </w:tr>
      <w:tr w14:paraId="1AF9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62A06DD5">
            <w:pPr>
              <w:autoSpaceDE w:val="0"/>
              <w:autoSpaceDN w:val="0"/>
              <w:adjustRightInd w:val="0"/>
              <w:jc w:val="center"/>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庭审数据管理平台</w:t>
            </w:r>
          </w:p>
          <w:p w14:paraId="242F2ECC">
            <w:pPr>
              <w:autoSpaceDE w:val="0"/>
              <w:autoSpaceDN w:val="0"/>
              <w:adjustRightInd w:val="0"/>
              <w:jc w:val="center"/>
              <w:outlineLvl w:val="9"/>
              <w:rPr>
                <w:rFonts w:ascii="仿宋" w:hAnsi="仿宋" w:eastAsia="仿宋" w:cs="仿宋_GB2312"/>
                <w:color w:val="000000"/>
                <w:highlight w:val="none"/>
              </w:rPr>
            </w:pPr>
            <w:r>
              <w:rPr>
                <w:rFonts w:hint="eastAsia" w:ascii="仿宋" w:hAnsi="仿宋" w:eastAsia="仿宋"/>
                <w:highlight w:val="none"/>
              </w:rPr>
              <w:t>（虚拟机）</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6A45EDD0">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vCPU</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64</w:t>
            </w:r>
            <w:r>
              <w:rPr>
                <w:rFonts w:hint="eastAsia" w:ascii="仿宋" w:hAnsi="仿宋" w:eastAsia="仿宋" w:cs="仿宋_GB2312"/>
                <w:color w:val="000000"/>
                <w:highlight w:val="none"/>
              </w:rPr>
              <w:t>C</w:t>
            </w:r>
          </w:p>
          <w:p w14:paraId="0F468C22">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256GB</w:t>
            </w:r>
          </w:p>
          <w:p w14:paraId="256C8EE8">
            <w:pPr>
              <w:widowControl w:val="0"/>
              <w:autoSpaceDE w:val="0"/>
              <w:autoSpaceDN w:val="0"/>
              <w:adjustRightInd w:val="0"/>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rPr>
              <w:t>数据盘≥12T</w:t>
            </w:r>
            <w:r>
              <w:rPr>
                <w:rFonts w:hint="eastAsia" w:ascii="仿宋" w:hAnsi="仿宋" w:eastAsia="仿宋" w:cs="仿宋_GB2312"/>
                <w:color w:val="000000"/>
                <w:highlight w:val="none"/>
                <w14:ligatures w14:val="standardContextual"/>
              </w:rPr>
              <w:t>；</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7423810E">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4</w:t>
            </w:r>
          </w:p>
        </w:tc>
      </w:tr>
      <w:tr w14:paraId="0303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5DD2F1A3">
            <w:pPr>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14:ligatures w14:val="standardContextual"/>
              </w:rPr>
              <w:t>政务系统</w:t>
            </w:r>
            <w:r>
              <w:rPr>
                <w:rFonts w:hint="eastAsia" w:ascii="仿宋" w:hAnsi="仿宋" w:eastAsia="仿宋" w:cs="仿宋_GB2312"/>
                <w:color w:val="000000"/>
                <w:highlight w:val="none"/>
              </w:rPr>
              <w:t>（虚拟机）</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1E799D4B">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vCPU</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32C</w:t>
            </w:r>
          </w:p>
          <w:p w14:paraId="2F90F572">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64G</w:t>
            </w:r>
          </w:p>
          <w:p w14:paraId="364A59FE">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系统盘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200G</w:t>
            </w:r>
          </w:p>
          <w:p w14:paraId="3E769539">
            <w:pPr>
              <w:widowControl w:val="0"/>
              <w:autoSpaceDE w:val="0"/>
              <w:autoSpaceDN w:val="0"/>
              <w:adjustRightInd w:val="0"/>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rPr>
              <w:t>数据盘≥</w:t>
            </w:r>
            <w:r>
              <w:rPr>
                <w:rFonts w:hint="eastAsia" w:ascii="仿宋" w:hAnsi="仿宋" w:eastAsia="仿宋" w:cs="仿宋_GB2312"/>
                <w:color w:val="000000"/>
                <w:highlight w:val="none"/>
                <w14:ligatures w14:val="standardContextual"/>
              </w:rPr>
              <w:t>1TB</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2E77EA56">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1</w:t>
            </w:r>
          </w:p>
        </w:tc>
      </w:tr>
      <w:tr w14:paraId="64AB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00B32573">
            <w:pPr>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14:ligatures w14:val="standardContextual"/>
              </w:rPr>
              <w:t>门户系统</w:t>
            </w:r>
            <w:r>
              <w:rPr>
                <w:rFonts w:hint="eastAsia" w:ascii="仿宋" w:hAnsi="仿宋" w:eastAsia="仿宋" w:cs="仿宋_GB2312"/>
                <w:color w:val="000000"/>
                <w:highlight w:val="none"/>
              </w:rPr>
              <w:t>（虚拟机）</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6831E8D2">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vCPU</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32C</w:t>
            </w:r>
          </w:p>
          <w:p w14:paraId="252972BB">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64G</w:t>
            </w:r>
          </w:p>
          <w:p w14:paraId="6FA9455F">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系统盘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200G</w:t>
            </w:r>
          </w:p>
          <w:p w14:paraId="1A4EC223">
            <w:pPr>
              <w:widowControl w:val="0"/>
              <w:autoSpaceDE w:val="0"/>
              <w:autoSpaceDN w:val="0"/>
              <w:adjustRightInd w:val="0"/>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rPr>
              <w:t>数据</w:t>
            </w:r>
            <w:r>
              <w:rPr>
                <w:rFonts w:hint="eastAsia" w:ascii="仿宋" w:hAnsi="仿宋" w:eastAsia="仿宋" w:cs="仿宋_GB2312"/>
                <w:color w:val="000000"/>
                <w:highlight w:val="none"/>
                <w14:ligatures w14:val="standardContextual"/>
              </w:rPr>
              <w:t>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500G</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39F78577">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1</w:t>
            </w:r>
          </w:p>
        </w:tc>
      </w:tr>
      <w:tr w14:paraId="4CE2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14A43F1C">
            <w:pPr>
              <w:widowControl w:val="0"/>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14:ligatures w14:val="standardContextual"/>
              </w:rPr>
              <w:t>审委会</w:t>
            </w:r>
            <w:r>
              <w:rPr>
                <w:rFonts w:hint="eastAsia" w:ascii="仿宋" w:hAnsi="仿宋" w:eastAsia="仿宋" w:cs="仿宋_GB2312"/>
                <w:color w:val="000000"/>
                <w:highlight w:val="none"/>
              </w:rPr>
              <w:t>（虚拟机）</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42126CA9">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vCPU:96C</w:t>
            </w:r>
          </w:p>
          <w:p w14:paraId="35B0B1A0">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256G</w:t>
            </w:r>
          </w:p>
          <w:p w14:paraId="3AF5F255">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系统盘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200G</w:t>
            </w:r>
          </w:p>
          <w:p w14:paraId="49FABDE1">
            <w:pPr>
              <w:widowControl w:val="0"/>
              <w:autoSpaceDE w:val="0"/>
              <w:autoSpaceDN w:val="0"/>
              <w:adjustRightInd w:val="0"/>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rPr>
              <w:t>数据</w:t>
            </w:r>
            <w:r>
              <w:rPr>
                <w:rFonts w:hint="eastAsia" w:ascii="仿宋" w:hAnsi="仿宋" w:eastAsia="仿宋" w:cs="仿宋_GB2312"/>
                <w:color w:val="000000"/>
                <w:highlight w:val="none"/>
                <w14:ligatures w14:val="standardContextual"/>
              </w:rPr>
              <w:t>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1TB</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3F50D3BD">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1</w:t>
            </w:r>
          </w:p>
        </w:tc>
      </w:tr>
      <w:tr w14:paraId="547E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65FB11E4">
            <w:pPr>
              <w:widowControl w:val="0"/>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14:ligatures w14:val="standardContextual"/>
              </w:rPr>
              <w:t>签名板</w:t>
            </w:r>
            <w:r>
              <w:rPr>
                <w:rFonts w:hint="eastAsia" w:ascii="仿宋" w:hAnsi="仿宋" w:eastAsia="仿宋" w:cs="仿宋_GB2312"/>
                <w:color w:val="000000"/>
                <w:highlight w:val="none"/>
              </w:rPr>
              <w:t>（虚拟机）</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2D8B5812">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vCPU</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32C</w:t>
            </w:r>
          </w:p>
          <w:p w14:paraId="755954CF">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64G</w:t>
            </w:r>
          </w:p>
          <w:p w14:paraId="573D67A0">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系统盘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200G</w:t>
            </w:r>
          </w:p>
          <w:p w14:paraId="1A8D4EEB">
            <w:pPr>
              <w:widowControl w:val="0"/>
              <w:autoSpaceDE w:val="0"/>
              <w:autoSpaceDN w:val="0"/>
              <w:adjustRightInd w:val="0"/>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rPr>
              <w:t>数据</w:t>
            </w:r>
            <w:r>
              <w:rPr>
                <w:rFonts w:hint="eastAsia" w:ascii="仿宋" w:hAnsi="仿宋" w:eastAsia="仿宋" w:cs="仿宋_GB2312"/>
                <w:color w:val="000000"/>
                <w:highlight w:val="none"/>
                <w14:ligatures w14:val="standardContextual"/>
              </w:rPr>
              <w:t>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500G</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3BA3A997">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1</w:t>
            </w:r>
          </w:p>
        </w:tc>
      </w:tr>
      <w:tr w14:paraId="160A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24A7F1BB">
            <w:pPr>
              <w:widowControl w:val="0"/>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14:ligatures w14:val="standardContextual"/>
              </w:rPr>
              <w:t>审委会</w:t>
            </w:r>
            <w:r>
              <w:rPr>
                <w:rFonts w:hint="eastAsia" w:ascii="仿宋" w:hAnsi="仿宋" w:eastAsia="仿宋" w:cs="仿宋_GB2312"/>
                <w:color w:val="000000"/>
                <w:highlight w:val="none"/>
              </w:rPr>
              <w:t>服务器（虚拟机）</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42C86192">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vCPU</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32C</w:t>
            </w:r>
          </w:p>
          <w:p w14:paraId="6EFE886B">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64G</w:t>
            </w:r>
          </w:p>
          <w:p w14:paraId="5F196770">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系统盘≥200G</w:t>
            </w:r>
          </w:p>
          <w:p w14:paraId="7F237750">
            <w:pPr>
              <w:widowControl w:val="0"/>
              <w:autoSpaceDE w:val="0"/>
              <w:autoSpaceDN w:val="0"/>
              <w:adjustRightInd w:val="0"/>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rPr>
              <w:t>数据</w:t>
            </w:r>
            <w:r>
              <w:rPr>
                <w:rFonts w:hint="eastAsia" w:ascii="仿宋" w:hAnsi="仿宋" w:eastAsia="仿宋" w:cs="仿宋_GB2312"/>
                <w:color w:val="000000"/>
                <w:highlight w:val="none"/>
                <w14:ligatures w14:val="standardContextual"/>
              </w:rPr>
              <w:t>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1TB</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66A3C613">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1</w:t>
            </w:r>
          </w:p>
        </w:tc>
      </w:tr>
      <w:tr w14:paraId="4870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vAlign w:val="center"/>
          </w:tcPr>
          <w:p w14:paraId="54F73587">
            <w:pPr>
              <w:widowControl w:val="0"/>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rPr>
              <w:t>审委会数据库（裸金属）</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6ADEF46C">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CPU</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64C</w:t>
            </w:r>
          </w:p>
          <w:p w14:paraId="0B4F341F">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128G</w:t>
            </w:r>
          </w:p>
          <w:p w14:paraId="3978A145">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系统盘≥200G</w:t>
            </w:r>
          </w:p>
          <w:p w14:paraId="21561343">
            <w:pPr>
              <w:widowControl w:val="0"/>
              <w:autoSpaceDE w:val="0"/>
              <w:autoSpaceDN w:val="0"/>
              <w:adjustRightInd w:val="0"/>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rPr>
              <w:t>数据</w:t>
            </w:r>
            <w:r>
              <w:rPr>
                <w:rFonts w:hint="eastAsia" w:ascii="仿宋" w:hAnsi="仿宋" w:eastAsia="仿宋" w:cs="仿宋_GB2312"/>
                <w:color w:val="000000"/>
                <w:highlight w:val="none"/>
                <w14:ligatures w14:val="standardContextual"/>
              </w:rPr>
              <w:t>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20T SSD</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55998D94">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1</w:t>
            </w:r>
          </w:p>
        </w:tc>
      </w:tr>
      <w:tr w14:paraId="629F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vAlign w:val="center"/>
          </w:tcPr>
          <w:p w14:paraId="1DC47755">
            <w:pPr>
              <w:widowControl w:val="0"/>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rPr>
              <w:t>审委会文件存储服务器（虚拟机）</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6C417CEC">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vCPU</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32C</w:t>
            </w:r>
          </w:p>
          <w:p w14:paraId="0C0655D2">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64G</w:t>
            </w:r>
          </w:p>
          <w:p w14:paraId="4E534243">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系统盘≥200G</w:t>
            </w:r>
          </w:p>
          <w:p w14:paraId="77E17294">
            <w:pPr>
              <w:widowControl w:val="0"/>
              <w:autoSpaceDE w:val="0"/>
              <w:autoSpaceDN w:val="0"/>
              <w:adjustRightInd w:val="0"/>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rPr>
              <w:t>数据</w:t>
            </w:r>
            <w:r>
              <w:rPr>
                <w:rFonts w:hint="eastAsia" w:ascii="仿宋" w:hAnsi="仿宋" w:eastAsia="仿宋" w:cs="仿宋_GB2312"/>
                <w:color w:val="000000"/>
                <w:highlight w:val="none"/>
                <w14:ligatures w14:val="standardContextual"/>
              </w:rPr>
              <w:t>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5T</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268DADF6">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1</w:t>
            </w:r>
          </w:p>
        </w:tc>
      </w:tr>
      <w:tr w14:paraId="0B98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532240B3">
            <w:pPr>
              <w:widowControl w:val="0"/>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14:ligatures w14:val="standardContextual"/>
              </w:rPr>
              <w:t>签名板</w:t>
            </w:r>
            <w:r>
              <w:rPr>
                <w:rFonts w:hint="eastAsia" w:ascii="仿宋" w:hAnsi="仿宋" w:eastAsia="仿宋" w:cs="仿宋_GB2312"/>
                <w:color w:val="000000"/>
                <w:highlight w:val="none"/>
              </w:rPr>
              <w:t>（虚拟机）</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4692F2AE">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vCPU</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32C</w:t>
            </w:r>
          </w:p>
          <w:p w14:paraId="0058B89F">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64G</w:t>
            </w:r>
          </w:p>
          <w:p w14:paraId="21C0D0D0">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系统盘≥200G</w:t>
            </w:r>
          </w:p>
          <w:p w14:paraId="1B65DDB1">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数据</w:t>
            </w:r>
            <w:r>
              <w:rPr>
                <w:rFonts w:hint="eastAsia" w:ascii="仿宋" w:hAnsi="仿宋" w:eastAsia="仿宋" w:cs="仿宋_GB2312"/>
                <w:color w:val="000000"/>
                <w:highlight w:val="none"/>
                <w14:ligatures w14:val="standardContextual"/>
              </w:rPr>
              <w:t>盘</w:t>
            </w:r>
            <w:r>
              <w:rPr>
                <w:rFonts w:hint="eastAsia" w:ascii="仿宋" w:hAnsi="仿宋" w:eastAsia="仿宋" w:cs="仿宋_GB2312"/>
                <w:color w:val="000000"/>
                <w:highlight w:val="none"/>
              </w:rPr>
              <w:t>≥1</w:t>
            </w:r>
            <w:r>
              <w:rPr>
                <w:rFonts w:hint="eastAsia" w:ascii="仿宋" w:hAnsi="仿宋" w:eastAsia="仿宋" w:cs="仿宋_GB2312"/>
                <w:color w:val="000000"/>
                <w:highlight w:val="none"/>
                <w14:ligatures w14:val="standardContextual"/>
              </w:rPr>
              <w:t>TB</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2636BEFC">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1</w:t>
            </w:r>
          </w:p>
        </w:tc>
      </w:tr>
      <w:tr w14:paraId="17A6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528907C0">
            <w:pPr>
              <w:widowControl w:val="0"/>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14:ligatures w14:val="standardContextual"/>
              </w:rPr>
              <w:t>诉讼费款</w:t>
            </w:r>
            <w:r>
              <w:rPr>
                <w:rFonts w:hint="eastAsia" w:ascii="仿宋" w:hAnsi="仿宋" w:eastAsia="仿宋" w:cs="仿宋_GB2312"/>
                <w:color w:val="000000"/>
                <w:highlight w:val="none"/>
              </w:rPr>
              <w:t>（虚拟机）</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07F8D682">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vCPU</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32C</w:t>
            </w:r>
          </w:p>
          <w:p w14:paraId="3EC83319">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64G</w:t>
            </w:r>
          </w:p>
          <w:p w14:paraId="329439B2">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系统盘≥200G</w:t>
            </w:r>
          </w:p>
          <w:p w14:paraId="31DCBAB1">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数据</w:t>
            </w:r>
            <w:r>
              <w:rPr>
                <w:rFonts w:hint="eastAsia" w:ascii="仿宋" w:hAnsi="仿宋" w:eastAsia="仿宋" w:cs="仿宋_GB2312"/>
                <w:color w:val="000000"/>
                <w:highlight w:val="none"/>
                <w14:ligatures w14:val="standardContextual"/>
              </w:rPr>
              <w:t>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1TB</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22EEB2DD">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1</w:t>
            </w:r>
          </w:p>
        </w:tc>
      </w:tr>
      <w:tr w14:paraId="7DD5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0DB05268">
            <w:pPr>
              <w:widowControl w:val="0"/>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14:ligatures w14:val="standardContextual"/>
              </w:rPr>
              <w:t>点对点司法查控系统</w:t>
            </w:r>
          </w:p>
          <w:p w14:paraId="083A21CE">
            <w:pPr>
              <w:widowControl w:val="0"/>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rPr>
              <w:t>（虚拟机）</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386DD4D4">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vCPU</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32C</w:t>
            </w:r>
          </w:p>
          <w:p w14:paraId="7E47FE30">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64G</w:t>
            </w:r>
          </w:p>
          <w:p w14:paraId="46311F52">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数据</w:t>
            </w:r>
            <w:r>
              <w:rPr>
                <w:rFonts w:hint="eastAsia" w:ascii="仿宋" w:hAnsi="仿宋" w:eastAsia="仿宋" w:cs="仿宋_GB2312"/>
                <w:color w:val="000000"/>
                <w:highlight w:val="none"/>
                <w14:ligatures w14:val="standardContextual"/>
              </w:rPr>
              <w:t>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1TB</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7C89F08B">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1</w:t>
            </w:r>
          </w:p>
        </w:tc>
      </w:tr>
      <w:tr w14:paraId="1096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48AA3BDB">
            <w:pPr>
              <w:widowControl w:val="0"/>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14:ligatures w14:val="standardContextual"/>
              </w:rPr>
              <w:t>数据下行</w:t>
            </w:r>
            <w:r>
              <w:rPr>
                <w:rFonts w:hint="eastAsia" w:ascii="仿宋" w:hAnsi="仿宋" w:eastAsia="仿宋" w:cs="仿宋_GB2312"/>
                <w:color w:val="000000"/>
                <w:highlight w:val="none"/>
              </w:rPr>
              <w:t>（虚拟机）</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20185E09">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vCPU</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32C</w:t>
            </w:r>
          </w:p>
          <w:p w14:paraId="227FC95A">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64G</w:t>
            </w:r>
          </w:p>
          <w:p w14:paraId="664B27C2">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系统盘≥200G</w:t>
            </w:r>
          </w:p>
          <w:p w14:paraId="03AED495">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数据</w:t>
            </w:r>
            <w:r>
              <w:rPr>
                <w:rFonts w:hint="eastAsia" w:ascii="仿宋" w:hAnsi="仿宋" w:eastAsia="仿宋" w:cs="仿宋_GB2312"/>
                <w:color w:val="000000"/>
                <w:highlight w:val="none"/>
                <w14:ligatures w14:val="standardContextual"/>
              </w:rPr>
              <w:t>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1TB</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372E6D19">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4</w:t>
            </w:r>
          </w:p>
        </w:tc>
      </w:tr>
      <w:tr w14:paraId="1573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vAlign w:val="center"/>
          </w:tcPr>
          <w:p w14:paraId="2C4CAD35">
            <w:pPr>
              <w:widowControl w:val="0"/>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rPr>
              <w:t>数据下行（虚拟机）</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7EC8A15E">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vCPU</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64C</w:t>
            </w:r>
          </w:p>
          <w:p w14:paraId="2BC310B0">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128G</w:t>
            </w:r>
          </w:p>
          <w:p w14:paraId="3B10F128">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系统盘≥200G</w:t>
            </w:r>
          </w:p>
          <w:p w14:paraId="577E8318">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数据</w:t>
            </w:r>
            <w:r>
              <w:rPr>
                <w:rFonts w:hint="eastAsia" w:ascii="仿宋" w:hAnsi="仿宋" w:eastAsia="仿宋" w:cs="仿宋_GB2312"/>
                <w:color w:val="000000"/>
                <w:highlight w:val="none"/>
                <w14:ligatures w14:val="standardContextual"/>
              </w:rPr>
              <w:t>盘</w:t>
            </w:r>
            <w:r>
              <w:rPr>
                <w:rFonts w:hint="eastAsia" w:ascii="仿宋" w:hAnsi="仿宋" w:eastAsia="仿宋" w:cs="仿宋_GB2312"/>
                <w:color w:val="000000"/>
                <w:highlight w:val="none"/>
              </w:rPr>
              <w:t>≥2</w:t>
            </w:r>
            <w:r>
              <w:rPr>
                <w:rFonts w:hint="eastAsia" w:ascii="仿宋" w:hAnsi="仿宋" w:eastAsia="仿宋" w:cs="仿宋_GB2312"/>
                <w:color w:val="000000"/>
                <w:highlight w:val="none"/>
                <w14:ligatures w14:val="standardContextual"/>
              </w:rPr>
              <w:t>TB</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6524D8D0">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1</w:t>
            </w:r>
          </w:p>
        </w:tc>
      </w:tr>
      <w:tr w14:paraId="42B3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vAlign w:val="center"/>
          </w:tcPr>
          <w:p w14:paraId="61B4E4D4">
            <w:pPr>
              <w:widowControl w:val="0"/>
              <w:autoSpaceDE w:val="0"/>
              <w:autoSpaceDN w:val="0"/>
              <w:adjustRightInd w:val="0"/>
              <w:jc w:val="center"/>
              <w:outlineLvl w:val="9"/>
              <w:rPr>
                <w:rFonts w:ascii="仿宋" w:hAnsi="仿宋" w:eastAsia="仿宋" w:cs="仿宋_GB2312"/>
                <w:color w:val="000000"/>
                <w:highlight w:val="none"/>
              </w:rPr>
            </w:pPr>
            <w:r>
              <w:rPr>
                <w:rFonts w:hint="eastAsia" w:ascii="仿宋" w:hAnsi="仿宋" w:eastAsia="仿宋" w:cs="仿宋_GB2312"/>
                <w:color w:val="000000"/>
                <w:highlight w:val="none"/>
              </w:rPr>
              <w:t>数据下行数据库</w:t>
            </w:r>
          </w:p>
          <w:p w14:paraId="1505CAB3">
            <w:pPr>
              <w:widowControl w:val="0"/>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rPr>
              <w:t>（裸金属）</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0BF37765">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CPU</w:t>
            </w:r>
            <w:r>
              <w:rPr>
                <w:rFonts w:hint="eastAsia" w:ascii="仿宋" w:hAnsi="仿宋" w:eastAsia="仿宋" w:cs="仿宋_GB2312"/>
                <w:color w:val="000000"/>
                <w:highlight w:val="none"/>
              </w:rPr>
              <w:t>≥</w:t>
            </w:r>
            <w:r>
              <w:rPr>
                <w:rFonts w:ascii="仿宋" w:hAnsi="仿宋" w:eastAsia="仿宋" w:cs="仿宋_GB2312"/>
                <w:color w:val="000000"/>
                <w:highlight w:val="none"/>
                <w14:ligatures w14:val="standardContextual"/>
              </w:rPr>
              <w:t>64</w:t>
            </w:r>
            <w:r>
              <w:rPr>
                <w:rFonts w:hint="eastAsia" w:ascii="仿宋" w:hAnsi="仿宋" w:eastAsia="仿宋" w:cs="仿宋_GB2312"/>
                <w:color w:val="000000"/>
                <w:highlight w:val="none"/>
                <w14:ligatures w14:val="standardContextual"/>
              </w:rPr>
              <w:t>C</w:t>
            </w:r>
          </w:p>
          <w:p w14:paraId="7BF25605">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256G</w:t>
            </w:r>
          </w:p>
          <w:p w14:paraId="17582732">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系统盘≥200G</w:t>
            </w:r>
          </w:p>
          <w:p w14:paraId="178336DA">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数据</w:t>
            </w:r>
            <w:r>
              <w:rPr>
                <w:rFonts w:hint="eastAsia" w:ascii="仿宋" w:hAnsi="仿宋" w:eastAsia="仿宋" w:cs="仿宋_GB2312"/>
                <w:color w:val="000000"/>
                <w:highlight w:val="none"/>
                <w14:ligatures w14:val="standardContextual"/>
              </w:rPr>
              <w:t>盘</w:t>
            </w:r>
            <w:r>
              <w:rPr>
                <w:rFonts w:hint="eastAsia" w:ascii="仿宋" w:hAnsi="仿宋" w:eastAsia="仿宋" w:cs="仿宋_GB2312"/>
                <w:color w:val="000000"/>
                <w:highlight w:val="none"/>
              </w:rPr>
              <w:t>≥20</w:t>
            </w:r>
            <w:r>
              <w:rPr>
                <w:rFonts w:hint="eastAsia" w:ascii="仿宋" w:hAnsi="仿宋" w:eastAsia="仿宋" w:cs="仿宋_GB2312"/>
                <w:color w:val="000000"/>
                <w:highlight w:val="none"/>
                <w14:ligatures w14:val="standardContextual"/>
              </w:rPr>
              <w:t>TB SSD</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7946F5A9">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3</w:t>
            </w:r>
          </w:p>
        </w:tc>
      </w:tr>
      <w:tr w14:paraId="6CAB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6"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3CB56ABE">
            <w:pPr>
              <w:widowControl w:val="0"/>
              <w:autoSpaceDE w:val="0"/>
              <w:autoSpaceDN w:val="0"/>
              <w:adjustRightInd w:val="0"/>
              <w:jc w:val="center"/>
              <w:outlineLvl w:val="9"/>
              <w:rPr>
                <w:rFonts w:ascii="仿宋" w:hAnsi="仿宋" w:eastAsia="仿宋" w:cs="仿宋_GB2312"/>
                <w:color w:val="000000"/>
                <w:highlight w:val="none"/>
                <w14:ligatures w14:val="standardContextual"/>
              </w:rPr>
            </w:pPr>
            <w:r>
              <w:rPr>
                <w:rFonts w:hint="eastAsia" w:ascii="仿宋" w:hAnsi="仿宋" w:eastAsia="仿宋" w:cs="仿宋_GB2312"/>
                <w:color w:val="000000"/>
                <w:highlight w:val="none"/>
                <w14:ligatures w14:val="standardContextual"/>
              </w:rPr>
              <w:t>“一张网”音视频模块二级部署</w:t>
            </w:r>
            <w:r>
              <w:rPr>
                <w:rFonts w:hint="eastAsia" w:ascii="仿宋" w:hAnsi="仿宋" w:eastAsia="仿宋" w:cs="仿宋_GB2312"/>
                <w:color w:val="000000"/>
                <w:highlight w:val="none"/>
              </w:rPr>
              <w:t>（虚拟机）</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079EA24A">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vCPU≥</w:t>
            </w:r>
            <w:r>
              <w:rPr>
                <w:rFonts w:hint="eastAsia" w:ascii="仿宋" w:hAnsi="仿宋" w:eastAsia="仿宋" w:cs="仿宋_GB2312"/>
                <w:color w:val="000000"/>
                <w:highlight w:val="none"/>
                <w14:ligatures w14:val="standardContextual"/>
              </w:rPr>
              <w:t>8C</w:t>
            </w:r>
          </w:p>
          <w:p w14:paraId="31DCA9D4">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14:ligatures w14:val="standardContextual"/>
              </w:rPr>
              <w:t>内存</w:t>
            </w:r>
            <w:r>
              <w:rPr>
                <w:rFonts w:hint="eastAsia" w:ascii="仿宋" w:hAnsi="仿宋" w:eastAsia="仿宋" w:cs="仿宋_GB2312"/>
                <w:color w:val="000000"/>
                <w:highlight w:val="none"/>
              </w:rPr>
              <w:t>≥</w:t>
            </w:r>
            <w:r>
              <w:rPr>
                <w:rFonts w:hint="eastAsia" w:ascii="仿宋" w:hAnsi="仿宋" w:eastAsia="仿宋" w:cs="仿宋_GB2312"/>
                <w:color w:val="000000"/>
                <w:highlight w:val="none"/>
                <w14:ligatures w14:val="standardContextual"/>
              </w:rPr>
              <w:t>16G</w:t>
            </w:r>
          </w:p>
          <w:p w14:paraId="44B365DA">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系统盘≥200G</w:t>
            </w:r>
          </w:p>
          <w:p w14:paraId="6E224589">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数据</w:t>
            </w:r>
            <w:r>
              <w:rPr>
                <w:rFonts w:hint="eastAsia" w:ascii="仿宋" w:hAnsi="仿宋" w:eastAsia="仿宋" w:cs="仿宋_GB2312"/>
                <w:color w:val="000000"/>
                <w:highlight w:val="none"/>
                <w14:ligatures w14:val="standardContextual"/>
              </w:rPr>
              <w:t>盘</w:t>
            </w:r>
            <w:r>
              <w:rPr>
                <w:rFonts w:hint="eastAsia" w:ascii="仿宋" w:hAnsi="仿宋" w:eastAsia="仿宋" w:cs="仿宋_GB2312"/>
                <w:color w:val="000000"/>
                <w:highlight w:val="none"/>
              </w:rPr>
              <w:t>≥500G</w:t>
            </w:r>
            <w:r>
              <w:rPr>
                <w:rFonts w:hint="eastAsia" w:ascii="仿宋" w:hAnsi="仿宋" w:eastAsia="仿宋" w:cs="仿宋_GB2312"/>
                <w:color w:val="000000"/>
                <w:highlight w:val="none"/>
                <w14:ligatures w14:val="standardContextual"/>
              </w:rPr>
              <w:t>B</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04687AFF">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2</w:t>
            </w:r>
          </w:p>
        </w:tc>
      </w:tr>
      <w:tr w14:paraId="043B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433E6DD4">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国产化操作系统</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13ABD16A">
            <w:pPr>
              <w:autoSpaceDE w:val="0"/>
              <w:autoSpaceDN w:val="0"/>
              <w:adjustRightInd w:val="0"/>
              <w:outlineLvl w:val="9"/>
              <w:rPr>
                <w:rFonts w:ascii="仿宋" w:hAnsi="仿宋" w:eastAsia="仿宋" w:cs="仿宋_GB2312"/>
                <w:color w:val="000000"/>
              </w:rPr>
            </w:pPr>
            <w:r>
              <w:rPr>
                <w:rFonts w:ascii="仿宋" w:hAnsi="仿宋" w:eastAsia="仿宋" w:cs="仿宋_GB2312"/>
                <w:color w:val="000000"/>
              </w:rPr>
              <w:t>麒麟操作系统授权（v10 sp3 x86和arm）</w:t>
            </w:r>
            <w:r>
              <w:rPr>
                <w:rFonts w:ascii="Arial" w:hAnsi="Arial" w:eastAsia="仿宋" w:cs="Arial"/>
                <w:color w:val="000000"/>
              </w:rPr>
              <w:t>×</w:t>
            </w:r>
            <w:r>
              <w:rPr>
                <w:rFonts w:hint="eastAsia" w:ascii="仿宋" w:hAnsi="仿宋" w:eastAsia="仿宋" w:cs="仿宋_GB2312"/>
                <w:color w:val="000000"/>
              </w:rPr>
              <w:t>3年</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5F36438B">
            <w:pPr>
              <w:widowControl w:val="0"/>
              <w:autoSpaceDE w:val="0"/>
              <w:autoSpaceDN w:val="0"/>
              <w:adjustRightInd w:val="0"/>
              <w:jc w:val="center"/>
              <w:outlineLvl w:val="9"/>
              <w:rPr>
                <w:rFonts w:ascii="仿宋" w:hAnsi="仿宋" w:eastAsia="仿宋" w:cs="仿宋_GB2312"/>
                <w:color w:val="000000"/>
                <w14:ligatures w14:val="standardContextual"/>
              </w:rPr>
            </w:pPr>
            <w:r>
              <w:rPr>
                <w:rFonts w:hint="eastAsia" w:ascii="仿宋" w:hAnsi="仿宋" w:eastAsia="仿宋" w:cs="仿宋_GB2312"/>
                <w:color w:val="000000"/>
                <w14:ligatures w14:val="standardContextual"/>
              </w:rPr>
              <w:t>24</w:t>
            </w:r>
          </w:p>
        </w:tc>
      </w:tr>
      <w:tr w14:paraId="2E76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0F934DAE">
            <w:pPr>
              <w:widowControl w:val="0"/>
              <w:autoSpaceDE w:val="0"/>
              <w:autoSpaceDN w:val="0"/>
              <w:adjustRightInd w:val="0"/>
              <w:jc w:val="center"/>
              <w:outlineLvl w:val="9"/>
              <w:rPr>
                <w:rFonts w:hint="eastAsia" w:ascii="仿宋" w:hAnsi="仿宋" w:eastAsia="仿宋" w:cs="仿宋_GB2312"/>
                <w:color w:val="000000"/>
                <w:highlight w:val="none"/>
                <w:lang w:val="en-US" w:eastAsia="zh-CN"/>
                <w14:ligatures w14:val="standardContextual"/>
              </w:rPr>
            </w:pPr>
            <w:r>
              <w:rPr>
                <w:rFonts w:hint="eastAsia" w:ascii="仿宋" w:hAnsi="仿宋" w:eastAsia="仿宋" w:cs="仿宋_GB2312"/>
                <w:color w:val="000000"/>
                <w:highlight w:val="none"/>
              </w:rPr>
              <w:t>国产化</w:t>
            </w:r>
            <w:r>
              <w:rPr>
                <w:rFonts w:hint="eastAsia" w:ascii="仿宋" w:hAnsi="仿宋" w:eastAsia="仿宋" w:cs="仿宋_GB2312"/>
                <w:color w:val="000000"/>
                <w:highlight w:val="none"/>
                <w:lang w:val="en-US" w:eastAsia="zh-CN"/>
              </w:rPr>
              <w:t>数据库</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3297C35E">
            <w:pPr>
              <w:autoSpaceDE w:val="0"/>
              <w:autoSpaceDN w:val="0"/>
              <w:adjustRightInd w:val="0"/>
              <w:outlineLvl w:val="9"/>
              <w:rPr>
                <w:rFonts w:ascii="仿宋" w:hAnsi="仿宋" w:eastAsia="仿宋" w:cs="仿宋_GB2312"/>
                <w:color w:val="000000"/>
                <w:highlight w:val="none"/>
              </w:rPr>
            </w:pPr>
            <w:r>
              <w:rPr>
                <w:rFonts w:hint="eastAsia" w:ascii="仿宋" w:hAnsi="仿宋" w:eastAsia="仿宋" w:cs="仿宋_GB2312"/>
                <w:color w:val="000000"/>
                <w:highlight w:val="none"/>
              </w:rPr>
              <w:t>提供国产化数据库（包括不限于达梦数据库、金仓数据库等）授权</w:t>
            </w:r>
            <w:r>
              <w:rPr>
                <w:rFonts w:ascii="Arial" w:hAnsi="Arial" w:eastAsia="仿宋" w:cs="Arial"/>
                <w:color w:val="000000"/>
                <w:highlight w:val="none"/>
              </w:rPr>
              <w:t>×</w:t>
            </w:r>
            <w:r>
              <w:rPr>
                <w:rFonts w:hint="eastAsia" w:ascii="仿宋" w:hAnsi="仿宋" w:eastAsia="仿宋" w:cs="仿宋_GB2312"/>
                <w:color w:val="000000"/>
                <w:highlight w:val="none"/>
              </w:rPr>
              <w:t>3年</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7FE3E55F">
            <w:pPr>
              <w:widowControl w:val="0"/>
              <w:autoSpaceDE w:val="0"/>
              <w:autoSpaceDN w:val="0"/>
              <w:adjustRightInd w:val="0"/>
              <w:jc w:val="center"/>
              <w:outlineLvl w:val="9"/>
              <w:rPr>
                <w:rFonts w:hint="default" w:ascii="仿宋" w:hAnsi="仿宋" w:eastAsia="仿宋" w:cs="仿宋_GB2312"/>
                <w:color w:val="000000"/>
                <w:highlight w:val="yellow"/>
                <w:lang w:val="en-US" w:eastAsia="zh-CN"/>
                <w14:ligatures w14:val="standardContextual"/>
              </w:rPr>
            </w:pPr>
            <w:r>
              <w:rPr>
                <w:rFonts w:hint="eastAsia" w:ascii="仿宋" w:hAnsi="仿宋" w:eastAsia="仿宋" w:cs="仿宋_GB2312"/>
                <w:color w:val="000000"/>
                <w:highlight w:val="none"/>
                <w:lang w:val="en-US" w:eastAsia="zh-CN"/>
                <w14:ligatures w14:val="standardContextual"/>
              </w:rPr>
              <w:t>12</w:t>
            </w:r>
          </w:p>
        </w:tc>
      </w:tr>
      <w:tr w14:paraId="6DFE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9" w:type="pct"/>
            <w:tcBorders>
              <w:top w:val="single" w:color="auto" w:sz="4" w:space="0"/>
              <w:left w:val="single" w:color="auto" w:sz="4" w:space="0"/>
              <w:bottom w:val="single" w:color="auto" w:sz="4" w:space="0"/>
              <w:right w:val="single" w:color="auto" w:sz="4" w:space="0"/>
            </w:tcBorders>
            <w:shd w:val="clear" w:color="auto" w:fill="auto"/>
            <w:vAlign w:val="center"/>
          </w:tcPr>
          <w:p w14:paraId="2CF99E1A">
            <w:pPr>
              <w:autoSpaceDE w:val="0"/>
              <w:autoSpaceDN w:val="0"/>
              <w:adjustRightInd w:val="0"/>
              <w:jc w:val="center"/>
              <w:outlineLvl w:val="9"/>
              <w:rPr>
                <w:rFonts w:ascii="仿宋" w:hAnsi="仿宋" w:eastAsia="仿宋" w:cs="仿宋_GB2312"/>
                <w:color w:val="000000"/>
              </w:rPr>
            </w:pPr>
            <w:r>
              <w:rPr>
                <w:rFonts w:hint="eastAsia" w:ascii="仿宋" w:hAnsi="仿宋" w:eastAsia="仿宋" w:cs="仿宋_GB2312"/>
                <w:color w:val="000000"/>
              </w:rPr>
              <w:t>信息系统备份</w:t>
            </w:r>
          </w:p>
        </w:tc>
        <w:tc>
          <w:tcPr>
            <w:tcW w:w="2070" w:type="pct"/>
            <w:tcBorders>
              <w:top w:val="single" w:color="auto" w:sz="4" w:space="0"/>
              <w:left w:val="single" w:color="auto" w:sz="4" w:space="0"/>
              <w:bottom w:val="single" w:color="auto" w:sz="4" w:space="0"/>
              <w:right w:val="single" w:color="auto" w:sz="4" w:space="0"/>
            </w:tcBorders>
            <w:shd w:val="clear" w:color="auto" w:fill="auto"/>
            <w:vAlign w:val="center"/>
          </w:tcPr>
          <w:p w14:paraId="69922A83">
            <w:pPr>
              <w:autoSpaceDE w:val="0"/>
              <w:autoSpaceDN w:val="0"/>
              <w:adjustRightInd w:val="0"/>
              <w:outlineLvl w:val="9"/>
              <w:rPr>
                <w:rFonts w:ascii="仿宋" w:hAnsi="仿宋" w:eastAsia="仿宋" w:cs="仿宋_GB2312"/>
                <w:color w:val="000000"/>
              </w:rPr>
            </w:pPr>
            <w:r>
              <w:rPr>
                <w:rFonts w:hint="eastAsia" w:ascii="仿宋" w:hAnsi="仿宋" w:eastAsia="仿宋" w:cs="仿宋_GB2312"/>
                <w:color w:val="000000"/>
              </w:rPr>
              <w:t>提供至少120T独立备份资源空间，要求与虚拟机存储池进行物理隔离；</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6BF047EF">
            <w:pPr>
              <w:autoSpaceDE w:val="0"/>
              <w:autoSpaceDN w:val="0"/>
              <w:adjustRightInd w:val="0"/>
              <w:jc w:val="center"/>
              <w:outlineLvl w:val="9"/>
              <w:rPr>
                <w:rFonts w:ascii="仿宋" w:hAnsi="仿宋" w:eastAsia="仿宋" w:cs="仿宋_GB2312"/>
                <w:color w:val="000000"/>
              </w:rPr>
            </w:pPr>
            <w:r>
              <w:rPr>
                <w:rFonts w:hint="eastAsia" w:ascii="仿宋" w:hAnsi="仿宋" w:eastAsia="仿宋" w:cs="仿宋_GB2312"/>
                <w:color w:val="000000"/>
              </w:rPr>
              <w:t>-</w:t>
            </w:r>
          </w:p>
        </w:tc>
      </w:tr>
    </w:tbl>
    <w:p w14:paraId="538636A4">
      <w:pPr>
        <w:keepNext w:val="0"/>
        <w:keepLines w:val="0"/>
        <w:pageBreakBefore w:val="0"/>
        <w:widowControl w:val="0"/>
        <w:kinsoku/>
        <w:wordWrap/>
        <w:overflowPunct/>
        <w:topLinePunct w:val="0"/>
        <w:autoSpaceDE/>
        <w:autoSpaceDN/>
        <w:bidi w:val="0"/>
        <w:adjustRightInd/>
        <w:snapToGrid/>
        <w:spacing w:before="120" w:after="120" w:line="240" w:lineRule="auto"/>
        <w:ind w:left="0" w:leftChars="0" w:firstLine="400" w:firstLineChars="200"/>
        <w:textAlignment w:val="auto"/>
        <w:outlineLvl w:val="9"/>
        <w:rPr>
          <w:rFonts w:hint="eastAsia" w:ascii="仿宋" w:hAnsi="仿宋" w:eastAsia="仿宋" w:cs="仿宋"/>
          <w:sz w:val="20"/>
          <w:szCs w:val="20"/>
          <w:lang w:val="en-US" w:eastAsia="zh-CN"/>
        </w:rPr>
      </w:pPr>
    </w:p>
    <w:p w14:paraId="03700A2C">
      <w:pPr>
        <w:keepNext w:val="0"/>
        <w:keepLines w:val="0"/>
        <w:pageBreakBefore w:val="0"/>
        <w:widowControl w:val="0"/>
        <w:kinsoku/>
        <w:wordWrap/>
        <w:overflowPunct/>
        <w:topLinePunct w:val="0"/>
        <w:autoSpaceDE/>
        <w:autoSpaceDN/>
        <w:bidi w:val="0"/>
        <w:adjustRightInd/>
        <w:snapToGrid/>
        <w:spacing w:before="120" w:after="120" w:line="240" w:lineRule="auto"/>
        <w:ind w:left="0" w:leftChars="0" w:firstLine="400" w:firstLineChars="200"/>
        <w:jc w:val="both"/>
        <w:textAlignment w:val="auto"/>
        <w:outlineLvl w:val="9"/>
        <w:rPr>
          <w:rFonts w:hint="eastAsia" w:ascii="仿宋" w:hAnsi="仿宋" w:eastAsia="仿宋" w:cs="仿宋"/>
          <w:sz w:val="20"/>
          <w:szCs w:val="20"/>
        </w:rPr>
      </w:pPr>
      <w:r>
        <w:rPr>
          <w:rFonts w:hint="eastAsia" w:ascii="仿宋" w:hAnsi="仿宋" w:eastAsia="仿宋" w:cs="仿宋"/>
          <w:sz w:val="20"/>
          <w:szCs w:val="20"/>
          <w:lang w:val="en-US" w:eastAsia="zh-CN"/>
        </w:rPr>
        <w:t>3.2</w:t>
      </w:r>
      <w:r>
        <w:rPr>
          <w:rFonts w:hint="eastAsia" w:ascii="仿宋" w:hAnsi="仿宋" w:eastAsia="仿宋" w:cs="仿宋"/>
          <w:sz w:val="20"/>
          <w:szCs w:val="20"/>
        </w:rPr>
        <w:t>云资源服务底层基础架构技术要求</w:t>
      </w:r>
    </w:p>
    <w:p w14:paraId="00751557">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为适应未来系统的演进及发展，要求本次云主机须采用国产自主品牌构建，支持主流的国产芯片、操作系统、中间件、数据库的安装和运行。</w:t>
      </w:r>
    </w:p>
    <w:p w14:paraId="0D8BE8EC">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2、本次项目提供虚拟机服务、裸金属服务和备份服务器的物理服务器要求使用国产X86服务器，并且单颗CPU主频≥2.3GHz。</w:t>
      </w:r>
    </w:p>
    <w:p w14:paraId="0E257120">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3、本次项目提供资源池的服务器集群的组网满足双机高可用架构以保证资源池的可靠性和稳定性，具备隔离网络设备单点故障能力，并且交换机应充分预留足够的网络接口，以便后续的资源池扩容。</w:t>
      </w:r>
    </w:p>
    <w:p w14:paraId="68B1657D">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云主机技术要求：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005"/>
        <w:gridCol w:w="6357"/>
      </w:tblGrid>
      <w:tr w14:paraId="3AD5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3" w:hRule="atLeast"/>
        </w:trPr>
        <w:tc>
          <w:tcPr>
            <w:tcW w:w="1199" w:type="pct"/>
            <w:vAlign w:val="center"/>
          </w:tcPr>
          <w:p w14:paraId="6EA4A40D">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服务名称</w:t>
            </w:r>
          </w:p>
        </w:tc>
        <w:tc>
          <w:tcPr>
            <w:tcW w:w="3801" w:type="pct"/>
            <w:vAlign w:val="center"/>
          </w:tcPr>
          <w:p w14:paraId="35F0306B">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服务技术标准</w:t>
            </w:r>
          </w:p>
        </w:tc>
      </w:tr>
      <w:tr w14:paraId="0D5B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99" w:type="pct"/>
            <w:vAlign w:val="center"/>
          </w:tcPr>
          <w:p w14:paraId="2ADAEAE5">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云主机要求</w:t>
            </w:r>
          </w:p>
        </w:tc>
        <w:tc>
          <w:tcPr>
            <w:tcW w:w="3801" w:type="pct"/>
            <w:vAlign w:val="center"/>
          </w:tcPr>
          <w:p w14:paraId="00801FDD">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1、支持HA高可用功能，当集群中的主机硬件或虚拟化软件发生故障时，该主机上的云主机可以在集群之内的其它主机上自动重启。当云主机的操作系统出现故障时，可以自动重启该云主机操作系统，保障业务连续性。</w:t>
            </w:r>
          </w:p>
          <w:p w14:paraId="54739B63">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2、支持容错机制，可以保证运行云主机的主机发生故障时，云主机会自动触发透明故障切换，同时不会引起任何数据丢失或停机。</w:t>
            </w:r>
          </w:p>
          <w:p w14:paraId="4A3CA737">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3、支持云主机的在线迁移功能，支持在不中断用户使用和不丢失服务的情况下在服务器之间实时迁移云主机，保障业务连续性。</w:t>
            </w:r>
          </w:p>
          <w:p w14:paraId="61112BEF">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4、信创云主机可支持安装国产操作系统。支持通过安装私有镜像中的镜像来创建云主机。</w:t>
            </w:r>
          </w:p>
          <w:p w14:paraId="66198439">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5、支持自定义镜像，快速创建云主机。支持为已部署好应用环境的云主机创建自定义镜像，利用自定义镜像创建云主机，快速复制应用环境。</w:t>
            </w:r>
          </w:p>
          <w:p w14:paraId="7E507E3B">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6、支持挂载云硬盘，保证数据安全可靠。支持根据对数据存储容量的需求，合理选择创建适用容量的云硬盘并挂载至云服务器。</w:t>
            </w:r>
          </w:p>
          <w:p w14:paraId="6C5D8D60">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7、支持多个虚拟网卡，一台云主机可以同时绑定一个弹性公网IP以及多个内网IP，增强云主机的复用性。</w:t>
            </w:r>
          </w:p>
        </w:tc>
      </w:tr>
    </w:tbl>
    <w:p w14:paraId="0D0F46C5">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5、云硬盘（系统盘、数据盘）技术要求：</w:t>
      </w:r>
    </w:p>
    <w:tbl>
      <w:tblPr>
        <w:tblStyle w:val="8"/>
        <w:tblW w:w="4994"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994"/>
        <w:gridCol w:w="6358"/>
      </w:tblGrid>
      <w:tr w14:paraId="4E78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 w:hRule="atLeast"/>
        </w:trPr>
        <w:tc>
          <w:tcPr>
            <w:tcW w:w="1194" w:type="pct"/>
            <w:tcBorders>
              <w:top w:val="single" w:color="auto" w:sz="4" w:space="0"/>
              <w:left w:val="single" w:color="auto" w:sz="4" w:space="0"/>
              <w:bottom w:val="single" w:color="auto" w:sz="4" w:space="0"/>
              <w:right w:val="single" w:color="auto" w:sz="4" w:space="0"/>
            </w:tcBorders>
            <w:vAlign w:val="center"/>
          </w:tcPr>
          <w:p w14:paraId="51E139C1">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服务名称</w:t>
            </w:r>
          </w:p>
        </w:tc>
        <w:tc>
          <w:tcPr>
            <w:tcW w:w="3806" w:type="pct"/>
            <w:tcBorders>
              <w:top w:val="single" w:color="auto" w:sz="4" w:space="0"/>
              <w:left w:val="single" w:color="auto" w:sz="4" w:space="0"/>
              <w:bottom w:val="single" w:color="auto" w:sz="4" w:space="0"/>
              <w:right w:val="single" w:color="auto" w:sz="4" w:space="0"/>
            </w:tcBorders>
            <w:vAlign w:val="center"/>
          </w:tcPr>
          <w:p w14:paraId="4C9F6A7F">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服务技术标准</w:t>
            </w:r>
          </w:p>
        </w:tc>
      </w:tr>
      <w:tr w14:paraId="448E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94" w:type="pct"/>
            <w:vAlign w:val="center"/>
          </w:tcPr>
          <w:p w14:paraId="2DA5777F">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云存储服务</w:t>
            </w:r>
          </w:p>
        </w:tc>
        <w:tc>
          <w:tcPr>
            <w:tcW w:w="3806" w:type="pct"/>
            <w:vAlign w:val="center"/>
          </w:tcPr>
          <w:p w14:paraId="6F02591A">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1．支持大容量数据存储及扩容，不限文件数目和大小，无限的存储空间。根据实际存储量无限扩展，解决传统硬件存储扩容问题；</w:t>
            </w:r>
          </w:p>
          <w:p w14:paraId="1B4355B1">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2．云硬盘采用三副本存储架构，数据可靠性可达99.9999999%；同时具有备份功能，备份系统与云硬盘物理隔离，保障数据安全；</w:t>
            </w:r>
          </w:p>
          <w:p w14:paraId="7677D037">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3．平台使用最先进的分布式存储，不使用IP-SAN、FC-SAN等传统专用存储，平台基于服务器的存储，具备横向扩展能力；</w:t>
            </w:r>
          </w:p>
          <w:p w14:paraId="4A29B617">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4、提供私有网络功能，私有网络之间能相互隔离，保证数据安全性；并且在私有网络内，可提供子网隔离功能；</w:t>
            </w:r>
          </w:p>
        </w:tc>
      </w:tr>
    </w:tbl>
    <w:p w14:paraId="7DF87E42">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outlineLvl w:val="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6、云备份技术要求：</w:t>
      </w:r>
    </w:p>
    <w:tbl>
      <w:tblPr>
        <w:tblStyle w:val="8"/>
        <w:tblW w:w="499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002"/>
        <w:gridCol w:w="6355"/>
      </w:tblGrid>
      <w:tr w14:paraId="499A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98" w:type="pct"/>
            <w:tcBorders>
              <w:top w:val="single" w:color="auto" w:sz="4" w:space="0"/>
              <w:left w:val="single" w:color="auto" w:sz="4" w:space="0"/>
              <w:bottom w:val="single" w:color="auto" w:sz="4" w:space="0"/>
              <w:right w:val="single" w:color="auto" w:sz="4" w:space="0"/>
            </w:tcBorders>
            <w:vAlign w:val="center"/>
          </w:tcPr>
          <w:p w14:paraId="42DBB093">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服务名称</w:t>
            </w:r>
          </w:p>
        </w:tc>
        <w:tc>
          <w:tcPr>
            <w:tcW w:w="3802" w:type="pct"/>
            <w:tcBorders>
              <w:top w:val="single" w:color="auto" w:sz="4" w:space="0"/>
              <w:left w:val="single" w:color="auto" w:sz="4" w:space="0"/>
              <w:bottom w:val="single" w:color="auto" w:sz="4" w:space="0"/>
              <w:right w:val="single" w:color="auto" w:sz="4" w:space="0"/>
            </w:tcBorders>
            <w:vAlign w:val="center"/>
          </w:tcPr>
          <w:p w14:paraId="3C6220B6">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服务技术标准</w:t>
            </w:r>
          </w:p>
        </w:tc>
      </w:tr>
      <w:tr w14:paraId="1659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98" w:type="pct"/>
            <w:vAlign w:val="center"/>
          </w:tcPr>
          <w:p w14:paraId="6595703E">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备份</w:t>
            </w:r>
          </w:p>
        </w:tc>
        <w:tc>
          <w:tcPr>
            <w:tcW w:w="3802" w:type="pct"/>
            <w:vAlign w:val="center"/>
          </w:tcPr>
          <w:p w14:paraId="6385B28E">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1、应用事实备份：支持文件、数据库实时备份，可以捕获或跟踪数据的变化，并将其独立存放在生产数据之外，以确保数据可以恢复到过去的任意时间点。持续数据保护可以为恢复对象提供足够细的恢复粒度，实现任意的恢复时间点。由于持续数据保护记录所有的修改操作以及数据的变化，所以占用的磁盘空间是比较大的。drsoft-node程序独特的多Baseline支持可以提高配置的灵活性，以及持续数据保护恢复的速度。</w:t>
            </w:r>
          </w:p>
          <w:p w14:paraId="5424BEBF">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2、应用定时备份：支持文件、国产数据库数据备份的恢复。提供多种备份方式满足用户备份策略需求，备端压缩技术可节约备份空间，传输压缩可节省带宽资源、传输加密保障数据传输安全性，支持磁盘存储对象存储等存储介质；备份管理员通过图形化界面实现所有数据备份恢复操作、并提供状态监控、统计报表、审计日志等，为企业核心业务数据保驾护航。</w:t>
            </w:r>
          </w:p>
          <w:p w14:paraId="07B8E648">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3、对生产服务器执行操作系统级备份，以虚拟磁盘格式保存在备份服务器上。生产服务器故障时，可将备份的系统还原到任意平台上，实现业务恢复或回滚。</w:t>
            </w:r>
          </w:p>
          <w:p w14:paraId="69A1D919">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4、支持与本次项目的虚拟平台的备份，要求是基于虚拟化平台快照技术产生的备份数据。支持虚拟机备份，虚拟机恢复原机和异机重建恢复，并支持两个虚拟平台之间虚机迁移和复制多种应用场景，整个备份、恢复等都采用无代理的方式即无需在源端的虚机安装任何的代理程序。</w:t>
            </w:r>
          </w:p>
          <w:p w14:paraId="6139615B">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5、①数据恢复：用户可将任何备份时间点的数据恢复到指定的环境，保证发生灾难后用户业务的连续性。</w:t>
            </w:r>
          </w:p>
          <w:p w14:paraId="7936F01E">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②数据过期：用户可通过策略自动过期备份数据集，灵活管理存储空间。</w:t>
            </w:r>
          </w:p>
          <w:p w14:paraId="37A4C142">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③日志：汇总展示关键操作所产生的日志，便于管理员追溯某项操作的起止时间及操作人员，降低风险。</w:t>
            </w:r>
          </w:p>
          <w:p w14:paraId="6416F10A">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④全量/增量备份：支持全量备份和增量备份，并可分别设置定时任务，使备份计划更加合理。</w:t>
            </w:r>
          </w:p>
          <w:p w14:paraId="49CD8C86">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⑤备份压缩加密：支持传输压缩，节省传输数据量并提升效率；支持数据与传输加密，增强安全性。</w:t>
            </w:r>
          </w:p>
        </w:tc>
      </w:tr>
    </w:tbl>
    <w:p w14:paraId="2DE122B0">
      <w:pPr>
        <w:keepNext w:val="0"/>
        <w:keepLines w:val="0"/>
        <w:pageBreakBefore w:val="0"/>
        <w:widowControl w:val="0"/>
        <w:kinsoku/>
        <w:wordWrap/>
        <w:overflowPunct/>
        <w:topLinePunct w:val="0"/>
        <w:autoSpaceDE/>
        <w:autoSpaceDN/>
        <w:bidi w:val="0"/>
        <w:adjustRightInd/>
        <w:snapToGrid/>
        <w:spacing w:before="120" w:after="120" w:line="240" w:lineRule="auto"/>
        <w:ind w:left="0" w:leftChars="0" w:firstLine="400" w:firstLineChars="200"/>
        <w:jc w:val="both"/>
        <w:textAlignment w:val="auto"/>
        <w:outlineLvl w:val="9"/>
        <w:rPr>
          <w:rFonts w:hint="eastAsia" w:ascii="仿宋" w:hAnsi="仿宋" w:eastAsia="仿宋" w:cs="仿宋"/>
          <w:sz w:val="20"/>
          <w:szCs w:val="20"/>
        </w:rPr>
      </w:pPr>
      <w:r>
        <w:rPr>
          <w:rFonts w:hint="eastAsia" w:ascii="仿宋" w:hAnsi="仿宋" w:eastAsia="仿宋" w:cs="仿宋"/>
          <w:sz w:val="20"/>
          <w:szCs w:val="20"/>
          <w:lang w:val="en-US" w:eastAsia="zh-CN"/>
        </w:rPr>
        <w:t>3.3</w:t>
      </w:r>
      <w:r>
        <w:rPr>
          <w:rFonts w:hint="eastAsia" w:ascii="仿宋" w:hAnsi="仿宋" w:eastAsia="仿宋" w:cs="仿宋"/>
          <w:sz w:val="20"/>
          <w:szCs w:val="20"/>
        </w:rPr>
        <w:t>云资源服务虚拟化软件技术要求</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087"/>
        <w:gridCol w:w="5576"/>
        <w:gridCol w:w="697"/>
      </w:tblGrid>
      <w:tr w14:paraId="3304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248" w:type="pct"/>
            <w:vAlign w:val="center"/>
          </w:tcPr>
          <w:p w14:paraId="26B6B463">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功能项</w:t>
            </w:r>
          </w:p>
        </w:tc>
        <w:tc>
          <w:tcPr>
            <w:tcW w:w="3334" w:type="pct"/>
            <w:vAlign w:val="center"/>
          </w:tcPr>
          <w:p w14:paraId="3A81DEB1">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服务与功能描述</w:t>
            </w:r>
          </w:p>
        </w:tc>
        <w:tc>
          <w:tcPr>
            <w:tcW w:w="417" w:type="pct"/>
            <w:vAlign w:val="center"/>
          </w:tcPr>
          <w:p w14:paraId="35FFFB90">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备注</w:t>
            </w:r>
          </w:p>
        </w:tc>
      </w:tr>
      <w:tr w14:paraId="234A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48" w:type="pct"/>
            <w:vAlign w:val="center"/>
          </w:tcPr>
          <w:p w14:paraId="6D614070">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平台整体要求</w:t>
            </w:r>
          </w:p>
        </w:tc>
        <w:tc>
          <w:tcPr>
            <w:tcW w:w="3334" w:type="pct"/>
            <w:vAlign w:val="center"/>
          </w:tcPr>
          <w:p w14:paraId="477F8207">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1、支持计算、存储融合部署及分离部署架构；</w:t>
            </w:r>
          </w:p>
          <w:p w14:paraId="02A42E3B">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2、云平台采用基于Kubernetes的全分布式架构，以此提供虚拟化计算、云存储、网络、容器等云服务，基础云主机服务通过容器POD方式提供（提供软件功能截图证明材料）；</w:t>
            </w:r>
          </w:p>
          <w:p w14:paraId="19C76EE9">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3、具备集群扩容、故障高可用、自动化部署与管理、云主机的便捷迁移等特性；</w:t>
            </w:r>
          </w:p>
          <w:p w14:paraId="6B7482E7">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4、云平台管理组件支持容器化部署，可平滑升级，可与业务融合部署；</w:t>
            </w:r>
          </w:p>
          <w:p w14:paraId="30F6C474">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5、非OEM产品，产品为成熟商用产品，保障后续产品的连续性。</w:t>
            </w:r>
          </w:p>
          <w:p w14:paraId="2F8F7AF6">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6、支持提供自助云平台控制台，可以通过该门户自助管理、发放所需的各类云服务资源，并对资源进行管理（提供软件功能截图证明材料）；</w:t>
            </w:r>
          </w:p>
        </w:tc>
        <w:tc>
          <w:tcPr>
            <w:tcW w:w="417" w:type="pct"/>
            <w:vAlign w:val="center"/>
          </w:tcPr>
          <w:p w14:paraId="51A9394C">
            <w:pPr>
              <w:autoSpaceDE w:val="0"/>
              <w:autoSpaceDN w:val="0"/>
              <w:adjustRightInd w:val="0"/>
              <w:spacing w:line="240" w:lineRule="auto"/>
              <w:jc w:val="center"/>
              <w:outlineLvl w:val="9"/>
              <w:rPr>
                <w:rFonts w:hint="eastAsia" w:ascii="仿宋" w:hAnsi="仿宋" w:eastAsia="仿宋" w:cs="仿宋"/>
                <w:color w:val="000000"/>
                <w:sz w:val="20"/>
                <w:szCs w:val="20"/>
              </w:rPr>
            </w:pPr>
          </w:p>
        </w:tc>
      </w:tr>
      <w:tr w14:paraId="4F7B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48" w:type="pct"/>
            <w:vAlign w:val="center"/>
          </w:tcPr>
          <w:p w14:paraId="30293F77">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计算服务</w:t>
            </w:r>
          </w:p>
        </w:tc>
        <w:tc>
          <w:tcPr>
            <w:tcW w:w="3334" w:type="pct"/>
            <w:vAlign w:val="center"/>
          </w:tcPr>
          <w:p w14:paraId="6B92320E">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1、服务器支持自主可控设备，所使用虚拟化技术为开放的或业界知名的虚拟化技术；</w:t>
            </w:r>
          </w:p>
          <w:p w14:paraId="64B66E4E">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2、云主机支持节点亲和性、虚拟机亲和性、虚拟机反亲和性，支持控制台设置调度策略（提供软件功能截图证明材料）；</w:t>
            </w:r>
          </w:p>
          <w:p w14:paraId="32ED129F">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3、云主机支持配额管理（提供软件功能截图证明材料）；</w:t>
            </w:r>
          </w:p>
          <w:p w14:paraId="62A27528">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4、云主机支持在线的虚拟机迁移（热迁移），可以在不中断业务（丢包小于1秒）的情况下，自动地实现虚拟机在集群之内的不同物理机之间迁移（提供软件功能截图证明材料）；</w:t>
            </w:r>
          </w:p>
          <w:p w14:paraId="2A3DCDBE">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5、支持修改虚拟机规格，调整CPU、内存、磁盘和网卡；支持对云主机网卡进行限速；</w:t>
            </w:r>
          </w:p>
          <w:p w14:paraId="2D4DC72B">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6、云主机支持快照和回滚，云主机支持不停机克隆。支持跨存储集群和同存储集群的云主机克隆。支持跨存储类型或介质（HDD/SSD/NVME）转换或克隆</w:t>
            </w:r>
          </w:p>
          <w:p w14:paraId="102CF5DE">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7、云主机支持创建到指定物理节点。</w:t>
            </w:r>
          </w:p>
          <w:p w14:paraId="1FD233C4">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8、虚拟机之间可以做到隔离保护，在同一个宿主机上其中某一台虚拟机发生故障都不会影响同一个物理机上的其它虚拟机运行，每个虚拟机上的用户权限只限于本虚拟机之内，以保障系统平台的安全性；</w:t>
            </w:r>
          </w:p>
          <w:p w14:paraId="0E66340E">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9、虚拟机可以实现物理机的功能，如具有自己的资源（内存、CPU、网卡、存储），可以通过控制台指定单独的IP地址；</w:t>
            </w:r>
          </w:p>
          <w:p w14:paraId="7AE769FA">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10、当虚拟机出现故障时，具备自动恢复该虚拟机，保障业务健壮性；</w:t>
            </w:r>
          </w:p>
          <w:p w14:paraId="39A10EDD">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11、云主机支持重装操作系统、云主机列表导出；</w:t>
            </w:r>
          </w:p>
          <w:p w14:paraId="2B6BE726">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12、不依赖对象存储，可支持自定义的云主机镜像上传，上传镜像可用于云主机创建。支持基于云主机创建镜像，同样不依赖对象存储可提供云主机镜像下载</w:t>
            </w:r>
          </w:p>
        </w:tc>
        <w:tc>
          <w:tcPr>
            <w:tcW w:w="417" w:type="pct"/>
            <w:vAlign w:val="center"/>
          </w:tcPr>
          <w:p w14:paraId="0409C215">
            <w:pPr>
              <w:autoSpaceDE w:val="0"/>
              <w:autoSpaceDN w:val="0"/>
              <w:adjustRightInd w:val="0"/>
              <w:spacing w:line="240" w:lineRule="auto"/>
              <w:jc w:val="center"/>
              <w:outlineLvl w:val="9"/>
              <w:rPr>
                <w:rFonts w:hint="eastAsia" w:ascii="仿宋" w:hAnsi="仿宋" w:eastAsia="仿宋" w:cs="仿宋"/>
                <w:color w:val="000000"/>
                <w:sz w:val="20"/>
                <w:szCs w:val="20"/>
              </w:rPr>
            </w:pPr>
          </w:p>
        </w:tc>
      </w:tr>
      <w:tr w14:paraId="660C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48" w:type="pct"/>
            <w:vAlign w:val="center"/>
          </w:tcPr>
          <w:p w14:paraId="77EF7A14">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裸金属服务要求</w:t>
            </w:r>
          </w:p>
        </w:tc>
        <w:tc>
          <w:tcPr>
            <w:tcW w:w="3334" w:type="pct"/>
            <w:vAlign w:val="center"/>
          </w:tcPr>
          <w:p w14:paraId="56D17092">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1、提供轻量化无SDN技术依赖的裸金属管理能力；（提供软件功能截图证明材料）；</w:t>
            </w:r>
          </w:p>
          <w:p w14:paraId="7503CCFD">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2、支持裸金属批量管理操作，包括批量导入、导出，批量开机、关机、重启、重装操作系统、重置密码等功能</w:t>
            </w:r>
          </w:p>
          <w:p w14:paraId="78BE0FAC">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3、支持裸金属事件管理能力，包括单个裸金属的开关机等基础操作</w:t>
            </w:r>
          </w:p>
          <w:p w14:paraId="4C1FA86F">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4、裸金属支持手动和自动挂载云盘两种方式。</w:t>
            </w:r>
          </w:p>
          <w:p w14:paraId="21CE82A6">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5、在具备块存储资源时，提供挂载云硬盘能力。不具备块存储资源是支持屏蔽挂载能力。（提供软件功能截图证明材料）；</w:t>
            </w:r>
          </w:p>
          <w:p w14:paraId="52B3726E">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6、手动挂载场景，控制台提供iscsi命令挂载指引（提供软件功能截图证明材料）；</w:t>
            </w:r>
          </w:p>
          <w:p w14:paraId="787D1A49">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7、裸金属支持控制台修改主机名，支持获取裸金属硬件信息包括CPU、内存、磁盘、网络信息。包括裸金属架构（x86、arm）、CPU型号、固件版本等</w:t>
            </w:r>
          </w:p>
          <w:p w14:paraId="224CD3D5">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8、裸金属支持自定义userdata，支持将免密登录密钥配置在userdata种自动装机。</w:t>
            </w:r>
          </w:p>
        </w:tc>
        <w:tc>
          <w:tcPr>
            <w:tcW w:w="417" w:type="pct"/>
            <w:vAlign w:val="center"/>
          </w:tcPr>
          <w:p w14:paraId="337F6299">
            <w:pPr>
              <w:autoSpaceDE w:val="0"/>
              <w:autoSpaceDN w:val="0"/>
              <w:adjustRightInd w:val="0"/>
              <w:spacing w:line="240" w:lineRule="auto"/>
              <w:jc w:val="center"/>
              <w:outlineLvl w:val="9"/>
              <w:rPr>
                <w:rFonts w:hint="eastAsia" w:ascii="仿宋" w:hAnsi="仿宋" w:eastAsia="仿宋" w:cs="仿宋"/>
                <w:color w:val="000000"/>
                <w:sz w:val="20"/>
                <w:szCs w:val="20"/>
              </w:rPr>
            </w:pPr>
          </w:p>
        </w:tc>
      </w:tr>
      <w:tr w14:paraId="60F9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48" w:type="pct"/>
            <w:vAlign w:val="center"/>
          </w:tcPr>
          <w:p w14:paraId="4468E97F">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网络服务</w:t>
            </w:r>
          </w:p>
        </w:tc>
        <w:tc>
          <w:tcPr>
            <w:tcW w:w="3334" w:type="pct"/>
            <w:vAlign w:val="center"/>
          </w:tcPr>
          <w:p w14:paraId="0FF45EB4">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1、支持UnderLay（VLAN）类型的网络，支持基于云原生的Kube-ovn技术架构的网络能力，提供不同的网络服务：包括VLAN网络、子网、网络ACL、安全组、虚拟网卡、HA VIP等功能（提供软件功能截图证明材料）；</w:t>
            </w:r>
          </w:p>
          <w:p w14:paraId="380D2874">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2、支持IPv4、IPv6、双栈网络能力（提供软件功能截图证明材料）；</w:t>
            </w:r>
          </w:p>
          <w:p w14:paraId="329FEBAE">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3、支持不依赖SDN技术的NAT能力，基于NAT能力可提供1：1映射能力，实现内网与外网的1：1映射。支持创建SNAT规则，支持子网上的云主机可通过SNAT规则访问外部业务，支持DNAT规则，允许外部业务访问小站内部业务（提供软件功能截图证明材料）；</w:t>
            </w:r>
          </w:p>
          <w:p w14:paraId="24A4DF8C">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4、支持安全组功能，实现根据不同的协议、端口和IP地址范围对入站和出站进行控制，添加删除安全组规则（提供软件功能截图证明材料）；</w:t>
            </w:r>
          </w:p>
          <w:p w14:paraId="36170154">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5、创建子网可指定内网网段、VLAN号、网关等信息，子网可查看内网IP使用情况。支持按需设定子网中的预留IP，预留IP不会自动分配给云主机。</w:t>
            </w:r>
          </w:p>
        </w:tc>
        <w:tc>
          <w:tcPr>
            <w:tcW w:w="417" w:type="pct"/>
            <w:vAlign w:val="center"/>
          </w:tcPr>
          <w:p w14:paraId="07C2206A">
            <w:pPr>
              <w:autoSpaceDE w:val="0"/>
              <w:autoSpaceDN w:val="0"/>
              <w:adjustRightInd w:val="0"/>
              <w:spacing w:line="240" w:lineRule="auto"/>
              <w:jc w:val="center"/>
              <w:outlineLvl w:val="9"/>
              <w:rPr>
                <w:rFonts w:hint="eastAsia" w:ascii="仿宋" w:hAnsi="仿宋" w:eastAsia="仿宋" w:cs="仿宋"/>
                <w:color w:val="000000"/>
                <w:sz w:val="20"/>
                <w:szCs w:val="20"/>
              </w:rPr>
            </w:pPr>
          </w:p>
        </w:tc>
      </w:tr>
      <w:tr w14:paraId="0633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48" w:type="pct"/>
            <w:vAlign w:val="center"/>
          </w:tcPr>
          <w:p w14:paraId="2384B52C">
            <w:pPr>
              <w:autoSpaceDE w:val="0"/>
              <w:autoSpaceDN w:val="0"/>
              <w:adjustRightInd w:val="0"/>
              <w:spacing w:line="240" w:lineRule="auto"/>
              <w:jc w:val="center"/>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备份服务</w:t>
            </w:r>
          </w:p>
        </w:tc>
        <w:tc>
          <w:tcPr>
            <w:tcW w:w="3334" w:type="pct"/>
            <w:vAlign w:val="center"/>
          </w:tcPr>
          <w:p w14:paraId="7B9CD8D4">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1、支持一对一、一对多以及多对一等多种异地灾备，最大限度满足多分支机构的异地数据灾备需求；</w:t>
            </w:r>
          </w:p>
          <w:p w14:paraId="068D35E0">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2、虚拟机备份：采用无代理方式实现对虚拟平台的虚拟机备份（提供软件功能截图证明材料）；</w:t>
            </w:r>
          </w:p>
          <w:p w14:paraId="4F4EFB6D">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3、支持VMware的块改变（CBT）跟踪功能,而且能够实现VMware虚拟机的CBT备份（提供软件功能截图证明材料）；</w:t>
            </w:r>
          </w:p>
          <w:p w14:paraId="4930F37C">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4、支持瞬时恢复, 能够从生产中心和容灾中心的备份文件快速启动虚拟机用于生产，而无需将备份文件先恢复到生产存储。</w:t>
            </w:r>
          </w:p>
          <w:p w14:paraId="518E13EB">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5、支持自动验证，支持批量设置，支持在隔离环境内执行虚拟机快速演练和验证。（提供软件功能截图证明材料）；</w:t>
            </w:r>
          </w:p>
          <w:p w14:paraId="4A1CD5DC">
            <w:pPr>
              <w:autoSpaceDE w:val="0"/>
              <w:autoSpaceDN w:val="0"/>
              <w:adjustRightInd w:val="0"/>
              <w:spacing w:line="240" w:lineRule="auto"/>
              <w:outlineLvl w:val="9"/>
              <w:rPr>
                <w:rFonts w:hint="eastAsia" w:ascii="仿宋" w:hAnsi="仿宋" w:eastAsia="仿宋" w:cs="仿宋"/>
                <w:color w:val="000000"/>
                <w:sz w:val="20"/>
                <w:szCs w:val="20"/>
              </w:rPr>
            </w:pPr>
            <w:r>
              <w:rPr>
                <w:rFonts w:hint="eastAsia" w:ascii="仿宋" w:hAnsi="仿宋" w:eastAsia="仿宋" w:cs="仿宋"/>
                <w:color w:val="000000"/>
                <w:sz w:val="20"/>
                <w:szCs w:val="20"/>
              </w:rPr>
              <w:t>6、支持自动验证，支持批量设置，支持在隔离环境内执行虚拟机快速演练和验证（提供软件功能截图证明材料）；</w:t>
            </w:r>
          </w:p>
        </w:tc>
        <w:tc>
          <w:tcPr>
            <w:tcW w:w="417" w:type="pct"/>
            <w:vAlign w:val="center"/>
          </w:tcPr>
          <w:p w14:paraId="6257C1BC">
            <w:pPr>
              <w:autoSpaceDE w:val="0"/>
              <w:autoSpaceDN w:val="0"/>
              <w:adjustRightInd w:val="0"/>
              <w:spacing w:line="240" w:lineRule="auto"/>
              <w:jc w:val="center"/>
              <w:outlineLvl w:val="9"/>
              <w:rPr>
                <w:rFonts w:hint="eastAsia" w:ascii="仿宋" w:hAnsi="仿宋" w:eastAsia="仿宋" w:cs="仿宋"/>
                <w:color w:val="000000"/>
                <w:sz w:val="20"/>
                <w:szCs w:val="20"/>
              </w:rPr>
            </w:pPr>
          </w:p>
        </w:tc>
      </w:tr>
    </w:tbl>
    <w:p w14:paraId="6F9E28E6">
      <w:pPr>
        <w:keepNext w:val="0"/>
        <w:keepLines w:val="0"/>
        <w:pageBreakBefore w:val="0"/>
        <w:widowControl w:val="0"/>
        <w:kinsoku/>
        <w:wordWrap/>
        <w:overflowPunct/>
        <w:topLinePunct w:val="0"/>
        <w:autoSpaceDE/>
        <w:autoSpaceDN/>
        <w:bidi w:val="0"/>
        <w:adjustRightInd/>
        <w:snapToGrid/>
        <w:spacing w:before="120" w:after="120" w:line="240" w:lineRule="auto"/>
        <w:ind w:firstLine="400" w:firstLineChars="200"/>
        <w:textAlignment w:val="auto"/>
        <w:outlineLvl w:val="9"/>
        <w:rPr>
          <w:rFonts w:hint="eastAsia" w:ascii="仿宋" w:hAnsi="仿宋" w:eastAsia="仿宋" w:cs="仿宋"/>
          <w:sz w:val="20"/>
          <w:szCs w:val="20"/>
        </w:rPr>
      </w:pPr>
      <w:r>
        <w:rPr>
          <w:rFonts w:hint="eastAsia" w:ascii="仿宋" w:hAnsi="仿宋" w:eastAsia="仿宋" w:cs="仿宋"/>
          <w:sz w:val="20"/>
          <w:szCs w:val="20"/>
          <w:lang w:val="en-US" w:eastAsia="zh-CN"/>
        </w:rPr>
        <w:t>四、</w:t>
      </w:r>
      <w:r>
        <w:rPr>
          <w:rFonts w:hint="eastAsia" w:ascii="仿宋" w:hAnsi="仿宋" w:eastAsia="仿宋" w:cs="仿宋"/>
          <w:sz w:val="20"/>
          <w:szCs w:val="20"/>
        </w:rPr>
        <w:t>网络安全服务要求</w:t>
      </w:r>
    </w:p>
    <w:tbl>
      <w:tblPr>
        <w:tblStyle w:val="8"/>
        <w:tblW w:w="5000" w:type="pct"/>
        <w:tblInd w:w="0" w:type="dxa"/>
        <w:tblLayout w:type="autofit"/>
        <w:tblCellMar>
          <w:top w:w="0" w:type="dxa"/>
          <w:left w:w="108" w:type="dxa"/>
          <w:bottom w:w="0" w:type="dxa"/>
          <w:right w:w="108" w:type="dxa"/>
        </w:tblCellMar>
      </w:tblPr>
      <w:tblGrid>
        <w:gridCol w:w="719"/>
        <w:gridCol w:w="787"/>
        <w:gridCol w:w="5478"/>
        <w:gridCol w:w="811"/>
        <w:gridCol w:w="727"/>
      </w:tblGrid>
      <w:tr w14:paraId="29045790">
        <w:tblPrEx>
          <w:tblCellMar>
            <w:top w:w="0" w:type="dxa"/>
            <w:left w:w="108" w:type="dxa"/>
            <w:bottom w:w="0" w:type="dxa"/>
            <w:right w:w="108" w:type="dxa"/>
          </w:tblCellMar>
        </w:tblPrEx>
        <w:trPr>
          <w:trHeight w:val="391" w:hRule="atLeast"/>
        </w:trPr>
        <w:tc>
          <w:tcPr>
            <w:tcW w:w="422" w:type="pct"/>
            <w:tcBorders>
              <w:top w:val="single" w:color="auto" w:sz="4" w:space="0"/>
              <w:left w:val="single" w:color="auto" w:sz="4" w:space="0"/>
              <w:bottom w:val="single" w:color="auto" w:sz="4" w:space="0"/>
              <w:right w:val="single" w:color="auto" w:sz="4" w:space="0"/>
            </w:tcBorders>
            <w:shd w:val="clear" w:color="000000" w:fill="auto"/>
            <w:vAlign w:val="center"/>
          </w:tcPr>
          <w:p w14:paraId="7FA30A18">
            <w:pPr>
              <w:spacing w:line="240" w:lineRule="auto"/>
              <w:jc w:val="center"/>
              <w:outlineLvl w:val="9"/>
              <w:rPr>
                <w:rFonts w:hint="eastAsia" w:ascii="仿宋" w:hAnsi="仿宋" w:eastAsia="仿宋" w:cs="仿宋"/>
                <w:b w:val="0"/>
                <w:bCs w:val="0"/>
                <w:sz w:val="20"/>
                <w:szCs w:val="20"/>
              </w:rPr>
            </w:pPr>
            <w:r>
              <w:rPr>
                <w:rFonts w:hint="eastAsia" w:ascii="仿宋" w:hAnsi="仿宋" w:eastAsia="仿宋" w:cs="仿宋"/>
                <w:b w:val="0"/>
                <w:bCs w:val="0"/>
                <w:sz w:val="20"/>
                <w:szCs w:val="20"/>
              </w:rPr>
              <w:t>序号</w:t>
            </w:r>
          </w:p>
        </w:tc>
        <w:tc>
          <w:tcPr>
            <w:tcW w:w="462" w:type="pct"/>
            <w:tcBorders>
              <w:top w:val="single" w:color="auto" w:sz="4" w:space="0"/>
              <w:left w:val="nil"/>
              <w:bottom w:val="single" w:color="auto" w:sz="4" w:space="0"/>
              <w:right w:val="single" w:color="auto" w:sz="4" w:space="0"/>
            </w:tcBorders>
            <w:shd w:val="clear" w:color="000000" w:fill="auto"/>
            <w:vAlign w:val="center"/>
          </w:tcPr>
          <w:p w14:paraId="349D0AF6">
            <w:pPr>
              <w:spacing w:line="240" w:lineRule="auto"/>
              <w:jc w:val="center"/>
              <w:outlineLvl w:val="9"/>
              <w:rPr>
                <w:rFonts w:hint="eastAsia" w:ascii="仿宋" w:hAnsi="仿宋" w:eastAsia="仿宋" w:cs="仿宋"/>
                <w:b w:val="0"/>
                <w:bCs w:val="0"/>
                <w:sz w:val="20"/>
                <w:szCs w:val="20"/>
              </w:rPr>
            </w:pPr>
            <w:r>
              <w:rPr>
                <w:rFonts w:hint="eastAsia" w:ascii="仿宋" w:hAnsi="仿宋" w:eastAsia="仿宋" w:cs="仿宋"/>
                <w:b w:val="0"/>
                <w:bCs w:val="0"/>
                <w:sz w:val="20"/>
                <w:szCs w:val="20"/>
              </w:rPr>
              <w:t>名称</w:t>
            </w:r>
          </w:p>
        </w:tc>
        <w:tc>
          <w:tcPr>
            <w:tcW w:w="3214" w:type="pct"/>
            <w:tcBorders>
              <w:top w:val="single" w:color="auto" w:sz="4" w:space="0"/>
              <w:left w:val="nil"/>
              <w:bottom w:val="single" w:color="auto" w:sz="4" w:space="0"/>
              <w:right w:val="single" w:color="auto" w:sz="4" w:space="0"/>
            </w:tcBorders>
            <w:shd w:val="clear" w:color="000000" w:fill="auto"/>
            <w:vAlign w:val="center"/>
          </w:tcPr>
          <w:p w14:paraId="01A5038C">
            <w:pPr>
              <w:spacing w:line="240" w:lineRule="auto"/>
              <w:jc w:val="center"/>
              <w:outlineLvl w:val="9"/>
              <w:rPr>
                <w:rFonts w:hint="eastAsia" w:ascii="仿宋" w:hAnsi="仿宋" w:eastAsia="仿宋" w:cs="仿宋"/>
                <w:b w:val="0"/>
                <w:bCs w:val="0"/>
                <w:sz w:val="20"/>
                <w:szCs w:val="20"/>
              </w:rPr>
            </w:pPr>
            <w:r>
              <w:rPr>
                <w:rFonts w:hint="eastAsia" w:ascii="仿宋" w:hAnsi="仿宋" w:eastAsia="仿宋" w:cs="仿宋"/>
                <w:b w:val="0"/>
                <w:bCs w:val="0"/>
                <w:sz w:val="20"/>
                <w:szCs w:val="20"/>
              </w:rPr>
              <w:t>技术要求</w:t>
            </w:r>
          </w:p>
        </w:tc>
        <w:tc>
          <w:tcPr>
            <w:tcW w:w="476" w:type="pct"/>
            <w:tcBorders>
              <w:top w:val="single" w:color="auto" w:sz="4" w:space="0"/>
              <w:left w:val="nil"/>
              <w:bottom w:val="single" w:color="auto" w:sz="4" w:space="0"/>
              <w:right w:val="single" w:color="auto" w:sz="4" w:space="0"/>
            </w:tcBorders>
            <w:shd w:val="clear" w:color="000000" w:fill="auto"/>
            <w:vAlign w:val="center"/>
          </w:tcPr>
          <w:p w14:paraId="122145E8">
            <w:pPr>
              <w:spacing w:line="240" w:lineRule="auto"/>
              <w:jc w:val="center"/>
              <w:outlineLvl w:val="9"/>
              <w:rPr>
                <w:rFonts w:hint="eastAsia" w:ascii="仿宋" w:hAnsi="仿宋" w:eastAsia="仿宋" w:cs="仿宋"/>
                <w:b w:val="0"/>
                <w:bCs w:val="0"/>
                <w:sz w:val="20"/>
                <w:szCs w:val="20"/>
              </w:rPr>
            </w:pPr>
            <w:r>
              <w:rPr>
                <w:rFonts w:hint="eastAsia" w:ascii="仿宋" w:hAnsi="仿宋" w:eastAsia="仿宋" w:cs="仿宋"/>
                <w:b w:val="0"/>
                <w:bCs w:val="0"/>
                <w:sz w:val="20"/>
                <w:szCs w:val="20"/>
              </w:rPr>
              <w:t>单位</w:t>
            </w:r>
          </w:p>
        </w:tc>
        <w:tc>
          <w:tcPr>
            <w:tcW w:w="426" w:type="pct"/>
            <w:tcBorders>
              <w:top w:val="single" w:color="auto" w:sz="4" w:space="0"/>
              <w:left w:val="nil"/>
              <w:bottom w:val="single" w:color="auto" w:sz="4" w:space="0"/>
              <w:right w:val="single" w:color="auto" w:sz="4" w:space="0"/>
            </w:tcBorders>
            <w:shd w:val="clear" w:color="000000" w:fill="auto"/>
            <w:vAlign w:val="center"/>
          </w:tcPr>
          <w:p w14:paraId="25DF2949">
            <w:pPr>
              <w:spacing w:line="240" w:lineRule="auto"/>
              <w:jc w:val="center"/>
              <w:outlineLvl w:val="9"/>
              <w:rPr>
                <w:rFonts w:hint="eastAsia" w:ascii="仿宋" w:hAnsi="仿宋" w:eastAsia="仿宋" w:cs="仿宋"/>
                <w:b w:val="0"/>
                <w:bCs w:val="0"/>
                <w:sz w:val="20"/>
                <w:szCs w:val="20"/>
              </w:rPr>
            </w:pPr>
            <w:r>
              <w:rPr>
                <w:rFonts w:hint="eastAsia" w:ascii="仿宋" w:hAnsi="仿宋" w:eastAsia="仿宋" w:cs="仿宋"/>
                <w:b w:val="0"/>
                <w:bCs w:val="0"/>
                <w:sz w:val="20"/>
                <w:szCs w:val="20"/>
              </w:rPr>
              <w:t>数量</w:t>
            </w:r>
          </w:p>
        </w:tc>
      </w:tr>
      <w:tr w14:paraId="4C69BCA4">
        <w:tblPrEx>
          <w:tblCellMar>
            <w:top w:w="0" w:type="dxa"/>
            <w:left w:w="108" w:type="dxa"/>
            <w:bottom w:w="0" w:type="dxa"/>
            <w:right w:w="108" w:type="dxa"/>
          </w:tblCellMar>
        </w:tblPrEx>
        <w:trPr>
          <w:trHeight w:val="2060" w:hRule="atLeast"/>
        </w:trPr>
        <w:tc>
          <w:tcPr>
            <w:tcW w:w="422" w:type="pct"/>
            <w:tcBorders>
              <w:top w:val="nil"/>
              <w:left w:val="single" w:color="auto" w:sz="4" w:space="0"/>
              <w:bottom w:val="single" w:color="auto" w:sz="4" w:space="0"/>
              <w:right w:val="nil"/>
            </w:tcBorders>
            <w:shd w:val="clear" w:color="auto" w:fill="auto"/>
            <w:vAlign w:val="center"/>
          </w:tcPr>
          <w:p w14:paraId="6CCF5D55">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c>
          <w:tcPr>
            <w:tcW w:w="462" w:type="pct"/>
            <w:tcBorders>
              <w:top w:val="nil"/>
              <w:left w:val="single" w:color="auto" w:sz="4" w:space="0"/>
              <w:bottom w:val="single" w:color="auto" w:sz="4" w:space="0"/>
              <w:right w:val="single" w:color="auto" w:sz="4" w:space="0"/>
            </w:tcBorders>
            <w:shd w:val="clear" w:color="auto" w:fill="auto"/>
            <w:vAlign w:val="center"/>
          </w:tcPr>
          <w:p w14:paraId="0C7F3469">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边界防护服务</w:t>
            </w:r>
          </w:p>
        </w:tc>
        <w:tc>
          <w:tcPr>
            <w:tcW w:w="3214" w:type="pct"/>
            <w:tcBorders>
              <w:top w:val="nil"/>
              <w:left w:val="nil"/>
              <w:bottom w:val="single" w:color="auto" w:sz="4" w:space="0"/>
              <w:right w:val="single" w:color="auto" w:sz="4" w:space="0"/>
            </w:tcBorders>
            <w:shd w:val="clear" w:color="auto" w:fill="auto"/>
            <w:vAlign w:val="center"/>
          </w:tcPr>
          <w:p w14:paraId="212E165C">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1.提供业务网络安全防护能力，支持万兆链路，吞吐不少于20Gpbs，</w:t>
            </w:r>
            <w:r>
              <w:rPr>
                <w:rFonts w:hint="eastAsia" w:ascii="仿宋" w:hAnsi="仿宋" w:eastAsia="仿宋" w:cs="仿宋"/>
                <w:sz w:val="20"/>
                <w:szCs w:val="20"/>
              </w:rPr>
              <w:br w:type="textWrapping"/>
            </w:r>
            <w:r>
              <w:rPr>
                <w:rFonts w:hint="eastAsia" w:ascii="仿宋" w:hAnsi="仿宋" w:eastAsia="仿宋" w:cs="仿宋"/>
                <w:sz w:val="20"/>
                <w:szCs w:val="20"/>
              </w:rPr>
              <w:t>2.提供静态路由、RIP、RIPng、OSPFv2、OSPFv3、BGP、ISP路由；支持源NAT、目的NAT、静态NAT，支持一对一、一对多和多对多等形式的NAT。</w:t>
            </w:r>
            <w:r>
              <w:rPr>
                <w:rFonts w:hint="eastAsia" w:ascii="仿宋" w:hAnsi="仿宋" w:eastAsia="仿宋" w:cs="仿宋"/>
                <w:sz w:val="20"/>
                <w:szCs w:val="20"/>
              </w:rPr>
              <w:br w:type="textWrapping"/>
            </w:r>
            <w:r>
              <w:rPr>
                <w:rFonts w:hint="eastAsia" w:ascii="仿宋" w:hAnsi="仿宋" w:eastAsia="仿宋" w:cs="仿宋"/>
                <w:sz w:val="20"/>
                <w:szCs w:val="20"/>
              </w:rPr>
              <w:t>3.支持根据规则序号、规则名、源地址、目的地址、服务、认证用户、认证用户组、所属策略组、备注进行规则查询</w:t>
            </w:r>
          </w:p>
        </w:tc>
        <w:tc>
          <w:tcPr>
            <w:tcW w:w="476" w:type="pct"/>
            <w:tcBorders>
              <w:top w:val="nil"/>
              <w:left w:val="nil"/>
              <w:bottom w:val="single" w:color="auto" w:sz="4" w:space="0"/>
              <w:right w:val="single" w:color="auto" w:sz="4" w:space="0"/>
            </w:tcBorders>
            <w:shd w:val="clear" w:color="auto" w:fill="auto"/>
            <w:vAlign w:val="center"/>
          </w:tcPr>
          <w:p w14:paraId="2A69647A">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4C2389C3">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1DC5566D">
        <w:tblPrEx>
          <w:tblCellMar>
            <w:top w:w="0" w:type="dxa"/>
            <w:left w:w="108" w:type="dxa"/>
            <w:bottom w:w="0" w:type="dxa"/>
            <w:right w:w="108" w:type="dxa"/>
          </w:tblCellMar>
        </w:tblPrEx>
        <w:trPr>
          <w:trHeight w:val="800" w:hRule="atLeast"/>
        </w:trPr>
        <w:tc>
          <w:tcPr>
            <w:tcW w:w="422" w:type="pct"/>
            <w:tcBorders>
              <w:top w:val="nil"/>
              <w:left w:val="single" w:color="auto" w:sz="4" w:space="0"/>
              <w:bottom w:val="single" w:color="auto" w:sz="4" w:space="0"/>
              <w:right w:val="nil"/>
            </w:tcBorders>
            <w:shd w:val="clear" w:color="auto" w:fill="auto"/>
            <w:vAlign w:val="center"/>
          </w:tcPr>
          <w:p w14:paraId="3A3A61BD">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2</w:t>
            </w:r>
          </w:p>
        </w:tc>
        <w:tc>
          <w:tcPr>
            <w:tcW w:w="462" w:type="pct"/>
            <w:tcBorders>
              <w:top w:val="nil"/>
              <w:left w:val="single" w:color="auto" w:sz="4" w:space="0"/>
              <w:bottom w:val="single" w:color="auto" w:sz="4" w:space="0"/>
              <w:right w:val="single" w:color="auto" w:sz="4" w:space="0"/>
            </w:tcBorders>
            <w:shd w:val="clear" w:color="auto" w:fill="auto"/>
            <w:vAlign w:val="center"/>
          </w:tcPr>
          <w:p w14:paraId="11476E45">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远程接入服务</w:t>
            </w:r>
          </w:p>
        </w:tc>
        <w:tc>
          <w:tcPr>
            <w:tcW w:w="3214" w:type="pct"/>
            <w:tcBorders>
              <w:top w:val="nil"/>
              <w:left w:val="nil"/>
              <w:bottom w:val="single" w:color="auto" w:sz="4" w:space="0"/>
              <w:right w:val="single" w:color="auto" w:sz="4" w:space="0"/>
            </w:tcBorders>
            <w:shd w:val="clear" w:color="auto" w:fill="auto"/>
            <w:vAlign w:val="center"/>
          </w:tcPr>
          <w:p w14:paraId="333937FD">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提供远程VPN服务访问，提供IPSec VPN、SSL VPN功能，VPN用户授权数无限制，提供功能截图证明，并加盖原厂公章。</w:t>
            </w:r>
          </w:p>
        </w:tc>
        <w:tc>
          <w:tcPr>
            <w:tcW w:w="476" w:type="pct"/>
            <w:tcBorders>
              <w:top w:val="nil"/>
              <w:left w:val="nil"/>
              <w:bottom w:val="single" w:color="auto" w:sz="4" w:space="0"/>
              <w:right w:val="single" w:color="auto" w:sz="4" w:space="0"/>
            </w:tcBorders>
            <w:shd w:val="clear" w:color="auto" w:fill="auto"/>
            <w:vAlign w:val="center"/>
          </w:tcPr>
          <w:p w14:paraId="449C2FAE">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5E1DF170">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2557974C">
        <w:tblPrEx>
          <w:tblCellMar>
            <w:top w:w="0" w:type="dxa"/>
            <w:left w:w="108" w:type="dxa"/>
            <w:bottom w:w="0" w:type="dxa"/>
            <w:right w:w="108" w:type="dxa"/>
          </w:tblCellMar>
        </w:tblPrEx>
        <w:trPr>
          <w:trHeight w:val="1140" w:hRule="atLeast"/>
        </w:trPr>
        <w:tc>
          <w:tcPr>
            <w:tcW w:w="422" w:type="pct"/>
            <w:tcBorders>
              <w:top w:val="nil"/>
              <w:left w:val="single" w:color="auto" w:sz="4" w:space="0"/>
              <w:bottom w:val="single" w:color="auto" w:sz="4" w:space="0"/>
              <w:right w:val="nil"/>
            </w:tcBorders>
            <w:shd w:val="clear" w:color="auto" w:fill="auto"/>
            <w:vAlign w:val="center"/>
          </w:tcPr>
          <w:p w14:paraId="312C216B">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3</w:t>
            </w:r>
          </w:p>
        </w:tc>
        <w:tc>
          <w:tcPr>
            <w:tcW w:w="462" w:type="pct"/>
            <w:tcBorders>
              <w:top w:val="nil"/>
              <w:left w:val="single" w:color="auto" w:sz="4" w:space="0"/>
              <w:bottom w:val="single" w:color="auto" w:sz="4" w:space="0"/>
              <w:right w:val="single" w:color="auto" w:sz="4" w:space="0"/>
            </w:tcBorders>
            <w:shd w:val="clear" w:color="auto" w:fill="auto"/>
            <w:vAlign w:val="center"/>
          </w:tcPr>
          <w:p w14:paraId="550A3510">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防病毒服务</w:t>
            </w:r>
          </w:p>
        </w:tc>
        <w:tc>
          <w:tcPr>
            <w:tcW w:w="3214" w:type="pct"/>
            <w:tcBorders>
              <w:top w:val="nil"/>
              <w:left w:val="nil"/>
              <w:bottom w:val="single" w:color="auto" w:sz="4" w:space="0"/>
              <w:right w:val="single" w:color="auto" w:sz="4" w:space="0"/>
            </w:tcBorders>
            <w:shd w:val="clear" w:color="auto" w:fill="auto"/>
            <w:vAlign w:val="center"/>
          </w:tcPr>
          <w:p w14:paraId="1F9C4DD8">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提供防病毒服务，提供基于特征库的病毒查杀功能；采用自有知识产权的病毒防护引擎（提供相关专利证明）；杀毒强度可控，支持快速扫描、全面扫描模式，通过三年病毒库升级服务</w:t>
            </w:r>
          </w:p>
        </w:tc>
        <w:tc>
          <w:tcPr>
            <w:tcW w:w="476" w:type="pct"/>
            <w:tcBorders>
              <w:top w:val="nil"/>
              <w:left w:val="nil"/>
              <w:bottom w:val="single" w:color="auto" w:sz="4" w:space="0"/>
              <w:right w:val="single" w:color="auto" w:sz="4" w:space="0"/>
            </w:tcBorders>
            <w:shd w:val="clear" w:color="auto" w:fill="auto"/>
            <w:vAlign w:val="center"/>
          </w:tcPr>
          <w:p w14:paraId="105E8B40">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2C525622">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055C06EE">
        <w:tblPrEx>
          <w:tblCellMar>
            <w:top w:w="0" w:type="dxa"/>
            <w:left w:w="108" w:type="dxa"/>
            <w:bottom w:w="0" w:type="dxa"/>
            <w:right w:w="108" w:type="dxa"/>
          </w:tblCellMar>
        </w:tblPrEx>
        <w:trPr>
          <w:trHeight w:val="3080" w:hRule="atLeast"/>
        </w:trPr>
        <w:tc>
          <w:tcPr>
            <w:tcW w:w="422" w:type="pct"/>
            <w:tcBorders>
              <w:top w:val="nil"/>
              <w:left w:val="single" w:color="auto" w:sz="4" w:space="0"/>
              <w:bottom w:val="single" w:color="auto" w:sz="4" w:space="0"/>
              <w:right w:val="nil"/>
            </w:tcBorders>
            <w:shd w:val="clear" w:color="auto" w:fill="auto"/>
            <w:vAlign w:val="center"/>
          </w:tcPr>
          <w:p w14:paraId="7E6F9DD5">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4</w:t>
            </w:r>
          </w:p>
        </w:tc>
        <w:tc>
          <w:tcPr>
            <w:tcW w:w="462" w:type="pct"/>
            <w:tcBorders>
              <w:top w:val="nil"/>
              <w:left w:val="single" w:color="auto" w:sz="4" w:space="0"/>
              <w:bottom w:val="single" w:color="auto" w:sz="4" w:space="0"/>
              <w:right w:val="single" w:color="auto" w:sz="4" w:space="0"/>
            </w:tcBorders>
            <w:shd w:val="clear" w:color="auto" w:fill="auto"/>
            <w:vAlign w:val="center"/>
          </w:tcPr>
          <w:p w14:paraId="0BC5D0C1">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入侵防御服务</w:t>
            </w:r>
          </w:p>
        </w:tc>
        <w:tc>
          <w:tcPr>
            <w:tcW w:w="3214" w:type="pct"/>
            <w:tcBorders>
              <w:top w:val="nil"/>
              <w:left w:val="nil"/>
              <w:bottom w:val="single" w:color="auto" w:sz="4" w:space="0"/>
              <w:right w:val="single" w:color="auto" w:sz="4" w:space="0"/>
            </w:tcBorders>
            <w:shd w:val="clear" w:color="auto" w:fill="auto"/>
            <w:vAlign w:val="center"/>
          </w:tcPr>
          <w:p w14:paraId="7299BBA9">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1.提供入侵防御服务，提供基于策略的入侵检测与防护，可针对不同的源目IP地址、源MAC地址、服务、时间、安全域、用户等，采用不同的入侵防护策略。提供三年入侵防御特征库升级服务。</w:t>
            </w:r>
            <w:r>
              <w:rPr>
                <w:rFonts w:hint="eastAsia" w:ascii="仿宋" w:hAnsi="仿宋" w:eastAsia="仿宋" w:cs="仿宋"/>
                <w:sz w:val="20"/>
                <w:szCs w:val="20"/>
              </w:rPr>
              <w:br w:type="textWrapping"/>
            </w:r>
            <w:r>
              <w:rPr>
                <w:rFonts w:hint="eastAsia" w:ascii="仿宋" w:hAnsi="仿宋" w:eastAsia="仿宋" w:cs="仿宋"/>
                <w:sz w:val="20"/>
                <w:szCs w:val="20"/>
              </w:rPr>
              <w:t xml:space="preserve">2.提供IPS特征库，特征规则数量不少于9500条，特征库可按分组进行管理（截图证明），连续10条以上特征库数量（截图证明,截图必须可明确显示特征库数量）。支持扩展特征库，提高IPS的检测能力。（截图证明）。    </w:t>
            </w:r>
            <w:r>
              <w:rPr>
                <w:rFonts w:hint="eastAsia" w:ascii="仿宋" w:hAnsi="仿宋" w:eastAsia="仿宋" w:cs="仿宋"/>
                <w:sz w:val="20"/>
                <w:szCs w:val="20"/>
              </w:rPr>
              <w:br w:type="textWrapping"/>
            </w:r>
            <w:r>
              <w:rPr>
                <w:rFonts w:hint="eastAsia" w:ascii="仿宋" w:hAnsi="仿宋" w:eastAsia="仿宋" w:cs="仿宋"/>
                <w:sz w:val="20"/>
                <w:szCs w:val="20"/>
              </w:rPr>
              <w:t xml:space="preserve">3.产品厂商需具备强大的漏洞和攻防研究能力，为国家信息安全漏洞库CNNVD一级技术支撑单位，提供证明材料，并加盖原厂公章        </w:t>
            </w:r>
          </w:p>
        </w:tc>
        <w:tc>
          <w:tcPr>
            <w:tcW w:w="476" w:type="pct"/>
            <w:tcBorders>
              <w:top w:val="nil"/>
              <w:left w:val="nil"/>
              <w:bottom w:val="single" w:color="auto" w:sz="4" w:space="0"/>
              <w:right w:val="single" w:color="auto" w:sz="4" w:space="0"/>
            </w:tcBorders>
            <w:shd w:val="clear" w:color="auto" w:fill="auto"/>
            <w:vAlign w:val="center"/>
          </w:tcPr>
          <w:p w14:paraId="29DD88D6">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719D8466">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5DAD2C7D">
        <w:tblPrEx>
          <w:tblCellMar>
            <w:top w:w="0" w:type="dxa"/>
            <w:left w:w="108" w:type="dxa"/>
            <w:bottom w:w="0" w:type="dxa"/>
            <w:right w:w="108" w:type="dxa"/>
          </w:tblCellMar>
        </w:tblPrEx>
        <w:trPr>
          <w:trHeight w:val="1800" w:hRule="atLeast"/>
        </w:trPr>
        <w:tc>
          <w:tcPr>
            <w:tcW w:w="422" w:type="pct"/>
            <w:tcBorders>
              <w:top w:val="nil"/>
              <w:left w:val="single" w:color="auto" w:sz="4" w:space="0"/>
              <w:bottom w:val="single" w:color="auto" w:sz="4" w:space="0"/>
              <w:right w:val="nil"/>
            </w:tcBorders>
            <w:shd w:val="clear" w:color="auto" w:fill="auto"/>
            <w:vAlign w:val="center"/>
          </w:tcPr>
          <w:p w14:paraId="386E5705">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5</w:t>
            </w:r>
          </w:p>
        </w:tc>
        <w:tc>
          <w:tcPr>
            <w:tcW w:w="462" w:type="pct"/>
            <w:tcBorders>
              <w:top w:val="nil"/>
              <w:left w:val="single" w:color="auto" w:sz="4" w:space="0"/>
              <w:bottom w:val="single" w:color="auto" w:sz="4" w:space="0"/>
              <w:right w:val="single" w:color="auto" w:sz="4" w:space="0"/>
            </w:tcBorders>
            <w:shd w:val="clear" w:color="auto" w:fill="auto"/>
            <w:vAlign w:val="center"/>
          </w:tcPr>
          <w:p w14:paraId="32CCFD9D">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DDOS防御服务</w:t>
            </w:r>
          </w:p>
        </w:tc>
        <w:tc>
          <w:tcPr>
            <w:tcW w:w="3214" w:type="pct"/>
            <w:tcBorders>
              <w:top w:val="nil"/>
              <w:left w:val="nil"/>
              <w:bottom w:val="single" w:color="auto" w:sz="4" w:space="0"/>
              <w:right w:val="single" w:color="auto" w:sz="4" w:space="0"/>
            </w:tcBorders>
            <w:shd w:val="clear" w:color="auto" w:fill="auto"/>
            <w:vAlign w:val="center"/>
          </w:tcPr>
          <w:p w14:paraId="36C75FD5">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提供主流ICMPFLOOD\SYNFLOOD\ACKFLOOD\SYNACKFLOOD\UDPFLOOD攻击防护，采用专业高效攻击防护算法，非采用简单的阈值进行攻击防护（提供功能截图证明，并加盖原厂公章。</w:t>
            </w:r>
            <w:r>
              <w:rPr>
                <w:rFonts w:hint="eastAsia" w:ascii="仿宋" w:hAnsi="仿宋" w:eastAsia="仿宋" w:cs="仿宋"/>
                <w:sz w:val="20"/>
                <w:szCs w:val="20"/>
              </w:rPr>
              <w:br w:type="textWrapping"/>
            </w:r>
            <w:r>
              <w:rPr>
                <w:rFonts w:hint="eastAsia" w:ascii="仿宋" w:hAnsi="仿宋" w:eastAsia="仿宋" w:cs="仿宋"/>
                <w:sz w:val="20"/>
                <w:szCs w:val="20"/>
              </w:rPr>
              <w:t>提供抗地址欺骗攻击、抗源路由攻击、抗Smurf攻击、抗LAND攻击、抗Winnuke攻击、抗Queso扫描、抗SYN/FIN扫描、抗NULL扫描、抗圣诞树攻击、抗FIN扫描、抗Fraggle攻击</w:t>
            </w:r>
          </w:p>
        </w:tc>
        <w:tc>
          <w:tcPr>
            <w:tcW w:w="476" w:type="pct"/>
            <w:tcBorders>
              <w:top w:val="nil"/>
              <w:left w:val="nil"/>
              <w:bottom w:val="single" w:color="auto" w:sz="4" w:space="0"/>
              <w:right w:val="single" w:color="auto" w:sz="4" w:space="0"/>
            </w:tcBorders>
            <w:shd w:val="clear" w:color="auto" w:fill="auto"/>
            <w:vAlign w:val="center"/>
          </w:tcPr>
          <w:p w14:paraId="4F00E2EE">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7CF0EF7E">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0C4F317C">
        <w:tblPrEx>
          <w:tblCellMar>
            <w:top w:w="0" w:type="dxa"/>
            <w:left w:w="108" w:type="dxa"/>
            <w:bottom w:w="0" w:type="dxa"/>
            <w:right w:w="108" w:type="dxa"/>
          </w:tblCellMar>
        </w:tblPrEx>
        <w:trPr>
          <w:trHeight w:val="780" w:hRule="atLeast"/>
        </w:trPr>
        <w:tc>
          <w:tcPr>
            <w:tcW w:w="422" w:type="pct"/>
            <w:tcBorders>
              <w:top w:val="nil"/>
              <w:left w:val="single" w:color="auto" w:sz="4" w:space="0"/>
              <w:bottom w:val="single" w:color="auto" w:sz="4" w:space="0"/>
              <w:right w:val="nil"/>
            </w:tcBorders>
            <w:shd w:val="clear" w:color="auto" w:fill="auto"/>
            <w:vAlign w:val="center"/>
          </w:tcPr>
          <w:p w14:paraId="38B8949F">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6</w:t>
            </w:r>
          </w:p>
        </w:tc>
        <w:tc>
          <w:tcPr>
            <w:tcW w:w="462" w:type="pct"/>
            <w:tcBorders>
              <w:top w:val="nil"/>
              <w:left w:val="single" w:color="auto" w:sz="4" w:space="0"/>
              <w:bottom w:val="single" w:color="auto" w:sz="4" w:space="0"/>
              <w:right w:val="single" w:color="auto" w:sz="4" w:space="0"/>
            </w:tcBorders>
            <w:shd w:val="clear" w:color="auto" w:fill="auto"/>
            <w:vAlign w:val="center"/>
          </w:tcPr>
          <w:p w14:paraId="192A2513">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负载均衡服务</w:t>
            </w:r>
          </w:p>
        </w:tc>
        <w:tc>
          <w:tcPr>
            <w:tcW w:w="3214" w:type="pct"/>
            <w:tcBorders>
              <w:top w:val="nil"/>
              <w:left w:val="nil"/>
              <w:bottom w:val="single" w:color="auto" w:sz="4" w:space="0"/>
              <w:right w:val="single" w:color="auto" w:sz="4" w:space="0"/>
            </w:tcBorders>
            <w:shd w:val="clear" w:color="auto" w:fill="auto"/>
            <w:vAlign w:val="center"/>
          </w:tcPr>
          <w:p w14:paraId="3BB2FD25">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提供不少于两种方法主动探测服务器的存活状态，服务器负载均衡提供5种算法。</w:t>
            </w:r>
          </w:p>
        </w:tc>
        <w:tc>
          <w:tcPr>
            <w:tcW w:w="476" w:type="pct"/>
            <w:tcBorders>
              <w:top w:val="nil"/>
              <w:left w:val="nil"/>
              <w:bottom w:val="single" w:color="auto" w:sz="4" w:space="0"/>
              <w:right w:val="single" w:color="auto" w:sz="4" w:space="0"/>
            </w:tcBorders>
            <w:shd w:val="clear" w:color="auto" w:fill="auto"/>
            <w:vAlign w:val="center"/>
          </w:tcPr>
          <w:p w14:paraId="63B0A78B">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17A10409">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7F670F91">
        <w:tblPrEx>
          <w:tblCellMar>
            <w:top w:w="0" w:type="dxa"/>
            <w:left w:w="108" w:type="dxa"/>
            <w:bottom w:w="0" w:type="dxa"/>
            <w:right w:w="108" w:type="dxa"/>
          </w:tblCellMar>
        </w:tblPrEx>
        <w:trPr>
          <w:trHeight w:val="780" w:hRule="atLeast"/>
        </w:trPr>
        <w:tc>
          <w:tcPr>
            <w:tcW w:w="422" w:type="pct"/>
            <w:tcBorders>
              <w:top w:val="nil"/>
              <w:left w:val="single" w:color="auto" w:sz="4" w:space="0"/>
              <w:bottom w:val="single" w:color="auto" w:sz="4" w:space="0"/>
              <w:right w:val="nil"/>
            </w:tcBorders>
            <w:shd w:val="clear" w:color="auto" w:fill="auto"/>
            <w:vAlign w:val="center"/>
          </w:tcPr>
          <w:p w14:paraId="7B5DCE94">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7</w:t>
            </w:r>
          </w:p>
        </w:tc>
        <w:tc>
          <w:tcPr>
            <w:tcW w:w="462" w:type="pct"/>
            <w:tcBorders>
              <w:top w:val="nil"/>
              <w:left w:val="single" w:color="auto" w:sz="4" w:space="0"/>
              <w:bottom w:val="single" w:color="auto" w:sz="4" w:space="0"/>
              <w:right w:val="single" w:color="auto" w:sz="4" w:space="0"/>
            </w:tcBorders>
            <w:shd w:val="clear" w:color="auto" w:fill="auto"/>
            <w:vAlign w:val="center"/>
          </w:tcPr>
          <w:p w14:paraId="627C662E">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资产评估服务</w:t>
            </w:r>
          </w:p>
        </w:tc>
        <w:tc>
          <w:tcPr>
            <w:tcW w:w="3214" w:type="pct"/>
            <w:tcBorders>
              <w:top w:val="nil"/>
              <w:left w:val="nil"/>
              <w:bottom w:val="single" w:color="auto" w:sz="4" w:space="0"/>
              <w:right w:val="single" w:color="auto" w:sz="4" w:space="0"/>
            </w:tcBorders>
            <w:shd w:val="clear" w:color="auto" w:fill="auto"/>
            <w:vAlign w:val="center"/>
          </w:tcPr>
          <w:p w14:paraId="6513E5ED">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资产风险评估服务，提供全方位、多角度的风险趋势呈现。提供以曲线图形的方式呈现全网和核心资产的风险变化趋势。</w:t>
            </w:r>
          </w:p>
        </w:tc>
        <w:tc>
          <w:tcPr>
            <w:tcW w:w="476" w:type="pct"/>
            <w:tcBorders>
              <w:top w:val="nil"/>
              <w:left w:val="nil"/>
              <w:bottom w:val="single" w:color="auto" w:sz="4" w:space="0"/>
              <w:right w:val="single" w:color="auto" w:sz="4" w:space="0"/>
            </w:tcBorders>
            <w:shd w:val="clear" w:color="auto" w:fill="auto"/>
            <w:vAlign w:val="center"/>
          </w:tcPr>
          <w:p w14:paraId="2450E0C2">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4811973C">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3E8FE58B">
        <w:tblPrEx>
          <w:tblCellMar>
            <w:top w:w="0" w:type="dxa"/>
            <w:left w:w="108" w:type="dxa"/>
            <w:bottom w:w="0" w:type="dxa"/>
            <w:right w:w="108" w:type="dxa"/>
          </w:tblCellMar>
        </w:tblPrEx>
        <w:trPr>
          <w:trHeight w:val="780" w:hRule="atLeast"/>
        </w:trPr>
        <w:tc>
          <w:tcPr>
            <w:tcW w:w="422" w:type="pct"/>
            <w:tcBorders>
              <w:top w:val="nil"/>
              <w:left w:val="single" w:color="auto" w:sz="4" w:space="0"/>
              <w:bottom w:val="single" w:color="auto" w:sz="4" w:space="0"/>
              <w:right w:val="nil"/>
            </w:tcBorders>
            <w:shd w:val="clear" w:color="auto" w:fill="auto"/>
            <w:vAlign w:val="center"/>
          </w:tcPr>
          <w:p w14:paraId="57E07B22">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8</w:t>
            </w:r>
          </w:p>
        </w:tc>
        <w:tc>
          <w:tcPr>
            <w:tcW w:w="462" w:type="pct"/>
            <w:tcBorders>
              <w:top w:val="nil"/>
              <w:left w:val="single" w:color="auto" w:sz="4" w:space="0"/>
              <w:bottom w:val="single" w:color="auto" w:sz="4" w:space="0"/>
              <w:right w:val="single" w:color="auto" w:sz="4" w:space="0"/>
            </w:tcBorders>
            <w:shd w:val="clear" w:color="auto" w:fill="auto"/>
            <w:vAlign w:val="center"/>
          </w:tcPr>
          <w:p w14:paraId="0AF1CA99">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流量监控服务</w:t>
            </w:r>
          </w:p>
        </w:tc>
        <w:tc>
          <w:tcPr>
            <w:tcW w:w="3214" w:type="pct"/>
            <w:tcBorders>
              <w:top w:val="nil"/>
              <w:left w:val="nil"/>
              <w:bottom w:val="single" w:color="auto" w:sz="4" w:space="0"/>
              <w:right w:val="single" w:color="auto" w:sz="4" w:space="0"/>
            </w:tcBorders>
            <w:shd w:val="clear" w:color="auto" w:fill="auto"/>
            <w:vAlign w:val="center"/>
          </w:tcPr>
          <w:p w14:paraId="3A0AE727">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提供按照应用类型流量，URL分类流量统计，并独立显示TOP10的应用及所占比例，可按照应用和URL分类显示流量统计结果，并可通过统计结果向下钻取到组成流量的会话</w:t>
            </w:r>
          </w:p>
        </w:tc>
        <w:tc>
          <w:tcPr>
            <w:tcW w:w="476" w:type="pct"/>
            <w:tcBorders>
              <w:top w:val="nil"/>
              <w:left w:val="nil"/>
              <w:bottom w:val="single" w:color="auto" w:sz="4" w:space="0"/>
              <w:right w:val="single" w:color="auto" w:sz="4" w:space="0"/>
            </w:tcBorders>
            <w:shd w:val="clear" w:color="auto" w:fill="auto"/>
            <w:vAlign w:val="center"/>
          </w:tcPr>
          <w:p w14:paraId="41E3E48B">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54738627">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13E6051E">
        <w:tblPrEx>
          <w:tblCellMar>
            <w:top w:w="0" w:type="dxa"/>
            <w:left w:w="108" w:type="dxa"/>
            <w:bottom w:w="0" w:type="dxa"/>
            <w:right w:w="108" w:type="dxa"/>
          </w:tblCellMar>
        </w:tblPrEx>
        <w:trPr>
          <w:trHeight w:val="1500" w:hRule="atLeast"/>
        </w:trPr>
        <w:tc>
          <w:tcPr>
            <w:tcW w:w="422" w:type="pct"/>
            <w:tcBorders>
              <w:top w:val="nil"/>
              <w:left w:val="single" w:color="auto" w:sz="4" w:space="0"/>
              <w:bottom w:val="single" w:color="auto" w:sz="4" w:space="0"/>
              <w:right w:val="nil"/>
            </w:tcBorders>
            <w:shd w:val="clear" w:color="auto" w:fill="auto"/>
            <w:vAlign w:val="center"/>
          </w:tcPr>
          <w:p w14:paraId="3A6D0C41">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9</w:t>
            </w:r>
          </w:p>
        </w:tc>
        <w:tc>
          <w:tcPr>
            <w:tcW w:w="462" w:type="pct"/>
            <w:tcBorders>
              <w:top w:val="nil"/>
              <w:left w:val="single" w:color="auto" w:sz="4" w:space="0"/>
              <w:bottom w:val="single" w:color="auto" w:sz="4" w:space="0"/>
              <w:right w:val="single" w:color="auto" w:sz="4" w:space="0"/>
            </w:tcBorders>
            <w:shd w:val="clear" w:color="auto" w:fill="auto"/>
            <w:vAlign w:val="center"/>
          </w:tcPr>
          <w:p w14:paraId="0F5B16C4">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主动防御服务</w:t>
            </w:r>
          </w:p>
        </w:tc>
        <w:tc>
          <w:tcPr>
            <w:tcW w:w="3214" w:type="pct"/>
            <w:tcBorders>
              <w:top w:val="nil"/>
              <w:left w:val="nil"/>
              <w:bottom w:val="single" w:color="auto" w:sz="4" w:space="0"/>
              <w:right w:val="single" w:color="auto" w:sz="4" w:space="0"/>
            </w:tcBorders>
            <w:shd w:val="clear" w:color="auto" w:fill="auto"/>
            <w:vAlign w:val="center"/>
          </w:tcPr>
          <w:p w14:paraId="462BB6C8">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1.提供主动服务，主动防御功能，对服务器、主机进行后门、服务探测、文件共享、系统补丁、IE漏洞等主动式扫描。</w:t>
            </w:r>
            <w:r>
              <w:rPr>
                <w:rFonts w:hint="eastAsia" w:ascii="仿宋" w:hAnsi="仿宋" w:eastAsia="仿宋" w:cs="仿宋"/>
                <w:sz w:val="20"/>
                <w:szCs w:val="20"/>
              </w:rPr>
              <w:br w:type="textWrapping"/>
            </w:r>
            <w:r>
              <w:rPr>
                <w:rFonts w:hint="eastAsia" w:ascii="仿宋" w:hAnsi="仿宋" w:eastAsia="仿宋" w:cs="仿宋"/>
                <w:sz w:val="20"/>
                <w:szCs w:val="20"/>
              </w:rPr>
              <w:t>2.要求能主动屏蔽恶意地址，以用于提前免疫包括病毒网站或者攻击源地址的攻击</w:t>
            </w:r>
          </w:p>
        </w:tc>
        <w:tc>
          <w:tcPr>
            <w:tcW w:w="476" w:type="pct"/>
            <w:tcBorders>
              <w:top w:val="nil"/>
              <w:left w:val="nil"/>
              <w:bottom w:val="single" w:color="auto" w:sz="4" w:space="0"/>
              <w:right w:val="single" w:color="auto" w:sz="4" w:space="0"/>
            </w:tcBorders>
            <w:shd w:val="clear" w:color="auto" w:fill="auto"/>
            <w:vAlign w:val="center"/>
          </w:tcPr>
          <w:p w14:paraId="209B3EA4">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7CA37BA7">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733DB912">
        <w:tblPrEx>
          <w:tblCellMar>
            <w:top w:w="0" w:type="dxa"/>
            <w:left w:w="108" w:type="dxa"/>
            <w:bottom w:w="0" w:type="dxa"/>
            <w:right w:w="108" w:type="dxa"/>
          </w:tblCellMar>
        </w:tblPrEx>
        <w:trPr>
          <w:trHeight w:val="3420" w:hRule="atLeast"/>
        </w:trPr>
        <w:tc>
          <w:tcPr>
            <w:tcW w:w="422" w:type="pct"/>
            <w:tcBorders>
              <w:top w:val="nil"/>
              <w:left w:val="single" w:color="auto" w:sz="4" w:space="0"/>
              <w:bottom w:val="single" w:color="auto" w:sz="4" w:space="0"/>
              <w:right w:val="nil"/>
            </w:tcBorders>
            <w:shd w:val="clear" w:color="auto" w:fill="auto"/>
            <w:vAlign w:val="center"/>
          </w:tcPr>
          <w:p w14:paraId="48060530">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10</w:t>
            </w:r>
          </w:p>
        </w:tc>
        <w:tc>
          <w:tcPr>
            <w:tcW w:w="462" w:type="pct"/>
            <w:tcBorders>
              <w:top w:val="nil"/>
              <w:left w:val="single" w:color="auto" w:sz="4" w:space="0"/>
              <w:bottom w:val="single" w:color="auto" w:sz="4" w:space="0"/>
              <w:right w:val="single" w:color="auto" w:sz="4" w:space="0"/>
            </w:tcBorders>
            <w:shd w:val="clear" w:color="auto" w:fill="auto"/>
            <w:vAlign w:val="center"/>
          </w:tcPr>
          <w:p w14:paraId="7E907BF8">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杀毒软件服务</w:t>
            </w:r>
          </w:p>
        </w:tc>
        <w:tc>
          <w:tcPr>
            <w:tcW w:w="3214" w:type="pct"/>
            <w:tcBorders>
              <w:top w:val="nil"/>
              <w:left w:val="nil"/>
              <w:bottom w:val="single" w:color="auto" w:sz="4" w:space="0"/>
              <w:right w:val="single" w:color="auto" w:sz="4" w:space="0"/>
            </w:tcBorders>
            <w:shd w:val="clear" w:color="auto" w:fill="auto"/>
            <w:vAlign w:val="center"/>
          </w:tcPr>
          <w:p w14:paraId="4FE87922">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1.提供管理各版本客户端的能力，提供10+类资产管理能力；提供主机、数据库应用、WEB应用的漏洞和弱口令检测能力；提供基于等保、CIS规范要求实现基线检查能力；提供病毒木马、webshell、反弹shell、暴力破解、进程提权等入侵攻击的检测防护能力。</w:t>
            </w:r>
            <w:r>
              <w:rPr>
                <w:rFonts w:hint="eastAsia" w:ascii="仿宋" w:hAnsi="仿宋" w:eastAsia="仿宋" w:cs="仿宋"/>
                <w:sz w:val="20"/>
                <w:szCs w:val="20"/>
              </w:rPr>
              <w:br w:type="textWrapping"/>
            </w:r>
            <w:r>
              <w:rPr>
                <w:rFonts w:hint="eastAsia" w:ascii="仿宋" w:hAnsi="仿宋" w:eastAsia="仿宋" w:cs="仿宋"/>
                <w:sz w:val="20"/>
                <w:szCs w:val="20"/>
              </w:rPr>
              <w:t>2.提供24个客户端授权 ,提供自动生成命令方式安装，且客户端安装包自带租户信息，客户端安装完成主机自动加入对应租户下进行管理，无需管理员分配主机到租户。</w:t>
            </w:r>
            <w:r>
              <w:rPr>
                <w:rFonts w:hint="eastAsia" w:ascii="仿宋" w:hAnsi="仿宋" w:eastAsia="仿宋" w:cs="仿宋"/>
                <w:sz w:val="20"/>
                <w:szCs w:val="20"/>
              </w:rPr>
              <w:br w:type="textWrapping"/>
            </w:r>
            <w:r>
              <w:rPr>
                <w:rFonts w:hint="eastAsia" w:ascii="仿宋" w:hAnsi="仿宋" w:eastAsia="仿宋" w:cs="仿宋"/>
                <w:sz w:val="20"/>
                <w:szCs w:val="20"/>
              </w:rPr>
              <w:t>3.提供主机进程本地提权行为进行检测，检测结果告警提醒，以及可以查看；提供检测结果进行加白处置，并提供以EXCEL格式导出安全报表。提供功能截图证明，并加盖原厂公章。</w:t>
            </w:r>
          </w:p>
        </w:tc>
        <w:tc>
          <w:tcPr>
            <w:tcW w:w="476" w:type="pct"/>
            <w:tcBorders>
              <w:top w:val="nil"/>
              <w:left w:val="nil"/>
              <w:bottom w:val="single" w:color="auto" w:sz="4" w:space="0"/>
              <w:right w:val="single" w:color="auto" w:sz="4" w:space="0"/>
            </w:tcBorders>
            <w:shd w:val="clear" w:color="auto" w:fill="auto"/>
            <w:vAlign w:val="center"/>
          </w:tcPr>
          <w:p w14:paraId="656493BD">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795E3C11">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19D3747A">
        <w:tblPrEx>
          <w:tblCellMar>
            <w:top w:w="0" w:type="dxa"/>
            <w:left w:w="108" w:type="dxa"/>
            <w:bottom w:w="0" w:type="dxa"/>
            <w:right w:w="108" w:type="dxa"/>
          </w:tblCellMar>
        </w:tblPrEx>
        <w:trPr>
          <w:trHeight w:val="3000" w:hRule="atLeast"/>
        </w:trPr>
        <w:tc>
          <w:tcPr>
            <w:tcW w:w="422" w:type="pct"/>
            <w:tcBorders>
              <w:top w:val="nil"/>
              <w:left w:val="single" w:color="auto" w:sz="4" w:space="0"/>
              <w:bottom w:val="single" w:color="auto" w:sz="4" w:space="0"/>
              <w:right w:val="nil"/>
            </w:tcBorders>
            <w:shd w:val="clear" w:color="auto" w:fill="auto"/>
            <w:vAlign w:val="center"/>
          </w:tcPr>
          <w:p w14:paraId="51577B24">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11</w:t>
            </w:r>
          </w:p>
        </w:tc>
        <w:tc>
          <w:tcPr>
            <w:tcW w:w="462" w:type="pct"/>
            <w:tcBorders>
              <w:top w:val="nil"/>
              <w:left w:val="single" w:color="auto" w:sz="4" w:space="0"/>
              <w:bottom w:val="single" w:color="auto" w:sz="4" w:space="0"/>
              <w:right w:val="single" w:color="auto" w:sz="4" w:space="0"/>
            </w:tcBorders>
            <w:shd w:val="clear" w:color="auto" w:fill="auto"/>
            <w:vAlign w:val="center"/>
          </w:tcPr>
          <w:p w14:paraId="2EBA5E13">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日志审计服务</w:t>
            </w:r>
          </w:p>
        </w:tc>
        <w:tc>
          <w:tcPr>
            <w:tcW w:w="3214" w:type="pct"/>
            <w:tcBorders>
              <w:top w:val="nil"/>
              <w:left w:val="nil"/>
              <w:bottom w:val="single" w:color="auto" w:sz="4" w:space="0"/>
              <w:right w:val="single" w:color="auto" w:sz="4" w:space="0"/>
            </w:tcBorders>
            <w:shd w:val="clear" w:color="auto" w:fill="auto"/>
            <w:vAlign w:val="center"/>
          </w:tcPr>
          <w:p w14:paraId="2D95BEFB">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1.提供的系统有效存储容量不小于2TB，日志审计服务授权不小于30个，事件处理性能每秒≥2000条事件；提供对主流安全设备、网络设备、服务器、终端、数据库、中间件、大数据组件、应用系统等设备系统进行日志采集。</w:t>
            </w:r>
            <w:r>
              <w:rPr>
                <w:rFonts w:hint="eastAsia" w:ascii="仿宋" w:hAnsi="仿宋" w:eastAsia="仿宋" w:cs="仿宋"/>
                <w:sz w:val="20"/>
                <w:szCs w:val="20"/>
              </w:rPr>
              <w:br w:type="textWrapping"/>
            </w:r>
            <w:r>
              <w:rPr>
                <w:rFonts w:hint="eastAsia" w:ascii="仿宋" w:hAnsi="仿宋" w:eastAsia="仿宋" w:cs="仿宋"/>
                <w:sz w:val="20"/>
                <w:szCs w:val="20"/>
              </w:rPr>
              <w:t>2.提供SNMP Trap、Syslog、ODBC\JDBC、文件\文件夹、WMI、FTP、SFTP、SMB、NetBIOS、OPSEC等多种方式完成日志收集功能；必须提供截图和提供带有CMA、ilac-MRA、CNAS标志的检测报告，报告中必须体现该条测试内容。</w:t>
            </w:r>
          </w:p>
        </w:tc>
        <w:tc>
          <w:tcPr>
            <w:tcW w:w="476" w:type="pct"/>
            <w:tcBorders>
              <w:top w:val="nil"/>
              <w:left w:val="nil"/>
              <w:bottom w:val="single" w:color="auto" w:sz="4" w:space="0"/>
              <w:right w:val="single" w:color="auto" w:sz="4" w:space="0"/>
            </w:tcBorders>
            <w:shd w:val="clear" w:color="auto" w:fill="auto"/>
            <w:vAlign w:val="center"/>
          </w:tcPr>
          <w:p w14:paraId="7FBD55A5">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00271F0B">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47A6456A">
        <w:tblPrEx>
          <w:tblCellMar>
            <w:top w:w="0" w:type="dxa"/>
            <w:left w:w="108" w:type="dxa"/>
            <w:bottom w:w="0" w:type="dxa"/>
            <w:right w:w="108" w:type="dxa"/>
          </w:tblCellMar>
        </w:tblPrEx>
        <w:trPr>
          <w:trHeight w:val="1520" w:hRule="atLeast"/>
        </w:trPr>
        <w:tc>
          <w:tcPr>
            <w:tcW w:w="422" w:type="pct"/>
            <w:tcBorders>
              <w:top w:val="nil"/>
              <w:left w:val="single" w:color="auto" w:sz="4" w:space="0"/>
              <w:bottom w:val="single" w:color="auto" w:sz="4" w:space="0"/>
              <w:right w:val="nil"/>
            </w:tcBorders>
            <w:shd w:val="clear" w:color="auto" w:fill="auto"/>
            <w:vAlign w:val="center"/>
          </w:tcPr>
          <w:p w14:paraId="776AFD3E">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12</w:t>
            </w:r>
          </w:p>
        </w:tc>
        <w:tc>
          <w:tcPr>
            <w:tcW w:w="462" w:type="pct"/>
            <w:tcBorders>
              <w:top w:val="nil"/>
              <w:left w:val="single" w:color="auto" w:sz="4" w:space="0"/>
              <w:bottom w:val="single" w:color="auto" w:sz="4" w:space="0"/>
              <w:right w:val="single" w:color="auto" w:sz="4" w:space="0"/>
            </w:tcBorders>
            <w:shd w:val="clear" w:color="auto" w:fill="auto"/>
            <w:vAlign w:val="center"/>
          </w:tcPr>
          <w:p w14:paraId="3D045529">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智能范式化服务</w:t>
            </w:r>
          </w:p>
        </w:tc>
        <w:tc>
          <w:tcPr>
            <w:tcW w:w="3214" w:type="pct"/>
            <w:tcBorders>
              <w:top w:val="nil"/>
              <w:left w:val="nil"/>
              <w:bottom w:val="single" w:color="auto" w:sz="4" w:space="0"/>
              <w:right w:val="single" w:color="auto" w:sz="4" w:space="0"/>
            </w:tcBorders>
            <w:shd w:val="clear" w:color="auto" w:fill="auto"/>
            <w:vAlign w:val="center"/>
          </w:tcPr>
          <w:p w14:paraId="4108DD39">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提供全智能范式化解析模式，通过配置原始日志标识库，系统自动识别原始日志，并匹配映射系统通用标准字段，提供解析字段的编辑和调整，确保日志解析的高精准度；提供功能截图证明，并加盖原厂公章。</w:t>
            </w:r>
          </w:p>
        </w:tc>
        <w:tc>
          <w:tcPr>
            <w:tcW w:w="476" w:type="pct"/>
            <w:tcBorders>
              <w:top w:val="nil"/>
              <w:left w:val="nil"/>
              <w:bottom w:val="single" w:color="auto" w:sz="4" w:space="0"/>
              <w:right w:val="single" w:color="auto" w:sz="4" w:space="0"/>
            </w:tcBorders>
            <w:shd w:val="clear" w:color="auto" w:fill="auto"/>
            <w:vAlign w:val="center"/>
          </w:tcPr>
          <w:p w14:paraId="7DB119BC">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74644CE6">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1289BFD4">
        <w:tblPrEx>
          <w:tblCellMar>
            <w:top w:w="0" w:type="dxa"/>
            <w:left w:w="108" w:type="dxa"/>
            <w:bottom w:w="0" w:type="dxa"/>
            <w:right w:w="108" w:type="dxa"/>
          </w:tblCellMar>
        </w:tblPrEx>
        <w:trPr>
          <w:trHeight w:val="3140" w:hRule="atLeast"/>
        </w:trPr>
        <w:tc>
          <w:tcPr>
            <w:tcW w:w="422" w:type="pct"/>
            <w:tcBorders>
              <w:top w:val="nil"/>
              <w:left w:val="single" w:color="auto" w:sz="4" w:space="0"/>
              <w:bottom w:val="single" w:color="auto" w:sz="4" w:space="0"/>
              <w:right w:val="nil"/>
            </w:tcBorders>
            <w:shd w:val="clear" w:color="auto" w:fill="auto"/>
            <w:vAlign w:val="center"/>
          </w:tcPr>
          <w:p w14:paraId="13C66EEC">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13</w:t>
            </w:r>
          </w:p>
        </w:tc>
        <w:tc>
          <w:tcPr>
            <w:tcW w:w="462" w:type="pct"/>
            <w:tcBorders>
              <w:top w:val="nil"/>
              <w:left w:val="single" w:color="auto" w:sz="4" w:space="0"/>
              <w:bottom w:val="single" w:color="auto" w:sz="4" w:space="0"/>
              <w:right w:val="single" w:color="auto" w:sz="4" w:space="0"/>
            </w:tcBorders>
            <w:shd w:val="clear" w:color="auto" w:fill="auto"/>
            <w:vAlign w:val="center"/>
          </w:tcPr>
          <w:p w14:paraId="7EACF7A6">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数据库审计服务</w:t>
            </w:r>
          </w:p>
        </w:tc>
        <w:tc>
          <w:tcPr>
            <w:tcW w:w="3214" w:type="pct"/>
            <w:tcBorders>
              <w:top w:val="nil"/>
              <w:left w:val="nil"/>
              <w:bottom w:val="single" w:color="auto" w:sz="4" w:space="0"/>
              <w:right w:val="single" w:color="auto" w:sz="4" w:space="0"/>
            </w:tcBorders>
            <w:shd w:val="clear" w:color="auto" w:fill="auto"/>
            <w:vAlign w:val="center"/>
          </w:tcPr>
          <w:p w14:paraId="0BE3F246">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1.提供主流数据库如Oracle、SQL-Server、MySQL、达梦、人大金仓等数据库的审计，同时提供基础网络协议如HTTP、Telnet等协议的审计功能，提供13个被审计数据库服务数，含anget代理授权。可审计业务流量≥300Mbps。</w:t>
            </w:r>
            <w:r>
              <w:rPr>
                <w:rFonts w:hint="eastAsia" w:ascii="仿宋" w:hAnsi="仿宋" w:eastAsia="仿宋" w:cs="仿宋"/>
                <w:sz w:val="20"/>
                <w:szCs w:val="20"/>
              </w:rPr>
              <w:br w:type="textWrapping"/>
            </w:r>
            <w:r>
              <w:rPr>
                <w:rFonts w:hint="eastAsia" w:ascii="仿宋" w:hAnsi="仿宋" w:eastAsia="仿宋" w:cs="仿宋"/>
                <w:sz w:val="20"/>
                <w:szCs w:val="20"/>
              </w:rPr>
              <w:t>2.提供常见的云数据库、自建数据库和大数据组件。如腾讯云数据安全审计提供关系型数据库 MySQL、PostgreSQL 等，NOSQL 数据库 Redis、MongoDB 等，以及大数据组件 Hbase、Hive。</w:t>
            </w:r>
            <w:r>
              <w:rPr>
                <w:rFonts w:hint="eastAsia" w:ascii="仿宋" w:hAnsi="仿宋" w:eastAsia="仿宋" w:cs="仿宋"/>
                <w:sz w:val="20"/>
                <w:szCs w:val="20"/>
              </w:rPr>
              <w:br w:type="textWrapping"/>
            </w:r>
            <w:r>
              <w:rPr>
                <w:rFonts w:hint="eastAsia" w:ascii="仿宋" w:hAnsi="仿宋" w:eastAsia="仿宋" w:cs="仿宋"/>
                <w:sz w:val="20"/>
                <w:szCs w:val="20"/>
              </w:rPr>
              <w:t>3.提供针对数据库的SQL注入、CVE高危漏洞利用、口令攻击、缓冲区溢出等攻击行为进行审计。（截图证明）</w:t>
            </w:r>
            <w:r>
              <w:rPr>
                <w:rFonts w:hint="eastAsia" w:ascii="仿宋" w:hAnsi="仿宋" w:eastAsia="仿宋" w:cs="仿宋"/>
                <w:sz w:val="20"/>
                <w:szCs w:val="20"/>
              </w:rPr>
              <w:br w:type="textWrapping"/>
            </w:r>
            <w:r>
              <w:rPr>
                <w:rFonts w:hint="eastAsia" w:ascii="仿宋" w:hAnsi="仿宋" w:eastAsia="仿宋" w:cs="仿宋"/>
                <w:sz w:val="20"/>
                <w:szCs w:val="20"/>
              </w:rPr>
              <w:t>4.提供服务设备具有中国信息安全测评中心信息安全实验室颁发的《国家信息安全测评中心信息技术产品安全测评证书》，级别EAL3+；提供证书复印件，并加盖原厂公章；</w:t>
            </w:r>
          </w:p>
        </w:tc>
        <w:tc>
          <w:tcPr>
            <w:tcW w:w="476" w:type="pct"/>
            <w:tcBorders>
              <w:top w:val="nil"/>
              <w:left w:val="nil"/>
              <w:bottom w:val="single" w:color="auto" w:sz="4" w:space="0"/>
              <w:right w:val="single" w:color="auto" w:sz="4" w:space="0"/>
            </w:tcBorders>
            <w:shd w:val="clear" w:color="auto" w:fill="auto"/>
            <w:vAlign w:val="center"/>
          </w:tcPr>
          <w:p w14:paraId="07A32288">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1925F460">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538E5D95">
        <w:tblPrEx>
          <w:tblCellMar>
            <w:top w:w="0" w:type="dxa"/>
            <w:left w:w="108" w:type="dxa"/>
            <w:bottom w:w="0" w:type="dxa"/>
            <w:right w:w="108" w:type="dxa"/>
          </w:tblCellMar>
        </w:tblPrEx>
        <w:trPr>
          <w:trHeight w:val="498" w:hRule="atLeast"/>
        </w:trPr>
        <w:tc>
          <w:tcPr>
            <w:tcW w:w="422" w:type="pct"/>
            <w:tcBorders>
              <w:top w:val="nil"/>
              <w:left w:val="single" w:color="auto" w:sz="4" w:space="0"/>
              <w:bottom w:val="single" w:color="auto" w:sz="4" w:space="0"/>
              <w:right w:val="nil"/>
            </w:tcBorders>
            <w:shd w:val="clear" w:color="auto" w:fill="auto"/>
            <w:vAlign w:val="center"/>
          </w:tcPr>
          <w:p w14:paraId="415C7475">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14</w:t>
            </w:r>
          </w:p>
        </w:tc>
        <w:tc>
          <w:tcPr>
            <w:tcW w:w="462" w:type="pct"/>
            <w:tcBorders>
              <w:top w:val="nil"/>
              <w:left w:val="single" w:color="auto" w:sz="4" w:space="0"/>
              <w:bottom w:val="single" w:color="auto" w:sz="4" w:space="0"/>
              <w:right w:val="single" w:color="auto" w:sz="4" w:space="0"/>
            </w:tcBorders>
            <w:shd w:val="clear" w:color="auto" w:fill="auto"/>
            <w:vAlign w:val="center"/>
          </w:tcPr>
          <w:p w14:paraId="0985FE58">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运维审计服务</w:t>
            </w:r>
          </w:p>
        </w:tc>
        <w:tc>
          <w:tcPr>
            <w:tcW w:w="3214" w:type="pct"/>
            <w:tcBorders>
              <w:top w:val="nil"/>
              <w:left w:val="nil"/>
              <w:bottom w:val="single" w:color="auto" w:sz="4" w:space="0"/>
              <w:right w:val="single" w:color="auto" w:sz="4" w:space="0"/>
            </w:tcBorders>
            <w:shd w:val="clear" w:color="auto" w:fill="auto"/>
            <w:vAlign w:val="center"/>
          </w:tcPr>
          <w:p w14:paraId="6E446401">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1.提供用户、资产的运维管控和审计，提供≥100资源管理授权；提供在IPV4和IPV6网络环境下部署；提供资源自动发现和添加，便于快速添加资源。存储容量≥4TB</w:t>
            </w:r>
            <w:r>
              <w:rPr>
                <w:rFonts w:hint="eastAsia" w:ascii="仿宋" w:hAnsi="仿宋" w:eastAsia="仿宋" w:cs="仿宋"/>
                <w:sz w:val="20"/>
                <w:szCs w:val="20"/>
              </w:rPr>
              <w:br w:type="textWrapping"/>
            </w:r>
            <w:r>
              <w:rPr>
                <w:rFonts w:hint="eastAsia" w:ascii="仿宋" w:hAnsi="仿宋" w:eastAsia="仿宋" w:cs="仿宋"/>
                <w:sz w:val="20"/>
                <w:szCs w:val="20"/>
              </w:rPr>
              <w:t>2.提供异常帐号稽核功能，提供导出异常账号稽核情况报告，方便管理员统计异常账号情况，提供功能截图证明，并加盖原厂公章。</w:t>
            </w:r>
            <w:r>
              <w:rPr>
                <w:rFonts w:hint="eastAsia" w:ascii="仿宋" w:hAnsi="仿宋" w:eastAsia="仿宋" w:cs="仿宋"/>
                <w:sz w:val="20"/>
                <w:szCs w:val="20"/>
              </w:rPr>
              <w:br w:type="textWrapping"/>
            </w:r>
            <w:r>
              <w:rPr>
                <w:rFonts w:hint="eastAsia" w:ascii="仿宋" w:hAnsi="仿宋" w:eastAsia="仿宋" w:cs="仿宋"/>
                <w:sz w:val="20"/>
                <w:szCs w:val="20"/>
              </w:rPr>
              <w:t>3.提供字符协议SSH、TELNET和文件传输协议FTP、SFTP的协议审计，审计详细的操作语句和操作语句的执行结果 （截图证明）</w:t>
            </w:r>
            <w:r>
              <w:rPr>
                <w:rFonts w:hint="eastAsia" w:ascii="仿宋" w:hAnsi="仿宋" w:eastAsia="仿宋" w:cs="仿宋"/>
                <w:sz w:val="20"/>
                <w:szCs w:val="20"/>
              </w:rPr>
              <w:br w:type="textWrapping"/>
            </w:r>
            <w:r>
              <w:rPr>
                <w:rFonts w:hint="eastAsia" w:ascii="仿宋" w:hAnsi="仿宋" w:eastAsia="仿宋" w:cs="仿宋"/>
                <w:sz w:val="20"/>
                <w:szCs w:val="20"/>
              </w:rPr>
              <w:t>4.提供Oracle、Postgresql、Sybase、MySQL、SQLserver数据库下行返回行数记录，并提供在Oracle数据库运维，运维人员对变量进行绑定，执行SQL后，系统可审计对应SQL中唯一标识符的具体值，协助审计员分析安全事件，提供功能截图证明，并加盖原厂公章。</w:t>
            </w:r>
          </w:p>
        </w:tc>
        <w:tc>
          <w:tcPr>
            <w:tcW w:w="476" w:type="pct"/>
            <w:tcBorders>
              <w:top w:val="nil"/>
              <w:left w:val="nil"/>
              <w:bottom w:val="single" w:color="auto" w:sz="4" w:space="0"/>
              <w:right w:val="single" w:color="auto" w:sz="4" w:space="0"/>
            </w:tcBorders>
            <w:shd w:val="clear" w:color="auto" w:fill="auto"/>
            <w:vAlign w:val="center"/>
          </w:tcPr>
          <w:p w14:paraId="71CB12D4">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1AB1A9BE">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583B565C">
        <w:tblPrEx>
          <w:tblCellMar>
            <w:top w:w="0" w:type="dxa"/>
            <w:left w:w="108" w:type="dxa"/>
            <w:bottom w:w="0" w:type="dxa"/>
            <w:right w:w="108" w:type="dxa"/>
          </w:tblCellMar>
        </w:tblPrEx>
        <w:trPr>
          <w:trHeight w:val="1389" w:hRule="atLeast"/>
        </w:trPr>
        <w:tc>
          <w:tcPr>
            <w:tcW w:w="422" w:type="pct"/>
            <w:tcBorders>
              <w:top w:val="nil"/>
              <w:left w:val="single" w:color="auto" w:sz="4" w:space="0"/>
              <w:bottom w:val="single" w:color="auto" w:sz="4" w:space="0"/>
              <w:right w:val="nil"/>
            </w:tcBorders>
            <w:shd w:val="clear" w:color="auto" w:fill="auto"/>
            <w:vAlign w:val="center"/>
          </w:tcPr>
          <w:p w14:paraId="51C492DA">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15</w:t>
            </w:r>
          </w:p>
        </w:tc>
        <w:tc>
          <w:tcPr>
            <w:tcW w:w="462" w:type="pct"/>
            <w:tcBorders>
              <w:top w:val="nil"/>
              <w:left w:val="single" w:color="auto" w:sz="4" w:space="0"/>
              <w:bottom w:val="single" w:color="auto" w:sz="4" w:space="0"/>
              <w:right w:val="single" w:color="auto" w:sz="4" w:space="0"/>
            </w:tcBorders>
            <w:shd w:val="clear" w:color="auto" w:fill="auto"/>
            <w:vAlign w:val="center"/>
          </w:tcPr>
          <w:p w14:paraId="2B9336D9">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漏洞扫描服务</w:t>
            </w:r>
          </w:p>
        </w:tc>
        <w:tc>
          <w:tcPr>
            <w:tcW w:w="3214" w:type="pct"/>
            <w:tcBorders>
              <w:top w:val="nil"/>
              <w:left w:val="nil"/>
              <w:bottom w:val="single" w:color="auto" w:sz="4" w:space="0"/>
              <w:right w:val="single" w:color="auto" w:sz="4" w:space="0"/>
            </w:tcBorders>
            <w:shd w:val="clear" w:color="auto" w:fill="auto"/>
            <w:vAlign w:val="center"/>
          </w:tcPr>
          <w:p w14:paraId="22730E52">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1.提供主机漏扫功能，漏洞扫描服务至少单任务100非固定IP，并发40IP授权，可扫描的IP地址总数量无限制；</w:t>
            </w:r>
            <w:r>
              <w:rPr>
                <w:rFonts w:hint="eastAsia" w:ascii="仿宋" w:hAnsi="仿宋" w:eastAsia="仿宋" w:cs="仿宋"/>
                <w:sz w:val="20"/>
                <w:szCs w:val="20"/>
              </w:rPr>
              <w:br w:type="textWrapping"/>
            </w:r>
            <w:r>
              <w:rPr>
                <w:rFonts w:hint="eastAsia" w:ascii="仿宋" w:hAnsi="仿宋" w:eastAsia="仿宋" w:cs="仿宋"/>
                <w:sz w:val="20"/>
                <w:szCs w:val="20"/>
              </w:rPr>
              <w:t>2.提供对主流数据库的识别与扫描，包括：Oracle、Sybase、GBASE、GaussDB、神通、达梦、人大金仓、优炫等，能够扫描的数据库漏洞扫描方法不小于2700种，提供功能截图证明，并加盖原厂公章。</w:t>
            </w:r>
            <w:r>
              <w:rPr>
                <w:rFonts w:hint="eastAsia" w:ascii="仿宋" w:hAnsi="仿宋" w:eastAsia="仿宋" w:cs="仿宋"/>
                <w:sz w:val="20"/>
                <w:szCs w:val="20"/>
              </w:rPr>
              <w:br w:type="textWrapping"/>
            </w:r>
            <w:r>
              <w:rPr>
                <w:rFonts w:hint="eastAsia" w:ascii="仿宋" w:hAnsi="仿宋" w:eastAsia="仿宋" w:cs="仿宋"/>
                <w:sz w:val="20"/>
                <w:szCs w:val="20"/>
              </w:rPr>
              <w:t>3.提供扫描的漏洞数量不少于350000个，提供功能截图证明，并加盖原厂公章。</w:t>
            </w:r>
            <w:r>
              <w:rPr>
                <w:rFonts w:hint="eastAsia" w:ascii="仿宋" w:hAnsi="仿宋" w:eastAsia="仿宋" w:cs="仿宋"/>
                <w:sz w:val="20"/>
                <w:szCs w:val="20"/>
              </w:rPr>
              <w:br w:type="textWrapping"/>
            </w:r>
            <w:r>
              <w:rPr>
                <w:rFonts w:hint="eastAsia" w:ascii="仿宋" w:hAnsi="仿宋" w:eastAsia="仿宋" w:cs="仿宋"/>
                <w:sz w:val="20"/>
                <w:szCs w:val="20"/>
              </w:rPr>
              <w:t>4.提供多种协议口令猜测，包括SMB、Snmp、Telnet、SSH、Ftp、RDP、PostgreSQL、HighGo、MongoDB、kingbase、REDIS、SMTP等，允许外挂用户提供的用户名字典、密码字典和用户名密码组合字典，</w:t>
            </w:r>
            <w:r>
              <w:rPr>
                <w:rFonts w:hint="eastAsia" w:ascii="仿宋" w:hAnsi="仿宋" w:eastAsia="仿宋" w:cs="仿宋"/>
                <w:sz w:val="20"/>
                <w:szCs w:val="20"/>
              </w:rPr>
              <w:br w:type="textWrapping"/>
            </w:r>
            <w:r>
              <w:rPr>
                <w:rFonts w:hint="eastAsia" w:ascii="仿宋" w:hAnsi="仿宋" w:eastAsia="仿宋" w:cs="仿宋"/>
                <w:sz w:val="20"/>
                <w:szCs w:val="20"/>
              </w:rPr>
              <w:t>5.每季度提供“漏洞扫描服务”，并提交漏洞风险评估报告及安全加固建议书；为满足响应服务时效性及专业性，要求服务人员为原厂本地人员（提供本地社保缴纳记录），且人员具备漏洞挖掘和验证能力（提供30个以上CNVD原创漏洞证明），证明材料加盖原厂公章。</w:t>
            </w:r>
          </w:p>
        </w:tc>
        <w:tc>
          <w:tcPr>
            <w:tcW w:w="476" w:type="pct"/>
            <w:tcBorders>
              <w:top w:val="nil"/>
              <w:left w:val="nil"/>
              <w:bottom w:val="single" w:color="auto" w:sz="4" w:space="0"/>
              <w:right w:val="single" w:color="auto" w:sz="4" w:space="0"/>
            </w:tcBorders>
            <w:shd w:val="clear" w:color="auto" w:fill="auto"/>
            <w:vAlign w:val="center"/>
          </w:tcPr>
          <w:p w14:paraId="569A628D">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45353C43">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00462B9A">
        <w:tblPrEx>
          <w:tblCellMar>
            <w:top w:w="0" w:type="dxa"/>
            <w:left w:w="108" w:type="dxa"/>
            <w:bottom w:w="0" w:type="dxa"/>
            <w:right w:w="108" w:type="dxa"/>
          </w:tblCellMar>
        </w:tblPrEx>
        <w:trPr>
          <w:trHeight w:val="480" w:hRule="atLeast"/>
        </w:trPr>
        <w:tc>
          <w:tcPr>
            <w:tcW w:w="422" w:type="pct"/>
            <w:tcBorders>
              <w:top w:val="nil"/>
              <w:left w:val="single" w:color="auto" w:sz="4" w:space="0"/>
              <w:bottom w:val="single" w:color="auto" w:sz="4" w:space="0"/>
              <w:right w:val="nil"/>
            </w:tcBorders>
            <w:shd w:val="clear" w:color="auto" w:fill="auto"/>
            <w:vAlign w:val="center"/>
          </w:tcPr>
          <w:p w14:paraId="53CB4E52">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16</w:t>
            </w:r>
          </w:p>
        </w:tc>
        <w:tc>
          <w:tcPr>
            <w:tcW w:w="462" w:type="pct"/>
            <w:tcBorders>
              <w:top w:val="nil"/>
              <w:left w:val="single" w:color="auto" w:sz="4" w:space="0"/>
              <w:bottom w:val="single" w:color="auto" w:sz="4" w:space="0"/>
              <w:right w:val="single" w:color="auto" w:sz="4" w:space="0"/>
            </w:tcBorders>
            <w:shd w:val="clear" w:color="auto" w:fill="auto"/>
            <w:vAlign w:val="center"/>
          </w:tcPr>
          <w:p w14:paraId="0DAA0E5C">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API防护服务</w:t>
            </w:r>
          </w:p>
        </w:tc>
        <w:tc>
          <w:tcPr>
            <w:tcW w:w="3214" w:type="pct"/>
            <w:tcBorders>
              <w:top w:val="nil"/>
              <w:left w:val="nil"/>
              <w:bottom w:val="single" w:color="auto" w:sz="4" w:space="0"/>
              <w:right w:val="single" w:color="auto" w:sz="4" w:space="0"/>
            </w:tcBorders>
            <w:shd w:val="clear" w:color="auto" w:fill="auto"/>
            <w:vAlign w:val="center"/>
          </w:tcPr>
          <w:p w14:paraId="3804671E">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提供API防护，可支持API协议合规、API访问速率限制等功能。</w:t>
            </w:r>
          </w:p>
        </w:tc>
        <w:tc>
          <w:tcPr>
            <w:tcW w:w="476" w:type="pct"/>
            <w:tcBorders>
              <w:top w:val="nil"/>
              <w:left w:val="nil"/>
              <w:bottom w:val="single" w:color="auto" w:sz="4" w:space="0"/>
              <w:right w:val="single" w:color="auto" w:sz="4" w:space="0"/>
            </w:tcBorders>
            <w:shd w:val="clear" w:color="auto" w:fill="auto"/>
            <w:vAlign w:val="center"/>
          </w:tcPr>
          <w:p w14:paraId="61EE49BA">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5FB53031">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1884FDEE">
        <w:tblPrEx>
          <w:tblCellMar>
            <w:top w:w="0" w:type="dxa"/>
            <w:left w:w="108" w:type="dxa"/>
            <w:bottom w:w="0" w:type="dxa"/>
            <w:right w:w="108" w:type="dxa"/>
          </w:tblCellMar>
        </w:tblPrEx>
        <w:trPr>
          <w:trHeight w:val="780" w:hRule="atLeast"/>
        </w:trPr>
        <w:tc>
          <w:tcPr>
            <w:tcW w:w="422" w:type="pct"/>
            <w:tcBorders>
              <w:top w:val="nil"/>
              <w:left w:val="single" w:color="auto" w:sz="4" w:space="0"/>
              <w:bottom w:val="single" w:color="auto" w:sz="4" w:space="0"/>
              <w:right w:val="nil"/>
            </w:tcBorders>
            <w:shd w:val="clear" w:color="auto" w:fill="auto"/>
            <w:vAlign w:val="center"/>
          </w:tcPr>
          <w:p w14:paraId="61C0C0B6">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17</w:t>
            </w:r>
          </w:p>
        </w:tc>
        <w:tc>
          <w:tcPr>
            <w:tcW w:w="462" w:type="pct"/>
            <w:tcBorders>
              <w:top w:val="nil"/>
              <w:left w:val="single" w:color="auto" w:sz="4" w:space="0"/>
              <w:bottom w:val="single" w:color="auto" w:sz="4" w:space="0"/>
              <w:right w:val="single" w:color="auto" w:sz="4" w:space="0"/>
            </w:tcBorders>
            <w:shd w:val="clear" w:color="auto" w:fill="auto"/>
            <w:vAlign w:val="center"/>
          </w:tcPr>
          <w:p w14:paraId="5A299F09">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主动诱捕服务</w:t>
            </w:r>
          </w:p>
        </w:tc>
        <w:tc>
          <w:tcPr>
            <w:tcW w:w="3214" w:type="pct"/>
            <w:tcBorders>
              <w:top w:val="nil"/>
              <w:left w:val="nil"/>
              <w:bottom w:val="single" w:color="auto" w:sz="4" w:space="0"/>
              <w:right w:val="single" w:color="auto" w:sz="4" w:space="0"/>
            </w:tcBorders>
            <w:shd w:val="clear" w:color="auto" w:fill="auto"/>
            <w:vAlign w:val="center"/>
          </w:tcPr>
          <w:p w14:paraId="0545FE21">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通过蜜罐检测功能，诱使攻击方对它实施攻击，从而可以对攻击行为进行捕获和阻断。</w:t>
            </w:r>
          </w:p>
        </w:tc>
        <w:tc>
          <w:tcPr>
            <w:tcW w:w="476" w:type="pct"/>
            <w:tcBorders>
              <w:top w:val="nil"/>
              <w:left w:val="nil"/>
              <w:bottom w:val="single" w:color="auto" w:sz="4" w:space="0"/>
              <w:right w:val="single" w:color="auto" w:sz="4" w:space="0"/>
            </w:tcBorders>
            <w:shd w:val="clear" w:color="auto" w:fill="auto"/>
            <w:vAlign w:val="center"/>
          </w:tcPr>
          <w:p w14:paraId="1F045FC9">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3214999C">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30D10872">
        <w:tblPrEx>
          <w:tblCellMar>
            <w:top w:w="0" w:type="dxa"/>
            <w:left w:w="108" w:type="dxa"/>
            <w:bottom w:w="0" w:type="dxa"/>
            <w:right w:w="108" w:type="dxa"/>
          </w:tblCellMar>
        </w:tblPrEx>
        <w:trPr>
          <w:trHeight w:val="1500" w:hRule="atLeast"/>
        </w:trPr>
        <w:tc>
          <w:tcPr>
            <w:tcW w:w="422" w:type="pct"/>
            <w:tcBorders>
              <w:top w:val="nil"/>
              <w:left w:val="single" w:color="auto" w:sz="4" w:space="0"/>
              <w:bottom w:val="single" w:color="auto" w:sz="4" w:space="0"/>
              <w:right w:val="nil"/>
            </w:tcBorders>
            <w:shd w:val="clear" w:color="auto" w:fill="auto"/>
            <w:vAlign w:val="center"/>
          </w:tcPr>
          <w:p w14:paraId="384A0BDF">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18</w:t>
            </w:r>
          </w:p>
        </w:tc>
        <w:tc>
          <w:tcPr>
            <w:tcW w:w="462" w:type="pct"/>
            <w:tcBorders>
              <w:top w:val="nil"/>
              <w:left w:val="single" w:color="auto" w:sz="4" w:space="0"/>
              <w:bottom w:val="single" w:color="auto" w:sz="4" w:space="0"/>
              <w:right w:val="single" w:color="auto" w:sz="4" w:space="0"/>
            </w:tcBorders>
            <w:shd w:val="clear" w:color="auto" w:fill="auto"/>
            <w:vAlign w:val="center"/>
          </w:tcPr>
          <w:p w14:paraId="4C76C6B8">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上网行为管理服务</w:t>
            </w:r>
          </w:p>
        </w:tc>
        <w:tc>
          <w:tcPr>
            <w:tcW w:w="3214" w:type="pct"/>
            <w:tcBorders>
              <w:top w:val="nil"/>
              <w:left w:val="nil"/>
              <w:bottom w:val="single" w:color="auto" w:sz="4" w:space="0"/>
              <w:right w:val="single" w:color="auto" w:sz="4" w:space="0"/>
            </w:tcBorders>
            <w:shd w:val="clear" w:color="auto" w:fill="auto"/>
            <w:vAlign w:val="center"/>
          </w:tcPr>
          <w:p w14:paraId="4CC62674">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1.提供应用识别规则库，支持带宽5G，应用规则数至少33500条以上，提供超过15000种的应用，提供超过8500种的海外应用，移动应用至少2000多种，URL库至少4000万以上。提供截图证明</w:t>
            </w:r>
            <w:r>
              <w:rPr>
                <w:rFonts w:hint="eastAsia" w:ascii="仿宋" w:hAnsi="仿宋" w:eastAsia="仿宋" w:cs="仿宋"/>
                <w:sz w:val="20"/>
                <w:szCs w:val="20"/>
              </w:rPr>
              <w:br w:type="textWrapping"/>
            </w:r>
            <w:r>
              <w:rPr>
                <w:rFonts w:hint="eastAsia" w:ascii="仿宋" w:hAnsi="仿宋" w:eastAsia="仿宋" w:cs="仿宋"/>
                <w:sz w:val="20"/>
                <w:szCs w:val="20"/>
              </w:rPr>
              <w:t>2.提供HTTP、SOCKS4/SOCKS5两种代理方式，提供配置代理端口，提供基于源地址和目的地址设置代理策略</w:t>
            </w:r>
          </w:p>
        </w:tc>
        <w:tc>
          <w:tcPr>
            <w:tcW w:w="476" w:type="pct"/>
            <w:tcBorders>
              <w:top w:val="nil"/>
              <w:left w:val="nil"/>
              <w:bottom w:val="single" w:color="auto" w:sz="4" w:space="0"/>
              <w:right w:val="single" w:color="auto" w:sz="4" w:space="0"/>
            </w:tcBorders>
            <w:shd w:val="clear" w:color="auto" w:fill="auto"/>
            <w:vAlign w:val="center"/>
          </w:tcPr>
          <w:p w14:paraId="401648B0">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3DBE4E25">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0599CF20">
        <w:tblPrEx>
          <w:tblCellMar>
            <w:top w:w="0" w:type="dxa"/>
            <w:left w:w="108" w:type="dxa"/>
            <w:bottom w:w="0" w:type="dxa"/>
            <w:right w:w="108" w:type="dxa"/>
          </w:tblCellMar>
        </w:tblPrEx>
        <w:trPr>
          <w:trHeight w:val="600" w:hRule="atLeast"/>
        </w:trPr>
        <w:tc>
          <w:tcPr>
            <w:tcW w:w="422" w:type="pct"/>
            <w:tcBorders>
              <w:top w:val="nil"/>
              <w:left w:val="single" w:color="auto" w:sz="4" w:space="0"/>
              <w:bottom w:val="single" w:color="auto" w:sz="4" w:space="0"/>
              <w:right w:val="nil"/>
            </w:tcBorders>
            <w:shd w:val="clear" w:color="auto" w:fill="auto"/>
            <w:vAlign w:val="center"/>
          </w:tcPr>
          <w:p w14:paraId="1D32C02E">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19</w:t>
            </w:r>
          </w:p>
        </w:tc>
        <w:tc>
          <w:tcPr>
            <w:tcW w:w="462" w:type="pct"/>
            <w:tcBorders>
              <w:top w:val="nil"/>
              <w:left w:val="single" w:color="auto" w:sz="4" w:space="0"/>
              <w:bottom w:val="single" w:color="auto" w:sz="4" w:space="0"/>
              <w:right w:val="single" w:color="auto" w:sz="4" w:space="0"/>
            </w:tcBorders>
            <w:shd w:val="clear" w:color="auto" w:fill="auto"/>
            <w:vAlign w:val="center"/>
          </w:tcPr>
          <w:p w14:paraId="44329EFE">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HTTPS解密服务</w:t>
            </w:r>
          </w:p>
        </w:tc>
        <w:tc>
          <w:tcPr>
            <w:tcW w:w="3214" w:type="pct"/>
            <w:tcBorders>
              <w:top w:val="nil"/>
              <w:left w:val="nil"/>
              <w:bottom w:val="single" w:color="auto" w:sz="4" w:space="0"/>
              <w:right w:val="single" w:color="auto" w:sz="4" w:space="0"/>
            </w:tcBorders>
            <w:shd w:val="clear" w:color="auto" w:fill="auto"/>
            <w:vAlign w:val="center"/>
          </w:tcPr>
          <w:p w14:paraId="26E50915">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提供HTTPS加密流量解密，防止通过加密流量进行渗透攻击，支持将SSL/TLS解密，</w:t>
            </w:r>
          </w:p>
        </w:tc>
        <w:tc>
          <w:tcPr>
            <w:tcW w:w="476" w:type="pct"/>
            <w:tcBorders>
              <w:top w:val="nil"/>
              <w:left w:val="nil"/>
              <w:bottom w:val="single" w:color="auto" w:sz="4" w:space="0"/>
              <w:right w:val="single" w:color="auto" w:sz="4" w:space="0"/>
            </w:tcBorders>
            <w:shd w:val="clear" w:color="auto" w:fill="auto"/>
            <w:vAlign w:val="center"/>
          </w:tcPr>
          <w:p w14:paraId="3913326A">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18A8FCA8">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5FC460EF">
        <w:tblPrEx>
          <w:tblCellMar>
            <w:top w:w="0" w:type="dxa"/>
            <w:left w:w="108" w:type="dxa"/>
            <w:bottom w:w="0" w:type="dxa"/>
            <w:right w:w="108" w:type="dxa"/>
          </w:tblCellMar>
        </w:tblPrEx>
        <w:trPr>
          <w:trHeight w:val="3000" w:hRule="atLeast"/>
        </w:trPr>
        <w:tc>
          <w:tcPr>
            <w:tcW w:w="422" w:type="pct"/>
            <w:tcBorders>
              <w:top w:val="nil"/>
              <w:left w:val="single" w:color="auto" w:sz="4" w:space="0"/>
              <w:bottom w:val="nil"/>
              <w:right w:val="nil"/>
            </w:tcBorders>
            <w:shd w:val="clear" w:color="auto" w:fill="auto"/>
            <w:vAlign w:val="center"/>
          </w:tcPr>
          <w:p w14:paraId="294E9B44">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20</w:t>
            </w:r>
          </w:p>
        </w:tc>
        <w:tc>
          <w:tcPr>
            <w:tcW w:w="462" w:type="pct"/>
            <w:tcBorders>
              <w:top w:val="nil"/>
              <w:left w:val="single" w:color="auto" w:sz="4" w:space="0"/>
              <w:bottom w:val="single" w:color="auto" w:sz="4" w:space="0"/>
              <w:right w:val="single" w:color="auto" w:sz="4" w:space="0"/>
            </w:tcBorders>
            <w:shd w:val="clear" w:color="auto" w:fill="auto"/>
            <w:vAlign w:val="center"/>
          </w:tcPr>
          <w:p w14:paraId="6142BE0D">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WEB防护服务</w:t>
            </w:r>
          </w:p>
        </w:tc>
        <w:tc>
          <w:tcPr>
            <w:tcW w:w="3214" w:type="pct"/>
            <w:tcBorders>
              <w:top w:val="nil"/>
              <w:left w:val="nil"/>
              <w:bottom w:val="single" w:color="auto" w:sz="4" w:space="0"/>
              <w:right w:val="single" w:color="auto" w:sz="4" w:space="0"/>
            </w:tcBorders>
            <w:shd w:val="clear" w:color="auto" w:fill="auto"/>
            <w:vAlign w:val="center"/>
          </w:tcPr>
          <w:p w14:paraId="745B374A">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1.提供Web应用识别，提供感知服务器的域名、操作系统、Web服务器类型、编程语言、中间件、服务器IP及端口等（要求提供TTL、CNAS、CMA、ilac-MRA检测盖章报告证明）；</w:t>
            </w:r>
            <w:r>
              <w:rPr>
                <w:rFonts w:hint="eastAsia" w:ascii="仿宋" w:hAnsi="仿宋" w:eastAsia="仿宋" w:cs="仿宋"/>
                <w:sz w:val="20"/>
                <w:szCs w:val="20"/>
              </w:rPr>
              <w:br w:type="textWrapping"/>
            </w:r>
            <w:r>
              <w:rPr>
                <w:rFonts w:hint="eastAsia" w:ascii="仿宋" w:hAnsi="仿宋" w:eastAsia="仿宋" w:cs="仿宋"/>
                <w:sz w:val="20"/>
                <w:szCs w:val="20"/>
              </w:rPr>
              <w:t>2.提供协议识别及解码能力，应提供：URL解码、XML解码、JSON解析、Base64解码、Unicode解码、十六进制转换、斜杠反转义、CHR解码、UTF-7解码，提供解析7层以上混合编解码能力，可实现对多层编码攻击的检测（要求提供TTL、CNAS、CMA、ilac-MRA检测盖章报告证明）</w:t>
            </w:r>
            <w:r>
              <w:rPr>
                <w:rFonts w:hint="eastAsia" w:ascii="仿宋" w:hAnsi="仿宋" w:eastAsia="仿宋" w:cs="仿宋"/>
                <w:sz w:val="20"/>
                <w:szCs w:val="20"/>
              </w:rPr>
              <w:br w:type="textWrapping"/>
            </w:r>
            <w:r>
              <w:rPr>
                <w:rFonts w:hint="eastAsia" w:ascii="仿宋" w:hAnsi="仿宋" w:eastAsia="仿宋" w:cs="仿宋"/>
                <w:sz w:val="20"/>
                <w:szCs w:val="20"/>
              </w:rPr>
              <w:t>3.提供透明模式、代理模式同时部署方式（要求提供TTL、CNAS、CMA、ilac-MRA检测盖章报告证明）</w:t>
            </w:r>
          </w:p>
        </w:tc>
        <w:tc>
          <w:tcPr>
            <w:tcW w:w="476" w:type="pct"/>
            <w:tcBorders>
              <w:top w:val="nil"/>
              <w:left w:val="nil"/>
              <w:bottom w:val="single" w:color="auto" w:sz="4" w:space="0"/>
              <w:right w:val="single" w:color="auto" w:sz="4" w:space="0"/>
            </w:tcBorders>
            <w:shd w:val="clear" w:color="auto" w:fill="auto"/>
            <w:vAlign w:val="center"/>
          </w:tcPr>
          <w:p w14:paraId="5148ED61">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79A17CCD">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6DBF870F">
        <w:tblPrEx>
          <w:tblCellMar>
            <w:top w:w="0" w:type="dxa"/>
            <w:left w:w="108" w:type="dxa"/>
            <w:bottom w:w="0" w:type="dxa"/>
            <w:right w:w="108" w:type="dxa"/>
          </w:tblCellMar>
        </w:tblPrEx>
        <w:trPr>
          <w:trHeight w:val="3460" w:hRule="atLeast"/>
        </w:trPr>
        <w:tc>
          <w:tcPr>
            <w:tcW w:w="422" w:type="pct"/>
            <w:tcBorders>
              <w:top w:val="single" w:color="auto" w:sz="4" w:space="0"/>
              <w:left w:val="single" w:color="auto" w:sz="4" w:space="0"/>
              <w:bottom w:val="single" w:color="auto" w:sz="4" w:space="0"/>
              <w:right w:val="nil"/>
            </w:tcBorders>
            <w:shd w:val="clear" w:color="auto" w:fill="auto"/>
            <w:vAlign w:val="center"/>
          </w:tcPr>
          <w:p w14:paraId="5E1D44E0">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21</w:t>
            </w:r>
          </w:p>
        </w:tc>
        <w:tc>
          <w:tcPr>
            <w:tcW w:w="462" w:type="pct"/>
            <w:tcBorders>
              <w:top w:val="nil"/>
              <w:left w:val="single" w:color="auto" w:sz="4" w:space="0"/>
              <w:bottom w:val="single" w:color="auto" w:sz="4" w:space="0"/>
              <w:right w:val="single" w:color="auto" w:sz="4" w:space="0"/>
            </w:tcBorders>
            <w:shd w:val="clear" w:color="auto" w:fill="auto"/>
            <w:vAlign w:val="center"/>
          </w:tcPr>
          <w:p w14:paraId="7AD4B1FE">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态势感知服务</w:t>
            </w:r>
          </w:p>
        </w:tc>
        <w:tc>
          <w:tcPr>
            <w:tcW w:w="3214" w:type="pct"/>
            <w:tcBorders>
              <w:top w:val="nil"/>
              <w:left w:val="nil"/>
              <w:bottom w:val="single" w:color="auto" w:sz="4" w:space="0"/>
              <w:right w:val="single" w:color="auto" w:sz="4" w:space="0"/>
            </w:tcBorders>
            <w:shd w:val="clear" w:color="auto" w:fill="auto"/>
            <w:vAlign w:val="center"/>
          </w:tcPr>
          <w:p w14:paraId="504F451B">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1.提供基于AI算法和特征库检测服务，要求态势感知平台保留攻击告警日志，硬盘不小于20T。</w:t>
            </w:r>
            <w:r>
              <w:rPr>
                <w:rFonts w:hint="eastAsia" w:ascii="仿宋" w:hAnsi="仿宋" w:eastAsia="仿宋" w:cs="仿宋"/>
                <w:sz w:val="20"/>
                <w:szCs w:val="20"/>
              </w:rPr>
              <w:br w:type="textWrapping"/>
            </w:r>
            <w:r>
              <w:rPr>
                <w:rFonts w:hint="eastAsia" w:ascii="仿宋" w:hAnsi="仿宋" w:eastAsia="仿宋" w:cs="仿宋"/>
                <w:sz w:val="20"/>
                <w:szCs w:val="20"/>
              </w:rPr>
              <w:t>2.提供安全事件详情分析，包括事件名称、事件标签、事件描述、处置建议、标记状态、事件故事线分析、事件时间线分析、告警列表。提供功能截图证明，并加盖原厂公章</w:t>
            </w:r>
            <w:r>
              <w:rPr>
                <w:rFonts w:hint="eastAsia" w:ascii="仿宋" w:hAnsi="仿宋" w:eastAsia="仿宋" w:cs="仿宋"/>
                <w:sz w:val="20"/>
                <w:szCs w:val="20"/>
              </w:rPr>
              <w:br w:type="textWrapping"/>
            </w:r>
            <w:r>
              <w:rPr>
                <w:rFonts w:hint="eastAsia" w:ascii="仿宋" w:hAnsi="仿宋" w:eastAsia="仿宋" w:cs="仿宋"/>
                <w:sz w:val="20"/>
                <w:szCs w:val="20"/>
              </w:rPr>
              <w:t>3.提供API分析，可查看API请求方式、接口URL、标签、API内含敏感信息、最近活跃时间、告警次数。</w:t>
            </w:r>
            <w:r>
              <w:rPr>
                <w:rFonts w:hint="eastAsia" w:ascii="仿宋" w:hAnsi="仿宋" w:eastAsia="仿宋" w:cs="仿宋"/>
                <w:sz w:val="20"/>
                <w:szCs w:val="20"/>
              </w:rPr>
              <w:br w:type="textWrapping"/>
            </w:r>
            <w:r>
              <w:rPr>
                <w:rFonts w:hint="eastAsia" w:ascii="仿宋" w:hAnsi="仿宋" w:eastAsia="仿宋" w:cs="仿宋"/>
                <w:sz w:val="20"/>
                <w:szCs w:val="20"/>
              </w:rPr>
              <w:t>4.提供告警研判功能，研判维度包括基本详情、网络负载、告警pcap、全流取证、威胁情报。基本详情可查看基础信息、五元组信息、流信息、告警描述信息；网络负载包括应用层协议信息、payload信息、响应信息；告警pcap可追踪TCP流、UDP流、HTTP流。</w:t>
            </w:r>
          </w:p>
        </w:tc>
        <w:tc>
          <w:tcPr>
            <w:tcW w:w="476" w:type="pct"/>
            <w:tcBorders>
              <w:top w:val="nil"/>
              <w:left w:val="nil"/>
              <w:bottom w:val="single" w:color="auto" w:sz="4" w:space="0"/>
              <w:right w:val="single" w:color="auto" w:sz="4" w:space="0"/>
            </w:tcBorders>
            <w:shd w:val="clear" w:color="auto" w:fill="auto"/>
            <w:vAlign w:val="center"/>
          </w:tcPr>
          <w:p w14:paraId="7C7489B0">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749B7EE4">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r w14:paraId="1C8312EC">
        <w:tblPrEx>
          <w:tblCellMar>
            <w:top w:w="0" w:type="dxa"/>
            <w:left w:w="108" w:type="dxa"/>
            <w:bottom w:w="0" w:type="dxa"/>
            <w:right w:w="108" w:type="dxa"/>
          </w:tblCellMar>
        </w:tblPrEx>
        <w:trPr>
          <w:trHeight w:val="2080" w:hRule="atLeast"/>
        </w:trPr>
        <w:tc>
          <w:tcPr>
            <w:tcW w:w="422" w:type="pct"/>
            <w:tcBorders>
              <w:top w:val="nil"/>
              <w:left w:val="single" w:color="auto" w:sz="4" w:space="0"/>
              <w:bottom w:val="single" w:color="auto" w:sz="4" w:space="0"/>
              <w:right w:val="nil"/>
            </w:tcBorders>
            <w:shd w:val="clear" w:color="auto" w:fill="auto"/>
            <w:vAlign w:val="center"/>
          </w:tcPr>
          <w:p w14:paraId="27989567">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22</w:t>
            </w:r>
          </w:p>
        </w:tc>
        <w:tc>
          <w:tcPr>
            <w:tcW w:w="462" w:type="pct"/>
            <w:tcBorders>
              <w:top w:val="nil"/>
              <w:left w:val="single" w:color="auto" w:sz="4" w:space="0"/>
              <w:bottom w:val="single" w:color="auto" w:sz="4" w:space="0"/>
              <w:right w:val="single" w:color="auto" w:sz="4" w:space="0"/>
            </w:tcBorders>
            <w:shd w:val="clear" w:color="auto" w:fill="auto"/>
            <w:vAlign w:val="center"/>
          </w:tcPr>
          <w:p w14:paraId="7658D653">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威胁情报服务</w:t>
            </w:r>
          </w:p>
        </w:tc>
        <w:tc>
          <w:tcPr>
            <w:tcW w:w="3214" w:type="pct"/>
            <w:tcBorders>
              <w:top w:val="nil"/>
              <w:left w:val="nil"/>
              <w:bottom w:val="single" w:color="auto" w:sz="4" w:space="0"/>
              <w:right w:val="single" w:color="auto" w:sz="4" w:space="0"/>
            </w:tcBorders>
            <w:shd w:val="clear" w:color="auto" w:fill="auto"/>
            <w:vAlign w:val="center"/>
          </w:tcPr>
          <w:p w14:paraId="571C3D38">
            <w:pPr>
              <w:spacing w:line="240" w:lineRule="auto"/>
              <w:outlineLvl w:val="9"/>
              <w:rPr>
                <w:rFonts w:hint="eastAsia" w:ascii="仿宋" w:hAnsi="仿宋" w:eastAsia="仿宋" w:cs="仿宋"/>
                <w:sz w:val="20"/>
                <w:szCs w:val="20"/>
              </w:rPr>
            </w:pPr>
            <w:r>
              <w:rPr>
                <w:rFonts w:hint="eastAsia" w:ascii="仿宋" w:hAnsi="仿宋" w:eastAsia="仿宋" w:cs="仿宋"/>
                <w:sz w:val="20"/>
                <w:szCs w:val="20"/>
              </w:rPr>
              <w:t>1.提供全球APT组织情报库，可查看全球在跟踪APT组织信息，包括团伙名称、攻击者类型、技术能力、最早活动时间、影响行业、组织别名、攻击方式、攻击频率、影响国家地区、最近活动时间、常用语言、团伙描述、技战法等；</w:t>
            </w:r>
            <w:r>
              <w:rPr>
                <w:rFonts w:hint="eastAsia" w:ascii="仿宋" w:hAnsi="仿宋" w:eastAsia="仿宋" w:cs="仿宋"/>
                <w:sz w:val="20"/>
                <w:szCs w:val="20"/>
              </w:rPr>
              <w:br w:type="textWrapping"/>
            </w:r>
            <w:r>
              <w:rPr>
                <w:rFonts w:hint="eastAsia" w:ascii="仿宋" w:hAnsi="仿宋" w:eastAsia="仿宋" w:cs="仿宋"/>
                <w:sz w:val="20"/>
                <w:szCs w:val="20"/>
              </w:rPr>
              <w:t>2.提供以web查询或API接口查询的方式，查询IOC情报</w:t>
            </w:r>
            <w:r>
              <w:rPr>
                <w:rFonts w:hint="eastAsia" w:ascii="仿宋" w:hAnsi="仿宋" w:eastAsia="仿宋" w:cs="仿宋"/>
                <w:sz w:val="20"/>
                <w:szCs w:val="20"/>
              </w:rPr>
              <w:br w:type="textWrapping"/>
            </w:r>
            <w:r>
              <w:rPr>
                <w:rFonts w:hint="eastAsia" w:ascii="仿宋" w:hAnsi="仿宋" w:eastAsia="仿宋" w:cs="仿宋"/>
                <w:sz w:val="20"/>
                <w:szCs w:val="20"/>
              </w:rPr>
              <w:t>3.提供配置基于情报源的IOC情报生命周期管理策略，可启停、编辑、删除策略。</w:t>
            </w:r>
          </w:p>
        </w:tc>
        <w:tc>
          <w:tcPr>
            <w:tcW w:w="476" w:type="pct"/>
            <w:tcBorders>
              <w:top w:val="nil"/>
              <w:left w:val="nil"/>
              <w:bottom w:val="single" w:color="auto" w:sz="4" w:space="0"/>
              <w:right w:val="single" w:color="auto" w:sz="4" w:space="0"/>
            </w:tcBorders>
            <w:shd w:val="clear" w:color="auto" w:fill="auto"/>
            <w:vAlign w:val="center"/>
          </w:tcPr>
          <w:p w14:paraId="6BF45D9D">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项</w:t>
            </w:r>
          </w:p>
        </w:tc>
        <w:tc>
          <w:tcPr>
            <w:tcW w:w="426" w:type="pct"/>
            <w:tcBorders>
              <w:top w:val="nil"/>
              <w:left w:val="nil"/>
              <w:bottom w:val="single" w:color="auto" w:sz="4" w:space="0"/>
              <w:right w:val="single" w:color="auto" w:sz="4" w:space="0"/>
            </w:tcBorders>
            <w:shd w:val="clear" w:color="auto" w:fill="auto"/>
            <w:vAlign w:val="center"/>
          </w:tcPr>
          <w:p w14:paraId="14D54295">
            <w:pPr>
              <w:spacing w:line="240" w:lineRule="auto"/>
              <w:jc w:val="center"/>
              <w:outlineLvl w:val="9"/>
              <w:rPr>
                <w:rFonts w:hint="eastAsia" w:ascii="仿宋" w:hAnsi="仿宋" w:eastAsia="仿宋" w:cs="仿宋"/>
                <w:sz w:val="20"/>
                <w:szCs w:val="20"/>
              </w:rPr>
            </w:pPr>
            <w:r>
              <w:rPr>
                <w:rFonts w:hint="eastAsia" w:ascii="仿宋" w:hAnsi="仿宋" w:eastAsia="仿宋" w:cs="仿宋"/>
                <w:sz w:val="20"/>
                <w:szCs w:val="20"/>
              </w:rPr>
              <w:t>1</w:t>
            </w:r>
          </w:p>
        </w:tc>
      </w:tr>
    </w:tbl>
    <w:p w14:paraId="660ED530">
      <w:pPr>
        <w:bidi w:val="0"/>
        <w:outlineLvl w:val="9"/>
        <w:rPr>
          <w:rFonts w:hint="eastAsia" w:ascii="仿宋" w:hAnsi="仿宋" w:eastAsia="仿宋" w:cs="仿宋"/>
        </w:rPr>
      </w:pPr>
      <w:r>
        <w:rPr>
          <w:rFonts w:hint="eastAsia" w:ascii="仿宋" w:hAnsi="仿宋" w:eastAsia="仿宋" w:cs="仿宋"/>
          <w:lang w:val="en-US" w:eastAsia="zh-CN"/>
        </w:rPr>
        <w:t>五、</w:t>
      </w:r>
      <w:r>
        <w:rPr>
          <w:rFonts w:hint="eastAsia" w:ascii="仿宋" w:hAnsi="仿宋" w:eastAsia="仿宋" w:cs="仿宋"/>
        </w:rPr>
        <w:t>其他要求</w:t>
      </w:r>
    </w:p>
    <w:p w14:paraId="7F40220F">
      <w:pPr>
        <w:pStyle w:val="11"/>
        <w:numPr>
          <w:ilvl w:val="0"/>
          <w:numId w:val="12"/>
        </w:numPr>
        <w:spacing w:line="240" w:lineRule="auto"/>
        <w:ind w:firstLine="400" w:firstLineChars="200"/>
        <w:outlineLvl w:val="9"/>
        <w:rPr>
          <w:rFonts w:hint="eastAsia" w:ascii="仿宋" w:hAnsi="仿宋" w:eastAsia="仿宋" w:cs="仿宋"/>
          <w:kern w:val="2"/>
          <w:sz w:val="20"/>
          <w:szCs w:val="20"/>
          <w:lang w:eastAsia="zh-CN"/>
          <w14:ligatures w14:val="standardContextual"/>
        </w:rPr>
      </w:pPr>
      <w:r>
        <w:rPr>
          <w:rFonts w:hint="eastAsia" w:ascii="仿宋" w:hAnsi="仿宋" w:eastAsia="仿宋" w:cs="仿宋"/>
          <w:kern w:val="2"/>
          <w:sz w:val="20"/>
          <w:szCs w:val="20"/>
          <w:lang w:eastAsia="zh-CN"/>
          <w14:ligatures w14:val="standardContextual"/>
        </w:rPr>
        <w:t xml:space="preserve">云管理平台服务要保证高可用性，针对所有关键管理数据进行定期备份，防止重要数据丢失，可快速恢复业务，可对管理系统进行平滑的扩容。 </w:t>
      </w:r>
    </w:p>
    <w:p w14:paraId="205891E4">
      <w:pPr>
        <w:pStyle w:val="11"/>
        <w:numPr>
          <w:ilvl w:val="0"/>
          <w:numId w:val="12"/>
        </w:numPr>
        <w:spacing w:line="240" w:lineRule="auto"/>
        <w:ind w:firstLine="400" w:firstLineChars="200"/>
        <w:outlineLvl w:val="9"/>
        <w:rPr>
          <w:rFonts w:hint="eastAsia" w:ascii="仿宋" w:hAnsi="仿宋" w:eastAsia="仿宋" w:cs="仿宋"/>
          <w:kern w:val="2"/>
          <w:sz w:val="20"/>
          <w:szCs w:val="20"/>
          <w:lang w:eastAsia="zh-CN"/>
          <w14:ligatures w14:val="standardContextual"/>
        </w:rPr>
      </w:pPr>
      <w:r>
        <w:rPr>
          <w:rFonts w:hint="eastAsia" w:ascii="仿宋" w:hAnsi="仿宋" w:eastAsia="仿宋" w:cs="仿宋"/>
          <w:kern w:val="2"/>
          <w:sz w:val="20"/>
          <w:szCs w:val="20"/>
          <w:lang w:eastAsia="zh-CN"/>
          <w14:ligatures w14:val="standardContextual"/>
        </w:rPr>
        <w:t xml:space="preserve">云管理面向甲方提供登录时双因素认证支持，保证安全性。实现甲方对云服务的管理功能和监控功能。 </w:t>
      </w:r>
    </w:p>
    <w:p w14:paraId="20AE54B2">
      <w:pPr>
        <w:pStyle w:val="11"/>
        <w:numPr>
          <w:ilvl w:val="0"/>
          <w:numId w:val="12"/>
        </w:numPr>
        <w:spacing w:line="240" w:lineRule="auto"/>
        <w:ind w:firstLine="400" w:firstLineChars="200"/>
        <w:outlineLvl w:val="9"/>
        <w:rPr>
          <w:rFonts w:hint="eastAsia" w:ascii="仿宋" w:hAnsi="仿宋" w:eastAsia="仿宋" w:cs="仿宋"/>
          <w:kern w:val="2"/>
          <w:sz w:val="20"/>
          <w:szCs w:val="20"/>
          <w:lang w:eastAsia="zh-CN"/>
          <w14:ligatures w14:val="standardContextual"/>
        </w:rPr>
      </w:pPr>
      <w:r>
        <w:rPr>
          <w:rFonts w:hint="eastAsia" w:ascii="仿宋" w:hAnsi="仿宋" w:eastAsia="仿宋" w:cs="仿宋"/>
          <w:kern w:val="2"/>
          <w:sz w:val="20"/>
          <w:szCs w:val="20"/>
          <w:lang w:eastAsia="zh-CN"/>
          <w14:ligatures w14:val="standardContextual"/>
        </w:rPr>
        <w:t>云管理平台支持性能管理、故障管理等功能，支持自动化运维能力。</w:t>
      </w:r>
    </w:p>
    <w:p w14:paraId="032B3868">
      <w:pPr>
        <w:pStyle w:val="11"/>
        <w:numPr>
          <w:ilvl w:val="0"/>
          <w:numId w:val="12"/>
        </w:numPr>
        <w:spacing w:line="240" w:lineRule="auto"/>
        <w:ind w:firstLine="400" w:firstLineChars="200"/>
        <w:outlineLvl w:val="9"/>
        <w:rPr>
          <w:rFonts w:hint="eastAsia" w:ascii="仿宋" w:hAnsi="仿宋" w:eastAsia="仿宋" w:cs="仿宋"/>
          <w:kern w:val="2"/>
          <w:sz w:val="20"/>
          <w:szCs w:val="20"/>
          <w:lang w:eastAsia="zh-CN"/>
          <w14:ligatures w14:val="standardContextual"/>
        </w:rPr>
      </w:pPr>
      <w:r>
        <w:rPr>
          <w:rFonts w:hint="eastAsia" w:ascii="仿宋" w:hAnsi="仿宋" w:eastAsia="仿宋" w:cs="仿宋"/>
          <w:kern w:val="2"/>
          <w:sz w:val="20"/>
          <w:szCs w:val="20"/>
          <w:lang w:eastAsia="zh-CN"/>
          <w14:ligatures w14:val="standardContextual"/>
        </w:rPr>
        <w:t xml:space="preserve">云管理平台支持大屏展示服务，提供管理人员界面和监视人员界面，用于查看活动告警/历史告警的分布和趋势。支持设置关键设备，用于查看关键设备的告警分布和趋势。 </w:t>
      </w:r>
    </w:p>
    <w:p w14:paraId="679CA8AC">
      <w:pPr>
        <w:pStyle w:val="11"/>
        <w:numPr>
          <w:ilvl w:val="0"/>
          <w:numId w:val="12"/>
        </w:numPr>
        <w:spacing w:line="240" w:lineRule="auto"/>
        <w:ind w:firstLine="400" w:firstLineChars="200"/>
        <w:outlineLvl w:val="9"/>
        <w:rPr>
          <w:rFonts w:hint="eastAsia" w:ascii="仿宋" w:hAnsi="仿宋" w:eastAsia="仿宋" w:cs="仿宋"/>
          <w:kern w:val="2"/>
          <w:sz w:val="20"/>
          <w:szCs w:val="20"/>
          <w:highlight w:val="none"/>
          <w:lang w:eastAsia="zh-CN"/>
          <w14:ligatures w14:val="standardContextual"/>
        </w:rPr>
      </w:pPr>
      <w:r>
        <w:rPr>
          <w:rFonts w:hint="eastAsia" w:ascii="仿宋" w:hAnsi="仿宋" w:eastAsia="仿宋" w:cs="仿宋"/>
          <w:kern w:val="2"/>
          <w:sz w:val="20"/>
          <w:szCs w:val="20"/>
          <w:lang w:eastAsia="zh-CN"/>
          <w14:ligatures w14:val="standardContextual"/>
        </w:rPr>
        <w:t>提供平台缺陷升级服务，提供修复云平台软件当前版本缺陷 BUG 的技术升级服务。平台巡检服务，按月提供远程运维巡检服</w:t>
      </w:r>
      <w:r>
        <w:rPr>
          <w:rFonts w:hint="eastAsia" w:ascii="仿宋" w:hAnsi="仿宋" w:eastAsia="仿宋" w:cs="仿宋"/>
          <w:kern w:val="2"/>
          <w:sz w:val="20"/>
          <w:szCs w:val="20"/>
          <w:highlight w:val="none"/>
          <w:lang w:eastAsia="zh-CN"/>
          <w14:ligatures w14:val="standardContextual"/>
        </w:rPr>
        <w:t>务并提供巡检报告。平台运维远程支持服务。</w:t>
      </w:r>
    </w:p>
    <w:p w14:paraId="009EAA54">
      <w:pPr>
        <w:pStyle w:val="11"/>
        <w:numPr>
          <w:ilvl w:val="0"/>
          <w:numId w:val="12"/>
        </w:numPr>
        <w:spacing w:line="240" w:lineRule="auto"/>
        <w:ind w:firstLine="400" w:firstLineChars="200"/>
        <w:outlineLvl w:val="9"/>
        <w:rPr>
          <w:rFonts w:hint="eastAsia" w:ascii="仿宋" w:hAnsi="仿宋" w:eastAsia="仿宋" w:cs="仿宋"/>
          <w:kern w:val="2"/>
          <w:sz w:val="20"/>
          <w:szCs w:val="20"/>
          <w:highlight w:val="none"/>
          <w:lang w:eastAsia="zh-CN"/>
          <w14:ligatures w14:val="standardContextual"/>
        </w:rPr>
      </w:pPr>
      <w:r>
        <w:rPr>
          <w:rFonts w:hint="eastAsia" w:ascii="仿宋" w:hAnsi="仿宋" w:eastAsia="仿宋" w:cs="仿宋"/>
          <w:kern w:val="2"/>
          <w:sz w:val="20"/>
          <w:szCs w:val="20"/>
          <w:highlight w:val="none"/>
          <w:lang w:eastAsia="zh-CN"/>
          <w14:ligatures w14:val="standardContextual"/>
        </w:rPr>
        <w:t xml:space="preserve"> 供应商应针对本项目为采购方指定的业务软件供应商提供业务软件部署前的测试环境，并指派专人协助排除测试中出现的问题。</w:t>
      </w:r>
    </w:p>
    <w:p w14:paraId="10265CBD">
      <w:pPr>
        <w:pStyle w:val="11"/>
        <w:numPr>
          <w:ilvl w:val="0"/>
          <w:numId w:val="12"/>
        </w:numPr>
        <w:spacing w:line="240" w:lineRule="auto"/>
        <w:ind w:firstLine="400" w:firstLineChars="200"/>
        <w:outlineLvl w:val="9"/>
        <w:rPr>
          <w:rFonts w:hint="eastAsia" w:ascii="仿宋" w:hAnsi="仿宋" w:eastAsia="仿宋" w:cs="仿宋"/>
          <w:kern w:val="2"/>
          <w:sz w:val="20"/>
          <w:szCs w:val="20"/>
          <w:highlight w:val="none"/>
          <w:lang w:eastAsia="zh-CN"/>
          <w14:ligatures w14:val="standardContextual"/>
        </w:rPr>
      </w:pPr>
      <w:r>
        <w:rPr>
          <w:rFonts w:hint="eastAsia" w:ascii="仿宋" w:hAnsi="仿宋" w:eastAsia="仿宋" w:cs="仿宋"/>
          <w:kern w:val="2"/>
          <w:sz w:val="20"/>
          <w:szCs w:val="20"/>
          <w:highlight w:val="none"/>
          <w:lang w:eastAsia="zh-CN"/>
          <w14:ligatures w14:val="standardContextual"/>
        </w:rPr>
        <w:t xml:space="preserve">备件快速更换服务。为保证快速响应需求，要求服务厂家在本地具备常用备品备件库。 </w:t>
      </w:r>
    </w:p>
    <w:p w14:paraId="008880AB">
      <w:pPr>
        <w:pStyle w:val="11"/>
        <w:numPr>
          <w:ilvl w:val="0"/>
          <w:numId w:val="12"/>
        </w:numPr>
        <w:spacing w:line="240" w:lineRule="auto"/>
        <w:ind w:firstLine="400" w:firstLineChars="200"/>
        <w:outlineLvl w:val="9"/>
        <w:rPr>
          <w:rFonts w:hint="eastAsia" w:ascii="仿宋" w:hAnsi="仿宋" w:eastAsia="仿宋" w:cs="仿宋"/>
          <w:kern w:val="2"/>
          <w:sz w:val="20"/>
          <w:szCs w:val="20"/>
          <w:highlight w:val="none"/>
          <w:lang w:eastAsia="zh-CN"/>
          <w14:ligatures w14:val="standardContextual"/>
        </w:rPr>
      </w:pPr>
      <w:r>
        <w:rPr>
          <w:rFonts w:hint="eastAsia" w:ascii="仿宋" w:hAnsi="仿宋" w:eastAsia="仿宋" w:cs="仿宋"/>
          <w:kern w:val="2"/>
          <w:sz w:val="20"/>
          <w:szCs w:val="20"/>
          <w:highlight w:val="none"/>
          <w:lang w:eastAsia="zh-CN"/>
          <w14:ligatures w14:val="standardContextual"/>
        </w:rPr>
        <w:t xml:space="preserve">提供远程电话支持服务。要求服务厂家提供7×24小时服务的客户服务热线，向客户提供全天候无间断的远程技术服务，可随时接受故障的反馈和申报。 </w:t>
      </w:r>
    </w:p>
    <w:p w14:paraId="5DADC860">
      <w:pPr>
        <w:pStyle w:val="11"/>
        <w:numPr>
          <w:ilvl w:val="0"/>
          <w:numId w:val="12"/>
        </w:numPr>
        <w:spacing w:line="240" w:lineRule="auto"/>
        <w:ind w:firstLine="400" w:firstLineChars="200"/>
        <w:outlineLvl w:val="9"/>
        <w:rPr>
          <w:rFonts w:hint="eastAsia" w:ascii="仿宋" w:hAnsi="仿宋" w:eastAsia="仿宋" w:cs="仿宋"/>
          <w:kern w:val="2"/>
          <w:sz w:val="20"/>
          <w:szCs w:val="20"/>
          <w:highlight w:val="none"/>
          <w:lang w:eastAsia="zh-CN"/>
          <w14:ligatures w14:val="standardContextual"/>
        </w:rPr>
      </w:pPr>
      <w:r>
        <w:rPr>
          <w:rFonts w:hint="eastAsia" w:ascii="仿宋" w:hAnsi="仿宋" w:eastAsia="仿宋" w:cs="仿宋"/>
          <w:kern w:val="2"/>
          <w:sz w:val="20"/>
          <w:szCs w:val="20"/>
          <w:highlight w:val="none"/>
          <w:lang w:eastAsia="zh-CN"/>
          <w14:ligatures w14:val="standardContextual"/>
        </w:rPr>
        <w:t xml:space="preserve">在本项服务的有效期内，客户可以获取并使用所购设备的主机软件更新或软件补丁，如BUG修补文件、新版本的主机软件，以及这些软件的配套文档资料。客户获得该软件后，将享有与原有软件相同的许可权利，但不得用于具有商业目的的传播。 </w:t>
      </w:r>
    </w:p>
    <w:p w14:paraId="77F31656">
      <w:pPr>
        <w:pStyle w:val="11"/>
        <w:numPr>
          <w:ilvl w:val="0"/>
          <w:numId w:val="12"/>
        </w:numPr>
        <w:spacing w:line="240" w:lineRule="auto"/>
        <w:ind w:firstLine="400" w:firstLineChars="200"/>
        <w:outlineLvl w:val="9"/>
        <w:rPr>
          <w:rFonts w:hint="eastAsia" w:ascii="仿宋" w:hAnsi="仿宋" w:eastAsia="仿宋" w:cs="仿宋"/>
          <w:sz w:val="20"/>
          <w:szCs w:val="20"/>
          <w:highlight w:val="none"/>
        </w:rPr>
      </w:pPr>
      <w:r>
        <w:rPr>
          <w:rFonts w:hint="eastAsia" w:ascii="仿宋" w:hAnsi="仿宋" w:eastAsia="仿宋" w:cs="仿宋"/>
          <w:kern w:val="2"/>
          <w:sz w:val="20"/>
          <w:szCs w:val="20"/>
          <w:highlight w:val="none"/>
          <w:lang w:eastAsia="zh-CN"/>
          <w14:ligatures w14:val="standardContextual"/>
        </w:rPr>
        <w:t>如涉及业务系统或数据迁移，供应商需配合支撑采购人进行迁移服务。</w:t>
      </w:r>
    </w:p>
    <w:p w14:paraId="0C611A76">
      <w:pPr>
        <w:pStyle w:val="11"/>
        <w:numPr>
          <w:ilvl w:val="0"/>
          <w:numId w:val="12"/>
        </w:numPr>
        <w:spacing w:line="240" w:lineRule="auto"/>
        <w:ind w:firstLine="400" w:firstLineChars="200"/>
        <w:outlineLvl w:val="9"/>
        <w:rPr>
          <w:rFonts w:hint="eastAsia" w:ascii="仿宋" w:hAnsi="仿宋" w:eastAsia="仿宋" w:cs="仿宋"/>
          <w:kern w:val="2"/>
          <w:sz w:val="20"/>
          <w:szCs w:val="20"/>
          <w:highlight w:val="none"/>
          <w:lang w:eastAsia="zh-CN"/>
          <w14:ligatures w14:val="standardContextual"/>
        </w:rPr>
      </w:pPr>
      <w:r>
        <w:rPr>
          <w:rFonts w:hint="eastAsia" w:ascii="仿宋" w:hAnsi="仿宋" w:eastAsia="仿宋" w:cs="仿宋"/>
          <w:sz w:val="20"/>
          <w:szCs w:val="20"/>
          <w:highlight w:val="none"/>
        </w:rPr>
        <w:t>为保障本次项目的服务质量，人员技术要求：熟练掌握云资源平台及网络安全设备运维操作，具备设备日常巡检及调试能力</w:t>
      </w:r>
      <w:r>
        <w:rPr>
          <w:rFonts w:hint="eastAsia" w:ascii="仿宋" w:hAnsi="仿宋" w:eastAsia="仿宋" w:cs="仿宋"/>
          <w:sz w:val="20"/>
          <w:szCs w:val="20"/>
          <w:highlight w:val="none"/>
          <w:lang w:eastAsia="zh-CN"/>
        </w:rPr>
        <w:t>。</w:t>
      </w:r>
    </w:p>
    <w:p w14:paraId="11B85B4C">
      <w:pPr>
        <w:bidi w:val="0"/>
        <w:outlineLvl w:val="9"/>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六、</w:t>
      </w:r>
      <w:r>
        <w:rPr>
          <w:rFonts w:hint="eastAsia" w:ascii="仿宋" w:hAnsi="仿宋" w:eastAsia="仿宋" w:cs="仿宋"/>
          <w:sz w:val="20"/>
          <w:szCs w:val="20"/>
          <w:highlight w:val="none"/>
        </w:rPr>
        <w:t>商务要求</w:t>
      </w:r>
    </w:p>
    <w:p w14:paraId="1D4AFA53">
      <w:pPr>
        <w:pStyle w:val="4"/>
        <w:spacing w:line="240" w:lineRule="auto"/>
        <w:outlineLvl w:val="9"/>
        <w:rPr>
          <w:rFonts w:hint="eastAsia" w:ascii="仿宋" w:hAnsi="仿宋" w:eastAsia="仿宋" w:cs="仿宋"/>
          <w:sz w:val="20"/>
          <w:szCs w:val="20"/>
          <w:highlight w:val="none"/>
        </w:rPr>
      </w:pPr>
      <w:r>
        <w:rPr>
          <w:rFonts w:hint="eastAsia" w:ascii="仿宋" w:hAnsi="仿宋" w:eastAsia="仿宋" w:cs="仿宋"/>
          <w:sz w:val="20"/>
          <w:szCs w:val="20"/>
          <w:highlight w:val="none"/>
        </w:rPr>
        <w:t>本次云平台及云资源服务、网络安全服务要求服务期限：3年，本项目采取实行一年一考核一续签合同的办法。每1年合同期满后，经双方协商一致，可续签合同，续签不超过2次。自线路开通至通过验收期间为试运行时间，验收通过后为正式运行时间。</w:t>
      </w:r>
    </w:p>
    <w:p w14:paraId="7CE10795">
      <w:pPr>
        <w:pStyle w:val="4"/>
        <w:spacing w:line="240" w:lineRule="auto"/>
        <w:ind w:left="0" w:leftChars="0" w:firstLine="0" w:firstLineChars="0"/>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七、报价说明</w:t>
      </w:r>
    </w:p>
    <w:p w14:paraId="2D1E4CBE">
      <w:pPr>
        <w:pStyle w:val="4"/>
        <w:spacing w:line="240" w:lineRule="auto"/>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本项目中标金额与预算之间的</w:t>
      </w:r>
      <w:r>
        <w:rPr>
          <w:rFonts w:hint="eastAsia" w:ascii="仿宋" w:hAnsi="仿宋" w:eastAsia="仿宋" w:cs="仿宋"/>
          <w:sz w:val="20"/>
          <w:szCs w:val="20"/>
          <w:highlight w:val="none"/>
          <w:lang w:val="en-US" w:eastAsia="zh-CN"/>
        </w:rPr>
        <w:t>实际</w:t>
      </w:r>
      <w:r>
        <w:rPr>
          <w:rFonts w:hint="default" w:ascii="仿宋" w:hAnsi="仿宋" w:eastAsia="仿宋" w:cs="仿宋"/>
          <w:sz w:val="20"/>
          <w:szCs w:val="20"/>
          <w:highlight w:val="none"/>
          <w:lang w:val="en-US" w:eastAsia="zh-CN"/>
        </w:rPr>
        <w:t>比例，将作为下游单位采购时的预算申报依据或最高限价</w:t>
      </w:r>
      <w:r>
        <w:rPr>
          <w:rFonts w:hint="eastAsia" w:ascii="仿宋" w:hAnsi="仿宋" w:eastAsia="仿宋" w:cs="仿宋"/>
          <w:sz w:val="20"/>
          <w:szCs w:val="20"/>
          <w:highlight w:val="none"/>
          <w:lang w:val="en-US" w:eastAsia="zh-CN"/>
        </w:rPr>
        <w:t>的重要参考</w:t>
      </w:r>
      <w:r>
        <w:rPr>
          <w:rFonts w:hint="default" w:ascii="仿宋" w:hAnsi="仿宋" w:eastAsia="仿宋" w:cs="仿宋"/>
          <w:sz w:val="20"/>
          <w:szCs w:val="20"/>
          <w:highlight w:val="none"/>
          <w:lang w:val="en-US" w:eastAsia="zh-CN"/>
        </w:rPr>
        <w:t>。</w:t>
      </w:r>
    </w:p>
    <w:p w14:paraId="78CD7734">
      <w:pPr>
        <w:pStyle w:val="4"/>
        <w:spacing w:line="240" w:lineRule="auto"/>
        <w:ind w:left="0" w:leftChars="0" w:firstLine="0" w:firstLineChars="0"/>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八、整体预算说明</w:t>
      </w:r>
    </w:p>
    <w:p w14:paraId="7586237D">
      <w:pPr>
        <w:jc w:val="both"/>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本项目整体预算金额为</w:t>
      </w:r>
      <w:r>
        <w:rPr>
          <w:rFonts w:hint="eastAsia" w:ascii="仿宋" w:hAnsi="仿宋" w:eastAsia="仿宋" w:cs="仿宋"/>
          <w:sz w:val="20"/>
          <w:szCs w:val="20"/>
          <w:highlight w:val="none"/>
          <w:lang w:val="en-US" w:eastAsia="zh-CN"/>
        </w:rPr>
        <w:t>101</w:t>
      </w:r>
      <w:r>
        <w:rPr>
          <w:rFonts w:hint="default" w:ascii="仿宋" w:hAnsi="仿宋" w:eastAsia="仿宋" w:cs="仿宋"/>
          <w:sz w:val="20"/>
          <w:szCs w:val="20"/>
          <w:highlight w:val="none"/>
          <w:lang w:val="en-US" w:eastAsia="zh-CN"/>
        </w:rPr>
        <w:t>万，本次采购范围为省高院部分共计</w:t>
      </w:r>
      <w:r>
        <w:rPr>
          <w:rFonts w:hint="eastAsia" w:ascii="仿宋" w:hAnsi="仿宋" w:eastAsia="仿宋" w:cs="仿宋"/>
          <w:sz w:val="20"/>
          <w:szCs w:val="20"/>
          <w:highlight w:val="none"/>
          <w:lang w:val="en-US" w:eastAsia="zh-CN"/>
        </w:rPr>
        <w:t>15</w:t>
      </w:r>
      <w:r>
        <w:rPr>
          <w:rFonts w:hint="default" w:ascii="仿宋" w:hAnsi="仿宋" w:eastAsia="仿宋" w:cs="仿宋"/>
          <w:sz w:val="20"/>
          <w:szCs w:val="20"/>
          <w:highlight w:val="none"/>
          <w:lang w:val="en-US" w:eastAsia="zh-CN"/>
        </w:rPr>
        <w:t>万元，其余部分由各中院自行采购。</w:t>
      </w:r>
    </w:p>
    <w:p w14:paraId="7F65CE19">
      <w:pPr>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br w:type="page"/>
      </w:r>
    </w:p>
    <w:p w14:paraId="65F9DE72">
      <w:pPr>
        <w:pStyle w:val="11"/>
        <w:pageBreakBefore w:val="0"/>
        <w:kinsoku/>
        <w:wordWrap/>
        <w:overflowPunct/>
        <w:topLinePunct w:val="0"/>
        <w:autoSpaceDE/>
        <w:autoSpaceDN/>
        <w:bidi w:val="0"/>
        <w:adjustRightInd/>
        <w:snapToGrid/>
        <w:textAlignment w:val="auto"/>
        <w:outlineLvl w:val="0"/>
        <w:rPr>
          <w:rFonts w:hint="eastAsia" w:ascii="仿宋" w:hAnsi="仿宋" w:eastAsia="仿宋" w:cs="仿宋"/>
          <w:b/>
          <w:bCs/>
        </w:rPr>
      </w:pPr>
      <w:r>
        <w:rPr>
          <w:rFonts w:hint="eastAsia" w:ascii="仿宋" w:hAnsi="仿宋" w:eastAsia="仿宋" w:cs="仿宋"/>
          <w:b/>
          <w:bCs/>
        </w:rPr>
        <w:t>采购包</w:t>
      </w:r>
      <w:r>
        <w:rPr>
          <w:rFonts w:hint="eastAsia" w:ascii="仿宋" w:hAnsi="仿宋" w:eastAsia="仿宋" w:cs="仿宋"/>
          <w:b/>
          <w:bCs/>
          <w:lang w:val="en-US" w:eastAsia="zh-CN"/>
        </w:rPr>
        <w:t>6</w:t>
      </w:r>
      <w:r>
        <w:rPr>
          <w:rFonts w:hint="eastAsia" w:ascii="仿宋" w:hAnsi="仿宋" w:eastAsia="仿宋" w:cs="仿宋"/>
          <w:b/>
          <w:bCs/>
        </w:rPr>
        <w:t>：</w:t>
      </w:r>
    </w:p>
    <w:p w14:paraId="77EDB6AD">
      <w:pPr>
        <w:pageBreakBefore w:val="0"/>
        <w:kinsoku/>
        <w:wordWrap/>
        <w:overflowPunct/>
        <w:topLinePunct w:val="0"/>
        <w:autoSpaceDN/>
        <w:bidi w:val="0"/>
        <w:spacing w:line="240" w:lineRule="auto"/>
        <w:outlineLvl w:val="9"/>
        <w:rPr>
          <w:rFonts w:hint="eastAsia" w:ascii="仿宋" w:hAnsi="仿宋" w:eastAsia="仿宋" w:cs="仿宋"/>
          <w:sz w:val="21"/>
          <w:szCs w:val="21"/>
        </w:rPr>
      </w:pPr>
      <w:r>
        <w:rPr>
          <w:rFonts w:hint="eastAsia" w:ascii="仿宋" w:hAnsi="仿宋" w:eastAsia="仿宋" w:cs="仿宋"/>
          <w:sz w:val="21"/>
          <w:szCs w:val="21"/>
          <w:lang w:val="en-US" w:eastAsia="zh-CN"/>
        </w:rPr>
        <w:t>一、</w:t>
      </w:r>
      <w:r>
        <w:rPr>
          <w:rFonts w:hint="eastAsia" w:ascii="仿宋" w:hAnsi="仿宋" w:eastAsia="仿宋" w:cs="仿宋"/>
          <w:sz w:val="21"/>
          <w:szCs w:val="21"/>
        </w:rPr>
        <w:t>项目概况</w:t>
      </w:r>
    </w:p>
    <w:p w14:paraId="75861144">
      <w:pPr>
        <w:pageBreakBefore w:val="0"/>
        <w:kinsoku/>
        <w:wordWrap/>
        <w:overflowPunct/>
        <w:topLinePunct w:val="0"/>
        <w:autoSpaceDN/>
        <w:bidi w:val="0"/>
        <w:spacing w:line="240" w:lineRule="auto"/>
        <w:jc w:val="both"/>
        <w:outlineLvl w:val="9"/>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建设背景</w:t>
      </w:r>
    </w:p>
    <w:p w14:paraId="335158D0">
      <w:pPr>
        <w:pageBreakBefore w:val="0"/>
        <w:kinsoku/>
        <w:wordWrap/>
        <w:overflowPunct/>
        <w:topLinePunct w:val="0"/>
        <w:autoSpaceDN/>
        <w:bidi w:val="0"/>
        <w:spacing w:line="240" w:lineRule="auto"/>
        <w:ind w:firstLine="560"/>
        <w:outlineLvl w:val="9"/>
        <w:rPr>
          <w:rFonts w:hint="eastAsia" w:ascii="仿宋" w:hAnsi="仿宋" w:eastAsia="仿宋" w:cs="仿宋"/>
          <w:sz w:val="21"/>
          <w:szCs w:val="21"/>
        </w:rPr>
      </w:pPr>
      <w:r>
        <w:rPr>
          <w:rFonts w:hint="eastAsia" w:ascii="仿宋" w:hAnsi="仿宋" w:eastAsia="仿宋" w:cs="仿宋"/>
          <w:sz w:val="21"/>
          <w:szCs w:val="21"/>
        </w:rPr>
        <w:t>为贯彻落实最高人民法院党组关于全国法院“一张网”建设工作的部署要求，有序推进“一张网”相关工作在陕西法院落地落实，结合陕西数字法院建设实际，根据最高法院下发的《关于印发&lt;全国法院“一张网”对接响应工作流程&gt;和&lt;全国法院“一张网”上线工作标准化流程指引&gt;的通知》中提到的“允许自建接入的系统清单”和本省业务需求，陕西法院需完成“全省法庭一张网对接管理平台、点对点司法查控管理系统”等系统的自建接入，本项目为采购相应系统自建对接改造。</w:t>
      </w:r>
    </w:p>
    <w:p w14:paraId="52C8E7D2">
      <w:pPr>
        <w:pageBreakBefore w:val="0"/>
        <w:kinsoku/>
        <w:wordWrap/>
        <w:overflowPunct/>
        <w:topLinePunct w:val="0"/>
        <w:autoSpaceDN/>
        <w:bidi w:val="0"/>
        <w:spacing w:line="240" w:lineRule="auto"/>
        <w:jc w:val="both"/>
        <w:outlineLvl w:val="9"/>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建设目标</w:t>
      </w:r>
    </w:p>
    <w:p w14:paraId="00724F57">
      <w:pPr>
        <w:pageBreakBefore w:val="0"/>
        <w:kinsoku/>
        <w:wordWrap/>
        <w:overflowPunct/>
        <w:topLinePunct w:val="0"/>
        <w:autoSpaceDN/>
        <w:bidi w:val="0"/>
        <w:spacing w:line="240" w:lineRule="auto"/>
        <w:ind w:firstLine="560"/>
        <w:outlineLvl w:val="9"/>
        <w:rPr>
          <w:rFonts w:hint="eastAsia" w:ascii="仿宋" w:hAnsi="仿宋" w:eastAsia="仿宋" w:cs="仿宋"/>
          <w:sz w:val="21"/>
          <w:szCs w:val="21"/>
        </w:rPr>
      </w:pPr>
      <w:r>
        <w:rPr>
          <w:rFonts w:hint="eastAsia" w:ascii="仿宋" w:hAnsi="仿宋" w:eastAsia="仿宋" w:cs="仿宋"/>
          <w:sz w:val="21"/>
          <w:szCs w:val="21"/>
        </w:rPr>
        <w:t>聚焦于在“一张网”统建体系下，保留并优化陕西现有特色应用，实现本地优势与全国标准的有机统一。</w:t>
      </w:r>
    </w:p>
    <w:p w14:paraId="3C5A6D3C">
      <w:pPr>
        <w:pageBreakBefore w:val="0"/>
        <w:kinsoku/>
        <w:wordWrap/>
        <w:overflowPunct/>
        <w:topLinePunct w:val="0"/>
        <w:autoSpaceDN/>
        <w:bidi w:val="0"/>
        <w:spacing w:line="240" w:lineRule="auto"/>
        <w:jc w:val="both"/>
        <w:outlineLvl w:val="9"/>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建设清单</w:t>
      </w:r>
    </w:p>
    <w:p w14:paraId="741D6C37">
      <w:pPr>
        <w:pageBreakBefore w:val="0"/>
        <w:kinsoku/>
        <w:wordWrap/>
        <w:overflowPunct/>
        <w:topLinePunct w:val="0"/>
        <w:autoSpaceDN/>
        <w:bidi w:val="0"/>
        <w:spacing w:line="240" w:lineRule="auto"/>
        <w:outlineLvl w:val="9"/>
        <w:rPr>
          <w:rFonts w:hint="eastAsia" w:ascii="仿宋" w:hAnsi="仿宋" w:eastAsia="仿宋" w:cs="仿宋"/>
          <w:sz w:val="21"/>
          <w:szCs w:val="21"/>
        </w:rPr>
      </w:pPr>
      <w:bookmarkStart w:id="8" w:name="OLE_LINK19"/>
      <w:r>
        <w:rPr>
          <w:rFonts w:hint="eastAsia" w:ascii="仿宋" w:hAnsi="仿宋" w:eastAsia="仿宋" w:cs="仿宋"/>
          <w:sz w:val="21"/>
          <w:szCs w:val="21"/>
        </w:rPr>
        <w:t>依据“一张网”建设应用场景，陕西法院需开展对接、改造工作的自建系统清单如下：</w:t>
      </w:r>
    </w:p>
    <w:bookmarkEnd w:id="8"/>
    <w:p w14:paraId="3A979418">
      <w:pPr>
        <w:pStyle w:val="10"/>
        <w:pageBreakBefore w:val="0"/>
        <w:kinsoku/>
        <w:wordWrap/>
        <w:overflowPunct/>
        <w:topLinePunct w:val="0"/>
        <w:autoSpaceDN/>
        <w:bidi w:val="0"/>
        <w:spacing w:line="240" w:lineRule="auto"/>
        <w:outlineLvl w:val="9"/>
        <w:rPr>
          <w:rFonts w:hint="eastAsia" w:ascii="仿宋" w:hAnsi="仿宋" w:eastAsia="仿宋" w:cs="仿宋"/>
          <w:sz w:val="21"/>
          <w:szCs w:val="21"/>
        </w:rPr>
      </w:pPr>
      <w:bookmarkStart w:id="9" w:name="OLE_LINK21"/>
      <w:r>
        <w:rPr>
          <w:rFonts w:hint="eastAsia" w:ascii="仿宋" w:hAnsi="仿宋" w:eastAsia="仿宋" w:cs="仿宋"/>
          <w:sz w:val="21"/>
          <w:szCs w:val="21"/>
          <w:lang w:val="en-US" w:eastAsia="zh-CN"/>
        </w:rPr>
        <w:t>1</w:t>
      </w:r>
      <w:r>
        <w:rPr>
          <w:rFonts w:hint="eastAsia" w:ascii="仿宋" w:hAnsi="仿宋" w:eastAsia="仿宋" w:cs="仿宋"/>
          <w:sz w:val="21"/>
          <w:szCs w:val="21"/>
        </w:rPr>
        <w:t>点对点司法查控管理系统（执行查控中转站）</w:t>
      </w:r>
    </w:p>
    <w:bookmarkEnd w:id="9"/>
    <w:p w14:paraId="64192506">
      <w:pPr>
        <w:pStyle w:val="10"/>
        <w:pageBreakBefore w:val="0"/>
        <w:kinsoku/>
        <w:wordWrap/>
        <w:overflowPunct/>
        <w:topLinePunct w:val="0"/>
        <w:autoSpaceDN/>
        <w:bidi w:val="0"/>
        <w:spacing w:line="240" w:lineRule="auto"/>
        <w:outlineLvl w:val="9"/>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法院费款管理系统（费款管理中转站）</w:t>
      </w:r>
    </w:p>
    <w:p w14:paraId="4D5A8BD8">
      <w:pPr>
        <w:pStyle w:val="10"/>
        <w:pageBreakBefore w:val="0"/>
        <w:kinsoku/>
        <w:wordWrap/>
        <w:overflowPunct/>
        <w:topLinePunct w:val="0"/>
        <w:autoSpaceDN/>
        <w:bidi w:val="0"/>
        <w:spacing w:line="240" w:lineRule="auto"/>
        <w:outlineLvl w:val="9"/>
        <w:rPr>
          <w:rFonts w:hint="eastAsia" w:ascii="仿宋" w:hAnsi="仿宋" w:eastAsia="仿宋" w:cs="仿宋"/>
          <w:sz w:val="21"/>
          <w:szCs w:val="21"/>
        </w:rPr>
      </w:pPr>
      <w:bookmarkStart w:id="10" w:name="_Hlk213358339"/>
      <w:r>
        <w:rPr>
          <w:rFonts w:hint="eastAsia" w:ascii="仿宋" w:hAnsi="仿宋" w:eastAsia="仿宋" w:cs="仿宋"/>
          <w:sz w:val="21"/>
          <w:szCs w:val="21"/>
          <w:lang w:val="en-US" w:eastAsia="zh-CN"/>
        </w:rPr>
        <w:t>3</w:t>
      </w:r>
      <w:r>
        <w:rPr>
          <w:rFonts w:hint="eastAsia" w:ascii="仿宋" w:hAnsi="仿宋" w:eastAsia="仿宋" w:cs="仿宋"/>
          <w:sz w:val="21"/>
          <w:szCs w:val="21"/>
        </w:rPr>
        <w:t>大数据服务与管理平台</w:t>
      </w:r>
    </w:p>
    <w:p w14:paraId="7AFF4192">
      <w:pPr>
        <w:pStyle w:val="10"/>
        <w:pageBreakBefore w:val="0"/>
        <w:kinsoku/>
        <w:wordWrap/>
        <w:overflowPunct/>
        <w:topLinePunct w:val="0"/>
        <w:autoSpaceDN/>
        <w:bidi w:val="0"/>
        <w:spacing w:line="240" w:lineRule="auto"/>
        <w:outlineLvl w:val="9"/>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全省法庭一张网对接管理平台</w:t>
      </w:r>
    </w:p>
    <w:bookmarkEnd w:id="10"/>
    <w:p w14:paraId="6A03B821">
      <w:pPr>
        <w:pStyle w:val="10"/>
        <w:pageBreakBefore w:val="0"/>
        <w:kinsoku/>
        <w:wordWrap/>
        <w:overflowPunct/>
        <w:topLinePunct w:val="0"/>
        <w:autoSpaceDN/>
        <w:bidi w:val="0"/>
        <w:spacing w:line="240" w:lineRule="auto"/>
        <w:outlineLvl w:val="9"/>
        <w:rPr>
          <w:rFonts w:hint="eastAsia" w:ascii="仿宋" w:hAnsi="仿宋" w:eastAsia="仿宋" w:cs="仿宋"/>
          <w:sz w:val="21"/>
          <w:szCs w:val="21"/>
        </w:rPr>
      </w:pPr>
      <w:bookmarkStart w:id="11" w:name="OLE_LINK20"/>
      <w:r>
        <w:rPr>
          <w:rFonts w:hint="eastAsia" w:ascii="仿宋" w:hAnsi="仿宋" w:eastAsia="仿宋" w:cs="仿宋"/>
          <w:sz w:val="21"/>
          <w:szCs w:val="21"/>
          <w:lang w:val="en-US" w:eastAsia="zh-CN"/>
        </w:rPr>
        <w:t>5</w:t>
      </w:r>
      <w:r>
        <w:rPr>
          <w:rFonts w:hint="eastAsia" w:ascii="仿宋" w:hAnsi="仿宋" w:eastAsia="仿宋" w:cs="仿宋"/>
          <w:sz w:val="21"/>
          <w:szCs w:val="21"/>
        </w:rPr>
        <w:t>图文识别引擎及配套服务</w:t>
      </w:r>
    </w:p>
    <w:bookmarkEnd w:id="11"/>
    <w:p w14:paraId="2BBBAFAB">
      <w:pPr>
        <w:pageBreakBefore w:val="0"/>
        <w:kinsoku/>
        <w:wordWrap/>
        <w:overflowPunct/>
        <w:topLinePunct w:val="0"/>
        <w:autoSpaceDN/>
        <w:bidi w:val="0"/>
        <w:spacing w:line="240" w:lineRule="auto"/>
        <w:outlineLvl w:val="9"/>
        <w:rPr>
          <w:rFonts w:hint="eastAsia" w:ascii="仿宋" w:hAnsi="仿宋" w:eastAsia="仿宋" w:cs="仿宋"/>
          <w:sz w:val="21"/>
          <w:szCs w:val="21"/>
        </w:rPr>
      </w:pPr>
      <w:r>
        <w:rPr>
          <w:rFonts w:hint="eastAsia" w:ascii="仿宋" w:hAnsi="仿宋" w:eastAsia="仿宋" w:cs="仿宋"/>
          <w:sz w:val="21"/>
          <w:szCs w:val="21"/>
          <w:lang w:val="en-US" w:eastAsia="zh-CN"/>
        </w:rPr>
        <w:t>二、</w:t>
      </w:r>
      <w:r>
        <w:rPr>
          <w:rFonts w:hint="eastAsia" w:ascii="仿宋" w:hAnsi="仿宋" w:eastAsia="仿宋" w:cs="仿宋"/>
          <w:sz w:val="21"/>
          <w:szCs w:val="21"/>
        </w:rPr>
        <w:t>建设内容</w:t>
      </w:r>
    </w:p>
    <w:p w14:paraId="5A4EF941">
      <w:pPr>
        <w:pageBreakBefore w:val="0"/>
        <w:kinsoku/>
        <w:wordWrap/>
        <w:overflowPunct/>
        <w:topLinePunct w:val="0"/>
        <w:autoSpaceDN/>
        <w:bidi w:val="0"/>
        <w:spacing w:line="240" w:lineRule="auto"/>
        <w:jc w:val="both"/>
        <w:outlineLvl w:val="9"/>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点对点司法查控管理系统</w:t>
      </w:r>
    </w:p>
    <w:tbl>
      <w:tblPr>
        <w:tblStyle w:val="8"/>
        <w:tblW w:w="0" w:type="auto"/>
        <w:tblInd w:w="0" w:type="dxa"/>
        <w:tblLayout w:type="autofit"/>
        <w:tblCellMar>
          <w:top w:w="0" w:type="dxa"/>
          <w:left w:w="108" w:type="dxa"/>
          <w:bottom w:w="0" w:type="dxa"/>
          <w:right w:w="108" w:type="dxa"/>
        </w:tblCellMar>
      </w:tblPr>
      <w:tblGrid>
        <w:gridCol w:w="638"/>
        <w:gridCol w:w="715"/>
        <w:gridCol w:w="6883"/>
      </w:tblGrid>
      <w:tr w14:paraId="03979B7E">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center"/>
          </w:tcPr>
          <w:p w14:paraId="22BD0D0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序号</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9AA8EC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系统名称</w:t>
            </w:r>
          </w:p>
        </w:tc>
        <w:tc>
          <w:tcPr>
            <w:tcW w:w="6883" w:type="dxa"/>
            <w:tcBorders>
              <w:top w:val="single" w:color="000000" w:sz="4" w:space="0"/>
              <w:left w:val="single" w:color="000000" w:sz="4" w:space="0"/>
              <w:bottom w:val="single" w:color="000000" w:sz="4" w:space="0"/>
              <w:right w:val="single" w:color="000000" w:sz="4" w:space="0"/>
            </w:tcBorders>
            <w:noWrap/>
            <w:vAlign w:val="center"/>
          </w:tcPr>
          <w:p w14:paraId="2F34471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技术参数</w:t>
            </w:r>
          </w:p>
        </w:tc>
      </w:tr>
      <w:tr w14:paraId="30C7664F">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center"/>
          </w:tcPr>
          <w:p w14:paraId="6A34E05A">
            <w:pPr>
              <w:keepNext w:val="0"/>
              <w:keepLines w:val="0"/>
              <w:pageBreakBefore w:val="0"/>
              <w:widowControl/>
              <w:kinsoku/>
              <w:wordWrap/>
              <w:overflowPunct/>
              <w:topLinePunct w:val="0"/>
              <w:autoSpaceDE/>
              <w:autoSpaceDN/>
              <w:bidi w:val="0"/>
              <w:adjustRightInd/>
              <w:snapToGrid/>
              <w:spacing w:line="240" w:lineRule="auto"/>
              <w:ind w:firstLine="0"/>
              <w:jc w:val="right"/>
              <w:textAlignment w:val="auto"/>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715" w:type="dxa"/>
            <w:tcBorders>
              <w:top w:val="single" w:color="000000" w:sz="4" w:space="0"/>
              <w:left w:val="single" w:color="000000" w:sz="4" w:space="0"/>
              <w:bottom w:val="single" w:color="000000" w:sz="4" w:space="0"/>
              <w:right w:val="single" w:color="000000" w:sz="4" w:space="0"/>
            </w:tcBorders>
            <w:vAlign w:val="center"/>
          </w:tcPr>
          <w:p w14:paraId="098FC3A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仿宋" w:hAnsi="仿宋" w:eastAsia="仿宋" w:cs="仿宋"/>
                <w:color w:val="000000"/>
                <w:kern w:val="0"/>
                <w:sz w:val="21"/>
                <w:szCs w:val="21"/>
              </w:rPr>
            </w:pPr>
            <w:bookmarkStart w:id="12" w:name="OLE_LINK22"/>
            <w:r>
              <w:rPr>
                <w:rFonts w:hint="eastAsia" w:ascii="仿宋" w:hAnsi="仿宋" w:eastAsia="仿宋" w:cs="仿宋"/>
                <w:color w:val="000000"/>
                <w:kern w:val="0"/>
                <w:sz w:val="21"/>
                <w:szCs w:val="21"/>
              </w:rPr>
              <w:t>点对点司法查控管理系统（执行查控中转站）</w:t>
            </w:r>
            <w:bookmarkEnd w:id="12"/>
          </w:p>
        </w:tc>
        <w:tc>
          <w:tcPr>
            <w:tcW w:w="6883" w:type="dxa"/>
            <w:tcBorders>
              <w:top w:val="single" w:color="000000" w:sz="4" w:space="0"/>
              <w:left w:val="single" w:color="000000" w:sz="4" w:space="0"/>
              <w:bottom w:val="single" w:color="000000" w:sz="4" w:space="0"/>
              <w:right w:val="single" w:color="000000" w:sz="4" w:space="0"/>
            </w:tcBorders>
            <w:vAlign w:val="center"/>
          </w:tcPr>
          <w:p w14:paraId="6B5180CF">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本地自建“点对点”通过改造对接一张网的案件中心、用户中心、实体材料中心、清洗案件、用户、标准代码相关的查控数据。</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1.1基础模块改造</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1.1.1网络查询发起接口</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需对网络查询发起接口进行改造，用于接收“一张网”推送的不动产行业的查询申请信息，由网络查控适配端转发查询申请给各协执单位。</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1.1.2网络控制发起接口</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需对网络控制发起接口进行改造，用于接收“一张网”推送的控制申请信息，由网络查控适配端转发控制申请给各协执单位。</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1.1.3获取证件信息</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网络查控适配端需支持转发证件信息给协执单位。</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1.1.4获取文书信息</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网络查控适配端需支持转发文书信息给协执单位。</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1.1.5查询状态反馈</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网络查控适配端需支持转发查询申请的状态给一张网。</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1.1.6查询结果反馈</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网络查控适配端需支持转发不动产行业的查询结果给一张网。</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1.1.7控制状态反馈</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网络查控适配端需支持转发控制申请的状态给一张网</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1.1.8控制结果信息反馈</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网络查控适配端需支持转发本地不动产控制结果给一张网。</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1.1.9获取临时sts账号接口</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可通过STS的方式获取实体材料临时账号。</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1.1.10新增实体文件接口</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新增实体文件接口，用于获取接收到的查控文书材料的实体编号。</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1.1.11协执交互转换</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不动产行业交互规范中涉及与标准中心代码不一致的，如证件类型、法院代码等，交互时需要进行转换处理。</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1.1.12不动产查询中转成效监测</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可视化监测不动产查询中转的运行成效。</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1.1.13不动产控制中转成效监测</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可视化监测不动产控制中转的运行成效。</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1.2一张网对接</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1.2.1数据清洗</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需根据一张网要求清洗查控案件、查控用户、查控业务数据。</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1.2.2联调实施</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需根据与各协执单位的技术对接规范进行联调。首先需要调试各协执单位的查控相关接口，确保业务数据能正常发送和接收，参数格式都符合要求，避免出现调用失败或数据错误。其次需要验证数据交互的准确性，重点核对关键数据，确保没有丢失或错乱。最后要测试业务功能，模拟用户实际操作，检查业务功能是否正常。</w:t>
            </w:r>
          </w:p>
        </w:tc>
      </w:tr>
    </w:tbl>
    <w:p w14:paraId="068AA43B">
      <w:pPr>
        <w:pageBreakBefore w:val="0"/>
        <w:kinsoku/>
        <w:wordWrap/>
        <w:overflowPunct/>
        <w:topLinePunct w:val="0"/>
        <w:autoSpaceDN/>
        <w:bidi w:val="0"/>
        <w:spacing w:line="240" w:lineRule="auto"/>
        <w:jc w:val="both"/>
        <w:outlineLvl w:val="9"/>
        <w:rPr>
          <w:rFonts w:hint="eastAsia" w:ascii="仿宋" w:hAnsi="仿宋" w:eastAsia="仿宋" w:cs="仿宋"/>
          <w:sz w:val="21"/>
          <w:szCs w:val="21"/>
          <w:lang w:val="en-US" w:eastAsia="zh-CN"/>
        </w:rPr>
      </w:pPr>
    </w:p>
    <w:p w14:paraId="6CACA7C2">
      <w:pPr>
        <w:pageBreakBefore w:val="0"/>
        <w:kinsoku/>
        <w:wordWrap/>
        <w:overflowPunct/>
        <w:topLinePunct w:val="0"/>
        <w:autoSpaceDN/>
        <w:bidi w:val="0"/>
        <w:spacing w:line="240" w:lineRule="auto"/>
        <w:jc w:val="both"/>
        <w:outlineLvl w:val="9"/>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费款管理系统</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57"/>
        <w:gridCol w:w="6741"/>
      </w:tblGrid>
      <w:tr w14:paraId="5DD2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ign w:val="center"/>
          </w:tcPr>
          <w:p w14:paraId="36ACAD1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序号</w:t>
            </w:r>
          </w:p>
        </w:tc>
        <w:tc>
          <w:tcPr>
            <w:tcW w:w="857" w:type="dxa"/>
            <w:noWrap/>
            <w:vAlign w:val="center"/>
          </w:tcPr>
          <w:p w14:paraId="197A4A9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系统名称</w:t>
            </w:r>
          </w:p>
        </w:tc>
        <w:tc>
          <w:tcPr>
            <w:tcW w:w="6741" w:type="dxa"/>
            <w:noWrap/>
            <w:vAlign w:val="center"/>
          </w:tcPr>
          <w:p w14:paraId="038D466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技术参数</w:t>
            </w:r>
          </w:p>
        </w:tc>
      </w:tr>
      <w:tr w14:paraId="0348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ign w:val="center"/>
          </w:tcPr>
          <w:p w14:paraId="6E2ADF9C">
            <w:pPr>
              <w:keepNext w:val="0"/>
              <w:keepLines w:val="0"/>
              <w:pageBreakBefore w:val="0"/>
              <w:widowControl/>
              <w:kinsoku/>
              <w:wordWrap/>
              <w:overflowPunct/>
              <w:topLinePunct w:val="0"/>
              <w:autoSpaceDE/>
              <w:autoSpaceDN/>
              <w:bidi w:val="0"/>
              <w:adjustRightInd/>
              <w:snapToGrid/>
              <w:spacing w:line="240" w:lineRule="auto"/>
              <w:ind w:firstLine="0"/>
              <w:jc w:val="right"/>
              <w:textAlignment w:val="auto"/>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857" w:type="dxa"/>
            <w:vAlign w:val="center"/>
          </w:tcPr>
          <w:p w14:paraId="7DD14380">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费款管理系统对接改造</w:t>
            </w:r>
          </w:p>
        </w:tc>
        <w:tc>
          <w:tcPr>
            <w:tcW w:w="6741" w:type="dxa"/>
            <w:vAlign w:val="center"/>
          </w:tcPr>
          <w:p w14:paraId="601791FD">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张网”统建费款模块负责审执法官端案款业务管理。本地“自建费款财务管理”需通过改造对接一张网的案件中心、用户中心、流程中心、实体材料中心、清洗案件、用户、标准代码相关的基础数据。本地“自建费款财务管理”需负责法院财务端的财务管理、与银行系统对接、与非税财政对接、非税电子票据对接等。</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2.1基础模块改造</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2.1.1获取虚拟账号</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费款中心可通过“一张网”客户端发起请求，对接服务端转发程序，获取银行返回的子账号作为虚拟账号</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2.1.2推送应缴信息</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费款中心推送应缴信息，可通过对接服务程序记载应缴信息，如涉及获取缴款码，推送财政非税系统获取缴款码返回费款中心。</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2.1.3作废应缴信息</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费款中心推送应缴作废信息，可通过对接服务程序作废相应的应缴信息。</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2.1.4.查询到账信息</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费款中心传入虚拟账号、缴款码或应缴费编号，可通过对接服务程序转发查询是否到账。</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2.1.5调账信息</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费款中心推送调账信息，可通过对接服务程序通知银行进行调账。</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2.1.6.推送出账信息</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费款中心推送出账信息，可通过对接服务程序通知调用银行出账接口，通知银行进行出账。</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2.1.7查询出账状态</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费款中心查询已推送的出账申请是否已出账，可通过调用银行接口查询出账状态并返回费款中心。</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2.1.8申请开票信息</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费款中心推送开票信息，可通过对接服务程序调用电子票据接口开具电子票据</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2.1.9获取电子票据文件</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费款中心可通过对接服务程序，下载已申请开具的电子票据文件。</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2.1.10作废票据信息</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费款中心通过对接服务程序，将已开具的电子票据进行冲红。</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2.1.11票据重开信息</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费款中心可通过对接服务程序重新开具票据。</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2.1.12收款账户甄别</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费款中心可通过对接服务程序将当事人提供的账号推送银行进行校验。</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2.2一张网对接</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2.2.1接收到账信息</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银行或财政可通过调用对接服务程序接口传送到账信息，对接服务程序调用该接口将到账信息传入费款中心。</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2.2.2接收出账结果</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银行可通过调用对接服务程序接口传送出账结果信息，对接服务程序调用该接口将出账结果传入费款中心。</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2.2.3接收电子票据文件</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可通过对接服务程序将获取的电子票据文件，传入费款中心。</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2.2.4接收对账文件</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银行方在T+1日传入T日的对账文件，可通过对接服务程序将对账文件传入费款中心。</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3送达系统对接改造</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对接一张网送达电话相关接口，书记员自行发起电话送达，保存电话记录及电话录音。</w:t>
            </w:r>
          </w:p>
        </w:tc>
      </w:tr>
    </w:tbl>
    <w:p w14:paraId="5E3E60DD">
      <w:pPr>
        <w:pageBreakBefore w:val="0"/>
        <w:kinsoku/>
        <w:wordWrap/>
        <w:overflowPunct/>
        <w:topLinePunct w:val="0"/>
        <w:autoSpaceDN/>
        <w:bidi w:val="0"/>
        <w:spacing w:line="240" w:lineRule="auto"/>
        <w:ind w:firstLine="0"/>
        <w:outlineLvl w:val="9"/>
        <w:rPr>
          <w:rFonts w:hint="eastAsia" w:ascii="仿宋" w:hAnsi="仿宋" w:eastAsia="仿宋" w:cs="仿宋"/>
          <w:sz w:val="21"/>
          <w:szCs w:val="21"/>
        </w:rPr>
      </w:pPr>
    </w:p>
    <w:p w14:paraId="20E8F06C">
      <w:pPr>
        <w:pageBreakBefore w:val="0"/>
        <w:kinsoku/>
        <w:wordWrap/>
        <w:overflowPunct/>
        <w:topLinePunct w:val="0"/>
        <w:autoSpaceDN/>
        <w:bidi w:val="0"/>
        <w:spacing w:line="240" w:lineRule="auto"/>
        <w:jc w:val="both"/>
        <w:outlineLvl w:val="9"/>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大数据服务与管理平台</w:t>
      </w:r>
    </w:p>
    <w:tbl>
      <w:tblPr>
        <w:tblStyle w:val="8"/>
        <w:tblW w:w="0" w:type="auto"/>
        <w:tblInd w:w="0" w:type="dxa"/>
        <w:tblLayout w:type="autofit"/>
        <w:tblCellMar>
          <w:top w:w="0" w:type="dxa"/>
          <w:left w:w="108" w:type="dxa"/>
          <w:bottom w:w="0" w:type="dxa"/>
          <w:right w:w="108" w:type="dxa"/>
        </w:tblCellMar>
      </w:tblPr>
      <w:tblGrid>
        <w:gridCol w:w="638"/>
        <w:gridCol w:w="834"/>
        <w:gridCol w:w="7050"/>
      </w:tblGrid>
      <w:tr w14:paraId="4692C6BD">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center"/>
          </w:tcPr>
          <w:p w14:paraId="235C17BB">
            <w:pPr>
              <w:pageBreakBefore w:val="0"/>
              <w:widowControl/>
              <w:kinsoku/>
              <w:wordWrap/>
              <w:overflowPunct/>
              <w:topLinePunct w:val="0"/>
              <w:autoSpaceDN/>
              <w:bidi w:val="0"/>
              <w:spacing w:line="240" w:lineRule="auto"/>
              <w:ind w:firstLine="0"/>
              <w:jc w:val="center"/>
              <w:outlineLvl w:val="9"/>
              <w:rPr>
                <w:rFonts w:hint="eastAsia" w:ascii="仿宋" w:hAnsi="仿宋" w:eastAsia="仿宋" w:cs="仿宋"/>
                <w:color w:val="000000"/>
                <w:kern w:val="0"/>
                <w:sz w:val="21"/>
                <w:szCs w:val="21"/>
              </w:rPr>
            </w:pPr>
            <w:bookmarkStart w:id="13" w:name="_Hlk213365590"/>
            <w:r>
              <w:rPr>
                <w:rFonts w:hint="eastAsia" w:ascii="仿宋" w:hAnsi="仿宋" w:eastAsia="仿宋" w:cs="仿宋"/>
                <w:b/>
                <w:bCs/>
                <w:color w:val="000000"/>
                <w:sz w:val="21"/>
                <w:szCs w:val="21"/>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1F073920">
            <w:pPr>
              <w:pageBreakBefore w:val="0"/>
              <w:widowControl/>
              <w:kinsoku/>
              <w:wordWrap/>
              <w:overflowPunct/>
              <w:topLinePunct w:val="0"/>
              <w:autoSpaceDN/>
              <w:bidi w:val="0"/>
              <w:spacing w:line="240" w:lineRule="auto"/>
              <w:ind w:firstLine="0"/>
              <w:jc w:val="center"/>
              <w:outlineLvl w:val="9"/>
              <w:rPr>
                <w:rFonts w:hint="eastAsia" w:ascii="仿宋" w:hAnsi="仿宋" w:eastAsia="仿宋" w:cs="仿宋"/>
                <w:color w:val="000000"/>
                <w:kern w:val="0"/>
                <w:sz w:val="21"/>
                <w:szCs w:val="21"/>
              </w:rPr>
            </w:pPr>
            <w:r>
              <w:rPr>
                <w:rFonts w:hint="eastAsia" w:ascii="仿宋" w:hAnsi="仿宋" w:eastAsia="仿宋" w:cs="仿宋"/>
                <w:b/>
                <w:bCs/>
                <w:color w:val="000000"/>
                <w:sz w:val="21"/>
                <w:szCs w:val="21"/>
              </w:rPr>
              <w:t>系统名称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73275272">
            <w:pPr>
              <w:pageBreakBefore w:val="0"/>
              <w:widowControl/>
              <w:kinsoku/>
              <w:wordWrap/>
              <w:overflowPunct/>
              <w:topLinePunct w:val="0"/>
              <w:autoSpaceDN/>
              <w:bidi w:val="0"/>
              <w:spacing w:line="240" w:lineRule="auto"/>
              <w:ind w:firstLine="0"/>
              <w:jc w:val="center"/>
              <w:outlineLvl w:val="9"/>
              <w:rPr>
                <w:rFonts w:hint="eastAsia" w:ascii="仿宋" w:hAnsi="仿宋" w:eastAsia="仿宋" w:cs="仿宋"/>
                <w:color w:val="000000"/>
                <w:kern w:val="0"/>
                <w:sz w:val="21"/>
                <w:szCs w:val="21"/>
              </w:rPr>
            </w:pPr>
            <w:r>
              <w:rPr>
                <w:rFonts w:hint="eastAsia" w:ascii="仿宋" w:hAnsi="仿宋" w:eastAsia="仿宋" w:cs="仿宋"/>
                <w:b/>
                <w:bCs/>
                <w:color w:val="000000"/>
                <w:sz w:val="21"/>
                <w:szCs w:val="21"/>
              </w:rPr>
              <w:t>技术参数</w:t>
            </w:r>
          </w:p>
        </w:tc>
      </w:tr>
      <w:bookmarkEnd w:id="13"/>
      <w:tr w14:paraId="4CF314B5">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noWrap/>
            <w:vAlign w:val="center"/>
          </w:tcPr>
          <w:p w14:paraId="07DF2D16">
            <w:pPr>
              <w:pageBreakBefore w:val="0"/>
              <w:widowControl/>
              <w:kinsoku/>
              <w:wordWrap/>
              <w:overflowPunct/>
              <w:topLinePunct w:val="0"/>
              <w:autoSpaceDN/>
              <w:bidi w:val="0"/>
              <w:spacing w:line="240" w:lineRule="auto"/>
              <w:ind w:firstLine="0"/>
              <w:jc w:val="right"/>
              <w:outlineLvl w:val="9"/>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17D1521A">
            <w:pPr>
              <w:pageBreakBefore w:val="0"/>
              <w:widowControl/>
              <w:kinsoku/>
              <w:wordWrap/>
              <w:overflowPunct/>
              <w:topLinePunct w:val="0"/>
              <w:autoSpaceDN/>
              <w:bidi w:val="0"/>
              <w:spacing w:line="240" w:lineRule="auto"/>
              <w:ind w:firstLine="0"/>
              <w:jc w:val="center"/>
              <w:outlineLvl w:val="9"/>
              <w:rPr>
                <w:rFonts w:hint="eastAsia" w:ascii="仿宋" w:hAnsi="仿宋" w:eastAsia="仿宋" w:cs="仿宋"/>
                <w:color w:val="000000"/>
                <w:kern w:val="0"/>
                <w:sz w:val="21"/>
                <w:szCs w:val="21"/>
              </w:rPr>
            </w:pPr>
            <w:bookmarkStart w:id="14" w:name="_Hlk213324538"/>
            <w:r>
              <w:rPr>
                <w:rFonts w:hint="eastAsia" w:ascii="仿宋" w:hAnsi="仿宋" w:eastAsia="仿宋" w:cs="仿宋"/>
                <w:color w:val="000000"/>
                <w:kern w:val="0"/>
                <w:sz w:val="21"/>
                <w:szCs w:val="21"/>
              </w:rPr>
              <w:t>大数据服务与管理平台</w:t>
            </w:r>
            <w:bookmarkEnd w:id="14"/>
          </w:p>
        </w:tc>
        <w:tc>
          <w:tcPr>
            <w:tcW w:w="0" w:type="auto"/>
            <w:tcBorders>
              <w:top w:val="single" w:color="000000" w:sz="4" w:space="0"/>
              <w:left w:val="single" w:color="000000" w:sz="4" w:space="0"/>
              <w:bottom w:val="single" w:color="000000" w:sz="4" w:space="0"/>
              <w:right w:val="single" w:color="000000" w:sz="4" w:space="0"/>
            </w:tcBorders>
            <w:vAlign w:val="center"/>
          </w:tcPr>
          <w:p w14:paraId="54477042">
            <w:pPr>
              <w:pageBreakBefore w:val="0"/>
              <w:widowControl/>
              <w:kinsoku/>
              <w:wordWrap/>
              <w:overflowPunct/>
              <w:topLinePunct w:val="0"/>
              <w:autoSpaceDN/>
              <w:bidi w:val="0"/>
              <w:spacing w:line="240" w:lineRule="auto"/>
              <w:ind w:firstLine="0"/>
              <w:jc w:val="left"/>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.1对接范围</w:t>
            </w:r>
          </w:p>
          <w:p w14:paraId="53AA7263">
            <w:pPr>
              <w:pageBreakBefore w:val="0"/>
              <w:widowControl/>
              <w:kinsoku/>
              <w:wordWrap/>
              <w:overflowPunct/>
              <w:topLinePunct w:val="0"/>
              <w:autoSpaceDN/>
              <w:bidi w:val="0"/>
              <w:spacing w:line="240" w:lineRule="auto"/>
              <w:ind w:firstLine="0"/>
              <w:jc w:val="left"/>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.1.1 “一张网”下行数据全量对接</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（1）结构化数据，包括：案款、标准中心、裁判文书、电子卷宗、电子签章、排期、送达、用户中心、阅核、执行、档案模块、审判、四类案件、信访、案件评查、人民陪审员、督办等。</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（2）非结构化数据，包括：裁判文书、程序性文书、程序性通知、诉讼主体文书、证据材料，以及其他材料。</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.1.2数据应用服务对接</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本期与最高院“一张网”下行数据能力中心对接后，要调整的数据应用平台，包括：陕西辖区法院审判质效管理平台及执行质效管理平台，省高院的法官业绩管理平台及数据会商等。数据按日实时更新，指标口径按照最高院、省高院管理要求实时对接。</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.1.3主数据对接及标准规范管理</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本期与最高院“一张网”下行数据能力中心对接后，要调整大数据服务与管理平台的主数据，包括：主数据分类、主数据编码、主数据整合、主数据维护等功能。陕西省大数据服务与管理平台作为陕西省高院的数据枢纽中心，既要承接“一张网”的数据标准要求，又要满足本地外部平台数据共享交换的数据标准规范要求。</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.1.4数据对接接口方式</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平台与最高院“一张网”对接的接口方式需包含以下三种：数据节点、状态及文件处理的接口对接。</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.2技术要求</w:t>
            </w:r>
            <w:r>
              <w:rPr>
                <w:rFonts w:hint="eastAsia" w:ascii="仿宋" w:hAnsi="仿宋" w:eastAsia="仿宋" w:cs="仿宋"/>
                <w:color w:val="000000"/>
                <w:kern w:val="0"/>
                <w:sz w:val="21"/>
                <w:szCs w:val="21"/>
              </w:rPr>
              <w:br w:type="textWrapping"/>
            </w:r>
            <w:bookmarkStart w:id="15" w:name="OLE_LINK16"/>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.2.1</w:t>
            </w:r>
            <w:bookmarkEnd w:id="15"/>
            <w:r>
              <w:rPr>
                <w:rFonts w:hint="eastAsia" w:ascii="仿宋" w:hAnsi="仿宋" w:eastAsia="仿宋" w:cs="仿宋"/>
                <w:color w:val="000000"/>
                <w:kern w:val="0"/>
                <w:sz w:val="21"/>
                <w:szCs w:val="21"/>
              </w:rPr>
              <w:t>下行数据实时全量有序入库</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本期陕西省大数据服务与管理平台承接最高院“一张网”数据服务能力中心下行的数据，要提供下行数据实时、全量、有序插入陕西省大数据服务与管理平台的原始库、标准库、融合库和主题库，保障上层数据应用服务系统的数据源。</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.2.2数据实时解析</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陕西省大数据服务与管理平台支持对承接的最高院“一张网”下行非结构化数据进行按日实时解析能力，并将实时解析后的数据与结构化数据深度融合。</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.2.3数据标准对齐</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与最高院“一张网”对接的数据标准要对齐，依据“一张网”要求的案件基本信息、被告人信息、涉案财务信息等所有信息中的编码进行转换，且通过“一张网”校验，同时，还需通过总平台的数据质检。</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.2.4数据治理及安全要求</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（1）数据治理规范：陕西省大数据服务与管理平台对接完成后的数据要符合“一张网”数据标准规范，满足陕西辖区法院数据应用需要，满足陕西省高院司法数据全生命周期管理要求。</w:t>
            </w:r>
            <w:bookmarkStart w:id="16" w:name="OLE_LINK13"/>
            <w:r>
              <w:rPr>
                <w:rFonts w:hint="eastAsia" w:ascii="仿宋" w:hAnsi="仿宋" w:eastAsia="仿宋" w:cs="仿宋"/>
                <w:color w:val="000000"/>
                <w:kern w:val="0"/>
                <w:sz w:val="21"/>
                <w:szCs w:val="21"/>
              </w:rPr>
              <w:t>（需提供承诺函）</w:t>
            </w:r>
            <w:bookmarkEnd w:id="16"/>
            <w:bookmarkStart w:id="17" w:name="OLE_LINK12"/>
            <w:r>
              <w:rPr>
                <w:rFonts w:hint="eastAsia" w:ascii="仿宋" w:hAnsi="仿宋" w:eastAsia="仿宋" w:cs="仿宋"/>
                <w:color w:val="000000"/>
                <w:kern w:val="0"/>
                <w:sz w:val="21"/>
                <w:szCs w:val="21"/>
              </w:rPr>
              <w:br w:type="textWrapping"/>
            </w:r>
            <w:bookmarkEnd w:id="17"/>
            <w:r>
              <w:rPr>
                <w:rFonts w:hint="eastAsia" w:ascii="仿宋" w:hAnsi="仿宋" w:eastAsia="仿宋" w:cs="仿宋"/>
                <w:color w:val="000000"/>
                <w:kern w:val="0"/>
                <w:sz w:val="21"/>
                <w:szCs w:val="21"/>
              </w:rPr>
              <w:t>（2）数据安全处理：对接和数据承接过程中只能通过法院专网，需确保接口通畅、数据不丢失，数据不泄露，在关键节点做好数据备份。（需提供承诺函）</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3）本地业务保障：承接后的数据应能保证本地业务的可持续开展，一是满足系统正常运行的需要，包括数据的可显示、可控制及可再次利用等。二是从软件实现、网络保障等方面，考虑必要的替代方案，以应对在风险无法规避时的突发情况。</w:t>
            </w:r>
          </w:p>
        </w:tc>
      </w:tr>
    </w:tbl>
    <w:p w14:paraId="246E4E4E">
      <w:pPr>
        <w:pageBreakBefore w:val="0"/>
        <w:kinsoku/>
        <w:wordWrap/>
        <w:overflowPunct/>
        <w:topLinePunct w:val="0"/>
        <w:autoSpaceDN/>
        <w:bidi w:val="0"/>
        <w:spacing w:line="240" w:lineRule="auto"/>
        <w:jc w:val="both"/>
        <w:outlineLvl w:val="9"/>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全省法庭一张网对接管理平台</w:t>
      </w:r>
    </w:p>
    <w:tbl>
      <w:tblPr>
        <w:tblStyle w:val="8"/>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977"/>
        <w:gridCol w:w="6732"/>
      </w:tblGrid>
      <w:tr w14:paraId="3E38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36BEC50D">
            <w:pPr>
              <w:pageBreakBefore w:val="0"/>
              <w:kinsoku/>
              <w:wordWrap/>
              <w:overflowPunct/>
              <w:topLinePunct w:val="0"/>
              <w:autoSpaceDN/>
              <w:bidi w:val="0"/>
              <w:spacing w:line="240" w:lineRule="auto"/>
              <w:ind w:firstLine="0"/>
              <w:outlineLvl w:val="9"/>
              <w:rPr>
                <w:rFonts w:hint="eastAsia" w:ascii="仿宋" w:hAnsi="仿宋" w:eastAsia="仿宋" w:cs="仿宋"/>
                <w:b/>
                <w:bCs/>
                <w:sz w:val="20"/>
                <w:szCs w:val="20"/>
              </w:rPr>
            </w:pPr>
            <w:r>
              <w:rPr>
                <w:rFonts w:hint="eastAsia" w:ascii="仿宋" w:hAnsi="仿宋" w:eastAsia="仿宋" w:cs="仿宋"/>
                <w:b/>
                <w:bCs/>
                <w:sz w:val="20"/>
                <w:szCs w:val="20"/>
              </w:rPr>
              <w:t>序号</w:t>
            </w:r>
          </w:p>
        </w:tc>
        <w:tc>
          <w:tcPr>
            <w:tcW w:w="977" w:type="dxa"/>
            <w:tcBorders>
              <w:top w:val="single" w:color="auto" w:sz="4" w:space="0"/>
              <w:left w:val="nil"/>
              <w:bottom w:val="single" w:color="auto" w:sz="4" w:space="0"/>
              <w:right w:val="single" w:color="auto" w:sz="4" w:space="0"/>
            </w:tcBorders>
            <w:noWrap/>
            <w:vAlign w:val="center"/>
          </w:tcPr>
          <w:p w14:paraId="4F9A5ED6">
            <w:pPr>
              <w:pageBreakBefore w:val="0"/>
              <w:kinsoku/>
              <w:wordWrap/>
              <w:overflowPunct/>
              <w:topLinePunct w:val="0"/>
              <w:autoSpaceDN/>
              <w:bidi w:val="0"/>
              <w:spacing w:line="240" w:lineRule="auto"/>
              <w:ind w:firstLine="0"/>
              <w:outlineLvl w:val="9"/>
              <w:rPr>
                <w:rFonts w:hint="eastAsia" w:ascii="仿宋" w:hAnsi="仿宋" w:eastAsia="仿宋" w:cs="仿宋"/>
                <w:b/>
                <w:bCs/>
                <w:sz w:val="20"/>
                <w:szCs w:val="20"/>
              </w:rPr>
            </w:pPr>
            <w:r>
              <w:rPr>
                <w:rFonts w:hint="eastAsia" w:ascii="仿宋" w:hAnsi="仿宋" w:eastAsia="仿宋" w:cs="仿宋"/>
                <w:b/>
                <w:bCs/>
                <w:sz w:val="20"/>
                <w:szCs w:val="20"/>
              </w:rPr>
              <w:t>系统名称</w:t>
            </w:r>
          </w:p>
        </w:tc>
        <w:tc>
          <w:tcPr>
            <w:tcW w:w="6732" w:type="dxa"/>
            <w:tcBorders>
              <w:top w:val="single" w:color="auto" w:sz="4" w:space="0"/>
              <w:left w:val="nil"/>
              <w:bottom w:val="single" w:color="auto" w:sz="4" w:space="0"/>
              <w:right w:val="single" w:color="auto" w:sz="4" w:space="0"/>
            </w:tcBorders>
            <w:noWrap/>
            <w:vAlign w:val="center"/>
          </w:tcPr>
          <w:p w14:paraId="70350CC8">
            <w:pPr>
              <w:pageBreakBefore w:val="0"/>
              <w:kinsoku/>
              <w:wordWrap/>
              <w:overflowPunct/>
              <w:topLinePunct w:val="0"/>
              <w:autoSpaceDN/>
              <w:bidi w:val="0"/>
              <w:spacing w:line="240" w:lineRule="auto"/>
              <w:ind w:firstLine="0"/>
              <w:outlineLvl w:val="9"/>
              <w:rPr>
                <w:rFonts w:hint="eastAsia" w:ascii="仿宋" w:hAnsi="仿宋" w:eastAsia="仿宋" w:cs="仿宋"/>
                <w:b/>
                <w:bCs/>
                <w:sz w:val="20"/>
                <w:szCs w:val="20"/>
              </w:rPr>
            </w:pPr>
            <w:r>
              <w:rPr>
                <w:rFonts w:hint="eastAsia" w:ascii="仿宋" w:hAnsi="仿宋" w:eastAsia="仿宋" w:cs="仿宋"/>
                <w:b/>
                <w:bCs/>
                <w:sz w:val="20"/>
                <w:szCs w:val="20"/>
              </w:rPr>
              <w:t>技术参数</w:t>
            </w:r>
          </w:p>
        </w:tc>
      </w:tr>
      <w:tr w14:paraId="4588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130AE303">
            <w:pPr>
              <w:pageBreakBefore w:val="0"/>
              <w:kinsoku/>
              <w:wordWrap/>
              <w:overflowPunct/>
              <w:topLinePunct w:val="0"/>
              <w:autoSpaceDN/>
              <w:bidi w:val="0"/>
              <w:spacing w:line="240" w:lineRule="auto"/>
              <w:ind w:firstLine="0"/>
              <w:outlineLvl w:val="9"/>
              <w:rPr>
                <w:rFonts w:hint="eastAsia" w:ascii="仿宋" w:hAnsi="仿宋" w:eastAsia="仿宋" w:cs="仿宋"/>
                <w:sz w:val="20"/>
                <w:szCs w:val="20"/>
                <w:lang w:eastAsia="zh-CN"/>
              </w:rPr>
            </w:pPr>
            <w:r>
              <w:rPr>
                <w:rFonts w:hint="eastAsia" w:ascii="仿宋" w:hAnsi="仿宋" w:eastAsia="仿宋" w:cs="仿宋"/>
                <w:sz w:val="20"/>
                <w:szCs w:val="20"/>
                <w:lang w:val="en-US" w:eastAsia="zh-CN"/>
              </w:rPr>
              <w:t>4</w:t>
            </w:r>
          </w:p>
        </w:tc>
        <w:tc>
          <w:tcPr>
            <w:tcW w:w="977" w:type="dxa"/>
            <w:tcBorders>
              <w:top w:val="single" w:color="auto" w:sz="4" w:space="0"/>
              <w:left w:val="nil"/>
              <w:bottom w:val="single" w:color="auto" w:sz="4" w:space="0"/>
              <w:right w:val="single" w:color="auto" w:sz="4" w:space="0"/>
            </w:tcBorders>
            <w:noWrap/>
            <w:vAlign w:val="center"/>
          </w:tcPr>
          <w:p w14:paraId="23B3AE4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bookmarkStart w:id="18" w:name="_Hlk213324343"/>
            <w:r>
              <w:rPr>
                <w:rFonts w:hint="eastAsia" w:ascii="仿宋" w:hAnsi="仿宋" w:eastAsia="仿宋" w:cs="仿宋"/>
                <w:sz w:val="20"/>
                <w:szCs w:val="20"/>
              </w:rPr>
              <w:t>全省法庭一张网对接管理平台</w:t>
            </w:r>
            <w:bookmarkEnd w:id="18"/>
          </w:p>
        </w:tc>
        <w:tc>
          <w:tcPr>
            <w:tcW w:w="6732" w:type="dxa"/>
            <w:tcBorders>
              <w:top w:val="single" w:color="auto" w:sz="4" w:space="0"/>
              <w:left w:val="nil"/>
              <w:bottom w:val="single" w:color="auto" w:sz="4" w:space="0"/>
              <w:right w:val="single" w:color="auto" w:sz="4" w:space="0"/>
            </w:tcBorders>
            <w:noWrap/>
            <w:vAlign w:val="center"/>
          </w:tcPr>
          <w:p w14:paraId="25C0AA02">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系统采用B/S架构，将全省法院的庭审数据进行集中汇聚、调度和信息管理。高院对全省法院庭审数据进行集中汇聚，上报给最高人民法院可视化运维管理平台，平台具有首页展示、开庭公告、正在庭审、庭审点播、法庭建设等多个应用模块，系统具备和“一张网”办案办公平台对接的能力，按照“一张网”对接指引规范，统一获取全省庭审场景所需的各类数据，实现组织结构、部门人员、案件排期、电子卷宗等信息获取，实现庭审笔录、庭审直播、庭审点播、电子材料回传等功能。</w:t>
            </w:r>
          </w:p>
          <w:p w14:paraId="78A1613B">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w:t>
            </w:r>
            <w:r>
              <w:rPr>
                <w:rFonts w:hint="eastAsia" w:ascii="仿宋" w:hAnsi="仿宋" w:eastAsia="仿宋" w:cs="仿宋"/>
                <w:sz w:val="20"/>
                <w:szCs w:val="20"/>
              </w:rPr>
              <w:t>系统首页展示</w:t>
            </w:r>
          </w:p>
          <w:p w14:paraId="29F411EB">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4.1.1</w:t>
            </w:r>
            <w:r>
              <w:rPr>
                <w:rFonts w:hint="eastAsia" w:ascii="仿宋" w:hAnsi="仿宋" w:eastAsia="仿宋" w:cs="仿宋"/>
                <w:sz w:val="20"/>
                <w:szCs w:val="20"/>
              </w:rPr>
              <w:t>导航模块功能需求</w:t>
            </w:r>
          </w:p>
          <w:p w14:paraId="28516F29">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需具备系统标识展示功能；设置多维度功能导航栏</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可</w:t>
            </w:r>
            <w:r>
              <w:rPr>
                <w:rFonts w:hint="eastAsia" w:ascii="仿宋" w:hAnsi="仿宋" w:eastAsia="仿宋" w:cs="仿宋"/>
                <w:sz w:val="20"/>
                <w:szCs w:val="20"/>
              </w:rPr>
              <w:t>实现各功能模块的快速切换，满足用户在不同业务场景下的操作需求。</w:t>
            </w:r>
          </w:p>
          <w:p w14:paraId="577726C6">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4.1.2</w:t>
            </w:r>
            <w:r>
              <w:rPr>
                <w:rFonts w:hint="eastAsia" w:ascii="仿宋" w:hAnsi="仿宋" w:eastAsia="仿宋" w:cs="仿宋"/>
                <w:sz w:val="20"/>
                <w:szCs w:val="20"/>
              </w:rPr>
              <w:t>功能模块功能需求</w:t>
            </w:r>
          </w:p>
          <w:p w14:paraId="11B1B012">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（1）跨域庭审板块</w:t>
            </w:r>
          </w:p>
          <w:p w14:paraId="5F4AA4EF">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需实现跨域庭审数、正在跨域庭审数的统计展示功能。具备跨域庭审案由TOP5的数据可视化展示功能。</w:t>
            </w:r>
          </w:p>
          <w:p w14:paraId="0D09C965">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（2）扫黑除恶案件板块</w:t>
            </w:r>
          </w:p>
          <w:p w14:paraId="6224C0F2">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需实现扫黑除恶总数的统计展示功能，数据准确且实时更新。具备扫黑除恶开庭数的列表展示功能，支持数据滚动查看。</w:t>
            </w:r>
          </w:p>
          <w:p w14:paraId="1C7BA044">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4.1.3</w:t>
            </w:r>
            <w:r>
              <w:rPr>
                <w:rFonts w:hint="eastAsia" w:ascii="仿宋" w:hAnsi="仿宋" w:eastAsia="仿宋" w:cs="仿宋"/>
                <w:sz w:val="20"/>
                <w:szCs w:val="20"/>
              </w:rPr>
              <w:t>中间数据统计与地图模块功能需求</w:t>
            </w:r>
          </w:p>
          <w:p w14:paraId="1A9689DC">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（1）时间维度与数据范围模块</w:t>
            </w:r>
          </w:p>
          <w:p w14:paraId="232BDE2A">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需提供“今日、本月、本年”时间维度切换功能，且能明确展示当前数据范围（如高院、中院及基层院）。</w:t>
            </w:r>
          </w:p>
          <w:p w14:paraId="05B1E98E">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（2）地图展示模块</w:t>
            </w:r>
          </w:p>
          <w:p w14:paraId="32EA72A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需实现全省法院按行政区域的可视化展示功能，清晰标注地图位置，同时展示“辖区共11个中院及基层院”的基础信息。</w:t>
            </w:r>
          </w:p>
          <w:p w14:paraId="36889C7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（3）庭审状态统计模块</w:t>
            </w:r>
          </w:p>
          <w:p w14:paraId="08AAA738">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需实现庭审排期、正在庭审、等待庭审、休庭、结束庭审的数量统计展示功能。</w:t>
            </w:r>
          </w:p>
          <w:p w14:paraId="7AE1217D">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4.1.4</w:t>
            </w:r>
            <w:r>
              <w:rPr>
                <w:rFonts w:hint="eastAsia" w:ascii="仿宋" w:hAnsi="仿宋" w:eastAsia="仿宋" w:cs="仿宋"/>
                <w:sz w:val="20"/>
                <w:szCs w:val="20"/>
              </w:rPr>
              <w:t>功能模块功能需求</w:t>
            </w:r>
          </w:p>
          <w:p w14:paraId="55C563B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（1）远程庭审板块</w:t>
            </w:r>
          </w:p>
          <w:p w14:paraId="2D2C3B4E">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需实现远程庭审数、正在远程庭审数的统计展示功能，数据实时更新。具备远程庭审案由 TOP5 的数据可视化展示功能。</w:t>
            </w:r>
          </w:p>
          <w:p w14:paraId="1258AE08">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（2）狱内法庭板块</w:t>
            </w:r>
          </w:p>
          <w:p w14:paraId="2E7A9050">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需实现狱内庭审数、正在狱内庭审数的统计展示功能，数据实时更新。具备狱内法庭开庭数 TOP5 的列表展示功能。</w:t>
            </w:r>
          </w:p>
          <w:p w14:paraId="66F9ACA1">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4.2</w:t>
            </w:r>
            <w:r>
              <w:rPr>
                <w:rFonts w:hint="eastAsia" w:ascii="仿宋" w:hAnsi="仿宋" w:eastAsia="仿宋" w:cs="仿宋"/>
                <w:sz w:val="20"/>
                <w:szCs w:val="20"/>
              </w:rPr>
              <w:t>开庭公告</w:t>
            </w:r>
          </w:p>
          <w:p w14:paraId="34947B2E">
            <w:pPr>
              <w:pageBreakBefore w:val="0"/>
              <w:kinsoku/>
              <w:wordWrap/>
              <w:overflowPunct/>
              <w:topLinePunct w:val="0"/>
              <w:autoSpaceDN/>
              <w:bidi w:val="0"/>
              <w:spacing w:line="240" w:lineRule="auto"/>
              <w:ind w:firstLine="0"/>
              <w:outlineLvl w:val="9"/>
              <w:rPr>
                <w:rFonts w:hint="eastAsia" w:ascii="仿宋" w:hAnsi="仿宋" w:eastAsia="仿宋" w:cs="仿宋"/>
                <w:sz w:val="20"/>
                <w:szCs w:val="20"/>
                <w:lang w:eastAsia="zh-CN"/>
              </w:rPr>
            </w:pPr>
            <w:r>
              <w:rPr>
                <w:rFonts w:hint="eastAsia" w:ascii="仿宋" w:hAnsi="仿宋" w:eastAsia="仿宋" w:cs="仿宋"/>
                <w:sz w:val="20"/>
                <w:szCs w:val="20"/>
              </w:rPr>
              <w:t>具备接收“一张网”办案平台推送的排期信息</w:t>
            </w:r>
            <w:r>
              <w:rPr>
                <w:rFonts w:hint="eastAsia" w:ascii="仿宋" w:hAnsi="仿宋" w:eastAsia="仿宋" w:cs="仿宋"/>
                <w:sz w:val="20"/>
                <w:szCs w:val="20"/>
                <w:lang w:eastAsia="zh-CN"/>
              </w:rPr>
              <w:t>。</w:t>
            </w:r>
          </w:p>
          <w:p w14:paraId="1B6C50A1">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4.2.1</w:t>
            </w:r>
            <w:r>
              <w:rPr>
                <w:rFonts w:hint="eastAsia" w:ascii="仿宋" w:hAnsi="仿宋" w:eastAsia="仿宋" w:cs="仿宋"/>
                <w:sz w:val="20"/>
                <w:szCs w:val="20"/>
              </w:rPr>
              <w:t>左侧法院层级选择模块功能需求</w:t>
            </w:r>
          </w:p>
          <w:p w14:paraId="5A7A08D5">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需实现陕西全省法院按层级的分级展示功能，树状结构包含陕西高院、中院及下辖的地区，支持用户通过展开收起操作，精准筛选对应法院的开庭公告数据，满足不同层级法院的信息查询需求。</w:t>
            </w:r>
          </w:p>
          <w:p w14:paraId="26638973">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4.2.2</w:t>
            </w:r>
            <w:r>
              <w:rPr>
                <w:rFonts w:hint="eastAsia" w:ascii="仿宋" w:hAnsi="仿宋" w:eastAsia="仿宋" w:cs="仿宋"/>
                <w:sz w:val="20"/>
                <w:szCs w:val="20"/>
              </w:rPr>
              <w:t>顶部庭审类型与搜索模块功能需求</w:t>
            </w:r>
          </w:p>
          <w:p w14:paraId="74604DB8">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（1）庭审类型切换功能</w:t>
            </w:r>
          </w:p>
          <w:p w14:paraId="404AAE3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需提供“全部、远程庭审、跨域庭审、狱内庭审”四种庭审类型的标签切换功能，支持用户按庭审类型分类查看开庭公告。</w:t>
            </w:r>
          </w:p>
          <w:p w14:paraId="5408ABF2">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（2）搜索功能</w:t>
            </w:r>
          </w:p>
          <w:p w14:paraId="0A2C4330">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具备“包含下辖”选项，支持用户选择是否包含下辖法院数据进行查询。需提供多维度搜索条件选择功能，可按“案号、案由、承办部门、承办人”等维度切换搜索条件。需设置“搜索”和“高级搜索”按钮，满足用户对开庭公告的精准检索需求。</w:t>
            </w:r>
          </w:p>
          <w:p w14:paraId="4855D939">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3、中间数据展示模块功能需求</w:t>
            </w:r>
          </w:p>
          <w:p w14:paraId="0D655DA3">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需以表格形式展示开庭公告信息，表格列需包含“序号、法院名称、案号、庭次、案由、开庭时间、是否公开审理、法庭、审判长、承办人、当事人”，数据需实时更新。</w:t>
            </w:r>
          </w:p>
          <w:p w14:paraId="4194C085">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4.3</w:t>
            </w:r>
            <w:r>
              <w:rPr>
                <w:rFonts w:hint="eastAsia" w:ascii="仿宋" w:hAnsi="仿宋" w:eastAsia="仿宋" w:cs="仿宋"/>
                <w:sz w:val="20"/>
                <w:szCs w:val="20"/>
              </w:rPr>
              <w:t>正在庭审</w:t>
            </w:r>
          </w:p>
          <w:p w14:paraId="323BA694">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4.3.1</w:t>
            </w:r>
            <w:r>
              <w:rPr>
                <w:rFonts w:hint="eastAsia" w:ascii="仿宋" w:hAnsi="仿宋" w:eastAsia="仿宋" w:cs="仿宋"/>
                <w:sz w:val="20"/>
                <w:szCs w:val="20"/>
              </w:rPr>
              <w:t>法院层级选择模块功能需求</w:t>
            </w:r>
          </w:p>
          <w:p w14:paraId="21D547A8">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需实现陕西法院多层级分级展示功能，涵盖三级法院的层级。支持用户通过展开收起操作，精准筛选对应层级法院的正在庭审数据。</w:t>
            </w:r>
          </w:p>
          <w:p w14:paraId="24024582">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4.3.2</w:t>
            </w:r>
            <w:r>
              <w:rPr>
                <w:rFonts w:hint="eastAsia" w:ascii="仿宋" w:hAnsi="仿宋" w:eastAsia="仿宋" w:cs="仿宋"/>
                <w:sz w:val="20"/>
                <w:szCs w:val="20"/>
              </w:rPr>
              <w:t>顶部数据统计与视图切换模块功能需求</w:t>
            </w:r>
          </w:p>
          <w:p w14:paraId="7BD738DB">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（1）数据统计功能</w:t>
            </w:r>
          </w:p>
          <w:p w14:paraId="5901E88B">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需实时展示“数字法庭总数、正在开庭数、休庭数、未开庭数”等关键数据，数据更新及时。</w:t>
            </w:r>
          </w:p>
          <w:p w14:paraId="12765A31">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（2）视图切换功能</w:t>
            </w:r>
          </w:p>
          <w:p w14:paraId="1917DB2F">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需提供两种视图切换选项，支持用户根据使用习惯和需求。</w:t>
            </w:r>
          </w:p>
          <w:p w14:paraId="3EEFE3E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（3）范围选择功能</w:t>
            </w:r>
          </w:p>
          <w:p w14:paraId="20F52115">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需设置“包含下辖”选项，支持用户选择是否包含下辖法院的正在庭审数据进行查询。</w:t>
            </w:r>
          </w:p>
          <w:p w14:paraId="41125CC5">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4.3.3</w:t>
            </w:r>
            <w:r>
              <w:rPr>
                <w:rFonts w:hint="eastAsia" w:ascii="仿宋" w:hAnsi="仿宋" w:eastAsia="仿宋" w:cs="仿宋"/>
                <w:sz w:val="20"/>
                <w:szCs w:val="20"/>
              </w:rPr>
              <w:t>法庭信息展示模块功能需求</w:t>
            </w:r>
          </w:p>
          <w:p w14:paraId="670635CB">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需以可视化方式展示各数字法庭的庭审状态，每个法庭需显示法庭名称标识及庭审状态（如“未开庭”/“正在开庭”），并可直接点击播放按钮进行庭审播放。数据需实时更新</w:t>
            </w:r>
            <w:r>
              <w:rPr>
                <w:rFonts w:hint="eastAsia" w:ascii="仿宋" w:hAnsi="仿宋" w:eastAsia="仿宋" w:cs="仿宋"/>
                <w:sz w:val="20"/>
                <w:szCs w:val="20"/>
                <w:lang w:eastAsia="zh-CN"/>
              </w:rPr>
              <w:t>，</w:t>
            </w:r>
            <w:r>
              <w:rPr>
                <w:rFonts w:hint="eastAsia" w:ascii="仿宋" w:hAnsi="仿宋" w:eastAsia="仿宋" w:cs="仿宋"/>
                <w:sz w:val="20"/>
                <w:szCs w:val="20"/>
              </w:rPr>
              <w:t>且支持对法庭进行进一步操作。</w:t>
            </w:r>
          </w:p>
          <w:p w14:paraId="04588246">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4.4</w:t>
            </w:r>
            <w:r>
              <w:rPr>
                <w:rFonts w:hint="eastAsia" w:ascii="仿宋" w:hAnsi="仿宋" w:eastAsia="仿宋" w:cs="仿宋"/>
                <w:sz w:val="20"/>
                <w:szCs w:val="20"/>
              </w:rPr>
              <w:t>庭审点播</w:t>
            </w:r>
          </w:p>
          <w:p w14:paraId="6982F8C8">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需实现陕西法院多层级分级展示功能，涵盖三级法院的层级。支持用户通过展开收起操作，精准筛选对应层级法院的庭审点播数据。</w:t>
            </w:r>
          </w:p>
          <w:p w14:paraId="64265942">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4.4.1</w:t>
            </w:r>
            <w:r>
              <w:rPr>
                <w:rFonts w:hint="eastAsia" w:ascii="仿宋" w:hAnsi="仿宋" w:eastAsia="仿宋" w:cs="仿宋"/>
                <w:sz w:val="20"/>
                <w:szCs w:val="20"/>
              </w:rPr>
              <w:t>模块功能需求</w:t>
            </w:r>
          </w:p>
          <w:p w14:paraId="403980D8">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（1）分类切换功能</w:t>
            </w:r>
          </w:p>
          <w:p w14:paraId="2DDFB564">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需提供“全部、跨域庭审、远程庭审、狱内庭审、庭审记录改革等分类标签切换功能，支持用户按不同庭审类型或数据维度分类查看庭审点播信息。</w:t>
            </w:r>
          </w:p>
          <w:p w14:paraId="606C1344">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（2）搜索功能</w:t>
            </w:r>
          </w:p>
          <w:p w14:paraId="5C2B0F89">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支持用户选择是否包含下辖法院的庭审点播数据进行查询。需提供多维度搜索条件选择功能。需具备“高级搜索”，支持多条件组合查询。</w:t>
            </w:r>
          </w:p>
          <w:p w14:paraId="4AB21638">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（3）导出功能</w:t>
            </w:r>
          </w:p>
          <w:p w14:paraId="0999E092">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需设置“导出”按钮，支持用户将查询到的庭审点播数据导出为指定.xlsx格式文件。</w:t>
            </w:r>
          </w:p>
          <w:p w14:paraId="126C939C">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4.4.2</w:t>
            </w:r>
            <w:r>
              <w:rPr>
                <w:rFonts w:hint="eastAsia" w:ascii="仿宋" w:hAnsi="仿宋" w:eastAsia="仿宋" w:cs="仿宋"/>
                <w:sz w:val="20"/>
                <w:szCs w:val="20"/>
              </w:rPr>
              <w:t>庭审信息展示模块功能需求</w:t>
            </w:r>
          </w:p>
          <w:p w14:paraId="29BB5AD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以表格形式展示庭审点播信息，表格列需包含“序号、法院名称、案号、庭次、案由、开庭时间、法庭、承办部门、承办人、播放、下载、推荐、收藏”等功能按钮。数据需实时更新且准确，并可对庭审资源进行播放、下载等操作。</w:t>
            </w:r>
          </w:p>
          <w:p w14:paraId="3924D899">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4.4.3</w:t>
            </w:r>
            <w:r>
              <w:rPr>
                <w:rFonts w:hint="eastAsia" w:ascii="仿宋" w:hAnsi="仿宋" w:eastAsia="仿宋" w:cs="仿宋"/>
                <w:sz w:val="20"/>
                <w:szCs w:val="20"/>
              </w:rPr>
              <w:t>播放庭审点播时，可观看庭审实况录像、同步显示开庭庭次、庭审笔录、庭审信息等内容。</w:t>
            </w:r>
          </w:p>
          <w:p w14:paraId="01369A2F">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4.5</w:t>
            </w:r>
            <w:r>
              <w:rPr>
                <w:rFonts w:hint="eastAsia" w:ascii="仿宋" w:hAnsi="仿宋" w:eastAsia="仿宋" w:cs="仿宋"/>
                <w:sz w:val="20"/>
                <w:szCs w:val="20"/>
              </w:rPr>
              <w:t>视频收藏</w:t>
            </w:r>
          </w:p>
          <w:p w14:paraId="1D374EF0">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用户在使用过程中，对有价值的庭审视频进行收藏。</w:t>
            </w:r>
          </w:p>
          <w:p w14:paraId="12141EA5">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4.6</w:t>
            </w:r>
            <w:r>
              <w:rPr>
                <w:rFonts w:hint="eastAsia" w:ascii="仿宋" w:hAnsi="仿宋" w:eastAsia="仿宋" w:cs="仿宋"/>
                <w:sz w:val="20"/>
                <w:szCs w:val="20"/>
              </w:rPr>
              <w:t>法庭建设</w:t>
            </w:r>
          </w:p>
          <w:p w14:paraId="420FDFB6">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4.6.1</w:t>
            </w:r>
            <w:r>
              <w:rPr>
                <w:rFonts w:hint="eastAsia" w:ascii="仿宋" w:hAnsi="仿宋" w:eastAsia="仿宋" w:cs="仿宋"/>
                <w:sz w:val="20"/>
                <w:szCs w:val="20"/>
              </w:rPr>
              <w:t>具备法庭配置接口模块，具备法庭名称校验功能，确保录入的法庭名称与“一张网”一致，规范统一、真实有效；</w:t>
            </w:r>
          </w:p>
          <w:p w14:paraId="2231FBA6">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4.6.2</w:t>
            </w:r>
            <w:r>
              <w:rPr>
                <w:rFonts w:hint="eastAsia" w:ascii="仿宋" w:hAnsi="仿宋" w:eastAsia="仿宋" w:cs="仿宋"/>
                <w:sz w:val="20"/>
                <w:szCs w:val="20"/>
              </w:rPr>
              <w:t>需以表格形式展示法庭建设情况统计信息，表格列需包含“序号、法庭名称、法庭厂商、法庭类型、信号类型”。数据需实时更新且准确，包括厂商信息、类型信息、信号类型等，为法庭建设的管理、维护和规划提供数据支持。</w:t>
            </w:r>
          </w:p>
          <w:p w14:paraId="2D454AAB">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4.7</w:t>
            </w:r>
            <w:r>
              <w:rPr>
                <w:rFonts w:hint="eastAsia" w:ascii="仿宋" w:hAnsi="仿宋" w:eastAsia="仿宋" w:cs="仿宋"/>
                <w:sz w:val="20"/>
                <w:szCs w:val="20"/>
              </w:rPr>
              <w:t>安防监控模块</w:t>
            </w:r>
          </w:p>
          <w:p w14:paraId="516D6FF3">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4.7.1</w:t>
            </w:r>
            <w:r>
              <w:rPr>
                <w:rFonts w:hint="eastAsia" w:ascii="仿宋" w:hAnsi="仿宋" w:eastAsia="仿宋" w:cs="仿宋"/>
                <w:sz w:val="20"/>
                <w:szCs w:val="20"/>
              </w:rPr>
              <w:t>根据最高要求每个法院需要上报法院大门、安检通道、诉服大厅全景、信访窗口、立案窗口等点位汇聚至省院平台。</w:t>
            </w:r>
          </w:p>
          <w:p w14:paraId="2588CA8F">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4.7.2</w:t>
            </w:r>
            <w:r>
              <w:rPr>
                <w:rFonts w:hint="eastAsia" w:ascii="仿宋" w:hAnsi="仿宋" w:eastAsia="仿宋" w:cs="仿宋"/>
                <w:sz w:val="20"/>
                <w:szCs w:val="20"/>
              </w:rPr>
              <w:t>全省诉讼服务大厅监控管理平台信息支持上报至最高院。</w:t>
            </w:r>
          </w:p>
          <w:p w14:paraId="608E76EB">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4.7.3</w:t>
            </w:r>
            <w:r>
              <w:rPr>
                <w:rFonts w:hint="eastAsia" w:ascii="仿宋" w:hAnsi="仿宋" w:eastAsia="仿宋" w:cs="仿宋"/>
                <w:sz w:val="20"/>
                <w:szCs w:val="20"/>
              </w:rPr>
              <w:t>平台主要功能包括获取各院硬盘录像机数据，实时预览各点位，截图及录制监控画面。</w:t>
            </w:r>
          </w:p>
          <w:p w14:paraId="008B159E">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4.7.4</w:t>
            </w:r>
            <w:r>
              <w:rPr>
                <w:rFonts w:hint="eastAsia" w:ascii="仿宋" w:hAnsi="仿宋" w:eastAsia="仿宋" w:cs="仿宋"/>
                <w:sz w:val="20"/>
                <w:szCs w:val="20"/>
              </w:rPr>
              <w:t>需支持展示监控接入数。</w:t>
            </w:r>
          </w:p>
          <w:p w14:paraId="326DAC83">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4.8</w:t>
            </w:r>
            <w:r>
              <w:rPr>
                <w:rFonts w:hint="eastAsia" w:ascii="仿宋" w:hAnsi="仿宋" w:eastAsia="仿宋" w:cs="仿宋"/>
                <w:sz w:val="20"/>
                <w:szCs w:val="20"/>
              </w:rPr>
              <w:t>统计分析</w:t>
            </w:r>
          </w:p>
          <w:p w14:paraId="3A932481">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4.8.1</w:t>
            </w:r>
            <w:r>
              <w:rPr>
                <w:rFonts w:hint="eastAsia" w:ascii="仿宋" w:hAnsi="仿宋" w:eastAsia="仿宋" w:cs="仿宋"/>
                <w:sz w:val="20"/>
                <w:szCs w:val="20"/>
              </w:rPr>
              <w:t>功能导航模块功能需求</w:t>
            </w:r>
          </w:p>
          <w:p w14:paraId="28B56DBD">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“庭审统计”下分“法庭建设情况”“开庭情况统计”两个子功能入口，支持用户通过点击切换，分别查看法庭建设相关数据和开庭情况统计数据。</w:t>
            </w:r>
          </w:p>
          <w:p w14:paraId="1C2BC098">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4.8.2</w:t>
            </w:r>
            <w:r>
              <w:rPr>
                <w:rFonts w:hint="eastAsia" w:ascii="仿宋" w:hAnsi="仿宋" w:eastAsia="仿宋" w:cs="仿宋"/>
                <w:sz w:val="20"/>
                <w:szCs w:val="20"/>
              </w:rPr>
              <w:t>法院层级选择模块功能需求</w:t>
            </w:r>
          </w:p>
          <w:p w14:paraId="7BD80640">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需实现三级法院的树状结构展示。</w:t>
            </w:r>
          </w:p>
          <w:p w14:paraId="7EF49698">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4.8.3</w:t>
            </w:r>
            <w:r>
              <w:rPr>
                <w:rFonts w:hint="eastAsia" w:ascii="仿宋" w:hAnsi="仿宋" w:eastAsia="仿宋" w:cs="仿宋"/>
                <w:sz w:val="20"/>
                <w:szCs w:val="20"/>
              </w:rPr>
              <w:t>数据展示模块功能需求</w:t>
            </w:r>
          </w:p>
          <w:p w14:paraId="3EBB902A">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（1）法庭接入情况统计功能</w:t>
            </w:r>
          </w:p>
          <w:p w14:paraId="627E673C">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需以表格形式展示法庭接入情况。</w:t>
            </w:r>
          </w:p>
          <w:p w14:paraId="41DB101B">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（2）接入的法庭信息展示功能</w:t>
            </w:r>
          </w:p>
          <w:p w14:paraId="0FEB7283">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需以表格形式展示接入的法庭信息。</w:t>
            </w:r>
          </w:p>
          <w:p w14:paraId="4FF17816">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（3）数据导出功能</w:t>
            </w:r>
          </w:p>
          <w:p w14:paraId="131628C6">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需设置数据导出按钮，支持用户将法庭建设相关数据导出为指定格式文件，满足数据存档、分析及上报等需求。</w:t>
            </w:r>
          </w:p>
          <w:p w14:paraId="75C25F99">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4.8.4</w:t>
            </w:r>
            <w:r>
              <w:rPr>
                <w:rFonts w:hint="eastAsia" w:ascii="仿宋" w:hAnsi="仿宋" w:eastAsia="仿宋" w:cs="仿宋"/>
                <w:sz w:val="20"/>
                <w:szCs w:val="20"/>
              </w:rPr>
              <w:t>按科技法庭建设情况、科技法庭接入情况、点击量</w:t>
            </w:r>
            <w:r>
              <w:rPr>
                <w:rFonts w:hint="eastAsia" w:ascii="仿宋" w:hAnsi="仿宋" w:eastAsia="仿宋" w:cs="仿宋"/>
                <w:sz w:val="20"/>
                <w:szCs w:val="20"/>
                <w:lang w:val="en-US" w:eastAsia="zh-CN"/>
              </w:rPr>
              <w:t>情况</w:t>
            </w:r>
            <w:r>
              <w:rPr>
                <w:rFonts w:hint="eastAsia" w:ascii="仿宋" w:hAnsi="仿宋" w:eastAsia="仿宋" w:cs="仿宋"/>
                <w:sz w:val="20"/>
                <w:szCs w:val="20"/>
              </w:rPr>
              <w:t>。</w:t>
            </w:r>
          </w:p>
          <w:p w14:paraId="35882C81">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4.9</w:t>
            </w:r>
            <w:r>
              <w:rPr>
                <w:rFonts w:hint="eastAsia" w:ascii="仿宋" w:hAnsi="仿宋" w:eastAsia="仿宋" w:cs="仿宋"/>
                <w:sz w:val="20"/>
                <w:szCs w:val="20"/>
              </w:rPr>
              <w:t>平台管理</w:t>
            </w:r>
          </w:p>
          <w:p w14:paraId="50D312C8">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4.9.1</w:t>
            </w:r>
            <w:r>
              <w:rPr>
                <w:rFonts w:hint="eastAsia" w:ascii="仿宋" w:hAnsi="仿宋" w:eastAsia="仿宋" w:cs="仿宋"/>
                <w:sz w:val="20"/>
                <w:szCs w:val="20"/>
              </w:rPr>
              <w:t>用户管理模块</w:t>
            </w:r>
          </w:p>
          <w:p w14:paraId="56E656B4">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同步“一张网”的用户信息，作为“平台管理”下的核心功能入口，实现对用户、角色、部门、单位等多维度的管理功能聚合，为平台的权限与结构管理提供基础入口。</w:t>
            </w:r>
          </w:p>
          <w:p w14:paraId="625CD9C6">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w:t>
            </w:r>
            <w:r>
              <w:rPr>
                <w:rFonts w:hint="eastAsia" w:ascii="仿宋" w:hAnsi="仿宋" w:eastAsia="仿宋" w:cs="仿宋"/>
                <w:sz w:val="20"/>
                <w:szCs w:val="20"/>
              </w:rPr>
              <w:t>用户信息展示功能</w:t>
            </w:r>
          </w:p>
          <w:p w14:paraId="261C3AC1">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需以表格形式展示用户详细信息，数据实时更新且准确。</w:t>
            </w:r>
          </w:p>
          <w:p w14:paraId="2F021D82">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rPr>
              <w:t>2）用户操作功能</w:t>
            </w:r>
          </w:p>
          <w:p w14:paraId="610F8E79">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需支持对用户信息进行编辑修改，以及对用户权限进行分配与管理。</w:t>
            </w:r>
          </w:p>
          <w:p w14:paraId="1B491716">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rPr>
              <w:t>3）快捷功能</w:t>
            </w:r>
          </w:p>
          <w:p w14:paraId="5868F6A1">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需设置新增、刷新、导入</w:t>
            </w:r>
            <w:r>
              <w:rPr>
                <w:rFonts w:hint="eastAsia" w:ascii="仿宋" w:hAnsi="仿宋" w:eastAsia="仿宋" w:cs="仿宋"/>
                <w:sz w:val="20"/>
                <w:szCs w:val="20"/>
                <w:lang w:val="en-US" w:eastAsia="zh-CN"/>
              </w:rPr>
              <w:t>等</w:t>
            </w:r>
            <w:r>
              <w:rPr>
                <w:rFonts w:hint="eastAsia" w:ascii="仿宋" w:hAnsi="仿宋" w:eastAsia="仿宋" w:cs="仿宋"/>
                <w:sz w:val="20"/>
                <w:szCs w:val="20"/>
              </w:rPr>
              <w:t>相关操作，支持用户进行用户数据操作。</w:t>
            </w:r>
          </w:p>
          <w:p w14:paraId="30684C8A">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4.9.2</w:t>
            </w:r>
            <w:r>
              <w:rPr>
                <w:rFonts w:hint="eastAsia" w:ascii="仿宋" w:hAnsi="仿宋" w:eastAsia="仿宋" w:cs="仿宋"/>
                <w:sz w:val="20"/>
                <w:szCs w:val="20"/>
              </w:rPr>
              <w:t>角色组管理</w:t>
            </w:r>
          </w:p>
          <w:p w14:paraId="4B7228C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以全省三级法院，以树状结构进行筛选展示，以表格形式展示角色组详细信息，数据实时更新且准确。</w:t>
            </w:r>
          </w:p>
          <w:p w14:paraId="583FAFB5">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4.9.3</w:t>
            </w:r>
            <w:r>
              <w:rPr>
                <w:rFonts w:hint="eastAsia" w:ascii="仿宋" w:hAnsi="仿宋" w:eastAsia="仿宋" w:cs="仿宋"/>
                <w:sz w:val="20"/>
                <w:szCs w:val="20"/>
              </w:rPr>
              <w:t>部门结构配置</w:t>
            </w:r>
          </w:p>
          <w:p w14:paraId="49422F2C">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同步“一张网”部门结构的数据，实现部门结构的搭建、调整功能，支持部门的新增、删除、层级调整，确保平台内部门架构与实际法院组织架构一致。</w:t>
            </w:r>
          </w:p>
          <w:p w14:paraId="53E1C572">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w:t>
            </w:r>
            <w:r>
              <w:rPr>
                <w:rFonts w:hint="eastAsia" w:ascii="仿宋" w:hAnsi="仿宋" w:eastAsia="仿宋" w:cs="仿宋"/>
                <w:sz w:val="20"/>
                <w:szCs w:val="20"/>
              </w:rPr>
              <w:t>快捷操作</w:t>
            </w:r>
          </w:p>
          <w:p w14:paraId="7B593ED3">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需设置新增、删除、导入、导出、编辑功能按钮，支持用户进行部门的新增创建、批量删除、数据批量导入、数据导出及部门信息编辑操作，提升部门结构配置的效率与便捷性。</w:t>
            </w:r>
          </w:p>
          <w:p w14:paraId="1F1E415C">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2</w:t>
            </w:r>
            <w:r>
              <w:rPr>
                <w:rFonts w:hint="eastAsia" w:ascii="仿宋" w:hAnsi="仿宋" w:eastAsia="仿宋" w:cs="仿宋"/>
                <w:sz w:val="20"/>
                <w:szCs w:val="20"/>
                <w:lang w:eastAsia="zh-CN"/>
              </w:rPr>
              <w:t>）</w:t>
            </w:r>
            <w:r>
              <w:rPr>
                <w:rFonts w:hint="eastAsia" w:ascii="仿宋" w:hAnsi="仿宋" w:eastAsia="仿宋" w:cs="仿宋"/>
                <w:sz w:val="20"/>
                <w:szCs w:val="20"/>
              </w:rPr>
              <w:t>部门信息层级展示功能需求</w:t>
            </w:r>
          </w:p>
          <w:p w14:paraId="1763E16F">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需展示对应单位下的部门列表，支持用户点击部门查看其详细信息。</w:t>
            </w:r>
          </w:p>
          <w:p w14:paraId="3DC30F9B">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3</w:t>
            </w:r>
            <w:r>
              <w:rPr>
                <w:rFonts w:hint="eastAsia" w:ascii="仿宋" w:hAnsi="仿宋" w:eastAsia="仿宋" w:cs="仿宋"/>
                <w:sz w:val="20"/>
                <w:szCs w:val="20"/>
                <w:lang w:eastAsia="zh-CN"/>
              </w:rPr>
              <w:t>）</w:t>
            </w:r>
            <w:r>
              <w:rPr>
                <w:rFonts w:hint="eastAsia" w:ascii="仿宋" w:hAnsi="仿宋" w:eastAsia="仿宋" w:cs="仿宋"/>
                <w:sz w:val="20"/>
                <w:szCs w:val="20"/>
              </w:rPr>
              <w:t>部门信息展示模块功能需求</w:t>
            </w:r>
          </w:p>
          <w:p w14:paraId="0E2A2F1F">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需以列表形式展示部门详细信息，数据实时更新且准确。</w:t>
            </w:r>
          </w:p>
          <w:p w14:paraId="2B58F189">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4.9.4</w:t>
            </w:r>
            <w:r>
              <w:rPr>
                <w:rFonts w:hint="eastAsia" w:ascii="仿宋" w:hAnsi="仿宋" w:eastAsia="仿宋" w:cs="仿宋"/>
                <w:sz w:val="20"/>
                <w:szCs w:val="20"/>
              </w:rPr>
              <w:t>流媒体服务器配置</w:t>
            </w:r>
          </w:p>
          <w:p w14:paraId="316AD1FD">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需具备流媒体服务器的参数配置、状态监控、资源分配管理等功能，保障庭审视频等流媒体资源的稳定传输与存储。</w:t>
            </w:r>
          </w:p>
          <w:p w14:paraId="43A63D05">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w:t>
            </w:r>
            <w:r>
              <w:rPr>
                <w:rFonts w:hint="eastAsia" w:ascii="仿宋" w:hAnsi="仿宋" w:eastAsia="仿宋" w:cs="仿宋"/>
                <w:sz w:val="20"/>
                <w:szCs w:val="20"/>
              </w:rPr>
              <w:t>功能模块需求</w:t>
            </w:r>
          </w:p>
          <w:p w14:paraId="7509E325">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需设置新增、删除功能按钮，支持用户进行服务器存储路径的新增创建与批量删除操作。</w:t>
            </w:r>
          </w:p>
          <w:p w14:paraId="1482477E">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2</w:t>
            </w:r>
            <w:r>
              <w:rPr>
                <w:rFonts w:hint="eastAsia" w:ascii="仿宋" w:hAnsi="仿宋" w:eastAsia="仿宋" w:cs="仿宋"/>
                <w:sz w:val="20"/>
                <w:szCs w:val="20"/>
                <w:lang w:eastAsia="zh-CN"/>
              </w:rPr>
              <w:t>）</w:t>
            </w:r>
            <w:r>
              <w:rPr>
                <w:rFonts w:hint="eastAsia" w:ascii="仿宋" w:hAnsi="仿宋" w:eastAsia="仿宋" w:cs="仿宋"/>
                <w:sz w:val="20"/>
                <w:szCs w:val="20"/>
              </w:rPr>
              <w:t>选择模块功能需求</w:t>
            </w:r>
          </w:p>
          <w:p w14:paraId="21D188CC">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需展示服务器标识名称，支持用户选择对应服务器，以便查看和管理该服务器下的存储路径信息。</w:t>
            </w:r>
          </w:p>
          <w:p w14:paraId="6FECA8AD">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3</w:t>
            </w:r>
            <w:r>
              <w:rPr>
                <w:rFonts w:hint="eastAsia" w:ascii="仿宋" w:hAnsi="仿宋" w:eastAsia="仿宋" w:cs="仿宋"/>
                <w:sz w:val="20"/>
                <w:szCs w:val="20"/>
                <w:lang w:eastAsia="zh-CN"/>
              </w:rPr>
              <w:t>）</w:t>
            </w:r>
            <w:r>
              <w:rPr>
                <w:rFonts w:hint="eastAsia" w:ascii="仿宋" w:hAnsi="仿宋" w:eastAsia="仿宋" w:cs="仿宋"/>
                <w:sz w:val="20"/>
                <w:szCs w:val="20"/>
              </w:rPr>
              <w:t>存储路径信息展示模块功能需求</w:t>
            </w:r>
          </w:p>
          <w:p w14:paraId="04143DA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需以表格形式展示服务器存储路径详细信息</w:t>
            </w:r>
            <w:r>
              <w:rPr>
                <w:rFonts w:hint="eastAsia" w:ascii="仿宋" w:hAnsi="仿宋" w:eastAsia="仿宋" w:cs="仿宋"/>
                <w:sz w:val="20"/>
                <w:szCs w:val="20"/>
                <w:lang w:eastAsia="zh-CN"/>
              </w:rPr>
              <w:t>，</w:t>
            </w:r>
            <w:r>
              <w:rPr>
                <w:rFonts w:hint="eastAsia" w:ascii="仿宋" w:hAnsi="仿宋" w:eastAsia="仿宋" w:cs="仿宋"/>
                <w:sz w:val="20"/>
                <w:szCs w:val="20"/>
              </w:rPr>
              <w:t>支持用户对存储路径信息进行编辑修改。</w:t>
            </w:r>
          </w:p>
          <w:p w14:paraId="6153B388">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4.9.5</w:t>
            </w:r>
            <w:r>
              <w:rPr>
                <w:rFonts w:hint="eastAsia" w:ascii="仿宋" w:hAnsi="仿宋" w:eastAsia="仿宋" w:cs="仿宋"/>
                <w:sz w:val="20"/>
                <w:szCs w:val="20"/>
              </w:rPr>
              <w:t>日志管理</w:t>
            </w:r>
          </w:p>
          <w:p w14:paraId="3C4DF10F">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分为用户日志和登录日志模块。</w:t>
            </w:r>
          </w:p>
          <w:p w14:paraId="035D222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需设置删除、导出、搜索功能按钮，支持用户对日志进行批量删除、数据导出及精准搜索操作。</w:t>
            </w:r>
          </w:p>
          <w:p w14:paraId="7A7B06C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w:t>
            </w:r>
            <w:r>
              <w:rPr>
                <w:rFonts w:hint="eastAsia" w:ascii="仿宋" w:hAnsi="仿宋" w:eastAsia="仿宋" w:cs="仿宋"/>
                <w:sz w:val="20"/>
                <w:szCs w:val="20"/>
              </w:rPr>
              <w:t>用户日志</w:t>
            </w:r>
          </w:p>
          <w:p w14:paraId="6B60CD11">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需以表格形式展示日志详细信息。支持用户对日志进行勾选操作。</w:t>
            </w:r>
          </w:p>
          <w:p w14:paraId="22D9CA82">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2</w:t>
            </w:r>
            <w:r>
              <w:rPr>
                <w:rFonts w:hint="eastAsia" w:ascii="仿宋" w:hAnsi="仿宋" w:eastAsia="仿宋" w:cs="仿宋"/>
                <w:sz w:val="20"/>
                <w:szCs w:val="20"/>
                <w:lang w:eastAsia="zh-CN"/>
              </w:rPr>
              <w:t>）</w:t>
            </w:r>
            <w:r>
              <w:rPr>
                <w:rFonts w:hint="eastAsia" w:ascii="仿宋" w:hAnsi="仿宋" w:eastAsia="仿宋" w:cs="仿宋"/>
                <w:sz w:val="20"/>
                <w:szCs w:val="20"/>
              </w:rPr>
              <w:t>登录日志</w:t>
            </w:r>
          </w:p>
          <w:p w14:paraId="4BA0CDD9">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需以表格形式展示登录日志详细信息。</w:t>
            </w:r>
          </w:p>
          <w:p w14:paraId="3D183E43">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4.9.6</w:t>
            </w:r>
            <w:r>
              <w:rPr>
                <w:rFonts w:hint="eastAsia" w:ascii="仿宋" w:hAnsi="仿宋" w:eastAsia="仿宋" w:cs="仿宋"/>
                <w:sz w:val="20"/>
                <w:szCs w:val="20"/>
              </w:rPr>
              <w:t>回收站</w:t>
            </w:r>
          </w:p>
          <w:p w14:paraId="5C20B9D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对案件信息、排期信息、法庭信息等删除的数据进行暂存、恢复、彻底删除功能。</w:t>
            </w:r>
          </w:p>
          <w:p w14:paraId="03C65845">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4.9.7</w:t>
            </w:r>
            <w:r>
              <w:rPr>
                <w:rFonts w:hint="eastAsia" w:ascii="仿宋" w:hAnsi="仿宋" w:eastAsia="仿宋" w:cs="仿宋"/>
                <w:sz w:val="20"/>
                <w:szCs w:val="20"/>
              </w:rPr>
              <w:t>模块管理</w:t>
            </w:r>
          </w:p>
          <w:p w14:paraId="2C731600">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需实现平台内各功能模块的启用/禁用。</w:t>
            </w:r>
          </w:p>
          <w:p w14:paraId="58C18993">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4.10</w:t>
            </w:r>
            <w:r>
              <w:rPr>
                <w:rFonts w:hint="eastAsia" w:ascii="仿宋" w:hAnsi="仿宋" w:eastAsia="仿宋" w:cs="仿宋"/>
                <w:sz w:val="20"/>
                <w:szCs w:val="20"/>
              </w:rPr>
              <w:t>系统接口</w:t>
            </w:r>
          </w:p>
          <w:p w14:paraId="0966CD3E">
            <w:pPr>
              <w:pageBreakBefore w:val="0"/>
              <w:kinsoku/>
              <w:wordWrap/>
              <w:overflowPunct/>
              <w:topLinePunct w:val="0"/>
              <w:autoSpaceDN/>
              <w:bidi w:val="0"/>
              <w:spacing w:line="240" w:lineRule="auto"/>
              <w:ind w:firstLine="0"/>
              <w:outlineLvl w:val="9"/>
              <w:rPr>
                <w:rFonts w:hint="eastAsia" w:ascii="仿宋" w:hAnsi="仿宋" w:eastAsia="仿宋" w:cs="仿宋"/>
                <w:sz w:val="20"/>
                <w:szCs w:val="20"/>
                <w:lang w:eastAsia="zh-CN"/>
              </w:rPr>
            </w:pPr>
            <w:r>
              <w:rPr>
                <w:rFonts w:hint="eastAsia" w:ascii="仿宋" w:hAnsi="仿宋" w:eastAsia="仿宋" w:cs="仿宋"/>
                <w:sz w:val="20"/>
                <w:szCs w:val="20"/>
              </w:rPr>
              <w:t>根据“一张网”对接指引规范，制定统一的庭审系统接入技术规范，对外提供接入指南，明确接口交互协议及字段</w:t>
            </w:r>
            <w:r>
              <w:rPr>
                <w:rFonts w:hint="eastAsia" w:ascii="仿宋" w:hAnsi="仿宋" w:eastAsia="仿宋" w:cs="仿宋"/>
                <w:sz w:val="20"/>
                <w:szCs w:val="20"/>
                <w:lang w:eastAsia="zh-CN"/>
              </w:rPr>
              <w:t>。</w:t>
            </w:r>
          </w:p>
          <w:p w14:paraId="19B99410">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4.10.1</w:t>
            </w:r>
            <w:r>
              <w:rPr>
                <w:rFonts w:hint="eastAsia" w:ascii="仿宋" w:hAnsi="仿宋" w:eastAsia="仿宋" w:cs="仿宋"/>
                <w:sz w:val="20"/>
                <w:szCs w:val="20"/>
              </w:rPr>
              <w:t>接口服务配置</w:t>
            </w:r>
          </w:p>
          <w:p w14:paraId="6B0C92FB">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（1）服务操作功能</w:t>
            </w:r>
          </w:p>
          <w:p w14:paraId="227C165F">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需设置“添加服务”“删除”按钮，支持用户进行接口服务的新增创建与批量删除操作。</w:t>
            </w:r>
          </w:p>
          <w:p w14:paraId="349DFCC5">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（2）服务信息展示功能</w:t>
            </w:r>
          </w:p>
          <w:p w14:paraId="2A1C39A8">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需以表格形式展示接口服务详细信息。</w:t>
            </w:r>
          </w:p>
          <w:p w14:paraId="5891D830">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4.10.2</w:t>
            </w:r>
            <w:r>
              <w:rPr>
                <w:rFonts w:hint="eastAsia" w:ascii="仿宋" w:hAnsi="仿宋" w:eastAsia="仿宋" w:cs="仿宋"/>
                <w:sz w:val="20"/>
                <w:szCs w:val="20"/>
              </w:rPr>
              <w:t>法院配置</w:t>
            </w:r>
          </w:p>
          <w:p w14:paraId="2A2AC635">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需同步“一张网”的三级法院信息并进行展示，显示“法院名称、分级码、法院代字、操作”，数据实时更新且准确。</w:t>
            </w:r>
          </w:p>
          <w:p w14:paraId="15A53AF3">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4.10.3</w:t>
            </w:r>
            <w:r>
              <w:rPr>
                <w:rFonts w:hint="eastAsia" w:ascii="仿宋" w:hAnsi="仿宋" w:eastAsia="仿宋" w:cs="仿宋"/>
                <w:sz w:val="20"/>
                <w:szCs w:val="20"/>
              </w:rPr>
              <w:t>对接系统配置</w:t>
            </w:r>
          </w:p>
          <w:p w14:paraId="2FCC3163">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针对全省三级法院，具备对“对接系统配置”项，可提供对目前全省主流科技法庭厂商的数据的配置。</w:t>
            </w:r>
          </w:p>
          <w:p w14:paraId="21F27973">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4.10.4</w:t>
            </w:r>
            <w:r>
              <w:rPr>
                <w:rFonts w:hint="eastAsia" w:ascii="仿宋" w:hAnsi="仿宋" w:eastAsia="仿宋" w:cs="仿宋"/>
                <w:sz w:val="20"/>
                <w:szCs w:val="20"/>
              </w:rPr>
              <w:t>上行系统配置</w:t>
            </w:r>
          </w:p>
          <w:p w14:paraId="694DA241">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根据“一张网”的数据下行规范要求，按法院的范围，按其管理规范进行数据的配置，包括</w:t>
            </w:r>
          </w:p>
          <w:p w14:paraId="7CB8C7AE">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（1）系统授权配置功能</w:t>
            </w:r>
          </w:p>
          <w:p w14:paraId="445C85CC">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需支持“授权应用id”“授权应用key”“授权SK”等授权信息的配置。</w:t>
            </w:r>
          </w:p>
          <w:p w14:paraId="7996D156">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（2）接口配置功能</w:t>
            </w:r>
          </w:p>
          <w:p w14:paraId="09CF129A">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需支持各类上行接口的配置，包括“根据法院代码获取部门列表带分页”“查询身份数据”等</w:t>
            </w:r>
            <w:r>
              <w:rPr>
                <w:rFonts w:hint="eastAsia" w:ascii="仿宋" w:hAnsi="仿宋" w:eastAsia="仿宋" w:cs="仿宋"/>
                <w:sz w:val="20"/>
                <w:szCs w:val="20"/>
                <w:lang w:val="en-US" w:eastAsia="zh-CN"/>
              </w:rPr>
              <w:t>常用</w:t>
            </w:r>
            <w:r>
              <w:rPr>
                <w:rFonts w:hint="eastAsia" w:ascii="仿宋" w:hAnsi="仿宋" w:eastAsia="仿宋" w:cs="仿宋"/>
                <w:sz w:val="20"/>
                <w:szCs w:val="20"/>
              </w:rPr>
              <w:t>接口的URL及相关信息配置。</w:t>
            </w:r>
          </w:p>
          <w:p w14:paraId="1FB0577D">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4.10.5</w:t>
            </w:r>
            <w:r>
              <w:rPr>
                <w:rFonts w:hint="eastAsia" w:ascii="仿宋" w:hAnsi="仿宋" w:eastAsia="仿宋" w:cs="仿宋"/>
                <w:sz w:val="20"/>
                <w:szCs w:val="20"/>
              </w:rPr>
              <w:t>接口授权配置</w:t>
            </w:r>
          </w:p>
          <w:p w14:paraId="0CF6F944">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（1）法院选择功能</w:t>
            </w:r>
          </w:p>
          <w:p w14:paraId="555E0134">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需设置“法院”下拉选择框，支持用户选择具体法院。</w:t>
            </w:r>
          </w:p>
          <w:p w14:paraId="45636C6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（2）授权信息查询功能</w:t>
            </w:r>
          </w:p>
          <w:p w14:paraId="173FC5BD">
            <w:pPr>
              <w:pageBreakBefore w:val="0"/>
              <w:kinsoku/>
              <w:wordWrap/>
              <w:overflowPunct/>
              <w:topLinePunct w:val="0"/>
              <w:autoSpaceDN/>
              <w:bidi w:val="0"/>
              <w:spacing w:line="240" w:lineRule="auto"/>
              <w:ind w:firstLine="0"/>
              <w:outlineLvl w:val="9"/>
              <w:rPr>
                <w:rFonts w:hint="eastAsia" w:ascii="仿宋" w:hAnsi="仿宋" w:eastAsia="仿宋" w:cs="仿宋"/>
                <w:sz w:val="20"/>
                <w:szCs w:val="20"/>
                <w:lang w:eastAsia="zh-CN"/>
              </w:rPr>
            </w:pPr>
            <w:r>
              <w:rPr>
                <w:rFonts w:hint="eastAsia" w:ascii="仿宋" w:hAnsi="仿宋" w:eastAsia="仿宋" w:cs="仿宋"/>
                <w:sz w:val="20"/>
                <w:szCs w:val="20"/>
              </w:rPr>
              <w:t>需设置“授权IP”“授权厂商”输入框和“搜索”按钮，支持用户通过输入IP地址、厂商名称进行精准查询</w:t>
            </w:r>
            <w:r>
              <w:rPr>
                <w:rFonts w:hint="eastAsia" w:ascii="仿宋" w:hAnsi="仿宋" w:eastAsia="仿宋" w:cs="仿宋"/>
                <w:sz w:val="20"/>
                <w:szCs w:val="20"/>
                <w:lang w:eastAsia="zh-CN"/>
              </w:rPr>
              <w:t>。</w:t>
            </w:r>
          </w:p>
          <w:p w14:paraId="609004E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（3）授权配置新增功能</w:t>
            </w:r>
          </w:p>
          <w:p w14:paraId="53A5827C">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需设置“添加授权配置”按钮，支持用户新增接口授权配置信息。</w:t>
            </w:r>
          </w:p>
          <w:p w14:paraId="10DA9D32">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（4）授权信息展示功能</w:t>
            </w:r>
          </w:p>
          <w:p w14:paraId="2812112D">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需以表格形式展示接口授权详细信息，包含“序号、授权法院、授权厂商、授权IP、AppID、AppKey、AppSecret、操作”列，数据实时更新且准确。</w:t>
            </w:r>
          </w:p>
          <w:p w14:paraId="2F75CE37">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4.10.6</w:t>
            </w:r>
            <w:r>
              <w:rPr>
                <w:rFonts w:hint="eastAsia" w:ascii="仿宋" w:hAnsi="仿宋" w:eastAsia="仿宋" w:cs="仿宋"/>
                <w:sz w:val="20"/>
                <w:szCs w:val="20"/>
              </w:rPr>
              <w:t>法庭配置</w:t>
            </w:r>
          </w:p>
          <w:p w14:paraId="25E2602E">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（1）配置操作功能</w:t>
            </w:r>
          </w:p>
          <w:p w14:paraId="43CF98A2">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需设置“导出模板”“手动同步”“新增”“导入”“导出法庭配置”“删除”功能，支持用户进行法庭配置模板导出、数据手动同步、法庭信息新增、批量导入、法庭配置导出及批量删除操作。</w:t>
            </w:r>
          </w:p>
          <w:p w14:paraId="2304774A">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需在“操作”列提供“修改”“删除”功能按钮，支持用户对单个法庭配置信息进行编辑修改与删除操作。</w:t>
            </w:r>
          </w:p>
          <w:p w14:paraId="48046F9D">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（2）法庭信息展示功能</w:t>
            </w:r>
          </w:p>
          <w:p w14:paraId="1E91D410">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需以表格形式展示法庭详细配置信息，包含“法院名称、法庭名称、接口类型、接口地址、所属系统、操作”列，数据实时更新且准确息。</w:t>
            </w:r>
          </w:p>
          <w:p w14:paraId="6C4A2531">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4.10.7</w:t>
            </w:r>
            <w:r>
              <w:rPr>
                <w:rFonts w:hint="eastAsia" w:ascii="仿宋" w:hAnsi="仿宋" w:eastAsia="仿宋" w:cs="仿宋"/>
                <w:sz w:val="20"/>
                <w:szCs w:val="20"/>
              </w:rPr>
              <w:t>法庭厂商配置</w:t>
            </w:r>
          </w:p>
          <w:p w14:paraId="486E956F">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本平台服务于全省法院的科技法庭厂商，为其提供案件排期信息，需提供对全省科技法庭厂商的数据配置。</w:t>
            </w:r>
          </w:p>
          <w:p w14:paraId="00E38D86">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4.10.8</w:t>
            </w:r>
            <w:r>
              <w:rPr>
                <w:rFonts w:hint="eastAsia" w:ascii="仿宋" w:hAnsi="仿宋" w:eastAsia="仿宋" w:cs="仿宋"/>
                <w:sz w:val="20"/>
                <w:szCs w:val="20"/>
              </w:rPr>
              <w:t>存储数据查询</w:t>
            </w:r>
          </w:p>
          <w:p w14:paraId="0DB3722F">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对法庭、组织机构用户、案件信息等从“一张网”获取的信息进行本地化存储，并按各种查询条件提供数据查询功能。</w:t>
            </w:r>
          </w:p>
          <w:p w14:paraId="59C7B97D">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lang w:val="en-US" w:eastAsia="zh-CN"/>
              </w:rPr>
              <w:t>4.10.9</w:t>
            </w:r>
            <w:r>
              <w:rPr>
                <w:rFonts w:hint="eastAsia" w:ascii="仿宋" w:hAnsi="仿宋" w:eastAsia="仿宋" w:cs="仿宋"/>
                <w:sz w:val="20"/>
                <w:szCs w:val="20"/>
              </w:rPr>
              <w:t>接口日志管理</w:t>
            </w:r>
          </w:p>
          <w:p w14:paraId="2A233A46">
            <w:pPr>
              <w:pageBreakBefore w:val="0"/>
              <w:kinsoku/>
              <w:wordWrap/>
              <w:overflowPunct/>
              <w:topLinePunct w:val="0"/>
              <w:autoSpaceDN/>
              <w:bidi w:val="0"/>
              <w:spacing w:line="240" w:lineRule="auto"/>
              <w:ind w:firstLine="0"/>
              <w:outlineLvl w:val="9"/>
              <w:rPr>
                <w:rFonts w:hint="eastAsia" w:ascii="仿宋" w:hAnsi="仿宋" w:eastAsia="仿宋" w:cs="仿宋"/>
                <w:sz w:val="20"/>
                <w:szCs w:val="20"/>
              </w:rPr>
            </w:pPr>
            <w:r>
              <w:rPr>
                <w:rFonts w:hint="eastAsia" w:ascii="仿宋" w:hAnsi="仿宋" w:eastAsia="仿宋" w:cs="仿宋"/>
                <w:sz w:val="20"/>
                <w:szCs w:val="20"/>
              </w:rPr>
              <w:t>和“一张网”的数据交互尤其频繁，需确保日志的完整性。</w:t>
            </w:r>
          </w:p>
        </w:tc>
      </w:tr>
    </w:tbl>
    <w:p w14:paraId="28FB2537">
      <w:pPr>
        <w:pageBreakBefore w:val="0"/>
        <w:kinsoku/>
        <w:wordWrap/>
        <w:overflowPunct/>
        <w:topLinePunct w:val="0"/>
        <w:autoSpaceDN/>
        <w:bidi w:val="0"/>
        <w:spacing w:line="240" w:lineRule="auto"/>
        <w:outlineLvl w:val="9"/>
        <w:rPr>
          <w:rFonts w:hint="eastAsia" w:ascii="仿宋" w:hAnsi="仿宋" w:eastAsia="仿宋" w:cs="仿宋"/>
          <w:sz w:val="21"/>
          <w:szCs w:val="21"/>
        </w:rPr>
      </w:pPr>
    </w:p>
    <w:p w14:paraId="45CF7FC1">
      <w:pPr>
        <w:pageBreakBefore w:val="0"/>
        <w:kinsoku/>
        <w:wordWrap/>
        <w:overflowPunct/>
        <w:topLinePunct w:val="0"/>
        <w:autoSpaceDN/>
        <w:bidi w:val="0"/>
        <w:spacing w:line="240" w:lineRule="auto"/>
        <w:jc w:val="both"/>
        <w:outlineLvl w:val="9"/>
        <w:rPr>
          <w:rFonts w:hint="eastAsia" w:ascii="仿宋" w:hAnsi="仿宋" w:eastAsia="仿宋" w:cs="仿宋"/>
          <w:sz w:val="21"/>
          <w:szCs w:val="21"/>
        </w:rPr>
      </w:pPr>
      <w:bookmarkStart w:id="19" w:name="OLE_LINK8"/>
      <w:r>
        <w:rPr>
          <w:rFonts w:hint="eastAsia" w:ascii="仿宋" w:hAnsi="仿宋" w:eastAsia="仿宋" w:cs="仿宋"/>
          <w:sz w:val="21"/>
          <w:szCs w:val="21"/>
          <w:lang w:val="en-US" w:eastAsia="zh-CN"/>
        </w:rPr>
        <w:t>5.</w:t>
      </w:r>
      <w:r>
        <w:rPr>
          <w:rFonts w:hint="eastAsia" w:ascii="仿宋" w:hAnsi="仿宋" w:eastAsia="仿宋" w:cs="仿宋"/>
          <w:sz w:val="21"/>
          <w:szCs w:val="21"/>
        </w:rPr>
        <w:t>图文识别引擎</w:t>
      </w:r>
      <w:bookmarkEnd w:id="19"/>
      <w:r>
        <w:rPr>
          <w:rFonts w:hint="eastAsia" w:ascii="仿宋" w:hAnsi="仿宋" w:eastAsia="仿宋" w:cs="仿宋"/>
          <w:sz w:val="21"/>
          <w:szCs w:val="21"/>
        </w:rPr>
        <w:t>及配套服务</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6457"/>
      </w:tblGrid>
      <w:tr w14:paraId="3009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5" w:type="pct"/>
            <w:vAlign w:val="center"/>
          </w:tcPr>
          <w:p w14:paraId="4464E19C">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序号</w:t>
            </w:r>
          </w:p>
        </w:tc>
        <w:tc>
          <w:tcPr>
            <w:tcW w:w="605" w:type="pct"/>
            <w:vAlign w:val="center"/>
          </w:tcPr>
          <w:p w14:paraId="6D2FF6FC">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产品名称</w:t>
            </w:r>
          </w:p>
        </w:tc>
        <w:tc>
          <w:tcPr>
            <w:tcW w:w="3789" w:type="pct"/>
            <w:vAlign w:val="center"/>
          </w:tcPr>
          <w:p w14:paraId="64230F2A">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产品参数</w:t>
            </w:r>
          </w:p>
        </w:tc>
      </w:tr>
      <w:tr w14:paraId="693A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605" w:type="pct"/>
            <w:vMerge w:val="restart"/>
            <w:vAlign w:val="center"/>
          </w:tcPr>
          <w:p w14:paraId="7F61179B">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5</w:t>
            </w:r>
          </w:p>
        </w:tc>
        <w:tc>
          <w:tcPr>
            <w:tcW w:w="605" w:type="pct"/>
            <w:vMerge w:val="restart"/>
            <w:vAlign w:val="center"/>
          </w:tcPr>
          <w:p w14:paraId="4AD39BF4">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OCR图文识别引擎升级改造及配套服务</w:t>
            </w:r>
          </w:p>
        </w:tc>
        <w:tc>
          <w:tcPr>
            <w:tcW w:w="3789" w:type="pct"/>
            <w:vAlign w:val="center"/>
          </w:tcPr>
          <w:p w14:paraId="3312C937">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b/>
                <w:bCs/>
                <w:color w:val="000000"/>
                <w:kern w:val="0"/>
                <w:sz w:val="21"/>
                <w:szCs w:val="21"/>
                <w:lang w:bidi="ar"/>
              </w:rPr>
            </w:pPr>
            <w:r>
              <w:rPr>
                <w:rFonts w:hint="eastAsia" w:ascii="仿宋" w:hAnsi="仿宋" w:eastAsia="仿宋" w:cs="仿宋"/>
                <w:b/>
                <w:bCs/>
                <w:color w:val="000000"/>
                <w:kern w:val="0"/>
                <w:sz w:val="21"/>
                <w:szCs w:val="21"/>
                <w:lang w:val="en-US" w:eastAsia="zh-CN" w:bidi="ar"/>
              </w:rPr>
              <w:t>5</w:t>
            </w:r>
            <w:r>
              <w:rPr>
                <w:rFonts w:hint="eastAsia" w:ascii="仿宋" w:hAnsi="仿宋" w:eastAsia="仿宋" w:cs="仿宋"/>
                <w:b/>
                <w:bCs/>
                <w:color w:val="000000"/>
                <w:kern w:val="0"/>
                <w:sz w:val="21"/>
                <w:szCs w:val="21"/>
                <w:lang w:bidi="ar"/>
              </w:rPr>
              <w:t>.1核心功能升级</w:t>
            </w:r>
          </w:p>
          <w:p w14:paraId="72BE1A32">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（1）升级格式兼容能力：针对不同办案办公场景下卷宗材料格式不统一导致的识别障碍，支持对各种jpg、jpeg、png、pdf、doc、docx、wps、ofd等原始法律文书卷宗中的信息进行上传识别。</w:t>
            </w:r>
          </w:p>
          <w:p w14:paraId="01FFDA7E">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（2）增加OCR内容识别</w:t>
            </w:r>
            <w:r>
              <w:rPr>
                <w:rFonts w:hint="eastAsia" w:ascii="仿宋" w:hAnsi="仿宋" w:eastAsia="仿宋" w:cs="仿宋"/>
                <w:color w:val="000000"/>
                <w:kern w:val="0"/>
                <w:sz w:val="21"/>
                <w:szCs w:val="21"/>
                <w:lang w:val="en-US" w:eastAsia="zh-CN" w:bidi="ar"/>
              </w:rPr>
              <w:t>专用</w:t>
            </w:r>
            <w:r>
              <w:rPr>
                <w:rFonts w:hint="eastAsia" w:ascii="仿宋" w:hAnsi="仿宋" w:eastAsia="仿宋" w:cs="仿宋"/>
                <w:color w:val="000000"/>
                <w:kern w:val="0"/>
                <w:sz w:val="21"/>
                <w:szCs w:val="21"/>
                <w:lang w:bidi="ar"/>
              </w:rPr>
              <w:t>页面：增加展示系统材料列表，法官干警可通过手动上传和扫描上传；支持新建材料任务；展示材料详情，支持缩略图预览和材料详情预览。</w:t>
            </w:r>
          </w:p>
          <w:p w14:paraId="4F6DBDA8">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强化关键信息提取能力：为减少人工录入操作，避免信息误差，提升办案流程流转效率，支持文书中的关键信息识别，并将段落和单个文字的位置坐标和信息进行提取，保证双层PDF不产生明显重影、清晰可读；支持文书中的关键信息识别，并将段落和单个文字信息进行提取，保证不产生明显重影、清晰可读。</w:t>
            </w:r>
          </w:p>
          <w:p w14:paraId="4011C47A">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（4）升级混合识别能力：适配涉外案件中的英文卷宗材料、知识产权案件中的数字编号及公式表述、执行案件中的金额计算符号等场景，支持简体中文、英文、阿拉伯数字的混合识别，包括+ - * ÷ 、 % （ ） = 《 》等常见标点符号识别。</w:t>
            </w:r>
          </w:p>
          <w:p w14:paraId="04AB6320">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优化证据文件签名和手印检测能力：聚焦庭审证据质证、卷宗归档审核、执行文书确认等场景，支持对证据文件的签名和手印的自动检测，辅助审核文件有效性。对言辞笔录辨认笔录等文书的手写签名、手印、签章3种证据进行检测，并输出该证据在图片中的具体位置。</w:t>
            </w:r>
          </w:p>
          <w:p w14:paraId="3E067E32">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优化图像处理精度问题：针对基层法院收案时扫描设备差异、卷宗装订褶皱、人工操作失误导致的扫描件倾斜、翻转等实际问题，支持文字与水平轴小于±15°夹角偏转，支持90、180、270度的图片倾斜翻转识别，并旋转回正常朝向。</w:t>
            </w:r>
          </w:p>
          <w:p w14:paraId="1A240727">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5</w:t>
            </w:r>
            <w:r>
              <w:rPr>
                <w:rFonts w:hint="eastAsia" w:ascii="仿宋" w:hAnsi="仿宋" w:eastAsia="仿宋" w:cs="仿宋"/>
                <w:b/>
                <w:bCs/>
                <w:color w:val="000000"/>
                <w:kern w:val="0"/>
                <w:sz w:val="21"/>
                <w:szCs w:val="21"/>
                <w:lang w:bidi="ar"/>
              </w:rPr>
              <w:t>.2配套服务保障</w:t>
            </w:r>
          </w:p>
          <w:p w14:paraId="7333257A">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（1）提供系统升级部署服务，基于原有引擎服务器完成适配调试。</w:t>
            </w:r>
          </w:p>
          <w:p w14:paraId="0C31B003">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（2）提供1年运维服务，含故障响应、操作培训。</w:t>
            </w:r>
          </w:p>
        </w:tc>
      </w:tr>
      <w:tr w14:paraId="20CC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atLeast"/>
        </w:trPr>
        <w:tc>
          <w:tcPr>
            <w:tcW w:w="605" w:type="pct"/>
            <w:vAlign w:val="center"/>
          </w:tcPr>
          <w:p w14:paraId="72E29CF8">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p>
        </w:tc>
        <w:tc>
          <w:tcPr>
            <w:tcW w:w="605" w:type="pct"/>
            <w:vAlign w:val="center"/>
          </w:tcPr>
          <w:p w14:paraId="7AACC176">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基于OCR图文识别的场景化应用能力升级</w:t>
            </w:r>
          </w:p>
        </w:tc>
        <w:tc>
          <w:tcPr>
            <w:tcW w:w="3789" w:type="pct"/>
            <w:vAlign w:val="center"/>
          </w:tcPr>
          <w:p w14:paraId="5086D74F">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b/>
                <w:bCs/>
                <w:color w:val="000000"/>
                <w:kern w:val="0"/>
                <w:sz w:val="21"/>
                <w:szCs w:val="21"/>
                <w:lang w:bidi="ar"/>
              </w:rPr>
            </w:pPr>
            <w:r>
              <w:rPr>
                <w:rFonts w:hint="eastAsia" w:ascii="仿宋" w:hAnsi="仿宋" w:eastAsia="仿宋" w:cs="仿宋"/>
                <w:b/>
                <w:bCs/>
                <w:color w:val="000000"/>
                <w:kern w:val="0"/>
                <w:sz w:val="21"/>
                <w:szCs w:val="21"/>
                <w:lang w:val="en-US" w:eastAsia="zh-CN" w:bidi="ar"/>
              </w:rPr>
              <w:t>5</w:t>
            </w:r>
            <w:r>
              <w:rPr>
                <w:rFonts w:hint="eastAsia" w:ascii="仿宋" w:hAnsi="仿宋" w:eastAsia="仿宋" w:cs="仿宋"/>
                <w:b/>
                <w:bCs/>
                <w:color w:val="000000"/>
                <w:kern w:val="0"/>
                <w:sz w:val="21"/>
                <w:szCs w:val="21"/>
                <w:lang w:bidi="ar"/>
              </w:rPr>
              <w:t>.3场景化应用能力升级</w:t>
            </w:r>
          </w:p>
          <w:p w14:paraId="5FFECCE3">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基于OCR图文识别引擎升级改造，聚焦“一张网”未覆盖的庭审场景深度适配需求，适配并优化庭审过程中的语音笔录转写识别。</w:t>
            </w:r>
          </w:p>
          <w:p w14:paraId="4D06FC7A">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val="en-US" w:eastAsia="zh-CN" w:bidi="ar"/>
              </w:rPr>
              <w:t>5</w:t>
            </w:r>
            <w:r>
              <w:rPr>
                <w:rFonts w:hint="eastAsia" w:ascii="仿宋" w:hAnsi="仿宋" w:eastAsia="仿宋" w:cs="仿宋"/>
                <w:b/>
                <w:bCs/>
                <w:color w:val="000000"/>
                <w:kern w:val="0"/>
                <w:sz w:val="21"/>
                <w:szCs w:val="21"/>
                <w:lang w:bidi="ar"/>
              </w:rPr>
              <w:t>.4法庭场景深度应用</w:t>
            </w:r>
          </w:p>
          <w:p w14:paraId="2010B042">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个案训练：语音笔录在具体开庭场景，可对案件相关词汇自动加载为热词，也可以手动添加热词或手动上传资料进行训练，形成个案资源包，有效解决人名、地名等特定词汇识别瓶颈从而有针对性的进一步提升识别率；</w:t>
            </w:r>
          </w:p>
          <w:p w14:paraId="3B46A8F2">
            <w:pPr>
              <w:pageBreakBefore w:val="0"/>
              <w:widowControl/>
              <w:kinsoku/>
              <w:wordWrap/>
              <w:overflowPunct/>
              <w:topLinePunct w:val="0"/>
              <w:autoSpaceDN/>
              <w:bidi w:val="0"/>
              <w:spacing w:line="240" w:lineRule="auto"/>
              <w:ind w:firstLine="0"/>
              <w:textAlignment w:val="center"/>
              <w:outlineLvl w:val="9"/>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（2）卷宗材料全文检索：系统支持对卷宗内容全文检索，搜索结果可准确定位至对应的页面，方便用户快速定位、查阅相关卷宗材料内容。</w:t>
            </w:r>
          </w:p>
        </w:tc>
      </w:tr>
    </w:tbl>
    <w:p w14:paraId="52B47014">
      <w:pPr>
        <w:pageBreakBefore w:val="0"/>
        <w:kinsoku/>
        <w:wordWrap/>
        <w:overflowPunct/>
        <w:topLinePunct w:val="0"/>
        <w:autoSpaceDN/>
        <w:bidi w:val="0"/>
        <w:spacing w:line="240" w:lineRule="auto"/>
        <w:outlineLvl w:val="9"/>
        <w:rPr>
          <w:rFonts w:hint="eastAsia" w:ascii="仿宋" w:hAnsi="仿宋" w:eastAsia="仿宋" w:cs="仿宋"/>
          <w:sz w:val="21"/>
          <w:szCs w:val="21"/>
        </w:rPr>
      </w:pPr>
      <w:r>
        <w:rPr>
          <w:rFonts w:hint="eastAsia" w:ascii="仿宋" w:hAnsi="仿宋" w:eastAsia="仿宋" w:cs="仿宋"/>
          <w:sz w:val="21"/>
          <w:szCs w:val="21"/>
          <w:lang w:val="en-US" w:eastAsia="zh-CN"/>
        </w:rPr>
        <w:t>三、</w:t>
      </w:r>
      <w:r>
        <w:rPr>
          <w:rFonts w:hint="eastAsia" w:ascii="仿宋" w:hAnsi="仿宋" w:eastAsia="仿宋" w:cs="仿宋"/>
          <w:sz w:val="21"/>
          <w:szCs w:val="21"/>
        </w:rPr>
        <w:t>项目服务要求</w:t>
      </w:r>
    </w:p>
    <w:p w14:paraId="6F3C8B80">
      <w:pPr>
        <w:pageBreakBefore w:val="0"/>
        <w:kinsoku/>
        <w:wordWrap/>
        <w:overflowPunct/>
        <w:topLinePunct w:val="0"/>
        <w:autoSpaceDN/>
        <w:bidi w:val="0"/>
        <w:spacing w:line="240" w:lineRule="auto"/>
        <w:jc w:val="both"/>
        <w:outlineLvl w:val="9"/>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服务团队</w:t>
      </w:r>
    </w:p>
    <w:p w14:paraId="00C09E59">
      <w:pPr>
        <w:pageBreakBefore w:val="0"/>
        <w:kinsoku/>
        <w:wordWrap/>
        <w:overflowPunct/>
        <w:topLinePunct w:val="0"/>
        <w:autoSpaceDN/>
        <w:bidi w:val="0"/>
        <w:spacing w:line="240" w:lineRule="auto"/>
        <w:ind w:firstLine="560"/>
        <w:outlineLvl w:val="9"/>
        <w:rPr>
          <w:rFonts w:hint="eastAsia" w:ascii="仿宋" w:hAnsi="仿宋" w:eastAsia="仿宋" w:cs="仿宋"/>
          <w:sz w:val="21"/>
          <w:szCs w:val="21"/>
        </w:rPr>
      </w:pPr>
      <w:r>
        <w:rPr>
          <w:rFonts w:hint="eastAsia" w:ascii="仿宋" w:hAnsi="仿宋" w:eastAsia="仿宋" w:cs="仿宋"/>
          <w:sz w:val="21"/>
          <w:szCs w:val="21"/>
        </w:rPr>
        <w:t>为保障项目工作顺利完成，</w:t>
      </w:r>
      <w:r>
        <w:rPr>
          <w:rFonts w:hint="eastAsia" w:ascii="仿宋" w:hAnsi="仿宋" w:eastAsia="仿宋" w:cs="仿宋"/>
          <w:sz w:val="21"/>
          <w:szCs w:val="21"/>
          <w:highlight w:val="none"/>
        </w:rPr>
        <w:t>投标人必须组织稳定的、经验丰富的项目团队来完成项目的服务工作，提供项目服务人员不少于5人，需包</w:t>
      </w:r>
      <w:r>
        <w:rPr>
          <w:rFonts w:hint="eastAsia" w:ascii="仿宋" w:hAnsi="仿宋" w:eastAsia="仿宋" w:cs="仿宋"/>
          <w:sz w:val="21"/>
          <w:szCs w:val="21"/>
        </w:rPr>
        <w:t>含项目经理一名。</w:t>
      </w:r>
    </w:p>
    <w:p w14:paraId="78875EB9">
      <w:pPr>
        <w:pageBreakBefore w:val="0"/>
        <w:kinsoku/>
        <w:wordWrap/>
        <w:overflowPunct/>
        <w:topLinePunct w:val="0"/>
        <w:autoSpaceDN/>
        <w:bidi w:val="0"/>
        <w:spacing w:line="240" w:lineRule="auto"/>
        <w:jc w:val="both"/>
        <w:outlineLvl w:val="9"/>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交付时间</w:t>
      </w:r>
    </w:p>
    <w:p w14:paraId="7C49C75B">
      <w:pPr>
        <w:pageBreakBefore w:val="0"/>
        <w:kinsoku/>
        <w:wordWrap/>
        <w:overflowPunct/>
        <w:topLinePunct w:val="0"/>
        <w:autoSpaceDN/>
        <w:bidi w:val="0"/>
        <w:spacing w:line="240" w:lineRule="auto"/>
        <w:ind w:firstLine="560"/>
        <w:outlineLvl w:val="9"/>
        <w:rPr>
          <w:rFonts w:hint="eastAsia" w:ascii="仿宋" w:hAnsi="仿宋" w:eastAsia="仿宋" w:cs="仿宋"/>
          <w:sz w:val="21"/>
          <w:szCs w:val="21"/>
        </w:rPr>
      </w:pPr>
      <w:r>
        <w:rPr>
          <w:rFonts w:hint="eastAsia" w:ascii="仿宋" w:hAnsi="仿宋" w:eastAsia="仿宋" w:cs="仿宋"/>
          <w:sz w:val="21"/>
          <w:szCs w:val="21"/>
        </w:rPr>
        <w:t>合同签订后6个月。</w:t>
      </w:r>
    </w:p>
    <w:p w14:paraId="3571E5DF">
      <w:pPr>
        <w:pageBreakBefore w:val="0"/>
        <w:kinsoku/>
        <w:wordWrap/>
        <w:overflowPunct/>
        <w:topLinePunct w:val="0"/>
        <w:autoSpaceDN/>
        <w:bidi w:val="0"/>
        <w:spacing w:line="240" w:lineRule="auto"/>
        <w:jc w:val="both"/>
        <w:outlineLvl w:val="9"/>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质保期</w:t>
      </w:r>
    </w:p>
    <w:p w14:paraId="6D8C6092">
      <w:pPr>
        <w:pageBreakBefore w:val="0"/>
        <w:kinsoku/>
        <w:wordWrap/>
        <w:overflowPunct/>
        <w:topLinePunct w:val="0"/>
        <w:autoSpaceDN/>
        <w:bidi w:val="0"/>
        <w:spacing w:line="240" w:lineRule="auto"/>
        <w:ind w:firstLine="560"/>
        <w:outlineLvl w:val="9"/>
        <w:rPr>
          <w:rFonts w:hint="eastAsia" w:ascii="仿宋" w:hAnsi="仿宋" w:eastAsia="仿宋" w:cs="仿宋"/>
          <w:sz w:val="21"/>
          <w:szCs w:val="21"/>
        </w:rPr>
      </w:pPr>
      <w:r>
        <w:rPr>
          <w:rFonts w:hint="eastAsia" w:ascii="仿宋" w:hAnsi="仿宋" w:eastAsia="仿宋" w:cs="仿宋"/>
          <w:sz w:val="21"/>
          <w:szCs w:val="21"/>
        </w:rPr>
        <w:t>供应商应确保本次采购所有项目的安全稳定的运行，并承诺提供不低于1年免费质保服务（自验收报告签字确认日起，开始进入免费质保期。</w:t>
      </w:r>
    </w:p>
    <w:p w14:paraId="3D61A299">
      <w:pPr>
        <w:pageBreakBefore w:val="0"/>
        <w:kinsoku/>
        <w:wordWrap/>
        <w:overflowPunct/>
        <w:topLinePunct w:val="0"/>
        <w:autoSpaceDN/>
        <w:bidi w:val="0"/>
        <w:spacing w:line="240" w:lineRule="auto"/>
        <w:jc w:val="both"/>
        <w:outlineLvl w:val="9"/>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售后服务要求</w:t>
      </w:r>
    </w:p>
    <w:p w14:paraId="65A78E3D">
      <w:pPr>
        <w:pageBreakBefore w:val="0"/>
        <w:kinsoku/>
        <w:wordWrap/>
        <w:overflowPunct/>
        <w:topLinePunct w:val="0"/>
        <w:autoSpaceDN/>
        <w:bidi w:val="0"/>
        <w:spacing w:line="240" w:lineRule="auto"/>
        <w:ind w:firstLine="560"/>
        <w:outlineLvl w:val="9"/>
        <w:rPr>
          <w:rFonts w:hint="eastAsia" w:ascii="仿宋" w:hAnsi="仿宋" w:eastAsia="仿宋" w:cs="仿宋"/>
          <w:sz w:val="21"/>
          <w:szCs w:val="21"/>
        </w:rPr>
      </w:pPr>
      <w:r>
        <w:rPr>
          <w:rFonts w:hint="eastAsia" w:ascii="仿宋" w:hAnsi="仿宋" w:eastAsia="仿宋" w:cs="仿宋"/>
          <w:sz w:val="21"/>
          <w:szCs w:val="21"/>
        </w:rPr>
        <w:t>（1）质保期内，本合同项目所有技术和服务发生任何非人为故障，由供应商负责系统恢复。</w:t>
      </w:r>
    </w:p>
    <w:p w14:paraId="68089F03">
      <w:pPr>
        <w:pageBreakBefore w:val="0"/>
        <w:kinsoku/>
        <w:wordWrap/>
        <w:overflowPunct/>
        <w:topLinePunct w:val="0"/>
        <w:autoSpaceDN/>
        <w:bidi w:val="0"/>
        <w:spacing w:line="240" w:lineRule="auto"/>
        <w:ind w:firstLine="560"/>
        <w:outlineLvl w:val="9"/>
        <w:rPr>
          <w:rFonts w:hint="eastAsia" w:ascii="仿宋" w:hAnsi="仿宋" w:eastAsia="仿宋" w:cs="仿宋"/>
          <w:sz w:val="21"/>
          <w:szCs w:val="21"/>
        </w:rPr>
      </w:pPr>
      <w:r>
        <w:rPr>
          <w:rFonts w:hint="eastAsia" w:ascii="仿宋" w:hAnsi="仿宋" w:eastAsia="仿宋" w:cs="仿宋"/>
          <w:sz w:val="21"/>
          <w:szCs w:val="21"/>
        </w:rPr>
        <w:t>疑难问题（不危及运行）在24小时内答复用户。</w:t>
      </w:r>
    </w:p>
    <w:p w14:paraId="2DC922AA">
      <w:pPr>
        <w:pageBreakBefore w:val="0"/>
        <w:kinsoku/>
        <w:wordWrap/>
        <w:overflowPunct/>
        <w:topLinePunct w:val="0"/>
        <w:autoSpaceDN/>
        <w:bidi w:val="0"/>
        <w:spacing w:line="240" w:lineRule="auto"/>
        <w:ind w:firstLine="560"/>
        <w:outlineLvl w:val="9"/>
        <w:rPr>
          <w:rFonts w:hint="eastAsia" w:ascii="仿宋" w:hAnsi="仿宋" w:eastAsia="仿宋" w:cs="仿宋"/>
          <w:sz w:val="21"/>
          <w:szCs w:val="21"/>
        </w:rPr>
      </w:pPr>
      <w:r>
        <w:rPr>
          <w:rFonts w:hint="eastAsia" w:ascii="仿宋" w:hAnsi="仿宋" w:eastAsia="仿宋" w:cs="仿宋"/>
          <w:sz w:val="21"/>
          <w:szCs w:val="21"/>
        </w:rPr>
        <w:t>重大问题（危及运行）在2小时内到现场处理或通过网络远程处理。</w:t>
      </w:r>
    </w:p>
    <w:p w14:paraId="18438ECE">
      <w:pPr>
        <w:pageBreakBefore w:val="0"/>
        <w:kinsoku/>
        <w:wordWrap/>
        <w:overflowPunct/>
        <w:topLinePunct w:val="0"/>
        <w:autoSpaceDN/>
        <w:bidi w:val="0"/>
        <w:spacing w:line="240" w:lineRule="auto"/>
        <w:ind w:firstLine="560"/>
        <w:outlineLvl w:val="9"/>
        <w:rPr>
          <w:rFonts w:hint="eastAsia" w:ascii="仿宋" w:hAnsi="仿宋" w:eastAsia="仿宋" w:cs="仿宋"/>
          <w:sz w:val="21"/>
          <w:szCs w:val="21"/>
        </w:rPr>
      </w:pPr>
      <w:r>
        <w:rPr>
          <w:rFonts w:hint="eastAsia" w:ascii="仿宋" w:hAnsi="仿宋" w:eastAsia="仿宋" w:cs="仿宋"/>
          <w:sz w:val="21"/>
          <w:szCs w:val="21"/>
        </w:rPr>
        <w:t>特大问题（系统不能正常运行）在2小时内恢复系统运行，并在24小时内派技术人员到现场解决。</w:t>
      </w:r>
    </w:p>
    <w:p w14:paraId="72CA2D67">
      <w:pPr>
        <w:pageBreakBefore w:val="0"/>
        <w:kinsoku/>
        <w:wordWrap/>
        <w:overflowPunct/>
        <w:topLinePunct w:val="0"/>
        <w:autoSpaceDN/>
        <w:bidi w:val="0"/>
        <w:spacing w:line="240" w:lineRule="auto"/>
        <w:ind w:firstLine="560"/>
        <w:outlineLvl w:val="9"/>
        <w:rPr>
          <w:rFonts w:hint="eastAsia" w:ascii="仿宋" w:hAnsi="仿宋" w:eastAsia="仿宋" w:cs="仿宋"/>
          <w:sz w:val="21"/>
          <w:szCs w:val="21"/>
        </w:rPr>
      </w:pPr>
      <w:r>
        <w:rPr>
          <w:rFonts w:hint="eastAsia" w:ascii="仿宋" w:hAnsi="仿宋" w:eastAsia="仿宋" w:cs="仿宋"/>
          <w:sz w:val="21"/>
          <w:szCs w:val="21"/>
        </w:rPr>
        <w:t>（2）供应商需提供定期回访服务，对采购人提出的合理优化建议应提供免费升级服务。</w:t>
      </w:r>
    </w:p>
    <w:p w14:paraId="513CCDF1">
      <w:pPr>
        <w:pageBreakBefore w:val="0"/>
        <w:kinsoku/>
        <w:wordWrap/>
        <w:overflowPunct/>
        <w:topLinePunct w:val="0"/>
        <w:autoSpaceDN/>
        <w:bidi w:val="0"/>
        <w:spacing w:line="240" w:lineRule="auto"/>
        <w:ind w:firstLine="560"/>
        <w:outlineLvl w:val="9"/>
        <w:rPr>
          <w:rFonts w:hint="eastAsia" w:ascii="仿宋" w:hAnsi="仿宋" w:eastAsia="仿宋" w:cs="仿宋"/>
          <w:sz w:val="21"/>
          <w:szCs w:val="21"/>
        </w:rPr>
      </w:pPr>
      <w:r>
        <w:rPr>
          <w:rFonts w:hint="eastAsia" w:ascii="仿宋" w:hAnsi="仿宋" w:eastAsia="仿宋" w:cs="仿宋"/>
          <w:sz w:val="21"/>
          <w:szCs w:val="21"/>
        </w:rPr>
        <w:t>（3）所有的服务方式均为供应商上门保修，即由供应商派员到系统使用现场进行故障恢复，由此产生的一切费用均由供应商承担。</w:t>
      </w:r>
    </w:p>
    <w:p w14:paraId="24B56467">
      <w:pPr>
        <w:pageBreakBefore w:val="0"/>
        <w:kinsoku/>
        <w:wordWrap/>
        <w:overflowPunct/>
        <w:topLinePunct w:val="0"/>
        <w:autoSpaceDN/>
        <w:bidi w:val="0"/>
        <w:spacing w:line="240" w:lineRule="auto"/>
        <w:jc w:val="both"/>
        <w:outlineLvl w:val="9"/>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培训要求</w:t>
      </w:r>
    </w:p>
    <w:p w14:paraId="5DD992B1">
      <w:pPr>
        <w:pageBreakBefore w:val="0"/>
        <w:kinsoku/>
        <w:wordWrap/>
        <w:overflowPunct/>
        <w:topLinePunct w:val="0"/>
        <w:autoSpaceDN/>
        <w:bidi w:val="0"/>
        <w:spacing w:line="240" w:lineRule="auto"/>
        <w:ind w:firstLine="560"/>
        <w:outlineLvl w:val="9"/>
        <w:rPr>
          <w:rFonts w:hint="eastAsia" w:ascii="仿宋" w:hAnsi="仿宋" w:eastAsia="仿宋" w:cs="仿宋"/>
          <w:sz w:val="21"/>
          <w:szCs w:val="21"/>
        </w:rPr>
      </w:pPr>
      <w:r>
        <w:rPr>
          <w:rFonts w:hint="eastAsia" w:ascii="仿宋" w:hAnsi="仿宋" w:eastAsia="仿宋" w:cs="仿宋"/>
          <w:sz w:val="21"/>
          <w:szCs w:val="21"/>
        </w:rPr>
        <w:t>供应商须提供操作培训方案，方案内容包括但不限于培训方式、培训课时及培训目标成果等内容。</w:t>
      </w:r>
    </w:p>
    <w:p w14:paraId="7446FFA8">
      <w:pPr>
        <w:pStyle w:val="4"/>
        <w:spacing w:line="240" w:lineRule="auto"/>
        <w:ind w:left="0" w:leftChars="0" w:firstLine="0" w:firstLineChars="0"/>
        <w:outlineLvl w:val="9"/>
        <w:rPr>
          <w:rFonts w:hint="eastAsia" w:ascii="仿宋" w:hAnsi="仿宋" w:eastAsia="仿宋" w:cs="仿宋"/>
          <w:sz w:val="20"/>
          <w:szCs w:val="20"/>
          <w:highlight w:val="none"/>
          <w:lang w:val="en-US" w:eastAsia="zh-CN"/>
        </w:rPr>
      </w:pPr>
    </w:p>
    <w:p w14:paraId="0FF739A3">
      <w:pPr>
        <w:pStyle w:val="4"/>
        <w:spacing w:line="240" w:lineRule="auto"/>
        <w:ind w:left="0" w:leftChars="0" w:firstLine="0" w:firstLineChars="0"/>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6.报价说明</w:t>
      </w:r>
    </w:p>
    <w:p w14:paraId="5BB2CB8F">
      <w:pPr>
        <w:pStyle w:val="4"/>
        <w:outlineLvl w:val="9"/>
        <w:rPr>
          <w:rFonts w:hint="default"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本项目中标金额与预算之间的</w:t>
      </w:r>
      <w:r>
        <w:rPr>
          <w:rFonts w:hint="eastAsia" w:ascii="仿宋" w:hAnsi="仿宋" w:eastAsia="仿宋" w:cs="仿宋"/>
          <w:sz w:val="20"/>
          <w:szCs w:val="20"/>
          <w:highlight w:val="none"/>
          <w:lang w:val="en-US" w:eastAsia="zh-CN"/>
        </w:rPr>
        <w:t>实际</w:t>
      </w:r>
      <w:r>
        <w:rPr>
          <w:rFonts w:hint="default" w:ascii="仿宋" w:hAnsi="仿宋" w:eastAsia="仿宋" w:cs="仿宋"/>
          <w:sz w:val="20"/>
          <w:szCs w:val="20"/>
          <w:highlight w:val="none"/>
          <w:lang w:val="en-US" w:eastAsia="zh-CN"/>
        </w:rPr>
        <w:t>比例，将作为下游单位采购时的预算申报依据或最高限价</w:t>
      </w:r>
      <w:r>
        <w:rPr>
          <w:rFonts w:hint="eastAsia" w:ascii="仿宋" w:hAnsi="仿宋" w:eastAsia="仿宋" w:cs="仿宋"/>
          <w:sz w:val="20"/>
          <w:szCs w:val="20"/>
          <w:highlight w:val="none"/>
          <w:lang w:val="en-US" w:eastAsia="zh-CN"/>
        </w:rPr>
        <w:t>的重要参考</w:t>
      </w:r>
      <w:r>
        <w:rPr>
          <w:rFonts w:hint="default" w:ascii="仿宋" w:hAnsi="仿宋" w:eastAsia="仿宋" w:cs="仿宋"/>
          <w:sz w:val="20"/>
          <w:szCs w:val="20"/>
          <w:highlight w:val="none"/>
          <w:lang w:val="en-US" w:eastAsia="zh-CN"/>
        </w:rPr>
        <w:t>。</w:t>
      </w:r>
    </w:p>
    <w:p w14:paraId="3D416D8D">
      <w:pPr>
        <w:pStyle w:val="4"/>
        <w:spacing w:line="240" w:lineRule="auto"/>
        <w:ind w:left="0" w:leftChars="0" w:firstLine="0" w:firstLineChars="0"/>
        <w:outlineLvl w:val="9"/>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7.整体预算说明</w:t>
      </w:r>
    </w:p>
    <w:p w14:paraId="26B79BD3">
      <w:pPr>
        <w:jc w:val="both"/>
        <w:outlineLvl w:val="9"/>
        <w:rPr>
          <w:rFonts w:hint="eastAsia" w:ascii="仿宋" w:hAnsi="仿宋" w:eastAsia="仿宋" w:cs="仿宋"/>
          <w:sz w:val="20"/>
          <w:szCs w:val="20"/>
          <w:highlight w:val="none"/>
          <w:lang w:val="en-US" w:eastAsia="zh-CN"/>
        </w:rPr>
      </w:pPr>
      <w:r>
        <w:rPr>
          <w:rFonts w:hint="default" w:ascii="仿宋" w:hAnsi="仿宋" w:eastAsia="仿宋" w:cs="仿宋"/>
          <w:sz w:val="20"/>
          <w:szCs w:val="20"/>
          <w:highlight w:val="none"/>
          <w:lang w:val="en-US" w:eastAsia="zh-CN"/>
        </w:rPr>
        <w:t>本项目整体预算金额为</w:t>
      </w:r>
      <w:r>
        <w:rPr>
          <w:rFonts w:hint="eastAsia" w:ascii="仿宋" w:hAnsi="仿宋" w:eastAsia="仿宋" w:cs="仿宋"/>
          <w:sz w:val="20"/>
          <w:szCs w:val="20"/>
          <w:highlight w:val="none"/>
          <w:lang w:val="en-US" w:eastAsia="zh-CN"/>
        </w:rPr>
        <w:t>310</w:t>
      </w:r>
      <w:r>
        <w:rPr>
          <w:rFonts w:hint="default" w:ascii="仿宋" w:hAnsi="仿宋" w:eastAsia="仿宋" w:cs="仿宋"/>
          <w:sz w:val="20"/>
          <w:szCs w:val="20"/>
          <w:highlight w:val="none"/>
          <w:lang w:val="en-US" w:eastAsia="zh-CN"/>
        </w:rPr>
        <w:t>万，本次采购范围为省高院部分共计</w:t>
      </w:r>
      <w:r>
        <w:rPr>
          <w:rFonts w:hint="eastAsia" w:ascii="仿宋" w:hAnsi="仿宋" w:eastAsia="仿宋" w:cs="仿宋"/>
          <w:sz w:val="20"/>
          <w:szCs w:val="20"/>
          <w:highlight w:val="none"/>
          <w:lang w:val="en-US" w:eastAsia="zh-CN"/>
        </w:rPr>
        <w:t>10</w:t>
      </w:r>
      <w:r>
        <w:rPr>
          <w:rFonts w:hint="default" w:ascii="仿宋" w:hAnsi="仿宋" w:eastAsia="仿宋" w:cs="仿宋"/>
          <w:sz w:val="20"/>
          <w:szCs w:val="20"/>
          <w:highlight w:val="none"/>
          <w:lang w:val="en-US" w:eastAsia="zh-CN"/>
        </w:rPr>
        <w:t>万元，其余部分由各中院自行采购。</w:t>
      </w:r>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F69DC"/>
    <w:multiLevelType w:val="singleLevel"/>
    <w:tmpl w:val="A15F69DC"/>
    <w:lvl w:ilvl="0" w:tentative="0">
      <w:start w:val="1"/>
      <w:numFmt w:val="decimal"/>
      <w:lvlText w:val="%1."/>
      <w:lvlJc w:val="left"/>
      <w:pPr>
        <w:ind w:left="425" w:hanging="425"/>
      </w:pPr>
      <w:rPr>
        <w:rFonts w:hint="default"/>
      </w:rPr>
    </w:lvl>
  </w:abstractNum>
  <w:abstractNum w:abstractNumId="1">
    <w:nsid w:val="B1AEAABA"/>
    <w:multiLevelType w:val="singleLevel"/>
    <w:tmpl w:val="B1AEAABA"/>
    <w:lvl w:ilvl="0" w:tentative="0">
      <w:start w:val="1"/>
      <w:numFmt w:val="decimal"/>
      <w:lvlText w:val="%1."/>
      <w:lvlJc w:val="left"/>
      <w:pPr>
        <w:tabs>
          <w:tab w:val="left" w:pos="312"/>
        </w:tabs>
      </w:pPr>
    </w:lvl>
  </w:abstractNum>
  <w:abstractNum w:abstractNumId="2">
    <w:nsid w:val="B73ADA5B"/>
    <w:multiLevelType w:val="singleLevel"/>
    <w:tmpl w:val="B73ADA5B"/>
    <w:lvl w:ilvl="0" w:tentative="0">
      <w:start w:val="1"/>
      <w:numFmt w:val="decimal"/>
      <w:suff w:val="nothing"/>
      <w:lvlText w:val="%1、"/>
      <w:lvlJc w:val="left"/>
    </w:lvl>
  </w:abstractNum>
  <w:abstractNum w:abstractNumId="3">
    <w:nsid w:val="D8D0B40C"/>
    <w:multiLevelType w:val="singleLevel"/>
    <w:tmpl w:val="D8D0B40C"/>
    <w:lvl w:ilvl="0" w:tentative="0">
      <w:start w:val="1"/>
      <w:numFmt w:val="decimal"/>
      <w:lvlText w:val="%1."/>
      <w:lvlJc w:val="left"/>
      <w:pPr>
        <w:tabs>
          <w:tab w:val="left" w:pos="312"/>
        </w:tabs>
      </w:pPr>
    </w:lvl>
  </w:abstractNum>
  <w:abstractNum w:abstractNumId="4">
    <w:nsid w:val="E92C1AEF"/>
    <w:multiLevelType w:val="singleLevel"/>
    <w:tmpl w:val="E92C1AEF"/>
    <w:lvl w:ilvl="0" w:tentative="0">
      <w:start w:val="1"/>
      <w:numFmt w:val="decimal"/>
      <w:lvlText w:val="%1."/>
      <w:lvlJc w:val="left"/>
      <w:pPr>
        <w:tabs>
          <w:tab w:val="left" w:pos="312"/>
        </w:tabs>
      </w:pPr>
    </w:lvl>
  </w:abstractNum>
  <w:abstractNum w:abstractNumId="5">
    <w:nsid w:val="EFF91098"/>
    <w:multiLevelType w:val="singleLevel"/>
    <w:tmpl w:val="EFF91098"/>
    <w:lvl w:ilvl="0" w:tentative="0">
      <w:start w:val="1"/>
      <w:numFmt w:val="decimal"/>
      <w:suff w:val="nothing"/>
      <w:lvlText w:val="%1．"/>
      <w:lvlJc w:val="left"/>
      <w:pPr>
        <w:ind w:left="0" w:firstLine="400"/>
      </w:pPr>
      <w:rPr>
        <w:rFonts w:hint="default"/>
      </w:rPr>
    </w:lvl>
  </w:abstractNum>
  <w:abstractNum w:abstractNumId="6">
    <w:nsid w:val="FB6E3C08"/>
    <w:multiLevelType w:val="singleLevel"/>
    <w:tmpl w:val="FB6E3C08"/>
    <w:lvl w:ilvl="0" w:tentative="0">
      <w:start w:val="1"/>
      <w:numFmt w:val="decimal"/>
      <w:suff w:val="nothing"/>
      <w:lvlText w:val="（%1）"/>
      <w:lvlJc w:val="left"/>
    </w:lvl>
  </w:abstractNum>
  <w:abstractNum w:abstractNumId="7">
    <w:nsid w:val="FF4E68F3"/>
    <w:multiLevelType w:val="singleLevel"/>
    <w:tmpl w:val="FF4E68F3"/>
    <w:lvl w:ilvl="0" w:tentative="0">
      <w:start w:val="1"/>
      <w:numFmt w:val="decimal"/>
      <w:suff w:val="nothing"/>
      <w:lvlText w:val="%1．"/>
      <w:lvlJc w:val="left"/>
      <w:pPr>
        <w:ind w:left="0" w:firstLine="400"/>
      </w:pPr>
      <w:rPr>
        <w:rFonts w:hint="default"/>
      </w:rPr>
    </w:lvl>
  </w:abstractNum>
  <w:abstractNum w:abstractNumId="8">
    <w:nsid w:val="0D218DDB"/>
    <w:multiLevelType w:val="multilevel"/>
    <w:tmpl w:val="0D218DDB"/>
    <w:lvl w:ilvl="0" w:tentative="0">
      <w:start w:val="1"/>
      <w:numFmt w:val="decimal"/>
      <w:suff w:val="nothing"/>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3B33AB73"/>
    <w:multiLevelType w:val="singleLevel"/>
    <w:tmpl w:val="3B33AB73"/>
    <w:lvl w:ilvl="0" w:tentative="0">
      <w:start w:val="1"/>
      <w:numFmt w:val="decimal"/>
      <w:suff w:val="nothing"/>
      <w:lvlText w:val="%1、"/>
      <w:lvlJc w:val="left"/>
    </w:lvl>
  </w:abstractNum>
  <w:abstractNum w:abstractNumId="10">
    <w:nsid w:val="5EC48F6C"/>
    <w:multiLevelType w:val="singleLevel"/>
    <w:tmpl w:val="5EC48F6C"/>
    <w:lvl w:ilvl="0" w:tentative="0">
      <w:start w:val="1"/>
      <w:numFmt w:val="decimal"/>
      <w:lvlText w:val="%1."/>
      <w:lvlJc w:val="left"/>
      <w:pPr>
        <w:tabs>
          <w:tab w:val="left" w:pos="312"/>
        </w:tabs>
      </w:pPr>
      <w:rPr>
        <w:rFonts w:hint="default"/>
        <w:sz w:val="24"/>
        <w:szCs w:val="24"/>
      </w:rPr>
    </w:lvl>
  </w:abstractNum>
  <w:abstractNum w:abstractNumId="11">
    <w:nsid w:val="7899ABE4"/>
    <w:multiLevelType w:val="singleLevel"/>
    <w:tmpl w:val="7899ABE4"/>
    <w:lvl w:ilvl="0" w:tentative="0">
      <w:start w:val="1"/>
      <w:numFmt w:val="decimal"/>
      <w:lvlText w:val="%1."/>
      <w:lvlJc w:val="left"/>
      <w:pPr>
        <w:ind w:left="425" w:hanging="425"/>
      </w:pPr>
      <w:rPr>
        <w:rFonts w:hint="default"/>
      </w:rPr>
    </w:lvl>
  </w:abstractNum>
  <w:num w:numId="1">
    <w:abstractNumId w:val="10"/>
  </w:num>
  <w:num w:numId="2">
    <w:abstractNumId w:val="1"/>
  </w:num>
  <w:num w:numId="3">
    <w:abstractNumId w:val="3"/>
  </w:num>
  <w:num w:numId="4">
    <w:abstractNumId w:val="4"/>
  </w:num>
  <w:num w:numId="5">
    <w:abstractNumId w:val="7"/>
  </w:num>
  <w:num w:numId="6">
    <w:abstractNumId w:val="5"/>
  </w:num>
  <w:num w:numId="7">
    <w:abstractNumId w:val="6"/>
  </w:num>
  <w:num w:numId="8">
    <w:abstractNumId w:val="2"/>
  </w:num>
  <w:num w:numId="9">
    <w:abstractNumId w:val="0"/>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717AB"/>
    <w:rsid w:val="4A5717AB"/>
    <w:rsid w:val="4B0E61F2"/>
    <w:rsid w:val="7B81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line="360" w:lineRule="auto"/>
      <w:jc w:val="center"/>
      <w:outlineLvl w:val="1"/>
    </w:pPr>
    <w:rPr>
      <w:rFonts w:ascii="Arial" w:hAnsi="Arial"/>
      <w:b/>
      <w:bCs/>
      <w:sz w:val="28"/>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1"/>
    <w:semiHidden/>
    <w:qFormat/>
    <w:uiPriority w:val="0"/>
    <w:rPr>
      <w:rFonts w:ascii="仿宋" w:hAnsi="仿宋" w:eastAsia="仿宋" w:cs="仿宋"/>
      <w:sz w:val="31"/>
      <w:szCs w:val="31"/>
      <w:lang w:val="en-US" w:eastAsia="en-US" w:bidi="ar-SA"/>
    </w:rPr>
  </w:style>
  <w:style w:type="paragraph" w:styleId="6">
    <w:name w:val="Body Text Indent"/>
    <w:basedOn w:val="1"/>
    <w:next w:val="1"/>
    <w:qFormat/>
    <w:uiPriority w:val="0"/>
    <w:pPr>
      <w:tabs>
        <w:tab w:val="left" w:pos="8640"/>
      </w:tabs>
      <w:ind w:firstLine="420"/>
    </w:pPr>
    <w:rPr>
      <w:rFonts w:ascii="楷体_GB2312" w:eastAsia="楷体_GB2312"/>
      <w:color w:val="000000"/>
      <w:sz w:val="28"/>
    </w:rPr>
  </w:style>
  <w:style w:type="paragraph" w:styleId="7">
    <w:name w:val="Plain Text"/>
    <w:basedOn w:val="1"/>
    <w:next w:val="1"/>
    <w:qFormat/>
    <w:uiPriority w:val="99"/>
    <w:rPr>
      <w:rFonts w:ascii="宋体" w:hAnsi="Courier New" w:cs="Courier New"/>
      <w:szCs w:val="21"/>
    </w:rPr>
  </w:style>
  <w:style w:type="paragraph" w:styleId="10">
    <w:name w:val="List Paragraph"/>
    <w:basedOn w:val="1"/>
    <w:qFormat/>
    <w:uiPriority w:val="34"/>
    <w:pPr>
      <w:ind w:firstLine="420" w:firstLineChars="200"/>
    </w:pPr>
    <w:rPr>
      <w:rFonts w:ascii="Calibri" w:hAnsi="Calibri"/>
      <w:szCs w:val="22"/>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样式1"/>
    <w:basedOn w:val="1"/>
    <w:next w:val="6"/>
    <w:qFormat/>
    <w:uiPriority w:val="0"/>
    <w:pPr>
      <w:widowControl w:val="0"/>
      <w:autoSpaceDE/>
      <w:autoSpaceDN/>
      <w:spacing w:before="120" w:after="0" w:line="300" w:lineRule="auto"/>
      <w:ind w:left="425" w:hanging="425"/>
      <w:jc w:val="both"/>
    </w:pPr>
    <w:rPr>
      <w:rFonts w:ascii="宋体" w:eastAsia="宋体"/>
      <w:sz w:val="28"/>
    </w:rPr>
  </w:style>
  <w:style w:type="paragraph" w:customStyle="1" w:styleId="13">
    <w:name w:val="表格"/>
    <w:basedOn w:val="1"/>
    <w:qFormat/>
    <w:uiPriority w:val="0"/>
    <w:pPr>
      <w:spacing w:line="240" w:lineRule="auto"/>
      <w:ind w:firstLine="0" w:firstLineChars="0"/>
      <w:jc w:val="left"/>
    </w:pPr>
    <w:rPr>
      <w:rFonts w:ascii="宋体"/>
      <w:sz w:val="21"/>
      <w:lang w:val="en-AU"/>
    </w:rPr>
  </w:style>
  <w:style w:type="paragraph" w:customStyle="1" w:styleId="14">
    <w:name w:val="文本框文字"/>
    <w:basedOn w:val="1"/>
    <w:next w:val="1"/>
    <w:qFormat/>
    <w:uiPriority w:val="0"/>
    <w:pPr>
      <w:widowControl w:val="0"/>
      <w:autoSpaceDE/>
      <w:autoSpaceDN/>
      <w:spacing w:before="0" w:after="0" w:line="280" w:lineRule="exact"/>
      <w:ind w:left="0" w:firstLine="0"/>
      <w:jc w:val="both"/>
    </w:pPr>
    <w:rPr>
      <w:rFonts w:ascii="Times New Roman" w:eastAsia="宋体"/>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2025-11-18T09:47:00Z</dcterms:created>
  <dc:creator>德仁招标</dc:creator>
  <cp:lastModifiedBy>德仁招标</cp:lastModifiedBy>
  <dcterms:modified xsi:type="dcterms:W3CDTF">2025-11-18T09:52:08Z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40FDF19F87AE4F0B867C3AE2A0485C6B_11</vt:lpwstr>
  </property>
  <property fmtid="{D5CDD505-2E9C-101B-9397-08002B2CF9AE}" pid="4" name="KSOTemplateDocerSaveRecord">
    <vt:lpwstr>eyJoZGlkIjoiNzNmNDZlOGE4YzBiODhkNTY3NTdiYjNiMTljZmEwZTciLCJ1c2VySWQiOiIyNzQ5OTcwMTQifQ==</vt:lpwstr>
  </property>
</Properties>
</file>