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8EE7C4">
      <w:pPr>
        <w:pStyle w:val="2"/>
        <w:keepNext w:val="0"/>
        <w:keepLines w:val="0"/>
        <w:pageBreakBefore w:val="0"/>
        <w:kinsoku/>
        <w:wordWrap/>
        <w:overflowPunct/>
        <w:topLinePunct w:val="0"/>
        <w:autoSpaceDE/>
        <w:autoSpaceDN/>
        <w:bidi w:val="0"/>
        <w:adjustRightInd/>
        <w:snapToGrid/>
        <w:spacing w:before="0" w:after="0" w:line="360" w:lineRule="auto"/>
        <w:rPr>
          <w:rFonts w:hint="eastAsia" w:ascii="仿宋" w:hAnsi="仿宋" w:eastAsia="仿宋" w:cs="仿宋"/>
          <w:b/>
          <w:bCs/>
          <w:sz w:val="32"/>
          <w:szCs w:val="40"/>
        </w:rPr>
      </w:pPr>
      <w:r>
        <w:rPr>
          <w:rStyle w:val="5"/>
          <w:rFonts w:hint="eastAsia" w:ascii="宋体" w:hAnsi="宋体" w:eastAsia="宋体" w:cs="宋体"/>
          <w:sz w:val="36"/>
          <w:szCs w:val="36"/>
        </w:rPr>
        <w:t xml:space="preserve"> 采购内容及要求</w:t>
      </w:r>
      <w:bookmarkStart w:id="0" w:name="_GoBack"/>
      <w:bookmarkEnd w:id="0"/>
    </w:p>
    <w:p w14:paraId="25CAD95D">
      <w:pPr>
        <w:jc w:val="center"/>
        <w:rPr>
          <w:rFonts w:ascii="仿宋" w:hAnsi="仿宋" w:eastAsia="仿宋" w:cs="仿宋"/>
          <w:b/>
          <w:bCs/>
          <w:sz w:val="32"/>
          <w:szCs w:val="40"/>
        </w:rPr>
      </w:pPr>
      <w:r>
        <w:rPr>
          <w:rFonts w:hint="eastAsia" w:ascii="仿宋" w:hAnsi="仿宋" w:eastAsia="仿宋" w:cs="仿宋"/>
          <w:b/>
          <w:bCs/>
          <w:sz w:val="32"/>
          <w:szCs w:val="40"/>
        </w:rPr>
        <w:t>项目外送清单</w:t>
      </w:r>
    </w:p>
    <w:tbl>
      <w:tblPr>
        <w:tblStyle w:val="3"/>
        <w:tblpPr w:leftFromText="180" w:rightFromText="180" w:vertAnchor="text" w:horzAnchor="margin" w:tblpXSpec="center" w:tblpY="444"/>
        <w:tblOverlap w:val="never"/>
        <w:tblW w:w="10206" w:type="dxa"/>
        <w:tblInd w:w="0" w:type="dxa"/>
        <w:tblLayout w:type="autofit"/>
        <w:tblCellMar>
          <w:top w:w="0" w:type="dxa"/>
          <w:left w:w="108" w:type="dxa"/>
          <w:bottom w:w="0" w:type="dxa"/>
          <w:right w:w="108" w:type="dxa"/>
        </w:tblCellMar>
      </w:tblPr>
      <w:tblGrid>
        <w:gridCol w:w="708"/>
        <w:gridCol w:w="4541"/>
        <w:gridCol w:w="704"/>
        <w:gridCol w:w="4253"/>
      </w:tblGrid>
      <w:tr w14:paraId="7083F548">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4A8A7">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序号</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98D61">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项目名称</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43521">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序号</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F66A0">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项目名称</w:t>
            </w:r>
          </w:p>
        </w:tc>
      </w:tr>
      <w:tr w14:paraId="3D86D8C6">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B056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5C09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甲状旁腺激素(PTH)</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4475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25</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7896">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(ZZ)戊型肝炎抗体二项(HEV-IgM,HEV-IgG)</w:t>
            </w:r>
          </w:p>
        </w:tc>
      </w:tr>
      <w:tr w14:paraId="30F12BD0">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FFD8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5FCA7">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肺癌相关抗原两项(CY211,NSE)</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37B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26</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1380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肺癌标志物三项(NSE,CEA,CF21-1)</w:t>
            </w:r>
          </w:p>
        </w:tc>
      </w:tr>
      <w:tr w14:paraId="08655C7F">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89E4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A9616">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结核杆菌γ-干扰素释放试验,化学发光法</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F545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27</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F89B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β胶联降解产物(β-CTx)</w:t>
            </w:r>
          </w:p>
        </w:tc>
      </w:tr>
      <w:tr w14:paraId="5F3536AB">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7A1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7A4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高灵敏HBV DNA检测(COBAS AmpliPrep/COBAS TaqMan)</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8CCF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28</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7027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(1-3)-β-D葡聚糖(G试验),显色法</w:t>
            </w:r>
          </w:p>
        </w:tc>
      </w:tr>
      <w:tr w14:paraId="1D3E07ED">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C0D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5</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A827">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贫血三项(铁蛋白，叶酸，维生素B12)</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0F80B">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29</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57C7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丙型肝炎病毒(HCV)基因分型</w:t>
            </w:r>
          </w:p>
        </w:tc>
      </w:tr>
      <w:tr w14:paraId="79759B22">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4074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6</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6BF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抗核抗体谱-17项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0CA5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30</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B2F6B">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维生素B12(VitB12)</w:t>
            </w:r>
          </w:p>
        </w:tc>
      </w:tr>
      <w:tr w14:paraId="10327419">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2D0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7</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013D8">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糖尿病自身抗体三项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A351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31</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4110">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GM试验(曲霉菌抗原检测)</w:t>
            </w:r>
          </w:p>
        </w:tc>
      </w:tr>
      <w:tr w14:paraId="0A47EF89">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D1F7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8</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0CF9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促甲状腺激素受体抗体(TRAb)</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CE29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32</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9F12">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过敏原14项</w:t>
            </w:r>
          </w:p>
        </w:tc>
      </w:tr>
      <w:tr w14:paraId="474F491B">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9911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9</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E2E3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血管炎五项(P-ANCA、C-ANCA,MPO-Ab,PR3-Ab,ACA)</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AEE7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33</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708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叶酸(FOL)</w:t>
            </w:r>
          </w:p>
        </w:tc>
      </w:tr>
      <w:tr w14:paraId="21B5CEAE">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222B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10</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A981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25-羟基维生素D(D2+D3)</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E979">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34</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7D2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血清免疫固定电泳（igA、igG、igM）</w:t>
            </w:r>
          </w:p>
        </w:tc>
      </w:tr>
      <w:tr w14:paraId="7401E07E">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EC67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11</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29E8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过敏原14项（儿童体检）</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5541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35</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CCB83">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过敏原三项(IgE,fx5e,hx2)</w:t>
            </w:r>
          </w:p>
        </w:tc>
      </w:tr>
      <w:tr w14:paraId="08CB020C">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07CDD">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12</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BBC6B">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乙型肝炎病毒(HBV-DNA)定量</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76B8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36</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950A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降钙素(CT)</w:t>
            </w:r>
          </w:p>
        </w:tc>
      </w:tr>
      <w:tr w14:paraId="356B415F">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76D9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13</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CA2F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神经元特异性烯醇化酶(NSE)</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57FD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37</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921DA">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庚型肝炎病毒抗体IgG(HGV-IgG)</w:t>
            </w:r>
          </w:p>
        </w:tc>
      </w:tr>
      <w:tr w14:paraId="5B722C9F">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AB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14</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2B776">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细胞角蛋白19片段(CYFRA21-1)</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D030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38</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D20CF">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人附睾蛋白4(HE4)</w:t>
            </w:r>
          </w:p>
        </w:tc>
      </w:tr>
      <w:tr w14:paraId="232A84FA">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664E7">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15</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F9AB0">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前列腺特异性抗原两项(PSA+FPSA)</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907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39</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BE7F3">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(ZZ)EB病毒壳抗原IgM抗体</w:t>
            </w:r>
          </w:p>
        </w:tc>
      </w:tr>
      <w:tr w14:paraId="2035CAEA">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1CB8C">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16</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95BB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高灵敏HCV RNA检测(COBAS AmpliPrep/COBAS TaqMan)</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E6E0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40</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2C27B">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转铁蛋白(TRF)</w:t>
            </w:r>
          </w:p>
        </w:tc>
      </w:tr>
      <w:tr w14:paraId="73D66E6C">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D9A4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17</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E2E11">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食入及吸入性过敏原九项</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B5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41</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9D38">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EB病毒(EBV-DNA)定性</w:t>
            </w:r>
          </w:p>
        </w:tc>
      </w:tr>
      <w:tr w14:paraId="2DA286FC">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D5BB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18</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36A8">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骨源性碱性磷酸酶</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E97C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42</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92957">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人类白细胞分化抗原HLA-B27筛查</w:t>
            </w:r>
          </w:p>
        </w:tc>
      </w:tr>
      <w:tr w14:paraId="688574F7">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656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19</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F585D">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总Ⅰ型胶原氨基端延长肽(PINP)</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E9C85">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43</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79FE">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垂体催乳素(PRL)</w:t>
            </w:r>
          </w:p>
        </w:tc>
      </w:tr>
      <w:tr w14:paraId="6E6002C7">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2F1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20</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88787">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丙型肝炎病毒(HCV-RAN)定量</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26AA8">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44</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54C6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睾酮(T)</w:t>
            </w:r>
          </w:p>
        </w:tc>
      </w:tr>
      <w:tr w14:paraId="62B3F506">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D4366">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21</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65D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肝纤四项(HA,LN,IV-C,PIIINP)</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6C1E">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45</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BDA2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梅毒螺旋体特异性抗体（TPPA）半定量</w:t>
            </w:r>
          </w:p>
        </w:tc>
      </w:tr>
      <w:tr w14:paraId="2ED204B6">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2E81">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22</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8E359">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总IgE测定</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E0452">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46</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7609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(ZZ)抗角蛋白抗体(AKA)</w:t>
            </w:r>
          </w:p>
        </w:tc>
      </w:tr>
      <w:tr w14:paraId="5092B01B">
        <w:tblPrEx>
          <w:tblCellMar>
            <w:top w:w="0" w:type="dxa"/>
            <w:left w:w="108" w:type="dxa"/>
            <w:bottom w:w="0" w:type="dxa"/>
            <w:right w:w="108" w:type="dxa"/>
          </w:tblCellMar>
        </w:tblPrEx>
        <w:trPr>
          <w:trHeight w:val="37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6CC7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23</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67B87">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梅毒两项定性(TPPA+TRUST)</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E312F">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47</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A2B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血清蛋白电泳</w:t>
            </w:r>
          </w:p>
        </w:tc>
      </w:tr>
      <w:tr w14:paraId="5D158A0A">
        <w:tblPrEx>
          <w:tblCellMar>
            <w:top w:w="0" w:type="dxa"/>
            <w:left w:w="108" w:type="dxa"/>
            <w:bottom w:w="0" w:type="dxa"/>
            <w:right w:w="108" w:type="dxa"/>
          </w:tblCellMar>
        </w:tblPrEx>
        <w:trPr>
          <w:trHeight w:val="394"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B2194">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24</w:t>
            </w:r>
          </w:p>
        </w:tc>
        <w:tc>
          <w:tcPr>
            <w:tcW w:w="45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DD1B0">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自身免疫性肝病抗体四项检测</w:t>
            </w:r>
          </w:p>
        </w:tc>
        <w:tc>
          <w:tcPr>
            <w:tcW w:w="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7A83">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48</w:t>
            </w:r>
          </w:p>
        </w:tc>
        <w:tc>
          <w:tcPr>
            <w:tcW w:w="42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8DEA9">
            <w:pPr>
              <w:widowControl/>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各类病原体测定</w:t>
            </w:r>
          </w:p>
        </w:tc>
      </w:tr>
    </w:tbl>
    <w:p w14:paraId="6C576EF4">
      <w:pPr>
        <w:rPr>
          <w:rFonts w:hint="eastAsia" w:ascii="宋体" w:hAnsi="宋体" w:eastAsia="宋体" w:cs="宋体"/>
          <w:sz w:val="24"/>
          <w:szCs w:val="32"/>
        </w:rPr>
      </w:pPr>
      <w:r>
        <w:rPr>
          <w:rFonts w:hint="eastAsia" w:ascii="宋体" w:hAnsi="宋体" w:eastAsia="宋体" w:cs="宋体"/>
          <w:sz w:val="24"/>
          <w:szCs w:val="32"/>
        </w:rPr>
        <w:br w:type="page"/>
      </w:r>
    </w:p>
    <w:p w14:paraId="2AFDD010">
      <w:pPr>
        <w:jc w:val="center"/>
        <w:rPr>
          <w:rFonts w:hint="eastAsia" w:ascii="仿宋" w:hAnsi="仿宋" w:eastAsia="仿宋" w:cs="仿宋"/>
          <w:sz w:val="24"/>
          <w:szCs w:val="32"/>
        </w:rPr>
      </w:pPr>
      <w:r>
        <w:rPr>
          <w:rFonts w:hint="eastAsia" w:ascii="仿宋" w:hAnsi="仿宋" w:eastAsia="仿宋" w:cs="仿宋"/>
          <w:b/>
          <w:bCs/>
          <w:sz w:val="32"/>
          <w:szCs w:val="40"/>
        </w:rPr>
        <w:t>病理标本外送清单</w:t>
      </w:r>
    </w:p>
    <w:tbl>
      <w:tblPr>
        <w:tblStyle w:val="3"/>
        <w:tblpPr w:leftFromText="180" w:rightFromText="180" w:vertAnchor="text" w:horzAnchor="margin" w:tblpY="784"/>
        <w:tblOverlap w:val="never"/>
        <w:tblW w:w="8647" w:type="dxa"/>
        <w:tblInd w:w="0" w:type="dxa"/>
        <w:tblLayout w:type="autofit"/>
        <w:tblCellMar>
          <w:top w:w="0" w:type="dxa"/>
          <w:left w:w="108" w:type="dxa"/>
          <w:bottom w:w="0" w:type="dxa"/>
          <w:right w:w="108" w:type="dxa"/>
        </w:tblCellMar>
      </w:tblPr>
      <w:tblGrid>
        <w:gridCol w:w="993"/>
        <w:gridCol w:w="3660"/>
        <w:gridCol w:w="913"/>
        <w:gridCol w:w="3081"/>
      </w:tblGrid>
      <w:tr w14:paraId="3B2C9A1E">
        <w:tblPrEx>
          <w:tblCellMar>
            <w:top w:w="0" w:type="dxa"/>
            <w:left w:w="108" w:type="dxa"/>
            <w:bottom w:w="0" w:type="dxa"/>
            <w:right w:w="108" w:type="dxa"/>
          </w:tblCellMar>
        </w:tblPrEx>
        <w:trPr>
          <w:trHeight w:val="37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33429">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序号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0032">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项目名称</w:t>
            </w:r>
          </w:p>
        </w:tc>
        <w:tc>
          <w:tcPr>
            <w:tcW w:w="9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6CC42">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序号</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A7778">
            <w:pPr>
              <w:widowControl/>
              <w:jc w:val="center"/>
              <w:textAlignment w:val="center"/>
              <w:rPr>
                <w:rFonts w:ascii="仿宋" w:hAnsi="仿宋" w:eastAsia="仿宋" w:cs="仿宋"/>
                <w:b/>
                <w:bCs/>
                <w:color w:val="000000"/>
                <w:sz w:val="20"/>
                <w:szCs w:val="20"/>
              </w:rPr>
            </w:pPr>
            <w:r>
              <w:rPr>
                <w:rFonts w:hint="eastAsia" w:ascii="仿宋" w:hAnsi="仿宋" w:eastAsia="仿宋" w:cs="仿宋"/>
                <w:b/>
                <w:bCs/>
                <w:color w:val="000000"/>
                <w:kern w:val="0"/>
                <w:sz w:val="20"/>
                <w:szCs w:val="20"/>
              </w:rPr>
              <w:t>项目名称</w:t>
            </w:r>
          </w:p>
        </w:tc>
      </w:tr>
      <w:tr w14:paraId="7ADCF6A1">
        <w:tblPrEx>
          <w:tblCellMar>
            <w:top w:w="0" w:type="dxa"/>
            <w:left w:w="108" w:type="dxa"/>
            <w:bottom w:w="0" w:type="dxa"/>
            <w:right w:w="108" w:type="dxa"/>
          </w:tblCellMar>
        </w:tblPrEx>
        <w:trPr>
          <w:trHeight w:val="374" w:hRule="atLeast"/>
        </w:trPr>
        <w:tc>
          <w:tcPr>
            <w:tcW w:w="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F6CF0">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A0D7C">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疑难病理会诊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C3FCA">
            <w:pPr>
              <w:widowControl/>
              <w:jc w:val="center"/>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2</w:t>
            </w:r>
          </w:p>
        </w:tc>
        <w:tc>
          <w:tcPr>
            <w:tcW w:w="30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DBF65">
            <w:pPr>
              <w:widowControl/>
              <w:jc w:val="left"/>
              <w:textAlignment w:val="center"/>
              <w:rPr>
                <w:rFonts w:ascii="仿宋" w:hAnsi="仿宋" w:eastAsia="仿宋" w:cs="仿宋"/>
                <w:color w:val="000000"/>
                <w:sz w:val="20"/>
                <w:szCs w:val="20"/>
              </w:rPr>
            </w:pPr>
            <w:r>
              <w:rPr>
                <w:rFonts w:hint="eastAsia" w:ascii="仿宋" w:hAnsi="仿宋" w:eastAsia="仿宋" w:cs="仿宋"/>
                <w:color w:val="000000"/>
                <w:kern w:val="0"/>
                <w:sz w:val="20"/>
                <w:szCs w:val="20"/>
              </w:rPr>
              <w:t>免疫组化</w:t>
            </w:r>
          </w:p>
        </w:tc>
      </w:tr>
    </w:tbl>
    <w:p w14:paraId="1805CAF4">
      <w:pPr>
        <w:rPr>
          <w:rFonts w:hint="eastAsia" w:ascii="宋体" w:hAnsi="宋体" w:eastAsia="宋体" w:cs="宋体"/>
          <w:sz w:val="24"/>
          <w:szCs w:val="32"/>
        </w:rPr>
      </w:pPr>
    </w:p>
    <w:p w14:paraId="2AEF3C5D">
      <w:pPr>
        <w:rPr>
          <w:rFonts w:hint="eastAsia" w:ascii="宋体" w:hAnsi="宋体" w:eastAsia="宋体" w:cs="宋体"/>
          <w:sz w:val="24"/>
          <w:szCs w:val="32"/>
        </w:rPr>
      </w:pPr>
    </w:p>
    <w:p w14:paraId="199529D1">
      <w:pPr>
        <w:rPr>
          <w:rFonts w:hint="eastAsia" w:ascii="宋体" w:hAnsi="宋体" w:eastAsia="宋体" w:cs="宋体"/>
          <w:sz w:val="24"/>
          <w:szCs w:val="32"/>
        </w:rPr>
      </w:pPr>
    </w:p>
    <w:p w14:paraId="6663FD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rPr>
        <w:t>一、技术要求：</w:t>
      </w:r>
    </w:p>
    <w:p w14:paraId="23EF7E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（1）检测方法标准：所有检测项目需严格遵循国家现行有效的标准方法、行业指南（如《临床检验操作规程》）或国际公认标准，确保检测方法的科学性和规范性。</w:t>
      </w:r>
    </w:p>
    <w:p w14:paraId="3217C3D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设备与试剂管理：检测所用设备需经法定计量机构校准合格并在有效期内，定期进行维护保养，建立完整的设备台账及运行记录。试剂需选用经国家药品监督管理局（NMPA）批准的合格产品，提供试剂溯源证明、质量合格证书及有效期证明，严格按照试剂说明书要求储存和使用。</w:t>
      </w:r>
    </w:p>
    <w:p w14:paraId="767848B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（3）质量控制体系：建立完善的室内质量控制体系，每日开展常规质控，确保检测结果在控，留存完整的质控记录（包括质控图、失控处理记录等）。定期参加国家或省级临床检验中心组织的室间质评，近 1 年内相关项目室间质评结果需全部合格。（提供承诺函）</w:t>
      </w:r>
    </w:p>
    <w:p w14:paraId="4F9C52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rPr>
        <w:t>二、服务要求：</w:t>
      </w:r>
    </w:p>
    <w:p w14:paraId="4AB9235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rPr>
        <w:t>（1）样本接收与响应</w:t>
      </w:r>
    </w:p>
    <w:p w14:paraId="0C8CE3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1）响应时间：样本送达后 2 小时内完成接收确认，核对样本信息（样本类型、数量、状态、 申请项目等），并通过书面或电子系统反馈接收结</w:t>
      </w:r>
    </w:p>
    <w:p w14:paraId="4489866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果；对于不合格样本，需在 2 小时内通知送检方并说明原因，协商处理方案。</w:t>
      </w:r>
    </w:p>
    <w:p w14:paraId="1E7C6B9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2）沟通机制：设立专属对接人员，确保工作日内电话咨询 30 分钟内响应，技术问题 24 小时内给予专业答复。</w:t>
      </w:r>
    </w:p>
    <w:p w14:paraId="2D587A1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rPr>
        <w:t>（2）检测周期与报告交付</w:t>
      </w:r>
    </w:p>
    <w:p w14:paraId="01B308D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项目外送</w:t>
      </w:r>
      <w:r>
        <w:rPr>
          <w:rFonts w:hint="eastAsia" w:ascii="宋体" w:hAnsi="宋体" w:eastAsia="宋体" w:cs="宋体"/>
          <w:sz w:val="24"/>
          <w:szCs w:val="32"/>
        </w:rPr>
        <w:t>清单：</w:t>
      </w:r>
      <w:r>
        <w:rPr>
          <w:rFonts w:hint="eastAsia" w:ascii="宋体" w:hAnsi="宋体" w:eastAsia="宋体" w:cs="宋体"/>
          <w:sz w:val="24"/>
          <w:szCs w:val="32"/>
          <w:lang w:val="en-US" w:eastAsia="zh-CN"/>
        </w:rPr>
        <w:t>见外送清单表</w:t>
      </w:r>
    </w:p>
    <w:p w14:paraId="4EF026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病理</w:t>
      </w:r>
      <w:r>
        <w:rPr>
          <w:rFonts w:hint="eastAsia" w:ascii="宋体" w:hAnsi="宋体" w:eastAsia="宋体" w:cs="宋体"/>
          <w:sz w:val="24"/>
          <w:szCs w:val="32"/>
          <w:lang w:val="en-US" w:eastAsia="zh-CN"/>
        </w:rPr>
        <w:t>外送</w:t>
      </w:r>
      <w:r>
        <w:rPr>
          <w:rFonts w:hint="eastAsia" w:ascii="宋体" w:hAnsi="宋体" w:eastAsia="宋体" w:cs="宋体"/>
          <w:sz w:val="24"/>
          <w:szCs w:val="32"/>
        </w:rPr>
        <w:t>清单：</w:t>
      </w:r>
      <w:r>
        <w:rPr>
          <w:rFonts w:hint="eastAsia" w:ascii="宋体" w:hAnsi="宋体" w:eastAsia="宋体" w:cs="宋体"/>
          <w:sz w:val="24"/>
          <w:szCs w:val="32"/>
          <w:lang w:val="en-US" w:eastAsia="zh-CN"/>
        </w:rPr>
        <w:t>见病理标本清单表</w:t>
      </w:r>
    </w:p>
    <w:p w14:paraId="2F62ADD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3）报告形式：提供纸质版和电子版报告（PDF 格式），保证检验报告在第一时间内传输到院方；可实现检验结果在医院 LIS 网络中查询，提供电话咨询服务。报告内容需完整规范，包括送检信息、检测方法、检测结果、参考范围、结果解释（特检项目需包含专业解读）。</w:t>
      </w:r>
    </w:p>
    <w:p w14:paraId="3498EC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4）按照医院要求完成危急值报告，提供危急值清单及报告范围（如有出入按照医院要求调整一致）、危急值报告制度及流程。</w:t>
      </w:r>
    </w:p>
    <w:p w14:paraId="1E1C28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（3）样本运输与管理</w:t>
      </w:r>
    </w:p>
    <w:p w14:paraId="2C9DF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1）运输要求：严格遵循《病原微生物实验室生物安全管理条例》，采用符合生物安全要求的运输容器（如 UN2814 类别包装），冷链运输项目需配备温度监控设备（全程温度记录可追溯），确保样本在运输过程中无泄漏、无变质。</w:t>
      </w:r>
    </w:p>
    <w:p w14:paraId="2C4424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2）样本保存：检测完成后，剩余样本需按规定保存至少 7 天（特殊项目如染色体标本保存 30 天），保存条件符合要求，逾期按生物安全规范处置并记录。</w:t>
      </w:r>
    </w:p>
    <w:p w14:paraId="27118A2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32"/>
        </w:rPr>
      </w:pPr>
      <w:r>
        <w:rPr>
          <w:rFonts w:hint="eastAsia" w:ascii="宋体" w:hAnsi="宋体" w:eastAsia="宋体" w:cs="宋体"/>
          <w:sz w:val="24"/>
          <w:szCs w:val="32"/>
        </w:rPr>
        <w:t>（4）售后与复核</w:t>
      </w:r>
    </w:p>
    <w:p w14:paraId="2A0B78D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1）报告复核：送检方对检测结果有疑问时，实验室需在收到复核申请后 48小时内完成复核，必要时重新检测，复核结果需书面反馈，若因实验室原因导致结果错误，需免费重新检测并承担相应责任。</w:t>
      </w:r>
    </w:p>
    <w:p w14:paraId="6F23383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2）投诉处理：建立投诉处理机制，收到服务投诉后 4 个小时内响应，48 小时内提出解决方案并跟进处理，直至问题解决。</w:t>
      </w:r>
    </w:p>
    <w:p w14:paraId="09198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32"/>
        </w:rPr>
      </w:pPr>
      <w:r>
        <w:rPr>
          <w:rFonts w:hint="eastAsia" w:ascii="宋体" w:hAnsi="宋体" w:eastAsia="宋体" w:cs="宋体"/>
          <w:sz w:val="24"/>
          <w:szCs w:val="32"/>
        </w:rPr>
        <w:t>三、其他要求</w:t>
      </w:r>
    </w:p>
    <w:p w14:paraId="108B76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1）保密要求：严格遵守《中华人民共和国个人信息保护法》《医疗机构病历管理规定》等法规，对送检样本涉及的患者信息、检测数据及合作信息承担保密责任，不得向第三方泄露；合作结束后，需按要求销毁或返还所有涉密资</w:t>
      </w:r>
    </w:p>
    <w:p w14:paraId="195703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料，留存保密承诺书。</w:t>
      </w:r>
    </w:p>
    <w:p w14:paraId="5FEBB3A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2）质量回顾与沟通：每季度提交质量报告（包括检测合格率、及时率、质控情况等）；每年提供年度服务总结报告，分析存在问题并提出改进措施。</w:t>
      </w:r>
    </w:p>
    <w:p w14:paraId="483168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3）应急保障：检测方需要对实验室的物理环境、实验设备、实验物质、实验人员以及实验过程等进行全面评估，确定可能存在的风险并建立相应急预案，确保在突发情况下 48 小时内恢复检测服务，保障检测连续性。</w:t>
      </w:r>
    </w:p>
    <w:p w14:paraId="492662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4）在本地提供基因组学、蛋白组学、代谢组学等检测平台，供我院科研人员开展临床科研检测，满足在本地完成科研工作的需求。</w:t>
      </w:r>
    </w:p>
    <w:p w14:paraId="506AEE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5）每年可以提供不少于 15 天的针对实验室人员及下级医院或体检中心人员的专业技能和理论培训。</w:t>
      </w:r>
    </w:p>
    <w:p w14:paraId="20DF896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 xml:space="preserve">6）服务期限: </w:t>
      </w:r>
      <w:r>
        <w:rPr>
          <w:rFonts w:hint="eastAsia" w:ascii="宋体" w:hAnsi="宋体" w:eastAsia="宋体" w:cs="宋体"/>
          <w:sz w:val="24"/>
          <w:szCs w:val="32"/>
          <w:lang w:val="en-US" w:eastAsia="zh-CN"/>
        </w:rPr>
        <w:t>1年</w:t>
      </w:r>
      <w:r>
        <w:rPr>
          <w:rFonts w:hint="eastAsia" w:ascii="宋体" w:hAnsi="宋体" w:eastAsia="宋体" w:cs="宋体"/>
          <w:sz w:val="24"/>
          <w:szCs w:val="32"/>
        </w:rPr>
        <w:t>。</w:t>
      </w:r>
    </w:p>
    <w:p w14:paraId="6EB7621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7）上述项目列表中未包含的项目后续甲方根据临床需求实时拓展，并予以公示，按比例结算</w:t>
      </w:r>
      <w:r>
        <w:rPr>
          <w:rFonts w:hint="eastAsia" w:ascii="宋体" w:hAnsi="宋体" w:eastAsia="宋体" w:cs="宋体"/>
          <w:sz w:val="24"/>
          <w:szCs w:val="32"/>
          <w:lang w:eastAsia="zh-CN"/>
        </w:rPr>
        <w:t>（</w:t>
      </w:r>
      <w:r>
        <w:rPr>
          <w:rFonts w:hint="eastAsia" w:ascii="宋体" w:hAnsi="宋体" w:eastAsia="宋体" w:cs="宋体"/>
          <w:sz w:val="24"/>
          <w:szCs w:val="32"/>
          <w:lang w:val="en-US" w:eastAsia="zh-CN"/>
        </w:rPr>
        <w:t>结算比例=投标报价/预算金额</w:t>
      </w:r>
      <w:r>
        <w:rPr>
          <w:rFonts w:hint="eastAsia" w:ascii="宋体" w:hAnsi="宋体" w:eastAsia="宋体" w:cs="宋体"/>
          <w:sz w:val="24"/>
          <w:szCs w:val="32"/>
          <w:lang w:eastAsia="zh-CN"/>
        </w:rPr>
        <w:t>）</w:t>
      </w:r>
      <w:r>
        <w:rPr>
          <w:rFonts w:hint="eastAsia" w:ascii="宋体" w:hAnsi="宋体" w:eastAsia="宋体" w:cs="宋体"/>
          <w:sz w:val="24"/>
          <w:szCs w:val="32"/>
        </w:rPr>
        <w:t>。</w:t>
      </w:r>
    </w:p>
    <w:p w14:paraId="3BCE8C5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16335F"/>
    <w:rsid w:val="18163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Arial Unicode MS"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line="440" w:lineRule="exact"/>
      <w:jc w:val="center"/>
      <w:outlineLvl w:val="0"/>
    </w:pPr>
    <w:rPr>
      <w:rFonts w:ascii="Cambria" w:hAnsi="Cambria"/>
      <w:b/>
      <w:bCs/>
      <w:sz w:val="32"/>
      <w:szCs w:val="32"/>
    </w:rPr>
  </w:style>
  <w:style w:type="character" w:customStyle="1" w:styleId="5">
    <w:name w:val="标题 1 Char1"/>
    <w:autoRedefine/>
    <w:qFormat/>
    <w:uiPriority w:val="99"/>
    <w:rPr>
      <w:rFonts w:ascii="黑体" w:eastAsia="黑体"/>
      <w:sz w:val="52"/>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2025-11-20T06:20:00Z</dcterms:created>
  <dc:creator>Patton</dc:creator>
  <cp:lastModifiedBy>Patton</cp:lastModifiedBy>
  <dcterms:modified xsi:type="dcterms:W3CDTF">2025-11-20T06:21:12Z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257E9416799144019E4135DB6C14CBE2_11</vt:lpwstr>
  </property>
  <property fmtid="{D5CDD505-2E9C-101B-9397-08002B2CF9AE}" pid="4" name="KSOTemplateDocerSaveRecord">
    <vt:lpwstr>eyJoZGlkIjoiNjllMjU4NjNjOWJiNDI1NjZkZDc5NDJiOTVmODQzZmQiLCJ1c2VySWQiOiIxMDYzMTcxMDUxIn0=</vt:lpwstr>
  </property>
</Properties>
</file>