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A6D00">
      <w:pPr>
        <w:spacing w:line="420" w:lineRule="auto"/>
        <w:jc w:val="left"/>
        <w:outlineLvl w:val="9"/>
        <w:rPr>
          <w:rFonts w:hint="default" w:ascii="宋体" w:hAnsi="宋体" w:cs="宋体"/>
          <w:b/>
          <w:color w:val="auto"/>
          <w:sz w:val="28"/>
          <w:szCs w:val="28"/>
          <w:lang w:val="en-US" w:eastAsia="zh-CN"/>
        </w:rPr>
      </w:pPr>
      <w:bookmarkStart w:id="0" w:name="_Toc29787"/>
      <w:bookmarkStart w:id="1" w:name="_Toc15601"/>
      <w:r>
        <w:rPr>
          <w:rFonts w:hint="eastAsia" w:ascii="宋体" w:hAnsi="宋体" w:cs="宋体"/>
          <w:b/>
          <w:color w:val="auto"/>
          <w:sz w:val="28"/>
          <w:szCs w:val="28"/>
        </w:rPr>
        <w:t>采购项目编号：</w:t>
      </w:r>
      <w:bookmarkEnd w:id="0"/>
      <w:bookmarkEnd w:id="1"/>
      <w:r>
        <w:rPr>
          <w:rFonts w:hint="eastAsia" w:ascii="宋体" w:hAnsi="宋体" w:cs="宋体"/>
          <w:b/>
          <w:color w:val="auto"/>
          <w:sz w:val="28"/>
          <w:szCs w:val="28"/>
          <w:lang w:eastAsia="zh-CN"/>
        </w:rPr>
        <w:t>HXCX2025038</w:t>
      </w:r>
    </w:p>
    <w:p w14:paraId="140E39E0">
      <w:pPr>
        <w:pStyle w:val="9"/>
        <w:outlineLvl w:val="9"/>
        <w:rPr>
          <w:color w:val="auto"/>
          <w:sz w:val="8"/>
          <w:szCs w:val="11"/>
        </w:rPr>
      </w:pPr>
    </w:p>
    <w:p w14:paraId="216E116B">
      <w:pPr>
        <w:rPr>
          <w:color w:val="auto"/>
          <w:sz w:val="8"/>
          <w:szCs w:val="11"/>
        </w:rPr>
      </w:pPr>
    </w:p>
    <w:p w14:paraId="254F8311">
      <w:pPr>
        <w:rPr>
          <w:color w:val="auto"/>
          <w:sz w:val="8"/>
          <w:szCs w:val="11"/>
        </w:rPr>
      </w:pPr>
    </w:p>
    <w:p w14:paraId="7DB65626">
      <w:pPr>
        <w:outlineLvl w:val="9"/>
        <w:rPr>
          <w:color w:val="auto"/>
        </w:rPr>
      </w:pPr>
    </w:p>
    <w:p w14:paraId="5419EBE5">
      <w:pPr>
        <w:spacing w:line="360" w:lineRule="auto"/>
        <w:jc w:val="center"/>
        <w:outlineLvl w:val="9"/>
        <w:rPr>
          <w:rFonts w:ascii="宋体" w:hAnsi="宋体" w:cs="宋体"/>
          <w:b/>
          <w:color w:val="auto"/>
          <w:spacing w:val="26"/>
          <w:sz w:val="44"/>
          <w:szCs w:val="44"/>
        </w:rPr>
      </w:pPr>
      <w:r>
        <w:rPr>
          <w:rFonts w:hint="eastAsia" w:ascii="宋体"/>
          <w:b/>
          <w:bCs/>
          <w:color w:val="auto"/>
          <w:sz w:val="56"/>
          <w:szCs w:val="56"/>
          <w:lang w:eastAsia="zh-CN"/>
        </w:rPr>
        <w:t>吴堡县张家山镇辛庄村人居环境整治工程</w:t>
      </w:r>
    </w:p>
    <w:p w14:paraId="1A6E451C">
      <w:pPr>
        <w:pStyle w:val="9"/>
        <w:outlineLvl w:val="9"/>
        <w:rPr>
          <w:rFonts w:ascii="宋体" w:hAnsi="宋体" w:cs="宋体"/>
          <w:b/>
          <w:color w:val="auto"/>
          <w:spacing w:val="26"/>
          <w:sz w:val="40"/>
          <w:szCs w:val="40"/>
        </w:rPr>
      </w:pPr>
    </w:p>
    <w:p w14:paraId="63B22488">
      <w:pPr>
        <w:pStyle w:val="9"/>
        <w:outlineLvl w:val="9"/>
        <w:rPr>
          <w:color w:val="auto"/>
        </w:rPr>
      </w:pPr>
    </w:p>
    <w:p w14:paraId="789A4B35">
      <w:pPr>
        <w:pStyle w:val="9"/>
        <w:outlineLvl w:val="9"/>
        <w:rPr>
          <w:color w:val="auto"/>
        </w:rPr>
      </w:pPr>
    </w:p>
    <w:p w14:paraId="51921798">
      <w:pPr>
        <w:outlineLvl w:val="9"/>
        <w:rPr>
          <w:color w:val="auto"/>
        </w:rPr>
      </w:pPr>
    </w:p>
    <w:p w14:paraId="30D84C47">
      <w:pPr>
        <w:spacing w:line="360" w:lineRule="auto"/>
        <w:jc w:val="center"/>
        <w:outlineLvl w:val="9"/>
        <w:rPr>
          <w:rFonts w:ascii="宋体" w:hAnsi="宋体" w:cs="宋体"/>
          <w:b/>
          <w:color w:val="auto"/>
          <w:spacing w:val="26"/>
          <w:sz w:val="84"/>
          <w:szCs w:val="84"/>
        </w:rPr>
      </w:pPr>
      <w:r>
        <w:rPr>
          <w:rFonts w:hint="eastAsia" w:ascii="宋体" w:hAnsi="宋体" w:cs="宋体"/>
          <w:b/>
          <w:color w:val="auto"/>
          <w:spacing w:val="26"/>
          <w:sz w:val="84"/>
          <w:szCs w:val="84"/>
        </w:rPr>
        <w:t>竞争性磋商文件</w:t>
      </w:r>
    </w:p>
    <w:p w14:paraId="1808E4B1">
      <w:pPr>
        <w:spacing w:line="360" w:lineRule="auto"/>
        <w:outlineLvl w:val="9"/>
        <w:rPr>
          <w:rFonts w:ascii="宋体" w:hAnsi="宋体" w:cs="宋体"/>
          <w:b/>
          <w:bCs/>
          <w:color w:val="auto"/>
          <w:spacing w:val="26"/>
          <w:sz w:val="36"/>
          <w:szCs w:val="36"/>
        </w:rPr>
      </w:pPr>
    </w:p>
    <w:p w14:paraId="6267273E">
      <w:pPr>
        <w:pStyle w:val="9"/>
        <w:outlineLvl w:val="9"/>
        <w:rPr>
          <w:color w:val="auto"/>
        </w:rPr>
      </w:pPr>
    </w:p>
    <w:p w14:paraId="7168BBF6">
      <w:pPr>
        <w:pStyle w:val="9"/>
        <w:outlineLvl w:val="9"/>
        <w:rPr>
          <w:color w:val="auto"/>
        </w:rPr>
      </w:pPr>
    </w:p>
    <w:p w14:paraId="719F8A85">
      <w:pPr>
        <w:pStyle w:val="9"/>
        <w:outlineLvl w:val="9"/>
        <w:rPr>
          <w:color w:val="auto"/>
        </w:rPr>
      </w:pPr>
    </w:p>
    <w:p w14:paraId="0C205F47">
      <w:pPr>
        <w:outlineLvl w:val="9"/>
        <w:rPr>
          <w:color w:val="auto"/>
        </w:rPr>
      </w:pPr>
    </w:p>
    <w:p w14:paraId="2E2065F3">
      <w:pPr>
        <w:pStyle w:val="9"/>
        <w:outlineLvl w:val="9"/>
        <w:rPr>
          <w:color w:val="auto"/>
        </w:rPr>
      </w:pPr>
    </w:p>
    <w:p w14:paraId="3B65E27B">
      <w:pPr>
        <w:pStyle w:val="9"/>
        <w:outlineLvl w:val="9"/>
        <w:rPr>
          <w:color w:val="auto"/>
        </w:rPr>
      </w:pPr>
    </w:p>
    <w:p w14:paraId="4CF10449">
      <w:pPr>
        <w:pStyle w:val="9"/>
        <w:outlineLvl w:val="9"/>
        <w:rPr>
          <w:color w:val="auto"/>
          <w:sz w:val="4"/>
          <w:szCs w:val="8"/>
        </w:rPr>
      </w:pPr>
    </w:p>
    <w:p w14:paraId="50BC98CB">
      <w:pPr>
        <w:snapToGrid w:val="0"/>
        <w:spacing w:line="600" w:lineRule="auto"/>
        <w:jc w:val="both"/>
        <w:outlineLvl w:val="9"/>
        <w:rPr>
          <w:rFonts w:hint="eastAsia" w:ascii="宋体" w:hAnsi="宋体" w:cs="宋体"/>
          <w:b/>
          <w:color w:val="auto"/>
          <w:sz w:val="32"/>
          <w:szCs w:val="32"/>
          <w:lang w:eastAsia="zh-CN"/>
        </w:rPr>
      </w:pPr>
      <w:bookmarkStart w:id="2" w:name="_Toc20748"/>
      <w:bookmarkStart w:id="3" w:name="_Toc23994"/>
      <w:r>
        <w:rPr>
          <w:rFonts w:hint="eastAsia" w:ascii="宋体" w:hAnsi="宋体" w:cs="宋体"/>
          <w:b/>
          <w:color w:val="auto"/>
          <w:spacing w:val="26"/>
          <w:sz w:val="32"/>
          <w:szCs w:val="32"/>
          <w:lang w:val="en-US" w:eastAsia="zh-CN"/>
        </w:rPr>
        <w:t>采购人</w:t>
      </w:r>
      <w:r>
        <w:rPr>
          <w:rFonts w:hint="eastAsia" w:ascii="宋体" w:hAnsi="宋体" w:cs="宋体"/>
          <w:b/>
          <w:color w:val="auto"/>
          <w:spacing w:val="26"/>
          <w:sz w:val="32"/>
          <w:szCs w:val="32"/>
        </w:rPr>
        <w:t>：</w:t>
      </w:r>
      <w:bookmarkEnd w:id="2"/>
      <w:bookmarkEnd w:id="3"/>
      <w:bookmarkStart w:id="4" w:name="_Toc6114"/>
      <w:bookmarkStart w:id="5" w:name="_Toc19248"/>
      <w:r>
        <w:rPr>
          <w:rFonts w:hint="eastAsia" w:ascii="宋体" w:hAnsi="宋体" w:cs="宋体"/>
          <w:b/>
          <w:color w:val="auto"/>
          <w:sz w:val="32"/>
          <w:szCs w:val="32"/>
          <w:lang w:eastAsia="zh-CN"/>
        </w:rPr>
        <w:t>吴堡县张家山镇人民政府</w:t>
      </w:r>
    </w:p>
    <w:p w14:paraId="6493BCC7">
      <w:pPr>
        <w:snapToGrid w:val="0"/>
        <w:spacing w:line="600" w:lineRule="auto"/>
        <w:jc w:val="both"/>
        <w:outlineLvl w:val="9"/>
        <w:rPr>
          <w:rFonts w:hint="eastAsia" w:ascii="宋体" w:hAnsi="宋体" w:eastAsia="宋体" w:cs="宋体"/>
          <w:b/>
          <w:color w:val="auto"/>
          <w:sz w:val="32"/>
          <w:szCs w:val="32"/>
          <w:lang w:eastAsia="zh-CN"/>
        </w:rPr>
      </w:pPr>
      <w:r>
        <w:rPr>
          <w:rFonts w:hint="eastAsia" w:ascii="宋体" w:hAnsi="宋体" w:cs="宋体"/>
          <w:b/>
          <w:color w:val="auto"/>
          <w:sz w:val="32"/>
          <w:szCs w:val="32"/>
          <w:lang w:eastAsia="zh-CN"/>
        </w:rPr>
        <w:t>采购代理机构</w:t>
      </w:r>
      <w:r>
        <w:rPr>
          <w:rFonts w:hint="eastAsia" w:ascii="宋体" w:hAnsi="宋体" w:cs="宋体"/>
          <w:b/>
          <w:color w:val="auto"/>
          <w:sz w:val="32"/>
          <w:szCs w:val="32"/>
        </w:rPr>
        <w:t>：</w:t>
      </w:r>
      <w:bookmarkEnd w:id="4"/>
      <w:bookmarkEnd w:id="5"/>
      <w:r>
        <w:rPr>
          <w:rFonts w:hint="eastAsia" w:ascii="宋体" w:hAnsi="宋体" w:cs="宋体"/>
          <w:b/>
          <w:color w:val="auto"/>
          <w:sz w:val="32"/>
          <w:szCs w:val="32"/>
          <w:lang w:eastAsia="zh-CN"/>
        </w:rPr>
        <w:t>陕西华旭晟信项目管理有限责任公司</w:t>
      </w:r>
    </w:p>
    <w:p w14:paraId="03FB2AAC">
      <w:pPr>
        <w:spacing w:line="720" w:lineRule="auto"/>
        <w:jc w:val="center"/>
        <w:outlineLvl w:val="9"/>
        <w:rPr>
          <w:rFonts w:ascii="宋体" w:hAnsi="宋体" w:cs="宋体"/>
          <w:bCs/>
          <w:color w:val="auto"/>
          <w:spacing w:val="26"/>
          <w:sz w:val="28"/>
          <w:szCs w:val="28"/>
        </w:rPr>
      </w:pPr>
      <w:r>
        <w:rPr>
          <w:rFonts w:hint="eastAsia" w:ascii="宋体" w:hAnsi="宋体" w:cs="宋体"/>
          <w:b/>
          <w:color w:val="auto"/>
          <w:spacing w:val="26"/>
          <w:sz w:val="32"/>
          <w:szCs w:val="32"/>
        </w:rPr>
        <w:t>二零二</w:t>
      </w:r>
      <w:r>
        <w:rPr>
          <w:rFonts w:hint="eastAsia" w:ascii="宋体" w:hAnsi="宋体" w:cs="宋体"/>
          <w:b/>
          <w:color w:val="auto"/>
          <w:spacing w:val="26"/>
          <w:sz w:val="32"/>
          <w:szCs w:val="32"/>
          <w:lang w:val="en-US" w:eastAsia="zh-CN"/>
        </w:rPr>
        <w:t>五</w:t>
      </w:r>
      <w:r>
        <w:rPr>
          <w:rFonts w:hint="eastAsia" w:ascii="宋体" w:hAnsi="宋体" w:cs="宋体"/>
          <w:b/>
          <w:color w:val="auto"/>
          <w:spacing w:val="26"/>
          <w:sz w:val="32"/>
          <w:szCs w:val="32"/>
        </w:rPr>
        <w:t>年</w:t>
      </w:r>
      <w:r>
        <w:rPr>
          <w:rFonts w:hint="eastAsia" w:ascii="宋体" w:hAnsi="宋体" w:cs="宋体"/>
          <w:b/>
          <w:color w:val="auto"/>
          <w:spacing w:val="26"/>
          <w:sz w:val="32"/>
          <w:szCs w:val="32"/>
          <w:lang w:val="en-US" w:eastAsia="zh-CN"/>
        </w:rPr>
        <w:t>十一</w:t>
      </w:r>
      <w:r>
        <w:rPr>
          <w:rFonts w:hint="eastAsia" w:ascii="宋体" w:hAnsi="宋体" w:cs="宋体"/>
          <w:b/>
          <w:color w:val="auto"/>
          <w:spacing w:val="26"/>
          <w:sz w:val="32"/>
          <w:szCs w:val="32"/>
        </w:rPr>
        <w:t>月</w:t>
      </w:r>
    </w:p>
    <w:p w14:paraId="621C5096">
      <w:pPr>
        <w:spacing w:line="720" w:lineRule="auto"/>
        <w:jc w:val="center"/>
        <w:outlineLvl w:val="9"/>
        <w:rPr>
          <w:rFonts w:ascii="宋体" w:hAnsi="宋体" w:cs="宋体"/>
          <w:b/>
          <w:bCs/>
          <w:color w:val="auto"/>
          <w:spacing w:val="26"/>
          <w:sz w:val="28"/>
          <w:szCs w:val="28"/>
        </w:rPr>
        <w:sectPr>
          <w:headerReference r:id="rId4" w:type="first"/>
          <w:headerReference r:id="rId3" w:type="default"/>
          <w:footerReference r:id="rId5" w:type="default"/>
          <w:pgSz w:w="11905" w:h="16838"/>
          <w:pgMar w:top="1219" w:right="1803" w:bottom="1219" w:left="1803" w:header="850" w:footer="850" w:gutter="0"/>
          <w:pgNumType w:fmt="numberInDash" w:start="1"/>
          <w:cols w:space="0" w:num="1"/>
          <w:rtlGutter w:val="0"/>
          <w:docGrid w:type="lines" w:linePitch="313" w:charSpace="0"/>
        </w:sectPr>
      </w:pPr>
    </w:p>
    <w:p w14:paraId="4A69E39F">
      <w:pPr>
        <w:jc w:val="center"/>
        <w:outlineLvl w:val="9"/>
        <w:rPr>
          <w:rFonts w:ascii="宋体" w:hAnsi="宋体"/>
          <w:b/>
          <w:color w:val="auto"/>
          <w:sz w:val="48"/>
          <w:szCs w:val="48"/>
        </w:rPr>
      </w:pPr>
      <w:r>
        <w:rPr>
          <w:rFonts w:hint="eastAsia" w:ascii="宋体" w:hAnsi="宋体"/>
          <w:b/>
          <w:color w:val="auto"/>
          <w:sz w:val="48"/>
          <w:szCs w:val="48"/>
        </w:rPr>
        <w:t>目</w:t>
      </w:r>
      <w:r>
        <w:rPr>
          <w:rFonts w:ascii="宋体" w:hAnsi="宋体"/>
          <w:b/>
          <w:color w:val="auto"/>
          <w:sz w:val="48"/>
          <w:szCs w:val="48"/>
        </w:rPr>
        <w:t xml:space="preserve">   </w:t>
      </w:r>
      <w:r>
        <w:rPr>
          <w:rFonts w:hint="eastAsia" w:ascii="宋体" w:hAnsi="宋体"/>
          <w:b/>
          <w:color w:val="auto"/>
          <w:sz w:val="48"/>
          <w:szCs w:val="48"/>
        </w:rPr>
        <w:t>录</w:t>
      </w:r>
    </w:p>
    <w:p w14:paraId="7D4E3374">
      <w:pPr>
        <w:outlineLvl w:val="9"/>
        <w:rPr>
          <w:color w:val="auto"/>
        </w:rPr>
      </w:pPr>
    </w:p>
    <w:p w14:paraId="11AA84AE">
      <w:pPr>
        <w:pStyle w:val="15"/>
        <w:tabs>
          <w:tab w:val="right" w:leader="dot" w:pos="8299"/>
        </w:tabs>
        <w:spacing w:line="360" w:lineRule="auto"/>
      </w:pPr>
      <w:r>
        <w:rPr>
          <w:rFonts w:ascii="宋体"/>
          <w:b/>
          <w:color w:val="auto"/>
          <w:sz w:val="44"/>
        </w:rPr>
        <w:fldChar w:fldCharType="begin"/>
      </w:r>
      <w:r>
        <w:rPr>
          <w:rFonts w:ascii="宋体"/>
          <w:b/>
          <w:color w:val="auto"/>
          <w:sz w:val="44"/>
        </w:rPr>
        <w:instrText xml:space="preserve">TOC \o "1-2" \h \u </w:instrText>
      </w:r>
      <w:r>
        <w:rPr>
          <w:rFonts w:ascii="宋体"/>
          <w:b/>
          <w:color w:val="auto"/>
          <w:sz w:val="44"/>
        </w:rPr>
        <w:fldChar w:fldCharType="separate"/>
      </w:r>
      <w:r>
        <w:rPr>
          <w:rFonts w:ascii="宋体"/>
          <w:color w:val="auto"/>
        </w:rPr>
        <w:fldChar w:fldCharType="begin"/>
      </w:r>
      <w:r>
        <w:rPr>
          <w:rFonts w:ascii="宋体"/>
        </w:rPr>
        <w:instrText xml:space="preserve"> HYPERLINK \l _Toc25666 </w:instrText>
      </w:r>
      <w:r>
        <w:rPr>
          <w:rFonts w:ascii="宋体"/>
        </w:rPr>
        <w:fldChar w:fldCharType="separate"/>
      </w:r>
      <w:r>
        <w:rPr>
          <w:rFonts w:hint="eastAsia"/>
          <w:bCs/>
          <w:szCs w:val="36"/>
          <w:lang w:val="en-US" w:eastAsia="zh-CN"/>
        </w:rPr>
        <w:t>第一章</w:t>
      </w:r>
      <w:r>
        <w:rPr>
          <w:bCs/>
          <w:szCs w:val="36"/>
        </w:rPr>
        <w:t xml:space="preserve"> </w:t>
      </w:r>
      <w:r>
        <w:rPr>
          <w:rFonts w:hint="eastAsia"/>
          <w:bCs/>
          <w:szCs w:val="36"/>
        </w:rPr>
        <w:t>竞争性磋商公告</w:t>
      </w:r>
      <w:r>
        <w:tab/>
      </w:r>
      <w:r>
        <w:fldChar w:fldCharType="begin"/>
      </w:r>
      <w:r>
        <w:instrText xml:space="preserve"> PAGEREF _Toc25666 \h </w:instrText>
      </w:r>
      <w:r>
        <w:fldChar w:fldCharType="separate"/>
      </w:r>
      <w:r>
        <w:t>1</w:t>
      </w:r>
      <w:r>
        <w:fldChar w:fldCharType="end"/>
      </w:r>
      <w:r>
        <w:rPr>
          <w:rFonts w:ascii="宋体"/>
          <w:color w:val="auto"/>
        </w:rPr>
        <w:fldChar w:fldCharType="end"/>
      </w:r>
    </w:p>
    <w:p w14:paraId="7A8EFA63">
      <w:pPr>
        <w:pStyle w:val="15"/>
        <w:tabs>
          <w:tab w:val="right" w:leader="dot" w:pos="8299"/>
        </w:tabs>
        <w:spacing w:line="360" w:lineRule="auto"/>
      </w:pPr>
      <w:r>
        <w:rPr>
          <w:rFonts w:ascii="宋体"/>
          <w:color w:val="auto"/>
        </w:rPr>
        <w:fldChar w:fldCharType="begin"/>
      </w:r>
      <w:r>
        <w:rPr>
          <w:rFonts w:ascii="宋体"/>
        </w:rPr>
        <w:instrText xml:space="preserve"> HYPERLINK \l _Toc25325 </w:instrText>
      </w:r>
      <w:r>
        <w:rPr>
          <w:rFonts w:ascii="宋体"/>
        </w:rPr>
        <w:fldChar w:fldCharType="separate"/>
      </w:r>
      <w:r>
        <w:rPr>
          <w:rFonts w:hint="eastAsia"/>
          <w:bCs/>
          <w:szCs w:val="36"/>
        </w:rPr>
        <w:t>第二章</w:t>
      </w:r>
      <w:r>
        <w:rPr>
          <w:bCs/>
          <w:szCs w:val="36"/>
        </w:rPr>
        <w:t xml:space="preserve"> </w:t>
      </w:r>
      <w:r>
        <w:rPr>
          <w:rFonts w:hint="eastAsia"/>
          <w:bCs/>
          <w:szCs w:val="36"/>
          <w:lang w:val="en-US" w:eastAsia="zh-CN"/>
        </w:rPr>
        <w:t xml:space="preserve"> </w:t>
      </w:r>
      <w:r>
        <w:rPr>
          <w:rFonts w:hint="eastAsia"/>
          <w:bCs/>
          <w:szCs w:val="36"/>
        </w:rPr>
        <w:t>供应商须知前附表及供应商须知</w:t>
      </w:r>
      <w:r>
        <w:tab/>
      </w:r>
      <w:r>
        <w:fldChar w:fldCharType="begin"/>
      </w:r>
      <w:r>
        <w:instrText xml:space="preserve"> PAGEREF _Toc25325 \h </w:instrText>
      </w:r>
      <w:r>
        <w:fldChar w:fldCharType="separate"/>
      </w:r>
      <w:r>
        <w:t>6</w:t>
      </w:r>
      <w:r>
        <w:fldChar w:fldCharType="end"/>
      </w:r>
      <w:r>
        <w:rPr>
          <w:rFonts w:ascii="宋体"/>
          <w:color w:val="auto"/>
        </w:rPr>
        <w:fldChar w:fldCharType="end"/>
      </w:r>
    </w:p>
    <w:p w14:paraId="2CCF10BA">
      <w:pPr>
        <w:pStyle w:val="15"/>
        <w:tabs>
          <w:tab w:val="right" w:leader="dot" w:pos="8299"/>
        </w:tabs>
        <w:spacing w:line="360" w:lineRule="auto"/>
      </w:pPr>
      <w:r>
        <w:rPr>
          <w:rFonts w:ascii="宋体"/>
          <w:color w:val="auto"/>
        </w:rPr>
        <w:fldChar w:fldCharType="begin"/>
      </w:r>
      <w:r>
        <w:rPr>
          <w:rFonts w:ascii="宋体"/>
        </w:rPr>
        <w:instrText xml:space="preserve"> HYPERLINK \l _Toc11159 </w:instrText>
      </w:r>
      <w:r>
        <w:rPr>
          <w:rFonts w:ascii="宋体"/>
        </w:rPr>
        <w:fldChar w:fldCharType="separate"/>
      </w:r>
      <w:r>
        <w:rPr>
          <w:rFonts w:hint="eastAsia"/>
          <w:bCs/>
          <w:szCs w:val="36"/>
        </w:rPr>
        <w:t>第三章  评标方法</w:t>
      </w:r>
      <w:r>
        <w:tab/>
      </w:r>
      <w:r>
        <w:fldChar w:fldCharType="begin"/>
      </w:r>
      <w:r>
        <w:instrText xml:space="preserve"> PAGEREF _Toc11159 \h </w:instrText>
      </w:r>
      <w:r>
        <w:fldChar w:fldCharType="separate"/>
      </w:r>
      <w:r>
        <w:t>30</w:t>
      </w:r>
      <w:r>
        <w:fldChar w:fldCharType="end"/>
      </w:r>
      <w:r>
        <w:rPr>
          <w:rFonts w:ascii="宋体"/>
          <w:color w:val="auto"/>
        </w:rPr>
        <w:fldChar w:fldCharType="end"/>
      </w:r>
    </w:p>
    <w:p w14:paraId="7AC2C11D">
      <w:pPr>
        <w:pStyle w:val="15"/>
        <w:tabs>
          <w:tab w:val="right" w:leader="dot" w:pos="8299"/>
        </w:tabs>
        <w:spacing w:line="360" w:lineRule="auto"/>
      </w:pPr>
      <w:r>
        <w:rPr>
          <w:rFonts w:ascii="宋体"/>
          <w:color w:val="auto"/>
        </w:rPr>
        <w:fldChar w:fldCharType="begin"/>
      </w:r>
      <w:r>
        <w:rPr>
          <w:rFonts w:ascii="宋体"/>
        </w:rPr>
        <w:instrText xml:space="preserve"> HYPERLINK \l _Toc7175 </w:instrText>
      </w:r>
      <w:r>
        <w:rPr>
          <w:rFonts w:ascii="宋体"/>
        </w:rPr>
        <w:fldChar w:fldCharType="separate"/>
      </w:r>
      <w:r>
        <w:rPr>
          <w:rFonts w:hint="eastAsia"/>
          <w:bCs/>
          <w:szCs w:val="36"/>
          <w:lang w:val="en-US" w:eastAsia="zh-CN"/>
        </w:rPr>
        <w:t>第四章  商务要求</w:t>
      </w:r>
      <w:r>
        <w:tab/>
      </w:r>
      <w:r>
        <w:fldChar w:fldCharType="begin"/>
      </w:r>
      <w:r>
        <w:instrText xml:space="preserve"> PAGEREF _Toc7175 \h </w:instrText>
      </w:r>
      <w:r>
        <w:fldChar w:fldCharType="separate"/>
      </w:r>
      <w:r>
        <w:t>37</w:t>
      </w:r>
      <w:r>
        <w:fldChar w:fldCharType="end"/>
      </w:r>
      <w:r>
        <w:rPr>
          <w:rFonts w:ascii="宋体"/>
          <w:color w:val="auto"/>
        </w:rPr>
        <w:fldChar w:fldCharType="end"/>
      </w:r>
    </w:p>
    <w:p w14:paraId="201670C3">
      <w:pPr>
        <w:pStyle w:val="15"/>
        <w:tabs>
          <w:tab w:val="right" w:leader="dot" w:pos="8299"/>
        </w:tabs>
        <w:spacing w:line="360" w:lineRule="auto"/>
      </w:pPr>
      <w:r>
        <w:rPr>
          <w:rFonts w:ascii="宋体"/>
          <w:color w:val="auto"/>
        </w:rPr>
        <w:fldChar w:fldCharType="begin"/>
      </w:r>
      <w:r>
        <w:rPr>
          <w:rFonts w:ascii="宋体"/>
        </w:rPr>
        <w:instrText xml:space="preserve"> HYPERLINK \l _Toc25118 </w:instrText>
      </w:r>
      <w:r>
        <w:rPr>
          <w:rFonts w:ascii="宋体"/>
        </w:rPr>
        <w:fldChar w:fldCharType="separate"/>
      </w:r>
      <w:r>
        <w:rPr>
          <w:rFonts w:hint="eastAsia"/>
          <w:bCs/>
          <w:szCs w:val="36"/>
          <w:lang w:val="en-US" w:eastAsia="zh-CN"/>
        </w:rPr>
        <w:t>第五章</w:t>
      </w:r>
      <w:r>
        <w:rPr>
          <w:rFonts w:hint="eastAsia"/>
          <w:bCs/>
          <w:szCs w:val="36"/>
        </w:rPr>
        <w:t xml:space="preserve"> </w:t>
      </w:r>
      <w:r>
        <w:rPr>
          <w:rFonts w:hint="eastAsia"/>
          <w:bCs/>
          <w:szCs w:val="36"/>
          <w:lang w:val="en-US" w:eastAsia="zh-CN"/>
        </w:rPr>
        <w:t xml:space="preserve"> </w:t>
      </w:r>
      <w:r>
        <w:rPr>
          <w:rFonts w:hint="eastAsia"/>
          <w:bCs/>
          <w:szCs w:val="36"/>
        </w:rPr>
        <w:t>政府采购合同</w:t>
      </w:r>
      <w:r>
        <w:rPr>
          <w:rFonts w:hint="eastAsia"/>
          <w:bCs/>
          <w:szCs w:val="36"/>
          <w:lang w:eastAsia="zh-CN"/>
        </w:rPr>
        <w:t>（</w:t>
      </w:r>
      <w:r>
        <w:rPr>
          <w:rFonts w:hint="eastAsia"/>
          <w:bCs/>
          <w:szCs w:val="36"/>
          <w:lang w:val="en-US" w:eastAsia="zh-CN"/>
        </w:rPr>
        <w:t>仅供参考</w:t>
      </w:r>
      <w:r>
        <w:rPr>
          <w:rFonts w:hint="eastAsia"/>
          <w:bCs/>
          <w:szCs w:val="36"/>
          <w:lang w:eastAsia="zh-CN"/>
        </w:rPr>
        <w:t>）</w:t>
      </w:r>
      <w:r>
        <w:tab/>
      </w:r>
      <w:r>
        <w:fldChar w:fldCharType="begin"/>
      </w:r>
      <w:r>
        <w:instrText xml:space="preserve"> PAGEREF _Toc25118 \h </w:instrText>
      </w:r>
      <w:r>
        <w:fldChar w:fldCharType="separate"/>
      </w:r>
      <w:r>
        <w:t>39</w:t>
      </w:r>
      <w:r>
        <w:fldChar w:fldCharType="end"/>
      </w:r>
      <w:r>
        <w:rPr>
          <w:rFonts w:ascii="宋体"/>
          <w:color w:val="auto"/>
        </w:rPr>
        <w:fldChar w:fldCharType="end"/>
      </w:r>
    </w:p>
    <w:p w14:paraId="0B7D12EA">
      <w:pPr>
        <w:pStyle w:val="15"/>
        <w:tabs>
          <w:tab w:val="right" w:leader="dot" w:pos="8299"/>
        </w:tabs>
        <w:spacing w:line="360" w:lineRule="auto"/>
      </w:pPr>
      <w:r>
        <w:rPr>
          <w:rFonts w:ascii="宋体"/>
          <w:color w:val="auto"/>
        </w:rPr>
        <w:fldChar w:fldCharType="begin"/>
      </w:r>
      <w:r>
        <w:rPr>
          <w:rFonts w:ascii="宋体"/>
        </w:rPr>
        <w:instrText xml:space="preserve"> HYPERLINK \l _Toc2854 </w:instrText>
      </w:r>
      <w:r>
        <w:rPr>
          <w:rFonts w:ascii="宋体"/>
        </w:rPr>
        <w:fldChar w:fldCharType="separate"/>
      </w:r>
      <w:r>
        <w:rPr>
          <w:rFonts w:hint="eastAsia"/>
          <w:bCs/>
          <w:szCs w:val="36"/>
          <w:lang w:eastAsia="zh-CN"/>
        </w:rPr>
        <w:t xml:space="preserve">第六章 </w:t>
      </w:r>
      <w:r>
        <w:rPr>
          <w:rFonts w:hint="eastAsia"/>
          <w:bCs/>
          <w:szCs w:val="36"/>
          <w:lang w:val="en-US" w:eastAsia="zh-CN"/>
        </w:rPr>
        <w:t xml:space="preserve"> </w:t>
      </w:r>
      <w:r>
        <w:rPr>
          <w:rFonts w:hint="eastAsia"/>
          <w:bCs/>
          <w:szCs w:val="36"/>
          <w:lang w:eastAsia="zh-CN"/>
        </w:rPr>
        <w:t>工程量清单</w:t>
      </w:r>
      <w:r>
        <w:tab/>
      </w:r>
      <w:r>
        <w:fldChar w:fldCharType="begin"/>
      </w:r>
      <w:r>
        <w:instrText xml:space="preserve"> PAGEREF _Toc2854 \h </w:instrText>
      </w:r>
      <w:r>
        <w:fldChar w:fldCharType="separate"/>
      </w:r>
      <w:r>
        <w:t>42</w:t>
      </w:r>
      <w:r>
        <w:fldChar w:fldCharType="end"/>
      </w:r>
      <w:r>
        <w:rPr>
          <w:rFonts w:ascii="宋体"/>
          <w:color w:val="auto"/>
        </w:rPr>
        <w:fldChar w:fldCharType="end"/>
      </w:r>
    </w:p>
    <w:p w14:paraId="19FEED80">
      <w:pPr>
        <w:pStyle w:val="15"/>
        <w:tabs>
          <w:tab w:val="right" w:leader="dot" w:pos="8299"/>
        </w:tabs>
        <w:spacing w:line="360" w:lineRule="auto"/>
      </w:pPr>
      <w:r>
        <w:rPr>
          <w:rFonts w:ascii="宋体"/>
          <w:color w:val="auto"/>
        </w:rPr>
        <w:fldChar w:fldCharType="begin"/>
      </w:r>
      <w:r>
        <w:rPr>
          <w:rFonts w:ascii="宋体"/>
        </w:rPr>
        <w:instrText xml:space="preserve"> HYPERLINK \l _Toc22765 </w:instrText>
      </w:r>
      <w:r>
        <w:rPr>
          <w:rFonts w:ascii="宋体"/>
        </w:rPr>
        <w:fldChar w:fldCharType="separate"/>
      </w:r>
      <w:r>
        <w:rPr>
          <w:rFonts w:hint="eastAsia"/>
          <w:bCs/>
          <w:szCs w:val="36"/>
          <w:lang w:eastAsia="zh-CN"/>
        </w:rPr>
        <w:t>第</w:t>
      </w:r>
      <w:r>
        <w:rPr>
          <w:rFonts w:hint="eastAsia"/>
          <w:bCs/>
          <w:szCs w:val="36"/>
          <w:lang w:val="en-US" w:eastAsia="zh-CN"/>
        </w:rPr>
        <w:t>七</w:t>
      </w:r>
      <w:r>
        <w:rPr>
          <w:rFonts w:hint="eastAsia"/>
          <w:bCs/>
          <w:szCs w:val="36"/>
          <w:lang w:eastAsia="zh-CN"/>
        </w:rPr>
        <w:t>章  竞争性磋商响应文件格式</w:t>
      </w:r>
      <w:r>
        <w:tab/>
      </w:r>
      <w:r>
        <w:fldChar w:fldCharType="begin"/>
      </w:r>
      <w:r>
        <w:instrText xml:space="preserve"> PAGEREF _Toc22765 \h </w:instrText>
      </w:r>
      <w:r>
        <w:fldChar w:fldCharType="separate"/>
      </w:r>
      <w:r>
        <w:t>42</w:t>
      </w:r>
      <w:r>
        <w:fldChar w:fldCharType="end"/>
      </w:r>
      <w:r>
        <w:rPr>
          <w:rFonts w:ascii="宋体"/>
          <w:color w:val="auto"/>
        </w:rPr>
        <w:fldChar w:fldCharType="end"/>
      </w:r>
    </w:p>
    <w:p w14:paraId="0B996649">
      <w:pPr>
        <w:pStyle w:val="16"/>
        <w:tabs>
          <w:tab w:val="right" w:leader="dot" w:pos="8299"/>
        </w:tabs>
        <w:spacing w:line="360" w:lineRule="auto"/>
      </w:pPr>
      <w:r>
        <w:rPr>
          <w:rFonts w:ascii="宋体"/>
          <w:color w:val="auto"/>
        </w:rPr>
        <w:fldChar w:fldCharType="begin"/>
      </w:r>
      <w:r>
        <w:rPr>
          <w:rFonts w:ascii="宋体"/>
        </w:rPr>
        <w:instrText xml:space="preserve"> HYPERLINK \l _Toc16045 </w:instrText>
      </w:r>
      <w:r>
        <w:rPr>
          <w:rFonts w:ascii="宋体"/>
        </w:rPr>
        <w:fldChar w:fldCharType="separate"/>
      </w:r>
      <w:r>
        <w:rPr>
          <w:rFonts w:hint="eastAsia" w:ascii="宋体" w:hAnsi="宋体" w:cs="宋体"/>
          <w:szCs w:val="32"/>
          <w:lang w:val="en-US" w:eastAsia="zh-CN"/>
        </w:rPr>
        <w:t>一、</w:t>
      </w:r>
      <w:r>
        <w:rPr>
          <w:rFonts w:hint="eastAsia" w:ascii="宋体" w:hAnsi="宋体" w:eastAsia="宋体" w:cs="宋体"/>
          <w:szCs w:val="32"/>
        </w:rPr>
        <w:t>响应函</w:t>
      </w:r>
      <w:r>
        <w:tab/>
      </w:r>
      <w:r>
        <w:fldChar w:fldCharType="begin"/>
      </w:r>
      <w:r>
        <w:instrText xml:space="preserve"> PAGEREF _Toc16045 \h </w:instrText>
      </w:r>
      <w:r>
        <w:fldChar w:fldCharType="separate"/>
      </w:r>
      <w:r>
        <w:t>61</w:t>
      </w:r>
      <w:r>
        <w:fldChar w:fldCharType="end"/>
      </w:r>
      <w:r>
        <w:rPr>
          <w:rFonts w:ascii="宋体"/>
          <w:color w:val="auto"/>
        </w:rPr>
        <w:fldChar w:fldCharType="end"/>
      </w:r>
    </w:p>
    <w:p w14:paraId="625657A9">
      <w:pPr>
        <w:pStyle w:val="16"/>
        <w:tabs>
          <w:tab w:val="right" w:leader="dot" w:pos="8299"/>
        </w:tabs>
        <w:spacing w:line="360" w:lineRule="auto"/>
      </w:pPr>
      <w:r>
        <w:rPr>
          <w:rFonts w:ascii="宋体"/>
          <w:color w:val="auto"/>
        </w:rPr>
        <w:fldChar w:fldCharType="begin"/>
      </w:r>
      <w:r>
        <w:rPr>
          <w:rFonts w:ascii="宋体"/>
        </w:rPr>
        <w:instrText xml:space="preserve"> HYPERLINK \l _Toc14053 </w:instrText>
      </w:r>
      <w:r>
        <w:rPr>
          <w:rFonts w:ascii="宋体"/>
        </w:rPr>
        <w:fldChar w:fldCharType="separate"/>
      </w:r>
      <w:r>
        <w:rPr>
          <w:rFonts w:hint="eastAsia" w:ascii="宋体" w:hAnsi="宋体" w:eastAsia="宋体" w:cs="宋体"/>
          <w:szCs w:val="32"/>
          <w:lang w:val="en-US" w:eastAsia="zh-CN"/>
        </w:rPr>
        <w:t>二、第一次</w:t>
      </w:r>
      <w:r>
        <w:rPr>
          <w:rFonts w:hint="eastAsia" w:ascii="宋体" w:hAnsi="宋体" w:eastAsia="宋体" w:cs="宋体"/>
          <w:szCs w:val="32"/>
          <w:lang w:eastAsia="zh-CN"/>
        </w:rPr>
        <w:t>磋商报价表</w:t>
      </w:r>
      <w:r>
        <w:tab/>
      </w:r>
      <w:r>
        <w:fldChar w:fldCharType="begin"/>
      </w:r>
      <w:r>
        <w:instrText xml:space="preserve"> PAGEREF _Toc14053 \h </w:instrText>
      </w:r>
      <w:r>
        <w:fldChar w:fldCharType="separate"/>
      </w:r>
      <w:r>
        <w:t>62</w:t>
      </w:r>
      <w:r>
        <w:fldChar w:fldCharType="end"/>
      </w:r>
      <w:r>
        <w:rPr>
          <w:rFonts w:ascii="宋体"/>
          <w:color w:val="auto"/>
        </w:rPr>
        <w:fldChar w:fldCharType="end"/>
      </w:r>
    </w:p>
    <w:p w14:paraId="68214912">
      <w:pPr>
        <w:pStyle w:val="16"/>
        <w:tabs>
          <w:tab w:val="right" w:leader="dot" w:pos="8299"/>
        </w:tabs>
        <w:spacing w:line="360" w:lineRule="auto"/>
      </w:pPr>
      <w:r>
        <w:rPr>
          <w:rFonts w:ascii="宋体"/>
          <w:color w:val="auto"/>
        </w:rPr>
        <w:fldChar w:fldCharType="begin"/>
      </w:r>
      <w:r>
        <w:rPr>
          <w:rFonts w:ascii="宋体"/>
        </w:rPr>
        <w:instrText xml:space="preserve"> HYPERLINK \l _Toc31491 </w:instrText>
      </w:r>
      <w:r>
        <w:rPr>
          <w:rFonts w:ascii="宋体"/>
        </w:rPr>
        <w:fldChar w:fldCharType="separate"/>
      </w:r>
      <w:r>
        <w:rPr>
          <w:rFonts w:hint="eastAsia" w:ascii="宋体" w:hAnsi="宋体" w:cs="宋体"/>
          <w:szCs w:val="32"/>
          <w:lang w:val="en-US" w:eastAsia="zh-CN"/>
        </w:rPr>
        <w:t>三、</w:t>
      </w:r>
      <w:r>
        <w:rPr>
          <w:rFonts w:hint="eastAsia" w:ascii="宋体" w:hAnsi="宋体" w:cs="宋体"/>
          <w:szCs w:val="32"/>
        </w:rPr>
        <w:t>磋商分项报价表</w:t>
      </w:r>
      <w:r>
        <w:tab/>
      </w:r>
      <w:r>
        <w:fldChar w:fldCharType="begin"/>
      </w:r>
      <w:r>
        <w:instrText xml:space="preserve"> PAGEREF _Toc31491 \h </w:instrText>
      </w:r>
      <w:r>
        <w:fldChar w:fldCharType="separate"/>
      </w:r>
      <w:r>
        <w:t>63</w:t>
      </w:r>
      <w:r>
        <w:fldChar w:fldCharType="end"/>
      </w:r>
      <w:r>
        <w:rPr>
          <w:rFonts w:ascii="宋体"/>
          <w:color w:val="auto"/>
        </w:rPr>
        <w:fldChar w:fldCharType="end"/>
      </w:r>
    </w:p>
    <w:p w14:paraId="742B56D0">
      <w:pPr>
        <w:pStyle w:val="16"/>
        <w:tabs>
          <w:tab w:val="right" w:leader="dot" w:pos="8299"/>
        </w:tabs>
        <w:spacing w:line="360" w:lineRule="auto"/>
      </w:pPr>
      <w:r>
        <w:rPr>
          <w:rFonts w:ascii="宋体"/>
          <w:color w:val="auto"/>
        </w:rPr>
        <w:fldChar w:fldCharType="begin"/>
      </w:r>
      <w:r>
        <w:rPr>
          <w:rFonts w:ascii="宋体"/>
        </w:rPr>
        <w:instrText xml:space="preserve"> HYPERLINK \l _Toc27848 </w:instrText>
      </w:r>
      <w:r>
        <w:rPr>
          <w:rFonts w:ascii="宋体"/>
        </w:rPr>
        <w:fldChar w:fldCharType="separate"/>
      </w:r>
      <w:r>
        <w:rPr>
          <w:rFonts w:hint="eastAsia"/>
          <w:bCs/>
          <w:szCs w:val="16"/>
          <w:lang w:val="en-US" w:eastAsia="zh-CN"/>
        </w:rPr>
        <w:t>四</w:t>
      </w:r>
      <w:r>
        <w:rPr>
          <w:rFonts w:hint="eastAsia"/>
          <w:bCs/>
          <w:szCs w:val="16"/>
        </w:rPr>
        <w:t>、资格证明文件</w:t>
      </w:r>
      <w:r>
        <w:tab/>
      </w:r>
      <w:r>
        <w:fldChar w:fldCharType="begin"/>
      </w:r>
      <w:r>
        <w:instrText xml:space="preserve"> PAGEREF _Toc27848 \h </w:instrText>
      </w:r>
      <w:r>
        <w:fldChar w:fldCharType="separate"/>
      </w:r>
      <w:r>
        <w:t>64</w:t>
      </w:r>
      <w:r>
        <w:fldChar w:fldCharType="end"/>
      </w:r>
      <w:r>
        <w:rPr>
          <w:rFonts w:ascii="宋体"/>
          <w:color w:val="auto"/>
        </w:rPr>
        <w:fldChar w:fldCharType="end"/>
      </w:r>
    </w:p>
    <w:p w14:paraId="3307B7C9">
      <w:pPr>
        <w:pStyle w:val="16"/>
        <w:tabs>
          <w:tab w:val="right" w:leader="dot" w:pos="8299"/>
        </w:tabs>
        <w:spacing w:line="360" w:lineRule="auto"/>
      </w:pPr>
      <w:r>
        <w:rPr>
          <w:rFonts w:ascii="宋体"/>
          <w:color w:val="auto"/>
        </w:rPr>
        <w:fldChar w:fldCharType="begin"/>
      </w:r>
      <w:r>
        <w:rPr>
          <w:rFonts w:ascii="宋体"/>
        </w:rPr>
        <w:instrText xml:space="preserve"> HYPERLINK \l _Toc20433 </w:instrText>
      </w:r>
      <w:r>
        <w:rPr>
          <w:rFonts w:ascii="宋体"/>
        </w:rPr>
        <w:fldChar w:fldCharType="separate"/>
      </w:r>
      <w:r>
        <w:rPr>
          <w:rFonts w:hint="eastAsia" w:ascii="宋体" w:hAnsi="宋体" w:cs="宋体"/>
          <w:bCs/>
          <w:szCs w:val="36"/>
          <w:lang w:val="en-US" w:eastAsia="zh-CN"/>
        </w:rPr>
        <w:t>五</w:t>
      </w:r>
      <w:r>
        <w:rPr>
          <w:rFonts w:hint="eastAsia" w:ascii="宋体" w:hAnsi="宋体" w:cs="宋体"/>
          <w:bCs/>
          <w:szCs w:val="36"/>
        </w:rPr>
        <w:t>、供应商参加政府采购活动承诺书</w:t>
      </w:r>
      <w:r>
        <w:tab/>
      </w:r>
      <w:r>
        <w:fldChar w:fldCharType="begin"/>
      </w:r>
      <w:r>
        <w:instrText xml:space="preserve"> PAGEREF _Toc20433 \h </w:instrText>
      </w:r>
      <w:r>
        <w:fldChar w:fldCharType="separate"/>
      </w:r>
      <w:r>
        <w:t>71</w:t>
      </w:r>
      <w:r>
        <w:fldChar w:fldCharType="end"/>
      </w:r>
      <w:r>
        <w:rPr>
          <w:rFonts w:ascii="宋体"/>
          <w:color w:val="auto"/>
        </w:rPr>
        <w:fldChar w:fldCharType="end"/>
      </w:r>
    </w:p>
    <w:p w14:paraId="7F2C0D96">
      <w:pPr>
        <w:pStyle w:val="16"/>
        <w:tabs>
          <w:tab w:val="right" w:leader="dot" w:pos="8299"/>
        </w:tabs>
        <w:spacing w:line="360" w:lineRule="auto"/>
      </w:pPr>
      <w:r>
        <w:rPr>
          <w:rFonts w:ascii="宋体"/>
          <w:color w:val="auto"/>
        </w:rPr>
        <w:fldChar w:fldCharType="begin"/>
      </w:r>
      <w:r>
        <w:rPr>
          <w:rFonts w:ascii="宋体"/>
        </w:rPr>
        <w:instrText xml:space="preserve"> HYPERLINK \l _Toc26010 </w:instrText>
      </w:r>
      <w:r>
        <w:rPr>
          <w:rFonts w:ascii="宋体"/>
        </w:rPr>
        <w:fldChar w:fldCharType="separate"/>
      </w:r>
      <w:r>
        <w:rPr>
          <w:rFonts w:hint="eastAsia" w:ascii="宋体" w:hAnsi="宋体" w:cs="宋体"/>
          <w:szCs w:val="32"/>
          <w:lang w:val="en-US" w:eastAsia="zh-CN"/>
        </w:rPr>
        <w:t>六</w:t>
      </w:r>
      <w:r>
        <w:rPr>
          <w:rFonts w:hint="eastAsia" w:ascii="宋体" w:hAnsi="宋体" w:cs="宋体"/>
          <w:szCs w:val="32"/>
        </w:rPr>
        <w:t>、投标方案</w:t>
      </w:r>
      <w:r>
        <w:tab/>
      </w:r>
      <w:r>
        <w:fldChar w:fldCharType="begin"/>
      </w:r>
      <w:r>
        <w:instrText xml:space="preserve"> PAGEREF _Toc26010 \h </w:instrText>
      </w:r>
      <w:r>
        <w:fldChar w:fldCharType="separate"/>
      </w:r>
      <w:r>
        <w:t>74</w:t>
      </w:r>
      <w:r>
        <w:fldChar w:fldCharType="end"/>
      </w:r>
      <w:r>
        <w:rPr>
          <w:rFonts w:ascii="宋体"/>
          <w:color w:val="auto"/>
        </w:rPr>
        <w:fldChar w:fldCharType="end"/>
      </w:r>
    </w:p>
    <w:p w14:paraId="526AC6C1">
      <w:pPr>
        <w:pStyle w:val="16"/>
        <w:tabs>
          <w:tab w:val="right" w:leader="dot" w:pos="8299"/>
        </w:tabs>
        <w:spacing w:line="360" w:lineRule="auto"/>
      </w:pPr>
      <w:r>
        <w:rPr>
          <w:rFonts w:ascii="宋体"/>
          <w:color w:val="auto"/>
        </w:rPr>
        <w:fldChar w:fldCharType="begin"/>
      </w:r>
      <w:r>
        <w:rPr>
          <w:rFonts w:ascii="宋体"/>
        </w:rPr>
        <w:instrText xml:space="preserve"> HYPERLINK \l _Toc28609 </w:instrText>
      </w:r>
      <w:r>
        <w:rPr>
          <w:rFonts w:ascii="宋体"/>
        </w:rPr>
        <w:fldChar w:fldCharType="separate"/>
      </w:r>
      <w:r>
        <w:rPr>
          <w:rFonts w:hint="eastAsia" w:ascii="宋体" w:hAnsi="宋体" w:cs="宋体"/>
          <w:szCs w:val="24"/>
          <w:lang w:val="en-US" w:eastAsia="zh-CN"/>
        </w:rPr>
        <w:t>七、</w:t>
      </w:r>
      <w:r>
        <w:rPr>
          <w:rFonts w:hint="eastAsia" w:ascii="宋体" w:hAnsi="宋体" w:eastAsia="宋体" w:cs="宋体"/>
          <w:szCs w:val="24"/>
        </w:rPr>
        <w:t>商务偏离表</w:t>
      </w:r>
      <w:r>
        <w:tab/>
      </w:r>
      <w:r>
        <w:fldChar w:fldCharType="begin"/>
      </w:r>
      <w:r>
        <w:instrText xml:space="preserve"> PAGEREF _Toc28609 \h </w:instrText>
      </w:r>
      <w:r>
        <w:fldChar w:fldCharType="separate"/>
      </w:r>
      <w:r>
        <w:t>75</w:t>
      </w:r>
      <w:r>
        <w:fldChar w:fldCharType="end"/>
      </w:r>
      <w:r>
        <w:rPr>
          <w:rFonts w:ascii="宋体"/>
          <w:color w:val="auto"/>
        </w:rPr>
        <w:fldChar w:fldCharType="end"/>
      </w:r>
    </w:p>
    <w:p w14:paraId="4DC1F616">
      <w:pPr>
        <w:pStyle w:val="16"/>
        <w:tabs>
          <w:tab w:val="right" w:leader="dot" w:pos="8299"/>
        </w:tabs>
        <w:spacing w:line="360" w:lineRule="auto"/>
      </w:pPr>
      <w:r>
        <w:rPr>
          <w:rFonts w:ascii="宋体"/>
          <w:color w:val="auto"/>
        </w:rPr>
        <w:fldChar w:fldCharType="begin"/>
      </w:r>
      <w:r>
        <w:rPr>
          <w:rFonts w:ascii="宋体"/>
        </w:rPr>
        <w:instrText xml:space="preserve"> HYPERLINK \l _Toc5683 </w:instrText>
      </w:r>
      <w:r>
        <w:rPr>
          <w:rFonts w:ascii="宋体"/>
        </w:rPr>
        <w:fldChar w:fldCharType="separate"/>
      </w:r>
      <w:r>
        <w:rPr>
          <w:rFonts w:hint="eastAsia"/>
          <w:bCs/>
          <w:szCs w:val="16"/>
          <w:lang w:val="en-US" w:eastAsia="zh-CN"/>
        </w:rPr>
        <w:t>八</w:t>
      </w:r>
      <w:r>
        <w:rPr>
          <w:rFonts w:hint="eastAsia"/>
          <w:bCs/>
          <w:szCs w:val="16"/>
        </w:rPr>
        <w:t>、法定代表人证明书及法定代表人授权书</w:t>
      </w:r>
      <w:r>
        <w:tab/>
      </w:r>
      <w:r>
        <w:fldChar w:fldCharType="begin"/>
      </w:r>
      <w:r>
        <w:instrText xml:space="preserve"> PAGEREF _Toc5683 \h </w:instrText>
      </w:r>
      <w:r>
        <w:fldChar w:fldCharType="separate"/>
      </w:r>
      <w:r>
        <w:t>76</w:t>
      </w:r>
      <w:r>
        <w:fldChar w:fldCharType="end"/>
      </w:r>
      <w:r>
        <w:rPr>
          <w:rFonts w:ascii="宋体"/>
          <w:color w:val="auto"/>
        </w:rPr>
        <w:fldChar w:fldCharType="end"/>
      </w:r>
    </w:p>
    <w:p w14:paraId="2191DCAD">
      <w:pPr>
        <w:pStyle w:val="16"/>
        <w:tabs>
          <w:tab w:val="right" w:leader="dot" w:pos="8299"/>
        </w:tabs>
        <w:spacing w:line="360" w:lineRule="auto"/>
      </w:pPr>
      <w:r>
        <w:rPr>
          <w:rFonts w:ascii="宋体"/>
          <w:color w:val="auto"/>
        </w:rPr>
        <w:fldChar w:fldCharType="begin"/>
      </w:r>
      <w:r>
        <w:rPr>
          <w:rFonts w:ascii="宋体"/>
        </w:rPr>
        <w:instrText xml:space="preserve"> HYPERLINK \l _Toc7641 </w:instrText>
      </w:r>
      <w:r>
        <w:rPr>
          <w:rFonts w:ascii="宋体"/>
        </w:rPr>
        <w:fldChar w:fldCharType="separate"/>
      </w:r>
      <w:r>
        <w:rPr>
          <w:rFonts w:hint="eastAsia" w:ascii="宋体" w:hAnsi="宋体" w:cs="宋体"/>
          <w:bCs/>
          <w:kern w:val="0"/>
          <w:szCs w:val="36"/>
          <w:lang w:val="en-US" w:eastAsia="zh-CN" w:bidi="ar"/>
        </w:rPr>
        <w:t>九</w:t>
      </w:r>
      <w:r>
        <w:rPr>
          <w:rFonts w:hint="eastAsia" w:ascii="宋体" w:hAnsi="宋体" w:cs="宋体"/>
          <w:bCs/>
          <w:kern w:val="0"/>
          <w:szCs w:val="36"/>
          <w:lang w:bidi="ar"/>
        </w:rPr>
        <w:t>、</w:t>
      </w:r>
      <w:r>
        <w:rPr>
          <w:rFonts w:hint="eastAsia" w:ascii="宋体" w:hAnsi="宋体" w:cs="宋体"/>
          <w:szCs w:val="32"/>
          <w:lang w:val="en-US" w:eastAsia="zh-CN"/>
        </w:rPr>
        <w:t>中小企业、监狱企业、残疾人福利单位声明函或证明</w:t>
      </w:r>
      <w:r>
        <w:tab/>
      </w:r>
      <w:r>
        <w:fldChar w:fldCharType="begin"/>
      </w:r>
      <w:r>
        <w:instrText xml:space="preserve"> PAGEREF _Toc7641 \h </w:instrText>
      </w:r>
      <w:r>
        <w:fldChar w:fldCharType="separate"/>
      </w:r>
      <w:r>
        <w:t>78</w:t>
      </w:r>
      <w:r>
        <w:fldChar w:fldCharType="end"/>
      </w:r>
      <w:r>
        <w:rPr>
          <w:rFonts w:ascii="宋体"/>
          <w:color w:val="auto"/>
        </w:rPr>
        <w:fldChar w:fldCharType="end"/>
      </w:r>
    </w:p>
    <w:p w14:paraId="1F171C02">
      <w:pPr>
        <w:pStyle w:val="15"/>
        <w:tabs>
          <w:tab w:val="right" w:leader="dot" w:pos="8299"/>
        </w:tabs>
        <w:spacing w:line="360" w:lineRule="auto"/>
      </w:pPr>
      <w:r>
        <w:rPr>
          <w:rFonts w:ascii="宋体"/>
          <w:color w:val="auto"/>
        </w:rPr>
        <w:fldChar w:fldCharType="begin"/>
      </w:r>
      <w:r>
        <w:rPr>
          <w:rFonts w:ascii="宋体"/>
        </w:rPr>
        <w:instrText xml:space="preserve"> HYPERLINK \l _Toc30949 </w:instrText>
      </w:r>
      <w:r>
        <w:rPr>
          <w:rFonts w:ascii="宋体"/>
        </w:rPr>
        <w:fldChar w:fldCharType="separate"/>
      </w:r>
      <w:r>
        <w:rPr>
          <w:rFonts w:hint="eastAsia" w:ascii="宋体" w:hAnsi="宋体" w:cs="宋体"/>
          <w:bCs/>
          <w:szCs w:val="28"/>
          <w:lang w:val="en-US" w:eastAsia="zh-CN"/>
        </w:rPr>
        <w:t xml:space="preserve">第八章  </w:t>
      </w:r>
      <w:r>
        <w:rPr>
          <w:rFonts w:hint="eastAsia" w:ascii="宋体" w:hAnsi="宋体" w:cs="宋体"/>
          <w:bCs/>
          <w:szCs w:val="28"/>
        </w:rPr>
        <w:t>关于信用承诺网上公示的通知及操作指南</w:t>
      </w:r>
      <w:r>
        <w:tab/>
      </w:r>
      <w:r>
        <w:fldChar w:fldCharType="begin"/>
      </w:r>
      <w:r>
        <w:instrText xml:space="preserve"> PAGEREF _Toc30949 \h </w:instrText>
      </w:r>
      <w:r>
        <w:fldChar w:fldCharType="separate"/>
      </w:r>
      <w:r>
        <w:t>81</w:t>
      </w:r>
      <w:r>
        <w:fldChar w:fldCharType="end"/>
      </w:r>
      <w:r>
        <w:rPr>
          <w:rFonts w:ascii="宋体"/>
          <w:color w:val="auto"/>
        </w:rPr>
        <w:fldChar w:fldCharType="end"/>
      </w:r>
    </w:p>
    <w:p w14:paraId="35A22277">
      <w:pPr>
        <w:spacing w:line="360" w:lineRule="auto"/>
        <w:jc w:val="center"/>
        <w:outlineLvl w:val="9"/>
        <w:rPr>
          <w:rFonts w:ascii="宋体"/>
          <w:b/>
          <w:color w:val="auto"/>
          <w:sz w:val="44"/>
        </w:rPr>
      </w:pPr>
      <w:r>
        <w:rPr>
          <w:rFonts w:ascii="宋体"/>
          <w:color w:val="auto"/>
        </w:rPr>
        <w:fldChar w:fldCharType="end"/>
      </w:r>
    </w:p>
    <w:p w14:paraId="162FE1C1">
      <w:pPr>
        <w:outlineLvl w:val="9"/>
        <w:rPr>
          <w:rFonts w:hint="default" w:ascii="宋体" w:eastAsia="宋体"/>
          <w:color w:val="auto"/>
          <w:lang w:val="en-US" w:eastAsia="zh-CN"/>
        </w:rPr>
        <w:sectPr>
          <w:headerReference r:id="rId7" w:type="first"/>
          <w:footerReference r:id="rId9" w:type="first"/>
          <w:headerReference r:id="rId6" w:type="default"/>
          <w:footerReference r:id="rId8" w:type="default"/>
          <w:pgSz w:w="11905" w:h="16838"/>
          <w:pgMar w:top="1219" w:right="1803" w:bottom="1219" w:left="1803" w:header="850" w:footer="850" w:gutter="0"/>
          <w:pgNumType w:fmt="decimal" w:start="1"/>
          <w:cols w:space="0" w:num="1"/>
          <w:rtlGutter w:val="0"/>
          <w:docGrid w:type="lines" w:linePitch="313" w:charSpace="0"/>
        </w:sectPr>
      </w:pPr>
      <w:bookmarkStart w:id="419" w:name="_GoBack"/>
      <w:bookmarkEnd w:id="419"/>
    </w:p>
    <w:p w14:paraId="15FAE291">
      <w:pPr>
        <w:bidi w:val="0"/>
        <w:jc w:val="center"/>
        <w:outlineLvl w:val="0"/>
        <w:rPr>
          <w:rFonts w:ascii="宋体" w:hAnsi="宋体"/>
          <w:b/>
          <w:bCs/>
          <w:color w:val="auto"/>
          <w:szCs w:val="36"/>
        </w:rPr>
      </w:pPr>
      <w:bookmarkStart w:id="6" w:name="_Toc15250"/>
      <w:bookmarkStart w:id="7" w:name="_Toc17984"/>
      <w:bookmarkStart w:id="8" w:name="_Toc504605084"/>
      <w:bookmarkStart w:id="9" w:name="_Toc25666"/>
      <w:r>
        <w:rPr>
          <w:rFonts w:hint="eastAsia"/>
          <w:b/>
          <w:bCs/>
          <w:color w:val="auto"/>
          <w:sz w:val="36"/>
          <w:szCs w:val="36"/>
          <w:lang w:val="en-US" w:eastAsia="zh-CN"/>
        </w:rPr>
        <w:t>第一章</w:t>
      </w:r>
      <w:r>
        <w:rPr>
          <w:b/>
          <w:bCs/>
          <w:color w:val="auto"/>
          <w:sz w:val="36"/>
          <w:szCs w:val="36"/>
        </w:rPr>
        <w:t xml:space="preserve"> </w:t>
      </w:r>
      <w:bookmarkStart w:id="10" w:name="_Toc5374"/>
      <w:bookmarkStart w:id="11" w:name="_Toc9301"/>
      <w:r>
        <w:rPr>
          <w:rFonts w:hint="eastAsia"/>
          <w:b/>
          <w:bCs/>
          <w:color w:val="auto"/>
          <w:sz w:val="36"/>
          <w:szCs w:val="36"/>
        </w:rPr>
        <w:t>竞争性磋商公告</w:t>
      </w:r>
      <w:bookmarkEnd w:id="6"/>
      <w:bookmarkEnd w:id="7"/>
      <w:bookmarkEnd w:id="8"/>
      <w:bookmarkEnd w:id="9"/>
      <w:bookmarkEnd w:id="10"/>
      <w:bookmarkEnd w:id="11"/>
    </w:p>
    <w:p w14:paraId="4E806C2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项目概况</w:t>
      </w:r>
    </w:p>
    <w:p w14:paraId="6DD2225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吴堡县张家山镇辛庄村人居环境整治工程采购项目的潜在供应商应在登录全国公共资源交易中心平台（陕西省）使用CA锁报名后自行下载获取采购文件，并于 2025年11月28日 09时30分 （北京时间）前提交响应文件。</w:t>
      </w:r>
    </w:p>
    <w:p w14:paraId="41FA0D5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一、项目基本情况</w:t>
      </w:r>
    </w:p>
    <w:p w14:paraId="3D07293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项目编号：HXCX2025038</w:t>
      </w:r>
    </w:p>
    <w:p w14:paraId="51320A4C">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项目名称：吴堡县张家山镇辛庄村人居环境整治工程</w:t>
      </w:r>
    </w:p>
    <w:p w14:paraId="4AA36BC9">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采购方式：竞争性磋商</w:t>
      </w:r>
    </w:p>
    <w:p w14:paraId="6E39A392">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预算金额：498,921.15元</w:t>
      </w:r>
    </w:p>
    <w:p w14:paraId="444B432D">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采购需求：</w:t>
      </w:r>
    </w:p>
    <w:p w14:paraId="6E56DEEA">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合同包1(吴堡县张家山镇辛庄村人居环境整治工程):</w:t>
      </w:r>
    </w:p>
    <w:p w14:paraId="16370EA7">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合同包预算金额：498,921.15元</w:t>
      </w:r>
    </w:p>
    <w:p w14:paraId="0B33A38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合同包最高限价：498,921.15元</w:t>
      </w:r>
    </w:p>
    <w:tbl>
      <w:tblPr>
        <w:tblW w:w="96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95"/>
        <w:gridCol w:w="1552"/>
        <w:gridCol w:w="1595"/>
        <w:gridCol w:w="1857"/>
        <w:gridCol w:w="1893"/>
        <w:gridCol w:w="1946"/>
      </w:tblGrid>
      <w:tr w14:paraId="133F89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79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8E67F3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品目号</w:t>
            </w:r>
          </w:p>
        </w:tc>
        <w:tc>
          <w:tcPr>
            <w:tcW w:w="155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271584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品目名称</w:t>
            </w:r>
          </w:p>
        </w:tc>
        <w:tc>
          <w:tcPr>
            <w:tcW w:w="159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255E57CA">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采购标的</w:t>
            </w:r>
          </w:p>
        </w:tc>
        <w:tc>
          <w:tcPr>
            <w:tcW w:w="1857"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660360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数量（单位）</w:t>
            </w:r>
          </w:p>
        </w:tc>
        <w:tc>
          <w:tcPr>
            <w:tcW w:w="1893"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C31EDC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技术规格、参数及要求</w:t>
            </w:r>
          </w:p>
        </w:tc>
        <w:tc>
          <w:tcPr>
            <w:tcW w:w="194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24C267A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品目预算(元)</w:t>
            </w:r>
          </w:p>
        </w:tc>
      </w:tr>
      <w:tr w14:paraId="6D53D7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5032191">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1-1</w:t>
            </w:r>
          </w:p>
        </w:tc>
        <w:tc>
          <w:tcPr>
            <w:tcW w:w="155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8BE52A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其他构筑物工程施工</w:t>
            </w:r>
          </w:p>
        </w:tc>
        <w:tc>
          <w:tcPr>
            <w:tcW w:w="159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E25514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1</w:t>
            </w:r>
          </w:p>
        </w:tc>
        <w:tc>
          <w:tcPr>
            <w:tcW w:w="1857"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84888D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1(项)</w:t>
            </w:r>
          </w:p>
        </w:tc>
        <w:tc>
          <w:tcPr>
            <w:tcW w:w="1893"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229882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详见采购文件</w:t>
            </w:r>
          </w:p>
        </w:tc>
        <w:tc>
          <w:tcPr>
            <w:tcW w:w="194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65D95BA">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498,921.15</w:t>
            </w:r>
          </w:p>
        </w:tc>
      </w:tr>
    </w:tbl>
    <w:p w14:paraId="4D16311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本合同包不接受联合体投标</w:t>
      </w:r>
    </w:p>
    <w:p w14:paraId="1F454FE4">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合同履行期限：无</w:t>
      </w:r>
    </w:p>
    <w:p w14:paraId="36DDDF3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二、申请人的资格要求：</w:t>
      </w:r>
    </w:p>
    <w:p w14:paraId="7B7C79F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1.满足《中华人民共和国政府采购法》第二十二条规定;</w:t>
      </w:r>
    </w:p>
    <w:p w14:paraId="3393C88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2.落实政府采购政策需满足的资格要求：</w:t>
      </w:r>
    </w:p>
    <w:p w14:paraId="6F960ADA">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合同包1(吴堡县张家山镇辛庄村人居环境整治工程)落实政府采购政策需满足的资格要求如下:</w:t>
      </w:r>
    </w:p>
    <w:p w14:paraId="50FF119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①《节能产品政府采购实施意见》财库〔2004〕185号;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②《环境标志产品政府采购实施的意见》财库〔2006〕90号；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③《国务院办公厅关于建立政府强制采购节能产品制度的通知》国办发〔2007〕51号；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④《政府采购促进中小企业发展管理办法》财库〔2020〕46号；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⑤《陕西省财政厅关于进一步加大政府采购支持中小企业力度的通知》陕财办采〔2022〕5号；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⑥《榆林市财政局关于进一步加大政府采购支持中小企业力度的通知》榆政财采发〔2022〕10号；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⑦陕西省财政厅关于印发《陕西省中小企业政府采购信用融资办法》陕财办采〔2018〕23号，相关政策、业务流程、办理平台(http://www.ccgp-shaanxi.gov.cn/zcdservice/zcd/shanxi/）；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⑧《财政部司法部关于政府采购支持监狱企业发展有关问题的通知》财库〔2014〕68号；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⑨《财政部民政部中国残疾人联合会关于促进残疾人就业政府采购政策的通知》财库〔2017〕141号；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⑩《关于在政府采购活动中查询及使用信用记录有关问题的通知》财库〔2016〕125号；</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⑪其他需要落实的政府采购政策。</w:t>
      </w:r>
    </w:p>
    <w:p w14:paraId="5380B3E2">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3.本项目的特定资格要求：</w:t>
      </w:r>
    </w:p>
    <w:p w14:paraId="0585EDB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合同包1(吴堡县张家山镇辛庄村人居环境整治工程)特定资格要求如下:</w:t>
      </w:r>
    </w:p>
    <w:p w14:paraId="070A3D87">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②具备建设行政主管部门核发的市政公用工程施工总承包三级及以上资质，具备有效的安全生产许可证；</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③拟派往本项目的建造师必须为本企业注册的建造师，具备市政公用工程专业二级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④税收缴纳证明：提供开标前六个月至今至少1个月的纳税证明（银行缴费凭证）或完税证明，依法免税的单位应提供相关证明材料； </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⑤社会保障资金缴纳证明：提供开标前六个月至今至少1个月的社会保障资金（任一险种）缴费单据或社保机构开具的社会保险（任一险种）参保缴费情况证明，依法不需要缴纳社会保障资金的单位应提供相关证明材料； </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⑥财务要求：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⑦参加政府采购活动前三年内，在经营活动中没有重大违法记录的书面声明；</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⑧提供具有履行合同所必需的设备和专业技术能力的证明资料或承诺书； </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⑨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⑪本项目专门面向小微企业（提供中小企业声明函）； </w:t>
      </w:r>
      <w:r>
        <w:rPr>
          <w:rFonts w:hint="eastAsia" w:ascii="宋体" w:hAnsi="宋体" w:eastAsia="宋体" w:cs="宋体"/>
          <w:i w:val="0"/>
          <w:iCs w:val="0"/>
          <w:caps w:val="0"/>
          <w:color w:val="333333"/>
          <w:spacing w:val="0"/>
          <w:sz w:val="24"/>
          <w:szCs w:val="24"/>
          <w:bdr w:val="none" w:color="auto" w:sz="0" w:space="0"/>
          <w:shd w:val="clear" w:fill="FFFFFF"/>
        </w:rPr>
        <w:br w:type="textWrapping"/>
      </w:r>
      <w:r>
        <w:rPr>
          <w:rFonts w:hint="eastAsia" w:ascii="宋体" w:hAnsi="宋体" w:eastAsia="宋体" w:cs="宋体"/>
          <w:i w:val="0"/>
          <w:iCs w:val="0"/>
          <w:caps w:val="0"/>
          <w:color w:val="333333"/>
          <w:spacing w:val="0"/>
          <w:sz w:val="24"/>
          <w:szCs w:val="24"/>
          <w:bdr w:val="none" w:color="auto" w:sz="0" w:space="0"/>
          <w:shd w:val="clear" w:fill="FFFFFF"/>
        </w:rPr>
        <w:t>⑫本项目不接受联合体投标，单位负责人为同一人或者存在直接控股、管理关系的不同投标人，不得参加同一合同项下的政府采购活动（提供非联合体投标声明）。</w:t>
      </w:r>
    </w:p>
    <w:p w14:paraId="429EA7C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三、获取采购文件</w:t>
      </w:r>
    </w:p>
    <w:p w14:paraId="2F7768EF">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时间：2025年11月18日至2025年11月24日，每天上午09:00:00至12:00:00，下午12:00:00至17:00:00 （北京时间）</w:t>
      </w:r>
    </w:p>
    <w:p w14:paraId="115DEA8B">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途径：登录全国公共资源交易中心平台（陕西省）使用CA锁报名后自行下载</w:t>
      </w:r>
    </w:p>
    <w:p w14:paraId="7DCE57C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方式：在线获取</w:t>
      </w:r>
    </w:p>
    <w:p w14:paraId="0F4D5D61">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售价： 0元</w:t>
      </w:r>
    </w:p>
    <w:p w14:paraId="7602FF3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四、响应文件提交</w:t>
      </w:r>
    </w:p>
    <w:p w14:paraId="50DE5ED2">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截止时间： 2025年11月28日 09时30分00秒 （北京时间）</w:t>
      </w:r>
    </w:p>
    <w:p w14:paraId="53BEBBD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地点：榆林市富康路榆溪尚品3号楼1415</w:t>
      </w:r>
    </w:p>
    <w:p w14:paraId="6BF9B55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五、开启</w:t>
      </w:r>
    </w:p>
    <w:p w14:paraId="4CAF381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时间： 2025年11月28日 09时30分00秒 （北京时间）</w:t>
      </w:r>
    </w:p>
    <w:p w14:paraId="72C87AB8">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地点：榆林市富康路榆溪尚品3号楼1415</w:t>
      </w:r>
    </w:p>
    <w:p w14:paraId="017254D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六、公告期限</w:t>
      </w:r>
    </w:p>
    <w:p w14:paraId="38EF72F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自本公告发布之日起3个工作日。</w:t>
      </w:r>
    </w:p>
    <w:p w14:paraId="7696222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七、其他补充事宜</w:t>
      </w:r>
    </w:p>
    <w:p w14:paraId="7BAE491F">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bdr w:val="none" w:color="auto" w:sz="0" w:space="0"/>
          <w:shd w:val="clear" w:fill="FFFFFF"/>
          <w:lang w:val="en-US" w:eastAsia="zh-CN" w:bidi="ar"/>
        </w:rPr>
        <w:t>注：（1）采购标的：吴堡县张家山镇辛庄村人居环境整治工程。（2）供应商可登录全国公共资源交易中心平台（陕西省）（http://www.sxggzyjy.cn/）,选择“电子交易平台-陕西政府采购交易系统-陕西省公共资源交易平台-供应商”进行登录，登录后选择“交易乙方”身份进入供应商界面进行报名并免费下载磋商文件。（3）CA锁购买：榆林市市民大厦三楼E18、E19窗口办理，咨询电话0912-3452148、029-88661298或4006-369-888（陕西CA联系电话）。 （4）请各供应商获取磋商文件后，按照陕西省财政厅《关于政府采购投标供应商注册登记有关事项的通知》要求，通过陕西省政府采购（http://www.ccgp-shaanxi.gov.cn/）注册登记加入陕西省政府采购投标供应商库。</w:t>
      </w:r>
    </w:p>
    <w:p w14:paraId="0D68925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2"/>
          <w:rFonts w:hint="eastAsia" w:ascii="宋体" w:hAnsi="宋体" w:eastAsia="宋体" w:cs="宋体"/>
          <w:b/>
          <w:bCs/>
          <w:i w:val="0"/>
          <w:iCs w:val="0"/>
          <w:caps w:val="0"/>
          <w:color w:val="333333"/>
          <w:spacing w:val="0"/>
          <w:sz w:val="24"/>
          <w:szCs w:val="24"/>
          <w:bdr w:val="none" w:color="auto" w:sz="0" w:space="0"/>
          <w:shd w:val="clear" w:fill="FFFFFF"/>
        </w:rPr>
        <w:t>八、对本次招标提出询问，请按以下方式联系。</w:t>
      </w:r>
    </w:p>
    <w:p w14:paraId="3B51B4D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rPr>
        <w:t>1.采购人信息</w:t>
      </w:r>
    </w:p>
    <w:p w14:paraId="754207B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名称：吴堡县张家山镇人民政府</w:t>
      </w:r>
    </w:p>
    <w:p w14:paraId="25CA49A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地址：吴堡县张家山镇</w:t>
      </w:r>
    </w:p>
    <w:p w14:paraId="3523BF2E">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联系方式：13609228802</w:t>
      </w:r>
    </w:p>
    <w:p w14:paraId="10B5C90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rPr>
        <w:t>2.采购代理机构信息</w:t>
      </w:r>
    </w:p>
    <w:p w14:paraId="60F6076F">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名称：陕西华旭晟信项目管理有限责任公司</w:t>
      </w:r>
    </w:p>
    <w:p w14:paraId="1E84CA9A">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地址：榆林市富康路榆溪尚品3号楼1415</w:t>
      </w:r>
    </w:p>
    <w:p w14:paraId="7AAE61A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联系方式：17709127880</w:t>
      </w:r>
    </w:p>
    <w:p w14:paraId="36FD027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rPr>
        <w:t>3.项目联系方式</w:t>
      </w:r>
    </w:p>
    <w:p w14:paraId="1559562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项目联系人：刘莉娥</w:t>
      </w:r>
    </w:p>
    <w:p w14:paraId="5FDAAB0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电话：17709127880</w:t>
      </w:r>
    </w:p>
    <w:p w14:paraId="5BC75784">
      <w:pPr>
        <w:spacing w:line="360" w:lineRule="auto"/>
        <w:rPr>
          <w:rFonts w:hint="eastAsia" w:ascii="宋体" w:hAnsi="宋体" w:eastAsia="宋体" w:cs="宋体"/>
          <w:color w:val="auto"/>
          <w:sz w:val="24"/>
          <w:szCs w:val="24"/>
        </w:rPr>
      </w:pPr>
    </w:p>
    <w:p w14:paraId="0348EF63">
      <w:pPr>
        <w:adjustRightInd w:val="0"/>
        <w:snapToGrid w:val="0"/>
        <w:spacing w:line="440" w:lineRule="exact"/>
        <w:ind w:firstLine="1080" w:firstLineChars="300"/>
        <w:jc w:val="center"/>
        <w:outlineLvl w:val="9"/>
        <w:rPr>
          <w:rFonts w:hint="eastAsia" w:ascii="宋体" w:hAnsi="宋体" w:cs="宋体"/>
          <w:color w:val="auto"/>
          <w:sz w:val="36"/>
        </w:rPr>
      </w:pPr>
    </w:p>
    <w:p w14:paraId="5D50BB44">
      <w:pPr>
        <w:adjustRightInd w:val="0"/>
        <w:snapToGrid w:val="0"/>
        <w:spacing w:line="360" w:lineRule="auto"/>
        <w:ind w:firstLine="7200" w:firstLineChars="2000"/>
        <w:jc w:val="left"/>
        <w:outlineLvl w:val="9"/>
        <w:rPr>
          <w:rFonts w:hint="eastAsia" w:ascii="宋体" w:hAnsi="宋体" w:cs="宋体"/>
          <w:color w:val="auto"/>
          <w:sz w:val="36"/>
          <w:szCs w:val="36"/>
        </w:rPr>
        <w:sectPr>
          <w:footerReference r:id="rId10" w:type="default"/>
          <w:pgSz w:w="11905" w:h="16838"/>
          <w:pgMar w:top="1219" w:right="1803" w:bottom="1219" w:left="1803" w:header="850" w:footer="850" w:gutter="0"/>
          <w:pgNumType w:fmt="decimal" w:start="1"/>
          <w:cols w:space="0" w:num="1"/>
          <w:rtlGutter w:val="0"/>
          <w:docGrid w:type="lines" w:linePitch="313" w:charSpace="0"/>
        </w:sectPr>
      </w:pPr>
    </w:p>
    <w:p w14:paraId="4597216D">
      <w:pPr>
        <w:bidi w:val="0"/>
        <w:spacing w:line="360" w:lineRule="auto"/>
        <w:jc w:val="center"/>
        <w:outlineLvl w:val="0"/>
        <w:rPr>
          <w:rFonts w:ascii="宋体" w:hAnsi="宋体"/>
          <w:b/>
          <w:bCs/>
          <w:color w:val="auto"/>
          <w:szCs w:val="36"/>
        </w:rPr>
      </w:pPr>
      <w:bookmarkStart w:id="12" w:name="_Toc13112"/>
      <w:bookmarkStart w:id="13" w:name="_Toc24905"/>
      <w:bookmarkStart w:id="14" w:name="_Toc8110"/>
      <w:bookmarkStart w:id="15" w:name="_Toc25325"/>
      <w:bookmarkStart w:id="16" w:name="_Toc504605086"/>
      <w:bookmarkStart w:id="17" w:name="_Toc504605168"/>
      <w:bookmarkStart w:id="18" w:name="_Toc1227"/>
      <w:bookmarkStart w:id="19" w:name="_Toc504605085"/>
      <w:r>
        <w:rPr>
          <w:rFonts w:hint="eastAsia"/>
          <w:b/>
          <w:bCs/>
          <w:color w:val="auto"/>
          <w:sz w:val="36"/>
          <w:szCs w:val="36"/>
        </w:rPr>
        <w:t>第二章</w:t>
      </w:r>
      <w:r>
        <w:rPr>
          <w:b/>
          <w:bCs/>
          <w:color w:val="auto"/>
          <w:sz w:val="36"/>
          <w:szCs w:val="36"/>
        </w:rPr>
        <w:t xml:space="preserve"> </w:t>
      </w:r>
      <w:r>
        <w:rPr>
          <w:rFonts w:hint="eastAsia"/>
          <w:b/>
          <w:bCs/>
          <w:color w:val="auto"/>
          <w:sz w:val="36"/>
          <w:szCs w:val="36"/>
          <w:lang w:val="en-US" w:eastAsia="zh-CN"/>
        </w:rPr>
        <w:t xml:space="preserve"> </w:t>
      </w:r>
      <w:r>
        <w:rPr>
          <w:rFonts w:hint="eastAsia"/>
          <w:b/>
          <w:bCs/>
          <w:color w:val="auto"/>
          <w:sz w:val="36"/>
          <w:szCs w:val="36"/>
        </w:rPr>
        <w:t>供应商须知前附表及供应商须知</w:t>
      </w:r>
      <w:bookmarkEnd w:id="12"/>
      <w:bookmarkEnd w:id="13"/>
      <w:bookmarkEnd w:id="14"/>
      <w:bookmarkEnd w:id="15"/>
    </w:p>
    <w:p w14:paraId="4EB30A92">
      <w:pPr>
        <w:spacing w:line="360" w:lineRule="auto"/>
        <w:jc w:val="center"/>
        <w:outlineLvl w:val="9"/>
        <w:rPr>
          <w:color w:val="auto"/>
          <w:sz w:val="32"/>
          <w:szCs w:val="32"/>
        </w:rPr>
      </w:pPr>
      <w:bookmarkStart w:id="20" w:name="_Toc1925"/>
      <w:bookmarkStart w:id="21" w:name="_Toc13149"/>
      <w:bookmarkStart w:id="22" w:name="_Toc8617"/>
      <w:bookmarkStart w:id="23" w:name="_Toc12655"/>
      <w:bookmarkStart w:id="24" w:name="_Toc6073"/>
      <w:bookmarkStart w:id="25" w:name="_Toc2260"/>
      <w:bookmarkStart w:id="26" w:name="_Toc513557025"/>
      <w:bookmarkStart w:id="27" w:name="_Toc17752"/>
      <w:r>
        <w:rPr>
          <w:rFonts w:hint="eastAsia" w:ascii="宋体" w:hAnsi="宋体"/>
          <w:b/>
          <w:bCs/>
          <w:color w:val="auto"/>
          <w:sz w:val="32"/>
          <w:szCs w:val="32"/>
        </w:rPr>
        <w:t>（一）供应商须知前附表</w:t>
      </w:r>
      <w:bookmarkEnd w:id="16"/>
      <w:bookmarkEnd w:id="17"/>
      <w:bookmarkEnd w:id="20"/>
      <w:bookmarkEnd w:id="21"/>
      <w:bookmarkEnd w:id="22"/>
      <w:bookmarkEnd w:id="23"/>
      <w:bookmarkEnd w:id="24"/>
      <w:bookmarkEnd w:id="25"/>
      <w:bookmarkEnd w:id="26"/>
      <w:bookmarkEnd w:id="27"/>
    </w:p>
    <w:bookmarkEnd w:id="18"/>
    <w:bookmarkEnd w:id="19"/>
    <w:tbl>
      <w:tblPr>
        <w:tblStyle w:val="20"/>
        <w:tblW w:w="10003" w:type="dxa"/>
        <w:tblInd w:w="-232" w:type="dxa"/>
        <w:tblLayout w:type="fixed"/>
        <w:tblCellMar>
          <w:top w:w="0" w:type="dxa"/>
          <w:left w:w="108" w:type="dxa"/>
          <w:bottom w:w="0" w:type="dxa"/>
          <w:right w:w="108" w:type="dxa"/>
        </w:tblCellMar>
      </w:tblPr>
      <w:tblGrid>
        <w:gridCol w:w="723"/>
        <w:gridCol w:w="1690"/>
        <w:gridCol w:w="7590"/>
      </w:tblGrid>
      <w:tr w14:paraId="0D2E872C">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14:paraId="7D6F91F4">
            <w:pPr>
              <w:jc w:val="center"/>
              <w:outlineLvl w:val="9"/>
              <w:rPr>
                <w:rFonts w:asciiTheme="minorEastAsia" w:hAnsiTheme="minorEastAsia" w:eastAsiaTheme="minorEastAsia" w:cstheme="minorEastAsia"/>
                <w:b/>
                <w:color w:val="000000" w:themeColor="text1"/>
                <w:sz w:val="24"/>
                <w:szCs w:val="24"/>
                <w14:textFill>
                  <w14:solidFill>
                    <w14:schemeClr w14:val="tx1"/>
                  </w14:solidFill>
                </w14:textFill>
              </w:rPr>
            </w:pPr>
            <w:bookmarkStart w:id="28" w:name="_Toc504605169"/>
            <w:bookmarkStart w:id="29" w:name="_Toc504605087"/>
            <w:r>
              <w:rPr>
                <w:rFonts w:hint="eastAsia" w:ascii="宋体" w:hAnsi="宋体" w:cs="宋体"/>
                <w:b/>
                <w:color w:val="000000" w:themeColor="text1"/>
                <w:sz w:val="24"/>
                <w:lang w:val="zh-CN"/>
                <w14:textFill>
                  <w14:solidFill>
                    <w14:schemeClr w14:val="tx1"/>
                  </w14:solidFill>
                </w14:textFill>
              </w:rPr>
              <w:t>序号</w:t>
            </w:r>
          </w:p>
        </w:tc>
        <w:tc>
          <w:tcPr>
            <w:tcW w:w="1690" w:type="dxa"/>
            <w:tcBorders>
              <w:top w:val="single" w:color="auto" w:sz="4" w:space="0"/>
              <w:left w:val="single" w:color="auto" w:sz="4" w:space="0"/>
              <w:bottom w:val="single" w:color="auto" w:sz="4" w:space="0"/>
              <w:right w:val="single" w:color="auto" w:sz="4" w:space="0"/>
            </w:tcBorders>
            <w:vAlign w:val="center"/>
          </w:tcPr>
          <w:p w14:paraId="4B46AA79">
            <w:pPr>
              <w:jc w:val="center"/>
              <w:outlineLvl w:val="9"/>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宋体" w:hAnsi="宋体" w:cs="宋体"/>
                <w:b/>
                <w:color w:val="000000" w:themeColor="text1"/>
                <w:sz w:val="24"/>
                <w:lang w:val="zh-CN"/>
                <w14:textFill>
                  <w14:solidFill>
                    <w14:schemeClr w14:val="tx1"/>
                  </w14:solidFill>
                </w14:textFill>
              </w:rPr>
              <w:t>摘 要</w:t>
            </w:r>
          </w:p>
        </w:tc>
        <w:tc>
          <w:tcPr>
            <w:tcW w:w="7590" w:type="dxa"/>
            <w:tcBorders>
              <w:top w:val="single" w:color="auto" w:sz="4" w:space="0"/>
              <w:left w:val="single" w:color="auto" w:sz="4" w:space="0"/>
              <w:bottom w:val="single" w:color="auto" w:sz="4" w:space="0"/>
              <w:right w:val="single" w:color="auto" w:sz="4" w:space="0"/>
            </w:tcBorders>
            <w:vAlign w:val="center"/>
          </w:tcPr>
          <w:p w14:paraId="667EFD44">
            <w:pPr>
              <w:adjustRightInd w:val="0"/>
              <w:snapToGrid w:val="0"/>
              <w:spacing w:line="360" w:lineRule="auto"/>
              <w:ind w:left="472" w:leftChars="24" w:hanging="422" w:hangingChars="175"/>
              <w:jc w:val="center"/>
              <w:outlineLvl w:val="9"/>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编  列  内  容</w:t>
            </w:r>
          </w:p>
        </w:tc>
      </w:tr>
      <w:tr w14:paraId="7D9313B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16DE4531">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p>
        </w:tc>
        <w:tc>
          <w:tcPr>
            <w:tcW w:w="1690" w:type="dxa"/>
            <w:tcBorders>
              <w:top w:val="single" w:color="auto" w:sz="4" w:space="0"/>
              <w:left w:val="single" w:color="auto" w:sz="4" w:space="0"/>
              <w:bottom w:val="single" w:color="auto" w:sz="4" w:space="0"/>
              <w:right w:val="single" w:color="auto" w:sz="4" w:space="0"/>
            </w:tcBorders>
            <w:vAlign w:val="center"/>
          </w:tcPr>
          <w:p w14:paraId="4AF005AE">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590" w:type="dxa"/>
            <w:tcBorders>
              <w:top w:val="single" w:color="auto" w:sz="4" w:space="0"/>
              <w:left w:val="single" w:color="auto" w:sz="4" w:space="0"/>
              <w:bottom w:val="single" w:color="auto" w:sz="4" w:space="0"/>
              <w:right w:val="single" w:color="auto" w:sz="4" w:space="0"/>
            </w:tcBorders>
            <w:vAlign w:val="center"/>
          </w:tcPr>
          <w:p w14:paraId="73C08FB2">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吴堡县张家山镇人民政府</w:t>
            </w:r>
          </w:p>
          <w:p w14:paraId="6BC4C154">
            <w:pPr>
              <w:spacing w:line="360" w:lineRule="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地     址：吴堡县张家山镇</w:t>
            </w:r>
          </w:p>
          <w:p w14:paraId="5AB3F948">
            <w:pPr>
              <w:spacing w:line="360" w:lineRule="auto"/>
              <w:outlineLvl w:val="9"/>
              <w:rPr>
                <w:rFonts w:hint="eastAsia" w:eastAsia="宋体"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 xml:space="preserve">电     </w:t>
            </w:r>
            <w:r>
              <w:rPr>
                <w:rFonts w:hint="eastAsia" w:ascii="宋体" w:hAnsi="宋体" w:cs="宋体"/>
                <w:color w:val="000000" w:themeColor="text1"/>
                <w:sz w:val="24"/>
                <w:shd w:val="clear" w:color="auto" w:fill="auto"/>
                <w:lang w:eastAsia="zh-CN"/>
                <w14:textFill>
                  <w14:solidFill>
                    <w14:schemeClr w14:val="tx1"/>
                  </w14:solidFill>
                </w14:textFill>
              </w:rPr>
              <w:t>话：13609228802</w:t>
            </w:r>
          </w:p>
        </w:tc>
      </w:tr>
      <w:tr w14:paraId="493AD452">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BCB57E7">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p>
        </w:tc>
        <w:tc>
          <w:tcPr>
            <w:tcW w:w="1690" w:type="dxa"/>
            <w:tcBorders>
              <w:top w:val="single" w:color="auto" w:sz="4" w:space="0"/>
              <w:left w:val="single" w:color="auto" w:sz="4" w:space="0"/>
              <w:bottom w:val="single" w:color="auto" w:sz="4" w:space="0"/>
              <w:right w:val="single" w:color="auto" w:sz="4" w:space="0"/>
            </w:tcBorders>
            <w:vAlign w:val="center"/>
          </w:tcPr>
          <w:p w14:paraId="063AD530">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p>
        </w:tc>
        <w:tc>
          <w:tcPr>
            <w:tcW w:w="7590" w:type="dxa"/>
            <w:tcBorders>
              <w:top w:val="single" w:color="auto" w:sz="4" w:space="0"/>
              <w:left w:val="single" w:color="auto" w:sz="4" w:space="0"/>
              <w:bottom w:val="single" w:color="auto" w:sz="4" w:space="0"/>
              <w:right w:val="single" w:color="auto" w:sz="4" w:space="0"/>
            </w:tcBorders>
            <w:vAlign w:val="center"/>
          </w:tcPr>
          <w:p w14:paraId="69FAF379">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陕西华旭晟信项目管理有限责任公司</w:t>
            </w:r>
          </w:p>
          <w:p w14:paraId="37FBFF7C">
            <w:pPr>
              <w:adjustRightInd w:val="0"/>
              <w:snapToGrid w:val="0"/>
              <w:spacing w:line="360" w:lineRule="auto"/>
              <w:jc w:val="left"/>
              <w:outlineLvl w:val="9"/>
              <w:rPr>
                <w:rFonts w:hint="eastAsia" w:ascii="宋体" w:hAnsi="宋体" w:eastAsia="宋体" w:cs="宋体"/>
                <w:color w:val="000000" w:themeColor="text1"/>
                <w:kern w:val="0"/>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宋体" w:hAnsi="宋体" w:cs="宋体"/>
                <w:color w:val="000000" w:themeColor="text1"/>
                <w:kern w:val="0"/>
                <w:sz w:val="24"/>
                <w:lang w:val="en-US" w:eastAsia="zh-CN" w:bidi="ar-SA"/>
                <w14:textFill>
                  <w14:solidFill>
                    <w14:schemeClr w14:val="tx1"/>
                  </w14:solidFill>
                </w14:textFill>
              </w:rPr>
              <w:t>榆林市富康路榆溪尚品3号楼1415</w:t>
            </w:r>
          </w:p>
          <w:p w14:paraId="399BF3F0">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刘莉娥</w:t>
            </w:r>
          </w:p>
          <w:p w14:paraId="51AE8974">
            <w:pPr>
              <w:pStyle w:val="24"/>
              <w:adjustRightInd w:val="0"/>
              <w:snapToGrid w:val="0"/>
              <w:spacing w:line="360" w:lineRule="auto"/>
              <w:ind w:firstLine="0" w:firstLineChars="0"/>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cs="宋体" w:eastAsiaTheme="minorEastAsia"/>
                <w:color w:val="000000" w:themeColor="text1"/>
                <w:sz w:val="24"/>
                <w:lang w:val="en-US" w:eastAsia="zh-CN"/>
                <w14:textFill>
                  <w14:solidFill>
                    <w14:schemeClr w14:val="tx1"/>
                  </w14:solidFill>
                </w14:textFill>
              </w:rPr>
              <w:t>17709127880</w:t>
            </w:r>
          </w:p>
        </w:tc>
      </w:tr>
      <w:tr w14:paraId="31D9A659">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14:paraId="59534C71">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p>
        </w:tc>
        <w:tc>
          <w:tcPr>
            <w:tcW w:w="1690" w:type="dxa"/>
            <w:tcBorders>
              <w:top w:val="single" w:color="auto" w:sz="4" w:space="0"/>
              <w:left w:val="single" w:color="auto" w:sz="4" w:space="0"/>
              <w:bottom w:val="single" w:color="auto" w:sz="4" w:space="0"/>
              <w:right w:val="single" w:color="auto" w:sz="4" w:space="0"/>
            </w:tcBorders>
            <w:vAlign w:val="center"/>
          </w:tcPr>
          <w:p w14:paraId="263A07B8">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w:t>
            </w:r>
          </w:p>
        </w:tc>
        <w:tc>
          <w:tcPr>
            <w:tcW w:w="7590" w:type="dxa"/>
            <w:tcBorders>
              <w:top w:val="single" w:color="auto" w:sz="4" w:space="0"/>
              <w:left w:val="single" w:color="auto" w:sz="4" w:space="0"/>
              <w:bottom w:val="single" w:color="auto" w:sz="4" w:space="0"/>
              <w:right w:val="single" w:color="auto" w:sz="4" w:space="0"/>
            </w:tcBorders>
            <w:vAlign w:val="center"/>
          </w:tcPr>
          <w:p w14:paraId="2924E37D">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吴堡县张家山镇辛庄村人居环境整治工程</w:t>
            </w:r>
          </w:p>
        </w:tc>
      </w:tr>
      <w:tr w14:paraId="13CC83A1">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14:paraId="5B5B7B98">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1690" w:type="dxa"/>
            <w:tcBorders>
              <w:top w:val="single" w:color="auto" w:sz="4" w:space="0"/>
              <w:left w:val="single" w:color="auto" w:sz="4" w:space="0"/>
              <w:bottom w:val="single" w:color="auto" w:sz="4" w:space="0"/>
              <w:right w:val="single" w:color="auto" w:sz="4" w:space="0"/>
            </w:tcBorders>
            <w:vAlign w:val="center"/>
          </w:tcPr>
          <w:p w14:paraId="0272270A">
            <w:pPr>
              <w:jc w:val="center"/>
              <w:outlineLvl w:val="9"/>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采购方式</w:t>
            </w:r>
          </w:p>
        </w:tc>
        <w:tc>
          <w:tcPr>
            <w:tcW w:w="7590" w:type="dxa"/>
            <w:tcBorders>
              <w:top w:val="single" w:color="auto" w:sz="4" w:space="0"/>
              <w:left w:val="single" w:color="auto" w:sz="4" w:space="0"/>
              <w:bottom w:val="single" w:color="auto" w:sz="4" w:space="0"/>
              <w:right w:val="single" w:color="auto" w:sz="4" w:space="0"/>
            </w:tcBorders>
            <w:vAlign w:val="center"/>
          </w:tcPr>
          <w:p w14:paraId="23B28DF7">
            <w:pPr>
              <w:spacing w:line="360" w:lineRule="auto"/>
              <w:outlineLvl w:val="9"/>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竞争性磋商</w:t>
            </w:r>
          </w:p>
        </w:tc>
      </w:tr>
      <w:tr w14:paraId="4102E2D9">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14:paraId="579F4A83">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1690" w:type="dxa"/>
            <w:tcBorders>
              <w:top w:val="single" w:color="auto" w:sz="4" w:space="0"/>
              <w:left w:val="single" w:color="auto" w:sz="4" w:space="0"/>
              <w:bottom w:val="single" w:color="auto" w:sz="4" w:space="0"/>
              <w:right w:val="single" w:color="auto" w:sz="4" w:space="0"/>
            </w:tcBorders>
            <w:vAlign w:val="center"/>
          </w:tcPr>
          <w:p w14:paraId="7C308FDA">
            <w:pPr>
              <w:spacing w:line="360" w:lineRule="auto"/>
              <w:jc w:val="center"/>
              <w:outlineLvl w:val="9"/>
              <w:rPr>
                <w:rFonts w:ascii="宋体" w:hAnsi="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预算金额</w:t>
            </w:r>
          </w:p>
        </w:tc>
        <w:tc>
          <w:tcPr>
            <w:tcW w:w="7590" w:type="dxa"/>
            <w:tcBorders>
              <w:top w:val="single" w:color="auto" w:sz="4" w:space="0"/>
              <w:left w:val="single" w:color="auto" w:sz="4" w:space="0"/>
              <w:bottom w:val="single" w:color="auto" w:sz="4" w:space="0"/>
              <w:right w:val="single" w:color="auto" w:sz="4" w:space="0"/>
            </w:tcBorders>
            <w:vAlign w:val="center"/>
          </w:tcPr>
          <w:p w14:paraId="083A3719">
            <w:pPr>
              <w:spacing w:line="360" w:lineRule="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498,921.15元</w:t>
            </w:r>
          </w:p>
          <w:p w14:paraId="73B3E245">
            <w:pPr>
              <w:spacing w:line="360" w:lineRule="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备注：磋商报价超过预算金额的，按照无效磋商处理。</w:t>
            </w:r>
          </w:p>
        </w:tc>
      </w:tr>
      <w:tr w14:paraId="322F58C2">
        <w:tblPrEx>
          <w:tblCellMar>
            <w:top w:w="0" w:type="dxa"/>
            <w:left w:w="108" w:type="dxa"/>
            <w:bottom w:w="0" w:type="dxa"/>
            <w:right w:w="108" w:type="dxa"/>
          </w:tblCellMar>
        </w:tblPrEx>
        <w:trPr>
          <w:trHeight w:val="574" w:hRule="atLeast"/>
        </w:trPr>
        <w:tc>
          <w:tcPr>
            <w:tcW w:w="723" w:type="dxa"/>
            <w:tcBorders>
              <w:top w:val="single" w:color="auto" w:sz="4" w:space="0"/>
              <w:left w:val="single" w:color="auto" w:sz="4" w:space="0"/>
              <w:bottom w:val="single" w:color="auto" w:sz="4" w:space="0"/>
              <w:right w:val="single" w:color="auto" w:sz="4" w:space="0"/>
            </w:tcBorders>
            <w:vAlign w:val="center"/>
          </w:tcPr>
          <w:p w14:paraId="21D03769">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1690" w:type="dxa"/>
            <w:tcBorders>
              <w:top w:val="single" w:color="auto" w:sz="4" w:space="0"/>
              <w:left w:val="single" w:color="auto" w:sz="4" w:space="0"/>
              <w:bottom w:val="single" w:color="auto" w:sz="4" w:space="0"/>
              <w:right w:val="single" w:color="auto" w:sz="4" w:space="0"/>
            </w:tcBorders>
            <w:vAlign w:val="center"/>
          </w:tcPr>
          <w:p w14:paraId="2F59B75F">
            <w:pPr>
              <w:adjustRightInd w:val="0"/>
              <w:snapToGrid w:val="0"/>
              <w:spacing w:line="360" w:lineRule="auto"/>
              <w:jc w:val="center"/>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资金落实情况</w:t>
            </w:r>
          </w:p>
        </w:tc>
        <w:tc>
          <w:tcPr>
            <w:tcW w:w="7590" w:type="dxa"/>
            <w:tcBorders>
              <w:top w:val="single" w:color="auto" w:sz="4" w:space="0"/>
              <w:left w:val="single" w:color="auto" w:sz="4" w:space="0"/>
              <w:bottom w:val="single" w:color="auto" w:sz="4" w:space="0"/>
              <w:right w:val="single" w:color="auto" w:sz="4" w:space="0"/>
            </w:tcBorders>
            <w:vAlign w:val="center"/>
          </w:tcPr>
          <w:p w14:paraId="08FCD0DB">
            <w:pPr>
              <w:adjustRightInd w:val="0"/>
              <w:snapToGrid w:val="0"/>
              <w:spacing w:line="360" w:lineRule="auto"/>
              <w:jc w:val="left"/>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已落实</w:t>
            </w:r>
          </w:p>
        </w:tc>
      </w:tr>
      <w:tr w14:paraId="7E4CC638">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2A88F830">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1690" w:type="dxa"/>
            <w:tcBorders>
              <w:top w:val="single" w:color="auto" w:sz="4" w:space="0"/>
              <w:left w:val="single" w:color="auto" w:sz="4" w:space="0"/>
              <w:bottom w:val="single" w:color="auto" w:sz="4" w:space="0"/>
              <w:right w:val="single" w:color="auto" w:sz="4" w:space="0"/>
            </w:tcBorders>
            <w:vAlign w:val="center"/>
          </w:tcPr>
          <w:p w14:paraId="15773F0C">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报价</w:t>
            </w:r>
          </w:p>
        </w:tc>
        <w:tc>
          <w:tcPr>
            <w:tcW w:w="7590" w:type="dxa"/>
            <w:tcBorders>
              <w:top w:val="single" w:color="auto" w:sz="4" w:space="0"/>
              <w:left w:val="single" w:color="auto" w:sz="4" w:space="0"/>
              <w:bottom w:val="single" w:color="auto" w:sz="4" w:space="0"/>
              <w:right w:val="single" w:color="auto" w:sz="4" w:space="0"/>
            </w:tcBorders>
            <w:vAlign w:val="center"/>
          </w:tcPr>
          <w:p w14:paraId="3CBDB951">
            <w:pPr>
              <w:adjustRightInd w:val="0"/>
              <w:snapToGrid w:val="0"/>
              <w:spacing w:line="360" w:lineRule="auto"/>
              <w:jc w:val="left"/>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报价包含</w:t>
            </w:r>
            <w:r>
              <w:rPr>
                <w:rFonts w:hint="eastAsia" w:ascii="宋体" w:hAnsi="宋体" w:cs="仿宋_GB2312"/>
                <w:color w:val="000000" w:themeColor="text1"/>
                <w:sz w:val="24"/>
                <w:szCs w:val="24"/>
                <w14:textFill>
                  <w14:solidFill>
                    <w14:schemeClr w14:val="tx1"/>
                  </w14:solidFill>
                </w14:textFill>
              </w:rPr>
              <w:t>完成本次投标项目所包含的一切相关费用</w:t>
            </w:r>
          </w:p>
        </w:tc>
      </w:tr>
      <w:tr w14:paraId="6A6FA7DC">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32A04B3F">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1690" w:type="dxa"/>
            <w:tcBorders>
              <w:top w:val="single" w:color="auto" w:sz="4" w:space="0"/>
              <w:left w:val="single" w:color="auto" w:sz="4" w:space="0"/>
              <w:bottom w:val="single" w:color="auto" w:sz="4" w:space="0"/>
              <w:right w:val="single" w:color="auto" w:sz="4" w:space="0"/>
            </w:tcBorders>
            <w:vAlign w:val="center"/>
          </w:tcPr>
          <w:p w14:paraId="54B83806">
            <w:pPr>
              <w:widowControl/>
              <w:adjustRightInd w:val="0"/>
              <w:snapToGrid w:val="0"/>
              <w:spacing w:line="360" w:lineRule="auto"/>
              <w:jc w:val="center"/>
              <w:textAlignment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投标文件</w:t>
            </w:r>
          </w:p>
        </w:tc>
        <w:tc>
          <w:tcPr>
            <w:tcW w:w="7590" w:type="dxa"/>
            <w:tcBorders>
              <w:top w:val="single" w:color="auto" w:sz="4" w:space="0"/>
              <w:left w:val="single" w:color="auto" w:sz="4" w:space="0"/>
              <w:bottom w:val="single" w:color="auto" w:sz="4" w:space="0"/>
              <w:right w:val="single" w:color="auto" w:sz="4" w:space="0"/>
            </w:tcBorders>
            <w:vAlign w:val="center"/>
          </w:tcPr>
          <w:p w14:paraId="6E8081F9">
            <w:pPr>
              <w:spacing w:line="360" w:lineRule="auto"/>
              <w:outlineLvl w:val="9"/>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正本份数：壹份；副本份数：</w:t>
            </w:r>
            <w:r>
              <w:rPr>
                <w:rFonts w:hint="eastAsia" w:ascii="宋体" w:hAnsi="宋体" w:cs="宋体"/>
                <w:color w:val="000000" w:themeColor="text1"/>
                <w:sz w:val="24"/>
                <w:szCs w:val="24"/>
                <w:lang w:val="en-US" w:eastAsia="zh-CN"/>
                <w14:textFill>
                  <w14:solidFill>
                    <w14:schemeClr w14:val="tx1"/>
                  </w14:solidFill>
                </w14:textFill>
              </w:rPr>
              <w:t>贰</w:t>
            </w:r>
            <w:r>
              <w:rPr>
                <w:rFonts w:hint="eastAsia" w:ascii="宋体" w:hAnsi="宋体" w:eastAsia="宋体" w:cs="宋体"/>
                <w:color w:val="000000" w:themeColor="text1"/>
                <w:sz w:val="24"/>
                <w:szCs w:val="24"/>
                <w14:textFill>
                  <w14:solidFill>
                    <w14:schemeClr w14:val="tx1"/>
                  </w14:solidFill>
                </w14:textFill>
              </w:rPr>
              <w:t>份</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同时提供与正本内容一致的电子版（U 盘）</w:t>
            </w:r>
            <w:r>
              <w:rPr>
                <w:rFonts w:hint="eastAsia" w:ascii="宋体" w:hAnsi="宋体" w:eastAsia="宋体" w:cs="宋体"/>
                <w:color w:val="000000" w:themeColor="text1"/>
                <w:sz w:val="24"/>
                <w:szCs w:val="24"/>
                <w:lang w:val="en-US" w:eastAsia="zh-CN"/>
                <w14:textFill>
                  <w14:solidFill>
                    <w14:schemeClr w14:val="tx1"/>
                  </w14:solidFill>
                </w14:textFill>
              </w:rPr>
              <w:t>一份，</w:t>
            </w:r>
            <w:r>
              <w:rPr>
                <w:rFonts w:hint="eastAsia" w:ascii="宋体" w:hAnsi="宋体" w:eastAsia="宋体" w:cs="宋体"/>
                <w:color w:val="000000" w:themeColor="text1"/>
                <w:sz w:val="24"/>
                <w:szCs w:val="24"/>
                <w14:textFill>
                  <w14:solidFill>
                    <w14:schemeClr w14:val="tx1"/>
                  </w14:solidFill>
                </w14:textFill>
              </w:rPr>
              <w:t>并在</w:t>
            </w:r>
            <w:r>
              <w:rPr>
                <w:rFonts w:hint="eastAsia" w:ascii="宋体" w:hAnsi="宋体" w:eastAsia="宋体" w:cs="宋体"/>
                <w:color w:val="000000" w:themeColor="text1"/>
                <w:sz w:val="24"/>
                <w:szCs w:val="24"/>
                <w:lang w:val="en-US" w:eastAsia="zh-CN"/>
                <w14:textFill>
                  <w14:solidFill>
                    <w14:schemeClr w14:val="tx1"/>
                  </w14:solidFill>
                </w14:textFill>
              </w:rPr>
              <w:t>电子版上</w:t>
            </w:r>
            <w:r>
              <w:rPr>
                <w:rFonts w:hint="eastAsia" w:ascii="宋体" w:hAnsi="宋体" w:eastAsia="宋体" w:cs="宋体"/>
                <w:color w:val="000000" w:themeColor="text1"/>
                <w:sz w:val="24"/>
                <w:szCs w:val="24"/>
                <w14:textFill>
                  <w14:solidFill>
                    <w14:schemeClr w14:val="tx1"/>
                  </w14:solidFill>
                </w14:textFill>
              </w:rPr>
              <w:t>标注供应商全称、项目名称、项目编号。</w:t>
            </w:r>
          </w:p>
        </w:tc>
      </w:tr>
      <w:tr w14:paraId="112E92C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6299AFB4">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1690" w:type="dxa"/>
            <w:tcBorders>
              <w:top w:val="single" w:color="auto" w:sz="4" w:space="0"/>
              <w:left w:val="single" w:color="auto" w:sz="4" w:space="0"/>
              <w:bottom w:val="single" w:color="auto" w:sz="4" w:space="0"/>
              <w:right w:val="single" w:color="auto" w:sz="4" w:space="0"/>
            </w:tcBorders>
            <w:vAlign w:val="center"/>
          </w:tcPr>
          <w:p w14:paraId="7A60448B">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供应商资质</w:t>
            </w:r>
          </w:p>
          <w:p w14:paraId="48DF927C">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条件</w:t>
            </w:r>
          </w:p>
        </w:tc>
        <w:tc>
          <w:tcPr>
            <w:tcW w:w="7590" w:type="dxa"/>
            <w:tcBorders>
              <w:top w:val="single" w:color="auto" w:sz="4" w:space="0"/>
              <w:left w:val="single" w:color="auto" w:sz="4" w:space="0"/>
              <w:bottom w:val="single" w:color="auto" w:sz="4" w:space="0"/>
              <w:right w:val="single" w:color="auto" w:sz="4" w:space="0"/>
            </w:tcBorders>
            <w:vAlign w:val="center"/>
          </w:tcPr>
          <w:p w14:paraId="061367D2">
            <w:pPr>
              <w:adjustRightInd w:val="0"/>
              <w:snapToGrid w:val="0"/>
              <w:spacing w:line="360" w:lineRule="auto"/>
              <w:ind w:left="8" w:firstLine="410" w:firstLineChars="171"/>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（一）基本资格条件：符合《中华人民共和国政府采购法》第二十二条的规定。</w:t>
            </w:r>
          </w:p>
          <w:p w14:paraId="5CA351F1">
            <w:pPr>
              <w:pStyle w:val="9"/>
              <w:adjustRightInd w:val="0"/>
              <w:snapToGrid w:val="0"/>
              <w:spacing w:line="240" w:lineRule="auto"/>
              <w:ind w:firstLine="420" w:firstLineChars="175"/>
              <w:outlineLvl w:val="9"/>
              <w:rPr>
                <w:rFonts w:hint="eastAsia" w:ascii="宋体" w:hAnsi="宋体" w:cs="宋体"/>
                <w:b w:val="0"/>
                <w:color w:val="000000" w:themeColor="text1"/>
                <w:sz w:val="24"/>
                <w:szCs w:val="22"/>
                <w14:textFill>
                  <w14:solidFill>
                    <w14:schemeClr w14:val="tx1"/>
                  </w14:solidFill>
                </w14:textFill>
              </w:rPr>
            </w:pPr>
            <w:r>
              <w:rPr>
                <w:rFonts w:hint="eastAsia" w:ascii="宋体" w:hAnsi="宋体" w:cs="宋体"/>
                <w:b w:val="0"/>
                <w:color w:val="000000" w:themeColor="text1"/>
                <w:sz w:val="24"/>
                <w:szCs w:val="22"/>
                <w14:textFill>
                  <w14:solidFill>
                    <w14:schemeClr w14:val="tx1"/>
                  </w14:solidFill>
                </w14:textFill>
              </w:rPr>
              <w:t>（二）特定资格条件：</w:t>
            </w:r>
          </w:p>
          <w:p w14:paraId="5C86E1D5">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②具备建设行政主管部门核发的市政公用工程施工总承包三级及以上资质，具备有效的安全生产许可证；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拟派往本项目的建造师必须为本企业注册的建造师，具备市政公用工程专业二级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④税收缴纳证明：提供开标前六个月至今至少1个月的纳税证明（银行缴费凭证）或完税证明，依法免税的单位应提供相关证明材料；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⑤社会保障资金缴纳证明：</w:t>
            </w:r>
            <w:r>
              <w:rPr>
                <w:rFonts w:hint="eastAsia" w:cs="宋体"/>
                <w:i w:val="0"/>
                <w:iCs w:val="0"/>
                <w:caps w:val="0"/>
                <w:color w:val="auto"/>
                <w:spacing w:val="0"/>
                <w:sz w:val="24"/>
                <w:szCs w:val="24"/>
                <w:shd w:val="clear" w:fill="FFFFFF"/>
                <w:lang w:eastAsia="zh-CN"/>
              </w:rPr>
              <w:t>提供开标前六个月至今至少1个月的社会保障资金（任一险种）缴费单据或社保机构开具的社会保险（任一险种）参保缴费情况证明，依法不需要缴纳社会保障资金的单位应提供相关证明材料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t>；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⑥财务要求：</w:t>
            </w:r>
            <w:r>
              <w:rPr>
                <w:rFonts w:hint="eastAsia" w:cs="宋体"/>
                <w:i w:val="0"/>
                <w:iCs w:val="0"/>
                <w:caps w:val="0"/>
                <w:color w:val="auto"/>
                <w:spacing w:val="0"/>
                <w:sz w:val="24"/>
                <w:szCs w:val="24"/>
                <w:shd w:val="clear" w:fill="FFFFFF"/>
                <w:lang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⑦参加政府采购活动前三年内，在经营活动中没有重大违法记录的书面声明；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⑧提供具有履行合同所必需的设备和专业技术能力的证明资料或承诺书；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⑨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⑪</w:t>
            </w:r>
            <w:r>
              <w:rPr>
                <w:rFonts w:hint="eastAsia" w:cs="宋体"/>
                <w:i w:val="0"/>
                <w:iCs w:val="0"/>
                <w:caps w:val="0"/>
                <w:color w:val="auto"/>
                <w:spacing w:val="0"/>
                <w:sz w:val="24"/>
                <w:szCs w:val="24"/>
                <w:shd w:val="clear" w:fill="FFFFFF"/>
                <w:lang w:eastAsia="zh-CN"/>
              </w:rPr>
              <w:t>本项目专门面向小微企业</w:t>
            </w:r>
            <w:r>
              <w:rPr>
                <w:rFonts w:hint="eastAsia" w:ascii="宋体" w:hAnsi="宋体" w:eastAsia="宋体" w:cs="宋体"/>
                <w:i w:val="0"/>
                <w:iCs w:val="0"/>
                <w:caps w:val="0"/>
                <w:color w:val="auto"/>
                <w:spacing w:val="0"/>
                <w:sz w:val="24"/>
                <w:szCs w:val="24"/>
                <w:shd w:val="clear" w:fill="FFFFFF"/>
              </w:rPr>
              <w:t>（提供中小企业声明函）；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6FEBFF7A">
            <w:pPr>
              <w:pStyle w:val="24"/>
              <w:adjustRightInd w:val="0"/>
              <w:snapToGrid w:val="0"/>
              <w:spacing w:line="360" w:lineRule="auto"/>
              <w:ind w:left="0" w:leftChars="0" w:firstLine="241" w:firstLineChars="100"/>
              <w:outlineLvl w:val="9"/>
              <w:rPr>
                <w:rFonts w:ascii="宋体" w:hAnsi="宋体" w:cs="宋体"/>
                <w:color w:val="000000" w:themeColor="text1"/>
                <w:sz w:val="24"/>
                <w:szCs w:val="24"/>
                <w14:textFill>
                  <w14:solidFill>
                    <w14:schemeClr w14:val="tx1"/>
                  </w14:solidFill>
                </w14:textFill>
              </w:rPr>
            </w:pPr>
            <w:r>
              <w:rPr>
                <w:rFonts w:hint="eastAsia" w:ascii="宋体" w:hAnsi="宋体" w:cs="宋体"/>
                <w:b/>
                <w:bCs w:val="0"/>
                <w:color w:val="000000" w:themeColor="text1"/>
                <w:sz w:val="24"/>
                <w:szCs w:val="24"/>
                <w14:textFill>
                  <w14:solidFill>
                    <w14:schemeClr w14:val="tx1"/>
                  </w14:solidFill>
                </w14:textFill>
              </w:rPr>
              <w:t>注：上述资质为必备资质，欠缺其中任何一项按无效投标处理。</w:t>
            </w:r>
          </w:p>
        </w:tc>
      </w:tr>
      <w:tr w14:paraId="0F9BCF7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5C23716C">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1690" w:type="dxa"/>
            <w:tcBorders>
              <w:top w:val="single" w:color="auto" w:sz="4" w:space="0"/>
              <w:left w:val="single" w:color="auto" w:sz="4" w:space="0"/>
              <w:bottom w:val="single" w:color="auto" w:sz="4" w:space="0"/>
              <w:right w:val="single" w:color="auto" w:sz="4" w:space="0"/>
            </w:tcBorders>
            <w:vAlign w:val="center"/>
          </w:tcPr>
          <w:p w14:paraId="4D3719A4">
            <w:pPr>
              <w:widowControl/>
              <w:adjustRightInd w:val="0"/>
              <w:snapToGrid w:val="0"/>
              <w:spacing w:line="360" w:lineRule="auto"/>
              <w:jc w:val="center"/>
              <w:textAlignment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磋商有效期</w:t>
            </w:r>
          </w:p>
        </w:tc>
        <w:tc>
          <w:tcPr>
            <w:tcW w:w="7590" w:type="dxa"/>
            <w:tcBorders>
              <w:top w:val="single" w:color="auto" w:sz="4" w:space="0"/>
              <w:left w:val="single" w:color="auto" w:sz="4" w:space="0"/>
              <w:bottom w:val="single" w:color="auto" w:sz="4" w:space="0"/>
              <w:right w:val="single" w:color="auto" w:sz="4" w:space="0"/>
            </w:tcBorders>
            <w:vAlign w:val="center"/>
          </w:tcPr>
          <w:p w14:paraId="0263450E">
            <w:pPr>
              <w:widowControl/>
              <w:tabs>
                <w:tab w:val="left" w:pos="1620"/>
              </w:tabs>
              <w:adjustRightInd w:val="0"/>
              <w:snapToGrid w:val="0"/>
              <w:spacing w:line="360" w:lineRule="auto"/>
              <w:jc w:val="left"/>
              <w:outlineLvl w:val="9"/>
              <w:rPr>
                <w:rFonts w:asciiTheme="minorEastAsia" w:hAnsiTheme="minorEastAsia" w:eastAsiaTheme="minorEastAsia" w:cstheme="minorEastAsia"/>
                <w:bCs/>
                <w:color w:val="000000" w:themeColor="text1"/>
                <w:kern w:val="2"/>
                <w:sz w:val="24"/>
                <w:szCs w:val="24"/>
                <w14:textFill>
                  <w14:solidFill>
                    <w14:schemeClr w14:val="tx1"/>
                  </w14:solidFill>
                </w14:textFill>
              </w:rPr>
            </w:pPr>
            <w:r>
              <w:rPr>
                <w:rFonts w:hint="eastAsia"/>
                <w:color w:val="000000" w:themeColor="text1"/>
                <w:sz w:val="24"/>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响应文件从磋商截止日起，磋商有效期为90天，磋商有效期短于此规定期限的响应文件，视为无效响应文件。</w:t>
            </w:r>
            <w:r>
              <w:rPr>
                <w:rFonts w:hint="eastAsia" w:ascii="宋体" w:hAnsi="宋体" w:cs="宋体"/>
                <w:color w:val="000000" w:themeColor="text1"/>
                <w:sz w:val="24"/>
                <w:szCs w:val="24"/>
                <w:lang w:eastAsia="zh-CN"/>
                <w14:textFill>
                  <w14:solidFill>
                    <w14:schemeClr w14:val="tx1"/>
                  </w14:solidFill>
                </w14:textFill>
              </w:rPr>
              <w:t>成交供应商</w:t>
            </w:r>
            <w:r>
              <w:rPr>
                <w:rFonts w:hint="eastAsia" w:ascii="宋体" w:hAnsi="宋体" w:cs="宋体"/>
                <w:color w:val="000000" w:themeColor="text1"/>
                <w:sz w:val="24"/>
                <w:szCs w:val="24"/>
                <w14:textFill>
                  <w14:solidFill>
                    <w14:schemeClr w14:val="tx1"/>
                  </w14:solidFill>
                </w14:textFill>
              </w:rPr>
              <w:t>的响应文件有效期延长至合同执行完毕。</w:t>
            </w:r>
          </w:p>
        </w:tc>
      </w:tr>
      <w:tr w14:paraId="543743D6">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04A077B8">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1690" w:type="dxa"/>
            <w:tcBorders>
              <w:top w:val="single" w:color="auto" w:sz="4" w:space="0"/>
              <w:left w:val="single" w:color="auto" w:sz="4" w:space="0"/>
              <w:bottom w:val="single" w:color="auto" w:sz="4" w:space="0"/>
              <w:right w:val="single" w:color="auto" w:sz="4" w:space="0"/>
            </w:tcBorders>
            <w:vAlign w:val="center"/>
          </w:tcPr>
          <w:p w14:paraId="24863EE4">
            <w:pPr>
              <w:spacing w:line="420" w:lineRule="exact"/>
              <w:jc w:val="center"/>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竞争性磋商响应文件递交截止时间</w:t>
            </w:r>
            <w:r>
              <w:rPr>
                <w:rFonts w:hint="eastAsia" w:ascii="宋体" w:hAnsi="宋体" w:cs="宋体"/>
                <w:color w:val="000000" w:themeColor="text1"/>
                <w:sz w:val="24"/>
                <w:lang w:val="zh-CN"/>
                <w14:textFill>
                  <w14:solidFill>
                    <w14:schemeClr w14:val="tx1"/>
                  </w14:solidFill>
                </w14:textFill>
              </w:rPr>
              <w:t>、</w:t>
            </w:r>
            <w:r>
              <w:rPr>
                <w:rFonts w:hint="eastAsia"/>
                <w:color w:val="000000" w:themeColor="text1"/>
                <w:sz w:val="24"/>
                <w:szCs w:val="24"/>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时间、</w:t>
            </w:r>
            <w:r>
              <w:rPr>
                <w:rFonts w:hint="eastAsia" w:ascii="宋体" w:hAnsi="宋体" w:cs="宋体"/>
                <w:color w:val="000000" w:themeColor="text1"/>
                <w:sz w:val="24"/>
                <w:lang w:val="zh-CN"/>
                <w14:textFill>
                  <w14:solidFill>
                    <w14:schemeClr w14:val="tx1"/>
                  </w14:solidFill>
                </w14:textFill>
              </w:rPr>
              <w:t>地点</w:t>
            </w:r>
          </w:p>
        </w:tc>
        <w:tc>
          <w:tcPr>
            <w:tcW w:w="7590" w:type="dxa"/>
            <w:tcBorders>
              <w:top w:val="single" w:color="auto" w:sz="4" w:space="0"/>
              <w:left w:val="single" w:color="auto" w:sz="4" w:space="0"/>
              <w:bottom w:val="single" w:color="auto" w:sz="4" w:space="0"/>
              <w:right w:val="single" w:color="auto" w:sz="4" w:space="0"/>
            </w:tcBorders>
            <w:vAlign w:val="center"/>
          </w:tcPr>
          <w:p w14:paraId="30B2C467">
            <w:pPr>
              <w:spacing w:line="360" w:lineRule="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竞争性磋商响应文件递交截止时间</w:t>
            </w:r>
            <w:r>
              <w:rPr>
                <w:rFonts w:hint="eastAsia" w:ascii="宋体" w:hAnsi="宋体" w:cs="宋体"/>
                <w:color w:val="000000" w:themeColor="text1"/>
                <w:sz w:val="24"/>
                <w:szCs w:val="24"/>
                <w14:textFill>
                  <w14:solidFill>
                    <w14:schemeClr w14:val="tx1"/>
                  </w14:solidFill>
                </w14:textFill>
              </w:rPr>
              <w:t>及开标时间和地点：</w:t>
            </w:r>
          </w:p>
          <w:p w14:paraId="517D100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竞争性磋商响应文件递交截止时间：</w:t>
            </w:r>
            <w:r>
              <w:rPr>
                <w:rFonts w:hint="eastAsia" w:ascii="宋体" w:hAnsi="宋体" w:cs="宋体"/>
                <w:i w:val="0"/>
                <w:iCs w:val="0"/>
                <w:caps w:val="0"/>
                <w:color w:val="000000" w:themeColor="text1"/>
                <w:spacing w:val="0"/>
                <w:sz w:val="24"/>
                <w:szCs w:val="24"/>
                <w:shd w:val="clear" w:fill="FFFFFF"/>
                <w:lang w:eastAsia="zh-CN"/>
                <w14:textFill>
                  <w14:solidFill>
                    <w14:schemeClr w14:val="tx1"/>
                  </w14:solidFill>
                </w14:textFill>
              </w:rPr>
              <w:t>2025年11月28日 09时30分</w:t>
            </w:r>
          </w:p>
          <w:p w14:paraId="759EC7EE">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磋商时间：</w:t>
            </w:r>
            <w:r>
              <w:rPr>
                <w:rFonts w:hint="eastAsia" w:ascii="宋体" w:hAnsi="宋体" w:cs="宋体"/>
                <w:i w:val="0"/>
                <w:iCs w:val="0"/>
                <w:caps w:val="0"/>
                <w:color w:val="000000" w:themeColor="text1"/>
                <w:spacing w:val="0"/>
                <w:sz w:val="24"/>
                <w:szCs w:val="24"/>
                <w:shd w:val="clear" w:fill="FFFFFF"/>
                <w:lang w:eastAsia="zh-CN"/>
                <w14:textFill>
                  <w14:solidFill>
                    <w14:schemeClr w14:val="tx1"/>
                  </w14:solidFill>
                </w14:textFill>
              </w:rPr>
              <w:t>2025年11月28日 09时30分</w:t>
            </w:r>
          </w:p>
          <w:p w14:paraId="5558E11C">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z w:val="24"/>
                <w:lang w:val="en-US" w:eastAsia="zh-CN"/>
                <w14:textFill>
                  <w14:solidFill>
                    <w14:schemeClr w14:val="tx1"/>
                  </w14:solidFill>
                </w14:textFill>
              </w:rPr>
              <w:t>榆林市富康路榆溪尚品3号楼1415</w:t>
            </w:r>
          </w:p>
        </w:tc>
      </w:tr>
      <w:tr w14:paraId="7120DDBB">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13A737EE">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1690" w:type="dxa"/>
            <w:tcBorders>
              <w:top w:val="single" w:color="auto" w:sz="4" w:space="0"/>
              <w:left w:val="single" w:color="auto" w:sz="4" w:space="0"/>
              <w:bottom w:val="single" w:color="auto" w:sz="4" w:space="0"/>
              <w:right w:val="single" w:color="auto" w:sz="4" w:space="0"/>
            </w:tcBorders>
            <w:vAlign w:val="center"/>
          </w:tcPr>
          <w:p w14:paraId="32A7D96E">
            <w:pPr>
              <w:widowControl/>
              <w:adjustRightInd w:val="0"/>
              <w:snapToGrid w:val="0"/>
              <w:spacing w:line="360" w:lineRule="auto"/>
              <w:jc w:val="center"/>
              <w:textAlignment w:val="center"/>
              <w:outlineLvl w:val="9"/>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磋商保证金</w:t>
            </w:r>
          </w:p>
        </w:tc>
        <w:tc>
          <w:tcPr>
            <w:tcW w:w="7590" w:type="dxa"/>
            <w:tcBorders>
              <w:top w:val="single" w:color="auto" w:sz="4" w:space="0"/>
              <w:left w:val="single" w:color="auto" w:sz="4" w:space="0"/>
              <w:bottom w:val="single" w:color="auto" w:sz="4" w:space="0"/>
              <w:right w:val="single" w:color="auto" w:sz="4" w:space="0"/>
            </w:tcBorders>
            <w:vAlign w:val="center"/>
          </w:tcPr>
          <w:p w14:paraId="46B4C536">
            <w:pPr>
              <w:pStyle w:val="25"/>
              <w:spacing w:before="90" w:line="360" w:lineRule="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是否要求投标人递交投标保证金：</w:t>
            </w:r>
          </w:p>
          <w:p w14:paraId="258B98D8">
            <w:pPr>
              <w:pStyle w:val="25"/>
              <w:spacing w:line="360" w:lineRule="auto"/>
              <w:jc w:val="left"/>
              <w:outlineLvl w:val="9"/>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□要求，投标保证金的金额：/</w:t>
            </w:r>
          </w:p>
          <w:p w14:paraId="4F1C2222">
            <w:pPr>
              <w:spacing w:line="360" w:lineRule="auto"/>
              <w:jc w:val="left"/>
              <w:outlineLvl w:val="9"/>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☑不要求</w:t>
            </w:r>
          </w:p>
          <w:p w14:paraId="4961C4AA">
            <w:pPr>
              <w:widowControl/>
              <w:tabs>
                <w:tab w:val="left" w:pos="1620"/>
              </w:tabs>
              <w:adjustRightInd w:val="0"/>
              <w:snapToGrid w:val="0"/>
              <w:spacing w:line="360" w:lineRule="auto"/>
              <w:ind w:firstLine="480" w:firstLineChars="200"/>
              <w:jc w:val="left"/>
              <w:outlineLvl w:val="9"/>
              <w:rPr>
                <w:rFonts w:hint="default" w:ascii="宋体" w:hAnsi="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color w:val="000000" w:themeColor="text1"/>
                <w:kern w:val="0"/>
                <w:sz w:val="24"/>
                <w:highlight w:val="none"/>
                <w:lang w:val="en-US" w:eastAsia="zh-CN"/>
                <w14:textFill>
                  <w14:solidFill>
                    <w14:schemeClr w14:val="tx1"/>
                  </w14:solidFill>
                </w14:textFill>
              </w:rPr>
              <w:t>附信用承诺网页截图。</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（格式详见</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招标</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文件第八部分</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附件2</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14:paraId="5327BBC4">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47F32868">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w:t>
            </w:r>
          </w:p>
        </w:tc>
        <w:tc>
          <w:tcPr>
            <w:tcW w:w="1690" w:type="dxa"/>
            <w:tcBorders>
              <w:top w:val="single" w:color="auto" w:sz="4" w:space="0"/>
              <w:left w:val="single" w:color="auto" w:sz="4" w:space="0"/>
              <w:bottom w:val="single" w:color="auto" w:sz="4" w:space="0"/>
              <w:right w:val="single" w:color="auto" w:sz="4" w:space="0"/>
            </w:tcBorders>
            <w:vAlign w:val="center"/>
          </w:tcPr>
          <w:p w14:paraId="4A736786">
            <w:pPr>
              <w:adjustRightInd w:val="0"/>
              <w:snapToGrid w:val="0"/>
              <w:spacing w:line="240" w:lineRule="auto"/>
              <w:jc w:val="center"/>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rPr>
              <w:t>是否接受联合体投标</w:t>
            </w:r>
          </w:p>
        </w:tc>
        <w:tc>
          <w:tcPr>
            <w:tcW w:w="7590" w:type="dxa"/>
            <w:tcBorders>
              <w:top w:val="single" w:color="auto" w:sz="4" w:space="0"/>
              <w:left w:val="single" w:color="auto" w:sz="4" w:space="0"/>
              <w:bottom w:val="single" w:color="auto" w:sz="4" w:space="0"/>
              <w:right w:val="single" w:color="auto" w:sz="4" w:space="0"/>
            </w:tcBorders>
            <w:vAlign w:val="center"/>
          </w:tcPr>
          <w:p w14:paraId="6E03F879">
            <w:pPr>
              <w:adjustRightInd w:val="0"/>
              <w:snapToGrid w:val="0"/>
              <w:spacing w:line="360" w:lineRule="auto"/>
              <w:jc w:val="left"/>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rPr>
              <w:t>不接受</w:t>
            </w:r>
          </w:p>
        </w:tc>
      </w:tr>
      <w:tr w14:paraId="739894C6">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14:paraId="638EDF11">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1690" w:type="dxa"/>
            <w:tcBorders>
              <w:top w:val="single" w:color="auto" w:sz="4" w:space="0"/>
              <w:left w:val="single" w:color="auto" w:sz="4" w:space="0"/>
              <w:right w:val="single" w:color="auto" w:sz="4" w:space="0"/>
            </w:tcBorders>
            <w:shd w:val="clear" w:color="auto" w:fill="auto"/>
            <w:vAlign w:val="center"/>
          </w:tcPr>
          <w:p w14:paraId="3938A41F">
            <w:pPr>
              <w:adjustRightInd w:val="0"/>
              <w:snapToGrid w:val="0"/>
              <w:spacing w:line="360" w:lineRule="auto"/>
              <w:jc w:val="center"/>
              <w:outlineLvl w:val="9"/>
              <w:rPr>
                <w:rFonts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bCs/>
                <w:color w:val="auto"/>
                <w:sz w:val="24"/>
                <w:szCs w:val="24"/>
                <w:lang w:val="en-US" w:eastAsia="zh-CN"/>
              </w:rPr>
              <w:t>工期</w:t>
            </w:r>
          </w:p>
        </w:tc>
        <w:tc>
          <w:tcPr>
            <w:tcW w:w="7590" w:type="dxa"/>
            <w:tcBorders>
              <w:top w:val="single" w:color="auto" w:sz="4" w:space="0"/>
              <w:left w:val="single" w:color="auto" w:sz="4" w:space="0"/>
              <w:bottom w:val="single" w:color="auto" w:sz="4" w:space="0"/>
              <w:right w:val="single" w:color="auto" w:sz="4" w:space="0"/>
            </w:tcBorders>
            <w:shd w:val="clear" w:color="auto" w:fill="auto"/>
            <w:vAlign w:val="center"/>
          </w:tcPr>
          <w:p w14:paraId="410D6BAC">
            <w:pPr>
              <w:adjustRightInd w:val="0"/>
              <w:snapToGrid w:val="0"/>
              <w:spacing w:line="360" w:lineRule="auto"/>
              <w:jc w:val="left"/>
              <w:outlineLvl w:val="9"/>
              <w:rPr>
                <w:rFonts w:hint="default"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bCs/>
                <w:color w:val="auto"/>
                <w:sz w:val="24"/>
                <w:szCs w:val="24"/>
                <w:lang w:val="en-US" w:eastAsia="zh-CN"/>
              </w:rPr>
              <w:t>25天</w:t>
            </w:r>
          </w:p>
        </w:tc>
      </w:tr>
      <w:tr w14:paraId="21C22F03">
        <w:tblPrEx>
          <w:tblCellMar>
            <w:top w:w="0" w:type="dxa"/>
            <w:left w:w="108" w:type="dxa"/>
            <w:bottom w:w="0" w:type="dxa"/>
            <w:right w:w="108" w:type="dxa"/>
          </w:tblCellMar>
        </w:tblPrEx>
        <w:trPr>
          <w:trHeight w:val="552" w:hRule="atLeast"/>
        </w:trPr>
        <w:tc>
          <w:tcPr>
            <w:tcW w:w="723" w:type="dxa"/>
            <w:vMerge w:val="continue"/>
            <w:tcBorders>
              <w:left w:val="single" w:color="auto" w:sz="4" w:space="0"/>
              <w:right w:val="single" w:color="auto" w:sz="4" w:space="0"/>
            </w:tcBorders>
            <w:vAlign w:val="center"/>
          </w:tcPr>
          <w:p w14:paraId="0C7EB19C">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p>
        </w:tc>
        <w:tc>
          <w:tcPr>
            <w:tcW w:w="1690" w:type="dxa"/>
            <w:tcBorders>
              <w:top w:val="single" w:color="auto" w:sz="4" w:space="0"/>
              <w:left w:val="single" w:color="auto" w:sz="4" w:space="0"/>
              <w:right w:val="single" w:color="auto" w:sz="4" w:space="0"/>
            </w:tcBorders>
            <w:shd w:val="clear" w:color="auto" w:fill="auto"/>
            <w:vAlign w:val="center"/>
          </w:tcPr>
          <w:p w14:paraId="2337FAAE">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lang w:val="zh-CN" w:eastAsia="zh-CN"/>
              </w:rPr>
            </w:pPr>
            <w:r>
              <w:rPr>
                <w:rFonts w:hint="eastAsia" w:asciiTheme="minorEastAsia" w:hAnsiTheme="minorEastAsia" w:eastAsiaTheme="minorEastAsia" w:cstheme="minorEastAsia"/>
                <w:bCs/>
                <w:color w:val="auto"/>
                <w:sz w:val="24"/>
                <w:szCs w:val="24"/>
                <w:lang w:val="en-US" w:eastAsia="zh-CN"/>
              </w:rPr>
              <w:t>质保期</w:t>
            </w:r>
          </w:p>
        </w:tc>
        <w:tc>
          <w:tcPr>
            <w:tcW w:w="7590" w:type="dxa"/>
            <w:tcBorders>
              <w:top w:val="single" w:color="auto" w:sz="4" w:space="0"/>
              <w:left w:val="single" w:color="auto" w:sz="4" w:space="0"/>
              <w:bottom w:val="single" w:color="auto" w:sz="4" w:space="0"/>
              <w:right w:val="single" w:color="auto" w:sz="4" w:space="0"/>
            </w:tcBorders>
            <w:shd w:val="clear" w:color="auto" w:fill="auto"/>
            <w:vAlign w:val="center"/>
          </w:tcPr>
          <w:p w14:paraId="3068F82A">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highlight w:val="none"/>
                <w:lang w:val="en-US" w:eastAsia="zh-CN"/>
              </w:rPr>
              <w:t>验收合格后1年</w:t>
            </w:r>
          </w:p>
        </w:tc>
      </w:tr>
      <w:tr w14:paraId="69EE18F7">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14:paraId="59569CA1">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p>
        </w:tc>
        <w:tc>
          <w:tcPr>
            <w:tcW w:w="1690" w:type="dxa"/>
            <w:tcBorders>
              <w:top w:val="single" w:color="auto" w:sz="4" w:space="0"/>
              <w:left w:val="single" w:color="auto" w:sz="4" w:space="0"/>
              <w:right w:val="single" w:color="auto" w:sz="4" w:space="0"/>
            </w:tcBorders>
            <w:vAlign w:val="center"/>
          </w:tcPr>
          <w:p w14:paraId="0153ACA8">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工程质量</w:t>
            </w:r>
          </w:p>
        </w:tc>
        <w:tc>
          <w:tcPr>
            <w:tcW w:w="7590" w:type="dxa"/>
            <w:tcBorders>
              <w:top w:val="single" w:color="auto" w:sz="4" w:space="0"/>
              <w:left w:val="single" w:color="auto" w:sz="4" w:space="0"/>
              <w:bottom w:val="single" w:color="auto" w:sz="4" w:space="0"/>
              <w:right w:val="single" w:color="auto" w:sz="4" w:space="0"/>
            </w:tcBorders>
            <w:vAlign w:val="center"/>
          </w:tcPr>
          <w:p w14:paraId="312A9DBB">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必须达到国家和地方现行施工验收规范和质量检验“合格”标准</w:t>
            </w:r>
            <w:r>
              <w:rPr>
                <w:rFonts w:hint="default" w:asciiTheme="minorEastAsia" w:hAnsiTheme="minorEastAsia" w:eastAsiaTheme="minorEastAsia" w:cstheme="minorEastAsia"/>
                <w:bCs/>
                <w:color w:val="auto"/>
                <w:sz w:val="24"/>
                <w:szCs w:val="24"/>
                <w:lang w:val="en-US" w:eastAsia="zh-CN"/>
              </w:rPr>
              <w:t>。</w:t>
            </w:r>
          </w:p>
        </w:tc>
      </w:tr>
      <w:tr w14:paraId="436ACBF0">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14:paraId="1A6580A7">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14:paraId="3790B00F">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zh-CN" w:eastAsia="zh-CN"/>
              </w:rPr>
              <w:t>付款方式</w:t>
            </w:r>
          </w:p>
        </w:tc>
        <w:tc>
          <w:tcPr>
            <w:tcW w:w="7590" w:type="dxa"/>
            <w:tcBorders>
              <w:top w:val="single" w:color="auto" w:sz="4" w:space="0"/>
              <w:left w:val="single" w:color="auto" w:sz="4" w:space="0"/>
              <w:bottom w:val="single" w:color="auto" w:sz="4" w:space="0"/>
              <w:right w:val="single" w:color="auto" w:sz="4" w:space="0"/>
            </w:tcBorders>
            <w:shd w:val="clear" w:color="auto" w:fill="auto"/>
            <w:vAlign w:val="center"/>
          </w:tcPr>
          <w:p w14:paraId="08EF176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heme="minorEastAsia" w:hAnsiTheme="minorEastAsia" w:eastAsiaTheme="minorEastAsia" w:cstheme="minorEastAsia"/>
                <w:bCs/>
                <w:color w:val="auto"/>
                <w:sz w:val="24"/>
                <w:szCs w:val="24"/>
                <w:lang w:val="en-US" w:eastAsia="zh-CN"/>
              </w:rPr>
            </w:pPr>
            <w:r>
              <w:rPr>
                <w:rFonts w:hint="eastAsia" w:ascii="宋体" w:hAnsi="宋体" w:cs="宋体"/>
                <w:b w:val="0"/>
                <w:bCs/>
                <w:color w:val="auto"/>
                <w:sz w:val="24"/>
                <w:szCs w:val="24"/>
                <w:lang w:val="en-US" w:eastAsia="zh-CN"/>
              </w:rPr>
              <w:t>项目开工后拨付合同价40%预付款，项目竣工验收后，以决算评审价为准，支付剩余工程款。</w:t>
            </w:r>
          </w:p>
        </w:tc>
      </w:tr>
      <w:tr w14:paraId="6B027D8D">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14:paraId="6D9E1398">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16</w:t>
            </w:r>
          </w:p>
        </w:tc>
        <w:tc>
          <w:tcPr>
            <w:tcW w:w="1690" w:type="dxa"/>
            <w:tcBorders>
              <w:top w:val="single" w:color="auto" w:sz="4" w:space="0"/>
              <w:left w:val="single" w:color="auto" w:sz="4" w:space="0"/>
              <w:bottom w:val="single" w:color="auto" w:sz="4" w:space="0"/>
              <w:right w:val="single" w:color="auto" w:sz="4" w:space="0"/>
            </w:tcBorders>
            <w:vAlign w:val="center"/>
          </w:tcPr>
          <w:p w14:paraId="21317BF9">
            <w:pPr>
              <w:adjustRightInd w:val="0"/>
              <w:snapToGrid w:val="0"/>
              <w:spacing w:line="360" w:lineRule="auto"/>
              <w:jc w:val="center"/>
              <w:outlineLvl w:val="9"/>
              <w:rPr>
                <w:rFonts w:hint="eastAsia" w:asciiTheme="minorEastAsia" w:hAnsiTheme="minorEastAsia" w:eastAsiaTheme="minorEastAsia" w:cstheme="minorEastAsia"/>
                <w:bCs/>
                <w:color w:val="000000" w:themeColor="text1"/>
                <w:sz w:val="24"/>
                <w:szCs w:val="24"/>
                <w:lang w:val="zh-CN"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施工地点</w:t>
            </w:r>
          </w:p>
        </w:tc>
        <w:tc>
          <w:tcPr>
            <w:tcW w:w="7590" w:type="dxa"/>
            <w:tcBorders>
              <w:top w:val="single" w:color="auto" w:sz="4" w:space="0"/>
              <w:left w:val="single" w:color="auto" w:sz="4" w:space="0"/>
              <w:bottom w:val="single" w:color="auto" w:sz="4" w:space="0"/>
              <w:right w:val="single" w:color="auto" w:sz="4" w:space="0"/>
            </w:tcBorders>
            <w:vAlign w:val="center"/>
          </w:tcPr>
          <w:p w14:paraId="3B56792F">
            <w:pPr>
              <w:adjustRightInd w:val="0"/>
              <w:snapToGrid w:val="0"/>
              <w:spacing w:line="360" w:lineRule="auto"/>
              <w:jc w:val="left"/>
              <w:outlineLvl w:val="9"/>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吴堡县张家山镇人民政府指定地点</w:t>
            </w:r>
          </w:p>
        </w:tc>
      </w:tr>
      <w:tr w14:paraId="178FAA08">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14:paraId="04C33B73">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w:t>
            </w:r>
          </w:p>
        </w:tc>
        <w:tc>
          <w:tcPr>
            <w:tcW w:w="1690" w:type="dxa"/>
            <w:tcBorders>
              <w:top w:val="single" w:color="auto" w:sz="4" w:space="0"/>
              <w:left w:val="single" w:color="auto" w:sz="4" w:space="0"/>
              <w:bottom w:val="single" w:color="auto" w:sz="4" w:space="0"/>
              <w:right w:val="single" w:color="auto" w:sz="4" w:space="0"/>
            </w:tcBorders>
            <w:vAlign w:val="center"/>
          </w:tcPr>
          <w:p w14:paraId="1C4F1A5A">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color w:val="000000" w:themeColor="text1"/>
                <w:sz w:val="24"/>
                <w14:textFill>
                  <w14:solidFill>
                    <w14:schemeClr w14:val="tx1"/>
                  </w14:solidFill>
                </w14:textFill>
              </w:rPr>
              <w:t>评审方法</w:t>
            </w:r>
          </w:p>
        </w:tc>
        <w:tc>
          <w:tcPr>
            <w:tcW w:w="7590" w:type="dxa"/>
            <w:tcBorders>
              <w:top w:val="single" w:color="auto" w:sz="4" w:space="0"/>
              <w:left w:val="single" w:color="auto" w:sz="4" w:space="0"/>
              <w:bottom w:val="single" w:color="auto" w:sz="4" w:space="0"/>
              <w:right w:val="single" w:color="auto" w:sz="4" w:space="0"/>
            </w:tcBorders>
            <w:vAlign w:val="center"/>
          </w:tcPr>
          <w:p w14:paraId="2B1A155C">
            <w:pPr>
              <w:pStyle w:val="8"/>
              <w:topLinePunct/>
              <w:adjustRightInd w:val="0"/>
              <w:snapToGrid w:val="0"/>
              <w:spacing w:line="360" w:lineRule="auto"/>
              <w:ind w:left="470" w:leftChars="24" w:hanging="420" w:hangingChars="175"/>
              <w:outlineLvl w:val="9"/>
              <w:rPr>
                <w:rFonts w:hint="default" w:eastAsia="宋体" w:asciiTheme="minorEastAsia" w:hAnsiTheme="minorEastAsia" w:cstheme="minorEastAsia"/>
                <w:color w:val="000000" w:themeColor="text1"/>
                <w:sz w:val="24"/>
                <w:szCs w:val="24"/>
                <w:lang w:val="en-US" w:eastAsia="zh-CN"/>
                <w14:textFill>
                  <w14:solidFill>
                    <w14:schemeClr w14:val="tx1"/>
                  </w14:solidFill>
                </w14:textFill>
              </w:rPr>
            </w:pPr>
            <w:r>
              <w:rPr>
                <w:rFonts w:hint="eastAsia"/>
                <w:color w:val="000000" w:themeColor="text1"/>
                <w:sz w:val="24"/>
                <w14:textFill>
                  <w14:solidFill>
                    <w14:schemeClr w14:val="tx1"/>
                  </w14:solidFill>
                </w14:textFill>
              </w:rPr>
              <w:t>综合评分法</w:t>
            </w:r>
          </w:p>
        </w:tc>
      </w:tr>
      <w:tr w14:paraId="78374AFE">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1D1E7935">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18</w:t>
            </w:r>
          </w:p>
        </w:tc>
        <w:tc>
          <w:tcPr>
            <w:tcW w:w="1690" w:type="dxa"/>
            <w:tcBorders>
              <w:top w:val="single" w:color="auto" w:sz="4" w:space="0"/>
              <w:left w:val="single" w:color="auto" w:sz="4" w:space="0"/>
              <w:bottom w:val="single" w:color="auto" w:sz="4" w:space="0"/>
              <w:right w:val="single" w:color="auto" w:sz="4" w:space="0"/>
            </w:tcBorders>
            <w:vAlign w:val="center"/>
          </w:tcPr>
          <w:p w14:paraId="4FC490D1">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合同签订</w:t>
            </w:r>
          </w:p>
        </w:tc>
        <w:tc>
          <w:tcPr>
            <w:tcW w:w="7590" w:type="dxa"/>
            <w:tcBorders>
              <w:top w:val="single" w:color="auto" w:sz="4" w:space="0"/>
              <w:left w:val="single" w:color="auto" w:sz="4" w:space="0"/>
              <w:bottom w:val="single" w:color="auto" w:sz="4" w:space="0"/>
              <w:right w:val="single" w:color="auto" w:sz="4" w:space="0"/>
            </w:tcBorders>
            <w:vAlign w:val="center"/>
          </w:tcPr>
          <w:p w14:paraId="05BA4E6B">
            <w:pPr>
              <w:pStyle w:val="8"/>
              <w:topLinePunct/>
              <w:adjustRightInd w:val="0"/>
              <w:snapToGrid w:val="0"/>
              <w:spacing w:line="360" w:lineRule="auto"/>
              <w:ind w:left="470" w:leftChars="24" w:hanging="420" w:hangingChars="175"/>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成交供应商</w:t>
            </w:r>
            <w:r>
              <w:rPr>
                <w:rFonts w:hint="eastAsia"/>
                <w:color w:val="000000" w:themeColor="text1"/>
                <w:sz w:val="24"/>
                <w14:textFill>
                  <w14:solidFill>
                    <w14:schemeClr w14:val="tx1"/>
                  </w14:solidFill>
                </w14:textFill>
              </w:rPr>
              <w:t>与</w:t>
            </w:r>
            <w:r>
              <w:rPr>
                <w:rFonts w:hint="eastAsia"/>
                <w:color w:val="000000" w:themeColor="text1"/>
                <w:sz w:val="24"/>
                <w:lang w:eastAsia="zh-CN"/>
                <w14:textFill>
                  <w14:solidFill>
                    <w14:schemeClr w14:val="tx1"/>
                  </w14:solidFill>
                </w14:textFill>
              </w:rPr>
              <w:t>采购人</w:t>
            </w:r>
            <w:r>
              <w:rPr>
                <w:rFonts w:hint="eastAsia"/>
                <w:color w:val="000000" w:themeColor="text1"/>
                <w:sz w:val="24"/>
                <w14:textFill>
                  <w14:solidFill>
                    <w14:schemeClr w14:val="tx1"/>
                  </w14:solidFill>
                </w14:textFill>
              </w:rPr>
              <w:t>签订合同。</w:t>
            </w:r>
          </w:p>
        </w:tc>
      </w:tr>
      <w:tr w14:paraId="79C707BD">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14:paraId="6D791AF0">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19</w:t>
            </w:r>
          </w:p>
        </w:tc>
        <w:tc>
          <w:tcPr>
            <w:tcW w:w="1690" w:type="dxa"/>
            <w:tcBorders>
              <w:top w:val="single" w:color="auto" w:sz="4" w:space="0"/>
              <w:left w:val="single" w:color="auto" w:sz="4" w:space="0"/>
              <w:bottom w:val="single" w:color="auto" w:sz="4" w:space="0"/>
              <w:right w:val="single" w:color="auto" w:sz="4" w:space="0"/>
            </w:tcBorders>
            <w:vAlign w:val="center"/>
          </w:tcPr>
          <w:p w14:paraId="36F049B6">
            <w:pPr>
              <w:adjustRightInd w:val="0"/>
              <w:snapToGrid w:val="0"/>
              <w:spacing w:line="360" w:lineRule="auto"/>
              <w:jc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是否退还竞争性磋商响应文件</w:t>
            </w:r>
          </w:p>
        </w:tc>
        <w:tc>
          <w:tcPr>
            <w:tcW w:w="7590" w:type="dxa"/>
            <w:tcBorders>
              <w:top w:val="single" w:color="auto" w:sz="4" w:space="0"/>
              <w:left w:val="single" w:color="auto" w:sz="4" w:space="0"/>
              <w:bottom w:val="single" w:color="auto" w:sz="4" w:space="0"/>
              <w:right w:val="single" w:color="auto" w:sz="4" w:space="0"/>
            </w:tcBorders>
            <w:vAlign w:val="center"/>
          </w:tcPr>
          <w:p w14:paraId="5E0A62BF">
            <w:pPr>
              <w:adjustRightInd w:val="0"/>
              <w:snapToGrid w:val="0"/>
              <w:spacing w:line="360" w:lineRule="auto"/>
              <w:jc w:val="left"/>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否</w:t>
            </w:r>
          </w:p>
        </w:tc>
      </w:tr>
      <w:tr w14:paraId="2359B7C3">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14:paraId="111BCAB0">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w:t>
            </w:r>
          </w:p>
        </w:tc>
        <w:tc>
          <w:tcPr>
            <w:tcW w:w="1690" w:type="dxa"/>
            <w:tcBorders>
              <w:top w:val="single" w:color="auto" w:sz="4" w:space="0"/>
              <w:left w:val="single" w:color="auto" w:sz="4" w:space="0"/>
              <w:bottom w:val="single" w:color="auto" w:sz="4" w:space="0"/>
              <w:right w:val="single" w:color="auto" w:sz="4" w:space="0"/>
            </w:tcBorders>
            <w:vAlign w:val="center"/>
          </w:tcPr>
          <w:p w14:paraId="07D370D1">
            <w:pPr>
              <w:widowControl/>
              <w:adjustRightInd w:val="0"/>
              <w:snapToGrid w:val="0"/>
              <w:jc w:val="center"/>
              <w:textAlignment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16"/>
                <w:lang w:val="en-US" w:eastAsia="zh-CN" w:bidi="ar-SA"/>
                <w14:textFill>
                  <w14:solidFill>
                    <w14:schemeClr w14:val="tx1"/>
                  </w14:solidFill>
                </w14:textFill>
              </w:rPr>
              <w:t>澄清修改</w:t>
            </w:r>
          </w:p>
        </w:tc>
        <w:tc>
          <w:tcPr>
            <w:tcW w:w="7590" w:type="dxa"/>
            <w:tcBorders>
              <w:top w:val="single" w:color="auto" w:sz="4" w:space="0"/>
              <w:left w:val="single" w:color="auto" w:sz="4" w:space="0"/>
              <w:bottom w:val="single" w:color="auto" w:sz="4" w:space="0"/>
              <w:right w:val="single" w:color="auto" w:sz="4" w:space="0"/>
            </w:tcBorders>
            <w:vAlign w:val="center"/>
          </w:tcPr>
          <w:p w14:paraId="10DFEAAA">
            <w:pPr>
              <w:widowControl/>
              <w:adjustRightInd w:val="0"/>
              <w:snapToGrid w:val="0"/>
              <w:spacing w:line="360" w:lineRule="auto"/>
              <w:jc w:val="left"/>
              <w:textAlignment w:val="center"/>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16"/>
                <w:lang w:val="en-US" w:eastAsia="zh-CN" w:bidi="ar-SA"/>
                <w14:textFill>
                  <w14:solidFill>
                    <w14:schemeClr w14:val="tx1"/>
                  </w14:solidFill>
                </w14:textFill>
              </w:rPr>
              <w:t>澄清或者修改应当在提交首次响应文件截止之日5天前，以书面形式通知所有领取竞争性磋商文件的供应商，不足5天的，应当顺延提交首次响应文件的截止日期。</w:t>
            </w:r>
          </w:p>
        </w:tc>
      </w:tr>
      <w:tr w14:paraId="579FEAD1">
        <w:tblPrEx>
          <w:tblCellMar>
            <w:top w:w="0" w:type="dxa"/>
            <w:left w:w="108" w:type="dxa"/>
            <w:bottom w:w="0" w:type="dxa"/>
            <w:right w:w="108" w:type="dxa"/>
          </w:tblCellMar>
        </w:tblPrEx>
        <w:trPr>
          <w:trHeight w:val="835" w:hRule="atLeast"/>
        </w:trPr>
        <w:tc>
          <w:tcPr>
            <w:tcW w:w="723" w:type="dxa"/>
            <w:tcBorders>
              <w:top w:val="single" w:color="auto" w:sz="4" w:space="0"/>
              <w:left w:val="single" w:color="auto" w:sz="4" w:space="0"/>
              <w:bottom w:val="single" w:color="auto" w:sz="4" w:space="0"/>
              <w:right w:val="single" w:color="auto" w:sz="4" w:space="0"/>
            </w:tcBorders>
            <w:vAlign w:val="center"/>
          </w:tcPr>
          <w:p w14:paraId="53D841D1">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21</w:t>
            </w:r>
          </w:p>
        </w:tc>
        <w:tc>
          <w:tcPr>
            <w:tcW w:w="1690" w:type="dxa"/>
            <w:tcBorders>
              <w:top w:val="single" w:color="auto" w:sz="4" w:space="0"/>
              <w:left w:val="single" w:color="auto" w:sz="4" w:space="0"/>
              <w:bottom w:val="single" w:color="auto" w:sz="4" w:space="0"/>
              <w:right w:val="single" w:color="auto" w:sz="4" w:space="0"/>
            </w:tcBorders>
            <w:vAlign w:val="center"/>
          </w:tcPr>
          <w:p w14:paraId="44A27BAE">
            <w:pPr>
              <w:widowControl/>
              <w:adjustRightInd w:val="0"/>
              <w:snapToGrid w:val="0"/>
              <w:jc w:val="center"/>
              <w:textAlignment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投标偏离</w:t>
            </w:r>
          </w:p>
        </w:tc>
        <w:tc>
          <w:tcPr>
            <w:tcW w:w="7590" w:type="dxa"/>
            <w:tcBorders>
              <w:top w:val="single" w:color="auto" w:sz="4" w:space="0"/>
              <w:left w:val="single" w:color="auto" w:sz="4" w:space="0"/>
              <w:bottom w:val="single" w:color="auto" w:sz="4" w:space="0"/>
              <w:right w:val="single" w:color="auto" w:sz="4" w:space="0"/>
            </w:tcBorders>
            <w:vAlign w:val="center"/>
          </w:tcPr>
          <w:p w14:paraId="675065F6">
            <w:pPr>
              <w:widowControl/>
              <w:adjustRightInd w:val="0"/>
              <w:snapToGrid w:val="0"/>
              <w:spacing w:line="360" w:lineRule="auto"/>
              <w:jc w:val="left"/>
              <w:textAlignment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投标文件中存在对招标文件的实质性负偏离</w:t>
            </w:r>
            <w:r>
              <w:rPr>
                <w:rFonts w:hint="eastAsia" w:ascii="宋体" w:hAnsi="宋体" w:eastAsia="宋体" w:cs="Times New Roman"/>
                <w:color w:val="000000" w:themeColor="text1"/>
                <w:sz w:val="24"/>
                <w:szCs w:val="24"/>
                <w:lang w:eastAsia="zh-CN"/>
                <w14:textFill>
                  <w14:solidFill>
                    <w14:schemeClr w14:val="tx1"/>
                  </w14:solidFill>
                </w14:textFill>
              </w:rPr>
              <w:t>的</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视</w:t>
            </w:r>
            <w:r>
              <w:rPr>
                <w:rFonts w:hint="eastAsia" w:ascii="宋体" w:hAnsi="宋体" w:eastAsia="宋体" w:cs="Times New Roman"/>
                <w:color w:val="000000" w:themeColor="text1"/>
                <w:sz w:val="24"/>
                <w:szCs w:val="24"/>
                <w14:textFill>
                  <w14:solidFill>
                    <w14:schemeClr w14:val="tx1"/>
                  </w14:solidFill>
                </w14:textFill>
              </w:rPr>
              <w:t>为无效投标。</w:t>
            </w:r>
          </w:p>
        </w:tc>
      </w:tr>
      <w:tr w14:paraId="1B80CB3E">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7D9A473">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p>
        </w:tc>
        <w:tc>
          <w:tcPr>
            <w:tcW w:w="1690" w:type="dxa"/>
            <w:tcBorders>
              <w:top w:val="single" w:color="auto" w:sz="4" w:space="0"/>
              <w:left w:val="single" w:color="auto" w:sz="4" w:space="0"/>
              <w:bottom w:val="single" w:color="auto" w:sz="4" w:space="0"/>
              <w:right w:val="single" w:color="auto" w:sz="4" w:space="0"/>
            </w:tcBorders>
            <w:vAlign w:val="center"/>
          </w:tcPr>
          <w:p w14:paraId="013BBB58">
            <w:pPr>
              <w:widowControl/>
              <w:adjustRightInd w:val="0"/>
              <w:snapToGrid w:val="0"/>
              <w:jc w:val="center"/>
              <w:textAlignment w:val="center"/>
              <w:outlineLvl w:val="9"/>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支持中小企业发展</w:t>
            </w:r>
          </w:p>
        </w:tc>
        <w:tc>
          <w:tcPr>
            <w:tcW w:w="7590" w:type="dxa"/>
            <w:tcBorders>
              <w:top w:val="single" w:color="auto" w:sz="4" w:space="0"/>
              <w:left w:val="single" w:color="auto" w:sz="4" w:space="0"/>
              <w:bottom w:val="single" w:color="auto" w:sz="4" w:space="0"/>
              <w:right w:val="single" w:color="auto" w:sz="4" w:space="0"/>
            </w:tcBorders>
            <w:vAlign w:val="center"/>
          </w:tcPr>
          <w:p w14:paraId="2A6A830C">
            <w:pPr>
              <w:adjustRightInd w:val="0"/>
              <w:snapToGrid w:val="0"/>
              <w:spacing w:line="360" w:lineRule="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支持中小企业发展</w:t>
            </w:r>
          </w:p>
          <w:p w14:paraId="3BA76B49">
            <w:pPr>
              <w:adjustRightInd w:val="0"/>
              <w:snapToGrid w:val="0"/>
              <w:spacing w:line="360" w:lineRule="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fldChar w:fldCharType="begin"/>
            </w:r>
            <w:r>
              <w:rPr>
                <w:rFonts w:hint="eastAsia" w:ascii="宋体" w:hAnsi="宋体" w:cs="宋体"/>
                <w:color w:val="000000" w:themeColor="text1"/>
                <w:sz w:val="24"/>
                <w14:textFill>
                  <w14:solidFill>
                    <w14:schemeClr w14:val="tx1"/>
                  </w14:solidFill>
                </w14:textFill>
              </w:rPr>
              <w:instrText xml:space="preserve"> eq \o\ac(□</w:instrText>
            </w:r>
            <w:r>
              <w:rPr>
                <w:rFonts w:hint="eastAsia" w:ascii="宋体" w:hAnsi="宋体" w:cs="宋体"/>
                <w:color w:val="000000" w:themeColor="text1"/>
                <w:sz w:val="24"/>
                <w:lang w:eastAsia="zh-CN"/>
                <w14:textFill>
                  <w14:solidFill>
                    <w14:schemeClr w14:val="tx1"/>
                  </w14:solidFill>
                </w14:textFill>
              </w:rPr>
              <w:instrText xml:space="preserve">,</w:instrText>
            </w:r>
            <w:r>
              <w:rPr>
                <w:rFonts w:hint="eastAsia" w:ascii="宋体" w:hAnsi="宋体" w:cs="宋体"/>
                <w:color w:val="000000" w:themeColor="text1"/>
                <w:position w:val="2"/>
                <w:sz w:val="16"/>
                <w:lang w:eastAsia="zh-CN"/>
                <w14:textFill>
                  <w14:solidFill>
                    <w14:schemeClr w14:val="tx1"/>
                  </w14:solidFill>
                </w14:textFill>
              </w:rPr>
              <w:instrText xml:space="preserve">√</w:instrText>
            </w:r>
            <w:r>
              <w:rPr>
                <w:rFonts w:hint="eastAsia" w:ascii="宋体" w:hAnsi="宋体" w:cs="宋体"/>
                <w:color w:val="000000" w:themeColor="text1"/>
                <w:sz w:val="24"/>
                <w14:textFill>
                  <w14:solidFill>
                    <w14:schemeClr w14:val="tx1"/>
                  </w14:solidFill>
                </w14:textFill>
              </w:rPr>
              <w:instrText xml:space="preserve">)</w:instrText>
            </w:r>
            <w:r>
              <w:rPr>
                <w:rFonts w:hint="eastAsia" w:ascii="宋体" w:hAnsi="宋体" w:cs="宋体"/>
                <w:color w:val="000000" w:themeColor="text1"/>
                <w:sz w:val="24"/>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专门面向</w:t>
            </w:r>
            <w:r>
              <w:rPr>
                <w:rFonts w:hint="eastAsia" w:ascii="宋体" w:hAnsi="宋体" w:cs="宋体"/>
                <w:color w:val="000000" w:themeColor="text1"/>
                <w:sz w:val="24"/>
                <w:lang w:val="en-US" w:eastAsia="zh-CN"/>
                <w14:textFill>
                  <w14:solidFill>
                    <w14:schemeClr w14:val="tx1"/>
                  </w14:solidFill>
                </w14:textFill>
              </w:rPr>
              <w:t>中小</w:t>
            </w:r>
            <w:r>
              <w:rPr>
                <w:rFonts w:hint="eastAsia" w:ascii="宋体" w:hAnsi="宋体" w:cs="宋体"/>
                <w:color w:val="000000" w:themeColor="text1"/>
                <w:sz w:val="24"/>
                <w14:textFill>
                  <w14:solidFill>
                    <w14:schemeClr w14:val="tx1"/>
                  </w14:solidFill>
                </w14:textFill>
              </w:rPr>
              <w:t>企业采购项目</w:t>
            </w:r>
          </w:p>
          <w:p w14:paraId="1D95C65D">
            <w:pPr>
              <w:adjustRightInd w:val="0"/>
              <w:snapToGrid w:val="0"/>
              <w:spacing w:line="360" w:lineRule="auto"/>
              <w:outlineLvl w:val="9"/>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本项目专门面向小微企业采购，故不再执行价格评审优惠；</w:t>
            </w:r>
          </w:p>
          <w:p w14:paraId="33C5D3DD">
            <w:pPr>
              <w:adjustRightInd w:val="0"/>
              <w:snapToGrid w:val="0"/>
              <w:spacing w:line="360" w:lineRule="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fldChar w:fldCharType="begin"/>
            </w:r>
            <w:r>
              <w:rPr>
                <w:rFonts w:hint="eastAsia" w:ascii="宋体" w:hAnsi="宋体" w:cs="宋体"/>
                <w:color w:val="000000" w:themeColor="text1"/>
                <w:sz w:val="24"/>
                <w14:textFill>
                  <w14:solidFill>
                    <w14:schemeClr w14:val="tx1"/>
                  </w14:solidFill>
                </w14:textFill>
              </w:rPr>
              <w:instrText xml:space="preserve"> eq \o\ac(□)</w:instrText>
            </w:r>
            <w:r>
              <w:rPr>
                <w:rFonts w:hint="eastAsia" w:ascii="宋体" w:hAnsi="宋体" w:cs="宋体"/>
                <w:color w:val="000000" w:themeColor="text1"/>
                <w:sz w:val="24"/>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非专门面向中小企业采购项目（价格扣除）：</w:t>
            </w:r>
          </w:p>
          <w:p w14:paraId="34CA536B">
            <w:pPr>
              <w:adjustRightInd w:val="0"/>
              <w:snapToGrid w:val="0"/>
              <w:spacing w:line="360" w:lineRule="auto"/>
              <w:outlineLvl w:val="9"/>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对小型和微型企业产品的价格给与</w:t>
            </w:r>
            <w:r>
              <w:rPr>
                <w:rFonts w:hint="eastAsia" w:ascii="宋体" w:hAnsi="宋体" w:cs="宋体"/>
                <w:color w:val="000000" w:themeColor="text1"/>
                <w:sz w:val="24"/>
                <w:lang w:val="en-US" w:eastAsia="zh-CN"/>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%的扣除，用扣除后的价格参与评审。项目的扣除比例为：小微企业扣除</w:t>
            </w:r>
            <w:r>
              <w:rPr>
                <w:rFonts w:hint="eastAsia" w:ascii="宋体" w:hAnsi="宋体" w:cs="宋体"/>
                <w:color w:val="000000" w:themeColor="text1"/>
                <w:sz w:val="24"/>
                <w:lang w:eastAsia="zh-CN"/>
                <w14:textFill>
                  <w14:solidFill>
                    <w14:schemeClr w14:val="tx1"/>
                  </w14:solidFill>
                </w14:textFill>
              </w:rPr>
              <w:t>20%。</w:t>
            </w:r>
          </w:p>
        </w:tc>
      </w:tr>
      <w:tr w14:paraId="4AD14275">
        <w:tblPrEx>
          <w:tblCellMar>
            <w:top w:w="0" w:type="dxa"/>
            <w:left w:w="108" w:type="dxa"/>
            <w:bottom w:w="0" w:type="dxa"/>
            <w:right w:w="108" w:type="dxa"/>
          </w:tblCellMar>
        </w:tblPrEx>
        <w:trPr>
          <w:trHeight w:val="116" w:hRule="atLeast"/>
        </w:trPr>
        <w:tc>
          <w:tcPr>
            <w:tcW w:w="723" w:type="dxa"/>
            <w:tcBorders>
              <w:top w:val="single" w:color="auto" w:sz="4" w:space="0"/>
              <w:left w:val="single" w:color="auto" w:sz="4" w:space="0"/>
              <w:bottom w:val="single" w:color="auto" w:sz="4" w:space="0"/>
              <w:right w:val="single" w:color="auto" w:sz="4" w:space="0"/>
            </w:tcBorders>
            <w:vAlign w:val="center"/>
          </w:tcPr>
          <w:p w14:paraId="706B4549">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23</w:t>
            </w:r>
          </w:p>
        </w:tc>
        <w:tc>
          <w:tcPr>
            <w:tcW w:w="1690" w:type="dxa"/>
            <w:tcBorders>
              <w:top w:val="single" w:color="auto" w:sz="4" w:space="0"/>
              <w:left w:val="single" w:color="auto" w:sz="4" w:space="0"/>
              <w:bottom w:val="single" w:color="auto" w:sz="4" w:space="0"/>
              <w:right w:val="single" w:color="auto" w:sz="4" w:space="0"/>
            </w:tcBorders>
            <w:vAlign w:val="center"/>
          </w:tcPr>
          <w:p w14:paraId="6A2C2C1F">
            <w:pPr>
              <w:widowControl/>
              <w:adjustRightInd w:val="0"/>
              <w:snapToGrid w:val="0"/>
              <w:jc w:val="center"/>
              <w:textAlignment w:val="center"/>
              <w:outlineLvl w:val="9"/>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cs="Times New Roman"/>
                <w:color w:val="000000" w:themeColor="text1"/>
                <w:kern w:val="2"/>
                <w:sz w:val="24"/>
                <w:lang w:val="en-US" w:eastAsia="zh-CN" w:bidi="ar-SA"/>
                <w14:textFill>
                  <w14:solidFill>
                    <w14:schemeClr w14:val="tx1"/>
                  </w14:solidFill>
                </w14:textFill>
              </w:rPr>
              <w:t>中小企业的划分</w:t>
            </w:r>
          </w:p>
        </w:tc>
        <w:tc>
          <w:tcPr>
            <w:tcW w:w="7590" w:type="dxa"/>
            <w:tcBorders>
              <w:top w:val="single" w:color="auto" w:sz="4" w:space="0"/>
              <w:left w:val="single" w:color="auto" w:sz="4" w:space="0"/>
              <w:bottom w:val="single" w:color="auto" w:sz="4" w:space="0"/>
              <w:right w:val="single" w:color="auto" w:sz="4" w:space="0"/>
            </w:tcBorders>
            <w:vAlign w:val="center"/>
          </w:tcPr>
          <w:p w14:paraId="47BE6E05">
            <w:pPr>
              <w:adjustRightInd w:val="0"/>
              <w:snapToGrid w:val="0"/>
              <w:spacing w:line="360" w:lineRule="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各行业划分标准具体为</w:t>
            </w:r>
          </w:p>
          <w:p w14:paraId="1DD2522F">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　　</w:t>
            </w:r>
          </w:p>
          <w:p w14:paraId="1AA8EA30">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6537E0">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3、建筑业</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04771A">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7BAD1BA">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2AD91">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F2C0BFA">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FE025F6">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6DF0539">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7D35BAA">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B8DA4AE">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CB575EE">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FC20755">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B1DC467">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4ABFFB1">
            <w:pPr>
              <w:adjustRightInd w:val="0"/>
              <w:snapToGrid w:val="0"/>
              <w:spacing w:line="360" w:lineRule="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62C964C5">
            <w:pPr>
              <w:adjustRightInd w:val="0"/>
              <w:snapToGrid w:val="0"/>
              <w:spacing w:line="360" w:lineRule="auto"/>
              <w:outlineLvl w:val="9"/>
              <w:rPr>
                <w:rFonts w:hint="eastAsia"/>
                <w:color w:val="000000" w:themeColor="text1"/>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000000" w:themeColor="text1"/>
                <w:sz w:val="24"/>
                <w14:textFill>
                  <w14:solidFill>
                    <w14:schemeClr w14:val="tx1"/>
                  </w14:solidFill>
                </w14:textFill>
              </w:rPr>
              <w:t>　</w:t>
            </w:r>
          </w:p>
          <w:p w14:paraId="66F6A9B7">
            <w:pPr>
              <w:pStyle w:val="9"/>
              <w:outlineLvl w:val="9"/>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本项目</w:t>
            </w:r>
            <w:r>
              <w:rPr>
                <w:rFonts w:hint="eastAsia" w:ascii="宋体" w:hAnsi="宋体" w:cs="宋体"/>
                <w:b/>
                <w:bCs/>
                <w:color w:val="000000" w:themeColor="text1"/>
                <w:kern w:val="2"/>
                <w:sz w:val="24"/>
                <w:szCs w:val="24"/>
                <w:lang w:val="en-US" w:eastAsia="zh-CN" w:bidi="ar-SA"/>
                <w14:textFill>
                  <w14:solidFill>
                    <w14:schemeClr w14:val="tx1"/>
                  </w14:solidFill>
                </w14:textFill>
              </w:rPr>
              <w:t>所属行业</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w:t>
            </w:r>
            <w:r>
              <w:rPr>
                <w:rFonts w:hint="eastAsia" w:ascii="宋体" w:hAnsi="宋体" w:cs="宋体"/>
                <w:b/>
                <w:bCs/>
                <w:color w:val="000000" w:themeColor="text1"/>
                <w:kern w:val="2"/>
                <w:sz w:val="24"/>
                <w:szCs w:val="24"/>
                <w:lang w:val="en-US" w:eastAsia="zh-CN" w:bidi="ar-SA"/>
                <w14:textFill>
                  <w14:solidFill>
                    <w14:schemeClr w14:val="tx1"/>
                  </w14:solidFill>
                </w14:textFill>
              </w:rPr>
              <w:t>建筑业</w:t>
            </w:r>
          </w:p>
        </w:tc>
      </w:tr>
      <w:tr w14:paraId="69CF3E93">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right w:val="single" w:color="auto" w:sz="4" w:space="0"/>
            </w:tcBorders>
            <w:vAlign w:val="center"/>
          </w:tcPr>
          <w:p w14:paraId="2E1868C0">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24</w:t>
            </w:r>
          </w:p>
        </w:tc>
        <w:tc>
          <w:tcPr>
            <w:tcW w:w="1690" w:type="dxa"/>
            <w:tcBorders>
              <w:top w:val="single" w:color="auto" w:sz="4" w:space="0"/>
              <w:left w:val="single" w:color="auto" w:sz="4" w:space="0"/>
              <w:right w:val="single" w:color="auto" w:sz="4" w:space="0"/>
            </w:tcBorders>
            <w:vAlign w:val="center"/>
          </w:tcPr>
          <w:p w14:paraId="7205BBD9">
            <w:pPr>
              <w:spacing w:line="420" w:lineRule="exact"/>
              <w:jc w:val="center"/>
              <w:outlineLvl w:val="9"/>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代理服务费</w:t>
            </w:r>
          </w:p>
        </w:tc>
        <w:tc>
          <w:tcPr>
            <w:tcW w:w="7590" w:type="dxa"/>
            <w:tcBorders>
              <w:top w:val="single" w:color="auto" w:sz="4" w:space="0"/>
              <w:left w:val="single" w:color="auto" w:sz="4" w:space="0"/>
              <w:bottom w:val="single" w:color="auto" w:sz="4" w:space="0"/>
              <w:right w:val="single" w:color="auto" w:sz="4" w:space="0"/>
            </w:tcBorders>
            <w:vAlign w:val="center"/>
          </w:tcPr>
          <w:p w14:paraId="0BCBA469">
            <w:pPr>
              <w:adjustRightInd w:val="0"/>
              <w:snapToGrid w:val="0"/>
              <w:spacing w:line="360" w:lineRule="auto"/>
              <w:jc w:val="left"/>
              <w:outlineLvl w:val="9"/>
              <w:rPr>
                <w:rFonts w:ascii="宋体" w:hAnsi="宋体" w:cs="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参考国家计委2002年颁发的《招标代理服务收费管理暂行办法》</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计价格〔2002〕1980号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、国家发展改革委员会办公厅颁发的《关于招标代理服务费收费有关问题的通知》（发改办价格[2003]857号）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《调整后的招标代理服务收费标准》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发改价格〔2011〕〕534号</w:t>
            </w:r>
            <w:r>
              <w:rPr>
                <w:rFonts w:hint="eastAsia"/>
                <w:color w:val="000000" w:themeColor="text1"/>
                <w:sz w:val="24"/>
                <w:szCs w:val="24"/>
                <w:lang w:eastAsia="zh-CN"/>
                <w14:textFill>
                  <w14:solidFill>
                    <w14:schemeClr w14:val="tx1"/>
                  </w14:solidFill>
                </w14:textFill>
              </w:rPr>
              <w:t>）及吴政办发[2025]18号文件规定</w:t>
            </w:r>
            <w:r>
              <w:rPr>
                <w:rFonts w:hint="eastAsia"/>
                <w:color w:val="000000" w:themeColor="text1"/>
                <w:sz w:val="24"/>
                <w:szCs w:val="24"/>
                <w14:textFill>
                  <w14:solidFill>
                    <w14:schemeClr w14:val="tx1"/>
                  </w14:solidFill>
                </w14:textFill>
              </w:rPr>
              <w:t>由</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u w:val="single"/>
                <w:shd w:val="clear"/>
                <w:lang w:val="en-US" w:eastAsia="zh-CN"/>
                <w14:textFill>
                  <w14:solidFill>
                    <w14:schemeClr w14:val="tx1"/>
                  </w14:solidFill>
                </w14:textFill>
              </w:rPr>
              <w:t xml:space="preserve"> 采购人</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向</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陕西华旭晟信项目管理有限责任公司</w:t>
            </w:r>
            <w:r>
              <w:rPr>
                <w:rFonts w:hint="eastAsia"/>
                <w:color w:val="000000" w:themeColor="text1"/>
                <w:sz w:val="24"/>
                <w:szCs w:val="24"/>
                <w14:textFill>
                  <w14:solidFill>
                    <w14:schemeClr w14:val="tx1"/>
                  </w14:solidFill>
                </w14:textFill>
              </w:rPr>
              <w:t>交纳招标代理服务费。</w:t>
            </w:r>
          </w:p>
          <w:p w14:paraId="67F05A2B">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采购代理服务费按差额定率累进法计算：</w:t>
            </w:r>
          </w:p>
          <w:tbl>
            <w:tblPr>
              <w:tblStyle w:val="20"/>
              <w:tblpPr w:leftFromText="180" w:rightFromText="180" w:vertAnchor="text" w:horzAnchor="page" w:tblpX="66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1ED9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049" w:type="dxa"/>
                </w:tcPr>
                <w:p w14:paraId="2986C993">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服务类型/费率/中标金额（万元）</w:t>
                  </w:r>
                </w:p>
              </w:tc>
              <w:tc>
                <w:tcPr>
                  <w:tcW w:w="1214" w:type="dxa"/>
                  <w:vAlign w:val="center"/>
                </w:tcPr>
                <w:p w14:paraId="63CE1841">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货物招标</w:t>
                  </w:r>
                </w:p>
              </w:tc>
              <w:tc>
                <w:tcPr>
                  <w:tcW w:w="1444" w:type="dxa"/>
                  <w:vAlign w:val="center"/>
                </w:tcPr>
                <w:p w14:paraId="0BE29CFF">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服务招标</w:t>
                  </w:r>
                </w:p>
              </w:tc>
              <w:tc>
                <w:tcPr>
                  <w:tcW w:w="1445" w:type="dxa"/>
                  <w:vAlign w:val="center"/>
                </w:tcPr>
                <w:p w14:paraId="40CFB09F">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工程招标</w:t>
                  </w:r>
                </w:p>
              </w:tc>
            </w:tr>
            <w:tr w14:paraId="53D5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049" w:type="dxa"/>
                </w:tcPr>
                <w:p w14:paraId="4236E5E3">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100以下</w:t>
                  </w:r>
                </w:p>
              </w:tc>
              <w:tc>
                <w:tcPr>
                  <w:tcW w:w="1214" w:type="dxa"/>
                </w:tcPr>
                <w:p w14:paraId="70328884">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1.5%</w:t>
                  </w:r>
                </w:p>
              </w:tc>
              <w:tc>
                <w:tcPr>
                  <w:tcW w:w="1444" w:type="dxa"/>
                </w:tcPr>
                <w:p w14:paraId="41000CDE">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1.5%</w:t>
                  </w:r>
                </w:p>
              </w:tc>
              <w:tc>
                <w:tcPr>
                  <w:tcW w:w="1445" w:type="dxa"/>
                </w:tcPr>
                <w:p w14:paraId="79E28001">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p>
              </w:tc>
            </w:tr>
            <w:tr w14:paraId="057C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5B1CC3D4">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100-500</w:t>
                  </w:r>
                </w:p>
              </w:tc>
              <w:tc>
                <w:tcPr>
                  <w:tcW w:w="1214" w:type="dxa"/>
                </w:tcPr>
                <w:p w14:paraId="5A359741">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w:t>
                  </w:r>
                </w:p>
              </w:tc>
              <w:tc>
                <w:tcPr>
                  <w:tcW w:w="1444" w:type="dxa"/>
                </w:tcPr>
                <w:p w14:paraId="0C5B6C86">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0.8%</w:t>
                  </w:r>
                </w:p>
              </w:tc>
              <w:tc>
                <w:tcPr>
                  <w:tcW w:w="1445" w:type="dxa"/>
                </w:tcPr>
                <w:p w14:paraId="308B2CE3">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0.7%</w:t>
                  </w:r>
                </w:p>
              </w:tc>
            </w:tr>
            <w:tr w14:paraId="5270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1209A3A9">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500-1000</w:t>
                  </w:r>
                </w:p>
              </w:tc>
              <w:tc>
                <w:tcPr>
                  <w:tcW w:w="1214" w:type="dxa"/>
                </w:tcPr>
                <w:p w14:paraId="709234AF">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0.8%</w:t>
                  </w:r>
                </w:p>
              </w:tc>
              <w:tc>
                <w:tcPr>
                  <w:tcW w:w="1444" w:type="dxa"/>
                </w:tcPr>
                <w:p w14:paraId="5B5A5B8D">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0.45%</w:t>
                  </w:r>
                </w:p>
              </w:tc>
              <w:tc>
                <w:tcPr>
                  <w:tcW w:w="1445" w:type="dxa"/>
                </w:tcPr>
                <w:p w14:paraId="2F54F8ED">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0.55%</w:t>
                  </w:r>
                </w:p>
              </w:tc>
            </w:tr>
            <w:tr w14:paraId="70B2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59EBDEE">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1000-5000</w:t>
                  </w:r>
                </w:p>
              </w:tc>
              <w:tc>
                <w:tcPr>
                  <w:tcW w:w="1214" w:type="dxa"/>
                </w:tcPr>
                <w:p w14:paraId="587734A2">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0.5%</w:t>
                  </w:r>
                </w:p>
              </w:tc>
              <w:tc>
                <w:tcPr>
                  <w:tcW w:w="1444" w:type="dxa"/>
                </w:tcPr>
                <w:p w14:paraId="09E804FD">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0.25%</w:t>
                  </w:r>
                </w:p>
              </w:tc>
              <w:tc>
                <w:tcPr>
                  <w:tcW w:w="1445" w:type="dxa"/>
                </w:tcPr>
                <w:p w14:paraId="5675475B">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0.35%</w:t>
                  </w:r>
                </w:p>
              </w:tc>
            </w:tr>
            <w:tr w14:paraId="4221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2989FF5">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5000-10000</w:t>
                  </w:r>
                </w:p>
              </w:tc>
              <w:tc>
                <w:tcPr>
                  <w:tcW w:w="1214" w:type="dxa"/>
                </w:tcPr>
                <w:p w14:paraId="1970706F">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0.25%</w:t>
                  </w:r>
                </w:p>
              </w:tc>
              <w:tc>
                <w:tcPr>
                  <w:tcW w:w="1444" w:type="dxa"/>
                </w:tcPr>
                <w:p w14:paraId="7FD7367E">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0.1%</w:t>
                  </w:r>
                </w:p>
              </w:tc>
              <w:tc>
                <w:tcPr>
                  <w:tcW w:w="1445" w:type="dxa"/>
                </w:tcPr>
                <w:p w14:paraId="5CE5DE2D">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0.2%</w:t>
                  </w:r>
                </w:p>
              </w:tc>
            </w:tr>
            <w:tr w14:paraId="46BA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10A3A8D0">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10000-100000</w:t>
                  </w:r>
                </w:p>
              </w:tc>
              <w:tc>
                <w:tcPr>
                  <w:tcW w:w="1214" w:type="dxa"/>
                </w:tcPr>
                <w:p w14:paraId="51366EA1">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0.05%</w:t>
                  </w:r>
                </w:p>
              </w:tc>
              <w:tc>
                <w:tcPr>
                  <w:tcW w:w="1444" w:type="dxa"/>
                </w:tcPr>
                <w:p w14:paraId="360DC8B5">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0.05%</w:t>
                  </w:r>
                </w:p>
              </w:tc>
              <w:tc>
                <w:tcPr>
                  <w:tcW w:w="1445" w:type="dxa"/>
                </w:tcPr>
                <w:p w14:paraId="64782312">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0.05%</w:t>
                  </w:r>
                </w:p>
              </w:tc>
            </w:tr>
            <w:tr w14:paraId="33BC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49" w:type="dxa"/>
                </w:tcPr>
                <w:p w14:paraId="527033BA">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1000000以上</w:t>
                  </w:r>
                </w:p>
              </w:tc>
              <w:tc>
                <w:tcPr>
                  <w:tcW w:w="1214" w:type="dxa"/>
                </w:tcPr>
                <w:p w14:paraId="1C48B36D">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0.01%</w:t>
                  </w:r>
                </w:p>
              </w:tc>
              <w:tc>
                <w:tcPr>
                  <w:tcW w:w="1444" w:type="dxa"/>
                </w:tcPr>
                <w:p w14:paraId="15867069">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0.01%</w:t>
                  </w:r>
                </w:p>
              </w:tc>
              <w:tc>
                <w:tcPr>
                  <w:tcW w:w="1445" w:type="dxa"/>
                </w:tcPr>
                <w:p w14:paraId="6E058275">
                  <w:pPr>
                    <w:keepNext w:val="0"/>
                    <w:keepLines w:val="0"/>
                    <w:suppressLineNumbers w:val="0"/>
                    <w:spacing w:before="0" w:beforeAutospacing="0" w:after="0" w:afterAutospacing="0" w:line="360" w:lineRule="auto"/>
                    <w:ind w:left="0" w:right="0"/>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0.01%</w:t>
                  </w:r>
                </w:p>
              </w:tc>
            </w:tr>
          </w:tbl>
          <w:p w14:paraId="790F098F">
            <w:pPr>
              <w:pStyle w:val="26"/>
              <w:ind w:left="0" w:leftChars="0" w:firstLine="0" w:firstLineChars="0"/>
              <w:outlineLvl w:val="9"/>
              <w:rPr>
                <w:rFonts w:hint="eastAsia" w:ascii="宋体" w:hAnsi="宋体" w:cs="宋体"/>
                <w:color w:val="000000" w:themeColor="text1"/>
                <w:sz w:val="24"/>
                <w:szCs w:val="24"/>
                <w14:textFill>
                  <w14:solidFill>
                    <w14:schemeClr w14:val="tx1"/>
                  </w14:solidFill>
                </w14:textFill>
              </w:rPr>
            </w:pPr>
          </w:p>
          <w:p w14:paraId="23CC31A6">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1182FA3D">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6D85D233">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7765B302">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13220D2D">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532E820B">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70B3D2A3">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38D256F9">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6103F821">
            <w:pPr>
              <w:keepNext w:val="0"/>
              <w:keepLines w:val="0"/>
              <w:suppressLineNumbers w:val="0"/>
              <w:spacing w:before="0" w:beforeAutospacing="0" w:after="0" w:afterAutospacing="0" w:line="360" w:lineRule="auto"/>
              <w:ind w:left="0" w:right="0"/>
              <w:outlineLvl w:val="9"/>
              <w:rPr>
                <w:rFonts w:hint="eastAsia" w:ascii="宋体" w:hAnsi="宋体" w:cs="宋体"/>
                <w:color w:val="000000" w:themeColor="text1"/>
                <w:sz w:val="24"/>
                <w:szCs w:val="24"/>
                <w14:textFill>
                  <w14:solidFill>
                    <w14:schemeClr w14:val="tx1"/>
                  </w14:solidFill>
                </w14:textFill>
              </w:rPr>
            </w:pPr>
          </w:p>
          <w:p w14:paraId="06A459B4">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例如：某</w:t>
            </w:r>
            <w:r>
              <w:rPr>
                <w:rFonts w:hint="eastAsia" w:ascii="宋体" w:hAnsi="宋体" w:cs="宋体"/>
                <w:color w:val="000000" w:themeColor="text1"/>
                <w:sz w:val="24"/>
                <w:szCs w:val="24"/>
                <w:lang w:val="en-US" w:eastAsia="zh-CN"/>
                <w14:textFill>
                  <w14:solidFill>
                    <w14:schemeClr w14:val="tx1"/>
                  </w14:solidFill>
                </w14:textFill>
              </w:rPr>
              <w:t>工程</w:t>
            </w:r>
            <w:r>
              <w:rPr>
                <w:rFonts w:hint="eastAsia" w:ascii="宋体" w:hAnsi="宋体" w:cs="宋体"/>
                <w:color w:val="000000" w:themeColor="text1"/>
                <w:sz w:val="24"/>
                <w:szCs w:val="24"/>
                <w14:textFill>
                  <w14:solidFill>
                    <w14:schemeClr w14:val="tx1"/>
                  </w14:solidFill>
                </w14:textFill>
              </w:rPr>
              <w:t>招标</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成交金额为678.2万元，采购代理服务费计算如下：</w:t>
            </w:r>
          </w:p>
          <w:p w14:paraId="7F4B93B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100万元*1.0%=1.00万元 </w:t>
            </w:r>
          </w:p>
          <w:p w14:paraId="108E716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(500-100)*0.7%=2.80万元</w:t>
            </w:r>
          </w:p>
          <w:p w14:paraId="5BB6DD61">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(678.2-500)*0.55%=0.9801万元</w:t>
            </w:r>
          </w:p>
          <w:p w14:paraId="0BE4F9D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服务费=1.00+2.80+0.9801=4.7801万元。</w:t>
            </w:r>
          </w:p>
          <w:p w14:paraId="4AEC1606">
            <w:pPr>
              <w:pageBreakBefore w:val="0"/>
              <w:kinsoku/>
              <w:wordWrap/>
              <w:overflowPunct/>
              <w:topLinePunct w:val="0"/>
              <w:autoSpaceDE/>
              <w:autoSpaceDN/>
              <w:bidi w:val="0"/>
              <w:adjustRightInd/>
              <w:snapToGrid/>
              <w:spacing w:line="360" w:lineRule="auto"/>
              <w:textAlignment w:val="auto"/>
              <w:outlineLvl w:val="9"/>
              <w:rPr>
                <w:rFonts w:hint="default" w:ascii="宋体" w:hAnsi="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（4）本项目项目属性：</w:t>
            </w:r>
            <w:r>
              <w:rPr>
                <w:rFonts w:hint="eastAsia" w:ascii="宋体" w:hAnsi="宋体" w:cs="宋体"/>
                <w:color w:val="000000" w:themeColor="text1"/>
                <w:sz w:val="24"/>
                <w:szCs w:val="24"/>
                <w:lang w:val="en-US" w:eastAsia="zh-CN"/>
                <w14:textFill>
                  <w14:solidFill>
                    <w14:schemeClr w14:val="tx1"/>
                  </w14:solidFill>
                </w14:textFill>
              </w:rPr>
              <w:t>工程</w:t>
            </w:r>
            <w:r>
              <w:rPr>
                <w:rFonts w:hint="eastAsia" w:ascii="宋体" w:hAnsi="宋体" w:eastAsia="宋体" w:cs="宋体"/>
                <w:color w:val="000000" w:themeColor="text1"/>
                <w:sz w:val="24"/>
                <w:szCs w:val="24"/>
                <w:lang w:val="en-US" w:eastAsia="zh-CN"/>
                <w14:textFill>
                  <w14:solidFill>
                    <w14:schemeClr w14:val="tx1"/>
                  </w14:solidFill>
                </w14:textFill>
              </w:rPr>
              <w:t>招标。</w:t>
            </w:r>
          </w:p>
        </w:tc>
      </w:tr>
      <w:tr w14:paraId="5BA17938">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02BD8C43">
            <w:pPr>
              <w:adjustRightInd w:val="0"/>
              <w:snapToGrid w:val="0"/>
              <w:spacing w:line="360" w:lineRule="auto"/>
              <w:jc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25</w:t>
            </w:r>
          </w:p>
        </w:tc>
        <w:tc>
          <w:tcPr>
            <w:tcW w:w="1690" w:type="dxa"/>
            <w:tcBorders>
              <w:top w:val="single" w:color="auto" w:sz="4" w:space="0"/>
              <w:left w:val="single" w:color="auto" w:sz="4" w:space="0"/>
              <w:bottom w:val="single" w:color="auto" w:sz="4" w:space="0"/>
              <w:right w:val="single" w:color="auto" w:sz="4" w:space="0"/>
            </w:tcBorders>
            <w:vAlign w:val="center"/>
          </w:tcPr>
          <w:p w14:paraId="3E9FE046">
            <w:pPr>
              <w:widowControl/>
              <w:adjustRightInd w:val="0"/>
              <w:snapToGrid w:val="0"/>
              <w:jc w:val="center"/>
              <w:textAlignment w:val="center"/>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公共资源信用承诺</w:t>
            </w:r>
          </w:p>
        </w:tc>
        <w:tc>
          <w:tcPr>
            <w:tcW w:w="7590" w:type="dxa"/>
            <w:tcBorders>
              <w:top w:val="single" w:color="auto" w:sz="4" w:space="0"/>
              <w:left w:val="single" w:color="auto" w:sz="4" w:space="0"/>
              <w:bottom w:val="single" w:color="auto" w:sz="4" w:space="0"/>
              <w:right w:val="single" w:color="auto" w:sz="4" w:space="0"/>
            </w:tcBorders>
            <w:vAlign w:val="center"/>
          </w:tcPr>
          <w:p w14:paraId="1AE2265C">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0260DA5A">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1.承诺事项名称：选择《榆林市政府采购工程类/货物类/服务类项目供应商信用承诺书》；承诺事由：“填写项目名称+项目编号”；承诺附件：按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文件给定的格式填写，需上传至承诺附件；受理部门为榆林市财政局采购科；附件承诺有效期为1年，承诺起始时间为提交投标文件截止之日。</w:t>
            </w:r>
          </w:p>
          <w:p w14:paraId="2CDDAF45">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2.承诺事项名称：选择《投标人信用承诺》；承诺事由：</w:t>
            </w:r>
            <w:r>
              <w:rPr>
                <w:rFonts w:hint="eastAsia" w:ascii="宋体" w:hAnsi="宋体" w:cs="宋体"/>
                <w:color w:val="000000" w:themeColor="text1"/>
                <w:kern w:val="0"/>
                <w:sz w:val="24"/>
                <w:szCs w:val="24"/>
                <w:lang w:val="zh-TW" w:eastAsia="zh-CN" w:bidi="ar-SA"/>
                <w14:textFill>
                  <w14:solidFill>
                    <w14:schemeClr w14:val="tx1"/>
                  </w14:solidFill>
                </w14:textFill>
              </w:rPr>
              <w:t>“填写项目名称+项目编号”</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文件给定的格式填写，需上传至承诺附件；受理部门为榆林市公共资源交易中心；承诺有效期同投标有效期，承诺起始时间为提交投标文件截止之日。</w:t>
            </w:r>
          </w:p>
          <w:p w14:paraId="2B3CB1D4">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3. 承诺事项名称：选择《投标信用(保证金）承诺书》；承诺事由：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“填写项目名称+项目编号”</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文件给定的格式填写，需上传至承诺附件；受理部门为榆林市公共资源交易中心；承诺有效期同投标有效期，承诺起始时间为提交投标文件截止之日。</w:t>
            </w:r>
          </w:p>
          <w:p w14:paraId="59F3E199">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4.承诺事项名称：《投标人委托代理人员信用承诺书》；承诺事由：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“填写项目名称+项目编号”</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文件给定的格式填写，需上传至承诺附件；受理部门为榆林市公共资源交易中心；承诺有效期同投标有效期，承诺起始时间为提交投标文件截止之日。</w:t>
            </w:r>
          </w:p>
          <w:p w14:paraId="3F7FB685">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注：①法定代表人直接参与投标的无须上报和提供《投标人委托代理人员信用承诺书》。</w:t>
            </w:r>
          </w:p>
          <w:p w14:paraId="420C1CE2">
            <w:pPr>
              <w:pStyle w:val="9"/>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②不见面开标结束后由采购代理机构通过平台进行核实查验，未按上述要求在“信用中国（陕西榆林）”网站进行自主上报信用承诺或投标文件中所附内容与上报内容不符的将否决投标。</w:t>
            </w:r>
          </w:p>
        </w:tc>
      </w:tr>
      <w:tr w14:paraId="25BB87F0">
        <w:tblPrEx>
          <w:tblCellMar>
            <w:top w:w="0" w:type="dxa"/>
            <w:left w:w="108" w:type="dxa"/>
            <w:bottom w:w="0" w:type="dxa"/>
            <w:right w:w="108" w:type="dxa"/>
          </w:tblCellMar>
        </w:tblPrEx>
        <w:trPr>
          <w:trHeight w:val="92" w:hRule="atLeast"/>
        </w:trPr>
        <w:tc>
          <w:tcPr>
            <w:tcW w:w="723" w:type="dxa"/>
            <w:tcBorders>
              <w:top w:val="single" w:color="auto" w:sz="4" w:space="0"/>
              <w:left w:val="single" w:color="auto" w:sz="4" w:space="0"/>
              <w:bottom w:val="single" w:color="auto" w:sz="4" w:space="0"/>
              <w:right w:val="single" w:color="auto" w:sz="4" w:space="0"/>
            </w:tcBorders>
            <w:vAlign w:val="center"/>
          </w:tcPr>
          <w:p w14:paraId="557EF1BB">
            <w:pPr>
              <w:widowControl/>
              <w:adjustRightInd w:val="0"/>
              <w:snapToGrid w:val="0"/>
              <w:spacing w:line="360" w:lineRule="auto"/>
              <w:jc w:val="center"/>
              <w:textAlignment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26</w:t>
            </w:r>
          </w:p>
        </w:tc>
        <w:tc>
          <w:tcPr>
            <w:tcW w:w="1690" w:type="dxa"/>
            <w:tcBorders>
              <w:top w:val="single" w:color="auto" w:sz="4" w:space="0"/>
              <w:left w:val="single" w:color="auto" w:sz="4" w:space="0"/>
              <w:bottom w:val="single" w:color="auto" w:sz="4" w:space="0"/>
              <w:right w:val="single" w:color="auto" w:sz="4" w:space="0"/>
            </w:tcBorders>
            <w:vAlign w:val="center"/>
          </w:tcPr>
          <w:p w14:paraId="690572B8">
            <w:pPr>
              <w:widowControl/>
              <w:adjustRightInd w:val="0"/>
              <w:snapToGrid w:val="0"/>
              <w:jc w:val="center"/>
              <w:textAlignment w:val="center"/>
              <w:outlineLvl w:val="9"/>
              <w:rPr>
                <w:rFonts w:ascii="宋体" w:hAnsi="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踏勘现场</w:t>
            </w:r>
          </w:p>
        </w:tc>
        <w:tc>
          <w:tcPr>
            <w:tcW w:w="7590" w:type="dxa"/>
            <w:tcBorders>
              <w:top w:val="single" w:color="auto" w:sz="4" w:space="0"/>
              <w:left w:val="single" w:color="auto" w:sz="4" w:space="0"/>
              <w:bottom w:val="single" w:color="auto" w:sz="4" w:space="0"/>
              <w:right w:val="single" w:color="auto" w:sz="4" w:space="0"/>
            </w:tcBorders>
            <w:vAlign w:val="center"/>
          </w:tcPr>
          <w:p w14:paraId="3DE98124">
            <w:pPr>
              <w:widowControl/>
              <w:adjustRightInd w:val="0"/>
              <w:snapToGrid w:val="0"/>
              <w:spacing w:line="360" w:lineRule="auto"/>
              <w:textAlignment w:val="center"/>
              <w:outlineLvl w:val="9"/>
              <w:rPr>
                <w:rFonts w:ascii="宋体" w:hAnsi="宋体" w:cs="宋体"/>
                <w:color w:val="000000" w:themeColor="text1"/>
                <w:sz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可根据竞争性</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文件的招标内容自行踏勘现场，由此引发的费用</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自行承担，采购人不组织</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踏勘现场。</w:t>
            </w:r>
          </w:p>
        </w:tc>
      </w:tr>
      <w:tr w14:paraId="53D1EAFE">
        <w:tblPrEx>
          <w:tblCellMar>
            <w:top w:w="0" w:type="dxa"/>
            <w:left w:w="108" w:type="dxa"/>
            <w:bottom w:w="0" w:type="dxa"/>
            <w:right w:w="108" w:type="dxa"/>
          </w:tblCellMar>
        </w:tblPrEx>
        <w:trPr>
          <w:trHeight w:val="92" w:hRule="atLeast"/>
        </w:trPr>
        <w:tc>
          <w:tcPr>
            <w:tcW w:w="723" w:type="dxa"/>
            <w:tcBorders>
              <w:top w:val="single" w:color="auto" w:sz="4" w:space="0"/>
              <w:left w:val="single" w:color="auto" w:sz="4" w:space="0"/>
              <w:bottom w:val="single" w:color="auto" w:sz="4" w:space="0"/>
              <w:right w:val="single" w:color="auto" w:sz="4" w:space="0"/>
            </w:tcBorders>
            <w:vAlign w:val="center"/>
          </w:tcPr>
          <w:p w14:paraId="010EA6AE">
            <w:pPr>
              <w:widowControl/>
              <w:adjustRightInd w:val="0"/>
              <w:snapToGrid w:val="0"/>
              <w:spacing w:line="360" w:lineRule="auto"/>
              <w:jc w:val="center"/>
              <w:textAlignment w:val="center"/>
              <w:outlineLvl w:val="9"/>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27</w:t>
            </w:r>
          </w:p>
        </w:tc>
        <w:tc>
          <w:tcPr>
            <w:tcW w:w="1690" w:type="dxa"/>
            <w:tcBorders>
              <w:top w:val="single" w:color="auto" w:sz="4" w:space="0"/>
              <w:left w:val="single" w:color="auto" w:sz="4" w:space="0"/>
              <w:bottom w:val="single" w:color="auto" w:sz="4" w:space="0"/>
              <w:right w:val="single" w:color="auto" w:sz="4" w:space="0"/>
            </w:tcBorders>
            <w:vAlign w:val="center"/>
          </w:tcPr>
          <w:p w14:paraId="04548A06">
            <w:pPr>
              <w:widowControl/>
              <w:adjustRightInd w:val="0"/>
              <w:snapToGrid w:val="0"/>
              <w:jc w:val="center"/>
              <w:textAlignment w:val="center"/>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政采贷</w:t>
            </w:r>
          </w:p>
        </w:tc>
        <w:tc>
          <w:tcPr>
            <w:tcW w:w="7590" w:type="dxa"/>
            <w:tcBorders>
              <w:top w:val="single" w:color="auto" w:sz="4" w:space="0"/>
              <w:left w:val="single" w:color="auto" w:sz="4" w:space="0"/>
              <w:bottom w:val="single" w:color="auto" w:sz="4" w:space="0"/>
              <w:right w:val="single" w:color="auto" w:sz="4" w:space="0"/>
            </w:tcBorders>
            <w:vAlign w:val="center"/>
          </w:tcPr>
          <w:p w14:paraId="17B48741">
            <w:pPr>
              <w:spacing w:line="360" w:lineRule="auto"/>
              <w:jc w:val="left"/>
              <w:rPr>
                <w:rFonts w:hint="eastAsia" w:ascii="宋体" w:hAnsi="宋体" w:eastAsia="宋体" w:cs="宋体"/>
                <w:b/>
                <w:bCs w:val="0"/>
                <w:color w:val="000000" w:themeColor="text1"/>
                <w:sz w:val="18"/>
                <w:szCs w:val="18"/>
                <w14:textFill>
                  <w14:solidFill>
                    <w14:schemeClr w14:val="tx1"/>
                  </w14:solidFill>
                </w14:textFill>
              </w:rPr>
            </w:pPr>
            <w:r>
              <w:rPr>
                <w:rFonts w:hint="eastAsia" w:ascii="宋体" w:hAnsi="宋体" w:eastAsia="宋体" w:cs="宋体"/>
                <w:b/>
                <w:bCs w:val="0"/>
                <w:color w:val="000000" w:themeColor="text1"/>
                <w:sz w:val="18"/>
                <w:szCs w:val="18"/>
                <w14:textFill>
                  <w14:solidFill>
                    <w14:schemeClr w14:val="tx1"/>
                  </w14:solidFill>
                </w14:textFill>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bCs w:val="0"/>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val="0"/>
                <w:color w:val="000000" w:themeColor="text1"/>
                <w:sz w:val="18"/>
                <w:szCs w:val="18"/>
                <w14:textFill>
                  <w14:solidFill>
                    <w14:schemeClr w14:val="tx1"/>
                  </w14:solidFill>
                </w14:textFill>
              </w:rPr>
              <w:t>国办《关于促进中小企业健康发展的指导意见》、财政部</w:t>
            </w:r>
            <w:r>
              <w:rPr>
                <w:rFonts w:hint="eastAsia" w:ascii="宋体" w:hAnsi="宋体" w:eastAsia="宋体" w:cs="宋体"/>
                <w:b/>
                <w:bCs w:val="0"/>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val="0"/>
                <w:color w:val="000000" w:themeColor="text1"/>
                <w:sz w:val="18"/>
                <w:szCs w:val="18"/>
                <w14:textFill>
                  <w14:solidFill>
                    <w14:schemeClr w14:val="tx1"/>
                  </w14:solidFill>
                </w14:textFill>
              </w:rPr>
              <w:t>工信部《政府采购促进中小企业发展</w:t>
            </w:r>
            <w:r>
              <w:rPr>
                <w:rFonts w:hint="eastAsia" w:ascii="宋体" w:hAnsi="宋体" w:eastAsia="宋体" w:cs="宋体"/>
                <w:b/>
                <w:bCs w:val="0"/>
                <w:color w:val="000000" w:themeColor="text1"/>
                <w:sz w:val="18"/>
                <w:szCs w:val="18"/>
                <w:lang w:val="en-US" w:eastAsia="zh-CN"/>
                <w14:textFill>
                  <w14:solidFill>
                    <w14:schemeClr w14:val="tx1"/>
                  </w14:solidFill>
                </w14:textFill>
              </w:rPr>
              <w:t>管理</w:t>
            </w:r>
            <w:r>
              <w:rPr>
                <w:rFonts w:hint="eastAsia" w:ascii="宋体" w:hAnsi="宋体" w:eastAsia="宋体" w:cs="宋体"/>
                <w:b/>
                <w:bCs w:val="0"/>
                <w:color w:val="000000" w:themeColor="text1"/>
                <w:sz w:val="18"/>
                <w:szCs w:val="18"/>
                <w14:textFill>
                  <w14:solidFill>
                    <w14:schemeClr w14:val="tx1"/>
                  </w14:solidFill>
                </w14:textFill>
              </w:rPr>
              <w:t>办法》（财库〔20</w:t>
            </w:r>
            <w:r>
              <w:rPr>
                <w:rFonts w:hint="eastAsia" w:ascii="宋体" w:hAnsi="宋体" w:eastAsia="宋体" w:cs="宋体"/>
                <w:b/>
                <w:bCs w:val="0"/>
                <w:color w:val="000000" w:themeColor="text1"/>
                <w:sz w:val="18"/>
                <w:szCs w:val="18"/>
                <w:lang w:val="en-US" w:eastAsia="zh-CN"/>
                <w14:textFill>
                  <w14:solidFill>
                    <w14:schemeClr w14:val="tx1"/>
                  </w14:solidFill>
                </w14:textFill>
              </w:rPr>
              <w:t>20</w:t>
            </w:r>
            <w:r>
              <w:rPr>
                <w:rFonts w:hint="eastAsia" w:ascii="宋体" w:hAnsi="宋体" w:eastAsia="宋体" w:cs="宋体"/>
                <w:b/>
                <w:bCs w:val="0"/>
                <w:color w:val="000000" w:themeColor="text1"/>
                <w:sz w:val="18"/>
                <w:szCs w:val="18"/>
                <w14:textFill>
                  <w14:solidFill>
                    <w14:schemeClr w14:val="tx1"/>
                  </w14:solidFill>
                </w14:textFill>
              </w:rPr>
              <w:t>〕</w:t>
            </w:r>
            <w:r>
              <w:rPr>
                <w:rFonts w:hint="eastAsia" w:ascii="宋体" w:hAnsi="宋体" w:eastAsia="宋体" w:cs="宋体"/>
                <w:b/>
                <w:bCs w:val="0"/>
                <w:color w:val="000000" w:themeColor="text1"/>
                <w:sz w:val="18"/>
                <w:szCs w:val="18"/>
                <w:lang w:val="en-US" w:eastAsia="zh-CN"/>
                <w14:textFill>
                  <w14:solidFill>
                    <w14:schemeClr w14:val="tx1"/>
                  </w14:solidFill>
                </w14:textFill>
              </w:rPr>
              <w:t>46</w:t>
            </w:r>
            <w:r>
              <w:rPr>
                <w:rFonts w:hint="eastAsia" w:ascii="宋体" w:hAnsi="宋体" w:eastAsia="宋体" w:cs="宋体"/>
                <w:b/>
                <w:bCs w:val="0"/>
                <w:color w:val="000000" w:themeColor="text1"/>
                <w:sz w:val="18"/>
                <w:szCs w:val="18"/>
                <w14:textFill>
                  <w14:solidFill>
                    <w14:schemeClr w14:val="tx1"/>
                  </w14:solidFill>
                </w14:textFill>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bCs w:val="0"/>
                <w:color w:val="000000" w:themeColor="text1"/>
                <w:sz w:val="18"/>
                <w:szCs w:val="18"/>
                <w:lang w:eastAsia="zh-CN"/>
                <w14:textFill>
                  <w14:solidFill>
                    <w14:schemeClr w14:val="tx1"/>
                  </w14:solidFill>
                </w14:textFill>
              </w:rPr>
              <w:t>、</w:t>
            </w:r>
            <w:r>
              <w:rPr>
                <w:rFonts w:hint="eastAsia" w:ascii="宋体" w:hAnsi="宋体" w:eastAsia="宋体" w:cs="宋体"/>
                <w:b/>
                <w:bCs w:val="0"/>
                <w:color w:val="000000" w:themeColor="text1"/>
                <w:sz w:val="18"/>
                <w:szCs w:val="18"/>
                <w:lang w:val="en-US" w:eastAsia="zh-CN"/>
                <w14:textFill>
                  <w14:solidFill>
                    <w14:schemeClr w14:val="tx1"/>
                  </w14:solidFill>
                </w14:textFill>
              </w:rPr>
              <w:t>《陕西省财政厅 中国人民银行西安分行关于深入推进政府采购信用融资业务</w:t>
            </w:r>
            <w:r>
              <w:rPr>
                <w:rFonts w:hint="default" w:ascii="宋体" w:hAnsi="宋体" w:eastAsia="宋体" w:cs="宋体"/>
                <w:b/>
                <w:bCs w:val="0"/>
                <w:color w:val="000000" w:themeColor="text1"/>
                <w:sz w:val="18"/>
                <w:szCs w:val="18"/>
                <w:lang w:val="en-US" w:eastAsia="zh-CN"/>
                <w14:textFill>
                  <w14:solidFill>
                    <w14:schemeClr w14:val="tx1"/>
                  </w14:solidFill>
                </w14:textFill>
              </w:rPr>
              <w:t>的通知</w:t>
            </w:r>
            <w:r>
              <w:rPr>
                <w:rFonts w:hint="eastAsia" w:ascii="宋体" w:hAnsi="宋体" w:eastAsia="宋体" w:cs="宋体"/>
                <w:b/>
                <w:bCs w:val="0"/>
                <w:color w:val="000000" w:themeColor="text1"/>
                <w:sz w:val="18"/>
                <w:szCs w:val="18"/>
                <w:lang w:val="en-US" w:eastAsia="zh-CN"/>
                <w14:textFill>
                  <w14:solidFill>
                    <w14:schemeClr w14:val="tx1"/>
                  </w14:solidFill>
                </w14:textFill>
              </w:rPr>
              <w:t>》</w:t>
            </w:r>
            <w:r>
              <w:rPr>
                <w:rFonts w:hint="eastAsia" w:ascii="宋体" w:hAnsi="宋体" w:eastAsia="宋体" w:cs="宋体"/>
                <w:b/>
                <w:bCs w:val="0"/>
                <w:color w:val="000000" w:themeColor="text1"/>
                <w:sz w:val="18"/>
                <w:szCs w:val="18"/>
                <w14:textFill>
                  <w14:solidFill>
                    <w14:schemeClr w14:val="tx1"/>
                  </w14:solidFill>
                </w14:textFill>
              </w:rPr>
              <w:t>（陕财办采〔202</w:t>
            </w:r>
            <w:r>
              <w:rPr>
                <w:rFonts w:hint="eastAsia" w:ascii="宋体" w:hAnsi="宋体" w:eastAsia="宋体" w:cs="宋体"/>
                <w:b/>
                <w:bCs w:val="0"/>
                <w:color w:val="000000" w:themeColor="text1"/>
                <w:sz w:val="18"/>
                <w:szCs w:val="18"/>
                <w:lang w:val="en-US" w:eastAsia="zh-CN"/>
                <w14:textFill>
                  <w14:solidFill>
                    <w14:schemeClr w14:val="tx1"/>
                  </w14:solidFill>
                </w14:textFill>
              </w:rPr>
              <w:t>3</w:t>
            </w:r>
            <w:r>
              <w:rPr>
                <w:rFonts w:hint="eastAsia" w:ascii="宋体" w:hAnsi="宋体" w:eastAsia="宋体" w:cs="宋体"/>
                <w:b/>
                <w:bCs w:val="0"/>
                <w:color w:val="000000" w:themeColor="text1"/>
                <w:sz w:val="18"/>
                <w:szCs w:val="18"/>
                <w14:textFill>
                  <w14:solidFill>
                    <w14:schemeClr w14:val="tx1"/>
                  </w14:solidFill>
                </w14:textFill>
              </w:rPr>
              <w:t>〕5号）等有关规定，按照</w:t>
            </w:r>
            <w:r>
              <w:rPr>
                <w:rFonts w:hint="eastAsia" w:ascii="宋体" w:hAnsi="宋体" w:eastAsia="宋体" w:cs="宋体"/>
                <w:b/>
                <w:bCs w:val="0"/>
                <w:color w:val="000000" w:themeColor="text1"/>
                <w:sz w:val="18"/>
                <w:szCs w:val="18"/>
                <w:lang w:val="en-US" w:eastAsia="zh-CN"/>
                <w14:textFill>
                  <w14:solidFill>
                    <w14:schemeClr w14:val="tx1"/>
                  </w14:solidFill>
                </w14:textFill>
              </w:rPr>
              <w:t>政府</w:t>
            </w:r>
            <w:r>
              <w:rPr>
                <w:rFonts w:hint="eastAsia" w:ascii="宋体" w:hAnsi="宋体" w:eastAsia="宋体" w:cs="宋体"/>
                <w:b/>
                <w:bCs w:val="0"/>
                <w:color w:val="000000" w:themeColor="text1"/>
                <w:sz w:val="18"/>
                <w:szCs w:val="18"/>
                <w14:textFill>
                  <w14:solidFill>
                    <w14:schemeClr w14:val="tx1"/>
                  </w14:solidFill>
                </w14:textFill>
              </w:rPr>
              <w:t>引导、</w:t>
            </w:r>
            <w:r>
              <w:rPr>
                <w:rFonts w:hint="eastAsia" w:ascii="宋体" w:hAnsi="宋体" w:eastAsia="宋体" w:cs="宋体"/>
                <w:b/>
                <w:bCs w:val="0"/>
                <w:color w:val="000000" w:themeColor="text1"/>
                <w:sz w:val="18"/>
                <w:szCs w:val="18"/>
                <w:lang w:val="en-US" w:eastAsia="zh-CN"/>
                <w14:textFill>
                  <w14:solidFill>
                    <w14:schemeClr w14:val="tx1"/>
                  </w14:solidFill>
                </w14:textFill>
              </w:rPr>
              <w:t>市场运作、银企</w:t>
            </w:r>
            <w:r>
              <w:rPr>
                <w:rFonts w:hint="eastAsia" w:ascii="宋体" w:hAnsi="宋体" w:eastAsia="宋体" w:cs="宋体"/>
                <w:b/>
                <w:bCs w:val="0"/>
                <w:color w:val="000000" w:themeColor="text1"/>
                <w:sz w:val="18"/>
                <w:szCs w:val="18"/>
                <w14:textFill>
                  <w14:solidFill>
                    <w14:schemeClr w14:val="tx1"/>
                  </w14:solidFill>
                </w14:textFill>
              </w:rPr>
              <w:t>自愿、风险自担的原则，中标（成交）供应商可根据自身资金需求，登录陕西省政府采购信用融资平台（http://www.ccgp-shaanxi.gov.cn/zcdservice/zcd/shanxi/）</w:t>
            </w:r>
            <w:r>
              <w:rPr>
                <w:rFonts w:hint="eastAsia" w:ascii="宋体" w:hAnsi="宋体" w:eastAsia="宋体" w:cs="宋体"/>
                <w:b/>
                <w:bCs w:val="0"/>
                <w:color w:val="000000" w:themeColor="text1"/>
                <w:sz w:val="18"/>
                <w:szCs w:val="18"/>
                <w:lang w:val="en-US" w:eastAsia="zh-CN"/>
                <w14:textFill>
                  <w14:solidFill>
                    <w14:schemeClr w14:val="tx1"/>
                  </w14:solidFill>
                </w14:textFill>
              </w:rPr>
              <w:t>或中征平台（https://www.crcrfsp.com）</w:t>
            </w:r>
            <w:r>
              <w:rPr>
                <w:rFonts w:hint="eastAsia" w:ascii="宋体" w:hAnsi="宋体" w:eastAsia="宋体" w:cs="宋体"/>
                <w:b/>
                <w:bCs w:val="0"/>
                <w:color w:val="000000" w:themeColor="text1"/>
                <w:sz w:val="18"/>
                <w:szCs w:val="18"/>
                <w14:textFill>
                  <w14:solidFill>
                    <w14:schemeClr w14:val="tx1"/>
                  </w14:solidFill>
                </w14:textFill>
              </w:rPr>
              <w:t>在线申请，依法参加政府采购信用融资活动。</w:t>
            </w:r>
          </w:p>
          <w:tbl>
            <w:tblPr>
              <w:tblStyle w:val="20"/>
              <w:tblpPr w:leftFromText="180" w:rightFromText="180" w:vertAnchor="page" w:horzAnchor="page" w:tblpX="265" w:tblpY="3394"/>
              <w:tblOverlap w:val="never"/>
              <w:tblW w:w="72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
              <w:gridCol w:w="878"/>
              <w:gridCol w:w="808"/>
              <w:gridCol w:w="835"/>
              <w:gridCol w:w="845"/>
              <w:gridCol w:w="914"/>
              <w:gridCol w:w="893"/>
              <w:gridCol w:w="1662"/>
            </w:tblGrid>
            <w:tr w14:paraId="0D6C4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444" w:type="dxa"/>
                  <w:tcBorders>
                    <w:top w:val="nil"/>
                    <w:left w:val="nil"/>
                    <w:bottom w:val="nil"/>
                    <w:right w:val="nil"/>
                  </w:tcBorders>
                  <w:noWrap/>
                  <w:vAlign w:val="center"/>
                </w:tcPr>
                <w:p w14:paraId="42EE60A7">
                  <w:pPr>
                    <w:keepNext w:val="0"/>
                    <w:keepLines w:val="0"/>
                    <w:widowControl/>
                    <w:suppressLineNumbers w:val="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6835" w:type="dxa"/>
                  <w:gridSpan w:val="7"/>
                  <w:tcBorders>
                    <w:top w:val="nil"/>
                    <w:left w:val="nil"/>
                    <w:bottom w:val="nil"/>
                    <w:right w:val="nil"/>
                  </w:tcBorders>
                  <w:noWrap/>
                  <w:vAlign w:val="center"/>
                </w:tcPr>
                <w:p w14:paraId="3E054671">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榆林市“政采贷”业务办理银行联系表</w:t>
                  </w:r>
                </w:p>
              </w:tc>
            </w:tr>
            <w:tr w14:paraId="74B23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125F36B4">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序号</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234BF5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银行名称</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75E7F9A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产品名称</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CC04A2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贷款额度</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F2FB50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贷款期限</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173EED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贷款利率</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30E20E3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办理时效</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7E48325">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联系人</w:t>
                  </w:r>
                </w:p>
              </w:tc>
            </w:tr>
            <w:tr w14:paraId="0D374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4FA411D4">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881EBA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长安银行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614E144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7946E0F">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0DD9BF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8E4733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6AF4B90C">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14:paraId="517918A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魏  众15109123951</w:t>
                  </w:r>
                </w:p>
              </w:tc>
            </w:tr>
            <w:tr w14:paraId="10E1A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1DF1C3DB">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07B0B00">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中信银行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145FAE9E">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政采E贷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4650666">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39415EB">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40CED992">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3.45%起</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189D4B85">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9F7D07F">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高  明18992218795</w:t>
                  </w:r>
                </w:p>
              </w:tc>
            </w:tr>
            <w:tr w14:paraId="2FD2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340B1D08">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FA517A2">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光大银行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69C9FAD8">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1E81CC">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1E9FD66">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642C6DE">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431A8B4F">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89DC2C3">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艾思宇13509127997</w:t>
                  </w:r>
                </w:p>
              </w:tc>
            </w:tr>
            <w:tr w14:paraId="3ECBD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786C6BE4">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4</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2D1D88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交通银行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5E09893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秦政贷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374F15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55A4B953">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7F152CFC">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1336C31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A64135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张  飞15291296886</w:t>
                  </w:r>
                </w:p>
              </w:tc>
            </w:tr>
            <w:tr w14:paraId="4F11B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4CFAF079">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5</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A7C81B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中国银行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21DDF028">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5B6DBA4">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1B016A1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11971CB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0830F61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14:paraId="3C48A4A2">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李  浩18691230007</w:t>
                  </w:r>
                </w:p>
              </w:tc>
            </w:tr>
            <w:tr w14:paraId="5CBFC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4A8EEEFC">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6</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4A4A7C3">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招商银行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2DADB725">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1C01CAF">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4892436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49C30FB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3.45%起</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27E11FC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D9CF4C4">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马  烨15596100007</w:t>
                  </w:r>
                </w:p>
              </w:tc>
            </w:tr>
            <w:tr w14:paraId="7144C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72968E01">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C293723">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浦发银行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3749689E">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政采E贷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91AF3F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65A2C2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5247EDD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lang w:val="en-US"/>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3.45%起</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278A4A7E">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F19639D">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朱  君15629169158</w:t>
                  </w:r>
                </w:p>
              </w:tc>
            </w:tr>
            <w:tr w14:paraId="2CA3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4655D13A">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8</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A98079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农商银行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6575863E">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581B388">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49FBC88A">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1-2年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1EA2BF8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3.45%-5.8%</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2A38AF6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89C78F4">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王  璐15529875056</w:t>
                  </w:r>
                </w:p>
              </w:tc>
            </w:tr>
            <w:tr w14:paraId="5663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7A5C16BE">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9</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056306F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农业银行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3EF0D49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0601D1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7ED4AFB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4FC89905">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3.45%以上</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5A2F13D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7B58D9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米璐洁18966997666</w:t>
                  </w:r>
                </w:p>
              </w:tc>
            </w:tr>
            <w:tr w14:paraId="0F63C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1F64768F">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ACDFECF">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民生银行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42A6657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政采E贷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3F4756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79E4F63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0429830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3.45%起</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2F9AEA9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BBA87AE">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u w:val="none"/>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郝双双15991225850</w:t>
                  </w:r>
                </w:p>
              </w:tc>
            </w:tr>
            <w:tr w14:paraId="0501B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000000" w:sz="4" w:space="0"/>
                    <w:right w:val="single" w:color="000000" w:sz="4" w:space="0"/>
                  </w:tcBorders>
                  <w:noWrap/>
                  <w:vAlign w:val="center"/>
                </w:tcPr>
                <w:p w14:paraId="0C96FFCB">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11</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2AA3180">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兴业银行</w:t>
                  </w:r>
                </w:p>
              </w:tc>
              <w:tc>
                <w:tcPr>
                  <w:tcW w:w="808" w:type="dxa"/>
                  <w:tcBorders>
                    <w:top w:val="single" w:color="000000" w:sz="4" w:space="0"/>
                    <w:left w:val="single" w:color="000000" w:sz="4" w:space="0"/>
                    <w:bottom w:val="single" w:color="000000" w:sz="4" w:space="0"/>
                    <w:right w:val="single" w:color="000000" w:sz="4" w:space="0"/>
                  </w:tcBorders>
                  <w:noWrap/>
                  <w:vAlign w:val="center"/>
                </w:tcPr>
                <w:p w14:paraId="3A22C972">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政采贷</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33FFC42">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4E9C9FD7">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1年期</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64BD1DCB">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w:t>
                  </w:r>
                </w:p>
              </w:tc>
              <w:tc>
                <w:tcPr>
                  <w:tcW w:w="893" w:type="dxa"/>
                  <w:tcBorders>
                    <w:top w:val="single" w:color="000000" w:sz="4" w:space="0"/>
                    <w:left w:val="single" w:color="000000" w:sz="4" w:space="0"/>
                    <w:bottom w:val="single" w:color="000000" w:sz="4" w:space="0"/>
                    <w:right w:val="single" w:color="000000" w:sz="4" w:space="0"/>
                  </w:tcBorders>
                  <w:noWrap/>
                  <w:vAlign w:val="center"/>
                </w:tcPr>
                <w:p w14:paraId="4FE4729E">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2F583A1">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薛万隆18709258523</w:t>
                  </w:r>
                </w:p>
              </w:tc>
            </w:tr>
            <w:tr w14:paraId="1F10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000000" w:sz="4" w:space="0"/>
                    <w:left w:val="single" w:color="000000" w:sz="4" w:space="0"/>
                    <w:bottom w:val="single" w:color="auto" w:sz="4" w:space="0"/>
                    <w:right w:val="single" w:color="000000" w:sz="4" w:space="0"/>
                  </w:tcBorders>
                  <w:noWrap/>
                  <w:vAlign w:val="center"/>
                </w:tcPr>
                <w:p w14:paraId="36ED5A88">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12</w:t>
                  </w:r>
                </w:p>
              </w:tc>
              <w:tc>
                <w:tcPr>
                  <w:tcW w:w="878" w:type="dxa"/>
                  <w:tcBorders>
                    <w:top w:val="single" w:color="000000" w:sz="4" w:space="0"/>
                    <w:left w:val="single" w:color="000000" w:sz="4" w:space="0"/>
                    <w:bottom w:val="single" w:color="auto" w:sz="4" w:space="0"/>
                    <w:right w:val="single" w:color="000000" w:sz="4" w:space="0"/>
                  </w:tcBorders>
                  <w:noWrap/>
                  <w:vAlign w:val="center"/>
                </w:tcPr>
                <w:p w14:paraId="59D11DE0">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广发银行</w:t>
                  </w:r>
                </w:p>
              </w:tc>
              <w:tc>
                <w:tcPr>
                  <w:tcW w:w="808" w:type="dxa"/>
                  <w:tcBorders>
                    <w:top w:val="single" w:color="000000" w:sz="4" w:space="0"/>
                    <w:left w:val="single" w:color="000000" w:sz="4" w:space="0"/>
                    <w:bottom w:val="single" w:color="auto" w:sz="4" w:space="0"/>
                    <w:right w:val="single" w:color="000000" w:sz="4" w:space="0"/>
                  </w:tcBorders>
                  <w:noWrap/>
                  <w:vAlign w:val="center"/>
                </w:tcPr>
                <w:p w14:paraId="7DC31D87">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政采通</w:t>
                  </w:r>
                </w:p>
              </w:tc>
              <w:tc>
                <w:tcPr>
                  <w:tcW w:w="835" w:type="dxa"/>
                  <w:tcBorders>
                    <w:top w:val="single" w:color="000000" w:sz="4" w:space="0"/>
                    <w:left w:val="single" w:color="000000" w:sz="4" w:space="0"/>
                    <w:bottom w:val="single" w:color="auto" w:sz="4" w:space="0"/>
                    <w:right w:val="single" w:color="000000" w:sz="4" w:space="0"/>
                  </w:tcBorders>
                  <w:noWrap/>
                  <w:vAlign w:val="center"/>
                </w:tcPr>
                <w:p w14:paraId="672FC8CE">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000000" w:sz="4" w:space="0"/>
                    <w:left w:val="single" w:color="000000" w:sz="4" w:space="0"/>
                    <w:bottom w:val="single" w:color="auto" w:sz="4" w:space="0"/>
                    <w:right w:val="single" w:color="000000" w:sz="4" w:space="0"/>
                  </w:tcBorders>
                  <w:noWrap/>
                  <w:vAlign w:val="center"/>
                </w:tcPr>
                <w:p w14:paraId="4C7E558C">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000000" w:sz="4" w:space="0"/>
                    <w:left w:val="single" w:color="000000" w:sz="4" w:space="0"/>
                    <w:bottom w:val="single" w:color="auto" w:sz="4" w:space="0"/>
                    <w:right w:val="single" w:color="000000" w:sz="4" w:space="0"/>
                  </w:tcBorders>
                  <w:noWrap/>
                  <w:vAlign w:val="center"/>
                </w:tcPr>
                <w:p w14:paraId="2DE3F469">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3.45%起</w:t>
                  </w:r>
                </w:p>
              </w:tc>
              <w:tc>
                <w:tcPr>
                  <w:tcW w:w="893" w:type="dxa"/>
                  <w:tcBorders>
                    <w:top w:val="single" w:color="000000" w:sz="4" w:space="0"/>
                    <w:left w:val="single" w:color="000000" w:sz="4" w:space="0"/>
                    <w:bottom w:val="single" w:color="auto" w:sz="4" w:space="0"/>
                    <w:right w:val="single" w:color="000000" w:sz="4" w:space="0"/>
                  </w:tcBorders>
                  <w:noWrap/>
                  <w:vAlign w:val="center"/>
                </w:tcPr>
                <w:p w14:paraId="1B48F013">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24小时</w:t>
                  </w:r>
                </w:p>
              </w:tc>
              <w:tc>
                <w:tcPr>
                  <w:tcW w:w="1662" w:type="dxa"/>
                  <w:tcBorders>
                    <w:top w:val="single" w:color="000000" w:sz="4" w:space="0"/>
                    <w:left w:val="single" w:color="000000" w:sz="4" w:space="0"/>
                    <w:bottom w:val="single" w:color="auto" w:sz="4" w:space="0"/>
                    <w:right w:val="single" w:color="000000" w:sz="4" w:space="0"/>
                  </w:tcBorders>
                  <w:noWrap/>
                  <w:vAlign w:val="center"/>
                </w:tcPr>
                <w:p w14:paraId="02215D1A">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李思嘉15191820101</w:t>
                  </w:r>
                </w:p>
              </w:tc>
            </w:tr>
            <w:tr w14:paraId="5D91D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44" w:type="dxa"/>
                  <w:tcBorders>
                    <w:top w:val="single" w:color="auto" w:sz="4" w:space="0"/>
                    <w:left w:val="single" w:color="auto" w:sz="4" w:space="0"/>
                    <w:bottom w:val="single" w:color="auto" w:sz="4" w:space="0"/>
                    <w:right w:val="single" w:color="auto" w:sz="4" w:space="0"/>
                  </w:tcBorders>
                  <w:noWrap/>
                  <w:vAlign w:val="center"/>
                </w:tcPr>
                <w:p w14:paraId="4C7711C8">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13</w:t>
                  </w:r>
                </w:p>
              </w:tc>
              <w:tc>
                <w:tcPr>
                  <w:tcW w:w="878" w:type="dxa"/>
                  <w:tcBorders>
                    <w:top w:val="single" w:color="auto" w:sz="4" w:space="0"/>
                    <w:left w:val="single" w:color="auto" w:sz="4" w:space="0"/>
                    <w:bottom w:val="single" w:color="auto" w:sz="4" w:space="0"/>
                    <w:right w:val="single" w:color="auto" w:sz="4" w:space="0"/>
                  </w:tcBorders>
                  <w:noWrap/>
                  <w:vAlign w:val="center"/>
                </w:tcPr>
                <w:p w14:paraId="69848688">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建设银行</w:t>
                  </w:r>
                </w:p>
              </w:tc>
              <w:tc>
                <w:tcPr>
                  <w:tcW w:w="808" w:type="dxa"/>
                  <w:tcBorders>
                    <w:top w:val="single" w:color="auto" w:sz="4" w:space="0"/>
                    <w:left w:val="single" w:color="auto" w:sz="4" w:space="0"/>
                    <w:bottom w:val="single" w:color="auto" w:sz="4" w:space="0"/>
                    <w:right w:val="single" w:color="auto" w:sz="4" w:space="0"/>
                  </w:tcBorders>
                  <w:noWrap/>
                  <w:vAlign w:val="center"/>
                </w:tcPr>
                <w:p w14:paraId="2E230BF9">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E政通</w:t>
                  </w:r>
                </w:p>
              </w:tc>
              <w:tc>
                <w:tcPr>
                  <w:tcW w:w="835" w:type="dxa"/>
                  <w:tcBorders>
                    <w:top w:val="single" w:color="auto" w:sz="4" w:space="0"/>
                    <w:left w:val="single" w:color="auto" w:sz="4" w:space="0"/>
                    <w:bottom w:val="single" w:color="auto" w:sz="4" w:space="0"/>
                    <w:right w:val="single" w:color="auto" w:sz="4" w:space="0"/>
                  </w:tcBorders>
                  <w:noWrap/>
                  <w:vAlign w:val="center"/>
                </w:tcPr>
                <w:p w14:paraId="154C2F2F">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1000万元</w:t>
                  </w:r>
                </w:p>
              </w:tc>
              <w:tc>
                <w:tcPr>
                  <w:tcW w:w="845" w:type="dxa"/>
                  <w:tcBorders>
                    <w:top w:val="single" w:color="auto" w:sz="4" w:space="0"/>
                    <w:left w:val="single" w:color="auto" w:sz="4" w:space="0"/>
                    <w:bottom w:val="single" w:color="auto" w:sz="4" w:space="0"/>
                    <w:right w:val="single" w:color="auto" w:sz="4" w:space="0"/>
                  </w:tcBorders>
                  <w:noWrap/>
                  <w:vAlign w:val="center"/>
                </w:tcPr>
                <w:p w14:paraId="0A0FA2A7">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1年</w:t>
                  </w:r>
                </w:p>
              </w:tc>
              <w:tc>
                <w:tcPr>
                  <w:tcW w:w="914" w:type="dxa"/>
                  <w:tcBorders>
                    <w:top w:val="single" w:color="auto" w:sz="4" w:space="0"/>
                    <w:left w:val="single" w:color="auto" w:sz="4" w:space="0"/>
                    <w:bottom w:val="single" w:color="auto" w:sz="4" w:space="0"/>
                    <w:right w:val="single" w:color="auto" w:sz="4" w:space="0"/>
                  </w:tcBorders>
                  <w:noWrap/>
                  <w:vAlign w:val="center"/>
                </w:tcPr>
                <w:p w14:paraId="76324B93">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3.2%</w:t>
                  </w:r>
                </w:p>
              </w:tc>
              <w:tc>
                <w:tcPr>
                  <w:tcW w:w="893" w:type="dxa"/>
                  <w:tcBorders>
                    <w:top w:val="single" w:color="auto" w:sz="4" w:space="0"/>
                    <w:left w:val="single" w:color="auto" w:sz="4" w:space="0"/>
                    <w:bottom w:val="single" w:color="auto" w:sz="4" w:space="0"/>
                    <w:right w:val="single" w:color="auto" w:sz="4" w:space="0"/>
                  </w:tcBorders>
                  <w:noWrap/>
                  <w:vAlign w:val="center"/>
                </w:tcPr>
                <w:p w14:paraId="1BE6F7F1">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72小时</w:t>
                  </w:r>
                </w:p>
              </w:tc>
              <w:tc>
                <w:tcPr>
                  <w:tcW w:w="1662" w:type="dxa"/>
                  <w:tcBorders>
                    <w:top w:val="single" w:color="auto" w:sz="4" w:space="0"/>
                    <w:left w:val="single" w:color="auto" w:sz="4" w:space="0"/>
                    <w:bottom w:val="single" w:color="auto" w:sz="4" w:space="0"/>
                    <w:right w:val="single" w:color="auto" w:sz="4" w:space="0"/>
                  </w:tcBorders>
                  <w:noWrap/>
                  <w:vAlign w:val="center"/>
                </w:tcPr>
                <w:p w14:paraId="45E20204">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t>张 宇 15929397838</w:t>
                  </w:r>
                </w:p>
              </w:tc>
            </w:tr>
            <w:tr w14:paraId="32F1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7279" w:type="dxa"/>
                  <w:gridSpan w:val="8"/>
                  <w:tcBorders>
                    <w:top w:val="single" w:color="auto" w:sz="4" w:space="0"/>
                    <w:left w:val="nil"/>
                    <w:bottom w:val="nil"/>
                    <w:right w:val="nil"/>
                  </w:tcBorders>
                  <w:noWrap/>
                  <w:vAlign w:val="center"/>
                </w:tcPr>
                <w:p w14:paraId="4356B7B5">
                  <w:pPr>
                    <w:keepNext w:val="0"/>
                    <w:keepLines w:val="0"/>
                    <w:widowControl/>
                    <w:suppressLineNumbers w:val="0"/>
                    <w:jc w:val="center"/>
                    <w:textAlignment w:val="center"/>
                    <w:rPr>
                      <w:rFonts w:hint="eastAsia" w:ascii="宋体" w:hAnsi="宋体" w:eastAsia="宋体" w:cs="宋体"/>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备注：银行排名不分先后。如产品额度、期限、利率等内容发生改变，以银行解释为准。</w:t>
                  </w:r>
                </w:p>
              </w:tc>
            </w:tr>
          </w:tbl>
          <w:p w14:paraId="202D06AA">
            <w:pPr>
              <w:widowControl/>
              <w:adjustRightInd w:val="0"/>
              <w:snapToGrid w:val="0"/>
              <w:spacing w:line="360" w:lineRule="auto"/>
              <w:textAlignment w:val="center"/>
              <w:outlineLvl w:val="9"/>
              <w:rPr>
                <w:rFonts w:hint="eastAsia" w:ascii="宋体" w:hAnsi="宋体" w:eastAsia="宋体" w:cs="宋体"/>
                <w:color w:val="000000" w:themeColor="text1"/>
                <w:sz w:val="24"/>
                <w:szCs w:val="24"/>
                <w:lang w:eastAsia="zh-CN"/>
                <w14:textFill>
                  <w14:solidFill>
                    <w14:schemeClr w14:val="tx1"/>
                  </w14:solidFill>
                </w14:textFill>
              </w:rPr>
            </w:pPr>
          </w:p>
        </w:tc>
      </w:tr>
      <w:tr w14:paraId="11133C29">
        <w:tblPrEx>
          <w:tblCellMar>
            <w:top w:w="0" w:type="dxa"/>
            <w:left w:w="108" w:type="dxa"/>
            <w:bottom w:w="0" w:type="dxa"/>
            <w:right w:w="108" w:type="dxa"/>
          </w:tblCellMar>
        </w:tblPrEx>
        <w:trPr>
          <w:trHeight w:val="92" w:hRule="atLeast"/>
        </w:trPr>
        <w:tc>
          <w:tcPr>
            <w:tcW w:w="723" w:type="dxa"/>
            <w:tcBorders>
              <w:top w:val="single" w:color="auto" w:sz="4" w:space="0"/>
              <w:left w:val="single" w:color="auto" w:sz="4" w:space="0"/>
              <w:bottom w:val="single" w:color="auto" w:sz="4" w:space="0"/>
              <w:right w:val="single" w:color="auto" w:sz="4" w:space="0"/>
            </w:tcBorders>
            <w:vAlign w:val="center"/>
          </w:tcPr>
          <w:p w14:paraId="711FA298">
            <w:pPr>
              <w:widowControl/>
              <w:adjustRightInd w:val="0"/>
              <w:snapToGrid w:val="0"/>
              <w:spacing w:line="360" w:lineRule="auto"/>
              <w:jc w:val="center"/>
              <w:textAlignment w:val="center"/>
              <w:outlineLvl w:val="9"/>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28</w:t>
            </w:r>
          </w:p>
        </w:tc>
        <w:tc>
          <w:tcPr>
            <w:tcW w:w="1690" w:type="dxa"/>
            <w:tcBorders>
              <w:top w:val="single" w:color="auto" w:sz="4" w:space="0"/>
              <w:left w:val="single" w:color="auto" w:sz="4" w:space="0"/>
              <w:bottom w:val="single" w:color="auto" w:sz="4" w:space="0"/>
              <w:right w:val="single" w:color="auto" w:sz="4" w:space="0"/>
            </w:tcBorders>
            <w:vAlign w:val="center"/>
          </w:tcPr>
          <w:p w14:paraId="1C8C8879">
            <w:pPr>
              <w:widowControl/>
              <w:adjustRightInd w:val="0"/>
              <w:snapToGrid w:val="0"/>
              <w:jc w:val="center"/>
              <w:textAlignment w:val="center"/>
              <w:outlineLvl w:val="9"/>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响应文件的封装要求</w:t>
            </w:r>
          </w:p>
        </w:tc>
        <w:tc>
          <w:tcPr>
            <w:tcW w:w="7590" w:type="dxa"/>
            <w:tcBorders>
              <w:top w:val="single" w:color="auto" w:sz="4" w:space="0"/>
              <w:left w:val="single" w:color="auto" w:sz="4" w:space="0"/>
              <w:bottom w:val="single" w:color="auto" w:sz="4" w:space="0"/>
              <w:right w:val="single" w:color="auto" w:sz="4" w:space="0"/>
            </w:tcBorders>
            <w:vAlign w:val="center"/>
          </w:tcPr>
          <w:p w14:paraId="2DB11036">
            <w:pPr>
              <w:widowControl/>
              <w:adjustRightInd w:val="0"/>
              <w:snapToGrid w:val="0"/>
              <w:spacing w:line="360" w:lineRule="auto"/>
              <w:textAlignment w:val="center"/>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应将竞争性</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响应文件正本、副本</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电子版</w:t>
            </w:r>
            <w:r>
              <w:rPr>
                <w:rFonts w:hint="eastAsia" w:ascii="宋体" w:hAnsi="宋体" w:eastAsia="宋体" w:cs="宋体"/>
                <w:color w:val="000000" w:themeColor="text1"/>
                <w:sz w:val="24"/>
                <w:szCs w:val="24"/>
                <w14:textFill>
                  <w14:solidFill>
                    <w14:schemeClr w14:val="tx1"/>
                  </w14:solidFill>
                </w14:textFill>
              </w:rPr>
              <w:t>分开密封装在单独的封袋中（封袋不得有破损），且在封袋上标明“正本”“副本”</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电子版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字样。封袋应加贴封条，并在封线处加盖谈判人鲜章，封袋正面要粘贴标识。</w:t>
            </w:r>
          </w:p>
        </w:tc>
      </w:tr>
      <w:tr w14:paraId="1737E9B9">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331F5BA8">
            <w:pPr>
              <w:widowControl/>
              <w:adjustRightInd w:val="0"/>
              <w:snapToGrid w:val="0"/>
              <w:spacing w:line="360" w:lineRule="auto"/>
              <w:jc w:val="center"/>
              <w:textAlignment w:val="center"/>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27</w:t>
            </w:r>
          </w:p>
        </w:tc>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14:paraId="5EB8503A">
            <w:pPr>
              <w:bidi w:val="0"/>
              <w:jc w:val="center"/>
              <w:rPr>
                <w:rFonts w:hint="eastAsia" w:asciiTheme="minorEastAsia" w:hAnsiTheme="minorEastAsia" w:eastAsiaTheme="minorEastAsia" w:cstheme="minorEastAsia"/>
                <w:color w:val="000000" w:themeColor="text1"/>
                <w:spacing w:val="0"/>
                <w:w w:val="100"/>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position w:val="0"/>
                <w:sz w:val="24"/>
                <w:szCs w:val="24"/>
                <w:lang w:val="en-US" w:eastAsia="zh-CN"/>
                <w14:textFill>
                  <w14:solidFill>
                    <w14:schemeClr w14:val="tx1"/>
                  </w14:solidFill>
                </w14:textFill>
              </w:rPr>
              <w:t>身份核验资料</w:t>
            </w:r>
          </w:p>
        </w:tc>
        <w:tc>
          <w:tcPr>
            <w:tcW w:w="7590" w:type="dxa"/>
            <w:tcBorders>
              <w:top w:val="single" w:color="auto" w:sz="4" w:space="0"/>
              <w:left w:val="single" w:color="auto" w:sz="4" w:space="0"/>
              <w:bottom w:val="single" w:color="auto" w:sz="4" w:space="0"/>
              <w:right w:val="single" w:color="auto" w:sz="4" w:space="0"/>
            </w:tcBorders>
            <w:shd w:val="clear" w:color="auto" w:fill="auto"/>
            <w:vAlign w:val="center"/>
          </w:tcPr>
          <w:p w14:paraId="55357E1F">
            <w:pPr>
              <w:spacing w:line="360" w:lineRule="auto"/>
              <w:ind w:left="0" w:leftChars="0" w:firstLine="218" w:firstLineChars="91"/>
              <w:outlineLvl w:val="9"/>
              <w:rPr>
                <w:rFonts w:hint="eastAsia" w:asciiTheme="minorEastAsia" w:hAnsiTheme="minorEastAsia" w:eastAsiaTheme="minorEastAsia" w:cstheme="minorEastAsia"/>
                <w:color w:val="000000" w:themeColor="text1"/>
                <w:spacing w:val="0"/>
                <w:positio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position w:val="0"/>
                <w:sz w:val="24"/>
                <w:szCs w:val="24"/>
                <w:lang w:val="en-US" w:eastAsia="zh-CN"/>
                <w14:textFill>
                  <w14:solidFill>
                    <w14:schemeClr w14:val="tx1"/>
                  </w14:solidFill>
                </w14:textFill>
              </w:rPr>
              <w:t>（1）法定代表人需提供：法定代表人身份证明原件、身份证原件及复印件。</w:t>
            </w:r>
          </w:p>
          <w:p w14:paraId="25D153BF">
            <w:pPr>
              <w:spacing w:line="360" w:lineRule="auto"/>
              <w:ind w:left="0" w:leftChars="0" w:firstLine="218" w:firstLineChars="91"/>
              <w:outlineLvl w:val="9"/>
              <w:rPr>
                <w:rFonts w:hint="eastAsia" w:asciiTheme="minorEastAsia" w:hAnsiTheme="minorEastAsia" w:eastAsiaTheme="minorEastAsia" w:cstheme="minorEastAsia"/>
                <w:b/>
                <w:bCs/>
                <w:color w:val="000000" w:themeColor="text1"/>
                <w:spacing w:val="0"/>
                <w:w w:val="100"/>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position w:val="0"/>
                <w:sz w:val="24"/>
                <w:szCs w:val="24"/>
                <w:lang w:val="en-US" w:eastAsia="zh-CN"/>
                <w14:textFill>
                  <w14:solidFill>
                    <w14:schemeClr w14:val="tx1"/>
                  </w14:solidFill>
                </w14:textFill>
              </w:rPr>
              <w:t>（2）授权委托人需提供：法定代表人授权委托书原件、委托人身份证原件及复印件、法定代表人身份证复印件。</w:t>
            </w:r>
          </w:p>
        </w:tc>
      </w:tr>
    </w:tbl>
    <w:p w14:paraId="09014D73">
      <w:pPr>
        <w:outlineLvl w:val="9"/>
        <w:rPr>
          <w:color w:val="auto"/>
        </w:rPr>
      </w:pPr>
      <w:bookmarkStart w:id="30" w:name="_Toc513557026"/>
      <w:r>
        <w:rPr>
          <w:color w:val="auto"/>
        </w:rPr>
        <w:br w:type="page"/>
      </w:r>
    </w:p>
    <w:p w14:paraId="38D34FDF">
      <w:pPr>
        <w:pageBreakBefore w:val="0"/>
        <w:kinsoku/>
        <w:overflowPunct/>
        <w:bidi w:val="0"/>
        <w:adjustRightInd w:val="0"/>
        <w:snapToGrid w:val="0"/>
        <w:spacing w:line="360" w:lineRule="auto"/>
        <w:ind w:left="0" w:leftChars="0"/>
        <w:jc w:val="center"/>
        <w:outlineLvl w:val="9"/>
        <w:rPr>
          <w:rFonts w:ascii="宋体" w:hAnsi="宋体"/>
          <w:b/>
          <w:bCs/>
          <w:color w:val="auto"/>
          <w:sz w:val="24"/>
          <w:szCs w:val="24"/>
        </w:rPr>
      </w:pPr>
      <w:bookmarkStart w:id="31" w:name="_Toc19554"/>
      <w:bookmarkStart w:id="32" w:name="_Toc29584"/>
      <w:bookmarkStart w:id="33" w:name="_Toc23612"/>
      <w:bookmarkStart w:id="34" w:name="_Toc19507"/>
      <w:bookmarkStart w:id="35" w:name="_Toc19773"/>
      <w:bookmarkStart w:id="36" w:name="_Toc11332"/>
      <w:bookmarkStart w:id="37" w:name="_Toc23852"/>
      <w:r>
        <w:rPr>
          <w:rFonts w:hint="eastAsia" w:ascii="宋体" w:hAnsi="宋体" w:eastAsia="宋体" w:cs="Times New Roman"/>
          <w:b/>
          <w:bCs/>
          <w:color w:val="auto"/>
          <w:sz w:val="24"/>
          <w:szCs w:val="24"/>
        </w:rPr>
        <w:t>（二）</w:t>
      </w:r>
      <w:r>
        <w:rPr>
          <w:rFonts w:hint="eastAsia" w:ascii="宋体" w:hAnsi="宋体"/>
          <w:b/>
          <w:bCs/>
          <w:color w:val="auto"/>
          <w:sz w:val="24"/>
          <w:szCs w:val="24"/>
        </w:rPr>
        <w:t>供应商须知</w:t>
      </w:r>
      <w:bookmarkEnd w:id="30"/>
      <w:bookmarkEnd w:id="31"/>
      <w:bookmarkEnd w:id="32"/>
      <w:bookmarkEnd w:id="33"/>
      <w:bookmarkEnd w:id="34"/>
      <w:bookmarkEnd w:id="35"/>
      <w:bookmarkEnd w:id="36"/>
      <w:bookmarkEnd w:id="37"/>
    </w:p>
    <w:p w14:paraId="1573C349">
      <w:pPr>
        <w:pStyle w:val="27"/>
        <w:pageBreakBefore w:val="0"/>
        <w:kinsoku/>
        <w:overflowPunct/>
        <w:bidi w:val="0"/>
        <w:adjustRightInd w:val="0"/>
        <w:snapToGrid w:val="0"/>
        <w:spacing w:before="0" w:line="360" w:lineRule="auto"/>
        <w:ind w:left="0" w:leftChars="0" w:firstLine="482" w:firstLineChars="200"/>
        <w:outlineLvl w:val="9"/>
        <w:rPr>
          <w:rFonts w:ascii="宋体" w:hAnsi="宋体"/>
          <w:b/>
          <w:color w:val="auto"/>
          <w:sz w:val="24"/>
          <w:szCs w:val="24"/>
        </w:rPr>
      </w:pPr>
      <w:bookmarkStart w:id="38" w:name="_Toc27754"/>
      <w:bookmarkStart w:id="39" w:name="_Toc31778"/>
      <w:bookmarkStart w:id="40" w:name="_Toc24343"/>
      <w:bookmarkStart w:id="41" w:name="_Toc30389"/>
      <w:bookmarkStart w:id="42" w:name="_Toc28324"/>
      <w:bookmarkStart w:id="43" w:name="_Toc18148"/>
      <w:bookmarkStart w:id="44" w:name="_Toc15038"/>
      <w:bookmarkStart w:id="45" w:name="_Toc11273"/>
      <w:bookmarkStart w:id="46" w:name="_Toc513557027"/>
      <w:bookmarkStart w:id="47" w:name="_Toc10851"/>
      <w:r>
        <w:rPr>
          <w:rFonts w:ascii="宋体" w:hAnsi="宋体"/>
          <w:b/>
          <w:color w:val="auto"/>
          <w:sz w:val="24"/>
          <w:szCs w:val="24"/>
        </w:rPr>
        <w:t>1</w:t>
      </w:r>
      <w:r>
        <w:rPr>
          <w:rFonts w:hint="eastAsia" w:ascii="宋体" w:hAnsi="宋体"/>
          <w:b/>
          <w:color w:val="auto"/>
          <w:sz w:val="24"/>
          <w:szCs w:val="24"/>
        </w:rPr>
        <w:t>．</w:t>
      </w:r>
      <w:r>
        <w:rPr>
          <w:rFonts w:ascii="宋体" w:hAnsi="宋体"/>
          <w:b/>
          <w:color w:val="auto"/>
          <w:sz w:val="24"/>
          <w:szCs w:val="24"/>
        </w:rPr>
        <w:t xml:space="preserve">  </w:t>
      </w:r>
      <w:r>
        <w:rPr>
          <w:rFonts w:hint="eastAsia" w:ascii="宋体" w:hAnsi="宋体"/>
          <w:b/>
          <w:color w:val="auto"/>
          <w:sz w:val="24"/>
          <w:szCs w:val="24"/>
        </w:rPr>
        <w:t>总则</w:t>
      </w:r>
      <w:bookmarkEnd w:id="38"/>
      <w:bookmarkEnd w:id="39"/>
      <w:bookmarkEnd w:id="40"/>
      <w:bookmarkEnd w:id="41"/>
      <w:bookmarkEnd w:id="42"/>
      <w:bookmarkEnd w:id="43"/>
      <w:bookmarkEnd w:id="44"/>
      <w:bookmarkEnd w:id="45"/>
      <w:bookmarkEnd w:id="46"/>
      <w:bookmarkEnd w:id="47"/>
    </w:p>
    <w:p w14:paraId="785F39CD">
      <w:pPr>
        <w:pageBreakBefore w:val="0"/>
        <w:kinsoku/>
        <w:overflowPunct/>
        <w:bidi w:val="0"/>
        <w:adjustRightInd w:val="0"/>
        <w:snapToGrid w:val="0"/>
        <w:spacing w:line="360" w:lineRule="auto"/>
        <w:ind w:left="0" w:leftChars="0"/>
        <w:outlineLvl w:val="9"/>
        <w:rPr>
          <w:rFonts w:ascii="宋体" w:hAnsi="宋体" w:cs="宋体"/>
          <w:b/>
          <w:bCs/>
          <w:color w:val="auto"/>
          <w:sz w:val="24"/>
          <w:szCs w:val="24"/>
        </w:rPr>
      </w:pPr>
      <w:r>
        <w:rPr>
          <w:rFonts w:hint="eastAsia" w:ascii="宋体" w:hAnsi="宋体" w:cs="宋体"/>
          <w:b/>
          <w:bCs/>
          <w:color w:val="auto"/>
          <w:sz w:val="24"/>
          <w:szCs w:val="24"/>
        </w:rPr>
        <w:t>1、说明</w:t>
      </w:r>
    </w:p>
    <w:p w14:paraId="4589F75C">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r>
        <w:rPr>
          <w:rFonts w:hint="eastAsia" w:ascii="宋体" w:hAnsi="宋体" w:cs="宋体"/>
          <w:color w:val="auto"/>
          <w:sz w:val="24"/>
          <w:szCs w:val="24"/>
        </w:rPr>
        <w:t>本竞争性</w:t>
      </w:r>
      <w:r>
        <w:rPr>
          <w:rFonts w:hint="eastAsia" w:ascii="宋体" w:hAnsi="宋体" w:cs="宋体"/>
          <w:color w:val="auto"/>
          <w:sz w:val="24"/>
          <w:szCs w:val="24"/>
          <w:lang w:eastAsia="zh-CN"/>
        </w:rPr>
        <w:t>磋商</w:t>
      </w:r>
      <w:r>
        <w:rPr>
          <w:rFonts w:hint="eastAsia" w:ascii="宋体" w:hAnsi="宋体" w:cs="宋体"/>
          <w:color w:val="auto"/>
          <w:sz w:val="24"/>
          <w:szCs w:val="24"/>
        </w:rPr>
        <w:t>文件仅适用于本竞争性</w:t>
      </w:r>
      <w:r>
        <w:rPr>
          <w:rFonts w:hint="eastAsia" w:ascii="宋体" w:hAnsi="宋体" w:cs="宋体"/>
          <w:color w:val="auto"/>
          <w:sz w:val="24"/>
          <w:szCs w:val="24"/>
          <w:lang w:eastAsia="zh-CN"/>
        </w:rPr>
        <w:t>磋商</w:t>
      </w:r>
      <w:r>
        <w:rPr>
          <w:rFonts w:hint="eastAsia" w:ascii="宋体" w:hAnsi="宋体" w:cs="宋体"/>
          <w:color w:val="auto"/>
          <w:sz w:val="24"/>
          <w:szCs w:val="24"/>
        </w:rPr>
        <w:t>公告中所叙述</w:t>
      </w:r>
      <w:r>
        <w:rPr>
          <w:rFonts w:hint="eastAsia" w:ascii="宋体" w:hAnsi="宋体" w:cs="仿宋_GB2312"/>
          <w:color w:val="auto"/>
          <w:sz w:val="24"/>
          <w:szCs w:val="24"/>
        </w:rPr>
        <w:t>货物、工程及服务采购</w:t>
      </w:r>
      <w:r>
        <w:rPr>
          <w:rFonts w:hint="eastAsia" w:ascii="宋体" w:hAnsi="宋体" w:cs="宋体"/>
          <w:color w:val="auto"/>
          <w:sz w:val="24"/>
          <w:szCs w:val="24"/>
        </w:rPr>
        <w:t>。</w:t>
      </w:r>
    </w:p>
    <w:p w14:paraId="2EB42A3A">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1.2本次采购属政府采购，采购人，采购代理机构、供应商、</w:t>
      </w:r>
      <w:r>
        <w:rPr>
          <w:rFonts w:hint="eastAsia" w:ascii="宋体" w:hAnsi="宋体" w:cs="宋体"/>
          <w:color w:val="auto"/>
          <w:sz w:val="24"/>
          <w:szCs w:val="24"/>
          <w:lang w:eastAsia="zh-CN"/>
        </w:rPr>
        <w:t>磋商</w:t>
      </w:r>
      <w:r>
        <w:rPr>
          <w:rFonts w:hint="eastAsia" w:ascii="宋体" w:hAnsi="宋体" w:cs="宋体"/>
          <w:color w:val="auto"/>
          <w:sz w:val="24"/>
          <w:szCs w:val="24"/>
        </w:rPr>
        <w:t>小组的相关行为均受《中华人民共和国政府采购法》、财政部规章及政府采购项目所在地有关法规、规章的约束，其权利受到上述法律法规的保护。</w:t>
      </w:r>
    </w:p>
    <w:p w14:paraId="1FBD2AE2">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1.3 本次招标采用</w:t>
      </w:r>
      <w:r>
        <w:rPr>
          <w:rFonts w:hint="eastAsia"/>
          <w:color w:val="auto"/>
          <w:sz w:val="24"/>
          <w:szCs w:val="24"/>
        </w:rPr>
        <w:t>竞争性磋商</w:t>
      </w:r>
      <w:r>
        <w:rPr>
          <w:rFonts w:hint="eastAsia" w:ascii="宋体" w:hAnsi="宋体" w:cs="宋体"/>
          <w:color w:val="auto"/>
          <w:sz w:val="24"/>
          <w:szCs w:val="24"/>
        </w:rPr>
        <w:t>的方式。</w:t>
      </w:r>
    </w:p>
    <w:p w14:paraId="4EE481C3">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1.4本磋商文件的解释权属于</w:t>
      </w:r>
      <w:r>
        <w:rPr>
          <w:rFonts w:hint="eastAsia" w:ascii="宋体" w:hAnsi="宋体" w:cs="宋体"/>
          <w:color w:val="auto"/>
          <w:sz w:val="24"/>
          <w:szCs w:val="24"/>
          <w:lang w:eastAsia="zh-CN"/>
        </w:rPr>
        <w:t>陕西华旭晟信项目管理有限责任公司</w:t>
      </w:r>
      <w:r>
        <w:rPr>
          <w:rFonts w:hint="eastAsia" w:ascii="宋体" w:hAnsi="宋体" w:cs="宋体"/>
          <w:color w:val="auto"/>
          <w:sz w:val="24"/>
          <w:szCs w:val="24"/>
        </w:rPr>
        <w:t>所有。</w:t>
      </w:r>
    </w:p>
    <w:p w14:paraId="79C66E19">
      <w:pPr>
        <w:pageBreakBefore w:val="0"/>
        <w:kinsoku/>
        <w:overflowPunct/>
        <w:bidi w:val="0"/>
        <w:adjustRightInd w:val="0"/>
        <w:snapToGrid w:val="0"/>
        <w:spacing w:line="360" w:lineRule="auto"/>
        <w:ind w:left="0" w:leftChars="0"/>
        <w:outlineLvl w:val="9"/>
        <w:rPr>
          <w:rFonts w:ascii="宋体" w:hAnsi="宋体" w:cs="宋体"/>
          <w:b/>
          <w:bCs/>
          <w:color w:val="auto"/>
          <w:sz w:val="24"/>
          <w:szCs w:val="24"/>
        </w:rPr>
      </w:pPr>
      <w:r>
        <w:rPr>
          <w:rFonts w:hint="eastAsia" w:ascii="宋体" w:hAnsi="宋体" w:cs="宋体"/>
          <w:b/>
          <w:bCs/>
          <w:color w:val="auto"/>
          <w:sz w:val="24"/>
          <w:szCs w:val="24"/>
        </w:rPr>
        <w:t>2、合格的供应商</w:t>
      </w:r>
    </w:p>
    <w:p w14:paraId="7BBB6DCB">
      <w:pPr>
        <w:pageBreakBefore w:val="0"/>
        <w:kinsoku/>
        <w:wordWrap w:val="0"/>
        <w:overflowPunct/>
        <w:topLinePunct/>
        <w:bidi w:val="0"/>
        <w:adjustRightInd w:val="0"/>
        <w:snapToGrid w:val="0"/>
        <w:spacing w:line="360" w:lineRule="auto"/>
        <w:ind w:left="0" w:leftChars="0" w:firstLine="480" w:firstLineChars="200"/>
        <w:jc w:val="left"/>
        <w:outlineLvl w:val="9"/>
        <w:rPr>
          <w:rFonts w:ascii="宋体" w:hAnsi="宋体"/>
          <w:color w:val="auto"/>
          <w:sz w:val="24"/>
          <w:szCs w:val="24"/>
        </w:rPr>
      </w:pPr>
      <w:bookmarkStart w:id="48" w:name="_Toc152042311"/>
      <w:bookmarkStart w:id="49" w:name="_Toc179632552"/>
      <w:bookmarkStart w:id="50" w:name="_Toc152045535"/>
      <w:bookmarkStart w:id="51" w:name="_Toc144974503"/>
      <w:r>
        <w:rPr>
          <w:rFonts w:hint="eastAsia" w:ascii="宋体" w:hAnsi="宋体" w:cs="宋体"/>
          <w:color w:val="auto"/>
          <w:sz w:val="24"/>
          <w:szCs w:val="24"/>
          <w:lang w:val="en-US" w:eastAsia="zh-CN"/>
        </w:rPr>
        <w:t>2</w:t>
      </w:r>
      <w:r>
        <w:rPr>
          <w:rFonts w:hint="eastAsia" w:ascii="宋体" w:hAnsi="宋体" w:cs="宋体"/>
          <w:color w:val="auto"/>
          <w:sz w:val="24"/>
          <w:szCs w:val="24"/>
        </w:rPr>
        <w:t xml:space="preserve">.1 </w:t>
      </w:r>
      <w:r>
        <w:rPr>
          <w:rFonts w:hint="eastAsia" w:ascii="宋体" w:hAnsi="宋体"/>
          <w:color w:val="auto"/>
          <w:sz w:val="24"/>
          <w:szCs w:val="24"/>
        </w:rPr>
        <w:t>合格的供应商：满足下列资格条件且有能力提供项目所需服务的供应商。</w:t>
      </w:r>
    </w:p>
    <w:p w14:paraId="5B9A75A9">
      <w:pPr>
        <w:pageBreakBefore w:val="0"/>
        <w:kinsoku/>
        <w:overflowPunct/>
        <w:bidi w:val="0"/>
        <w:adjustRightInd w:val="0"/>
        <w:snapToGrid w:val="0"/>
        <w:spacing w:line="360" w:lineRule="auto"/>
        <w:ind w:left="0" w:leftChars="0"/>
        <w:outlineLvl w:val="9"/>
        <w:rPr>
          <w:rFonts w:hint="eastAsia" w:ascii="宋体" w:hAnsi="宋体"/>
          <w:bCs/>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.2</w:t>
      </w:r>
      <w:r>
        <w:rPr>
          <w:rFonts w:hint="eastAsia" w:ascii="宋体" w:hAnsi="宋体"/>
          <w:bCs/>
          <w:color w:val="auto"/>
          <w:sz w:val="24"/>
          <w:szCs w:val="24"/>
        </w:rPr>
        <w:t>资格条件</w:t>
      </w:r>
    </w:p>
    <w:p w14:paraId="1D209893">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bCs/>
          <w:color w:val="auto"/>
          <w:sz w:val="24"/>
          <w:szCs w:val="24"/>
          <w:lang w:val="en-US" w:eastAsia="zh-CN"/>
        </w:rPr>
        <w:t>2</w:t>
      </w:r>
      <w:r>
        <w:rPr>
          <w:rFonts w:hint="eastAsia" w:ascii="宋体" w:hAnsi="宋体"/>
          <w:bCs/>
          <w:color w:val="auto"/>
          <w:sz w:val="24"/>
          <w:szCs w:val="24"/>
        </w:rPr>
        <w:t>.2.1</w:t>
      </w:r>
      <w:r>
        <w:rPr>
          <w:rFonts w:hint="eastAsia" w:ascii="宋体" w:hAnsi="宋体" w:cs="宋体"/>
          <w:color w:val="auto"/>
          <w:sz w:val="24"/>
          <w:szCs w:val="24"/>
        </w:rPr>
        <w:t>供应商应当符合《中华人民共和国政府采购法》第二十二条第一款规定的投标人基本资格条件；以及</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文件规定的供应商特定资格条件。</w:t>
      </w:r>
    </w:p>
    <w:p w14:paraId="6B89655C">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.3供应商必须从陕西省公共资源交易平台获取</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文件，供应商自行转让或复制的竞争性</w:t>
      </w:r>
      <w:r>
        <w:rPr>
          <w:rFonts w:hint="eastAsia" w:ascii="宋体" w:hAnsi="宋体" w:cs="宋体"/>
          <w:color w:val="auto"/>
          <w:sz w:val="24"/>
          <w:szCs w:val="24"/>
          <w:lang w:eastAsia="zh-CN"/>
        </w:rPr>
        <w:t>磋商</w:t>
      </w:r>
      <w:r>
        <w:rPr>
          <w:rFonts w:hint="eastAsia" w:ascii="宋体" w:hAnsi="宋体" w:cs="宋体"/>
          <w:color w:val="auto"/>
          <w:sz w:val="24"/>
          <w:szCs w:val="24"/>
        </w:rPr>
        <w:t>文件视为无效文件</w:t>
      </w:r>
      <w:r>
        <w:rPr>
          <w:rFonts w:hint="eastAsia" w:ascii="宋体" w:hAnsi="宋体" w:cs="宋体"/>
          <w:color w:val="auto"/>
          <w:sz w:val="24"/>
          <w:szCs w:val="24"/>
          <w:lang w:eastAsia="zh-CN"/>
        </w:rPr>
        <w:t>，此文件</w:t>
      </w:r>
      <w:r>
        <w:rPr>
          <w:rFonts w:hint="eastAsia" w:ascii="宋体" w:hAnsi="宋体" w:cs="宋体"/>
          <w:color w:val="auto"/>
          <w:sz w:val="24"/>
          <w:szCs w:val="24"/>
        </w:rPr>
        <w:t>仅作为本次</w:t>
      </w:r>
      <w:r>
        <w:rPr>
          <w:rFonts w:hint="eastAsia" w:ascii="宋体" w:hAnsi="宋体" w:cs="宋体"/>
          <w:color w:val="auto"/>
          <w:sz w:val="24"/>
          <w:szCs w:val="24"/>
          <w:lang w:eastAsia="zh-CN"/>
        </w:rPr>
        <w:t>磋商</w:t>
      </w:r>
      <w:r>
        <w:rPr>
          <w:rFonts w:hint="eastAsia" w:ascii="宋体" w:hAnsi="宋体" w:cs="宋体"/>
          <w:color w:val="auto"/>
          <w:sz w:val="24"/>
          <w:szCs w:val="24"/>
        </w:rPr>
        <w:t>使用。</w:t>
      </w:r>
    </w:p>
    <w:p w14:paraId="5359A4C5">
      <w:pPr>
        <w:pageBreakBefore w:val="0"/>
        <w:kinsoku/>
        <w:overflowPunct/>
        <w:bidi w:val="0"/>
        <w:adjustRightInd w:val="0"/>
        <w:snapToGrid w:val="0"/>
        <w:spacing w:line="360" w:lineRule="auto"/>
        <w:ind w:left="0" w:leftChars="0" w:firstLine="480" w:firstLineChars="200"/>
        <w:outlineLvl w:val="9"/>
        <w:rPr>
          <w:rFonts w:hint="eastAsia"/>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.4法定代表人或者负责人为同一人或者存在控股、管理关系的两个以上供应商，不得参加同一政府采购项目投标。</w:t>
      </w:r>
    </w:p>
    <w:p w14:paraId="2CF6DDCE">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.5是否接受联合体投标：见投标人须知前附表。</w:t>
      </w:r>
    </w:p>
    <w:p w14:paraId="3BCE51D6">
      <w:pPr>
        <w:pageBreakBefore w:val="0"/>
        <w:kinsoku/>
        <w:overflowPunct/>
        <w:bidi w:val="0"/>
        <w:adjustRightInd w:val="0"/>
        <w:snapToGrid w:val="0"/>
        <w:spacing w:line="360" w:lineRule="auto"/>
        <w:ind w:left="0" w:leftChars="0" w:firstLine="480" w:firstLineChars="200"/>
        <w:outlineLvl w:val="9"/>
        <w:rPr>
          <w:rFonts w:hint="eastAsia"/>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.6供应商应参照《中华人民共和国政府采购法》及其它有关的中国法律和法规。</w:t>
      </w:r>
    </w:p>
    <w:bookmarkEnd w:id="48"/>
    <w:bookmarkEnd w:id="49"/>
    <w:bookmarkEnd w:id="50"/>
    <w:bookmarkEnd w:id="51"/>
    <w:p w14:paraId="4699BC4A">
      <w:pPr>
        <w:pageBreakBefore w:val="0"/>
        <w:kinsoku/>
        <w:overflowPunct/>
        <w:bidi w:val="0"/>
        <w:adjustRightInd w:val="0"/>
        <w:snapToGrid w:val="0"/>
        <w:spacing w:line="360" w:lineRule="auto"/>
        <w:ind w:left="0" w:leftChars="0"/>
        <w:outlineLvl w:val="9"/>
        <w:rPr>
          <w:rFonts w:hint="eastAsia" w:ascii="宋体" w:hAnsi="宋体" w:eastAsia="宋体" w:cs="宋体"/>
          <w:b/>
          <w:bCs/>
          <w:color w:val="auto"/>
          <w:kern w:val="2"/>
          <w:sz w:val="24"/>
          <w:szCs w:val="24"/>
          <w:lang w:val="en-US" w:eastAsia="zh-CN" w:bidi="ar-SA"/>
        </w:rPr>
      </w:pPr>
      <w:bookmarkStart w:id="52" w:name="_Toc152042312"/>
      <w:bookmarkStart w:id="53" w:name="_Toc144974504"/>
      <w:bookmarkStart w:id="54" w:name="_Toc152045536"/>
      <w:bookmarkStart w:id="55" w:name="_Toc179632553"/>
      <w:r>
        <w:rPr>
          <w:rFonts w:hint="eastAsia" w:ascii="宋体" w:hAnsi="宋体" w:cs="宋体"/>
          <w:b/>
          <w:bCs/>
          <w:color w:val="auto"/>
          <w:kern w:val="2"/>
          <w:sz w:val="24"/>
          <w:szCs w:val="24"/>
          <w:lang w:val="en-US" w:eastAsia="zh-CN" w:bidi="ar-SA"/>
        </w:rPr>
        <w:t>3、</w:t>
      </w:r>
      <w:r>
        <w:rPr>
          <w:rFonts w:hint="eastAsia" w:ascii="宋体" w:hAnsi="宋体" w:eastAsia="宋体" w:cs="宋体"/>
          <w:b/>
          <w:bCs/>
          <w:color w:val="auto"/>
          <w:kern w:val="2"/>
          <w:sz w:val="24"/>
          <w:szCs w:val="24"/>
          <w:lang w:val="en-US" w:eastAsia="zh-CN" w:bidi="ar-SA"/>
        </w:rPr>
        <w:t>磋商内容的合格性和合法性</w:t>
      </w:r>
    </w:p>
    <w:p w14:paraId="4A6F0986">
      <w:pPr>
        <w:pageBreakBefore w:val="0"/>
        <w:tabs>
          <w:tab w:val="left" w:pos="720"/>
        </w:tabs>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.1磋商内容应满足竞争性磋商文件的要求并应符合国家法律法规、行业管理部门要求的其他强制性标准。</w:t>
      </w:r>
    </w:p>
    <w:p w14:paraId="08D7EC80">
      <w:pPr>
        <w:pageBreakBefore w:val="0"/>
        <w:kinsoku/>
        <w:overflowPunct/>
        <w:bidi w:val="0"/>
        <w:adjustRightInd w:val="0"/>
        <w:snapToGrid w:val="0"/>
        <w:spacing w:line="360" w:lineRule="auto"/>
        <w:ind w:left="0" w:leftChars="0"/>
        <w:outlineLvl w:val="9"/>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4、</w:t>
      </w:r>
      <w:r>
        <w:rPr>
          <w:rFonts w:hint="eastAsia" w:ascii="宋体" w:hAnsi="宋体" w:eastAsia="宋体" w:cs="宋体"/>
          <w:b/>
          <w:bCs/>
          <w:color w:val="auto"/>
          <w:kern w:val="2"/>
          <w:sz w:val="24"/>
          <w:szCs w:val="24"/>
          <w:lang w:val="en-US" w:eastAsia="zh-CN" w:bidi="ar-SA"/>
        </w:rPr>
        <w:t>竞争性磋商响应文件内容的真实性</w:t>
      </w:r>
    </w:p>
    <w:p w14:paraId="6B729036">
      <w:pPr>
        <w:pageBreakBefore w:val="0"/>
        <w:tabs>
          <w:tab w:val="left" w:pos="720"/>
        </w:tabs>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4.1供应商应保证其竞争性磋商响应文件中所提供的所有磋商资料、信息是真实的，并且来源于合法的渠道。因竞争性磋商响应文件中所提供的磋商资料、信息不真实或者其来源不合法而导致的所有法律责任，由供应商自行承担。</w:t>
      </w:r>
    </w:p>
    <w:p w14:paraId="6F35B20A">
      <w:pPr>
        <w:pageBreakBefore w:val="0"/>
        <w:kinsoku/>
        <w:overflowPunct/>
        <w:bidi w:val="0"/>
        <w:adjustRightInd w:val="0"/>
        <w:snapToGrid w:val="0"/>
        <w:spacing w:line="360" w:lineRule="auto"/>
        <w:ind w:left="0" w:leftChars="0"/>
        <w:outlineLvl w:val="9"/>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5、</w:t>
      </w:r>
      <w:r>
        <w:rPr>
          <w:rFonts w:hint="eastAsia" w:ascii="宋体" w:hAnsi="宋体" w:eastAsia="宋体" w:cs="宋体"/>
          <w:b/>
          <w:bCs/>
          <w:color w:val="auto"/>
          <w:kern w:val="2"/>
          <w:sz w:val="24"/>
          <w:szCs w:val="24"/>
          <w:lang w:val="en-US" w:eastAsia="zh-CN" w:bidi="ar-SA"/>
        </w:rPr>
        <w:t>磋商过程的监督和管理</w:t>
      </w:r>
    </w:p>
    <w:p w14:paraId="58A834A6">
      <w:pPr>
        <w:pageBreakBefore w:val="0"/>
        <w:tabs>
          <w:tab w:val="left" w:pos="720"/>
        </w:tabs>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5.1同级人民政府财政部门及有关部门依法履行对竞争性磋商过程的监督管理职责。</w:t>
      </w:r>
    </w:p>
    <w:p w14:paraId="64E4EEDF">
      <w:pPr>
        <w:pageBreakBefore w:val="0"/>
        <w:kinsoku/>
        <w:overflowPunct/>
        <w:bidi w:val="0"/>
        <w:adjustRightInd w:val="0"/>
        <w:snapToGrid w:val="0"/>
        <w:spacing w:line="360" w:lineRule="auto"/>
        <w:ind w:left="0" w:leftChars="0"/>
        <w:outlineLvl w:val="9"/>
        <w:rPr>
          <w:rFonts w:ascii="宋体" w:hAnsi="宋体" w:cs="宋体"/>
          <w:b/>
          <w:bCs/>
          <w:color w:val="auto"/>
          <w:sz w:val="24"/>
          <w:szCs w:val="24"/>
        </w:rPr>
      </w:pPr>
      <w:r>
        <w:rPr>
          <w:rFonts w:hint="eastAsia" w:ascii="宋体" w:hAnsi="宋体" w:cs="宋体"/>
          <w:b/>
          <w:bCs/>
          <w:color w:val="auto"/>
          <w:sz w:val="24"/>
          <w:szCs w:val="24"/>
          <w:lang w:val="en-US" w:eastAsia="zh-CN"/>
        </w:rPr>
        <w:t>6</w:t>
      </w:r>
      <w:r>
        <w:rPr>
          <w:rFonts w:hint="eastAsia" w:ascii="宋体" w:hAnsi="宋体" w:cs="宋体"/>
          <w:b/>
          <w:bCs/>
          <w:color w:val="auto"/>
          <w:sz w:val="24"/>
          <w:szCs w:val="24"/>
        </w:rPr>
        <w:t>、保密</w:t>
      </w:r>
      <w:bookmarkEnd w:id="52"/>
      <w:bookmarkEnd w:id="53"/>
      <w:bookmarkEnd w:id="54"/>
      <w:bookmarkEnd w:id="55"/>
    </w:p>
    <w:p w14:paraId="145E4385">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 xml:space="preserve">.1参与招标活动的各方应对竞争性磋商文件和竞争性磋商响应文件中的商业和技术等秘密保密，违者应对由此造成的后果承担法律责任。 </w:t>
      </w:r>
    </w:p>
    <w:p w14:paraId="4F8A97DE">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56" w:name="_Toc23337"/>
      <w:bookmarkStart w:id="57" w:name="_Toc12425"/>
      <w:bookmarkStart w:id="58" w:name="_Toc29929"/>
      <w:bookmarkStart w:id="59" w:name="_Toc7627"/>
      <w:bookmarkStart w:id="60" w:name="_Toc1428"/>
      <w:bookmarkStart w:id="61" w:name="_Toc622"/>
      <w:bookmarkStart w:id="62" w:name="_Toc1845"/>
      <w:bookmarkStart w:id="63" w:name="_Toc513557028"/>
      <w:bookmarkStart w:id="64" w:name="_Toc13815"/>
      <w:bookmarkStart w:id="65" w:name="_Toc16996"/>
      <w:r>
        <w:rPr>
          <w:rFonts w:hint="eastAsia" w:asciiTheme="minorEastAsia" w:hAnsiTheme="minorEastAsia" w:eastAsiaTheme="minorEastAsia" w:cstheme="minorEastAsia"/>
          <w:b/>
          <w:color w:val="auto"/>
          <w:sz w:val="24"/>
          <w:szCs w:val="24"/>
        </w:rPr>
        <w:t>2．竞争性磋商文件</w:t>
      </w:r>
      <w:bookmarkEnd w:id="56"/>
      <w:bookmarkEnd w:id="57"/>
      <w:bookmarkEnd w:id="58"/>
      <w:bookmarkEnd w:id="59"/>
      <w:bookmarkEnd w:id="60"/>
      <w:bookmarkEnd w:id="61"/>
      <w:bookmarkEnd w:id="62"/>
      <w:bookmarkEnd w:id="63"/>
      <w:bookmarkEnd w:id="64"/>
      <w:bookmarkEnd w:id="65"/>
    </w:p>
    <w:p w14:paraId="563C6521">
      <w:pPr>
        <w:pStyle w:val="28"/>
        <w:pageBreakBefore w:val="0"/>
        <w:kinsoku/>
        <w:overflowPunct/>
        <w:bidi w:val="0"/>
        <w:adjustRightInd w:val="0"/>
        <w:snapToGrid w:val="0"/>
        <w:spacing w:before="0" w:after="0" w:line="360" w:lineRule="auto"/>
        <w:ind w:left="0" w:leftChars="0"/>
        <w:outlineLvl w:val="9"/>
        <w:rPr>
          <w:rFonts w:asciiTheme="minorEastAsia" w:hAnsiTheme="minorEastAsia" w:eastAsiaTheme="minorEastAsia" w:cstheme="minorEastAsia"/>
          <w:color w:val="auto"/>
          <w:sz w:val="24"/>
          <w:szCs w:val="24"/>
        </w:rPr>
      </w:pPr>
      <w:bookmarkStart w:id="66" w:name="_Toc144974511"/>
      <w:bookmarkStart w:id="67" w:name="_Toc179632561"/>
      <w:bookmarkStart w:id="68" w:name="_Toc152045543"/>
      <w:bookmarkStart w:id="69" w:name="_Toc152042319"/>
      <w:r>
        <w:rPr>
          <w:rFonts w:hint="eastAsia" w:ascii="宋体" w:hAnsi="宋体" w:eastAsia="宋体"/>
          <w:b/>
          <w:color w:val="auto"/>
          <w:sz w:val="24"/>
          <w:szCs w:val="24"/>
          <w:lang w:val="en-US" w:eastAsia="zh-CN"/>
        </w:rPr>
        <w:t>7</w:t>
      </w:r>
      <w:r>
        <w:rPr>
          <w:rFonts w:hint="eastAsia" w:ascii="宋体" w:hAnsi="宋体" w:eastAsia="宋体"/>
          <w:b/>
          <w:color w:val="auto"/>
          <w:sz w:val="24"/>
          <w:szCs w:val="24"/>
        </w:rPr>
        <w:t>、竞争性磋商文件的组成</w:t>
      </w:r>
      <w:bookmarkEnd w:id="66"/>
      <w:bookmarkEnd w:id="67"/>
      <w:bookmarkEnd w:id="68"/>
      <w:bookmarkEnd w:id="69"/>
    </w:p>
    <w:p w14:paraId="48B8B771">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.1竞争性磋商</w:t>
      </w:r>
      <w:r>
        <w:rPr>
          <w:rFonts w:hint="eastAsia" w:ascii="宋体" w:hAnsi="宋体" w:cs="宋体"/>
          <w:color w:val="auto"/>
          <w:sz w:val="24"/>
          <w:szCs w:val="24"/>
        </w:rPr>
        <w:t>文件包括以下内容：</w:t>
      </w:r>
    </w:p>
    <w:p w14:paraId="518321C8">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（1）竞争性磋商公告；</w:t>
      </w:r>
    </w:p>
    <w:p w14:paraId="01D83AB1">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w:t>
      </w:r>
      <w:r>
        <w:rPr>
          <w:rFonts w:hint="eastAsia" w:ascii="宋体" w:hAnsi="宋体" w:cs="宋体"/>
          <w:color w:val="auto"/>
          <w:sz w:val="24"/>
          <w:szCs w:val="24"/>
        </w:rPr>
        <w:t>须知</w:t>
      </w:r>
      <w:r>
        <w:rPr>
          <w:rFonts w:hint="eastAsia" w:asciiTheme="minorEastAsia" w:hAnsiTheme="minorEastAsia" w:eastAsiaTheme="minorEastAsia" w:cstheme="minorEastAsia"/>
          <w:color w:val="auto"/>
          <w:sz w:val="24"/>
          <w:szCs w:val="24"/>
        </w:rPr>
        <w:t>前附表及供应商</w:t>
      </w:r>
      <w:r>
        <w:rPr>
          <w:rFonts w:hint="eastAsia" w:ascii="宋体" w:hAnsi="宋体" w:cs="宋体"/>
          <w:color w:val="auto"/>
          <w:sz w:val="24"/>
          <w:szCs w:val="24"/>
        </w:rPr>
        <w:t>须知</w:t>
      </w:r>
      <w:r>
        <w:rPr>
          <w:rFonts w:hint="eastAsia" w:asciiTheme="minorEastAsia" w:hAnsiTheme="minorEastAsia" w:eastAsiaTheme="minorEastAsia" w:cstheme="minorEastAsia"/>
          <w:color w:val="auto"/>
          <w:sz w:val="24"/>
          <w:szCs w:val="24"/>
        </w:rPr>
        <w:t>；</w:t>
      </w:r>
    </w:p>
    <w:p w14:paraId="45E1A178">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（3）评审办法；</w:t>
      </w:r>
    </w:p>
    <w:p w14:paraId="4720E3A9">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（4）合同条款及合同文件格式；</w:t>
      </w:r>
    </w:p>
    <w:p w14:paraId="6A12F1A8">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宋体" w:hAnsi="宋体" w:cs="宋体" w:eastAsiaTheme="minorEastAsia"/>
          <w:bCs/>
          <w:color w:val="auto"/>
          <w:sz w:val="24"/>
          <w:szCs w:val="24"/>
          <w:lang w:eastAsia="zh-CN"/>
        </w:rPr>
        <w:t>工程量清单</w:t>
      </w:r>
      <w:r>
        <w:rPr>
          <w:rFonts w:hint="eastAsia" w:asciiTheme="minorEastAsia" w:hAnsiTheme="minorEastAsia" w:eastAsiaTheme="minorEastAsia" w:cstheme="minorEastAsia"/>
          <w:color w:val="auto"/>
          <w:sz w:val="24"/>
          <w:szCs w:val="24"/>
        </w:rPr>
        <w:t xml:space="preserve">； </w:t>
      </w:r>
    </w:p>
    <w:p w14:paraId="50188020">
      <w:pPr>
        <w:pageBreakBefore w:val="0"/>
        <w:kinsoku/>
        <w:overflowPunct/>
        <w:bidi w:val="0"/>
        <w:adjustRightInd w:val="0"/>
        <w:snapToGrid w:val="0"/>
        <w:spacing w:line="360" w:lineRule="auto"/>
        <w:ind w:left="0" w:leftChars="0"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）竞争性磋商响应文件格式。</w:t>
      </w:r>
    </w:p>
    <w:p w14:paraId="6FC1E674">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.2 除</w:t>
      </w:r>
      <w:r>
        <w:rPr>
          <w:rFonts w:hint="eastAsia" w:ascii="宋体" w:hAnsi="宋体" w:cs="宋体"/>
          <w:color w:val="auto"/>
          <w:sz w:val="24"/>
          <w:szCs w:val="24"/>
          <w:lang w:val="en-US" w:eastAsia="zh-CN"/>
        </w:rPr>
        <w:t>7</w:t>
      </w:r>
      <w:r>
        <w:rPr>
          <w:rFonts w:hint="eastAsia" w:ascii="宋体" w:hAnsi="宋体" w:cs="宋体"/>
          <w:color w:val="auto"/>
          <w:sz w:val="24"/>
          <w:szCs w:val="24"/>
        </w:rPr>
        <w:t>.1内容外，</w:t>
      </w:r>
      <w:r>
        <w:rPr>
          <w:rFonts w:hint="eastAsia" w:ascii="宋体" w:hAnsi="宋体" w:cs="宋体"/>
          <w:color w:val="auto"/>
          <w:sz w:val="24"/>
          <w:szCs w:val="24"/>
          <w:lang w:eastAsia="zh-CN"/>
        </w:rPr>
        <w:t>采购代理机构</w:t>
      </w:r>
      <w:r>
        <w:rPr>
          <w:rFonts w:hint="eastAsia" w:ascii="宋体" w:hAnsi="宋体" w:cs="宋体"/>
          <w:color w:val="auto"/>
          <w:sz w:val="24"/>
          <w:szCs w:val="24"/>
        </w:rPr>
        <w:t>以书面形式发出的对</w:t>
      </w:r>
      <w:r>
        <w:rPr>
          <w:rFonts w:hint="eastAsia" w:asciiTheme="minorEastAsia" w:hAnsiTheme="minorEastAsia" w:eastAsiaTheme="minorEastAsia" w:cstheme="minorEastAsia"/>
          <w:color w:val="auto"/>
          <w:sz w:val="24"/>
          <w:szCs w:val="24"/>
        </w:rPr>
        <w:t>竞争性磋商</w:t>
      </w:r>
      <w:r>
        <w:rPr>
          <w:rFonts w:hint="eastAsia" w:ascii="宋体" w:hAnsi="宋体" w:cs="宋体"/>
          <w:color w:val="auto"/>
          <w:sz w:val="24"/>
          <w:szCs w:val="24"/>
        </w:rPr>
        <w:t>文件的澄清或修改内容，均为</w:t>
      </w:r>
      <w:r>
        <w:rPr>
          <w:rFonts w:hint="eastAsia" w:asciiTheme="minorEastAsia" w:hAnsiTheme="minorEastAsia" w:eastAsiaTheme="minorEastAsia" w:cstheme="minorEastAsia"/>
          <w:color w:val="auto"/>
          <w:sz w:val="24"/>
          <w:szCs w:val="24"/>
        </w:rPr>
        <w:t>竞争性磋商</w:t>
      </w:r>
      <w:r>
        <w:rPr>
          <w:rFonts w:hint="eastAsia" w:ascii="宋体" w:hAnsi="宋体" w:cs="宋体"/>
          <w:color w:val="auto"/>
          <w:sz w:val="24"/>
          <w:szCs w:val="24"/>
        </w:rPr>
        <w:t>文件的组成部分，对</w:t>
      </w:r>
      <w:r>
        <w:rPr>
          <w:rFonts w:hint="eastAsia" w:ascii="宋体" w:hAnsi="宋体" w:cs="宋体"/>
          <w:color w:val="auto"/>
          <w:sz w:val="24"/>
          <w:szCs w:val="24"/>
          <w:lang w:eastAsia="zh-CN"/>
        </w:rPr>
        <w:t>采购代理机构</w:t>
      </w:r>
      <w:r>
        <w:rPr>
          <w:rFonts w:hint="eastAsia" w:ascii="宋体" w:hAnsi="宋体" w:cs="宋体"/>
          <w:color w:val="auto"/>
          <w:sz w:val="24"/>
          <w:szCs w:val="24"/>
        </w:rPr>
        <w:t>和供应商起约束作用。</w:t>
      </w:r>
    </w:p>
    <w:p w14:paraId="481BE60F">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7.3</w:t>
      </w:r>
      <w:r>
        <w:rPr>
          <w:rFonts w:hint="eastAsia" w:ascii="宋体" w:hAnsi="宋体" w:cs="宋体"/>
          <w:color w:val="auto"/>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70A6DB6D">
      <w:pPr>
        <w:pStyle w:val="18"/>
        <w:pageBreakBefore w:val="0"/>
        <w:kinsoku/>
        <w:overflowPunct/>
        <w:bidi w:val="0"/>
        <w:adjustRightInd w:val="0"/>
        <w:snapToGrid w:val="0"/>
        <w:spacing w:before="0" w:beforeAutospacing="0" w:after="0" w:afterAutospacing="0" w:line="360" w:lineRule="auto"/>
        <w:ind w:left="0" w:leftChars="0" w:firstLine="480" w:firstLineChars="200"/>
        <w:jc w:val="both"/>
        <w:outlineLvl w:val="9"/>
        <w:rPr>
          <w:rFonts w:hint="eastAsia" w:ascii="宋体" w:hAnsi="宋体" w:cs="宋体"/>
          <w:color w:val="auto"/>
          <w:kern w:val="2"/>
          <w:sz w:val="24"/>
          <w:szCs w:val="24"/>
          <w:lang w:bidi="ar"/>
        </w:rPr>
      </w:pPr>
      <w:bookmarkStart w:id="70" w:name="_Toc152045544"/>
      <w:bookmarkStart w:id="71" w:name="_Toc179632562"/>
      <w:bookmarkStart w:id="72" w:name="_Toc144974512"/>
      <w:bookmarkStart w:id="73" w:name="_Toc152042320"/>
      <w:r>
        <w:rPr>
          <w:rFonts w:hint="eastAsia" w:cs="宋体"/>
          <w:bCs/>
          <w:color w:val="auto"/>
          <w:sz w:val="24"/>
          <w:szCs w:val="24"/>
          <w:lang w:val="en-US" w:eastAsia="zh-CN"/>
        </w:rPr>
        <w:t>7</w:t>
      </w:r>
      <w:r>
        <w:rPr>
          <w:rFonts w:hint="eastAsia" w:ascii="宋体" w:hAnsi="宋体" w:cs="宋体"/>
          <w:bCs/>
          <w:color w:val="auto"/>
          <w:sz w:val="24"/>
          <w:szCs w:val="24"/>
        </w:rPr>
        <w:t>.</w:t>
      </w:r>
      <w:r>
        <w:rPr>
          <w:rFonts w:hint="eastAsia" w:ascii="宋体" w:hAnsi="宋体" w:cs="宋体"/>
          <w:bCs/>
          <w:color w:val="auto"/>
          <w:sz w:val="24"/>
          <w:szCs w:val="24"/>
          <w:lang w:val="en-US" w:eastAsia="zh-CN"/>
        </w:rPr>
        <w:t>3</w:t>
      </w:r>
      <w:r>
        <w:rPr>
          <w:rFonts w:hint="eastAsia" w:ascii="宋体" w:hAnsi="宋体" w:cs="宋体"/>
          <w:bCs/>
          <w:color w:val="auto"/>
          <w:sz w:val="24"/>
          <w:szCs w:val="24"/>
        </w:rPr>
        <w:t>.1</w:t>
      </w:r>
      <w:r>
        <w:rPr>
          <w:rFonts w:hint="eastAsia" w:ascii="宋体" w:hAnsi="宋体" w:cs="宋体"/>
          <w:color w:val="auto"/>
          <w:spacing w:val="6"/>
          <w:kern w:val="2"/>
          <w:sz w:val="24"/>
          <w:szCs w:val="24"/>
          <w:lang w:bidi="ar"/>
        </w:rPr>
        <w:t>根据</w:t>
      </w:r>
      <w:r>
        <w:rPr>
          <w:rFonts w:hint="eastAsia" w:ascii="宋体" w:hAnsi="宋体" w:cs="宋体"/>
          <w:color w:val="auto"/>
          <w:sz w:val="24"/>
          <w:szCs w:val="24"/>
          <w:shd w:val="clear" w:color="auto" w:fill="FFFFFF"/>
        </w:rPr>
        <w:t>《政府采购促进中小企业发展管理办法》（财库〔2020〕46号）</w:t>
      </w:r>
      <w:r>
        <w:rPr>
          <w:rFonts w:hint="eastAsia" w:ascii="宋体" w:hAnsi="宋体" w:cs="宋体"/>
          <w:color w:val="auto"/>
          <w:kern w:val="2"/>
          <w:sz w:val="24"/>
          <w:szCs w:val="24"/>
          <w:lang w:bidi="ar"/>
        </w:rPr>
        <w:t>；</w:t>
      </w:r>
    </w:p>
    <w:p w14:paraId="4EB2BC02">
      <w:pPr>
        <w:pStyle w:val="19"/>
        <w:keepNext w:val="0"/>
        <w:keepLines w:val="0"/>
        <w:pageBreakBefore w:val="0"/>
        <w:kinsoku/>
        <w:wordWrap/>
        <w:overflowPunct/>
        <w:topLinePunct w:val="0"/>
        <w:autoSpaceDE/>
        <w:autoSpaceDN/>
        <w:bidi w:val="0"/>
        <w:adjustRightInd w:val="0"/>
        <w:snapToGrid w:val="0"/>
        <w:spacing w:after="0" w:line="360" w:lineRule="auto"/>
        <w:ind w:left="0" w:leftChars="0"/>
        <w:outlineLvl w:val="9"/>
        <w:rPr>
          <w:rFonts w:hint="eastAsia" w:ascii="宋体" w:hAnsi="宋体" w:cs="宋体"/>
          <w:b w:val="0"/>
          <w:bCs/>
          <w:color w:val="auto"/>
          <w:sz w:val="24"/>
          <w:szCs w:val="24"/>
          <w:shd w:val="clear" w:color="auto" w:fill="FFFFFF"/>
          <w:lang w:val="en-US" w:eastAsia="zh-CN"/>
        </w:rPr>
      </w:pPr>
      <w:r>
        <w:rPr>
          <w:rFonts w:hint="eastAsia" w:ascii="宋体" w:hAnsi="宋体" w:cs="宋体"/>
          <w:b w:val="0"/>
          <w:bCs/>
          <w:color w:val="auto"/>
          <w:sz w:val="24"/>
          <w:szCs w:val="24"/>
          <w:shd w:val="clear" w:color="auto" w:fill="FFFFFF"/>
          <w:lang w:val="en-US" w:eastAsia="zh-CN"/>
        </w:rPr>
        <w:t>7.3.2根据《陕西省财政厅关于进一步加大政府采购支持中小企业力度的通知》（陕财办采</w:t>
      </w:r>
      <w:r>
        <w:rPr>
          <w:rFonts w:hint="eastAsia" w:ascii="宋体" w:hAnsi="宋体" w:cs="宋体"/>
          <w:b w:val="0"/>
          <w:bCs/>
          <w:color w:val="auto"/>
          <w:sz w:val="24"/>
          <w:szCs w:val="24"/>
          <w:shd w:val="clear" w:color="auto" w:fill="FFFFFF"/>
        </w:rPr>
        <w:t>〔</w:t>
      </w:r>
      <w:r>
        <w:rPr>
          <w:rFonts w:hint="eastAsia" w:ascii="宋体" w:hAnsi="宋体" w:cs="宋体"/>
          <w:b w:val="0"/>
          <w:bCs/>
          <w:color w:val="auto"/>
          <w:sz w:val="24"/>
          <w:szCs w:val="24"/>
          <w:shd w:val="clear" w:color="auto" w:fill="FFFFFF"/>
          <w:lang w:val="en-US" w:eastAsia="zh-CN"/>
        </w:rPr>
        <w:t>2022</w:t>
      </w:r>
      <w:r>
        <w:rPr>
          <w:rFonts w:hint="eastAsia" w:ascii="宋体" w:hAnsi="宋体" w:cs="宋体"/>
          <w:b w:val="0"/>
          <w:bCs/>
          <w:color w:val="auto"/>
          <w:sz w:val="24"/>
          <w:szCs w:val="24"/>
          <w:shd w:val="clear" w:color="auto" w:fill="FFFFFF"/>
        </w:rPr>
        <w:t>〕</w:t>
      </w:r>
      <w:r>
        <w:rPr>
          <w:rFonts w:hint="eastAsia" w:ascii="宋体" w:hAnsi="宋体" w:cs="宋体"/>
          <w:b w:val="0"/>
          <w:bCs/>
          <w:color w:val="auto"/>
          <w:sz w:val="24"/>
          <w:szCs w:val="24"/>
          <w:shd w:val="clear" w:color="auto" w:fill="FFFFFF"/>
          <w:lang w:val="en-US" w:eastAsia="zh-CN"/>
        </w:rPr>
        <w:t>5号）；</w:t>
      </w:r>
    </w:p>
    <w:p w14:paraId="5984F6D8">
      <w:pPr>
        <w:pageBreakBefore w:val="0"/>
        <w:kinsoku/>
        <w:overflowPunct/>
        <w:bidi w:val="0"/>
        <w:adjustRightInd w:val="0"/>
        <w:snapToGrid w:val="0"/>
        <w:spacing w:line="360" w:lineRule="auto"/>
        <w:ind w:left="0" w:leftChars="0" w:firstLine="480" w:firstLineChars="200"/>
        <w:outlineLvl w:val="9"/>
        <w:rPr>
          <w:rFonts w:hint="default"/>
          <w:color w:val="auto"/>
          <w:sz w:val="24"/>
          <w:szCs w:val="24"/>
          <w:lang w:val="en-US"/>
        </w:rPr>
      </w:pPr>
      <w:r>
        <w:rPr>
          <w:rFonts w:hint="eastAsia" w:ascii="宋体" w:hAnsi="宋体" w:cs="宋体"/>
          <w:color w:val="auto"/>
          <w:sz w:val="24"/>
          <w:szCs w:val="24"/>
          <w:shd w:val="clear" w:color="auto" w:fill="FFFFFF"/>
          <w:lang w:val="en-US" w:eastAsia="zh-CN"/>
        </w:rPr>
        <w:t>7.3.3根据《榆林市财政局关于进一步加大政府采购支持中小企业力度的通知》（榆政财采发</w:t>
      </w:r>
      <w:r>
        <w:rPr>
          <w:rFonts w:hint="eastAsia" w:ascii="宋体" w:hAnsi="宋体" w:cs="宋体"/>
          <w:color w:val="auto"/>
          <w:sz w:val="24"/>
          <w:szCs w:val="24"/>
          <w:shd w:val="clear" w:color="auto" w:fill="FFFFFF"/>
        </w:rPr>
        <w:t>〔</w:t>
      </w:r>
      <w:r>
        <w:rPr>
          <w:rFonts w:hint="eastAsia" w:ascii="宋体" w:hAnsi="宋体" w:cs="宋体"/>
          <w:color w:val="auto"/>
          <w:sz w:val="24"/>
          <w:szCs w:val="24"/>
          <w:shd w:val="clear" w:color="auto" w:fill="FFFFFF"/>
          <w:lang w:val="en-US" w:eastAsia="zh-CN"/>
        </w:rPr>
        <w:t>2022</w:t>
      </w:r>
      <w:r>
        <w:rPr>
          <w:rFonts w:hint="eastAsia" w:ascii="宋体" w:hAnsi="宋体" w:cs="宋体"/>
          <w:color w:val="auto"/>
          <w:sz w:val="24"/>
          <w:szCs w:val="24"/>
          <w:shd w:val="clear" w:color="auto" w:fill="FFFFFF"/>
        </w:rPr>
        <w:t>〕</w:t>
      </w:r>
      <w:r>
        <w:rPr>
          <w:rFonts w:hint="eastAsia" w:ascii="宋体" w:hAnsi="宋体" w:cs="宋体"/>
          <w:color w:val="auto"/>
          <w:sz w:val="24"/>
          <w:szCs w:val="24"/>
          <w:shd w:val="clear" w:color="auto" w:fill="FFFFFF"/>
          <w:lang w:val="en-US" w:eastAsia="zh-CN"/>
        </w:rPr>
        <w:t>10号）；</w:t>
      </w:r>
    </w:p>
    <w:p w14:paraId="34FF5BEB">
      <w:pPr>
        <w:pageBreakBefore w:val="0"/>
        <w:widowControl/>
        <w:tabs>
          <w:tab w:val="left" w:pos="1620"/>
        </w:tabs>
        <w:kinsoku/>
        <w:overflowPunct/>
        <w:bidi w:val="0"/>
        <w:adjustRightInd w:val="0"/>
        <w:snapToGrid w:val="0"/>
        <w:spacing w:line="360" w:lineRule="auto"/>
        <w:ind w:left="0" w:leftChars="0" w:firstLine="420" w:firstLineChars="175"/>
        <w:jc w:val="left"/>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4</w:t>
      </w:r>
      <w:r>
        <w:rPr>
          <w:rFonts w:hint="eastAsia" w:ascii="宋体" w:hAnsi="宋体" w:cs="宋体"/>
          <w:bCs/>
          <w:color w:val="auto"/>
          <w:kern w:val="0"/>
          <w:sz w:val="24"/>
          <w:szCs w:val="24"/>
        </w:rPr>
        <w:t>《财政部司法部关于政府采购支持监狱企业发展有关问题的通知》--财库[2014]68号 ；</w:t>
      </w:r>
    </w:p>
    <w:p w14:paraId="7B2891D6">
      <w:pPr>
        <w:pageBreakBefore w:val="0"/>
        <w:widowControl/>
        <w:tabs>
          <w:tab w:val="left" w:pos="1620"/>
        </w:tabs>
        <w:kinsoku/>
        <w:overflowPunct/>
        <w:bidi w:val="0"/>
        <w:adjustRightInd w:val="0"/>
        <w:snapToGrid w:val="0"/>
        <w:spacing w:line="360" w:lineRule="auto"/>
        <w:ind w:left="0" w:leftChars="0" w:firstLine="420" w:firstLineChars="175"/>
        <w:jc w:val="left"/>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5</w:t>
      </w:r>
      <w:r>
        <w:rPr>
          <w:rFonts w:hint="eastAsia" w:ascii="宋体" w:hAnsi="宋体" w:cs="宋体"/>
          <w:bCs/>
          <w:color w:val="auto"/>
          <w:kern w:val="0"/>
          <w:sz w:val="24"/>
          <w:szCs w:val="24"/>
        </w:rPr>
        <w:t>《国务院办公厅关于建立政府强制采购节能产品制度的通知》--国办发[2007]51号 ；</w:t>
      </w:r>
    </w:p>
    <w:p w14:paraId="4A629FCC">
      <w:pPr>
        <w:pageBreakBefore w:val="0"/>
        <w:widowControl/>
        <w:tabs>
          <w:tab w:val="left" w:pos="1620"/>
        </w:tabs>
        <w:kinsoku/>
        <w:overflowPunct/>
        <w:bidi w:val="0"/>
        <w:adjustRightInd w:val="0"/>
        <w:snapToGrid w:val="0"/>
        <w:spacing w:line="360" w:lineRule="auto"/>
        <w:ind w:left="0" w:leftChars="0" w:firstLine="420" w:firstLineChars="175"/>
        <w:jc w:val="left"/>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6</w:t>
      </w:r>
      <w:r>
        <w:rPr>
          <w:rFonts w:hint="eastAsia" w:ascii="宋体" w:hAnsi="宋体" w:cs="宋体"/>
          <w:bCs/>
          <w:color w:val="auto"/>
          <w:kern w:val="0"/>
          <w:sz w:val="24"/>
          <w:szCs w:val="24"/>
        </w:rPr>
        <w:t xml:space="preserve">《节能产品政府采购实施意见》--（财库[2004]185号）； </w:t>
      </w:r>
    </w:p>
    <w:p w14:paraId="7980F53A">
      <w:pPr>
        <w:pageBreakBefore w:val="0"/>
        <w:widowControl/>
        <w:tabs>
          <w:tab w:val="left" w:pos="1620"/>
        </w:tabs>
        <w:kinsoku/>
        <w:overflowPunct/>
        <w:bidi w:val="0"/>
        <w:adjustRightInd w:val="0"/>
        <w:snapToGrid w:val="0"/>
        <w:spacing w:line="360" w:lineRule="auto"/>
        <w:ind w:left="0" w:leftChars="0" w:firstLine="420" w:firstLineChars="175"/>
        <w:jc w:val="left"/>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color w:val="auto"/>
          <w:sz w:val="24"/>
          <w:szCs w:val="24"/>
        </w:rPr>
        <w:t>；</w:t>
      </w:r>
    </w:p>
    <w:p w14:paraId="1380AB35">
      <w:pPr>
        <w:pageBreakBefore w:val="0"/>
        <w:kinsoku/>
        <w:overflowPunct/>
        <w:bidi w:val="0"/>
        <w:adjustRightInd w:val="0"/>
        <w:snapToGrid w:val="0"/>
        <w:spacing w:line="360" w:lineRule="auto"/>
        <w:ind w:left="0" w:leftChars="0" w:firstLine="420" w:firstLineChars="175"/>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8</w:t>
      </w:r>
      <w:r>
        <w:rPr>
          <w:rFonts w:hint="eastAsia" w:ascii="宋体" w:hAnsi="宋体" w:cs="宋体"/>
          <w:bCs/>
          <w:color w:val="auto"/>
          <w:kern w:val="0"/>
          <w:sz w:val="24"/>
          <w:szCs w:val="24"/>
        </w:rPr>
        <w:t>《财政部民政部中国残疾人联合会关于促进残疾人就业政府采购政策的通知》--（财库〔2017〕141号）；</w:t>
      </w:r>
    </w:p>
    <w:p w14:paraId="63106C25">
      <w:pPr>
        <w:pStyle w:val="9"/>
        <w:pageBreakBefore w:val="0"/>
        <w:kinsoku/>
        <w:overflowPunct/>
        <w:bidi w:val="0"/>
        <w:adjustRightInd w:val="0"/>
        <w:snapToGrid w:val="0"/>
        <w:spacing w:after="0" w:line="360" w:lineRule="auto"/>
        <w:ind w:left="0" w:leftChars="0"/>
        <w:outlineLvl w:val="9"/>
        <w:rPr>
          <w:rFonts w:hint="eastAsia" w:ascii="宋体" w:hAnsi="宋体" w:cs="宋体"/>
          <w:b w:val="0"/>
          <w:bCs/>
          <w:color w:val="auto"/>
          <w:kern w:val="0"/>
          <w:sz w:val="24"/>
          <w:szCs w:val="24"/>
        </w:rPr>
      </w:pPr>
      <w:r>
        <w:rPr>
          <w:rFonts w:hint="eastAsia" w:ascii="宋体" w:hAnsi="宋体" w:cs="宋体"/>
          <w:bCs/>
          <w:color w:val="auto"/>
          <w:kern w:val="0"/>
          <w:sz w:val="24"/>
          <w:szCs w:val="24"/>
        </w:rPr>
        <w:t xml:space="preserve">   </w:t>
      </w:r>
      <w:r>
        <w:rPr>
          <w:rFonts w:hint="eastAsia" w:ascii="宋体" w:hAnsi="宋体" w:cs="宋体"/>
          <w:bCs/>
          <w:color w:val="auto"/>
          <w:kern w:val="0"/>
          <w:sz w:val="24"/>
          <w:szCs w:val="24"/>
          <w:lang w:val="en-US" w:eastAsia="zh-CN"/>
        </w:rPr>
        <w:t>7</w:t>
      </w:r>
      <w:r>
        <w:rPr>
          <w:rFonts w:hint="eastAsia" w:ascii="宋体" w:hAnsi="宋体" w:cs="宋体"/>
          <w:b w:val="0"/>
          <w:bCs/>
          <w:color w:val="auto"/>
          <w:kern w:val="0"/>
          <w:sz w:val="24"/>
          <w:szCs w:val="24"/>
        </w:rPr>
        <w:t>.</w:t>
      </w:r>
      <w:r>
        <w:rPr>
          <w:rFonts w:hint="eastAsia" w:ascii="宋体" w:hAnsi="宋体" w:cs="宋体"/>
          <w:b w:val="0"/>
          <w:bCs/>
          <w:color w:val="auto"/>
          <w:kern w:val="0"/>
          <w:sz w:val="24"/>
          <w:szCs w:val="24"/>
          <w:lang w:val="en-US" w:eastAsia="zh-CN"/>
        </w:rPr>
        <w:t>3</w:t>
      </w:r>
      <w:r>
        <w:rPr>
          <w:rFonts w:hint="eastAsia" w:ascii="宋体" w:hAnsi="宋体" w:cs="宋体"/>
          <w:b w:val="0"/>
          <w:bCs/>
          <w:color w:val="auto"/>
          <w:kern w:val="0"/>
          <w:sz w:val="24"/>
          <w:szCs w:val="24"/>
        </w:rPr>
        <w:t>.</w:t>
      </w:r>
      <w:r>
        <w:rPr>
          <w:rFonts w:hint="eastAsia" w:ascii="宋体" w:hAnsi="宋体" w:cs="宋体"/>
          <w:b w:val="0"/>
          <w:bCs/>
          <w:color w:val="auto"/>
          <w:kern w:val="0"/>
          <w:sz w:val="24"/>
          <w:szCs w:val="24"/>
          <w:lang w:val="en-US" w:eastAsia="zh-CN"/>
        </w:rPr>
        <w:t>9</w:t>
      </w:r>
      <w:r>
        <w:rPr>
          <w:rFonts w:hint="eastAsia" w:ascii="宋体" w:hAnsi="宋体" w:cs="宋体"/>
          <w:b w:val="0"/>
          <w:bCs/>
          <w:color w:val="auto"/>
          <w:kern w:val="0"/>
          <w:sz w:val="24"/>
          <w:szCs w:val="24"/>
        </w:rPr>
        <w:t>《政府采购贫困地区农副产品实施方案》--（财库〔2019〕41号）；</w:t>
      </w:r>
    </w:p>
    <w:p w14:paraId="6CE1F9DE">
      <w:pPr>
        <w:pageBreakBefore w:val="0"/>
        <w:widowControl/>
        <w:tabs>
          <w:tab w:val="left" w:pos="1620"/>
        </w:tabs>
        <w:kinsoku/>
        <w:overflowPunct/>
        <w:bidi w:val="0"/>
        <w:adjustRightInd w:val="0"/>
        <w:snapToGrid w:val="0"/>
        <w:spacing w:line="360" w:lineRule="auto"/>
        <w:ind w:left="0" w:leftChars="0" w:firstLine="480" w:firstLineChars="200"/>
        <w:jc w:val="left"/>
        <w:outlineLvl w:val="9"/>
        <w:rPr>
          <w:rFonts w:hint="eastAsia" w:ascii="宋体" w:hAnsi="宋体" w:cs="宋体"/>
          <w:bCs/>
          <w:color w:val="auto"/>
          <w:kern w:val="0"/>
          <w:sz w:val="24"/>
          <w:szCs w:val="24"/>
        </w:rPr>
      </w:pPr>
      <w:r>
        <w:rPr>
          <w:rFonts w:hint="eastAsia" w:ascii="宋体" w:hAnsi="宋体" w:cs="宋体"/>
          <w:bCs/>
          <w:color w:val="auto"/>
          <w:kern w:val="0"/>
          <w:sz w:val="24"/>
          <w:szCs w:val="24"/>
          <w:lang w:val="en-US" w:eastAsia="zh-CN"/>
        </w:rPr>
        <w:t>7</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3</w:t>
      </w:r>
      <w:r>
        <w:rPr>
          <w:rFonts w:hint="eastAsia" w:ascii="宋体" w:hAnsi="宋体" w:cs="宋体"/>
          <w:bCs/>
          <w:color w:val="auto"/>
          <w:kern w:val="0"/>
          <w:sz w:val="24"/>
          <w:szCs w:val="24"/>
        </w:rPr>
        <w:t>.</w:t>
      </w:r>
      <w:r>
        <w:rPr>
          <w:rFonts w:hint="eastAsia" w:ascii="宋体" w:hAnsi="宋体" w:cs="宋体"/>
          <w:bCs/>
          <w:color w:val="auto"/>
          <w:kern w:val="0"/>
          <w:sz w:val="24"/>
          <w:szCs w:val="24"/>
          <w:lang w:val="en-US" w:eastAsia="zh-CN"/>
        </w:rPr>
        <w:t>10</w:t>
      </w:r>
      <w:r>
        <w:rPr>
          <w:rFonts w:hint="eastAsia" w:ascii="宋体" w:hAnsi="宋体" w:cs="宋体"/>
          <w:bCs/>
          <w:color w:val="auto"/>
          <w:kern w:val="0"/>
          <w:sz w:val="24"/>
          <w:szCs w:val="24"/>
        </w:rPr>
        <w:t>《关于在政府采购活动中查询及使用信用记录有关问题的通知》（财库〔2016〕125号）；</w:t>
      </w:r>
    </w:p>
    <w:p w14:paraId="2A2AD702">
      <w:pPr>
        <w:pStyle w:val="9"/>
        <w:pageBreakBefore w:val="0"/>
        <w:kinsoku/>
        <w:overflowPunct/>
        <w:bidi w:val="0"/>
        <w:adjustRightInd w:val="0"/>
        <w:snapToGrid w:val="0"/>
        <w:spacing w:after="0" w:line="360" w:lineRule="auto"/>
        <w:ind w:left="0" w:leftChars="0" w:firstLine="480" w:firstLineChars="200"/>
        <w:outlineLvl w:val="9"/>
        <w:rPr>
          <w:rFonts w:hint="eastAsia" w:ascii="宋体" w:hAnsi="宋体" w:cs="宋体"/>
          <w:b w:val="0"/>
          <w:bCs/>
          <w:color w:val="auto"/>
          <w:kern w:val="0"/>
          <w:sz w:val="24"/>
          <w:szCs w:val="24"/>
        </w:rPr>
      </w:pPr>
      <w:r>
        <w:rPr>
          <w:rFonts w:hint="eastAsia" w:ascii="宋体" w:hAnsi="宋体" w:cs="宋体"/>
          <w:b w:val="0"/>
          <w:bCs/>
          <w:color w:val="auto"/>
          <w:kern w:val="0"/>
          <w:sz w:val="24"/>
          <w:szCs w:val="24"/>
          <w:lang w:val="en-US" w:eastAsia="zh-CN"/>
        </w:rPr>
        <w:t>7</w:t>
      </w:r>
      <w:r>
        <w:rPr>
          <w:rFonts w:hint="eastAsia" w:ascii="宋体" w:hAnsi="宋体" w:cs="宋体"/>
          <w:b w:val="0"/>
          <w:bCs/>
          <w:color w:val="auto"/>
          <w:kern w:val="0"/>
          <w:sz w:val="24"/>
          <w:szCs w:val="24"/>
        </w:rPr>
        <w:t>.</w:t>
      </w:r>
      <w:r>
        <w:rPr>
          <w:rFonts w:hint="eastAsia" w:ascii="宋体" w:hAnsi="宋体" w:cs="宋体"/>
          <w:b w:val="0"/>
          <w:bCs/>
          <w:color w:val="auto"/>
          <w:kern w:val="0"/>
          <w:sz w:val="24"/>
          <w:szCs w:val="24"/>
          <w:lang w:val="en-US" w:eastAsia="zh-CN"/>
        </w:rPr>
        <w:t>3</w:t>
      </w:r>
      <w:r>
        <w:rPr>
          <w:rFonts w:hint="eastAsia" w:ascii="宋体" w:hAnsi="宋体" w:cs="宋体"/>
          <w:b w:val="0"/>
          <w:bCs/>
          <w:color w:val="auto"/>
          <w:kern w:val="0"/>
          <w:sz w:val="24"/>
          <w:szCs w:val="24"/>
        </w:rPr>
        <w:t>.</w:t>
      </w:r>
      <w:r>
        <w:rPr>
          <w:rFonts w:hint="eastAsia" w:ascii="宋体" w:hAnsi="宋体" w:cs="宋体"/>
          <w:b w:val="0"/>
          <w:bCs/>
          <w:color w:val="auto"/>
          <w:kern w:val="0"/>
          <w:sz w:val="24"/>
          <w:szCs w:val="24"/>
          <w:lang w:val="en-US" w:eastAsia="zh-CN"/>
        </w:rPr>
        <w:t>11</w:t>
      </w:r>
      <w:r>
        <w:rPr>
          <w:rFonts w:hint="eastAsia" w:ascii="宋体" w:hAnsi="宋体" w:cs="宋体"/>
          <w:b w:val="0"/>
          <w:bCs/>
          <w:color w:val="auto"/>
          <w:kern w:val="0"/>
          <w:sz w:val="24"/>
          <w:szCs w:val="24"/>
        </w:rPr>
        <w:t xml:space="preserve">《关于开展政府采购信用担保试点工作的通知》（财库【2011】124号）。 </w:t>
      </w:r>
    </w:p>
    <w:p w14:paraId="0BD8F171">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lang w:val="en-US" w:eastAsia="zh-CN"/>
        </w:rPr>
        <w:t>8</w:t>
      </w:r>
      <w:r>
        <w:rPr>
          <w:rFonts w:hint="eastAsia" w:ascii="宋体" w:hAnsi="宋体" w:eastAsia="宋体"/>
          <w:b/>
          <w:color w:val="auto"/>
          <w:sz w:val="24"/>
          <w:szCs w:val="24"/>
        </w:rPr>
        <w:t>、竞争性磋商文件的澄清</w:t>
      </w:r>
      <w:bookmarkEnd w:id="70"/>
      <w:bookmarkEnd w:id="71"/>
      <w:bookmarkEnd w:id="72"/>
      <w:bookmarkEnd w:id="73"/>
    </w:p>
    <w:p w14:paraId="25C78B9D">
      <w:pPr>
        <w:pageBreakBefore w:val="0"/>
        <w:kinsoku/>
        <w:overflowPunct/>
        <w:bidi w:val="0"/>
        <w:adjustRightInd w:val="0"/>
        <w:snapToGrid w:val="0"/>
        <w:spacing w:line="360" w:lineRule="auto"/>
        <w:ind w:left="0" w:leftChars="0" w:firstLine="480" w:firstLineChars="200"/>
        <w:outlineLvl w:val="9"/>
        <w:rPr>
          <w:rFonts w:hint="eastAsia" w:asciiTheme="minorEastAsia" w:hAnsiTheme="minorEastAsia" w:eastAsiaTheme="minorEastAsia" w:cstheme="minorEastAsia"/>
          <w:color w:val="auto"/>
          <w:sz w:val="24"/>
          <w:szCs w:val="24"/>
        </w:rPr>
      </w:pPr>
      <w:bookmarkStart w:id="74" w:name="_Toc179632563"/>
      <w:bookmarkStart w:id="75" w:name="_Toc152045545"/>
      <w:bookmarkStart w:id="76" w:name="_Toc152042321"/>
      <w:bookmarkStart w:id="77" w:name="_Toc144974513"/>
      <w:r>
        <w:rPr>
          <w:rFonts w:hint="eastAsia" w:asciiTheme="minorEastAsia" w:hAnsiTheme="minorEastAsia" w:eastAsiaTheme="minorEastAsia" w:cstheme="minorEastAsia"/>
          <w:color w:val="auto"/>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color w:val="auto"/>
          <w:sz w:val="24"/>
          <w:szCs w:val="24"/>
          <w:lang w:val="en-US" w:eastAsia="zh-CN"/>
        </w:rPr>
        <w:t>不足5日的，顺延提交首次响应文件截止时间</w:t>
      </w:r>
      <w:r>
        <w:rPr>
          <w:rFonts w:hint="eastAsia" w:asciiTheme="minorEastAsia" w:hAnsiTheme="minorEastAsia" w:eastAsiaTheme="minorEastAsia" w:cstheme="minorEastAsia"/>
          <w:color w:val="auto"/>
          <w:sz w:val="24"/>
          <w:szCs w:val="24"/>
          <w:lang w:val="zh-CN"/>
        </w:rPr>
        <w:t>。</w:t>
      </w:r>
      <w:r>
        <w:rPr>
          <w:rFonts w:hint="eastAsia" w:asciiTheme="minorEastAsia" w:hAnsiTheme="minorEastAsia" w:eastAsiaTheme="minorEastAsia" w:cstheme="minorEastAsia"/>
          <w:color w:val="auto"/>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22CAC973">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lang w:val="en-US" w:eastAsia="zh-CN"/>
        </w:rPr>
        <w:t>9</w:t>
      </w:r>
      <w:r>
        <w:rPr>
          <w:rFonts w:hint="eastAsia" w:ascii="宋体" w:hAnsi="宋体" w:eastAsia="宋体"/>
          <w:b/>
          <w:color w:val="auto"/>
          <w:sz w:val="24"/>
          <w:szCs w:val="24"/>
        </w:rPr>
        <w:t>、竞争性磋商文件的修改</w:t>
      </w:r>
      <w:bookmarkEnd w:id="74"/>
      <w:bookmarkEnd w:id="75"/>
      <w:bookmarkEnd w:id="76"/>
      <w:bookmarkEnd w:id="77"/>
    </w:p>
    <w:p w14:paraId="71A44DD5">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bookmarkStart w:id="78" w:name="_Toc17851"/>
      <w:bookmarkStart w:id="79" w:name="_Toc363119280"/>
      <w:bookmarkStart w:id="80" w:name="_Toc513557029"/>
      <w:bookmarkStart w:id="81" w:name="_Toc510859688"/>
      <w:bookmarkStart w:id="82" w:name="_Toc510859894"/>
      <w:bookmarkStart w:id="83" w:name="_Toc30391"/>
      <w:bookmarkStart w:id="84" w:name="_Toc8450"/>
      <w:bookmarkStart w:id="85" w:name="_Toc8470"/>
      <w:r>
        <w:rPr>
          <w:rFonts w:hint="eastAsia" w:ascii="宋体" w:hAnsi="宋体" w:cs="宋体"/>
          <w:color w:val="auto"/>
          <w:sz w:val="24"/>
          <w:szCs w:val="24"/>
          <w:lang w:val="en-US" w:eastAsia="zh-CN"/>
        </w:rPr>
        <w:t>9</w:t>
      </w:r>
      <w:r>
        <w:rPr>
          <w:rFonts w:hint="eastAsia" w:ascii="宋体" w:hAnsi="宋体" w:eastAsia="宋体" w:cs="宋体"/>
          <w:color w:val="auto"/>
          <w:sz w:val="24"/>
          <w:szCs w:val="24"/>
        </w:rPr>
        <w:t>.1在采购活动截止前的任何时候，无论出于何种原因，采购代理机构可以对竞争性磋商文件进行修改，也可以在解答各供应商提出的澄清问题时，修改采购活动文件。</w:t>
      </w:r>
    </w:p>
    <w:p w14:paraId="3FA1DBC2">
      <w:pPr>
        <w:pageBreakBefore w:val="0"/>
        <w:kinsoku/>
        <w:overflowPunct/>
        <w:bidi w:val="0"/>
        <w:adjustRightInd w:val="0"/>
        <w:snapToGrid w:val="0"/>
        <w:spacing w:line="360" w:lineRule="auto"/>
        <w:ind w:left="0" w:leftChars="0" w:firstLine="48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494ED62C">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szCs w:val="24"/>
          <w:lang w:val="en-US" w:eastAsia="zh-CN"/>
        </w:rPr>
        <w:t>获取</w:t>
      </w:r>
      <w:r>
        <w:rPr>
          <w:rFonts w:hint="eastAsia" w:ascii="宋体" w:hAnsi="宋体" w:eastAsia="宋体" w:cs="宋体"/>
          <w:color w:val="auto"/>
          <w:sz w:val="24"/>
          <w:szCs w:val="24"/>
        </w:rPr>
        <w:t>竞争性磋商文件的供应商。</w:t>
      </w:r>
    </w:p>
    <w:p w14:paraId="581F79E6">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86" w:name="_Toc19904"/>
      <w:bookmarkStart w:id="87" w:name="_Toc6028"/>
      <w:bookmarkStart w:id="88" w:name="_Toc8834"/>
      <w:bookmarkStart w:id="89" w:name="_Toc14923"/>
      <w:bookmarkStart w:id="90" w:name="_Toc1315"/>
      <w:r>
        <w:rPr>
          <w:rFonts w:hint="eastAsia" w:asciiTheme="minorEastAsia" w:hAnsiTheme="minorEastAsia" w:eastAsiaTheme="minorEastAsia" w:cstheme="minorEastAsia"/>
          <w:b/>
          <w:color w:val="auto"/>
          <w:sz w:val="24"/>
          <w:szCs w:val="24"/>
        </w:rPr>
        <w:t>3. 竞争性磋商响应文件</w:t>
      </w:r>
      <w:bookmarkEnd w:id="78"/>
      <w:bookmarkEnd w:id="79"/>
      <w:bookmarkEnd w:id="80"/>
      <w:bookmarkEnd w:id="81"/>
      <w:bookmarkEnd w:id="82"/>
      <w:r>
        <w:rPr>
          <w:rFonts w:hint="eastAsia" w:asciiTheme="minorEastAsia" w:hAnsiTheme="minorEastAsia" w:eastAsiaTheme="minorEastAsia" w:cstheme="minorEastAsia"/>
          <w:b/>
          <w:color w:val="auto"/>
          <w:sz w:val="24"/>
          <w:szCs w:val="24"/>
        </w:rPr>
        <w:t>的编制</w:t>
      </w:r>
      <w:bookmarkEnd w:id="83"/>
      <w:bookmarkEnd w:id="84"/>
      <w:bookmarkEnd w:id="85"/>
      <w:bookmarkEnd w:id="86"/>
      <w:bookmarkEnd w:id="87"/>
      <w:bookmarkEnd w:id="88"/>
      <w:bookmarkEnd w:id="89"/>
      <w:bookmarkEnd w:id="90"/>
    </w:p>
    <w:p w14:paraId="1DEDDC50">
      <w:pPr>
        <w:pStyle w:val="28"/>
        <w:pageBreakBefore w:val="0"/>
        <w:kinsoku/>
        <w:overflowPunct/>
        <w:bidi w:val="0"/>
        <w:adjustRightInd w:val="0"/>
        <w:snapToGrid w:val="0"/>
        <w:spacing w:before="0" w:after="0" w:line="360" w:lineRule="auto"/>
        <w:ind w:left="0" w:leftChars="0"/>
        <w:outlineLvl w:val="9"/>
        <w:rPr>
          <w:rFonts w:ascii="宋体" w:hAnsi="宋体" w:cs="宋体"/>
          <w:color w:val="auto"/>
          <w:sz w:val="24"/>
          <w:szCs w:val="24"/>
        </w:rPr>
      </w:pPr>
      <w:bookmarkStart w:id="91" w:name="_Toc152045547"/>
      <w:bookmarkStart w:id="92" w:name="_Toc179632565"/>
      <w:bookmarkStart w:id="93" w:name="_Toc152042323"/>
      <w:bookmarkStart w:id="94" w:name="_Toc144974515"/>
      <w:r>
        <w:rPr>
          <w:rFonts w:hint="eastAsia" w:ascii="宋体" w:hAnsi="宋体" w:eastAsia="宋体"/>
          <w:b/>
          <w:color w:val="auto"/>
          <w:sz w:val="24"/>
          <w:szCs w:val="24"/>
          <w:lang w:val="en-US" w:eastAsia="zh-CN"/>
        </w:rPr>
        <w:t>10</w:t>
      </w:r>
      <w:r>
        <w:rPr>
          <w:rFonts w:hint="eastAsia" w:ascii="宋体" w:hAnsi="宋体" w:eastAsia="宋体"/>
          <w:b/>
          <w:color w:val="auto"/>
          <w:sz w:val="24"/>
          <w:szCs w:val="24"/>
        </w:rPr>
        <w:t>、磋商语言和磋商货币</w:t>
      </w:r>
    </w:p>
    <w:p w14:paraId="56E0FC0C">
      <w:pPr>
        <w:pageBreakBefore w:val="0"/>
        <w:kinsoku/>
        <w:overflowPunct/>
        <w:autoSpaceDE w:val="0"/>
        <w:autoSpaceDN w:val="0"/>
        <w:bidi w:val="0"/>
        <w:adjustRightInd w:val="0"/>
        <w:snapToGrid w:val="0"/>
        <w:spacing w:line="360" w:lineRule="auto"/>
        <w:ind w:left="0" w:leftChars="0" w:firstLine="480" w:firstLineChars="200"/>
        <w:outlineLvl w:val="9"/>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10</w:t>
      </w:r>
      <w:r>
        <w:rPr>
          <w:rFonts w:hint="eastAsia" w:asciiTheme="minorEastAsia" w:hAnsiTheme="minorEastAsia" w:eastAsiaTheme="minorEastAsia" w:cstheme="minorEastAsia"/>
          <w:color w:val="auto"/>
          <w:kern w:val="0"/>
          <w:sz w:val="24"/>
          <w:szCs w:val="24"/>
        </w:rPr>
        <w:t>.1供应商提交的竞争性磋商响应文件以及供应商与采购代理机构就有关磋商的所有来往函电均应使用中文。</w:t>
      </w:r>
    </w:p>
    <w:p w14:paraId="48EA0132">
      <w:pPr>
        <w:pageBreakBefore w:val="0"/>
        <w:kinsoku/>
        <w:overflowPunct/>
        <w:autoSpaceDE w:val="0"/>
        <w:autoSpaceDN w:val="0"/>
        <w:bidi w:val="0"/>
        <w:adjustRightInd w:val="0"/>
        <w:snapToGrid w:val="0"/>
        <w:spacing w:line="360" w:lineRule="auto"/>
        <w:ind w:left="0" w:leftChars="0" w:firstLine="480" w:firstLineChars="200"/>
        <w:outlineLvl w:val="9"/>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10</w:t>
      </w:r>
      <w:r>
        <w:rPr>
          <w:rFonts w:hint="eastAsia" w:asciiTheme="minorEastAsia" w:hAnsiTheme="minorEastAsia" w:eastAsiaTheme="minorEastAsia" w:cstheme="minorEastAsia"/>
          <w:color w:val="auto"/>
          <w:kern w:val="0"/>
          <w:sz w:val="24"/>
          <w:szCs w:val="24"/>
        </w:rPr>
        <w:t>.2磋商应以人民币报价。任何包含非人民币报价的磋商将按无效磋商处理。</w:t>
      </w:r>
    </w:p>
    <w:p w14:paraId="6F259BD4">
      <w:pPr>
        <w:pageBreakBefore w:val="0"/>
        <w:kinsoku/>
        <w:overflowPunct/>
        <w:autoSpaceDE w:val="0"/>
        <w:autoSpaceDN w:val="0"/>
        <w:bidi w:val="0"/>
        <w:adjustRightInd w:val="0"/>
        <w:snapToGrid w:val="0"/>
        <w:spacing w:line="360" w:lineRule="auto"/>
        <w:ind w:left="0" w:leftChars="0"/>
        <w:outlineLvl w:val="9"/>
        <w:rPr>
          <w:rFonts w:ascii="宋体" w:hAnsi="宋体" w:eastAsia="宋体"/>
          <w:b/>
          <w:color w:val="auto"/>
          <w:sz w:val="24"/>
          <w:szCs w:val="24"/>
        </w:rPr>
      </w:pPr>
      <w:r>
        <w:rPr>
          <w:rFonts w:hint="eastAsia" w:ascii="宋体" w:hAnsi="宋体"/>
          <w:b/>
          <w:color w:val="auto"/>
          <w:sz w:val="24"/>
          <w:szCs w:val="24"/>
          <w:lang w:val="en-US" w:eastAsia="zh-CN"/>
        </w:rPr>
        <w:t>11</w:t>
      </w:r>
      <w:r>
        <w:rPr>
          <w:rFonts w:hint="eastAsia" w:ascii="宋体" w:hAnsi="宋体" w:eastAsia="宋体"/>
          <w:b/>
          <w:color w:val="auto"/>
          <w:sz w:val="24"/>
          <w:szCs w:val="24"/>
        </w:rPr>
        <w:t>、竞争性磋商响应文件的组成</w:t>
      </w:r>
      <w:bookmarkEnd w:id="91"/>
      <w:bookmarkEnd w:id="92"/>
      <w:bookmarkEnd w:id="93"/>
      <w:bookmarkEnd w:id="94"/>
    </w:p>
    <w:p w14:paraId="52AC9331">
      <w:pPr>
        <w:pageBreakBefore w:val="0"/>
        <w:tabs>
          <w:tab w:val="left" w:pos="720"/>
        </w:tabs>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eastAsia="zh-CN"/>
        </w:rPr>
      </w:pPr>
      <w:bookmarkStart w:id="95" w:name="_Toc144974518"/>
      <w:bookmarkStart w:id="96" w:name="_Toc179632568"/>
      <w:bookmarkStart w:id="97" w:name="_Toc152045550"/>
      <w:bookmarkStart w:id="98" w:name="_Toc152042326"/>
      <w:r>
        <w:rPr>
          <w:rFonts w:hint="eastAsia" w:ascii="宋体" w:hAnsi="宋体" w:cs="宋体"/>
          <w:color w:val="auto"/>
          <w:sz w:val="24"/>
          <w:szCs w:val="24"/>
          <w:lang w:val="en-US" w:eastAsia="zh-CN"/>
        </w:rPr>
        <w:t>11.1</w:t>
      </w:r>
      <w:r>
        <w:rPr>
          <w:rFonts w:hint="eastAsia" w:ascii="宋体" w:hAnsi="宋体" w:cs="宋体"/>
          <w:color w:val="auto"/>
          <w:sz w:val="24"/>
          <w:szCs w:val="24"/>
        </w:rPr>
        <w:t>供应商编写的竞争性磋商响应文件</w:t>
      </w:r>
      <w:r>
        <w:rPr>
          <w:rFonts w:hint="eastAsia" w:ascii="宋体" w:hAnsi="宋体" w:cs="宋体"/>
          <w:color w:val="auto"/>
          <w:sz w:val="24"/>
          <w:szCs w:val="24"/>
          <w:lang w:eastAsia="zh-CN"/>
        </w:rPr>
        <w:t>应</w:t>
      </w:r>
      <w:r>
        <w:rPr>
          <w:rFonts w:hint="eastAsia" w:ascii="宋体" w:hAnsi="宋体" w:cs="宋体"/>
          <w:color w:val="auto"/>
          <w:sz w:val="24"/>
          <w:szCs w:val="24"/>
        </w:rPr>
        <w:t>包括</w:t>
      </w:r>
      <w:r>
        <w:rPr>
          <w:rFonts w:hint="eastAsia" w:ascii="宋体" w:hAnsi="宋体" w:cs="宋体"/>
          <w:color w:val="auto"/>
          <w:sz w:val="24"/>
          <w:szCs w:val="24"/>
          <w:lang w:eastAsia="zh-CN"/>
        </w:rPr>
        <w:t>“第</w:t>
      </w:r>
      <w:r>
        <w:rPr>
          <w:rFonts w:hint="eastAsia" w:ascii="宋体" w:hAnsi="宋体" w:cs="宋体"/>
          <w:color w:val="auto"/>
          <w:sz w:val="24"/>
          <w:szCs w:val="24"/>
          <w:lang w:val="en-US" w:eastAsia="zh-CN"/>
        </w:rPr>
        <w:t>七</w:t>
      </w:r>
      <w:r>
        <w:rPr>
          <w:rFonts w:hint="eastAsia" w:ascii="宋体" w:hAnsi="宋体" w:cs="宋体"/>
          <w:color w:val="auto"/>
          <w:sz w:val="24"/>
          <w:szCs w:val="24"/>
          <w:lang w:eastAsia="zh-CN"/>
        </w:rPr>
        <w:t>章竞争性磋商响应文件格式”</w:t>
      </w:r>
      <w:r>
        <w:rPr>
          <w:rFonts w:hint="eastAsia" w:ascii="宋体" w:hAnsi="宋体" w:cs="宋体"/>
          <w:color w:val="auto"/>
          <w:sz w:val="24"/>
          <w:szCs w:val="24"/>
          <w:lang w:val="en-US" w:eastAsia="zh-CN"/>
        </w:rPr>
        <w:t>的所有内容，</w:t>
      </w:r>
      <w:r>
        <w:rPr>
          <w:rFonts w:hint="eastAsia" w:ascii="宋体" w:hAnsi="宋体" w:cs="宋体"/>
          <w:color w:val="auto"/>
          <w:sz w:val="24"/>
          <w:szCs w:val="24"/>
        </w:rPr>
        <w:t>具体见竞争性</w:t>
      </w:r>
      <w:r>
        <w:rPr>
          <w:rFonts w:hint="eastAsia" w:ascii="宋体" w:hAnsi="宋体" w:cs="宋体"/>
          <w:color w:val="auto"/>
          <w:sz w:val="24"/>
          <w:szCs w:val="24"/>
          <w:lang w:eastAsia="zh-CN"/>
        </w:rPr>
        <w:t>磋商</w:t>
      </w:r>
      <w:r>
        <w:rPr>
          <w:rFonts w:hint="eastAsia" w:ascii="宋体" w:hAnsi="宋体" w:cs="宋体"/>
          <w:color w:val="auto"/>
          <w:sz w:val="24"/>
          <w:szCs w:val="24"/>
        </w:rPr>
        <w:t>响应文件格式</w:t>
      </w:r>
      <w:r>
        <w:rPr>
          <w:rFonts w:hint="eastAsia" w:ascii="宋体" w:hAnsi="宋体" w:cs="宋体"/>
          <w:color w:val="auto"/>
          <w:sz w:val="24"/>
          <w:szCs w:val="24"/>
          <w:lang w:eastAsia="zh-CN"/>
        </w:rPr>
        <w:t>；</w:t>
      </w:r>
    </w:p>
    <w:p w14:paraId="0F09539A">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.2 供应商的所有资格证明文件均应当为合法、有效文件，否则将被视为该文件未递交。</w:t>
      </w:r>
    </w:p>
    <w:p w14:paraId="1533A71F">
      <w:pPr>
        <w:pageBreakBefore w:val="0"/>
        <w:kinsoku/>
        <w:overflowPunct/>
        <w:bidi w:val="0"/>
        <w:adjustRightInd w:val="0"/>
        <w:snapToGrid w:val="0"/>
        <w:spacing w:line="360" w:lineRule="auto"/>
        <w:ind w:left="0" w:leftChars="0" w:firstLine="480" w:firstLineChars="200"/>
        <w:outlineLvl w:val="9"/>
        <w:rPr>
          <w:rFonts w:hint="eastAsia"/>
          <w:color w:val="auto"/>
          <w:sz w:val="24"/>
          <w:szCs w:val="24"/>
          <w:lang w:eastAsia="zh-CN"/>
        </w:rPr>
      </w:pPr>
      <w:r>
        <w:rPr>
          <w:rFonts w:hint="eastAsia" w:ascii="宋体" w:hAnsi="宋体" w:cs="宋体"/>
          <w:color w:val="auto"/>
          <w:sz w:val="24"/>
          <w:szCs w:val="24"/>
          <w:lang w:val="en-US" w:eastAsia="zh-CN"/>
        </w:rPr>
        <w:t>11</w:t>
      </w:r>
      <w:r>
        <w:rPr>
          <w:rFonts w:hint="eastAsia" w:ascii="宋体" w:hAnsi="宋体" w:cs="宋体"/>
          <w:color w:val="auto"/>
          <w:sz w:val="24"/>
          <w:szCs w:val="24"/>
        </w:rPr>
        <w:t>.3 上述文件应当按照竞争性</w:t>
      </w:r>
      <w:r>
        <w:rPr>
          <w:rFonts w:hint="eastAsia" w:ascii="宋体" w:hAnsi="宋体" w:cs="宋体"/>
          <w:color w:val="auto"/>
          <w:sz w:val="24"/>
          <w:szCs w:val="24"/>
          <w:lang w:eastAsia="zh-CN"/>
        </w:rPr>
        <w:t>磋商</w:t>
      </w:r>
      <w:r>
        <w:rPr>
          <w:rFonts w:hint="eastAsia" w:ascii="宋体" w:hAnsi="宋体" w:cs="宋体"/>
          <w:color w:val="auto"/>
          <w:sz w:val="24"/>
          <w:szCs w:val="24"/>
        </w:rPr>
        <w:t>文件规定的格式填写、签署和盖章。</w:t>
      </w:r>
    </w:p>
    <w:p w14:paraId="671AC8A6">
      <w:pPr>
        <w:pageBreakBefore w:val="0"/>
        <w:kinsoku/>
        <w:overflowPunct/>
        <w:bidi w:val="0"/>
        <w:adjustRightInd w:val="0"/>
        <w:snapToGrid w:val="0"/>
        <w:spacing w:line="360" w:lineRule="auto"/>
        <w:ind w:left="0" w:leftChars="0"/>
        <w:outlineLvl w:val="9"/>
        <w:rPr>
          <w:rFonts w:hint="eastAsia"/>
          <w:color w:val="auto"/>
          <w:sz w:val="24"/>
          <w:szCs w:val="24"/>
          <w:lang w:eastAsia="zh-CN"/>
        </w:rPr>
      </w:pPr>
      <w:r>
        <w:rPr>
          <w:rFonts w:hint="eastAsia" w:ascii="宋体" w:hAnsi="宋体" w:cs="宋体"/>
          <w:color w:val="auto"/>
          <w:sz w:val="24"/>
          <w:szCs w:val="24"/>
          <w:lang w:val="en-US" w:eastAsia="zh-CN"/>
        </w:rPr>
        <w:t>12</w:t>
      </w:r>
      <w:r>
        <w:rPr>
          <w:rFonts w:hint="eastAsia" w:ascii="宋体" w:hAnsi="宋体" w:cs="宋体"/>
          <w:color w:val="auto"/>
          <w:sz w:val="24"/>
          <w:szCs w:val="24"/>
        </w:rPr>
        <w:t>、竞争性磋商响应文件格式</w:t>
      </w:r>
    </w:p>
    <w:p w14:paraId="6B09BA1D">
      <w:pPr>
        <w:pageBreakBefore w:val="0"/>
        <w:kinsoku/>
        <w:overflowPunct/>
        <w:bidi w:val="0"/>
        <w:adjustRightInd w:val="0"/>
        <w:snapToGrid w:val="0"/>
        <w:spacing w:line="360" w:lineRule="auto"/>
        <w:ind w:left="120" w:leftChars="0" w:hanging="120" w:hangingChars="5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r>
        <w:rPr>
          <w:rFonts w:hint="eastAsia" w:ascii="宋体" w:hAnsi="宋体" w:cs="宋体"/>
          <w:color w:val="auto"/>
          <w:sz w:val="24"/>
          <w:szCs w:val="24"/>
        </w:rPr>
        <w:t>.1 供应商提交的竞争性磋商响应文件应当使用竞争性磋商文件所提供的竞争性磋商响应文件全部格式。</w:t>
      </w:r>
    </w:p>
    <w:p w14:paraId="6796BD18">
      <w:pPr>
        <w:pageBreakBefore w:val="0"/>
        <w:kinsoku/>
        <w:overflowPunct/>
        <w:bidi w:val="0"/>
        <w:adjustRightInd w:val="0"/>
        <w:snapToGrid w:val="0"/>
        <w:spacing w:line="360" w:lineRule="auto"/>
        <w:ind w:left="0" w:leftChars="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r>
        <w:rPr>
          <w:rFonts w:hint="eastAsia" w:ascii="宋体" w:hAnsi="宋体" w:cs="宋体"/>
          <w:color w:val="auto"/>
          <w:sz w:val="24"/>
          <w:szCs w:val="24"/>
        </w:rPr>
        <w:t>、磋商报价</w:t>
      </w:r>
    </w:p>
    <w:p w14:paraId="506869D0">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投标人在投标截止时间前修改投标函中的投标总报价，应同时修改“工程量清单”中的相应报价。</w:t>
      </w:r>
    </w:p>
    <w:p w14:paraId="109D69F8">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投标人的投标报价，应是本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招标文件、工程量清单、答疑纪要、合同条款上所列招标工程范围内工程的全部各项支付金额的总和，投标报价不得以任何理由予以重复。</w:t>
      </w:r>
    </w:p>
    <w:p w14:paraId="41108806">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58576258">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40F35641">
      <w:pPr>
        <w:pageBreakBefore w:val="0"/>
        <w:kinsoku/>
        <w:overflowPunct/>
        <w:bidi w:val="0"/>
        <w:adjustRightInd w:val="0"/>
        <w:snapToGrid w:val="0"/>
        <w:spacing w:line="360" w:lineRule="auto"/>
        <w:ind w:left="0"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如发现工程量清单中的数量与图纸中数量不一致时，应立即通知招标人核查，除非招标人以书面形式予以更正，应以工程量清单中列出的数量为准。</w:t>
      </w:r>
    </w:p>
    <w:p w14:paraId="04B3B546">
      <w:pPr>
        <w:pageBreakBefore w:val="0"/>
        <w:kinsoku/>
        <w:overflowPunct/>
        <w:bidi w:val="0"/>
        <w:adjustRightInd w:val="0"/>
        <w:snapToGrid w:val="0"/>
        <w:spacing w:line="360" w:lineRule="auto"/>
        <w:ind w:left="0" w:leftChars="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、磋商有效期</w:t>
      </w:r>
    </w:p>
    <w:p w14:paraId="37515384">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.1 磋商有效期见本须知前附表所规定的期限，在此期限内，凡符合本</w:t>
      </w:r>
      <w:r>
        <w:rPr>
          <w:rFonts w:hint="eastAsia" w:asciiTheme="minorEastAsia" w:hAnsiTheme="minorEastAsia" w:eastAsiaTheme="minorEastAsia" w:cstheme="minorEastAsia"/>
          <w:color w:val="auto"/>
          <w:kern w:val="0"/>
          <w:sz w:val="24"/>
          <w:szCs w:val="24"/>
        </w:rPr>
        <w:t>竞争性磋商</w:t>
      </w:r>
      <w:r>
        <w:rPr>
          <w:rFonts w:hint="eastAsia" w:ascii="宋体" w:hAnsi="宋体" w:cs="宋体"/>
          <w:color w:val="auto"/>
          <w:sz w:val="24"/>
          <w:szCs w:val="24"/>
        </w:rPr>
        <w:t>文件要求的</w:t>
      </w:r>
      <w:r>
        <w:rPr>
          <w:rFonts w:hint="eastAsia" w:asciiTheme="minorEastAsia" w:hAnsiTheme="minorEastAsia" w:eastAsiaTheme="minorEastAsia" w:cstheme="minorEastAsia"/>
          <w:color w:val="auto"/>
          <w:kern w:val="0"/>
          <w:sz w:val="24"/>
          <w:szCs w:val="24"/>
        </w:rPr>
        <w:t>竞争性磋商响应文件</w:t>
      </w:r>
      <w:r>
        <w:rPr>
          <w:rFonts w:hint="eastAsia" w:ascii="宋体" w:hAnsi="宋体" w:cs="宋体"/>
          <w:color w:val="auto"/>
          <w:sz w:val="24"/>
          <w:szCs w:val="24"/>
        </w:rPr>
        <w:t>均保持有效。</w:t>
      </w:r>
    </w:p>
    <w:p w14:paraId="77310FA9">
      <w:pPr>
        <w:pStyle w:val="28"/>
        <w:pageBreakBefore w:val="0"/>
        <w:kinsoku/>
        <w:overflowPunct/>
        <w:bidi w:val="0"/>
        <w:adjustRightInd w:val="0"/>
        <w:snapToGrid w:val="0"/>
        <w:spacing w:before="0" w:after="0"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.2 在特殊情况下，</w:t>
      </w:r>
      <w:r>
        <w:rPr>
          <w:rFonts w:hint="eastAsia" w:ascii="宋体" w:hAnsi="宋体" w:eastAsia="宋体"/>
          <w:color w:val="auto"/>
          <w:sz w:val="24"/>
          <w:szCs w:val="24"/>
          <w:lang w:eastAsia="zh-CN"/>
        </w:rPr>
        <w:t>采购人</w:t>
      </w:r>
      <w:r>
        <w:rPr>
          <w:rFonts w:hint="eastAsia" w:ascii="宋体" w:hAnsi="宋体" w:eastAsia="宋体"/>
          <w:color w:val="auto"/>
          <w:sz w:val="24"/>
          <w:szCs w:val="24"/>
        </w:rPr>
        <w:t>在原定磋商有效期内，可以根据需要以书面形式向供应商提出延长磋商有效期的要求，对此要求供应商须在2日内以书面形式予以答复。</w:t>
      </w:r>
    </w:p>
    <w:p w14:paraId="7776157F">
      <w:pPr>
        <w:pageBreakBefore w:val="0"/>
        <w:kinsoku/>
        <w:overflowPunct/>
        <w:bidi w:val="0"/>
        <w:adjustRightInd w:val="0"/>
        <w:snapToGrid w:val="0"/>
        <w:spacing w:line="360" w:lineRule="auto"/>
        <w:ind w:left="0" w:leftChars="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、磋商保证金</w:t>
      </w:r>
      <w:bookmarkEnd w:id="95"/>
      <w:bookmarkEnd w:id="96"/>
      <w:bookmarkEnd w:id="97"/>
      <w:bookmarkEnd w:id="98"/>
    </w:p>
    <w:p w14:paraId="17B60462">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 xml:space="preserve">.1 </w:t>
      </w: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color w:val="auto"/>
          <w:sz w:val="24"/>
          <w:szCs w:val="24"/>
        </w:rPr>
        <w:t>。</w:t>
      </w:r>
    </w:p>
    <w:p w14:paraId="4365FEF3">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lang w:val="en-US" w:eastAsia="zh-CN"/>
        </w:rPr>
        <w:t xml:space="preserve">2 </w:t>
      </w:r>
      <w:r>
        <w:rPr>
          <w:rFonts w:hint="eastAsia" w:ascii="宋体" w:hAnsi="宋体" w:eastAsia="宋体" w:cs="宋体"/>
          <w:color w:val="auto"/>
          <w:kern w:val="2"/>
          <w:sz w:val="24"/>
          <w:szCs w:val="24"/>
          <w:highlight w:val="none"/>
          <w:lang w:val="en-US" w:eastAsia="zh-CN" w:bidi="ar-SA"/>
        </w:rPr>
        <w:t>投标人在投标文件中附“投标信用承诺书”并按要求签字盖章及</w:t>
      </w:r>
      <w:r>
        <w:rPr>
          <w:rFonts w:hint="eastAsia" w:cs="宋体"/>
          <w:b/>
          <w:bCs/>
          <w:color w:val="auto"/>
          <w:kern w:val="0"/>
          <w:sz w:val="24"/>
          <w:szCs w:val="24"/>
          <w:highlight w:val="none"/>
          <w:lang w:val="en-US" w:eastAsia="zh-CN"/>
        </w:rPr>
        <w:t>附信用承诺网页截图。</w:t>
      </w:r>
      <w:r>
        <w:rPr>
          <w:rFonts w:hint="default" w:ascii="宋体" w:hAnsi="宋体" w:eastAsia="宋体" w:cs="宋体"/>
          <w:color w:val="auto"/>
          <w:kern w:val="2"/>
          <w:sz w:val="24"/>
          <w:szCs w:val="24"/>
          <w:highlight w:val="none"/>
          <w:lang w:val="en-US" w:eastAsia="zh-CN" w:bidi="ar-SA"/>
        </w:rPr>
        <w:t>（格式详见</w:t>
      </w:r>
      <w:r>
        <w:rPr>
          <w:rFonts w:hint="eastAsia" w:ascii="宋体" w:hAnsi="宋体" w:eastAsia="宋体" w:cs="宋体"/>
          <w:color w:val="auto"/>
          <w:kern w:val="2"/>
          <w:sz w:val="24"/>
          <w:szCs w:val="24"/>
          <w:highlight w:val="none"/>
          <w:lang w:val="en-US" w:eastAsia="zh-CN" w:bidi="ar-SA"/>
        </w:rPr>
        <w:t>招标</w:t>
      </w:r>
      <w:r>
        <w:rPr>
          <w:rFonts w:hint="default" w:ascii="宋体" w:hAnsi="宋体" w:eastAsia="宋体" w:cs="宋体"/>
          <w:color w:val="auto"/>
          <w:kern w:val="2"/>
          <w:sz w:val="24"/>
          <w:szCs w:val="24"/>
          <w:highlight w:val="none"/>
          <w:lang w:val="en-US" w:eastAsia="zh-CN" w:bidi="ar-SA"/>
        </w:rPr>
        <w:t>文件第八部分</w:t>
      </w:r>
      <w:r>
        <w:rPr>
          <w:rFonts w:hint="eastAsia" w:ascii="宋体" w:hAnsi="宋体" w:cs="宋体"/>
          <w:color w:val="auto"/>
          <w:kern w:val="2"/>
          <w:sz w:val="24"/>
          <w:szCs w:val="24"/>
          <w:highlight w:val="none"/>
          <w:lang w:val="en-US" w:eastAsia="zh-CN" w:bidi="ar-SA"/>
        </w:rPr>
        <w:t>附件</w:t>
      </w:r>
      <w:r>
        <w:rPr>
          <w:rFonts w:hint="default" w:ascii="宋体" w:hAnsi="宋体" w:eastAsia="宋体" w:cs="宋体"/>
          <w:color w:val="auto"/>
          <w:kern w:val="2"/>
          <w:sz w:val="24"/>
          <w:szCs w:val="24"/>
          <w:highlight w:val="none"/>
          <w:lang w:val="en-US" w:eastAsia="zh-CN" w:bidi="ar-SA"/>
        </w:rPr>
        <w:t>）</w:t>
      </w:r>
      <w:r>
        <w:rPr>
          <w:rFonts w:hint="eastAsia" w:ascii="宋体" w:hAnsi="宋体" w:cs="宋体"/>
          <w:color w:val="auto"/>
          <w:sz w:val="24"/>
          <w:szCs w:val="24"/>
        </w:rPr>
        <w:t>。</w:t>
      </w:r>
    </w:p>
    <w:p w14:paraId="59F0DA36">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 xml:space="preserve"> 投标单位已</w:t>
      </w:r>
      <w:r>
        <w:rPr>
          <w:rFonts w:hint="eastAsia" w:ascii="宋体" w:hAnsi="宋体" w:cs="宋体"/>
          <w:color w:val="auto"/>
          <w:sz w:val="24"/>
          <w:szCs w:val="24"/>
          <w:lang w:val="en-US" w:eastAsia="zh-CN"/>
        </w:rPr>
        <w:t>在信用中国网站承诺并公示的</w:t>
      </w:r>
      <w:r>
        <w:rPr>
          <w:rFonts w:hint="eastAsia" w:ascii="宋体" w:hAnsi="宋体" w:eastAsia="宋体" w:cs="宋体"/>
          <w:color w:val="auto"/>
          <w:kern w:val="2"/>
          <w:sz w:val="24"/>
          <w:szCs w:val="24"/>
          <w:highlight w:val="none"/>
          <w:lang w:val="en-US" w:eastAsia="zh-CN" w:bidi="ar-SA"/>
        </w:rPr>
        <w:t>“投标信用承诺书”</w:t>
      </w:r>
      <w:r>
        <w:rPr>
          <w:rFonts w:hint="eastAsia" w:ascii="宋体" w:hAnsi="宋体" w:cs="宋体"/>
          <w:color w:val="auto"/>
          <w:sz w:val="24"/>
          <w:szCs w:val="24"/>
        </w:rPr>
        <w:t xml:space="preserve">而自动放弃投标权利的，需在开标之前提交《弃标函》。 </w:t>
      </w:r>
    </w:p>
    <w:p w14:paraId="2185A9DA">
      <w:pPr>
        <w:pageBreakBefore w:val="0"/>
        <w:kinsoku/>
        <w:overflowPunct/>
        <w:bidi w:val="0"/>
        <w:adjustRightInd w:val="0"/>
        <w:snapToGrid w:val="0"/>
        <w:spacing w:line="360" w:lineRule="auto"/>
        <w:ind w:left="0" w:leftChars="0"/>
        <w:outlineLvl w:val="9"/>
        <w:rPr>
          <w:rFonts w:ascii="宋体" w:hAnsi="宋体" w:cs="宋体"/>
          <w:color w:val="auto"/>
          <w:sz w:val="24"/>
          <w:szCs w:val="24"/>
        </w:rPr>
      </w:pPr>
      <w:bookmarkStart w:id="99" w:name="_Toc152042329"/>
      <w:bookmarkStart w:id="100" w:name="_Toc179632571"/>
      <w:bookmarkStart w:id="101" w:name="_Toc144974521"/>
      <w:bookmarkStart w:id="102" w:name="_Toc152045553"/>
      <w:r>
        <w:rPr>
          <w:rFonts w:hint="eastAsia" w:ascii="宋体" w:hAnsi="宋体" w:cs="宋体"/>
          <w:color w:val="auto"/>
          <w:sz w:val="24"/>
          <w:szCs w:val="24"/>
        </w:rPr>
        <w:t>1</w:t>
      </w:r>
      <w:r>
        <w:rPr>
          <w:rFonts w:hint="eastAsia" w:ascii="宋体" w:hAnsi="宋体" w:cs="宋体"/>
          <w:color w:val="auto"/>
          <w:sz w:val="24"/>
          <w:szCs w:val="24"/>
          <w:lang w:val="en-US" w:eastAsia="zh-CN"/>
        </w:rPr>
        <w:t>6</w:t>
      </w:r>
      <w:r>
        <w:rPr>
          <w:rFonts w:hint="eastAsia" w:ascii="宋体" w:hAnsi="宋体" w:cs="宋体"/>
          <w:color w:val="auto"/>
          <w:sz w:val="24"/>
          <w:szCs w:val="24"/>
        </w:rPr>
        <w:t>、 备选磋商方案</w:t>
      </w:r>
      <w:bookmarkEnd w:id="99"/>
      <w:bookmarkEnd w:id="100"/>
      <w:bookmarkEnd w:id="101"/>
      <w:bookmarkEnd w:id="102"/>
    </w:p>
    <w:p w14:paraId="52A912C3">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.1除磋商须知前附表另有规定外，供应商不得递交备选磋商方案。</w:t>
      </w:r>
    </w:p>
    <w:p w14:paraId="526CB626">
      <w:pPr>
        <w:pageBreakBefore w:val="0"/>
        <w:kinsoku/>
        <w:overflowPunct/>
        <w:bidi w:val="0"/>
        <w:adjustRightInd w:val="0"/>
        <w:snapToGrid w:val="0"/>
        <w:spacing w:line="360" w:lineRule="auto"/>
        <w:ind w:left="0" w:leftChars="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w:t>
      </w:r>
      <w:r>
        <w:rPr>
          <w:rFonts w:hint="eastAsia" w:ascii="宋体" w:hAnsi="宋体" w:cs="宋体"/>
          <w:color w:val="auto"/>
          <w:sz w:val="24"/>
          <w:szCs w:val="24"/>
        </w:rPr>
        <w:t>、竞争性磋商响应文件的签署及规定</w:t>
      </w:r>
    </w:p>
    <w:p w14:paraId="4CB84D4B">
      <w:pPr>
        <w:pageBreakBefore w:val="0"/>
        <w:kinsoku/>
        <w:overflowPunct/>
        <w:bidi w:val="0"/>
        <w:adjustRightInd w:val="0"/>
        <w:snapToGrid w:val="0"/>
        <w:spacing w:line="360" w:lineRule="auto"/>
        <w:ind w:left="0" w:leftChars="0" w:firstLine="480" w:firstLineChars="200"/>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17</w:t>
      </w:r>
      <w:r>
        <w:rPr>
          <w:rFonts w:hint="eastAsia" w:ascii="宋体" w:hAnsi="宋体" w:cs="宋体"/>
          <w:color w:val="auto"/>
          <w:sz w:val="24"/>
          <w:szCs w:val="24"/>
        </w:rPr>
        <w:t xml:space="preserve">.1 </w:t>
      </w:r>
      <w:r>
        <w:rPr>
          <w:rFonts w:hint="eastAsia" w:ascii="思源宋体 CN Light" w:hAnsi="思源宋体 CN Light" w:eastAsia="思源宋体 CN Light" w:cs="思源宋体 CN Light"/>
          <w:color w:val="auto"/>
          <w:sz w:val="24"/>
          <w:szCs w:val="24"/>
          <w:lang w:val="en-US" w:eastAsia="zh-CN"/>
        </w:rPr>
        <w:t>投标文件可采用系统上传的</w:t>
      </w:r>
      <w:r>
        <w:rPr>
          <w:rFonts w:hint="eastAsia" w:ascii="思源宋体 CN Light" w:hAnsi="思源宋体 CN Light" w:eastAsia="思源宋体 CN Light" w:cs="思源宋体 CN Light"/>
          <w:color w:val="auto"/>
          <w:sz w:val="24"/>
          <w:szCs w:val="24"/>
        </w:rPr>
        <w:t>电子投标文件</w:t>
      </w:r>
      <w:r>
        <w:rPr>
          <w:rFonts w:hint="eastAsia" w:ascii="思源宋体 CN Light" w:hAnsi="思源宋体 CN Light" w:eastAsia="思源宋体 CN Light" w:cs="思源宋体 CN Light"/>
          <w:color w:val="auto"/>
          <w:sz w:val="24"/>
          <w:szCs w:val="24"/>
          <w:lang w:val="en-US" w:eastAsia="zh-CN"/>
        </w:rPr>
        <w:t>的打印件</w:t>
      </w:r>
      <w:r>
        <w:rPr>
          <w:rFonts w:hint="eastAsia" w:ascii="宋体" w:hAnsi="宋体" w:cs="宋体"/>
          <w:color w:val="auto"/>
          <w:sz w:val="24"/>
          <w:szCs w:val="24"/>
        </w:rPr>
        <w:t>。</w:t>
      </w:r>
      <w:r>
        <w:rPr>
          <w:rFonts w:hint="eastAsia" w:ascii="宋体" w:hAnsi="宋体" w:cs="宋体"/>
          <w:color w:val="auto"/>
          <w:sz w:val="24"/>
          <w:szCs w:val="24"/>
          <w:lang w:val="en-US" w:eastAsia="zh-CN"/>
        </w:rPr>
        <w:tab/>
      </w:r>
    </w:p>
    <w:p w14:paraId="69AECC2C">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w:t>
      </w:r>
      <w:r>
        <w:rPr>
          <w:rFonts w:hint="eastAsia" w:ascii="宋体" w:hAnsi="宋体" w:cs="宋体"/>
          <w:color w:val="auto"/>
          <w:sz w:val="24"/>
          <w:szCs w:val="24"/>
        </w:rPr>
        <w:t xml:space="preserve">.2 除投标人对错处作必要修改外，投标文件中不许有加行、涂抹或改写。若有修改须由授权代表或法定代表人在修改处签字。 </w:t>
      </w:r>
    </w:p>
    <w:p w14:paraId="4727B878">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17.3</w:t>
      </w:r>
      <w:r>
        <w:rPr>
          <w:rFonts w:hint="eastAsia" w:ascii="宋体" w:hAnsi="宋体" w:cs="宋体"/>
          <w:color w:val="auto"/>
          <w:sz w:val="24"/>
          <w:szCs w:val="24"/>
        </w:rPr>
        <w:t xml:space="preserve"> 采购人拒绝接受以电报、电话、传真、电子邮件形式的投标。</w:t>
      </w:r>
    </w:p>
    <w:p w14:paraId="11309542">
      <w:pPr>
        <w:pageBreakBefore w:val="0"/>
        <w:shd w:val="clear" w:color="auto" w:fill="auto"/>
        <w:kinsoku/>
        <w:overflowPunct/>
        <w:bidi w:val="0"/>
        <w:adjustRightInd w:val="0"/>
        <w:snapToGrid w:val="0"/>
        <w:spacing w:line="360" w:lineRule="auto"/>
        <w:ind w:left="0" w:leftChars="0" w:firstLine="496" w:firstLineChars="200"/>
        <w:rPr>
          <w:rFonts w:hint="eastAsia" w:ascii="宋体" w:hAnsi="宋体" w:cs="宋体"/>
          <w:color w:val="auto"/>
          <w:spacing w:val="-2"/>
          <w:sz w:val="24"/>
          <w:szCs w:val="24"/>
        </w:rPr>
      </w:pPr>
      <w:r>
        <w:rPr>
          <w:rFonts w:hint="eastAsia" w:ascii="宋体" w:hAnsi="宋体" w:cs="宋体"/>
          <w:color w:val="auto"/>
          <w:spacing w:val="4"/>
          <w:sz w:val="24"/>
          <w:szCs w:val="24"/>
          <w:lang w:val="en-US" w:eastAsia="zh-CN"/>
        </w:rPr>
        <w:t>17</w:t>
      </w:r>
      <w:r>
        <w:rPr>
          <w:rFonts w:hint="eastAsia" w:ascii="宋体" w:hAnsi="宋体" w:cs="宋体"/>
          <w:color w:val="auto"/>
          <w:spacing w:val="4"/>
          <w:sz w:val="24"/>
          <w:szCs w:val="24"/>
        </w:rPr>
        <w:t>.</w:t>
      </w:r>
      <w:r>
        <w:rPr>
          <w:rFonts w:hint="eastAsia" w:ascii="宋体" w:hAnsi="宋体" w:cs="宋体"/>
          <w:color w:val="auto"/>
          <w:spacing w:val="4"/>
          <w:sz w:val="24"/>
          <w:szCs w:val="24"/>
          <w:lang w:val="en-US" w:eastAsia="zh-CN"/>
        </w:rPr>
        <w:t>4</w:t>
      </w:r>
      <w:r>
        <w:rPr>
          <w:rFonts w:hint="eastAsia" w:ascii="宋体" w:hAnsi="宋体" w:cs="宋体"/>
          <w:color w:val="auto"/>
          <w:spacing w:val="4"/>
          <w:sz w:val="24"/>
          <w:szCs w:val="24"/>
          <w:lang w:eastAsia="zh-CN"/>
        </w:rPr>
        <w:t>投标人</w:t>
      </w:r>
      <w:r>
        <w:rPr>
          <w:rFonts w:hint="eastAsia" w:ascii="宋体" w:hAnsi="宋体" w:cs="宋体"/>
          <w:color w:val="auto"/>
          <w:spacing w:val="4"/>
          <w:sz w:val="24"/>
          <w:szCs w:val="24"/>
        </w:rPr>
        <w:t>应按照</w:t>
      </w:r>
      <w:r>
        <w:rPr>
          <w:rFonts w:hint="eastAsia" w:ascii="宋体" w:hAnsi="宋体" w:cs="宋体"/>
          <w:color w:val="auto"/>
          <w:spacing w:val="4"/>
          <w:sz w:val="24"/>
          <w:szCs w:val="24"/>
          <w:lang w:eastAsia="zh-CN"/>
        </w:rPr>
        <w:t>投标人</w:t>
      </w:r>
      <w:r>
        <w:rPr>
          <w:rFonts w:hint="eastAsia" w:ascii="宋体" w:hAnsi="宋体" w:cs="宋体"/>
          <w:color w:val="auto"/>
          <w:spacing w:val="4"/>
          <w:sz w:val="24"/>
          <w:szCs w:val="24"/>
        </w:rPr>
        <w:t>须知的要求, 准备一份</w:t>
      </w:r>
      <w:r>
        <w:rPr>
          <w:rFonts w:hint="eastAsia" w:ascii="宋体" w:hAnsi="宋体" w:cs="宋体"/>
          <w:color w:val="auto"/>
          <w:spacing w:val="4"/>
          <w:sz w:val="24"/>
          <w:szCs w:val="24"/>
          <w:lang w:eastAsia="zh-CN"/>
        </w:rPr>
        <w:t>竞争性磋商响应文</w:t>
      </w:r>
      <w:r>
        <w:rPr>
          <w:rFonts w:hint="eastAsia" w:ascii="宋体" w:hAnsi="宋体" w:cs="宋体"/>
          <w:color w:val="auto"/>
          <w:sz w:val="24"/>
          <w:szCs w:val="24"/>
        </w:rPr>
        <w:t>件正本和“须知前附表”中规定数量的副本，每套</w:t>
      </w:r>
      <w:r>
        <w:rPr>
          <w:rFonts w:hint="eastAsia" w:ascii="宋体" w:hAnsi="宋体" w:cs="宋体"/>
          <w:color w:val="auto"/>
          <w:sz w:val="24"/>
          <w:szCs w:val="24"/>
          <w:lang w:eastAsia="zh-CN"/>
        </w:rPr>
        <w:t>竞争性磋商响应文</w:t>
      </w:r>
      <w:r>
        <w:rPr>
          <w:rFonts w:hint="eastAsia" w:ascii="宋体" w:hAnsi="宋体" w:cs="宋体"/>
          <w:color w:val="auto"/>
          <w:sz w:val="24"/>
          <w:szCs w:val="24"/>
        </w:rPr>
        <w:t>件封面须清楚地标明“正本”或“副本”</w:t>
      </w:r>
      <w:r>
        <w:rPr>
          <w:rFonts w:hint="eastAsia" w:ascii="宋体" w:hAnsi="宋体" w:cs="宋体"/>
          <w:color w:val="auto"/>
          <w:spacing w:val="4"/>
          <w:sz w:val="24"/>
          <w:szCs w:val="24"/>
        </w:rPr>
        <w:t>。</w:t>
      </w:r>
      <w:r>
        <w:rPr>
          <w:rFonts w:hint="eastAsia" w:ascii="宋体" w:hAnsi="宋体" w:cs="宋体"/>
          <w:color w:val="auto"/>
          <w:sz w:val="24"/>
          <w:szCs w:val="24"/>
        </w:rPr>
        <w:t>如果发生正本与副本不一致的情况，以正本为准。</w:t>
      </w:r>
    </w:p>
    <w:p w14:paraId="4F0904DC">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lang w:val="en-US" w:eastAsia="zh-CN"/>
        </w:rPr>
        <w:t>5</w:t>
      </w:r>
      <w:r>
        <w:rPr>
          <w:rFonts w:hint="eastAsia" w:ascii="宋体" w:hAnsi="宋体" w:cs="宋体"/>
          <w:color w:val="auto"/>
          <w:sz w:val="24"/>
          <w:szCs w:val="24"/>
          <w:lang w:eastAsia="zh-CN"/>
        </w:rPr>
        <w:t>磋商响应</w:t>
      </w:r>
      <w:r>
        <w:rPr>
          <w:rFonts w:hint="eastAsia" w:ascii="宋体" w:hAnsi="宋体" w:cs="宋体"/>
          <w:color w:val="auto"/>
          <w:sz w:val="24"/>
          <w:szCs w:val="24"/>
        </w:rPr>
        <w:t>文件正本需打印或用不褪色的蓝(黑)色墨水(汁)书写,并由</w:t>
      </w:r>
      <w:r>
        <w:rPr>
          <w:rFonts w:hint="eastAsia" w:ascii="宋体" w:hAnsi="宋体" w:cs="宋体"/>
          <w:color w:val="auto"/>
          <w:sz w:val="24"/>
          <w:szCs w:val="24"/>
          <w:lang w:eastAsia="zh-CN"/>
        </w:rPr>
        <w:t>投标人</w:t>
      </w:r>
      <w:r>
        <w:rPr>
          <w:rFonts w:hint="eastAsia" w:ascii="宋体" w:hAnsi="宋体" w:cs="宋体"/>
          <w:color w:val="auto"/>
          <w:sz w:val="24"/>
          <w:szCs w:val="24"/>
        </w:rPr>
        <w:t>法定代表人或经法定代表人正式授权的代表签字（谈判文件要求</w:t>
      </w:r>
      <w:r>
        <w:rPr>
          <w:rFonts w:hint="eastAsia" w:ascii="宋体" w:hAnsi="宋体" w:cs="宋体"/>
          <w:color w:val="auto"/>
          <w:sz w:val="24"/>
          <w:szCs w:val="24"/>
          <w:lang w:eastAsia="zh-CN"/>
        </w:rPr>
        <w:t>磋商响应</w:t>
      </w:r>
      <w:r>
        <w:rPr>
          <w:rFonts w:hint="eastAsia" w:ascii="宋体" w:hAnsi="宋体" w:cs="宋体"/>
          <w:color w:val="auto"/>
          <w:sz w:val="24"/>
          <w:szCs w:val="24"/>
        </w:rPr>
        <w:t>文件中法定代表人签字处由法定代表人签署，要求授权代表签字处由授权代表签署），若由授权代表签署，须按谈判文件规定的格式出具的“法定代表人授权书”附在</w:t>
      </w:r>
      <w:r>
        <w:rPr>
          <w:rFonts w:hint="eastAsia" w:ascii="宋体" w:hAnsi="宋体" w:cs="宋体"/>
          <w:color w:val="auto"/>
          <w:sz w:val="24"/>
          <w:szCs w:val="24"/>
          <w:lang w:eastAsia="zh-CN"/>
        </w:rPr>
        <w:t>磋商响应</w:t>
      </w:r>
      <w:r>
        <w:rPr>
          <w:rFonts w:hint="eastAsia" w:ascii="宋体" w:hAnsi="宋体" w:cs="宋体"/>
          <w:color w:val="auto"/>
          <w:sz w:val="24"/>
          <w:szCs w:val="24"/>
        </w:rPr>
        <w:t>文件中，所有要求签字（名）处，均须由签字（名）者本人用不褪色的蓝(黑)色墨水(汁)书写，不得用任何形式的图章代替。所有</w:t>
      </w:r>
      <w:r>
        <w:rPr>
          <w:rFonts w:hint="eastAsia" w:ascii="宋体" w:hAnsi="宋体" w:cs="宋体"/>
          <w:color w:val="auto"/>
          <w:sz w:val="24"/>
          <w:szCs w:val="24"/>
          <w:lang w:eastAsia="zh-CN"/>
        </w:rPr>
        <w:t>磋商响应</w:t>
      </w:r>
      <w:r>
        <w:rPr>
          <w:rFonts w:hint="eastAsia" w:ascii="宋体" w:hAnsi="宋体" w:cs="宋体"/>
          <w:color w:val="auto"/>
          <w:sz w:val="24"/>
          <w:szCs w:val="24"/>
        </w:rPr>
        <w:t>文件正本和副本须按规定的顺序编排、并应编制目录、逐页标注连续页码，每一页的正下方清楚标明页码，并分别胶装成册。</w:t>
      </w:r>
    </w:p>
    <w:p w14:paraId="3FC8E199">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7.6</w:t>
      </w:r>
      <w:r>
        <w:rPr>
          <w:rFonts w:hint="eastAsia" w:ascii="宋体" w:hAnsi="宋体" w:cs="宋体"/>
          <w:color w:val="auto"/>
          <w:sz w:val="24"/>
          <w:szCs w:val="24"/>
        </w:rPr>
        <w:t>任何行间插字、涂改和增删，必须由</w:t>
      </w:r>
      <w:r>
        <w:rPr>
          <w:rFonts w:hint="eastAsia" w:ascii="宋体" w:hAnsi="宋体" w:cs="宋体"/>
          <w:color w:val="auto"/>
          <w:sz w:val="24"/>
          <w:szCs w:val="24"/>
          <w:lang w:eastAsia="zh-CN"/>
        </w:rPr>
        <w:t>投标人</w:t>
      </w:r>
      <w:r>
        <w:rPr>
          <w:rFonts w:hint="eastAsia" w:ascii="宋体" w:hAnsi="宋体" w:cs="宋体"/>
          <w:color w:val="auto"/>
          <w:sz w:val="24"/>
          <w:szCs w:val="24"/>
        </w:rPr>
        <w:t>的法定代表人或其授权代表在旁边签字才有效。</w:t>
      </w:r>
    </w:p>
    <w:p w14:paraId="07CBDBC0">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7.7</w:t>
      </w:r>
      <w:r>
        <w:rPr>
          <w:rFonts w:hint="eastAsia" w:ascii="宋体" w:hAnsi="宋体" w:cs="宋体"/>
          <w:color w:val="auto"/>
          <w:sz w:val="24"/>
          <w:szCs w:val="24"/>
          <w:lang w:eastAsia="zh-CN"/>
        </w:rPr>
        <w:t>投标人</w:t>
      </w:r>
      <w:r>
        <w:rPr>
          <w:rFonts w:hint="eastAsia" w:ascii="宋体" w:hAnsi="宋体" w:cs="宋体"/>
          <w:color w:val="auto"/>
          <w:sz w:val="24"/>
          <w:szCs w:val="24"/>
        </w:rPr>
        <w:t>名称应填写全称。</w:t>
      </w:r>
    </w:p>
    <w:p w14:paraId="10A8309B">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0000FF"/>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7.8</w:t>
      </w:r>
      <w:r>
        <w:rPr>
          <w:rFonts w:hint="eastAsia" w:ascii="宋体" w:hAnsi="宋体" w:cs="宋体"/>
          <w:color w:val="auto"/>
          <w:sz w:val="24"/>
          <w:szCs w:val="24"/>
        </w:rPr>
        <w:t>因字迹潦草、表述不清或不按竞争性谈判文件格式编制的</w:t>
      </w:r>
      <w:r>
        <w:rPr>
          <w:rFonts w:hint="eastAsia" w:ascii="宋体" w:hAnsi="宋体" w:cs="宋体"/>
          <w:color w:val="auto"/>
          <w:sz w:val="24"/>
          <w:szCs w:val="24"/>
          <w:lang w:eastAsia="zh-CN"/>
        </w:rPr>
        <w:t>竞争性磋商响应文</w:t>
      </w:r>
      <w:r>
        <w:rPr>
          <w:rFonts w:hint="eastAsia" w:ascii="宋体" w:hAnsi="宋体" w:cs="宋体"/>
          <w:color w:val="auto"/>
          <w:sz w:val="24"/>
          <w:szCs w:val="24"/>
        </w:rPr>
        <w:t>件，所引起的对</w:t>
      </w:r>
      <w:r>
        <w:rPr>
          <w:rFonts w:hint="eastAsia" w:ascii="宋体" w:hAnsi="宋体" w:cs="宋体"/>
          <w:color w:val="auto"/>
          <w:sz w:val="24"/>
          <w:szCs w:val="24"/>
          <w:lang w:eastAsia="zh-CN"/>
        </w:rPr>
        <w:t>投标人</w:t>
      </w:r>
      <w:r>
        <w:rPr>
          <w:rFonts w:hint="eastAsia" w:ascii="宋体" w:hAnsi="宋体" w:cs="宋体"/>
          <w:color w:val="auto"/>
          <w:sz w:val="24"/>
          <w:szCs w:val="24"/>
        </w:rPr>
        <w:t>不利的后果，由</w:t>
      </w:r>
      <w:r>
        <w:rPr>
          <w:rFonts w:hint="eastAsia" w:ascii="宋体" w:hAnsi="宋体" w:cs="宋体"/>
          <w:color w:val="auto"/>
          <w:sz w:val="24"/>
          <w:szCs w:val="24"/>
          <w:lang w:eastAsia="zh-CN"/>
        </w:rPr>
        <w:t>投标人</w:t>
      </w:r>
      <w:r>
        <w:rPr>
          <w:rFonts w:hint="eastAsia" w:ascii="宋体" w:hAnsi="宋体" w:cs="宋体"/>
          <w:color w:val="auto"/>
          <w:sz w:val="24"/>
          <w:szCs w:val="24"/>
        </w:rPr>
        <w:t>自行负责。</w:t>
      </w:r>
    </w:p>
    <w:p w14:paraId="4ED5AE8A">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103" w:name="_Toc513557030"/>
      <w:bookmarkStart w:id="104" w:name="_Toc363119281"/>
      <w:bookmarkStart w:id="105" w:name="_Toc144974523"/>
      <w:bookmarkStart w:id="106" w:name="_Toc179632573"/>
      <w:bookmarkStart w:id="107" w:name="_Toc14109"/>
      <w:bookmarkStart w:id="108" w:name="_Toc510859689"/>
      <w:bookmarkStart w:id="109" w:name="_Toc510859895"/>
      <w:bookmarkStart w:id="110" w:name="_Toc152045555"/>
      <w:bookmarkStart w:id="111" w:name="_Toc152042331"/>
      <w:bookmarkStart w:id="112" w:name="_Toc17904"/>
      <w:bookmarkStart w:id="113" w:name="_Toc10897"/>
      <w:bookmarkStart w:id="114" w:name="_Toc16264"/>
      <w:bookmarkStart w:id="115" w:name="_Toc4451"/>
      <w:bookmarkStart w:id="116" w:name="_Toc26516"/>
      <w:bookmarkStart w:id="117" w:name="_Toc17362"/>
      <w:bookmarkStart w:id="118" w:name="_Toc24637"/>
      <w:bookmarkStart w:id="119" w:name="_Toc32167"/>
      <w:r>
        <w:rPr>
          <w:rFonts w:hint="eastAsia" w:asciiTheme="minorEastAsia" w:hAnsiTheme="minorEastAsia" w:eastAsiaTheme="minorEastAsia" w:cstheme="minorEastAsia"/>
          <w:b/>
          <w:color w:val="auto"/>
          <w:sz w:val="24"/>
          <w:szCs w:val="24"/>
        </w:rPr>
        <w:t xml:space="preserve">4. </w:t>
      </w:r>
      <w:bookmarkEnd w:id="103"/>
      <w:bookmarkEnd w:id="104"/>
      <w:bookmarkEnd w:id="105"/>
      <w:bookmarkEnd w:id="106"/>
      <w:bookmarkEnd w:id="107"/>
      <w:bookmarkEnd w:id="108"/>
      <w:bookmarkEnd w:id="109"/>
      <w:bookmarkEnd w:id="110"/>
      <w:bookmarkEnd w:id="111"/>
      <w:r>
        <w:rPr>
          <w:rFonts w:hint="eastAsia" w:asciiTheme="minorEastAsia" w:hAnsiTheme="minorEastAsia" w:eastAsiaTheme="minorEastAsia" w:cstheme="minorEastAsia"/>
          <w:b/>
          <w:color w:val="auto"/>
          <w:sz w:val="24"/>
          <w:szCs w:val="24"/>
        </w:rPr>
        <w:t>竞争性磋商响应文件</w:t>
      </w:r>
      <w:r>
        <w:rPr>
          <w:rFonts w:hint="eastAsia" w:ascii="宋体" w:hAnsi="宋体"/>
          <w:b/>
          <w:color w:val="auto"/>
          <w:sz w:val="24"/>
          <w:szCs w:val="24"/>
        </w:rPr>
        <w:t>的</w:t>
      </w:r>
      <w:bookmarkEnd w:id="112"/>
      <w:bookmarkEnd w:id="113"/>
      <w:bookmarkEnd w:id="114"/>
      <w:bookmarkEnd w:id="115"/>
      <w:bookmarkEnd w:id="116"/>
      <w:bookmarkEnd w:id="117"/>
      <w:bookmarkEnd w:id="118"/>
      <w:r>
        <w:rPr>
          <w:rFonts w:hint="eastAsia" w:ascii="宋体" w:hAnsi="宋体"/>
          <w:b/>
          <w:color w:val="auto"/>
          <w:sz w:val="24"/>
          <w:szCs w:val="24"/>
        </w:rPr>
        <w:t>递交</w:t>
      </w:r>
      <w:bookmarkEnd w:id="119"/>
    </w:p>
    <w:p w14:paraId="045F77C1">
      <w:pPr>
        <w:pageBreakBefore w:val="0"/>
        <w:shd w:val="clear" w:color="auto" w:fill="auto"/>
        <w:kinsoku/>
        <w:overflowPunct/>
        <w:bidi w:val="0"/>
        <w:adjustRightInd w:val="0"/>
        <w:snapToGrid w:val="0"/>
        <w:spacing w:line="360" w:lineRule="auto"/>
        <w:ind w:left="0" w:leftChars="0"/>
        <w:rPr>
          <w:rFonts w:hint="eastAsia" w:ascii="宋体" w:hAnsi="宋体" w:eastAsia="宋体" w:cs="宋体"/>
          <w:b/>
          <w:color w:val="auto"/>
          <w:sz w:val="24"/>
          <w:szCs w:val="24"/>
        </w:rPr>
      </w:pPr>
      <w:bookmarkStart w:id="120" w:name="_Toc152045559"/>
      <w:bookmarkStart w:id="121" w:name="_Toc510859896"/>
      <w:bookmarkStart w:id="122" w:name="_Toc513557031"/>
      <w:bookmarkStart w:id="123" w:name="_Toc179632577"/>
      <w:bookmarkStart w:id="124" w:name="_Toc152042335"/>
      <w:bookmarkStart w:id="125" w:name="_Toc144974527"/>
      <w:bookmarkStart w:id="126" w:name="_Toc363119282"/>
      <w:bookmarkStart w:id="127" w:name="_Toc510859690"/>
      <w:bookmarkStart w:id="128" w:name="_Toc17633"/>
      <w:bookmarkStart w:id="129" w:name="_Toc27216"/>
      <w:bookmarkStart w:id="130" w:name="_Toc23404"/>
      <w:bookmarkStart w:id="131" w:name="_Toc13549"/>
      <w:r>
        <w:rPr>
          <w:rFonts w:hint="eastAsia" w:ascii="宋体" w:hAnsi="宋体" w:cs="宋体"/>
          <w:b/>
          <w:color w:val="auto"/>
          <w:sz w:val="24"/>
          <w:szCs w:val="24"/>
          <w:lang w:eastAsia="zh-CN"/>
        </w:rPr>
        <w:t>18</w:t>
      </w:r>
      <w:r>
        <w:rPr>
          <w:rFonts w:hint="eastAsia" w:ascii="宋体" w:hAnsi="宋体" w:eastAsia="宋体" w:cs="宋体"/>
          <w:b/>
          <w:color w:val="auto"/>
          <w:sz w:val="24"/>
          <w:szCs w:val="24"/>
        </w:rPr>
        <w:t>.竞争性</w:t>
      </w:r>
      <w:r>
        <w:rPr>
          <w:rFonts w:hint="eastAsia" w:ascii="宋体" w:hAnsi="宋体" w:cs="宋体"/>
          <w:b/>
          <w:color w:val="auto"/>
          <w:sz w:val="24"/>
          <w:szCs w:val="24"/>
          <w:lang w:eastAsia="zh-CN"/>
        </w:rPr>
        <w:t>磋商</w:t>
      </w:r>
      <w:r>
        <w:rPr>
          <w:rFonts w:hint="eastAsia" w:ascii="宋体" w:hAnsi="宋体" w:eastAsia="宋体" w:cs="宋体"/>
          <w:b/>
          <w:color w:val="auto"/>
          <w:sz w:val="24"/>
          <w:szCs w:val="24"/>
        </w:rPr>
        <w:t>响应文件的密封和标记</w:t>
      </w:r>
    </w:p>
    <w:p w14:paraId="53723ED6">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应将竞争性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响应文件正本、副本、</w:t>
      </w:r>
      <w:r>
        <w:rPr>
          <w:rFonts w:hint="eastAsia" w:ascii="宋体" w:hAnsi="宋体" w:cs="宋体"/>
          <w:color w:val="auto"/>
          <w:sz w:val="24"/>
          <w:szCs w:val="24"/>
          <w:lang w:val="en-US" w:eastAsia="zh-CN"/>
        </w:rPr>
        <w:t>电子版</w:t>
      </w:r>
      <w:r>
        <w:rPr>
          <w:rFonts w:hint="eastAsia" w:ascii="宋体" w:hAnsi="宋体" w:eastAsia="宋体" w:cs="宋体"/>
          <w:color w:val="auto"/>
          <w:sz w:val="24"/>
          <w:szCs w:val="24"/>
        </w:rPr>
        <w:t>分开密封装在单独的封袋中（封袋不得有破损），且在封袋上标明“正本”“副本”</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电子版</w:t>
      </w:r>
      <w:r>
        <w:rPr>
          <w:rFonts w:hint="eastAsia" w:ascii="宋体" w:hAnsi="宋体" w:cs="宋体"/>
          <w:color w:val="auto"/>
          <w:sz w:val="24"/>
          <w:szCs w:val="24"/>
          <w:lang w:eastAsia="zh-CN"/>
        </w:rPr>
        <w:t>”</w:t>
      </w:r>
      <w:r>
        <w:rPr>
          <w:rFonts w:hint="eastAsia" w:ascii="宋体" w:hAnsi="宋体" w:eastAsia="宋体" w:cs="宋体"/>
          <w:color w:val="auto"/>
          <w:sz w:val="24"/>
          <w:szCs w:val="24"/>
        </w:rPr>
        <w:t>字样。封袋应加贴封条，并在封线处加盖</w:t>
      </w:r>
      <w:r>
        <w:rPr>
          <w:rFonts w:hint="eastAsia" w:ascii="宋体" w:hAnsi="宋体" w:eastAsia="宋体" w:cs="宋体"/>
          <w:color w:val="auto"/>
          <w:spacing w:val="6"/>
          <w:sz w:val="24"/>
          <w:szCs w:val="24"/>
          <w:lang w:eastAsia="zh-CN"/>
        </w:rPr>
        <w:t>投标人</w:t>
      </w:r>
      <w:r>
        <w:rPr>
          <w:rFonts w:hint="eastAsia" w:ascii="宋体" w:hAnsi="宋体" w:eastAsia="宋体" w:cs="宋体"/>
          <w:color w:val="auto"/>
          <w:sz w:val="24"/>
          <w:szCs w:val="24"/>
        </w:rPr>
        <w:t>鲜章，封袋正面要粘贴标识。</w:t>
      </w:r>
    </w:p>
    <w:p w14:paraId="76AC12FE">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.2外层包装请按以下要求标记：</w:t>
      </w:r>
    </w:p>
    <w:p w14:paraId="5AE64A57">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.2.1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全称；</w:t>
      </w:r>
    </w:p>
    <w:p w14:paraId="16C3032A">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.2.2</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项目名称、编号。</w:t>
      </w:r>
    </w:p>
    <w:p w14:paraId="30CA76DB">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.2.3正本、副本、</w:t>
      </w:r>
      <w:r>
        <w:rPr>
          <w:rFonts w:hint="eastAsia" w:ascii="宋体" w:hAnsi="宋体" w:eastAsia="宋体" w:cs="宋体"/>
          <w:color w:val="auto"/>
          <w:sz w:val="24"/>
          <w:szCs w:val="24"/>
          <w:lang w:val="en-US" w:eastAsia="zh-CN"/>
        </w:rPr>
        <w:t>电子版</w:t>
      </w:r>
      <w:r>
        <w:rPr>
          <w:rFonts w:hint="eastAsia" w:ascii="宋体" w:hAnsi="宋体" w:eastAsia="宋体" w:cs="宋体"/>
          <w:color w:val="auto"/>
          <w:sz w:val="24"/>
          <w:szCs w:val="24"/>
        </w:rPr>
        <w:t>“请勿在＿＿＿＿＿(</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时间)之前启封”。</w:t>
      </w:r>
    </w:p>
    <w:p w14:paraId="7C485012">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18</w:t>
      </w:r>
      <w:r>
        <w:rPr>
          <w:rFonts w:hint="eastAsia" w:ascii="宋体" w:hAnsi="宋体" w:eastAsia="宋体" w:cs="宋体"/>
          <w:color w:val="auto"/>
          <w:sz w:val="24"/>
          <w:szCs w:val="24"/>
        </w:rPr>
        <w:t>.3如果</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未对竞争性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响应文件按上述要求进行完好密封，由此产生的不利后果由</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自行承担。</w:t>
      </w:r>
    </w:p>
    <w:p w14:paraId="7CA2F3FC">
      <w:pPr>
        <w:pageBreakBefore w:val="0"/>
        <w:shd w:val="clear" w:color="auto" w:fill="auto"/>
        <w:kinsoku/>
        <w:overflowPunct/>
        <w:bidi w:val="0"/>
        <w:adjustRightInd w:val="0"/>
        <w:snapToGrid w:val="0"/>
        <w:spacing w:line="360" w:lineRule="auto"/>
        <w:ind w:left="0" w:leftChars="0"/>
        <w:rPr>
          <w:rFonts w:hint="eastAsia" w:ascii="宋体" w:hAnsi="宋体" w:cs="宋体"/>
          <w:b/>
          <w:color w:val="auto"/>
          <w:sz w:val="24"/>
          <w:szCs w:val="24"/>
        </w:rPr>
      </w:pPr>
      <w:r>
        <w:rPr>
          <w:rFonts w:hint="eastAsia" w:ascii="宋体" w:hAnsi="宋体" w:cs="宋体"/>
          <w:b/>
          <w:color w:val="auto"/>
          <w:sz w:val="24"/>
          <w:szCs w:val="24"/>
          <w:lang w:val="en-US" w:eastAsia="zh-CN"/>
        </w:rPr>
        <w:t>19</w:t>
      </w:r>
      <w:r>
        <w:rPr>
          <w:rFonts w:hint="eastAsia" w:ascii="宋体" w:hAnsi="宋体" w:cs="宋体"/>
          <w:b/>
          <w:color w:val="auto"/>
          <w:sz w:val="24"/>
          <w:szCs w:val="24"/>
        </w:rPr>
        <w:t>．竞争性</w:t>
      </w:r>
      <w:r>
        <w:rPr>
          <w:rFonts w:hint="eastAsia" w:ascii="宋体" w:hAnsi="宋体" w:cs="宋体"/>
          <w:b/>
          <w:color w:val="auto"/>
          <w:sz w:val="24"/>
          <w:szCs w:val="24"/>
          <w:lang w:eastAsia="zh-CN"/>
        </w:rPr>
        <w:t>磋商</w:t>
      </w:r>
      <w:r>
        <w:rPr>
          <w:rFonts w:hint="eastAsia" w:ascii="宋体" w:hAnsi="宋体" w:cs="宋体"/>
          <w:b/>
          <w:color w:val="auto"/>
          <w:sz w:val="24"/>
          <w:szCs w:val="24"/>
        </w:rPr>
        <w:t>响应文件的递交</w:t>
      </w:r>
    </w:p>
    <w:p w14:paraId="44FB5F35">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应按照</w:t>
      </w:r>
      <w:r>
        <w:rPr>
          <w:rFonts w:hint="eastAsia" w:ascii="宋体" w:hAnsi="宋体" w:eastAsia="宋体" w:cs="宋体"/>
          <w:color w:val="auto"/>
          <w:sz w:val="24"/>
          <w:szCs w:val="24"/>
          <w:lang w:eastAsia="zh-CN"/>
        </w:rPr>
        <w:t>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中规定的时间、地点，在规定的竞争性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响应文件递交截止时间前将全部竞争性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响应文件和</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资料递交至采购代理机构接收人处。</w:t>
      </w:r>
    </w:p>
    <w:p w14:paraId="6C6EDAFA">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.2采购代理机构项目接收人在竞争性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文件规定的竞争性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响应文件递交截止时间前，只负责竞争性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响应文件的接收、清点、造册登记工作，并请递交人签字确认，对其有效性不负任何责任；</w:t>
      </w:r>
    </w:p>
    <w:p w14:paraId="11A7F95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18.3无论</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成交与否，其竞争性</w:t>
      </w:r>
      <w:r>
        <w:rPr>
          <w:rFonts w:hint="eastAsia" w:ascii="宋体" w:hAnsi="宋体" w:cs="宋体"/>
          <w:color w:val="auto"/>
          <w:sz w:val="24"/>
          <w:szCs w:val="24"/>
          <w:lang w:eastAsia="zh-CN"/>
        </w:rPr>
        <w:t>磋商</w:t>
      </w:r>
      <w:r>
        <w:rPr>
          <w:rFonts w:hint="eastAsia" w:ascii="宋体" w:hAnsi="宋体" w:eastAsia="宋体" w:cs="宋体"/>
          <w:color w:val="auto"/>
          <w:sz w:val="24"/>
          <w:szCs w:val="24"/>
        </w:rPr>
        <w:t>响应文件恕不退还</w:t>
      </w:r>
      <w:r>
        <w:rPr>
          <w:rFonts w:hint="eastAsia" w:ascii="宋体" w:hAnsi="宋体" w:eastAsia="宋体" w:cs="宋体"/>
          <w:color w:val="auto"/>
          <w:sz w:val="24"/>
          <w:szCs w:val="24"/>
          <w:lang w:eastAsia="zh-CN"/>
        </w:rPr>
        <w:t>；</w:t>
      </w:r>
    </w:p>
    <w:p w14:paraId="2B6999F8">
      <w:pPr>
        <w:pageBreakBefore w:val="0"/>
        <w:shd w:val="clear" w:color="auto" w:fill="auto"/>
        <w:kinsoku/>
        <w:overflowPunct/>
        <w:bidi w:val="0"/>
        <w:adjustRightInd w:val="0"/>
        <w:snapToGrid w:val="0"/>
        <w:spacing w:line="360" w:lineRule="auto"/>
        <w:ind w:left="0" w:leftChars="0"/>
        <w:rPr>
          <w:rFonts w:hint="eastAsia" w:ascii="宋体" w:hAnsi="宋体" w:cs="宋体"/>
          <w:b/>
          <w:color w:val="auto"/>
          <w:sz w:val="24"/>
          <w:szCs w:val="24"/>
        </w:rPr>
      </w:pPr>
      <w:r>
        <w:rPr>
          <w:rFonts w:hint="eastAsia" w:ascii="宋体" w:hAnsi="宋体" w:cs="宋体"/>
          <w:b/>
          <w:color w:val="auto"/>
          <w:sz w:val="24"/>
          <w:szCs w:val="24"/>
          <w:lang w:val="en-US" w:eastAsia="zh-CN"/>
        </w:rPr>
        <w:t>20</w:t>
      </w:r>
      <w:r>
        <w:rPr>
          <w:rFonts w:hint="eastAsia" w:ascii="宋体" w:hAnsi="宋体" w:cs="宋体"/>
          <w:b/>
          <w:color w:val="auto"/>
          <w:sz w:val="24"/>
          <w:szCs w:val="24"/>
        </w:rPr>
        <w:t>．迟交的竞争性</w:t>
      </w:r>
      <w:r>
        <w:rPr>
          <w:rFonts w:hint="eastAsia" w:ascii="宋体" w:hAnsi="宋体" w:cs="宋体"/>
          <w:b/>
          <w:color w:val="auto"/>
          <w:sz w:val="24"/>
          <w:szCs w:val="24"/>
          <w:lang w:eastAsia="zh-CN"/>
        </w:rPr>
        <w:t>磋商</w:t>
      </w:r>
      <w:r>
        <w:rPr>
          <w:rFonts w:hint="eastAsia" w:ascii="宋体" w:hAnsi="宋体" w:cs="宋体"/>
          <w:b/>
          <w:color w:val="auto"/>
          <w:sz w:val="24"/>
          <w:szCs w:val="24"/>
        </w:rPr>
        <w:t>响应文件</w:t>
      </w:r>
    </w:p>
    <w:p w14:paraId="2D510F86">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19.1按照</w:t>
      </w:r>
      <w:r>
        <w:rPr>
          <w:rFonts w:hint="eastAsia" w:ascii="宋体" w:hAnsi="宋体" w:cs="宋体"/>
          <w:color w:val="auto"/>
          <w:sz w:val="24"/>
          <w:szCs w:val="24"/>
          <w:lang w:eastAsia="zh-CN"/>
        </w:rPr>
        <w:t>投标人</w:t>
      </w:r>
      <w:r>
        <w:rPr>
          <w:rFonts w:hint="eastAsia" w:ascii="宋体" w:hAnsi="宋体" w:cs="宋体"/>
          <w:color w:val="auto"/>
          <w:sz w:val="24"/>
          <w:szCs w:val="24"/>
        </w:rPr>
        <w:t>须知的规定，采购代理机构将拒绝接受在规定的</w:t>
      </w:r>
      <w:r>
        <w:rPr>
          <w:rFonts w:hint="eastAsia" w:ascii="宋体" w:hAnsi="宋体" w:cs="宋体"/>
          <w:color w:val="auto"/>
          <w:sz w:val="24"/>
          <w:szCs w:val="24"/>
          <w:lang w:eastAsia="zh-CN"/>
        </w:rPr>
        <w:t>磋商</w:t>
      </w:r>
      <w:r>
        <w:rPr>
          <w:rFonts w:hint="eastAsia" w:ascii="宋体" w:hAnsi="宋体" w:cs="宋体"/>
          <w:color w:val="auto"/>
          <w:sz w:val="24"/>
          <w:szCs w:val="24"/>
        </w:rPr>
        <w:t>截止时间后递交的任何竞争性</w:t>
      </w:r>
      <w:r>
        <w:rPr>
          <w:rFonts w:hint="eastAsia" w:ascii="宋体" w:hAnsi="宋体" w:cs="宋体"/>
          <w:color w:val="auto"/>
          <w:sz w:val="24"/>
          <w:szCs w:val="24"/>
          <w:lang w:eastAsia="zh-CN"/>
        </w:rPr>
        <w:t>磋商</w:t>
      </w:r>
      <w:r>
        <w:rPr>
          <w:rFonts w:hint="eastAsia" w:ascii="宋体" w:hAnsi="宋体" w:cs="宋体"/>
          <w:color w:val="auto"/>
          <w:sz w:val="24"/>
          <w:szCs w:val="24"/>
        </w:rPr>
        <w:t>响应文件。</w:t>
      </w:r>
    </w:p>
    <w:p w14:paraId="3BF757D8">
      <w:pPr>
        <w:pageBreakBefore w:val="0"/>
        <w:shd w:val="clear" w:color="auto" w:fill="auto"/>
        <w:kinsoku/>
        <w:overflowPunct/>
        <w:bidi w:val="0"/>
        <w:adjustRightInd w:val="0"/>
        <w:snapToGrid w:val="0"/>
        <w:spacing w:line="360" w:lineRule="auto"/>
        <w:ind w:left="0" w:leftChars="0"/>
        <w:rPr>
          <w:rFonts w:hint="eastAsia" w:ascii="宋体" w:hAnsi="宋体" w:cs="宋体"/>
          <w:b/>
          <w:color w:val="auto"/>
          <w:sz w:val="24"/>
          <w:szCs w:val="24"/>
        </w:rPr>
      </w:pPr>
      <w:r>
        <w:rPr>
          <w:rFonts w:hint="eastAsia" w:ascii="宋体" w:hAnsi="宋体" w:cs="宋体"/>
          <w:b/>
          <w:color w:val="auto"/>
          <w:sz w:val="24"/>
          <w:szCs w:val="24"/>
        </w:rPr>
        <w:t>2</w:t>
      </w:r>
      <w:r>
        <w:rPr>
          <w:rFonts w:hint="eastAsia" w:ascii="宋体" w:hAnsi="宋体" w:cs="宋体"/>
          <w:b/>
          <w:color w:val="auto"/>
          <w:sz w:val="24"/>
          <w:szCs w:val="24"/>
          <w:lang w:val="en-US" w:eastAsia="zh-CN"/>
        </w:rPr>
        <w:t>1</w:t>
      </w:r>
      <w:r>
        <w:rPr>
          <w:rFonts w:hint="eastAsia" w:ascii="宋体" w:hAnsi="宋体" w:cs="宋体"/>
          <w:b/>
          <w:color w:val="auto"/>
          <w:sz w:val="24"/>
          <w:szCs w:val="24"/>
        </w:rPr>
        <w:t>．</w:t>
      </w:r>
      <w:r>
        <w:rPr>
          <w:rFonts w:hint="eastAsia" w:ascii="宋体" w:hAnsi="宋体" w:cs="宋体"/>
          <w:b/>
          <w:color w:val="auto"/>
          <w:sz w:val="24"/>
          <w:szCs w:val="24"/>
          <w:lang w:eastAsia="zh-CN"/>
        </w:rPr>
        <w:t>磋商</w:t>
      </w:r>
      <w:r>
        <w:rPr>
          <w:rFonts w:hint="eastAsia" w:ascii="宋体" w:hAnsi="宋体" w:cs="宋体"/>
          <w:b/>
          <w:color w:val="auto"/>
          <w:sz w:val="24"/>
          <w:szCs w:val="24"/>
        </w:rPr>
        <w:t>的修改与撤回</w:t>
      </w:r>
    </w:p>
    <w:p w14:paraId="2F7C9319">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1</w:t>
      </w:r>
      <w:r>
        <w:rPr>
          <w:rFonts w:hint="eastAsia" w:ascii="宋体" w:hAnsi="宋体" w:cs="宋体"/>
          <w:color w:val="auto"/>
          <w:sz w:val="24"/>
          <w:szCs w:val="24"/>
        </w:rPr>
        <w:t xml:space="preserve">.1 </w:t>
      </w:r>
      <w:r>
        <w:rPr>
          <w:rFonts w:hint="eastAsia" w:ascii="宋体" w:hAnsi="宋体" w:cs="宋体"/>
          <w:color w:val="auto"/>
          <w:sz w:val="24"/>
          <w:szCs w:val="24"/>
          <w:lang w:eastAsia="zh-CN"/>
        </w:rPr>
        <w:t>投标人</w:t>
      </w:r>
      <w:r>
        <w:rPr>
          <w:rFonts w:hint="eastAsia" w:ascii="宋体" w:hAnsi="宋体" w:cs="宋体"/>
          <w:color w:val="auto"/>
          <w:sz w:val="24"/>
          <w:szCs w:val="24"/>
        </w:rPr>
        <w:t>在递交竞争性</w:t>
      </w:r>
      <w:r>
        <w:rPr>
          <w:rFonts w:hint="eastAsia" w:ascii="宋体" w:hAnsi="宋体" w:cs="宋体"/>
          <w:color w:val="auto"/>
          <w:sz w:val="24"/>
          <w:szCs w:val="24"/>
          <w:lang w:eastAsia="zh-CN"/>
        </w:rPr>
        <w:t>磋商</w:t>
      </w:r>
      <w:r>
        <w:rPr>
          <w:rFonts w:hint="eastAsia" w:ascii="宋体" w:hAnsi="宋体" w:cs="宋体"/>
          <w:color w:val="auto"/>
          <w:sz w:val="24"/>
          <w:szCs w:val="24"/>
        </w:rPr>
        <w:t>响应文件后，可以修改或撤回其竞争性</w:t>
      </w:r>
      <w:r>
        <w:rPr>
          <w:rFonts w:hint="eastAsia" w:ascii="宋体" w:hAnsi="宋体" w:cs="宋体"/>
          <w:color w:val="auto"/>
          <w:sz w:val="24"/>
          <w:szCs w:val="24"/>
          <w:lang w:eastAsia="zh-CN"/>
        </w:rPr>
        <w:t>磋商</w:t>
      </w:r>
      <w:r>
        <w:rPr>
          <w:rFonts w:hint="eastAsia" w:ascii="宋体" w:hAnsi="宋体" w:cs="宋体"/>
          <w:color w:val="auto"/>
          <w:sz w:val="24"/>
          <w:szCs w:val="24"/>
        </w:rPr>
        <w:t>响应文件，也可以提出价格变动声明，但</w:t>
      </w:r>
      <w:r>
        <w:rPr>
          <w:rFonts w:hint="eastAsia" w:ascii="宋体" w:hAnsi="宋体" w:cs="宋体"/>
          <w:color w:val="auto"/>
          <w:sz w:val="24"/>
          <w:szCs w:val="24"/>
          <w:lang w:eastAsia="zh-CN"/>
        </w:rPr>
        <w:t>投标人</w:t>
      </w:r>
      <w:r>
        <w:rPr>
          <w:rFonts w:hint="eastAsia" w:ascii="宋体" w:hAnsi="宋体" w:cs="宋体"/>
          <w:color w:val="auto"/>
          <w:sz w:val="24"/>
          <w:szCs w:val="24"/>
        </w:rPr>
        <w:t>必须在规定的</w:t>
      </w:r>
      <w:r>
        <w:rPr>
          <w:rFonts w:hint="eastAsia" w:ascii="宋体" w:hAnsi="宋体" w:cs="宋体"/>
          <w:color w:val="auto"/>
          <w:sz w:val="24"/>
          <w:szCs w:val="24"/>
          <w:lang w:eastAsia="zh-CN"/>
        </w:rPr>
        <w:t>磋商</w:t>
      </w:r>
      <w:r>
        <w:rPr>
          <w:rFonts w:hint="eastAsia" w:ascii="宋体" w:hAnsi="宋体" w:cs="宋体"/>
          <w:color w:val="auto"/>
          <w:sz w:val="24"/>
          <w:szCs w:val="24"/>
        </w:rPr>
        <w:t>截止时间之前将修改或撤回或变动价格的书面通知文件递交到采购代理机构。</w:t>
      </w:r>
    </w:p>
    <w:p w14:paraId="2DAE5227">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1</w:t>
      </w:r>
      <w:r>
        <w:rPr>
          <w:rFonts w:hint="eastAsia" w:ascii="宋体" w:hAnsi="宋体" w:cs="宋体"/>
          <w:color w:val="auto"/>
          <w:sz w:val="24"/>
          <w:szCs w:val="24"/>
        </w:rPr>
        <w:t xml:space="preserve">.2 </w:t>
      </w:r>
      <w:r>
        <w:rPr>
          <w:rFonts w:hint="eastAsia" w:ascii="宋体" w:hAnsi="宋体" w:cs="宋体"/>
          <w:color w:val="auto"/>
          <w:sz w:val="24"/>
          <w:szCs w:val="24"/>
          <w:lang w:eastAsia="zh-CN"/>
        </w:rPr>
        <w:t>投标人</w:t>
      </w:r>
      <w:r>
        <w:rPr>
          <w:rFonts w:hint="eastAsia" w:ascii="宋体" w:hAnsi="宋体" w:cs="宋体"/>
          <w:color w:val="auto"/>
          <w:sz w:val="24"/>
          <w:szCs w:val="24"/>
        </w:rPr>
        <w:t>的修改或撤回或变动价格的通知应按本须知第</w:t>
      </w:r>
      <w:r>
        <w:rPr>
          <w:rFonts w:hint="eastAsia" w:ascii="宋体" w:hAnsi="宋体" w:cs="宋体"/>
          <w:color w:val="auto"/>
          <w:sz w:val="24"/>
          <w:szCs w:val="24"/>
          <w:lang w:eastAsia="zh-CN"/>
        </w:rPr>
        <w:t>18</w:t>
      </w:r>
      <w:r>
        <w:rPr>
          <w:rFonts w:hint="eastAsia" w:ascii="宋体" w:hAnsi="宋体" w:cs="宋体"/>
          <w:color w:val="auto"/>
          <w:sz w:val="24"/>
          <w:szCs w:val="24"/>
        </w:rPr>
        <w:t>条的规定编制、密封、标记和递交。</w:t>
      </w:r>
    </w:p>
    <w:p w14:paraId="37F1D125">
      <w:pPr>
        <w:pageBreakBefore w:val="0"/>
        <w:shd w:val="clear" w:color="auto" w:fill="auto"/>
        <w:kinsoku/>
        <w:overflowPunct/>
        <w:bidi w:val="0"/>
        <w:adjustRightInd w:val="0"/>
        <w:snapToGrid w:val="0"/>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1</w:t>
      </w:r>
      <w:r>
        <w:rPr>
          <w:rFonts w:hint="eastAsia" w:ascii="宋体" w:hAnsi="宋体" w:cs="宋体"/>
          <w:color w:val="auto"/>
          <w:sz w:val="24"/>
          <w:szCs w:val="24"/>
        </w:rPr>
        <w:t>.3 在</w:t>
      </w:r>
      <w:r>
        <w:rPr>
          <w:rFonts w:hint="eastAsia" w:ascii="宋体" w:hAnsi="宋体" w:cs="宋体"/>
          <w:color w:val="auto"/>
          <w:sz w:val="24"/>
          <w:szCs w:val="24"/>
          <w:lang w:eastAsia="zh-CN"/>
        </w:rPr>
        <w:t>磋商</w:t>
      </w:r>
      <w:r>
        <w:rPr>
          <w:rFonts w:hint="eastAsia" w:ascii="宋体" w:hAnsi="宋体" w:cs="宋体"/>
          <w:color w:val="auto"/>
          <w:sz w:val="24"/>
          <w:szCs w:val="24"/>
        </w:rPr>
        <w:t>截止时间之后，</w:t>
      </w:r>
      <w:r>
        <w:rPr>
          <w:rFonts w:hint="eastAsia" w:ascii="宋体" w:hAnsi="宋体" w:cs="宋体"/>
          <w:color w:val="auto"/>
          <w:sz w:val="24"/>
          <w:szCs w:val="24"/>
          <w:lang w:eastAsia="zh-CN"/>
        </w:rPr>
        <w:t>投标人</w:t>
      </w:r>
      <w:r>
        <w:rPr>
          <w:rFonts w:hint="eastAsia" w:ascii="宋体" w:hAnsi="宋体" w:cs="宋体"/>
          <w:color w:val="auto"/>
          <w:sz w:val="24"/>
          <w:szCs w:val="24"/>
        </w:rPr>
        <w:t>不得对其</w:t>
      </w:r>
      <w:r>
        <w:rPr>
          <w:rFonts w:hint="eastAsia" w:ascii="宋体" w:hAnsi="宋体" w:cs="宋体"/>
          <w:color w:val="auto"/>
          <w:sz w:val="24"/>
          <w:szCs w:val="24"/>
          <w:lang w:eastAsia="zh-CN"/>
        </w:rPr>
        <w:t>磋商</w:t>
      </w:r>
      <w:r>
        <w:rPr>
          <w:rFonts w:hint="eastAsia" w:ascii="宋体" w:hAnsi="宋体" w:cs="宋体"/>
          <w:color w:val="auto"/>
          <w:sz w:val="24"/>
          <w:szCs w:val="24"/>
        </w:rPr>
        <w:t>做任何修改或撤回。</w:t>
      </w:r>
    </w:p>
    <w:p w14:paraId="01E7E56C">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132" w:name="_Toc22772"/>
      <w:bookmarkStart w:id="133" w:name="_Toc15284"/>
      <w:bookmarkStart w:id="134" w:name="_Toc22473"/>
      <w:bookmarkStart w:id="135" w:name="_Toc1674"/>
      <w:bookmarkStart w:id="136" w:name="_Toc16899"/>
      <w:r>
        <w:rPr>
          <w:rFonts w:hint="eastAsia" w:asciiTheme="minorEastAsia" w:hAnsiTheme="minorEastAsia" w:eastAsiaTheme="minorEastAsia" w:cstheme="minorEastAsia"/>
          <w:b/>
          <w:color w:val="auto"/>
          <w:sz w:val="24"/>
          <w:szCs w:val="24"/>
        </w:rPr>
        <w:t>5. 磋商</w:t>
      </w:r>
      <w:bookmarkEnd w:id="120"/>
      <w:bookmarkEnd w:id="121"/>
      <w:bookmarkEnd w:id="122"/>
      <w:bookmarkEnd w:id="123"/>
      <w:bookmarkEnd w:id="124"/>
      <w:bookmarkEnd w:id="125"/>
      <w:bookmarkEnd w:id="126"/>
      <w:bookmarkEnd w:id="127"/>
      <w:bookmarkEnd w:id="128"/>
      <w:r>
        <w:rPr>
          <w:rFonts w:hAnsi="宋体"/>
          <w:b/>
          <w:color w:val="auto"/>
          <w:sz w:val="24"/>
          <w:szCs w:val="24"/>
        </w:rPr>
        <w:t>与评标</w:t>
      </w:r>
      <w:bookmarkEnd w:id="129"/>
      <w:bookmarkEnd w:id="130"/>
      <w:bookmarkEnd w:id="131"/>
      <w:bookmarkEnd w:id="132"/>
      <w:bookmarkEnd w:id="133"/>
      <w:bookmarkEnd w:id="134"/>
      <w:bookmarkEnd w:id="135"/>
      <w:bookmarkEnd w:id="136"/>
    </w:p>
    <w:p w14:paraId="38C35063">
      <w:pPr>
        <w:pageBreakBefore w:val="0"/>
        <w:kinsoku/>
        <w:overflowPunct/>
        <w:bidi w:val="0"/>
        <w:adjustRightInd w:val="0"/>
        <w:snapToGrid w:val="0"/>
        <w:spacing w:line="360" w:lineRule="auto"/>
        <w:ind w:left="0" w:leftChars="0"/>
        <w:outlineLvl w:val="9"/>
        <w:rPr>
          <w:rFonts w:ascii="宋体" w:hAnsi="宋体" w:cs="宋体"/>
          <w:color w:val="auto"/>
          <w:sz w:val="24"/>
          <w:szCs w:val="24"/>
        </w:rPr>
      </w:pPr>
      <w:bookmarkStart w:id="137" w:name="_Toc144974528"/>
      <w:bookmarkStart w:id="138" w:name="_Toc152042336"/>
      <w:bookmarkStart w:id="139" w:name="_Toc179632578"/>
      <w:bookmarkStart w:id="140" w:name="_Toc152045560"/>
      <w:r>
        <w:rPr>
          <w:rFonts w:hint="eastAsia" w:ascii="宋体" w:hAnsi="宋体" w:cs="宋体"/>
          <w:color w:val="auto"/>
          <w:sz w:val="24"/>
          <w:szCs w:val="24"/>
          <w:lang w:val="en-US" w:eastAsia="zh-CN"/>
        </w:rPr>
        <w:t>22</w:t>
      </w:r>
      <w:r>
        <w:rPr>
          <w:rFonts w:hint="eastAsia" w:ascii="宋体" w:hAnsi="宋体" w:cs="宋体"/>
          <w:color w:val="auto"/>
          <w:sz w:val="24"/>
          <w:szCs w:val="24"/>
        </w:rPr>
        <w:t>、</w:t>
      </w:r>
      <w:bookmarkEnd w:id="137"/>
      <w:bookmarkEnd w:id="138"/>
      <w:bookmarkEnd w:id="139"/>
      <w:bookmarkEnd w:id="140"/>
      <w:r>
        <w:rPr>
          <w:rFonts w:hint="eastAsia" w:ascii="宋体" w:hAnsi="宋体" w:cs="宋体"/>
          <w:color w:val="auto"/>
          <w:sz w:val="24"/>
          <w:szCs w:val="24"/>
        </w:rPr>
        <w:t>竞争性磋商会议时间和地点</w:t>
      </w:r>
    </w:p>
    <w:p w14:paraId="3E1C67CB">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color w:val="auto"/>
          <w:sz w:val="24"/>
          <w:szCs w:val="24"/>
          <w:lang w:val="en-US" w:eastAsia="zh-CN"/>
        </w:rPr>
        <w:t>到</w:t>
      </w:r>
      <w:r>
        <w:rPr>
          <w:rFonts w:hint="eastAsia" w:asciiTheme="minorEastAsia" w:hAnsiTheme="minorEastAsia" w:eastAsiaTheme="minorEastAsia" w:cstheme="minorEastAsia"/>
          <w:color w:val="auto"/>
          <w:sz w:val="24"/>
          <w:szCs w:val="24"/>
        </w:rPr>
        <w:t>。</w:t>
      </w:r>
    </w:p>
    <w:p w14:paraId="6E01E43A">
      <w:pPr>
        <w:pageBreakBefore w:val="0"/>
        <w:kinsoku/>
        <w:overflowPunct/>
        <w:bidi w:val="0"/>
        <w:adjustRightInd w:val="0"/>
        <w:snapToGrid w:val="0"/>
        <w:spacing w:line="360" w:lineRule="auto"/>
        <w:ind w:left="0" w:leftChars="0" w:firstLine="480" w:firstLineChars="200"/>
        <w:outlineLvl w:val="9"/>
        <w:rPr>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将做磋商记录，存档备查。</w:t>
      </w:r>
    </w:p>
    <w:p w14:paraId="54681759">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141" w:name="_Toc144974529"/>
      <w:bookmarkStart w:id="142" w:name="_Toc179632579"/>
      <w:bookmarkStart w:id="143" w:name="_Toc152045561"/>
      <w:bookmarkStart w:id="144" w:name="_Toc152042337"/>
      <w:r>
        <w:rPr>
          <w:rFonts w:hint="eastAsia" w:ascii="宋体" w:hAnsi="宋体" w:eastAsia="宋体"/>
          <w:b/>
          <w:color w:val="auto"/>
          <w:sz w:val="24"/>
          <w:szCs w:val="24"/>
          <w:lang w:val="en-US" w:eastAsia="zh-CN"/>
        </w:rPr>
        <w:t>23</w:t>
      </w:r>
      <w:r>
        <w:rPr>
          <w:rFonts w:hint="eastAsia" w:ascii="宋体" w:hAnsi="宋体" w:eastAsia="宋体"/>
          <w:b/>
          <w:color w:val="auto"/>
          <w:sz w:val="24"/>
          <w:szCs w:val="24"/>
        </w:rPr>
        <w:t>、磋商程序</w:t>
      </w:r>
      <w:bookmarkEnd w:id="141"/>
      <w:bookmarkEnd w:id="142"/>
      <w:bookmarkEnd w:id="143"/>
      <w:bookmarkEnd w:id="144"/>
    </w:p>
    <w:p w14:paraId="12FBC95E">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bookmarkStart w:id="145" w:name="_Toc144974530"/>
      <w:bookmarkStart w:id="146" w:name="_Toc152042338"/>
      <w:bookmarkStart w:id="147" w:name="_Toc152045562"/>
      <w:bookmarkStart w:id="148" w:name="_Toc179632580"/>
      <w:r>
        <w:rPr>
          <w:rFonts w:hint="eastAsia" w:ascii="宋体" w:hAnsi="宋体" w:cs="宋体"/>
          <w:color w:val="auto"/>
          <w:sz w:val="24"/>
          <w:szCs w:val="24"/>
        </w:rPr>
        <w:t>2</w:t>
      </w:r>
      <w:r>
        <w:rPr>
          <w:rFonts w:hint="eastAsia" w:ascii="宋体" w:hAnsi="宋体" w:cs="宋体"/>
          <w:color w:val="auto"/>
          <w:sz w:val="24"/>
          <w:szCs w:val="24"/>
          <w:lang w:val="en-US" w:eastAsia="zh-CN"/>
        </w:rPr>
        <w:t>3</w:t>
      </w:r>
      <w:r>
        <w:rPr>
          <w:rFonts w:hint="eastAsia" w:ascii="宋体" w:hAnsi="宋体" w:cs="宋体"/>
          <w:color w:val="auto"/>
          <w:sz w:val="24"/>
          <w:szCs w:val="24"/>
        </w:rPr>
        <w:t>.1 采购代理机构在规定的时间和地点组织</w:t>
      </w:r>
      <w:r>
        <w:rPr>
          <w:rFonts w:hint="eastAsia" w:ascii="宋体" w:hAnsi="宋体" w:cs="宋体"/>
          <w:color w:val="auto"/>
          <w:sz w:val="24"/>
          <w:szCs w:val="24"/>
          <w:lang w:val="en-US" w:eastAsia="zh-CN"/>
        </w:rPr>
        <w:t>磋商</w:t>
      </w:r>
      <w:r>
        <w:rPr>
          <w:rFonts w:hint="eastAsia" w:ascii="宋体" w:hAnsi="宋体" w:cs="宋体"/>
          <w:color w:val="auto"/>
          <w:sz w:val="24"/>
          <w:szCs w:val="24"/>
        </w:rPr>
        <w:t>。</w:t>
      </w:r>
      <w:r>
        <w:rPr>
          <w:rFonts w:hint="eastAsia" w:ascii="思源宋体 CN Light" w:hAnsi="思源宋体 CN Light" w:eastAsia="思源宋体 CN Light" w:cs="思源宋体 CN Light"/>
          <w:color w:val="auto"/>
          <w:sz w:val="24"/>
          <w:szCs w:val="24"/>
        </w:rPr>
        <w:t>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w:t>
      </w:r>
      <w:r>
        <w:rPr>
          <w:rFonts w:hint="eastAsia" w:ascii="思源宋体 CN Light" w:hAnsi="思源宋体 CN Light" w:eastAsia="思源宋体 CN Light" w:cs="思源宋体 CN Light"/>
          <w:color w:val="auto"/>
          <w:sz w:val="24"/>
          <w:szCs w:val="24"/>
          <w:lang w:val="en-US" w:eastAsia="zh-CN"/>
        </w:rPr>
        <w:t>一</w:t>
      </w:r>
      <w:r>
        <w:rPr>
          <w:rFonts w:hint="eastAsia" w:ascii="思源宋体 CN Light" w:hAnsi="思源宋体 CN Light" w:eastAsia="思源宋体 CN Light" w:cs="思源宋体 CN Light"/>
          <w:color w:val="auto"/>
          <w:sz w:val="24"/>
          <w:szCs w:val="24"/>
        </w:rPr>
        <w:t>小时</w:t>
      </w:r>
      <w:r>
        <w:rPr>
          <w:rFonts w:hint="eastAsia" w:ascii="思源宋体 CN Light" w:hAnsi="思源宋体 CN Light" w:eastAsia="思源宋体 CN Light" w:cs="思源宋体 CN Light"/>
          <w:color w:val="auto"/>
          <w:sz w:val="24"/>
          <w:szCs w:val="24"/>
          <w:lang w:val="en-US" w:eastAsia="zh-CN"/>
        </w:rPr>
        <w:t>内</w:t>
      </w:r>
      <w:r>
        <w:rPr>
          <w:rFonts w:hint="eastAsia" w:ascii="思源宋体 CN Light" w:hAnsi="思源宋体 CN Light" w:eastAsia="思源宋体 CN Light" w:cs="思源宋体 CN Light"/>
          <w:color w:val="auto"/>
          <w:sz w:val="24"/>
          <w:szCs w:val="24"/>
        </w:rPr>
        <w:t>登录“</w:t>
      </w:r>
      <w:r>
        <w:rPr>
          <w:rFonts w:hint="eastAsia" w:ascii="思源宋体 CN Light" w:hAnsi="思源宋体 CN Light" w:eastAsia="思源宋体 CN Light" w:cs="思源宋体 CN Light"/>
          <w:color w:val="auto"/>
          <w:sz w:val="24"/>
          <w:szCs w:val="24"/>
          <w:lang w:val="en-US" w:eastAsia="zh-CN"/>
        </w:rPr>
        <w:t>腾讯会议</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w:t>
      </w:r>
      <w:r>
        <w:rPr>
          <w:rFonts w:hint="eastAsia" w:ascii="思源宋体 CN Light" w:hAnsi="思源宋体 CN Light" w:eastAsia="思源宋体 CN Light" w:cs="思源宋体 CN Light"/>
          <w:color w:val="auto"/>
          <w:sz w:val="24"/>
          <w:szCs w:val="24"/>
          <w:lang w:val="en-US" w:eastAsia="zh-CN"/>
        </w:rPr>
        <w:t>磋商小组</w:t>
      </w:r>
      <w:r>
        <w:rPr>
          <w:rFonts w:hint="eastAsia" w:ascii="思源宋体 CN Light" w:hAnsi="思源宋体 CN Light" w:eastAsia="思源宋体 CN Light" w:cs="思源宋体 CN Light"/>
          <w:color w:val="auto"/>
          <w:sz w:val="24"/>
          <w:szCs w:val="24"/>
        </w:rPr>
        <w:t>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5634C9C8">
      <w:pPr>
        <w:pageBreakBefore w:val="0"/>
        <w:kinsoku/>
        <w:overflowPunct/>
        <w:bidi w:val="0"/>
        <w:adjustRightInd w:val="0"/>
        <w:snapToGrid w:val="0"/>
        <w:spacing w:line="360" w:lineRule="auto"/>
        <w:ind w:left="0" w:leftChars="0"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宋体" w:hAnsi="宋体" w:cs="宋体"/>
          <w:color w:val="auto"/>
          <w:sz w:val="24"/>
          <w:szCs w:val="24"/>
          <w:lang w:val="en-US" w:eastAsia="zh-CN"/>
        </w:rPr>
        <w:t>23.</w:t>
      </w:r>
      <w:r>
        <w:rPr>
          <w:rFonts w:hint="eastAsia" w:ascii="思源宋体 CN Light" w:hAnsi="思源宋体 CN Light" w:eastAsia="思源宋体 CN Light" w:cs="思源宋体 CN Light"/>
          <w:color w:val="auto"/>
          <w:sz w:val="24"/>
          <w:szCs w:val="24"/>
          <w:lang w:val="en-US" w:eastAsia="zh-CN"/>
        </w:rPr>
        <w:t>2</w:t>
      </w:r>
      <w:r>
        <w:rPr>
          <w:rFonts w:hint="eastAsia" w:ascii="思源宋体 CN Light" w:hAnsi="思源宋体 CN Light" w:eastAsia="思源宋体 CN Light" w:cs="思源宋体 CN Light"/>
          <w:color w:val="auto"/>
          <w:sz w:val="24"/>
          <w:szCs w:val="24"/>
        </w:rPr>
        <w:t>宣读会议纪律</w:t>
      </w:r>
      <w:r>
        <w:rPr>
          <w:rFonts w:hint="eastAsia" w:ascii="思源宋体 CN Light" w:hAnsi="思源宋体 CN Light" w:eastAsia="思源宋体 CN Light" w:cs="思源宋体 CN Light"/>
          <w:color w:val="auto"/>
          <w:sz w:val="24"/>
          <w:szCs w:val="24"/>
          <w:lang w:eastAsia="zh-CN"/>
        </w:rPr>
        <w:t>；</w:t>
      </w:r>
    </w:p>
    <w:p w14:paraId="0A8D429E">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23.3宣布参加磋商会的现场监督人员和主持人、会议记录等磋商会工作人员，根据“磋商会投标单位签到表”宣布参加磋商的投标单位名单。</w:t>
      </w:r>
    </w:p>
    <w:p w14:paraId="3C5BA05F">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23.4投标单位授权代表的身份查验：开标时投标单位应携带授权委托书及被委托人身份证件（法定代表人亲自参与磋商的需携带法人身份证件及法定代表人身份证明书）原件；若投标单位身份查验不符合要求，经评标委员会同意后将按无效磋商处理；</w:t>
      </w:r>
    </w:p>
    <w:p w14:paraId="140BE40F">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23.5宣布检查响应文件的密封情况。由监督管理机构共同检查响应文件密封情况，经检查无误后，签字确认。</w:t>
      </w:r>
    </w:p>
    <w:p w14:paraId="56EE3DB2">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23.6休会。</w:t>
      </w:r>
    </w:p>
    <w:p w14:paraId="3292ADBD">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23.7启封响应文件，仅向招标人及监督人员宣布第一次磋商报价，并由监督人员确认。</w:t>
      </w:r>
    </w:p>
    <w:p w14:paraId="416ACA41">
      <w:pPr>
        <w:pageBreakBefore w:val="0"/>
        <w:kinsoku/>
        <w:overflowPunct/>
        <w:bidi w:val="0"/>
        <w:adjustRightInd w:val="0"/>
        <w:snapToGrid w:val="0"/>
        <w:spacing w:line="360" w:lineRule="auto"/>
        <w:ind w:left="0" w:leftChars="0"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宋体" w:hAnsi="宋体" w:cs="宋体"/>
          <w:color w:val="auto"/>
          <w:sz w:val="24"/>
          <w:szCs w:val="24"/>
          <w:lang w:val="en-US" w:eastAsia="zh-CN"/>
        </w:rPr>
        <w:t>23.8宣布磋商仪式结束。</w:t>
      </w:r>
    </w:p>
    <w:p w14:paraId="35C4A2D6">
      <w:pPr>
        <w:pageBreakBefore w:val="0"/>
        <w:kinsoku/>
        <w:overflowPunct/>
        <w:bidi w:val="0"/>
        <w:adjustRightInd w:val="0"/>
        <w:snapToGrid w:val="0"/>
        <w:spacing w:line="360" w:lineRule="auto"/>
        <w:ind w:left="0" w:leftChars="0" w:firstLine="480" w:firstLineChars="200"/>
        <w:outlineLvl w:val="9"/>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lang w:val="en-US" w:eastAsia="zh-CN"/>
        </w:rPr>
        <w:t>9</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磋商</w:t>
      </w:r>
      <w:r>
        <w:rPr>
          <w:rFonts w:hint="eastAsia" w:ascii="宋体" w:hAnsi="宋体" w:cs="宋体"/>
          <w:color w:val="auto"/>
          <w:sz w:val="24"/>
          <w:szCs w:val="24"/>
        </w:rPr>
        <w:t>有效供应商不足三家的，按照国家相关法律、法规及有关规定执行。</w:t>
      </w:r>
    </w:p>
    <w:p w14:paraId="47726197">
      <w:pPr>
        <w:pageBreakBefore w:val="0"/>
        <w:kinsoku/>
        <w:overflowPunct/>
        <w:bidi w:val="0"/>
        <w:adjustRightInd w:val="0"/>
        <w:snapToGrid w:val="0"/>
        <w:spacing w:line="360" w:lineRule="auto"/>
        <w:ind w:left="0" w:leftChars="0"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3.10</w:t>
      </w:r>
      <w:r>
        <w:rPr>
          <w:rFonts w:hint="eastAsia" w:ascii="宋体" w:hAnsi="宋体" w:cs="宋体"/>
          <w:color w:val="auto"/>
          <w:sz w:val="24"/>
          <w:szCs w:val="24"/>
        </w:rPr>
        <w:t xml:space="preserve"> 采购代理机构将做开标记录，存档备查。</w:t>
      </w:r>
    </w:p>
    <w:p w14:paraId="3180720D">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4</w:t>
      </w:r>
      <w:r>
        <w:rPr>
          <w:rFonts w:hint="eastAsia" w:ascii="宋体" w:hAnsi="宋体" w:eastAsia="宋体"/>
          <w:b/>
          <w:color w:val="auto"/>
          <w:sz w:val="24"/>
          <w:szCs w:val="24"/>
        </w:rPr>
        <w:t>、评审组织及评审原则</w:t>
      </w:r>
    </w:p>
    <w:p w14:paraId="010D5AF7">
      <w:pPr>
        <w:pageBreakBefore w:val="0"/>
        <w:kinsoku/>
        <w:overflowPunct/>
        <w:bidi w:val="0"/>
        <w:adjustRightInd w:val="0"/>
        <w:snapToGrid w:val="0"/>
        <w:spacing w:line="360" w:lineRule="auto"/>
        <w:ind w:left="0" w:leftChars="0" w:firstLine="482" w:firstLineChars="200"/>
        <w:outlineLvl w:val="9"/>
        <w:rPr>
          <w:rFonts w:ascii="宋体" w:hAnsi="宋体" w:cs="宋体"/>
          <w:b/>
          <w:bCs/>
          <w:color w:val="auto"/>
          <w:sz w:val="24"/>
          <w:szCs w:val="24"/>
        </w:rPr>
      </w:pPr>
      <w:r>
        <w:rPr>
          <w:rFonts w:hint="eastAsia" w:ascii="宋体" w:hAnsi="宋体" w:cs="宋体"/>
          <w:b/>
          <w:bCs/>
          <w:color w:val="auto"/>
          <w:sz w:val="24"/>
          <w:szCs w:val="24"/>
        </w:rPr>
        <w:t>2</w:t>
      </w:r>
      <w:r>
        <w:rPr>
          <w:rFonts w:hint="eastAsia" w:ascii="宋体" w:hAnsi="宋体" w:cs="宋体"/>
          <w:b/>
          <w:bCs/>
          <w:color w:val="auto"/>
          <w:sz w:val="24"/>
          <w:szCs w:val="24"/>
          <w:lang w:val="en-US" w:eastAsia="zh-CN"/>
        </w:rPr>
        <w:t>4</w:t>
      </w:r>
      <w:r>
        <w:rPr>
          <w:rFonts w:hint="eastAsia" w:ascii="宋体" w:hAnsi="宋体" w:cs="宋体"/>
          <w:b/>
          <w:bCs/>
          <w:color w:val="auto"/>
          <w:sz w:val="24"/>
          <w:szCs w:val="24"/>
        </w:rPr>
        <w:t>.1磋商小组</w:t>
      </w:r>
    </w:p>
    <w:p w14:paraId="10EC742D">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eastAsia="宋体" w:cs="宋体"/>
          <w:color w:val="auto"/>
          <w:sz w:val="24"/>
          <w:szCs w:val="24"/>
        </w:rPr>
        <w:t>按照《中华人民共和国政府采购法》、中华人民共和国财政部第</w:t>
      </w:r>
      <w:r>
        <w:rPr>
          <w:rFonts w:hint="eastAsia" w:ascii="宋体" w:hAnsi="宋体" w:eastAsia="宋体" w:cs="宋体"/>
          <w:color w:val="auto"/>
          <w:sz w:val="24"/>
          <w:szCs w:val="24"/>
          <w:lang w:val="en-US" w:eastAsia="zh-CN"/>
        </w:rPr>
        <w:t>87</w:t>
      </w:r>
      <w:r>
        <w:rPr>
          <w:rFonts w:hint="eastAsia" w:ascii="宋体" w:hAnsi="宋体" w:eastAsia="宋体" w:cs="宋体"/>
          <w:color w:val="auto"/>
          <w:sz w:val="24"/>
          <w:szCs w:val="24"/>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14:paraId="32EDD454">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 磋商小组成员有下列情形之一的，应当回避，已经进入的应当更换：</w:t>
      </w:r>
    </w:p>
    <w:p w14:paraId="508C8011">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.1.2.1</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或供应商的主要负责人的近亲属；</w:t>
      </w:r>
    </w:p>
    <w:p w14:paraId="6E8DAF32">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.1.2.2项目主管部门或者行政监督部门的人员；</w:t>
      </w:r>
    </w:p>
    <w:p w14:paraId="26B9498D">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.1.2.3与供应商有经济利益关系，可能影响对投标公正评审的；</w:t>
      </w:r>
    </w:p>
    <w:p w14:paraId="26E55354">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.1.2.4曾因在招标、评审以及其他与采购投标有关活动中从事违法行为而受过行政处罚或刑事处罚的。</w:t>
      </w:r>
    </w:p>
    <w:p w14:paraId="38D98601">
      <w:pPr>
        <w:pStyle w:val="28"/>
        <w:pageBreakBefore w:val="0"/>
        <w:tabs>
          <w:tab w:val="left" w:pos="2620"/>
        </w:tabs>
        <w:kinsoku/>
        <w:overflowPunct/>
        <w:bidi w:val="0"/>
        <w:adjustRightInd w:val="0"/>
        <w:snapToGrid w:val="0"/>
        <w:spacing w:before="0" w:after="0" w:line="360" w:lineRule="auto"/>
        <w:ind w:left="0" w:leftChars="0" w:firstLine="480" w:firstLineChars="200"/>
        <w:outlineLvl w:val="9"/>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2</w:t>
      </w:r>
      <w:r>
        <w:rPr>
          <w:rFonts w:hint="eastAsia" w:asciiTheme="minorEastAsia" w:hAnsiTheme="minorEastAsia" w:eastAsiaTheme="minorEastAsia" w:cstheme="minorEastAsia"/>
          <w:bCs w:val="0"/>
          <w:color w:val="auto"/>
          <w:sz w:val="24"/>
          <w:szCs w:val="24"/>
        </w:rPr>
        <w:t>.1.3</w:t>
      </w:r>
      <w:r>
        <w:rPr>
          <w:rFonts w:hint="eastAsia" w:asciiTheme="minorEastAsia" w:hAnsiTheme="minorEastAsia" w:eastAsiaTheme="minorEastAsia" w:cstheme="minorEastAsia"/>
          <w:bCs w:val="0"/>
          <w:color w:val="auto"/>
          <w:sz w:val="24"/>
          <w:szCs w:val="24"/>
          <w:lang w:eastAsia="zh-CN"/>
        </w:rPr>
        <w:t>磋商小组</w:t>
      </w:r>
      <w:r>
        <w:rPr>
          <w:rFonts w:hint="eastAsia" w:asciiTheme="minorEastAsia" w:hAnsiTheme="minorEastAsia" w:eastAsiaTheme="minorEastAsia" w:cstheme="minorEastAsia"/>
          <w:bCs w:val="0"/>
          <w:color w:val="auto"/>
          <w:sz w:val="24"/>
          <w:szCs w:val="24"/>
        </w:rPr>
        <w:t>成员的名单在</w:t>
      </w:r>
      <w:r>
        <w:rPr>
          <w:rFonts w:hint="eastAsia" w:asciiTheme="minorEastAsia" w:hAnsiTheme="minorEastAsia" w:eastAsiaTheme="minorEastAsia" w:cstheme="minorEastAsia"/>
          <w:bCs w:val="0"/>
          <w:color w:val="auto"/>
          <w:sz w:val="24"/>
          <w:szCs w:val="24"/>
          <w:lang w:eastAsia="zh-CN"/>
        </w:rPr>
        <w:t>成交</w:t>
      </w:r>
      <w:r>
        <w:rPr>
          <w:rFonts w:hint="eastAsia" w:asciiTheme="minorEastAsia" w:hAnsiTheme="minorEastAsia" w:eastAsiaTheme="minorEastAsia" w:cstheme="minorEastAsia"/>
          <w:bCs w:val="0"/>
          <w:color w:val="auto"/>
          <w:sz w:val="24"/>
          <w:szCs w:val="24"/>
        </w:rPr>
        <w:t>结果确定前应当保密。</w:t>
      </w:r>
    </w:p>
    <w:p w14:paraId="41660057">
      <w:pPr>
        <w:pageBreakBefore w:val="0"/>
        <w:kinsoku/>
        <w:overflowPunct/>
        <w:bidi w:val="0"/>
        <w:adjustRightInd w:val="0"/>
        <w:snapToGrid w:val="0"/>
        <w:spacing w:line="360" w:lineRule="auto"/>
        <w:ind w:left="0" w:leftChars="0"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.1.4评标采用保密方式进行。</w:t>
      </w:r>
    </w:p>
    <w:p w14:paraId="3F50CA83">
      <w:pPr>
        <w:pStyle w:val="28"/>
        <w:pageBreakBefore w:val="0"/>
        <w:tabs>
          <w:tab w:val="left" w:pos="2620"/>
        </w:tabs>
        <w:kinsoku/>
        <w:overflowPunct/>
        <w:bidi w:val="0"/>
        <w:adjustRightInd w:val="0"/>
        <w:snapToGrid w:val="0"/>
        <w:spacing w:before="0" w:after="0" w:line="360" w:lineRule="auto"/>
        <w:ind w:left="0" w:leftChars="0" w:firstLine="482"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b/>
          <w:color w:val="auto"/>
          <w:sz w:val="24"/>
          <w:szCs w:val="24"/>
          <w:lang w:val="en-US" w:eastAsia="zh-CN"/>
        </w:rPr>
        <w:t>4</w:t>
      </w:r>
      <w:r>
        <w:rPr>
          <w:rFonts w:hint="eastAsia" w:asciiTheme="minorEastAsia" w:hAnsiTheme="minorEastAsia" w:eastAsiaTheme="minorEastAsia" w:cstheme="minorEastAsia"/>
          <w:b/>
          <w:color w:val="auto"/>
          <w:sz w:val="24"/>
          <w:szCs w:val="24"/>
        </w:rPr>
        <w:t>.2 评审原则</w:t>
      </w:r>
      <w:r>
        <w:rPr>
          <w:rFonts w:hint="eastAsia" w:asciiTheme="minorEastAsia" w:hAnsiTheme="minorEastAsia" w:eastAsiaTheme="minorEastAsia" w:cstheme="minorEastAsia"/>
          <w:color w:val="auto"/>
          <w:sz w:val="24"/>
          <w:szCs w:val="24"/>
        </w:rPr>
        <w:tab/>
      </w:r>
    </w:p>
    <w:p w14:paraId="15017525">
      <w:pPr>
        <w:pageBreakBefore w:val="0"/>
        <w:kinsoku/>
        <w:overflowPunct/>
        <w:bidi w:val="0"/>
        <w:adjustRightInd w:val="0"/>
        <w:snapToGrid w:val="0"/>
        <w:spacing w:line="360" w:lineRule="auto"/>
        <w:ind w:left="0" w:leftChars="0" w:firstLine="720" w:firstLineChars="3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.2.1评审活动遵循公平、公正、科学和择优的原则。</w:t>
      </w:r>
    </w:p>
    <w:p w14:paraId="2974C4B4">
      <w:pPr>
        <w:pStyle w:val="28"/>
        <w:pageBreakBefore w:val="0"/>
        <w:tabs>
          <w:tab w:val="left" w:pos="2620"/>
        </w:tabs>
        <w:kinsoku/>
        <w:overflowPunct/>
        <w:bidi w:val="0"/>
        <w:adjustRightInd w:val="0"/>
        <w:snapToGrid w:val="0"/>
        <w:spacing w:before="0" w:after="0" w:line="360" w:lineRule="auto"/>
        <w:ind w:left="0" w:leftChars="0" w:firstLine="482" w:firstLineChars="200"/>
        <w:outlineLvl w:val="9"/>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b/>
          <w:color w:val="auto"/>
          <w:sz w:val="24"/>
          <w:szCs w:val="24"/>
          <w:lang w:val="en-US" w:eastAsia="zh-CN"/>
        </w:rPr>
        <w:t>4</w:t>
      </w:r>
      <w:r>
        <w:rPr>
          <w:rFonts w:hint="eastAsia" w:asciiTheme="minorEastAsia" w:hAnsiTheme="minorEastAsia" w:eastAsiaTheme="minorEastAsia" w:cstheme="minorEastAsia"/>
          <w:b/>
          <w:color w:val="auto"/>
          <w:sz w:val="24"/>
          <w:szCs w:val="24"/>
        </w:rPr>
        <w:t>.3评审</w:t>
      </w:r>
    </w:p>
    <w:p w14:paraId="4ABE56A8">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.3.1竞争性磋商文件和竞争性磋商响应文件是评审的依据。在评审中，不得改变竞争性磋商文件中规定的评审标准、方法和成交条件。</w:t>
      </w:r>
    </w:p>
    <w:p w14:paraId="73580C0A">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0CF5E247">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.3.3如果供应商在澄清规定期限内，未能答复或拒绝答复磋商小组提出的澄清要求，将由磋商小组根据其竞争性磋商响应文件按最大风险进行评审。</w:t>
      </w:r>
    </w:p>
    <w:p w14:paraId="0A1A1981">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竞争性磋商响应文件的符合性检查</w:t>
      </w:r>
    </w:p>
    <w:p w14:paraId="40802793">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.1磋商小组将审查竞争性磋商响应文件是否完整、资格证明文件是否齐全有无计算上的错误等。</w:t>
      </w:r>
    </w:p>
    <w:p w14:paraId="164BA372">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color w:val="auto"/>
          <w:sz w:val="24"/>
          <w:szCs w:val="24"/>
          <w:lang w:eastAsia="zh-CN"/>
        </w:rPr>
        <w:t>磋商报价一览表</w:t>
      </w:r>
      <w:r>
        <w:rPr>
          <w:rFonts w:hint="eastAsia" w:ascii="宋体" w:hAnsi="宋体" w:cs="宋体"/>
          <w:color w:val="auto"/>
          <w:sz w:val="24"/>
          <w:szCs w:val="24"/>
        </w:rPr>
        <w:t>”中的总价与磋商的其他文件中的总价不一致，以“</w:t>
      </w:r>
      <w:r>
        <w:rPr>
          <w:rFonts w:hint="eastAsia" w:ascii="宋体" w:hAnsi="宋体" w:cs="宋体"/>
          <w:color w:val="auto"/>
          <w:sz w:val="24"/>
          <w:szCs w:val="24"/>
          <w:lang w:eastAsia="zh-CN"/>
        </w:rPr>
        <w:t>磋商报价一览表</w:t>
      </w:r>
      <w:r>
        <w:rPr>
          <w:rFonts w:hint="eastAsia" w:ascii="宋体" w:hAnsi="宋体" w:cs="宋体"/>
          <w:color w:val="auto"/>
          <w:sz w:val="24"/>
          <w:szCs w:val="24"/>
        </w:rPr>
        <w:t>”中的总价为准。如果供应商不接受对其错误的更正，其磋商将被拒绝。</w:t>
      </w:r>
    </w:p>
    <w:p w14:paraId="57C6DF56">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.3对于竞争性磋商响应文件中明显的标点符号错误或不构成实质性偏差的不正规、不一致或不规则，招标方可以接受。</w:t>
      </w:r>
    </w:p>
    <w:p w14:paraId="4B0BBDCC">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磋商小组要审查每份竞争性磋商响应文件是否实质上响应了竞争性磋商文件的要求。实质上响应的磋商</w:t>
      </w:r>
      <w:r>
        <w:rPr>
          <w:rFonts w:hint="eastAsia" w:ascii="宋体" w:hAnsi="宋体" w:cs="宋体"/>
          <w:color w:val="auto"/>
          <w:sz w:val="24"/>
          <w:szCs w:val="24"/>
          <w:lang w:val="en-US" w:eastAsia="zh-CN"/>
        </w:rPr>
        <w:t>文件</w:t>
      </w:r>
      <w:r>
        <w:rPr>
          <w:rFonts w:hint="eastAsia" w:ascii="宋体" w:hAnsi="宋体" w:cs="宋体"/>
          <w:color w:val="auto"/>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225E23A9">
      <w:pPr>
        <w:keepNext w:val="0"/>
        <w:keepLines w:val="0"/>
        <w:pageBreakBefore w:val="0"/>
        <w:widowControl/>
        <w:suppressLineNumbers w:val="0"/>
        <w:kinsoku/>
        <w:overflowPunct/>
        <w:bidi w:val="0"/>
        <w:adjustRightInd w:val="0"/>
        <w:snapToGrid w:val="0"/>
        <w:spacing w:line="360" w:lineRule="auto"/>
        <w:ind w:left="0" w:leftChars="0" w:firstLine="480" w:firstLineChars="200"/>
        <w:jc w:val="left"/>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.5实质上没有响应竞争性磋商文件要求的磋商将被按无效投标处理。供应商不得通过修正或撤销不合要求的偏离从而使其磋商成为实质性响应的磋商。</w:t>
      </w:r>
    </w:p>
    <w:p w14:paraId="02A49157">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竞争性磋商响应文件的详细评审</w:t>
      </w:r>
    </w:p>
    <w:p w14:paraId="1CC2714E">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磋商小组只对确定为实质性响应竞争性磋商文件要求的磋商响应文件进行详细评审。</w:t>
      </w:r>
    </w:p>
    <w:p w14:paraId="6CEEA017">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lang w:val="en-US" w:eastAsia="zh-CN"/>
        </w:rPr>
        <w:t>24</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成交候选人的确定</w:t>
      </w:r>
    </w:p>
    <w:p w14:paraId="66F049C7">
      <w:pPr>
        <w:pageBreakBefore w:val="0"/>
        <w:kinsoku/>
        <w:overflowPunct/>
        <w:bidi w:val="0"/>
        <w:adjustRightInd w:val="0"/>
        <w:snapToGrid w:val="0"/>
        <w:spacing w:line="360" w:lineRule="auto"/>
        <w:ind w:left="0" w:leftChars="0"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.1磋商小组依据本磋商文件“评标方法”，对竞争性磋商响应文件进行评审和比较，向</w:t>
      </w:r>
      <w:r>
        <w:rPr>
          <w:rFonts w:hint="eastAsia" w:ascii="宋体" w:hAnsi="宋体" w:cs="宋体"/>
          <w:color w:val="auto"/>
          <w:sz w:val="24"/>
          <w:szCs w:val="24"/>
          <w:lang w:eastAsia="zh-CN"/>
        </w:rPr>
        <w:t>采购人</w:t>
      </w:r>
      <w:r>
        <w:rPr>
          <w:rFonts w:hint="eastAsia" w:ascii="宋体" w:hAnsi="宋体" w:cs="宋体"/>
          <w:color w:val="auto"/>
          <w:sz w:val="24"/>
          <w:szCs w:val="24"/>
        </w:rPr>
        <w:t>提交书面评标报告，并推荐</w:t>
      </w:r>
      <w:r>
        <w:rPr>
          <w:rFonts w:hint="eastAsia" w:ascii="宋体" w:hAnsi="宋体" w:cs="宋体"/>
          <w:color w:val="auto"/>
          <w:sz w:val="24"/>
          <w:szCs w:val="24"/>
          <w:lang w:val="en-US" w:eastAsia="zh-CN"/>
        </w:rPr>
        <w:t>1-3名</w:t>
      </w:r>
      <w:r>
        <w:rPr>
          <w:rFonts w:hint="eastAsia" w:ascii="宋体" w:hAnsi="宋体" w:cs="宋体"/>
          <w:color w:val="auto"/>
          <w:sz w:val="24"/>
          <w:szCs w:val="24"/>
        </w:rPr>
        <w:t>供应商为成交候选人。</w:t>
      </w:r>
    </w:p>
    <w:p w14:paraId="07C53DF1">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 xml:space="preserve">.2 </w:t>
      </w:r>
      <w:r>
        <w:rPr>
          <w:rFonts w:hint="eastAsia" w:ascii="宋体" w:hAnsi="宋体" w:cs="宋体"/>
          <w:color w:val="auto"/>
          <w:sz w:val="24"/>
          <w:szCs w:val="24"/>
          <w:lang w:eastAsia="zh-CN"/>
        </w:rPr>
        <w:t>采购人</w:t>
      </w:r>
      <w:r>
        <w:rPr>
          <w:rFonts w:hint="eastAsia" w:ascii="宋体" w:hAnsi="宋体" w:cs="宋体"/>
          <w:color w:val="auto"/>
          <w:sz w:val="24"/>
          <w:szCs w:val="24"/>
        </w:rPr>
        <w:t>根据磋商小组提交的评标报告和推荐的成交候选人确定成交供应商。</w:t>
      </w:r>
    </w:p>
    <w:p w14:paraId="57B41C9A">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14:paraId="7434B1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提交最后报价的供应商为2家时，可以继续进行磋商的情形：</w:t>
      </w:r>
    </w:p>
    <w:p w14:paraId="51E70AD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264819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jc w:val="left"/>
        <w:textAlignment w:val="auto"/>
        <w:outlineLvl w:val="9"/>
        <w:rPr>
          <w:rFonts w:hint="eastAsia"/>
          <w:color w:val="auto"/>
          <w:sz w:val="24"/>
          <w:szCs w:val="24"/>
        </w:rPr>
      </w:pPr>
      <w:bookmarkStart w:id="149" w:name="_Toc20079"/>
      <w:r>
        <w:rPr>
          <w:rFonts w:hint="eastAsia" w:ascii="宋体" w:hAnsi="宋体" w:eastAsia="宋体" w:cs="宋体"/>
          <w:color w:val="auto"/>
          <w:sz w:val="24"/>
          <w:szCs w:val="24"/>
        </w:rPr>
        <w:t>（二）政府购买服务项目（含政府和社会资本项目）。</w:t>
      </w:r>
      <w:bookmarkEnd w:id="149"/>
    </w:p>
    <w:p w14:paraId="4BE14539">
      <w:pPr>
        <w:pStyle w:val="28"/>
        <w:pageBreakBefore w:val="0"/>
        <w:kinsoku/>
        <w:overflowPunct/>
        <w:bidi w:val="0"/>
        <w:adjustRightInd w:val="0"/>
        <w:snapToGrid w:val="0"/>
        <w:spacing w:before="0" w:after="0" w:line="360" w:lineRule="auto"/>
        <w:ind w:left="0" w:leftChars="0"/>
        <w:outlineLvl w:val="9"/>
        <w:rPr>
          <w:rFonts w:ascii="宋体" w:hAnsi="宋体" w:eastAsia="宋体"/>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5</w:t>
      </w:r>
      <w:r>
        <w:rPr>
          <w:rFonts w:hint="eastAsia" w:ascii="宋体" w:hAnsi="宋体" w:eastAsia="宋体"/>
          <w:b/>
          <w:color w:val="auto"/>
          <w:sz w:val="24"/>
          <w:szCs w:val="24"/>
        </w:rPr>
        <w:t>、评审过程的保密</w:t>
      </w:r>
    </w:p>
    <w:p w14:paraId="1CA7BFB8">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（1）磋商后，直至授予成交人合同为止，凡属于对竞争性磋商响应文件的审查、补遗、评价和比较的有关资料以及成交人候选人的推荐情况等均严格保密。</w:t>
      </w:r>
    </w:p>
    <w:p w14:paraId="5FFE2648">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和磋商小组施加影响的任何行为，都将会导致其磋商被拒绝直至取消其成交资格。</w:t>
      </w:r>
    </w:p>
    <w:p w14:paraId="5D842768">
      <w:pPr>
        <w:pageBreakBefore w:val="0"/>
        <w:kinsoku/>
        <w:overflowPunct/>
        <w:bidi w:val="0"/>
        <w:adjustRightInd w:val="0"/>
        <w:snapToGrid w:val="0"/>
        <w:spacing w:line="360" w:lineRule="auto"/>
        <w:ind w:left="0" w:leftChars="0" w:firstLine="480" w:firstLineChars="200"/>
        <w:outlineLvl w:val="9"/>
        <w:rPr>
          <w:color w:val="auto"/>
          <w:sz w:val="24"/>
          <w:szCs w:val="24"/>
        </w:rPr>
      </w:pPr>
      <w:r>
        <w:rPr>
          <w:rFonts w:hint="eastAsia" w:asciiTheme="minorEastAsia" w:hAnsiTheme="minorEastAsia" w:eastAsiaTheme="minorEastAsia" w:cstheme="minorEastAsia"/>
          <w:color w:val="auto"/>
          <w:kern w:val="0"/>
          <w:sz w:val="24"/>
          <w:szCs w:val="24"/>
        </w:rPr>
        <w:t>（3）成交人确定后，</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不对未成</w:t>
      </w:r>
      <w:r>
        <w:rPr>
          <w:rFonts w:hint="eastAsia" w:asciiTheme="minorEastAsia" w:hAnsiTheme="minorEastAsia" w:eastAsiaTheme="minorEastAsia" w:cstheme="minorEastAsia"/>
          <w:b/>
          <w:bCs/>
          <w:color w:val="auto"/>
          <w:kern w:val="0"/>
          <w:sz w:val="24"/>
          <w:szCs w:val="24"/>
        </w:rPr>
        <w:t>交</w:t>
      </w:r>
      <w:r>
        <w:rPr>
          <w:rFonts w:hint="eastAsia" w:asciiTheme="minorEastAsia" w:hAnsiTheme="minorEastAsia" w:eastAsiaTheme="minorEastAsia" w:cstheme="minorEastAsia"/>
          <w:color w:val="auto"/>
          <w:kern w:val="0"/>
          <w:sz w:val="24"/>
          <w:szCs w:val="24"/>
        </w:rPr>
        <w:t>人就评审过程以及未能成交原因作出任何解释。未成交人不得向磋商小组组成人员或其他有关人员索问评审过程的情况和材料。</w:t>
      </w:r>
    </w:p>
    <w:p w14:paraId="5C8A9CCC">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6</w:t>
      </w:r>
      <w:r>
        <w:rPr>
          <w:rFonts w:hint="eastAsia" w:ascii="宋体" w:hAnsi="宋体" w:eastAsia="宋体"/>
          <w:b/>
          <w:color w:val="auto"/>
          <w:sz w:val="24"/>
          <w:szCs w:val="24"/>
        </w:rPr>
        <w:t>、评审方法</w:t>
      </w:r>
    </w:p>
    <w:p w14:paraId="2907D4CC">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6</w:t>
      </w:r>
      <w:r>
        <w:rPr>
          <w:rFonts w:hint="eastAsia" w:ascii="宋体" w:hAnsi="宋体" w:cs="宋体"/>
          <w:color w:val="auto"/>
          <w:sz w:val="24"/>
          <w:szCs w:val="24"/>
        </w:rPr>
        <w:t>.1</w:t>
      </w:r>
      <w:r>
        <w:rPr>
          <w:rFonts w:hint="eastAsia" w:hAnsi="宋体"/>
          <w:color w:val="auto"/>
          <w:sz w:val="24"/>
          <w:szCs w:val="24"/>
        </w:rPr>
        <w:t>按照中华人民共和国财政部第</w:t>
      </w:r>
      <w:r>
        <w:rPr>
          <w:rFonts w:hint="eastAsia" w:hAnsi="宋体"/>
          <w:color w:val="auto"/>
          <w:sz w:val="24"/>
          <w:szCs w:val="24"/>
          <w:lang w:val="en-US" w:eastAsia="zh-CN"/>
        </w:rPr>
        <w:t>87</w:t>
      </w:r>
      <w:r>
        <w:rPr>
          <w:rFonts w:hint="eastAsia" w:hAnsi="宋体"/>
          <w:color w:val="auto"/>
          <w:sz w:val="24"/>
          <w:szCs w:val="24"/>
        </w:rPr>
        <w:t>号部长令--《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7CB83257">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7</w:t>
      </w:r>
      <w:r>
        <w:rPr>
          <w:rFonts w:hint="eastAsia" w:ascii="宋体" w:hAnsi="宋体" w:eastAsia="宋体"/>
          <w:b/>
          <w:color w:val="auto"/>
          <w:sz w:val="24"/>
          <w:szCs w:val="24"/>
        </w:rPr>
        <w:t>、评审程序</w:t>
      </w:r>
    </w:p>
    <w:p w14:paraId="29C4C3E8">
      <w:pPr>
        <w:pStyle w:val="18"/>
        <w:pageBreakBefore w:val="0"/>
        <w:widowControl w:val="0"/>
        <w:kinsoku/>
        <w:overflowPunct/>
        <w:bidi w:val="0"/>
        <w:adjustRightInd w:val="0"/>
        <w:snapToGrid w:val="0"/>
        <w:spacing w:before="0" w:beforeAutospacing="0" w:after="0" w:afterAutospacing="0" w:line="360" w:lineRule="auto"/>
        <w:ind w:left="0" w:leftChars="0" w:firstLine="480" w:firstLineChars="200"/>
        <w:jc w:val="both"/>
        <w:outlineLvl w:val="9"/>
        <w:rPr>
          <w:rFonts w:ascii="Times New Roman" w:hAnsi="Times New Roman"/>
          <w:color w:val="auto"/>
          <w:kern w:val="2"/>
          <w:sz w:val="24"/>
          <w:szCs w:val="24"/>
          <w:lang w:bidi="ar"/>
        </w:rPr>
      </w:pPr>
      <w:r>
        <w:rPr>
          <w:rFonts w:hint="eastAsia"/>
          <w:color w:val="auto"/>
          <w:sz w:val="24"/>
          <w:szCs w:val="24"/>
        </w:rPr>
        <w:t>2</w:t>
      </w:r>
      <w:r>
        <w:rPr>
          <w:rFonts w:hint="eastAsia"/>
          <w:color w:val="auto"/>
          <w:sz w:val="24"/>
          <w:szCs w:val="24"/>
          <w:lang w:val="en-US" w:eastAsia="zh-CN"/>
        </w:rPr>
        <w:t>7</w:t>
      </w:r>
      <w:r>
        <w:rPr>
          <w:rFonts w:hint="eastAsia"/>
          <w:color w:val="auto"/>
          <w:sz w:val="24"/>
          <w:szCs w:val="24"/>
        </w:rPr>
        <w:t>.1按照竞争性磋商响应文件初审、澄清有关问题、分别磋商、符合二次报价条件的供应商进行二次报价（所有报价在公示前均不公开宣布）、比较与评</w:t>
      </w:r>
      <w:r>
        <w:rPr>
          <w:rFonts w:hint="eastAsia" w:ascii="Times New Roman" w:hAnsi="Times New Roman"/>
          <w:color w:val="auto"/>
          <w:kern w:val="2"/>
          <w:sz w:val="24"/>
          <w:szCs w:val="24"/>
          <w:lang w:bidi="ar"/>
        </w:rPr>
        <w:t>审、推荐成交候选供应商名单的工作程序进行评审。在上一步评审中被认定为无效磋商者，不进入下一步的评审。</w:t>
      </w:r>
    </w:p>
    <w:p w14:paraId="5DD6AB5C">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r>
        <w:rPr>
          <w:rFonts w:hint="eastAsia" w:ascii="宋体" w:hAnsi="宋体" w:eastAsia="宋体"/>
          <w:b/>
          <w:color w:val="auto"/>
          <w:sz w:val="24"/>
          <w:szCs w:val="24"/>
          <w:lang w:val="en-US" w:eastAsia="zh-CN"/>
        </w:rPr>
        <w:t>28</w:t>
      </w:r>
      <w:r>
        <w:rPr>
          <w:rFonts w:hint="eastAsia" w:ascii="宋体" w:hAnsi="宋体" w:eastAsia="宋体"/>
          <w:b/>
          <w:color w:val="auto"/>
          <w:sz w:val="24"/>
          <w:szCs w:val="24"/>
        </w:rPr>
        <w:t>、质疑提出与答复</w:t>
      </w:r>
    </w:p>
    <w:p w14:paraId="17B6C3CE">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供应商如果认为采购程序、采购过程或中标结果使自身的合法权益受到损害，可以在知道或者应知其权益受到损害之日起7个工作日内，以书面形式向采购代理机构提出。</w:t>
      </w:r>
    </w:p>
    <w:p w14:paraId="1F99EC3F">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4BE10D55">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《政府采购供应商质疑函范本》链接地址：</w:t>
      </w:r>
    </w:p>
    <w:p w14:paraId="43507F92">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http://www.mof.gov.cn/gp/xxgkml/gks/201802/t20180201_2804587.htm</w:t>
      </w:r>
    </w:p>
    <w:p w14:paraId="0966FF07">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2861BB35">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2.1质疑函应当包括下列内容：</w:t>
      </w:r>
    </w:p>
    <w:p w14:paraId="7AED0CAB">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（1）</w:t>
      </w:r>
      <w:r>
        <w:rPr>
          <w:rFonts w:hint="eastAsia"/>
          <w:color w:val="auto"/>
          <w:sz w:val="24"/>
          <w:szCs w:val="24"/>
          <w:lang w:val="zh-CN"/>
        </w:rPr>
        <w:t>投标人</w:t>
      </w:r>
      <w:r>
        <w:rPr>
          <w:rFonts w:hint="eastAsia"/>
          <w:color w:val="auto"/>
          <w:sz w:val="24"/>
          <w:szCs w:val="24"/>
        </w:rPr>
        <w:t>的姓名或者名称、地址、邮编、联系人及联系电话；</w:t>
      </w:r>
    </w:p>
    <w:p w14:paraId="04B89382">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（2）质疑项目的名称、编号；</w:t>
      </w:r>
    </w:p>
    <w:p w14:paraId="729EAD95">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（3）具体、明确的质疑事项和与质疑事项相关的请求；</w:t>
      </w:r>
    </w:p>
    <w:p w14:paraId="327C3151">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（4）事实依据；</w:t>
      </w:r>
    </w:p>
    <w:p w14:paraId="323F5FE2">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（5）必要的法律依据；</w:t>
      </w:r>
    </w:p>
    <w:p w14:paraId="2D228EF9">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 xml:space="preserve">（6）提出质疑的日期。 </w:t>
      </w:r>
    </w:p>
    <w:p w14:paraId="2B771D69">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3、在法定质疑期内，针对同一采购程序环节的质疑应当一次性提出。采购代理机构或采购人将在收到书面质疑后7个工作日内做出答复，并以书面形式通知质疑人和其他有关供应商。</w:t>
      </w:r>
    </w:p>
    <w:p w14:paraId="2B800FDE">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4、有下列情形之一的，属于无效质疑，采购代理机构和采购人不予受理：</w:t>
      </w:r>
    </w:p>
    <w:p w14:paraId="65032DDC">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（1）质疑人不是参与本次政府采购项目的供应商或潜在供应商；</w:t>
      </w:r>
    </w:p>
    <w:p w14:paraId="755E63D4">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（2）质疑人与质疑事项不存在利害关系的；</w:t>
      </w:r>
    </w:p>
    <w:p w14:paraId="4ADDF12C">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（3）未在法定期限内提出质疑的；</w:t>
      </w:r>
    </w:p>
    <w:p w14:paraId="27737660">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（4）质疑未以书面形式提出，或质疑函主要内容构成不完整的，或缺乏必要的证明材料及证明材料不完整的；</w:t>
      </w:r>
    </w:p>
    <w:p w14:paraId="7631D316">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（5）质疑函没有合法有效的签字、盖章或授权的；</w:t>
      </w:r>
    </w:p>
    <w:p w14:paraId="267EE8AE">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（6）以非法手段取得证据、材料的；</w:t>
      </w:r>
    </w:p>
    <w:p w14:paraId="15E4C05F">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（7）质疑答复后，同一质疑人就同一事项再次提出质疑的；</w:t>
      </w:r>
    </w:p>
    <w:p w14:paraId="49FB4F2D">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（8）不符合法律、法规、规章和政府采购监管机构规定的其他条件的。</w:t>
      </w:r>
    </w:p>
    <w:p w14:paraId="1150AB66">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5、质疑人对采购代理机构或采购人的答复不满意，以及采购代理机构或采购人未在规定时间内做出答复的，可以在答复期满后15个工作日内向政府采购监管机构提出投诉。</w:t>
      </w:r>
    </w:p>
    <w:p w14:paraId="1A785EFD">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6、供应商投诉的事项不得超出已质疑事项的范围。</w:t>
      </w:r>
    </w:p>
    <w:p w14:paraId="6846BE4A">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7、对捏造事实、提供虚假材料进行质疑、投诉的行为予以严肃处理：</w:t>
      </w:r>
    </w:p>
    <w:p w14:paraId="5210FE0C">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3E905B53">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8、对捏造事实诬告陷害他人、诽谤他人的法律适用：</w:t>
      </w:r>
    </w:p>
    <w:p w14:paraId="4A7932F2">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01E2B9E6">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eastAsia"/>
          <w:color w:val="auto"/>
          <w:sz w:val="24"/>
          <w:szCs w:val="24"/>
        </w:rPr>
      </w:pPr>
      <w:r>
        <w:rPr>
          <w:rFonts w:hint="eastAsia"/>
          <w:color w:val="auto"/>
          <w:sz w:val="24"/>
          <w:szCs w:val="24"/>
        </w:rPr>
        <w:t>《中华人民共和国刑法》第246条【侮辱罪、诽谤罪】以暴力或者其他方法公然侮辱他人或者捏造事实诽谤他人，情节严重的，处三年以下有期徒刑、拘役、管制或者剥夺政治权利。</w:t>
      </w:r>
    </w:p>
    <w:p w14:paraId="0650F44F">
      <w:pPr>
        <w:pStyle w:val="18"/>
        <w:pageBreakBefore w:val="0"/>
        <w:numPr>
          <w:ilvl w:val="0"/>
          <w:numId w:val="1"/>
        </w:numPr>
        <w:kinsoku/>
        <w:overflowPunct/>
        <w:bidi w:val="0"/>
        <w:adjustRightInd w:val="0"/>
        <w:snapToGrid w:val="0"/>
        <w:spacing w:before="0" w:beforeAutospacing="0" w:after="0" w:afterAutospacing="0" w:line="360" w:lineRule="auto"/>
        <w:ind w:left="0" w:leftChars="0" w:firstLine="360" w:firstLineChars="150"/>
        <w:outlineLvl w:val="9"/>
        <w:rPr>
          <w:rFonts w:hint="eastAsia" w:ascii="宋体" w:hAnsi="宋体" w:eastAsia="宋体" w:cs="宋体"/>
          <w:color w:val="auto"/>
          <w:kern w:val="0"/>
          <w:sz w:val="24"/>
          <w:szCs w:val="24"/>
          <w:lang w:val="en-US" w:eastAsia="zh-CN" w:bidi="ar-SA"/>
        </w:rPr>
      </w:pPr>
      <w:r>
        <w:rPr>
          <w:rFonts w:hint="eastAsia"/>
          <w:color w:val="auto"/>
          <w:sz w:val="24"/>
          <w:szCs w:val="24"/>
        </w:rPr>
        <w:t>质疑函递交地址：</w:t>
      </w:r>
      <w:r>
        <w:rPr>
          <w:rFonts w:hint="eastAsia" w:cs="宋体"/>
          <w:color w:val="auto"/>
          <w:kern w:val="0"/>
          <w:sz w:val="24"/>
          <w:szCs w:val="24"/>
          <w:lang w:val="en-US" w:eastAsia="zh-CN" w:bidi="ar-SA"/>
        </w:rPr>
        <w:t>榆林市富康路榆溪尚品3号楼1415</w:t>
      </w:r>
    </w:p>
    <w:p w14:paraId="06118F2F">
      <w:pPr>
        <w:pStyle w:val="18"/>
        <w:pageBreakBefore w:val="0"/>
        <w:numPr>
          <w:ilvl w:val="0"/>
          <w:numId w:val="1"/>
        </w:numPr>
        <w:kinsoku/>
        <w:overflowPunct/>
        <w:bidi w:val="0"/>
        <w:adjustRightInd w:val="0"/>
        <w:snapToGrid w:val="0"/>
        <w:spacing w:before="0" w:beforeAutospacing="0" w:after="0" w:afterAutospacing="0" w:line="360" w:lineRule="auto"/>
        <w:ind w:left="0" w:leftChars="0" w:firstLine="360" w:firstLineChars="150"/>
        <w:outlineLvl w:val="9"/>
        <w:rPr>
          <w:rFonts w:hint="eastAsia" w:ascii="Calibri" w:hAnsi="Calibri"/>
          <w:color w:val="auto"/>
          <w:sz w:val="24"/>
          <w:szCs w:val="24"/>
        </w:rPr>
      </w:pPr>
      <w:r>
        <w:rPr>
          <w:rFonts w:hint="eastAsia" w:ascii="Calibri" w:hAnsi="Calibri"/>
          <w:color w:val="auto"/>
          <w:sz w:val="24"/>
          <w:szCs w:val="24"/>
        </w:rPr>
        <w:t>联系人：</w:t>
      </w:r>
      <w:r>
        <w:rPr>
          <w:rFonts w:hint="eastAsia" w:ascii="Calibri" w:hAnsi="Calibri"/>
          <w:color w:val="auto"/>
          <w:sz w:val="24"/>
          <w:szCs w:val="24"/>
          <w:lang w:val="en-US" w:eastAsia="zh-CN"/>
        </w:rPr>
        <w:t>陕西华旭晟信项目管理有限责任公司</w:t>
      </w:r>
    </w:p>
    <w:p w14:paraId="7EC1C533">
      <w:pPr>
        <w:pStyle w:val="18"/>
        <w:pageBreakBefore w:val="0"/>
        <w:kinsoku/>
        <w:overflowPunct/>
        <w:bidi w:val="0"/>
        <w:adjustRightInd w:val="0"/>
        <w:snapToGrid w:val="0"/>
        <w:spacing w:before="0" w:beforeAutospacing="0" w:after="0" w:afterAutospacing="0" w:line="360" w:lineRule="auto"/>
        <w:ind w:left="0" w:leftChars="0" w:firstLine="360" w:firstLineChars="150"/>
        <w:outlineLvl w:val="9"/>
        <w:rPr>
          <w:rFonts w:hint="default" w:eastAsia="宋体"/>
          <w:color w:val="auto"/>
          <w:sz w:val="24"/>
          <w:szCs w:val="24"/>
          <w:lang w:val="en-US" w:eastAsia="zh-CN"/>
        </w:rPr>
      </w:pPr>
      <w:r>
        <w:rPr>
          <w:rFonts w:hint="eastAsia" w:ascii="Calibri" w:hAnsi="Calibri"/>
          <w:color w:val="auto"/>
          <w:sz w:val="24"/>
          <w:szCs w:val="24"/>
        </w:rPr>
        <w:t>联系</w:t>
      </w:r>
      <w:r>
        <w:rPr>
          <w:rFonts w:hint="eastAsia"/>
          <w:color w:val="auto"/>
          <w:sz w:val="24"/>
          <w:szCs w:val="24"/>
        </w:rPr>
        <w:t>方式：</w:t>
      </w:r>
      <w:r>
        <w:rPr>
          <w:rFonts w:hint="eastAsia"/>
          <w:color w:val="auto"/>
          <w:sz w:val="24"/>
          <w:szCs w:val="24"/>
          <w:lang w:val="en-US" w:eastAsia="zh-CN"/>
        </w:rPr>
        <w:t>17709127880</w:t>
      </w:r>
    </w:p>
    <w:bookmarkEnd w:id="145"/>
    <w:bookmarkEnd w:id="146"/>
    <w:bookmarkEnd w:id="147"/>
    <w:bookmarkEnd w:id="148"/>
    <w:p w14:paraId="56F68ACF">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150" w:name="_Toc152045566"/>
      <w:bookmarkStart w:id="151" w:name="_Toc510859898"/>
      <w:bookmarkStart w:id="152" w:name="_Toc144974534"/>
      <w:bookmarkStart w:id="153" w:name="_Toc13342"/>
      <w:bookmarkStart w:id="154" w:name="_Toc31470"/>
      <w:bookmarkStart w:id="155" w:name="_Toc179632584"/>
      <w:bookmarkStart w:id="156" w:name="_Toc18105"/>
      <w:bookmarkStart w:id="157" w:name="_Toc32214"/>
      <w:bookmarkStart w:id="158" w:name="_Toc152042342"/>
      <w:bookmarkStart w:id="159" w:name="_Toc510859692"/>
      <w:bookmarkStart w:id="160" w:name="_Toc23734"/>
      <w:bookmarkStart w:id="161" w:name="_Toc16908"/>
      <w:bookmarkStart w:id="162" w:name="_Toc513557033"/>
      <w:bookmarkStart w:id="163" w:name="_Toc30606"/>
      <w:bookmarkStart w:id="164" w:name="_Toc5656"/>
      <w:bookmarkStart w:id="165" w:name="_Toc363119284"/>
      <w:bookmarkStart w:id="166" w:name="_Toc22430"/>
      <w:r>
        <w:rPr>
          <w:rFonts w:hint="eastAsia" w:asciiTheme="minorEastAsia" w:hAnsiTheme="minorEastAsia" w:eastAsiaTheme="minorEastAsia" w:cstheme="minorEastAsia"/>
          <w:b/>
          <w:color w:val="auto"/>
          <w:sz w:val="24"/>
          <w:szCs w:val="24"/>
        </w:rPr>
        <w:t>6.合同授予</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EE91726">
      <w:pPr>
        <w:pStyle w:val="28"/>
        <w:pageBreakBefore w:val="0"/>
        <w:kinsoku/>
        <w:overflowPunct/>
        <w:bidi w:val="0"/>
        <w:adjustRightInd w:val="0"/>
        <w:snapToGrid w:val="0"/>
        <w:spacing w:before="0" w:after="0" w:line="360" w:lineRule="auto"/>
        <w:ind w:left="0" w:leftChars="0" w:firstLine="480" w:firstLineChars="200"/>
        <w:outlineLvl w:val="9"/>
        <w:rPr>
          <w:rFonts w:asciiTheme="minorEastAsia" w:hAnsiTheme="minorEastAsia" w:eastAsiaTheme="minorEastAsia" w:cstheme="minorEastAsia"/>
          <w:color w:val="auto"/>
          <w:sz w:val="24"/>
          <w:szCs w:val="24"/>
        </w:rPr>
      </w:pPr>
      <w:bookmarkStart w:id="167" w:name="_Toc144974535"/>
      <w:bookmarkStart w:id="168" w:name="_Toc179632585"/>
      <w:bookmarkStart w:id="169" w:name="_Toc152045567"/>
      <w:bookmarkStart w:id="170" w:name="_Toc152042343"/>
    </w:p>
    <w:bookmarkEnd w:id="167"/>
    <w:bookmarkEnd w:id="168"/>
    <w:bookmarkEnd w:id="169"/>
    <w:bookmarkEnd w:id="170"/>
    <w:p w14:paraId="23D7E2C5">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171" w:name="_Toc152045568"/>
      <w:bookmarkStart w:id="172" w:name="_Toc179632586"/>
      <w:bookmarkStart w:id="173" w:name="_Toc152042344"/>
      <w:bookmarkStart w:id="174" w:name="_Toc144974536"/>
      <w:r>
        <w:rPr>
          <w:rFonts w:hint="eastAsia" w:ascii="宋体" w:hAnsi="宋体" w:eastAsia="宋体"/>
          <w:b/>
          <w:color w:val="auto"/>
          <w:sz w:val="24"/>
          <w:szCs w:val="24"/>
          <w:lang w:val="en-US" w:eastAsia="zh-CN"/>
        </w:rPr>
        <w:t>29</w:t>
      </w:r>
      <w:r>
        <w:rPr>
          <w:rFonts w:hint="eastAsia" w:ascii="宋体" w:hAnsi="宋体" w:eastAsia="宋体"/>
          <w:b/>
          <w:color w:val="auto"/>
          <w:sz w:val="24"/>
          <w:szCs w:val="24"/>
        </w:rPr>
        <w:t>、</w:t>
      </w:r>
      <w:r>
        <w:rPr>
          <w:rFonts w:hint="eastAsia" w:ascii="宋体" w:hAnsi="宋体" w:eastAsia="宋体"/>
          <w:b/>
          <w:color w:val="auto"/>
          <w:sz w:val="24"/>
          <w:szCs w:val="24"/>
          <w:lang w:eastAsia="zh-CN"/>
        </w:rPr>
        <w:t>成交</w:t>
      </w:r>
      <w:r>
        <w:rPr>
          <w:rFonts w:hint="eastAsia" w:ascii="宋体" w:hAnsi="宋体" w:eastAsia="宋体"/>
          <w:b/>
          <w:color w:val="auto"/>
          <w:sz w:val="24"/>
          <w:szCs w:val="24"/>
        </w:rPr>
        <w:t>通知</w:t>
      </w:r>
      <w:bookmarkEnd w:id="171"/>
      <w:bookmarkEnd w:id="172"/>
      <w:bookmarkEnd w:id="173"/>
      <w:bookmarkEnd w:id="174"/>
      <w:r>
        <w:rPr>
          <w:rFonts w:hint="eastAsia" w:ascii="宋体" w:hAnsi="宋体" w:eastAsia="宋体"/>
          <w:b/>
          <w:color w:val="auto"/>
          <w:sz w:val="24"/>
          <w:szCs w:val="24"/>
        </w:rPr>
        <w:t>书</w:t>
      </w:r>
    </w:p>
    <w:p w14:paraId="05D62D51">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27</w:t>
      </w:r>
      <w:r>
        <w:rPr>
          <w:rFonts w:hint="eastAsia" w:asciiTheme="minorEastAsia" w:hAnsiTheme="minorEastAsia" w:eastAsiaTheme="minorEastAsia" w:cstheme="minorEastAsia"/>
          <w:color w:val="auto"/>
          <w:sz w:val="24"/>
          <w:szCs w:val="24"/>
        </w:rPr>
        <w:t>.1在本章规定的磋商有效期内，</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将对成交供应商公示，公示期为1日。</w:t>
      </w:r>
    </w:p>
    <w:p w14:paraId="5C9372BB">
      <w:pPr>
        <w:pageBreakBefore w:val="0"/>
        <w:kinsoku/>
        <w:overflowPunct/>
        <w:bidi w:val="0"/>
        <w:adjustRightInd w:val="0"/>
        <w:snapToGrid w:val="0"/>
        <w:spacing w:line="360" w:lineRule="auto"/>
        <w:ind w:left="0" w:leftChars="0"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27</w:t>
      </w:r>
      <w:r>
        <w:rPr>
          <w:rFonts w:hint="eastAsia" w:asciiTheme="minorEastAsia" w:hAnsiTheme="minorEastAsia" w:eastAsiaTheme="minorEastAsia" w:cstheme="minorEastAsia"/>
          <w:color w:val="auto"/>
          <w:sz w:val="24"/>
          <w:szCs w:val="24"/>
        </w:rPr>
        <w:t>.2在公示期内，未接到供应商对评审结果提出异议或未接到行政监督部门通知</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在招磋商活动中有违法行为时，公示期满后，</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将向成交供应商发出</w:t>
      </w:r>
      <w:r>
        <w:rPr>
          <w:rFonts w:hint="eastAsia" w:asciiTheme="minorEastAsia" w:hAnsiTheme="minorEastAsia" w:eastAsiaTheme="minorEastAsia" w:cstheme="minorEastAsia"/>
          <w:color w:val="auto"/>
          <w:sz w:val="24"/>
          <w:szCs w:val="24"/>
          <w:lang w:eastAsia="zh-CN"/>
        </w:rPr>
        <w:t>成交</w:t>
      </w:r>
      <w:r>
        <w:rPr>
          <w:rFonts w:hint="eastAsia" w:asciiTheme="minorEastAsia" w:hAnsiTheme="minorEastAsia" w:eastAsiaTheme="minorEastAsia" w:cstheme="minorEastAsia"/>
          <w:color w:val="auto"/>
          <w:sz w:val="24"/>
          <w:szCs w:val="24"/>
        </w:rPr>
        <w:t>通知书。</w:t>
      </w:r>
    </w:p>
    <w:p w14:paraId="1B240EBB">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175" w:name="_Toc152042346"/>
      <w:bookmarkStart w:id="176" w:name="_Toc179632588"/>
      <w:bookmarkStart w:id="177" w:name="_Toc152045570"/>
      <w:bookmarkStart w:id="178" w:name="_Toc144974538"/>
      <w:r>
        <w:rPr>
          <w:rFonts w:hint="eastAsia" w:ascii="宋体" w:hAnsi="宋体" w:eastAsia="宋体"/>
          <w:b/>
          <w:color w:val="auto"/>
          <w:sz w:val="24"/>
          <w:szCs w:val="24"/>
          <w:lang w:val="en-US" w:eastAsia="zh-CN"/>
        </w:rPr>
        <w:t>30</w:t>
      </w:r>
      <w:r>
        <w:rPr>
          <w:rFonts w:hint="eastAsia" w:ascii="宋体" w:hAnsi="宋体" w:eastAsia="宋体"/>
          <w:b/>
          <w:color w:val="auto"/>
          <w:sz w:val="24"/>
          <w:szCs w:val="24"/>
        </w:rPr>
        <w:t>、签订合同</w:t>
      </w:r>
      <w:bookmarkEnd w:id="175"/>
      <w:bookmarkEnd w:id="176"/>
      <w:bookmarkEnd w:id="177"/>
      <w:bookmarkEnd w:id="178"/>
    </w:p>
    <w:p w14:paraId="1BC36F7F">
      <w:pPr>
        <w:pageBreakBefore w:val="0"/>
        <w:kinsoku/>
        <w:overflowPunct/>
        <w:bidi w:val="0"/>
        <w:adjustRightInd w:val="0"/>
        <w:snapToGrid w:val="0"/>
        <w:spacing w:line="360" w:lineRule="auto"/>
        <w:ind w:left="0" w:leftChars="0" w:firstLine="480" w:firstLineChars="200"/>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和成交供应商应当自成交通知书发出之日起</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日内，根据竞争性磋商文件和成交供应商的竞争性磋商响应文件订立书面合同，</w:t>
      </w:r>
      <w:r>
        <w:rPr>
          <w:rFonts w:hint="eastAsia" w:ascii="宋体" w:hAnsi="宋体" w:cs="宋体" w:eastAsiaTheme="minorEastAsia"/>
          <w:color w:val="auto"/>
          <w:sz w:val="24"/>
          <w:szCs w:val="24"/>
          <w:lang w:eastAsia="zh-CN"/>
        </w:rPr>
        <w:t>采购人</w:t>
      </w:r>
      <w:r>
        <w:rPr>
          <w:rFonts w:hint="eastAsia" w:ascii="宋体" w:hAnsi="宋体" w:cs="宋体"/>
          <w:color w:val="auto"/>
          <w:sz w:val="24"/>
          <w:szCs w:val="24"/>
        </w:rPr>
        <w:t>和成交供应商不得再行订立背离合同实质性内容的其他协议。</w:t>
      </w:r>
    </w:p>
    <w:p w14:paraId="3D4FFB2E">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14:paraId="640CA47B">
      <w:pPr>
        <w:pageBreakBefore w:val="0"/>
        <w:kinsoku/>
        <w:overflowPunct/>
        <w:bidi w:val="0"/>
        <w:adjustRightInd w:val="0"/>
        <w:snapToGrid w:val="0"/>
        <w:spacing w:line="360" w:lineRule="auto"/>
        <w:ind w:left="120" w:leftChars="0" w:hanging="120" w:hangingChars="50"/>
        <w:outlineLvl w:val="9"/>
        <w:rPr>
          <w:rFonts w:ascii="宋体" w:hAnsi="宋体" w:cs="宋体"/>
          <w:color w:val="auto"/>
          <w:sz w:val="24"/>
          <w:szCs w:val="24"/>
        </w:rPr>
      </w:pPr>
      <w:r>
        <w:rPr>
          <w:rFonts w:hint="eastAsia" w:ascii="宋体" w:hAnsi="宋体" w:cs="宋体"/>
          <w:color w:val="auto"/>
          <w:sz w:val="24"/>
          <w:szCs w:val="24"/>
          <w:lang w:val="en-US" w:eastAsia="zh-CN"/>
        </w:rPr>
        <w:t>30</w:t>
      </w: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成交供应商应当按照合同约定履行义务，完成成交项目，不得将成交项目</w:t>
      </w:r>
    </w:p>
    <w:p w14:paraId="1143F1A3">
      <w:pPr>
        <w:pageBreakBefore w:val="0"/>
        <w:kinsoku/>
        <w:overflowPunct/>
        <w:bidi w:val="0"/>
        <w:adjustRightInd w:val="0"/>
        <w:snapToGrid w:val="0"/>
        <w:spacing w:line="360" w:lineRule="auto"/>
        <w:ind w:left="0" w:leftChars="0"/>
        <w:outlineLvl w:val="9"/>
        <w:rPr>
          <w:color w:val="auto"/>
          <w:sz w:val="24"/>
          <w:szCs w:val="24"/>
        </w:rPr>
      </w:pPr>
      <w:r>
        <w:rPr>
          <w:rFonts w:hint="eastAsia" w:ascii="宋体" w:hAnsi="宋体" w:cs="宋体"/>
          <w:color w:val="auto"/>
          <w:sz w:val="24"/>
          <w:szCs w:val="24"/>
        </w:rPr>
        <w:t>转让（转包）给他人。</w:t>
      </w:r>
    </w:p>
    <w:p w14:paraId="642F8EF4">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179" w:name="_Toc16241"/>
      <w:bookmarkStart w:id="180" w:name="_Toc30718"/>
      <w:bookmarkStart w:id="181" w:name="_Toc17135"/>
      <w:bookmarkStart w:id="182" w:name="_Toc179632589"/>
      <w:bookmarkStart w:id="183" w:name="_Toc363119285"/>
      <w:bookmarkStart w:id="184" w:name="_Toc23799"/>
      <w:bookmarkStart w:id="185" w:name="_Toc16686"/>
      <w:bookmarkStart w:id="186" w:name="_Toc513557034"/>
      <w:bookmarkStart w:id="187" w:name="_Toc27160"/>
      <w:bookmarkStart w:id="188" w:name="_Toc152045571"/>
      <w:bookmarkStart w:id="189" w:name="_Toc510859693"/>
      <w:bookmarkStart w:id="190" w:name="_Toc8386"/>
      <w:bookmarkStart w:id="191" w:name="_Toc28337"/>
      <w:bookmarkStart w:id="192" w:name="_Toc27207"/>
      <w:bookmarkStart w:id="193" w:name="_Toc152042347"/>
      <w:bookmarkStart w:id="194" w:name="_Toc510859899"/>
      <w:bookmarkStart w:id="195" w:name="_Toc144974539"/>
      <w:r>
        <w:rPr>
          <w:rFonts w:hint="eastAsia" w:asciiTheme="minorEastAsia" w:hAnsiTheme="minorEastAsia" w:eastAsiaTheme="minorEastAsia" w:cstheme="minorEastAsia"/>
          <w:b/>
          <w:color w:val="auto"/>
          <w:sz w:val="24"/>
          <w:szCs w:val="24"/>
        </w:rPr>
        <w:t>7. 重新采购</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435774B">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196" w:name="_Toc144974540"/>
      <w:bookmarkStart w:id="197" w:name="_Toc152042348"/>
      <w:bookmarkStart w:id="198" w:name="_Toc179632590"/>
      <w:bookmarkStart w:id="199" w:name="_Toc152045572"/>
      <w:r>
        <w:rPr>
          <w:rFonts w:hint="eastAsia" w:ascii="宋体" w:hAnsi="宋体" w:eastAsia="宋体"/>
          <w:b/>
          <w:color w:val="auto"/>
          <w:sz w:val="24"/>
          <w:szCs w:val="24"/>
          <w:lang w:val="en-US" w:eastAsia="zh-CN"/>
        </w:rPr>
        <w:t>31</w:t>
      </w:r>
      <w:r>
        <w:rPr>
          <w:rFonts w:hint="eastAsia" w:ascii="宋体" w:hAnsi="宋体" w:eastAsia="宋体"/>
          <w:b/>
          <w:color w:val="auto"/>
          <w:sz w:val="24"/>
          <w:szCs w:val="24"/>
        </w:rPr>
        <w:t>、重新采购</w:t>
      </w:r>
      <w:bookmarkEnd w:id="196"/>
      <w:bookmarkEnd w:id="197"/>
      <w:bookmarkEnd w:id="198"/>
      <w:bookmarkEnd w:id="199"/>
    </w:p>
    <w:p w14:paraId="137032D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jc w:val="left"/>
        <w:textAlignment w:val="auto"/>
        <w:outlineLvl w:val="9"/>
        <w:rPr>
          <w:rFonts w:hint="eastAsia" w:ascii="宋体" w:hAnsi="宋体" w:eastAsia="宋体" w:cs="宋体"/>
          <w:color w:val="auto"/>
          <w:sz w:val="24"/>
          <w:szCs w:val="24"/>
        </w:rPr>
      </w:pPr>
      <w:bookmarkStart w:id="200" w:name="_Toc510859900"/>
      <w:bookmarkStart w:id="201" w:name="_Toc9642"/>
      <w:bookmarkStart w:id="202" w:name="_Toc6327"/>
      <w:bookmarkStart w:id="203" w:name="_Toc16351"/>
      <w:bookmarkStart w:id="204" w:name="_Toc152045574"/>
      <w:bookmarkStart w:id="205" w:name="_Toc179632592"/>
      <w:bookmarkStart w:id="206" w:name="_Toc363119286"/>
      <w:bookmarkStart w:id="207" w:name="_Toc144974542"/>
      <w:bookmarkStart w:id="208" w:name="_Toc510859694"/>
      <w:bookmarkStart w:id="209" w:name="_Toc513557035"/>
      <w:bookmarkStart w:id="210" w:name="_Toc152042350"/>
      <w:bookmarkStart w:id="211" w:name="_Toc29516"/>
      <w:r>
        <w:rPr>
          <w:rFonts w:hint="eastAsia" w:ascii="宋体" w:hAnsi="宋体" w:cs="宋体"/>
          <w:color w:val="auto"/>
          <w:sz w:val="24"/>
          <w:szCs w:val="24"/>
          <w:lang w:val="en-US" w:eastAsia="zh-CN"/>
        </w:rPr>
        <w:t>31.1</w:t>
      </w:r>
      <w:r>
        <w:rPr>
          <w:rFonts w:hint="eastAsia" w:ascii="宋体" w:hAnsi="宋体" w:eastAsia="宋体" w:cs="宋体"/>
          <w:color w:val="auto"/>
          <w:sz w:val="24"/>
          <w:szCs w:val="24"/>
        </w:rPr>
        <w:t>磋商开始后，出现下列情形之一的，采购代理机构将终止竞争性磋商采购活动，发布项目终止公告并说明原因，重新开展采购活动：</w:t>
      </w:r>
    </w:p>
    <w:p w14:paraId="2F3E98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（一）因情况变化，不再符合规定的竞争性磋商采购方式适用情形的；</w:t>
      </w:r>
    </w:p>
    <w:p w14:paraId="6414E21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（二）出现影响采购公正的违法、违规行为的；</w:t>
      </w:r>
    </w:p>
    <w:p w14:paraId="54E0EF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（三）在采购过程中符合要求的供应商不足3家的 ；</w:t>
      </w:r>
    </w:p>
    <w:p w14:paraId="765CBB3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（四）报价未超过采购预算的供应商不足3家的。</w:t>
      </w:r>
    </w:p>
    <w:p w14:paraId="3538AF9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29</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提交最后报价的供应商为2家时，可以继续进行磋商的情形：</w:t>
      </w:r>
    </w:p>
    <w:p w14:paraId="79E097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30C0199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 w:firstLineChars="50"/>
        <w:jc w:val="left"/>
        <w:textAlignment w:val="auto"/>
        <w:outlineLvl w:val="9"/>
        <w:rPr>
          <w:rFonts w:hint="eastAsia" w:ascii="宋体" w:hAnsi="宋体" w:eastAsia="宋体" w:cs="宋体"/>
          <w:color w:val="auto"/>
          <w:sz w:val="24"/>
          <w:szCs w:val="24"/>
        </w:rPr>
      </w:pPr>
      <w:bookmarkStart w:id="212" w:name="_Toc21530"/>
      <w:r>
        <w:rPr>
          <w:rFonts w:hint="eastAsia" w:ascii="宋体" w:hAnsi="宋体" w:eastAsia="宋体" w:cs="宋体"/>
          <w:color w:val="auto"/>
          <w:sz w:val="24"/>
          <w:szCs w:val="24"/>
        </w:rPr>
        <w:t>（二）政府购买服务项目（含政府和社会资本项目）。</w:t>
      </w:r>
      <w:bookmarkEnd w:id="212"/>
    </w:p>
    <w:p w14:paraId="73815400">
      <w:pPr>
        <w:pStyle w:val="27"/>
        <w:pageBreakBefore w:val="0"/>
        <w:kinsoku/>
        <w:overflowPunct/>
        <w:bidi w:val="0"/>
        <w:adjustRightInd w:val="0"/>
        <w:snapToGrid w:val="0"/>
        <w:spacing w:before="0" w:line="360" w:lineRule="auto"/>
        <w:ind w:left="0" w:leftChars="0" w:firstLine="482" w:firstLineChars="200"/>
        <w:outlineLvl w:val="9"/>
        <w:rPr>
          <w:rFonts w:asciiTheme="minorEastAsia" w:hAnsiTheme="minorEastAsia" w:eastAsiaTheme="minorEastAsia" w:cstheme="minorEastAsia"/>
          <w:b/>
          <w:color w:val="auto"/>
          <w:sz w:val="24"/>
          <w:szCs w:val="24"/>
        </w:rPr>
      </w:pPr>
      <w:bookmarkStart w:id="213" w:name="_Toc15443"/>
      <w:bookmarkStart w:id="214" w:name="_Toc3899"/>
      <w:bookmarkStart w:id="215" w:name="_Toc29962"/>
      <w:bookmarkStart w:id="216" w:name="_Toc31841"/>
      <w:bookmarkStart w:id="217" w:name="_Toc179"/>
      <w:r>
        <w:rPr>
          <w:rFonts w:hint="eastAsia" w:asciiTheme="minorEastAsia" w:hAnsiTheme="minorEastAsia" w:eastAsiaTheme="minorEastAsia" w:cstheme="minorEastAsia"/>
          <w:b/>
          <w:color w:val="auto"/>
          <w:sz w:val="24"/>
          <w:szCs w:val="24"/>
        </w:rPr>
        <w:t>8. 纪律和监督</w:t>
      </w:r>
      <w:bookmarkEnd w:id="200"/>
      <w:bookmarkEnd w:id="201"/>
      <w:bookmarkEnd w:id="202"/>
      <w:bookmarkEnd w:id="203"/>
      <w:bookmarkEnd w:id="204"/>
      <w:bookmarkEnd w:id="205"/>
      <w:bookmarkEnd w:id="206"/>
      <w:bookmarkEnd w:id="207"/>
      <w:bookmarkEnd w:id="208"/>
      <w:bookmarkEnd w:id="209"/>
      <w:bookmarkEnd w:id="210"/>
      <w:bookmarkEnd w:id="211"/>
      <w:bookmarkEnd w:id="213"/>
      <w:bookmarkEnd w:id="214"/>
      <w:bookmarkEnd w:id="215"/>
      <w:bookmarkEnd w:id="216"/>
      <w:bookmarkEnd w:id="217"/>
    </w:p>
    <w:p w14:paraId="5C4422AD">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218" w:name="_Toc152042351"/>
      <w:bookmarkStart w:id="219" w:name="_Toc144974543"/>
      <w:bookmarkStart w:id="220" w:name="_Toc152045575"/>
      <w:bookmarkStart w:id="221" w:name="_Toc179632593"/>
      <w:r>
        <w:rPr>
          <w:rFonts w:hint="eastAsia" w:ascii="宋体" w:hAnsi="宋体" w:eastAsia="宋体"/>
          <w:b/>
          <w:color w:val="auto"/>
          <w:sz w:val="24"/>
          <w:szCs w:val="24"/>
          <w:lang w:val="en-US" w:eastAsia="zh-CN"/>
        </w:rPr>
        <w:t>32</w:t>
      </w:r>
      <w:r>
        <w:rPr>
          <w:rFonts w:hint="eastAsia" w:ascii="宋体" w:hAnsi="宋体" w:eastAsia="宋体"/>
          <w:b/>
          <w:color w:val="auto"/>
          <w:sz w:val="24"/>
          <w:szCs w:val="24"/>
        </w:rPr>
        <w:t>、对</w:t>
      </w:r>
      <w:r>
        <w:rPr>
          <w:rFonts w:hint="eastAsia" w:ascii="宋体" w:hAnsi="宋体" w:eastAsia="宋体"/>
          <w:b/>
          <w:color w:val="auto"/>
          <w:sz w:val="24"/>
          <w:szCs w:val="24"/>
          <w:lang w:eastAsia="zh-CN"/>
        </w:rPr>
        <w:t>采购人</w:t>
      </w:r>
      <w:r>
        <w:rPr>
          <w:rFonts w:hint="eastAsia" w:ascii="宋体" w:hAnsi="宋体" w:eastAsia="宋体"/>
          <w:b/>
          <w:color w:val="auto"/>
          <w:sz w:val="24"/>
          <w:szCs w:val="24"/>
        </w:rPr>
        <w:t>的纪律要求</w:t>
      </w:r>
      <w:bookmarkEnd w:id="218"/>
      <w:bookmarkEnd w:id="219"/>
      <w:bookmarkEnd w:id="220"/>
      <w:bookmarkEnd w:id="221"/>
    </w:p>
    <w:p w14:paraId="2E4F490D">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不得泄漏招标投标活动中应当保密的情况和资料，不得与供应商串通损害国家利益、社会公共利益或者他人合法权益。</w:t>
      </w:r>
    </w:p>
    <w:p w14:paraId="783340C6">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222" w:name="_Toc152045576"/>
      <w:bookmarkStart w:id="223" w:name="_Toc144974544"/>
      <w:bookmarkStart w:id="224" w:name="_Toc179632594"/>
      <w:bookmarkStart w:id="225" w:name="_Toc152042352"/>
      <w:r>
        <w:rPr>
          <w:rFonts w:hint="eastAsia" w:ascii="宋体" w:hAnsi="宋体" w:eastAsia="宋体"/>
          <w:b/>
          <w:color w:val="auto"/>
          <w:sz w:val="24"/>
          <w:szCs w:val="24"/>
          <w:lang w:val="en-US" w:eastAsia="zh-CN"/>
        </w:rPr>
        <w:t>33</w:t>
      </w:r>
      <w:r>
        <w:rPr>
          <w:rFonts w:hint="eastAsia" w:ascii="宋体" w:hAnsi="宋体" w:eastAsia="宋体"/>
          <w:b/>
          <w:color w:val="auto"/>
          <w:sz w:val="24"/>
          <w:szCs w:val="24"/>
        </w:rPr>
        <w:t>、对供应商的纪律要求</w:t>
      </w:r>
      <w:bookmarkEnd w:id="222"/>
      <w:bookmarkEnd w:id="223"/>
      <w:bookmarkEnd w:id="224"/>
      <w:bookmarkEnd w:id="225"/>
    </w:p>
    <w:p w14:paraId="605D73D2">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供应商不得相互串通磋商或者与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串通磋商，不得向</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或者磋商小组成员行贿谋取成交，不得以他人名义磋商或者以其他方式弄虚作假骗取成交；供应商不得以任何方式干扰、影响评审工作。</w:t>
      </w:r>
    </w:p>
    <w:p w14:paraId="1E3210F7">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226" w:name="_Toc152042353"/>
      <w:bookmarkStart w:id="227" w:name="_Toc179632595"/>
      <w:bookmarkStart w:id="228" w:name="_Toc152045577"/>
      <w:bookmarkStart w:id="229" w:name="_Toc144974545"/>
      <w:r>
        <w:rPr>
          <w:rFonts w:hint="eastAsia" w:ascii="宋体" w:hAnsi="宋体" w:eastAsia="宋体"/>
          <w:b/>
          <w:color w:val="auto"/>
          <w:sz w:val="24"/>
          <w:szCs w:val="24"/>
          <w:lang w:val="en-US" w:eastAsia="zh-CN"/>
        </w:rPr>
        <w:t>34</w:t>
      </w:r>
      <w:r>
        <w:rPr>
          <w:rFonts w:hint="eastAsia" w:ascii="宋体" w:hAnsi="宋体" w:eastAsia="宋体"/>
          <w:b/>
          <w:color w:val="auto"/>
          <w:sz w:val="24"/>
          <w:szCs w:val="24"/>
        </w:rPr>
        <w:t>、对磋商小组成员的纪律要求</w:t>
      </w:r>
      <w:bookmarkEnd w:id="226"/>
      <w:bookmarkEnd w:id="227"/>
      <w:bookmarkEnd w:id="228"/>
      <w:bookmarkEnd w:id="229"/>
    </w:p>
    <w:p w14:paraId="560A8572">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2F97CD4D">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230" w:name="_Toc179632596"/>
      <w:bookmarkStart w:id="231" w:name="_Toc152045578"/>
      <w:bookmarkStart w:id="232" w:name="_Toc152042354"/>
      <w:bookmarkStart w:id="233" w:name="_Toc144974546"/>
      <w:r>
        <w:rPr>
          <w:rFonts w:hint="eastAsia" w:ascii="宋体" w:hAnsi="宋体" w:eastAsia="宋体"/>
          <w:b/>
          <w:color w:val="auto"/>
          <w:sz w:val="24"/>
          <w:szCs w:val="24"/>
          <w:lang w:val="en-US" w:eastAsia="zh-CN"/>
        </w:rPr>
        <w:t>35</w:t>
      </w:r>
      <w:r>
        <w:rPr>
          <w:rFonts w:hint="eastAsia" w:ascii="宋体" w:hAnsi="宋体" w:eastAsia="宋体"/>
          <w:b/>
          <w:color w:val="auto"/>
          <w:sz w:val="24"/>
          <w:szCs w:val="24"/>
        </w:rPr>
        <w:t>、 对与评审活动有关的工作人员的纪律要求</w:t>
      </w:r>
      <w:bookmarkEnd w:id="230"/>
      <w:bookmarkEnd w:id="231"/>
      <w:bookmarkEnd w:id="232"/>
    </w:p>
    <w:p w14:paraId="4BBAE0CC">
      <w:pPr>
        <w:pageBreakBefore w:val="0"/>
        <w:kinsoku/>
        <w:overflowPunct/>
        <w:bidi w:val="0"/>
        <w:adjustRightInd w:val="0"/>
        <w:snapToGrid w:val="0"/>
        <w:spacing w:line="360" w:lineRule="auto"/>
        <w:ind w:left="0" w:leftChars="0" w:firstLine="480" w:firstLineChars="200"/>
        <w:outlineLvl w:val="9"/>
        <w:rPr>
          <w:rFonts w:asciiTheme="minorEastAsia" w:hAnsiTheme="minorEastAsia" w:eastAsiaTheme="minorEastAsia" w:cstheme="minorEastAsia"/>
          <w:color w:val="auto"/>
          <w:sz w:val="24"/>
          <w:szCs w:val="24"/>
        </w:rPr>
      </w:pPr>
      <w:bookmarkStart w:id="234" w:name="_Toc152042355"/>
      <w:r>
        <w:rPr>
          <w:rFonts w:hint="eastAsia" w:asciiTheme="minorEastAsia" w:hAnsiTheme="minorEastAsia" w:eastAsiaTheme="minorEastAsia" w:cstheme="minorEastAsia"/>
          <w:color w:val="auto"/>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4"/>
    </w:p>
    <w:p w14:paraId="333EFE8E">
      <w:pPr>
        <w:pStyle w:val="28"/>
        <w:pageBreakBefore w:val="0"/>
        <w:kinsoku/>
        <w:overflowPunct/>
        <w:bidi w:val="0"/>
        <w:adjustRightInd w:val="0"/>
        <w:snapToGrid w:val="0"/>
        <w:spacing w:before="0" w:after="0" w:line="360" w:lineRule="auto"/>
        <w:ind w:left="0" w:leftChars="0"/>
        <w:outlineLvl w:val="9"/>
        <w:rPr>
          <w:rFonts w:ascii="宋体" w:hAnsi="宋体" w:eastAsia="宋体"/>
          <w:b/>
          <w:color w:val="auto"/>
          <w:sz w:val="24"/>
          <w:szCs w:val="24"/>
        </w:rPr>
      </w:pPr>
      <w:bookmarkStart w:id="235" w:name="_Toc152045579"/>
      <w:bookmarkStart w:id="236" w:name="_Toc152042356"/>
      <w:bookmarkStart w:id="237" w:name="_Toc179632597"/>
      <w:r>
        <w:rPr>
          <w:rFonts w:hint="eastAsia" w:ascii="宋体" w:hAnsi="宋体" w:eastAsia="宋体"/>
          <w:b/>
          <w:color w:val="auto"/>
          <w:sz w:val="24"/>
          <w:szCs w:val="24"/>
        </w:rPr>
        <w:t>3</w:t>
      </w:r>
      <w:r>
        <w:rPr>
          <w:rFonts w:hint="eastAsia" w:ascii="宋体" w:hAnsi="宋体" w:eastAsia="宋体"/>
          <w:b/>
          <w:color w:val="auto"/>
          <w:sz w:val="24"/>
          <w:szCs w:val="24"/>
          <w:lang w:val="en-US" w:eastAsia="zh-CN"/>
        </w:rPr>
        <w:t>6</w:t>
      </w:r>
      <w:r>
        <w:rPr>
          <w:rFonts w:hint="eastAsia" w:ascii="宋体" w:hAnsi="宋体" w:eastAsia="宋体"/>
          <w:b/>
          <w:color w:val="auto"/>
          <w:sz w:val="24"/>
          <w:szCs w:val="24"/>
        </w:rPr>
        <w:t>、 投诉</w:t>
      </w:r>
      <w:bookmarkEnd w:id="233"/>
      <w:bookmarkEnd w:id="235"/>
      <w:bookmarkEnd w:id="236"/>
      <w:bookmarkEnd w:id="237"/>
    </w:p>
    <w:p w14:paraId="1B9B372C">
      <w:pPr>
        <w:pageBreakBefore w:val="0"/>
        <w:kinsoku/>
        <w:overflowPunct/>
        <w:bidi w:val="0"/>
        <w:adjustRightInd w:val="0"/>
        <w:snapToGrid w:val="0"/>
        <w:spacing w:line="360" w:lineRule="auto"/>
        <w:ind w:left="0" w:leftChars="0" w:firstLine="480" w:firstLineChars="200"/>
        <w:outlineLvl w:val="9"/>
        <w:rPr>
          <w:rFonts w:ascii="宋体" w:hAnsi="宋体"/>
          <w:bCs/>
          <w:color w:val="auto"/>
          <w:kern w:val="44"/>
          <w:sz w:val="24"/>
          <w:szCs w:val="24"/>
        </w:rPr>
      </w:pPr>
      <w:r>
        <w:rPr>
          <w:rFonts w:hint="eastAsia" w:asciiTheme="minorEastAsia" w:hAnsiTheme="minorEastAsia" w:eastAsiaTheme="minorEastAsia" w:cstheme="minorEastAsia"/>
          <w:color w:val="auto"/>
          <w:sz w:val="24"/>
          <w:szCs w:val="24"/>
        </w:rPr>
        <w:t>供应商和其他利害关系人认为本次招标活动违反法律、法规和规章规定的，有权向有关行政监督部门投诉。</w:t>
      </w:r>
      <w:bookmarkEnd w:id="28"/>
      <w:bookmarkEnd w:id="29"/>
      <w:bookmarkStart w:id="238" w:name="_Toc511146529"/>
      <w:bookmarkStart w:id="239" w:name="_Toc504605093"/>
    </w:p>
    <w:p w14:paraId="7D414B1D">
      <w:pPr>
        <w:pageBreakBefore w:val="0"/>
        <w:kinsoku/>
        <w:overflowPunct/>
        <w:bidi w:val="0"/>
        <w:adjustRightInd w:val="0"/>
        <w:snapToGrid w:val="0"/>
        <w:spacing w:line="360" w:lineRule="auto"/>
        <w:ind w:left="0" w:leftChars="0"/>
        <w:jc w:val="center"/>
        <w:outlineLvl w:val="9"/>
        <w:rPr>
          <w:rFonts w:hint="eastAsia" w:ascii="宋体" w:hAnsi="宋体"/>
          <w:b/>
          <w:color w:val="auto"/>
          <w:sz w:val="24"/>
          <w:szCs w:val="24"/>
        </w:rPr>
      </w:pPr>
      <w:bookmarkStart w:id="240" w:name="_Toc31487"/>
      <w:r>
        <w:rPr>
          <w:rFonts w:hint="eastAsia" w:ascii="宋体" w:hAnsi="宋体"/>
          <w:b/>
          <w:color w:val="auto"/>
          <w:sz w:val="24"/>
          <w:szCs w:val="24"/>
          <w:lang w:val="en-US" w:eastAsia="zh-CN"/>
        </w:rPr>
        <w:t>9</w:t>
      </w:r>
      <w:r>
        <w:rPr>
          <w:rFonts w:hint="eastAsia" w:ascii="宋体" w:hAnsi="宋体"/>
          <w:b/>
          <w:color w:val="auto"/>
          <w:sz w:val="24"/>
          <w:szCs w:val="24"/>
        </w:rPr>
        <w:t>．其它事项</w:t>
      </w:r>
    </w:p>
    <w:p w14:paraId="63C326E4">
      <w:pPr>
        <w:pStyle w:val="9"/>
        <w:pageBreakBefore w:val="0"/>
        <w:kinsoku/>
        <w:overflowPunct/>
        <w:bidi w:val="0"/>
        <w:adjustRightInd w:val="0"/>
        <w:snapToGrid w:val="0"/>
        <w:spacing w:after="0" w:line="360" w:lineRule="auto"/>
        <w:ind w:left="0" w:leftChars="0"/>
        <w:outlineLvl w:val="9"/>
        <w:rPr>
          <w:rFonts w:hint="eastAsia"/>
          <w:color w:val="auto"/>
          <w:sz w:val="24"/>
          <w:szCs w:val="24"/>
        </w:rPr>
      </w:pPr>
    </w:p>
    <w:p w14:paraId="5BBD17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37、</w:t>
      </w:r>
      <w:r>
        <w:rPr>
          <w:rFonts w:hint="eastAsia" w:ascii="宋体" w:hAnsi="宋体" w:eastAsia="宋体" w:cs="宋体"/>
          <w:color w:val="auto"/>
          <w:sz w:val="24"/>
          <w:szCs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宋体" w:hAnsi="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14:paraId="4EEFAFF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38</w:t>
      </w:r>
      <w:r>
        <w:rPr>
          <w:rFonts w:hint="eastAsia" w:ascii="宋体" w:hAnsi="宋体" w:eastAsia="宋体" w:cs="宋体"/>
          <w:color w:val="auto"/>
          <w:sz w:val="24"/>
          <w:szCs w:val="24"/>
        </w:rPr>
        <w:t>、其他未尽事宜，按照《中华人民共和国政府采购法》、《中华人民共和国政府采购法实施条例》等法律法规的有关条款执行。</w:t>
      </w:r>
    </w:p>
    <w:p w14:paraId="6C05B215">
      <w:pPr>
        <w:jc w:val="both"/>
        <w:outlineLvl w:val="9"/>
        <w:rPr>
          <w:rFonts w:ascii="宋体" w:hAnsi="宋体" w:cs="宋体"/>
          <w:color w:val="auto"/>
        </w:rPr>
      </w:pPr>
    </w:p>
    <w:p w14:paraId="47D23322">
      <w:pPr>
        <w:outlineLvl w:val="9"/>
        <w:rPr>
          <w:rFonts w:ascii="宋体" w:hAnsi="宋体" w:cs="宋体"/>
          <w:color w:val="auto"/>
        </w:rPr>
      </w:pPr>
    </w:p>
    <w:p w14:paraId="473D6987">
      <w:pPr>
        <w:pStyle w:val="9"/>
        <w:outlineLvl w:val="9"/>
        <w:rPr>
          <w:rFonts w:ascii="宋体" w:hAnsi="宋体" w:cs="宋体"/>
          <w:color w:val="auto"/>
        </w:rPr>
      </w:pPr>
    </w:p>
    <w:p w14:paraId="5F7D0619">
      <w:pPr>
        <w:outlineLvl w:val="9"/>
        <w:rPr>
          <w:rFonts w:ascii="宋体" w:hAnsi="宋体" w:cs="宋体"/>
          <w:color w:val="auto"/>
        </w:rPr>
      </w:pPr>
    </w:p>
    <w:p w14:paraId="3A01B966">
      <w:pPr>
        <w:jc w:val="both"/>
        <w:outlineLvl w:val="9"/>
        <w:rPr>
          <w:rFonts w:ascii="宋体" w:hAnsi="宋体" w:cs="宋体"/>
          <w:color w:val="auto"/>
        </w:rPr>
        <w:sectPr>
          <w:footerReference r:id="rId11" w:type="default"/>
          <w:pgSz w:w="11905" w:h="16838"/>
          <w:pgMar w:top="1219" w:right="1803" w:bottom="1219" w:left="1803" w:header="850" w:footer="850" w:gutter="0"/>
          <w:pgNumType w:fmt="decimal"/>
          <w:cols w:space="0" w:num="1"/>
          <w:rtlGutter w:val="0"/>
          <w:docGrid w:type="lines" w:linePitch="313" w:charSpace="0"/>
        </w:sectPr>
      </w:pPr>
    </w:p>
    <w:p w14:paraId="22C30D1D">
      <w:pPr>
        <w:bidi w:val="0"/>
        <w:jc w:val="center"/>
        <w:outlineLvl w:val="0"/>
        <w:rPr>
          <w:b/>
          <w:bCs/>
          <w:color w:val="auto"/>
        </w:rPr>
      </w:pPr>
      <w:bookmarkStart w:id="241" w:name="_Toc24439"/>
      <w:bookmarkStart w:id="242" w:name="_Toc24953"/>
      <w:bookmarkStart w:id="243" w:name="_Toc608"/>
      <w:bookmarkStart w:id="244" w:name="_Toc11159"/>
      <w:r>
        <w:rPr>
          <w:rFonts w:hint="eastAsia"/>
          <w:b/>
          <w:bCs/>
          <w:color w:val="auto"/>
          <w:sz w:val="36"/>
          <w:szCs w:val="36"/>
        </w:rPr>
        <w:t>第三章  评标方法</w:t>
      </w:r>
      <w:bookmarkEnd w:id="241"/>
      <w:bookmarkEnd w:id="242"/>
      <w:bookmarkEnd w:id="243"/>
      <w:bookmarkEnd w:id="244"/>
    </w:p>
    <w:bookmarkEnd w:id="238"/>
    <w:bookmarkEnd w:id="240"/>
    <w:p w14:paraId="73BDA711">
      <w:pPr>
        <w:keepNext w:val="0"/>
        <w:keepLines w:val="0"/>
        <w:pageBreakBefore w:val="0"/>
        <w:widowControl/>
        <w:kinsoku/>
        <w:wordWrap/>
        <w:overflowPunct/>
        <w:topLinePunct w:val="0"/>
        <w:bidi w:val="0"/>
        <w:adjustRightInd w:val="0"/>
        <w:snapToGrid w:val="0"/>
        <w:spacing w:line="360" w:lineRule="auto"/>
        <w:ind w:left="0" w:leftChars="0" w:right="0"/>
        <w:jc w:val="left"/>
        <w:textAlignment w:val="auto"/>
        <w:outlineLvl w:val="9"/>
        <w:rPr>
          <w:rFonts w:hint="eastAsia"/>
          <w:color w:val="auto"/>
        </w:rPr>
      </w:pPr>
      <w:bookmarkStart w:id="245" w:name="_Toc6685"/>
      <w:r>
        <w:rPr>
          <w:rFonts w:hint="eastAsia" w:ascii="宋体" w:hAnsi="宋体" w:cs="宋体"/>
          <w:b/>
          <w:bCs/>
          <w:color w:val="auto"/>
          <w:kern w:val="0"/>
          <w:sz w:val="28"/>
          <w:szCs w:val="28"/>
          <w:lang w:bidi="ar"/>
        </w:rPr>
        <w:t>一、评审方法</w:t>
      </w:r>
      <w:bookmarkEnd w:id="245"/>
      <w:r>
        <w:rPr>
          <w:rFonts w:hint="eastAsia" w:ascii="宋体" w:hAnsi="宋体" w:cs="宋体"/>
          <w:b/>
          <w:bCs/>
          <w:color w:val="auto"/>
          <w:kern w:val="0"/>
          <w:sz w:val="28"/>
          <w:szCs w:val="28"/>
          <w:lang w:bidi="ar"/>
        </w:rPr>
        <w:t xml:space="preserve"> </w:t>
      </w:r>
    </w:p>
    <w:p w14:paraId="37963A31">
      <w:pPr>
        <w:keepNext w:val="0"/>
        <w:keepLines w:val="0"/>
        <w:pageBreakBefore w:val="0"/>
        <w:numPr>
          <w:ilvl w:val="0"/>
          <w:numId w:val="2"/>
        </w:numPr>
        <w:kinsoku/>
        <w:wordWrap/>
        <w:overflowPunct/>
        <w:topLinePunct w:val="0"/>
        <w:bidi w:val="0"/>
        <w:adjustRightInd w:val="0"/>
        <w:snapToGrid w:val="0"/>
        <w:spacing w:line="360" w:lineRule="auto"/>
        <w:ind w:left="0" w:leftChars="0" w:right="0" w:firstLine="480" w:firstLineChars="200"/>
        <w:jc w:val="left"/>
        <w:textAlignment w:val="auto"/>
        <w:outlineLvl w:val="9"/>
        <w:rPr>
          <w:rFonts w:hint="eastAsia" w:ascii="宋体" w:hAnsi="宋体" w:cs="宋体"/>
          <w:color w:val="auto"/>
          <w:sz w:val="24"/>
        </w:rPr>
      </w:pPr>
      <w:r>
        <w:rPr>
          <w:rFonts w:hint="eastAsia" w:ascii="宋体" w:hAnsi="宋体" w:cs="宋体"/>
          <w:color w:val="auto"/>
          <w:sz w:val="24"/>
        </w:rPr>
        <w:t>本项目采用</w:t>
      </w:r>
      <w:r>
        <w:rPr>
          <w:rFonts w:hint="eastAsia" w:ascii="宋体" w:hAnsi="宋体" w:cs="宋体"/>
          <w:b/>
          <w:color w:val="auto"/>
          <w:sz w:val="24"/>
        </w:rPr>
        <w:t>综合评分</w:t>
      </w:r>
      <w:r>
        <w:rPr>
          <w:rFonts w:hint="eastAsia" w:ascii="宋体" w:hAnsi="宋体" w:cs="宋体"/>
          <w:color w:val="auto"/>
          <w:sz w:val="24"/>
        </w:rPr>
        <w:t>法进行评审，总分为</w:t>
      </w:r>
      <w:r>
        <w:rPr>
          <w:rFonts w:hint="eastAsia" w:ascii="宋体" w:hAnsi="宋体" w:cs="宋体"/>
          <w:color w:val="auto"/>
          <w:sz w:val="24"/>
          <w:u w:val="single"/>
        </w:rPr>
        <w:t>100</w:t>
      </w:r>
      <w:r>
        <w:rPr>
          <w:rFonts w:hint="eastAsia" w:ascii="宋体" w:hAnsi="宋体" w:cs="宋体"/>
          <w:color w:val="auto"/>
          <w:sz w:val="24"/>
        </w:rPr>
        <w:t>分。</w:t>
      </w:r>
    </w:p>
    <w:p w14:paraId="394F8248">
      <w:pPr>
        <w:keepNext w:val="0"/>
        <w:keepLines w:val="0"/>
        <w:pageBreakBefore w:val="0"/>
        <w:kinsoku/>
        <w:wordWrap/>
        <w:overflowPunct/>
        <w:topLinePunct w:val="0"/>
        <w:bidi w:val="0"/>
        <w:adjustRightInd w:val="0"/>
        <w:snapToGrid w:val="0"/>
        <w:spacing w:line="360" w:lineRule="auto"/>
        <w:ind w:left="0" w:leftChars="0" w:right="0" w:firstLine="480" w:firstLineChars="200"/>
        <w:jc w:val="left"/>
        <w:textAlignment w:val="auto"/>
        <w:outlineLvl w:val="9"/>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szCs w:val="24"/>
          <w:lang w:val="en-US" w:eastAsia="zh-CN"/>
        </w:rPr>
        <w:t>磋商小组</w:t>
      </w:r>
      <w:r>
        <w:rPr>
          <w:rFonts w:hint="eastAsia" w:ascii="宋体" w:hAnsi="宋体" w:cs="宋体"/>
          <w:color w:val="auto"/>
          <w:sz w:val="24"/>
        </w:rPr>
        <w:t>应当按照</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w:t>
      </w:r>
      <w:r>
        <w:rPr>
          <w:rFonts w:hint="eastAsia" w:ascii="宋体" w:hAnsi="宋体" w:cs="宋体"/>
          <w:color w:val="auto"/>
          <w:sz w:val="24"/>
        </w:rPr>
        <w:t>中规定的要求，对</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w:t>
      </w:r>
      <w:r>
        <w:rPr>
          <w:rFonts w:hint="eastAsia" w:ascii="宋体" w:hAnsi="宋体" w:cs="宋体"/>
          <w:color w:val="auto"/>
          <w:sz w:val="24"/>
        </w:rPr>
        <w:t>进行资格性和符合性审查，</w:t>
      </w:r>
      <w:r>
        <w:rPr>
          <w:rFonts w:hint="eastAsia" w:ascii="宋体" w:hAnsi="宋体" w:cs="宋体"/>
          <w:color w:val="auto"/>
          <w:sz w:val="24"/>
          <w:lang w:val="en-US" w:eastAsia="zh-CN"/>
        </w:rPr>
        <w:t>通过审查的供应商</w:t>
      </w:r>
      <w:r>
        <w:rPr>
          <w:rFonts w:hint="eastAsia" w:ascii="宋体" w:hAnsi="宋体" w:cs="宋体"/>
          <w:color w:val="auto"/>
          <w:sz w:val="24"/>
        </w:rPr>
        <w:t>进行二次报价（所有报价在公示前均不公开宣布）、综合比较与评价、推荐成交候选供应商名单的工作程序进行评审。在上一步评审中被认定为无效磋商者，不进入下一步的评审。</w:t>
      </w:r>
    </w:p>
    <w:p w14:paraId="0762B7C3">
      <w:pPr>
        <w:keepNext w:val="0"/>
        <w:keepLines w:val="0"/>
        <w:pageBreakBefore w:val="0"/>
        <w:kinsoku/>
        <w:wordWrap/>
        <w:overflowPunct/>
        <w:topLinePunct w:val="0"/>
        <w:bidi w:val="0"/>
        <w:adjustRightInd w:val="0"/>
        <w:snapToGrid w:val="0"/>
        <w:spacing w:line="360" w:lineRule="auto"/>
        <w:ind w:left="0" w:leftChars="0" w:right="0" w:firstLine="480" w:firstLineChars="200"/>
        <w:jc w:val="left"/>
        <w:textAlignment w:val="auto"/>
        <w:outlineLvl w:val="9"/>
        <w:rPr>
          <w:rFonts w:hint="eastAsia" w:ascii="宋体" w:hAnsi="宋体" w:cs="宋体"/>
          <w:b/>
          <w:bCs/>
          <w:color w:val="auto"/>
          <w:sz w:val="24"/>
          <w:szCs w:val="24"/>
        </w:rPr>
      </w:pPr>
      <w:r>
        <w:rPr>
          <w:rFonts w:hint="eastAsia" w:ascii="宋体" w:hAnsi="宋体" w:cs="宋体"/>
          <w:bCs/>
          <w:color w:val="auto"/>
          <w:sz w:val="24"/>
        </w:rPr>
        <w:t>3、评审分值：</w:t>
      </w:r>
      <w:r>
        <w:rPr>
          <w:rFonts w:hint="eastAsia" w:ascii="宋体" w:hAnsi="宋体" w:cs="宋体"/>
          <w:b/>
          <w:bCs/>
          <w:color w:val="auto"/>
          <w:sz w:val="24"/>
          <w:szCs w:val="24"/>
        </w:rPr>
        <w:t>评审分值结构表如下</w:t>
      </w:r>
    </w:p>
    <w:p w14:paraId="6F890822">
      <w:pPr>
        <w:keepNext w:val="0"/>
        <w:keepLines w:val="0"/>
        <w:pageBreakBefore w:val="0"/>
        <w:kinsoku/>
        <w:wordWrap/>
        <w:overflowPunct/>
        <w:topLinePunct w:val="0"/>
        <w:bidi w:val="0"/>
        <w:adjustRightInd w:val="0"/>
        <w:snapToGrid w:val="0"/>
        <w:spacing w:line="360" w:lineRule="auto"/>
        <w:ind w:left="0" w:leftChars="0" w:right="0" w:firstLine="424" w:firstLineChars="177"/>
        <w:textAlignment w:val="auto"/>
        <w:outlineLvl w:val="9"/>
        <w:rPr>
          <w:rFonts w:hint="eastAsia" w:ascii="宋体" w:hAnsi="宋体" w:cs="宋体"/>
          <w:bCs/>
          <w:color w:val="auto"/>
          <w:sz w:val="24"/>
          <w:szCs w:val="24"/>
        </w:rPr>
      </w:pPr>
      <w:r>
        <w:rPr>
          <w:rFonts w:hint="eastAsia" w:ascii="宋体" w:hAnsi="宋体" w:cs="宋体"/>
          <w:bCs/>
          <w:color w:val="auto"/>
          <w:sz w:val="24"/>
          <w:szCs w:val="24"/>
        </w:rPr>
        <w:t>4、</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文件打分表要求提供的证明资料需在投标文件中附响应的复印件或扫描件，以备</w:t>
      </w:r>
      <w:r>
        <w:rPr>
          <w:rFonts w:hint="eastAsia" w:ascii="宋体" w:hAnsi="宋体" w:cs="宋体"/>
          <w:color w:val="auto"/>
          <w:sz w:val="24"/>
          <w:szCs w:val="24"/>
          <w:lang w:val="en-US" w:eastAsia="zh-CN"/>
        </w:rPr>
        <w:t>磋商小组成员</w:t>
      </w:r>
      <w:r>
        <w:rPr>
          <w:rFonts w:hint="eastAsia" w:ascii="宋体" w:hAnsi="宋体" w:cs="宋体"/>
          <w:bCs/>
          <w:color w:val="auto"/>
          <w:sz w:val="24"/>
          <w:szCs w:val="24"/>
        </w:rPr>
        <w:t>审查。</w:t>
      </w:r>
    </w:p>
    <w:p w14:paraId="194B5227">
      <w:pPr>
        <w:keepNext w:val="0"/>
        <w:keepLines w:val="0"/>
        <w:pageBreakBefore w:val="0"/>
        <w:kinsoku/>
        <w:wordWrap/>
        <w:overflowPunct/>
        <w:topLinePunct w:val="0"/>
        <w:bidi w:val="0"/>
        <w:adjustRightInd w:val="0"/>
        <w:snapToGrid w:val="0"/>
        <w:spacing w:line="360" w:lineRule="auto"/>
        <w:ind w:left="0" w:leftChars="0" w:right="0"/>
        <w:jc w:val="left"/>
        <w:textAlignment w:val="auto"/>
        <w:outlineLvl w:val="9"/>
        <w:rPr>
          <w:rFonts w:hint="eastAsia" w:ascii="宋体" w:hAnsi="宋体" w:cs="宋体"/>
          <w:color w:val="auto"/>
          <w:sz w:val="24"/>
        </w:rPr>
      </w:pPr>
      <w:r>
        <w:rPr>
          <w:rFonts w:hint="eastAsia" w:ascii="宋体" w:hAnsi="宋体" w:cs="宋体"/>
          <w:color w:val="auto"/>
          <w:sz w:val="24"/>
        </w:rPr>
        <w:t xml:space="preserve">  5、特殊情况：</w:t>
      </w:r>
    </w:p>
    <w:p w14:paraId="340A6A9C">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outlineLvl w:val="9"/>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szCs w:val="24"/>
          <w:lang w:val="en-US" w:eastAsia="zh-CN"/>
        </w:rPr>
        <w:t>磋商小组</w:t>
      </w:r>
      <w:r>
        <w:rPr>
          <w:rFonts w:hint="eastAsia" w:ascii="宋体" w:hAnsi="宋体" w:cs="宋体"/>
          <w:color w:val="auto"/>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color w:val="auto"/>
          <w:sz w:val="24"/>
          <w:szCs w:val="24"/>
          <w:lang w:val="en-US" w:eastAsia="zh-CN"/>
        </w:rPr>
        <w:t>磋商小组成员</w:t>
      </w:r>
      <w:r>
        <w:rPr>
          <w:rFonts w:hint="eastAsia" w:ascii="宋体" w:hAnsi="宋体" w:cs="宋体"/>
          <w:color w:val="auto"/>
          <w:sz w:val="24"/>
        </w:rPr>
        <w:t>应当将其作为无效投标处理。</w:t>
      </w:r>
    </w:p>
    <w:p w14:paraId="2EB7D4DC">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outlineLvl w:val="9"/>
        <w:rPr>
          <w:rFonts w:hint="eastAsia" w:ascii="宋体" w:hAnsi="宋体" w:cs="宋体"/>
          <w:color w:val="auto"/>
          <w:sz w:val="24"/>
          <w:szCs w:val="22"/>
        </w:rPr>
      </w:pPr>
      <w:r>
        <w:rPr>
          <w:rFonts w:hint="eastAsia" w:ascii="宋体" w:hAnsi="宋体" w:cs="宋体"/>
          <w:color w:val="auto"/>
          <w:sz w:val="24"/>
        </w:rPr>
        <w:t>2）得分相同的，按投标报价由低到高顺序排</w:t>
      </w:r>
      <w:r>
        <w:rPr>
          <w:rFonts w:hint="eastAsia" w:ascii="宋体" w:hAnsi="宋体" w:cs="宋体"/>
          <w:color w:val="auto"/>
          <w:sz w:val="24"/>
          <w:szCs w:val="22"/>
        </w:rPr>
        <w:t>列。</w:t>
      </w:r>
    </w:p>
    <w:p w14:paraId="5434DD50">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outlineLvl w:val="9"/>
        <w:rPr>
          <w:rFonts w:hint="eastAsia" w:ascii="宋体" w:hAnsi="宋体" w:cs="宋体"/>
          <w:color w:val="auto"/>
          <w:sz w:val="24"/>
          <w:szCs w:val="22"/>
        </w:rPr>
      </w:pPr>
      <w:r>
        <w:rPr>
          <w:rFonts w:hint="eastAsia" w:ascii="宋体" w:hAnsi="宋体" w:cs="宋体"/>
          <w:color w:val="auto"/>
          <w:sz w:val="24"/>
          <w:szCs w:val="22"/>
        </w:rPr>
        <w:t>3）得分且投标报价相同的，比较技术得分，此技术得分高者排在前。</w:t>
      </w:r>
    </w:p>
    <w:p w14:paraId="1636C8BE">
      <w:pPr>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outlineLvl w:val="9"/>
        <w:rPr>
          <w:rFonts w:hint="eastAsia" w:ascii="宋体" w:hAnsi="宋体" w:cs="宋体"/>
          <w:color w:val="auto"/>
          <w:sz w:val="24"/>
        </w:rPr>
      </w:pPr>
      <w:r>
        <w:rPr>
          <w:rFonts w:hint="eastAsia" w:ascii="宋体" w:hAnsi="宋体" w:cs="宋体"/>
          <w:color w:val="auto"/>
          <w:sz w:val="24"/>
          <w:szCs w:val="22"/>
        </w:rPr>
        <w:t>4）</w:t>
      </w:r>
      <w:r>
        <w:rPr>
          <w:rFonts w:hint="eastAsia" w:ascii="宋体" w:hAnsi="宋体" w:cs="宋体"/>
          <w:color w:val="auto"/>
          <w:sz w:val="24"/>
          <w:szCs w:val="24"/>
          <w:lang w:val="en-US" w:eastAsia="zh-CN"/>
        </w:rPr>
        <w:t>磋商小组</w:t>
      </w:r>
      <w:r>
        <w:rPr>
          <w:rFonts w:hint="eastAsia" w:ascii="宋体" w:hAnsi="宋体" w:cs="宋体"/>
          <w:color w:val="auto"/>
          <w:sz w:val="24"/>
          <w:szCs w:val="22"/>
        </w:rPr>
        <w:t>评分超出评分标准范围的、各</w:t>
      </w:r>
      <w:r>
        <w:rPr>
          <w:rFonts w:hint="eastAsia" w:ascii="宋体" w:hAnsi="宋体" w:cs="宋体"/>
          <w:color w:val="auto"/>
          <w:sz w:val="24"/>
          <w:szCs w:val="24"/>
          <w:lang w:val="en-US" w:eastAsia="zh-CN"/>
        </w:rPr>
        <w:t>磋商小组</w:t>
      </w:r>
      <w:r>
        <w:rPr>
          <w:rFonts w:hint="eastAsia" w:ascii="宋体" w:hAnsi="宋体" w:cs="宋体"/>
          <w:color w:val="auto"/>
          <w:sz w:val="24"/>
          <w:szCs w:val="22"/>
        </w:rPr>
        <w:t>对客观评审得分不一致的和</w:t>
      </w:r>
      <w:r>
        <w:rPr>
          <w:rFonts w:hint="eastAsia" w:ascii="宋体" w:hAnsi="宋体" w:cs="宋体"/>
          <w:color w:val="auto"/>
          <w:sz w:val="24"/>
          <w:szCs w:val="24"/>
          <w:lang w:val="en-US" w:eastAsia="zh-CN"/>
        </w:rPr>
        <w:t>磋商小组</w:t>
      </w:r>
      <w:r>
        <w:rPr>
          <w:rFonts w:hint="eastAsia" w:ascii="宋体" w:hAnsi="宋体" w:cs="宋体"/>
          <w:color w:val="auto"/>
          <w:sz w:val="24"/>
          <w:szCs w:val="22"/>
        </w:rPr>
        <w:t>认定评分畸高畸低的，</w:t>
      </w:r>
      <w:r>
        <w:rPr>
          <w:rFonts w:hint="eastAsia" w:ascii="宋体" w:hAnsi="宋体" w:cs="宋体"/>
          <w:color w:val="auto"/>
          <w:sz w:val="24"/>
          <w:szCs w:val="24"/>
          <w:lang w:val="en-US" w:eastAsia="zh-CN"/>
        </w:rPr>
        <w:t>磋商小组</w:t>
      </w:r>
      <w:r>
        <w:rPr>
          <w:rFonts w:hint="eastAsia" w:ascii="宋体" w:hAnsi="宋体" w:cs="宋体"/>
          <w:color w:val="auto"/>
          <w:sz w:val="24"/>
          <w:szCs w:val="22"/>
        </w:rPr>
        <w:t>应当当场修改</w:t>
      </w:r>
      <w:r>
        <w:rPr>
          <w:rFonts w:hint="eastAsia" w:ascii="宋体" w:hAnsi="宋体" w:cs="宋体"/>
          <w:color w:val="auto"/>
          <w:sz w:val="24"/>
        </w:rPr>
        <w:t>。</w:t>
      </w:r>
    </w:p>
    <w:p w14:paraId="7F75A863">
      <w:pPr>
        <w:keepNext w:val="0"/>
        <w:keepLines w:val="0"/>
        <w:pageBreakBefore w:val="0"/>
        <w:tabs>
          <w:tab w:val="left" w:pos="1080"/>
        </w:tabs>
        <w:kinsoku/>
        <w:wordWrap/>
        <w:overflowPunct/>
        <w:topLinePunct w:val="0"/>
        <w:bidi w:val="0"/>
        <w:adjustRightInd w:val="0"/>
        <w:snapToGrid w:val="0"/>
        <w:spacing w:line="360" w:lineRule="auto"/>
        <w:ind w:left="0" w:leftChars="0" w:right="0"/>
        <w:textAlignment w:val="auto"/>
        <w:outlineLvl w:val="9"/>
        <w:rPr>
          <w:rFonts w:hint="eastAsia" w:ascii="宋体" w:hAnsi="宋体" w:cs="宋体"/>
          <w:color w:val="auto"/>
          <w:sz w:val="24"/>
        </w:rPr>
      </w:pPr>
      <w:r>
        <w:rPr>
          <w:rFonts w:hint="eastAsia" w:ascii="宋体" w:hAnsi="宋体" w:cs="宋体"/>
          <w:color w:val="auto"/>
          <w:sz w:val="24"/>
        </w:rPr>
        <w:t>6、定标</w:t>
      </w:r>
    </w:p>
    <w:p w14:paraId="6BF987FB">
      <w:pPr>
        <w:keepNext w:val="0"/>
        <w:keepLines w:val="0"/>
        <w:pageBreakBefore w:val="0"/>
        <w:kinsoku/>
        <w:wordWrap/>
        <w:overflowPunct/>
        <w:topLinePunct w:val="0"/>
        <w:bidi w:val="0"/>
        <w:adjustRightInd w:val="0"/>
        <w:snapToGrid w:val="0"/>
        <w:spacing w:line="360" w:lineRule="auto"/>
        <w:ind w:left="0" w:leftChars="0" w:right="0" w:firstLine="240" w:firstLineChars="100"/>
        <w:jc w:val="left"/>
        <w:textAlignment w:val="auto"/>
        <w:outlineLvl w:val="9"/>
        <w:rPr>
          <w:rFonts w:hint="eastAsia" w:ascii="宋体" w:hAnsi="宋体" w:cs="宋体"/>
          <w:color w:val="auto"/>
          <w:sz w:val="24"/>
        </w:rPr>
      </w:pPr>
      <w:r>
        <w:rPr>
          <w:rFonts w:hint="eastAsia" w:ascii="宋体" w:hAnsi="宋体" w:cs="宋体"/>
          <w:color w:val="auto"/>
          <w:sz w:val="24"/>
        </w:rPr>
        <w:t>1）最终得分=取其</w:t>
      </w:r>
      <w:r>
        <w:rPr>
          <w:rFonts w:hint="eastAsia" w:ascii="宋体" w:hAnsi="宋体" w:cs="宋体"/>
          <w:color w:val="auto"/>
          <w:sz w:val="24"/>
          <w:szCs w:val="24"/>
          <w:lang w:val="en-US" w:eastAsia="zh-CN"/>
        </w:rPr>
        <w:t>磋商小组成员</w:t>
      </w:r>
      <w:r>
        <w:rPr>
          <w:rFonts w:hint="eastAsia" w:ascii="宋体" w:hAnsi="宋体" w:cs="宋体"/>
          <w:color w:val="auto"/>
          <w:sz w:val="24"/>
        </w:rPr>
        <w:t>的平均分；按得分由高到低顺序排列，推荐</w:t>
      </w:r>
      <w:r>
        <w:rPr>
          <w:rFonts w:hint="eastAsia" w:ascii="宋体" w:hAnsi="宋体" w:cs="宋体"/>
          <w:color w:val="auto"/>
          <w:sz w:val="24"/>
          <w:lang w:val="en-US" w:eastAsia="zh-CN"/>
        </w:rPr>
        <w:t>不少于3名成交候选供应商，并编制评审报告，</w:t>
      </w:r>
      <w:r>
        <w:rPr>
          <w:rFonts w:hint="eastAsia" w:ascii="宋体" w:hAnsi="宋体" w:cs="宋体"/>
          <w:color w:val="auto"/>
          <w:spacing w:val="4"/>
          <w:sz w:val="24"/>
          <w:szCs w:val="24"/>
        </w:rPr>
        <w:t>评标结果由全体</w:t>
      </w:r>
      <w:r>
        <w:rPr>
          <w:rFonts w:hint="eastAsia" w:ascii="宋体" w:hAnsi="宋体" w:cs="宋体"/>
          <w:color w:val="auto"/>
          <w:sz w:val="24"/>
          <w:szCs w:val="24"/>
          <w:lang w:val="en-US" w:eastAsia="zh-CN"/>
        </w:rPr>
        <w:t>磋商小组成员</w:t>
      </w:r>
      <w:r>
        <w:rPr>
          <w:rFonts w:hint="eastAsia" w:ascii="宋体" w:hAnsi="宋体" w:cs="宋体"/>
          <w:color w:val="auto"/>
          <w:sz w:val="24"/>
        </w:rPr>
        <w:t>签字确认。</w:t>
      </w:r>
    </w:p>
    <w:p w14:paraId="3FF380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360" w:firstLineChars="150"/>
        <w:jc w:val="left"/>
        <w:textAlignment w:val="auto"/>
        <w:outlineLvl w:val="9"/>
        <w:rPr>
          <w:rFonts w:hint="default" w:ascii="宋体" w:hAnsi="宋体" w:eastAsia="宋体" w:cs="宋体"/>
          <w:color w:val="auto"/>
          <w:sz w:val="24"/>
          <w:lang w:val="en-US" w:eastAsia="zh-CN"/>
        </w:rPr>
      </w:pPr>
      <w:r>
        <w:rPr>
          <w:rFonts w:hint="eastAsia" w:ascii="宋体" w:hAnsi="宋体" w:cs="宋体"/>
          <w:color w:val="auto"/>
          <w:sz w:val="24"/>
          <w:lang w:val="en-US" w:eastAsia="zh-CN"/>
        </w:rPr>
        <w:t>2）符合</w:t>
      </w:r>
      <w:r>
        <w:rPr>
          <w:rFonts w:hint="default" w:ascii="宋体" w:hAnsi="宋体" w:cs="宋体"/>
          <w:color w:val="auto"/>
          <w:sz w:val="24"/>
          <w:lang w:val="en-US" w:eastAsia="zh-CN"/>
        </w:rPr>
        <w:t>①</w:t>
      </w:r>
      <w:r>
        <w:rPr>
          <w:rFonts w:hint="eastAsia" w:ascii="宋体" w:hAnsi="宋体" w:cs="宋体"/>
          <w:color w:val="auto"/>
          <w:sz w:val="24"/>
          <w:lang w:val="en-US" w:eastAsia="zh-CN"/>
        </w:rPr>
        <w:t>市场竞争不</w:t>
      </w:r>
      <w:r>
        <w:rPr>
          <w:rFonts w:hint="eastAsia" w:ascii="宋体" w:hAnsi="宋体" w:eastAsia="宋体" w:cs="宋体"/>
          <w:color w:val="auto"/>
          <w:sz w:val="24"/>
          <w:szCs w:val="24"/>
        </w:rPr>
        <w:t>充分的科研项目，以及需要扶持的科技成果转化项目；</w:t>
      </w:r>
      <w:r>
        <w:rPr>
          <w:rFonts w:hint="default" w:ascii="宋体" w:hAnsi="宋体" w:cs="宋体"/>
          <w:color w:val="auto"/>
          <w:sz w:val="24"/>
          <w:lang w:val="en-US" w:eastAsia="zh-CN"/>
        </w:rPr>
        <w:t>②</w:t>
      </w:r>
      <w:r>
        <w:rPr>
          <w:rFonts w:hint="eastAsia" w:ascii="宋体" w:hAnsi="宋体" w:cs="宋体"/>
          <w:color w:val="auto"/>
          <w:sz w:val="24"/>
          <w:lang w:val="en-US" w:eastAsia="zh-CN"/>
        </w:rPr>
        <w:t>政府购</w:t>
      </w:r>
      <w:r>
        <w:rPr>
          <w:rFonts w:hint="eastAsia" w:ascii="宋体" w:hAnsi="宋体" w:eastAsia="宋体" w:cs="宋体"/>
          <w:color w:val="auto"/>
          <w:sz w:val="24"/>
          <w:szCs w:val="24"/>
        </w:rPr>
        <w:t>买服务项目（含政府和社会资本项目）</w:t>
      </w:r>
      <w:r>
        <w:rPr>
          <w:rFonts w:hint="eastAsia" w:ascii="宋体" w:hAnsi="宋体" w:cs="宋体"/>
          <w:color w:val="auto"/>
          <w:sz w:val="24"/>
          <w:szCs w:val="24"/>
          <w:lang w:eastAsia="zh-CN"/>
        </w:rPr>
        <w:t>的</w:t>
      </w:r>
      <w:r>
        <w:rPr>
          <w:rFonts w:hint="eastAsia" w:ascii="宋体" w:hAnsi="宋体" w:cs="宋体"/>
          <w:color w:val="auto"/>
          <w:sz w:val="24"/>
          <w:szCs w:val="24"/>
          <w:lang w:val="en-US" w:eastAsia="zh-CN"/>
        </w:rPr>
        <w:t>情形，可以推荐2家成交候选供应商</w:t>
      </w:r>
      <w:r>
        <w:rPr>
          <w:rFonts w:hint="eastAsia" w:ascii="宋体" w:hAnsi="宋体" w:eastAsia="宋体" w:cs="宋体"/>
          <w:color w:val="auto"/>
          <w:sz w:val="24"/>
          <w:szCs w:val="24"/>
        </w:rPr>
        <w:t>。</w:t>
      </w:r>
    </w:p>
    <w:p w14:paraId="7AE180E2">
      <w:pPr>
        <w:pStyle w:val="10"/>
        <w:keepNext w:val="0"/>
        <w:keepLines w:val="0"/>
        <w:pageBreakBefore w:val="0"/>
        <w:kinsoku/>
        <w:wordWrap/>
        <w:overflowPunct/>
        <w:topLinePunct w:val="0"/>
        <w:bidi w:val="0"/>
        <w:adjustRightInd w:val="0"/>
        <w:snapToGrid w:val="0"/>
        <w:spacing w:line="360" w:lineRule="auto"/>
        <w:ind w:left="0" w:leftChars="0" w:right="0" w:firstLine="480" w:firstLineChars="200"/>
        <w:textAlignment w:val="auto"/>
        <w:outlineLvl w:val="9"/>
        <w:rPr>
          <w:rFonts w:hint="eastAsia" w:cs="宋体"/>
          <w:color w:val="auto"/>
        </w:rPr>
        <w:sectPr>
          <w:pgSz w:w="11905" w:h="16838"/>
          <w:pgMar w:top="1219" w:right="1803" w:bottom="1219" w:left="1803" w:header="850" w:footer="850" w:gutter="0"/>
          <w:pgNumType w:fmt="decimal"/>
          <w:cols w:space="0" w:num="1"/>
          <w:rtlGutter w:val="0"/>
          <w:docGrid w:type="lines" w:linePitch="313" w:charSpace="0"/>
        </w:sectPr>
      </w:pPr>
      <w:r>
        <w:rPr>
          <w:rFonts w:hint="eastAsia" w:cs="宋体"/>
          <w:color w:val="auto"/>
          <w:lang w:val="en-US" w:eastAsia="zh-CN"/>
        </w:rPr>
        <w:t>3</w:t>
      </w:r>
      <w:r>
        <w:rPr>
          <w:rFonts w:hint="eastAsia" w:cs="宋体"/>
          <w:color w:val="auto"/>
        </w:rPr>
        <w:t>）采购人根据评标报告中推荐的</w:t>
      </w:r>
      <w:r>
        <w:rPr>
          <w:rFonts w:hint="eastAsia" w:cs="宋体"/>
          <w:color w:val="auto"/>
          <w:lang w:val="en-US" w:eastAsia="zh-CN"/>
        </w:rPr>
        <w:t>成交</w:t>
      </w:r>
      <w:r>
        <w:rPr>
          <w:rFonts w:hint="eastAsia" w:cs="宋体"/>
          <w:color w:val="auto"/>
        </w:rPr>
        <w:t>候选人排列顺序确定</w:t>
      </w:r>
      <w:r>
        <w:rPr>
          <w:rFonts w:hint="eastAsia" w:cs="宋体"/>
          <w:color w:val="auto"/>
          <w:lang w:val="en-US" w:eastAsia="zh-CN"/>
        </w:rPr>
        <w:t>成交供应商</w:t>
      </w:r>
      <w:r>
        <w:rPr>
          <w:rFonts w:hint="eastAsia" w:cs="宋体"/>
          <w:color w:val="auto"/>
        </w:rPr>
        <w:t>，以</w:t>
      </w:r>
      <w:r>
        <w:rPr>
          <w:rFonts w:hint="eastAsia" w:cs="宋体"/>
          <w:color w:val="auto"/>
          <w:lang w:val="en-US" w:eastAsia="zh-CN"/>
        </w:rPr>
        <w:t>成交</w:t>
      </w:r>
      <w:r>
        <w:rPr>
          <w:rFonts w:hint="eastAsia" w:cs="宋体"/>
          <w:color w:val="auto"/>
        </w:rPr>
        <w:t>复函通知采购代理机构。</w:t>
      </w:r>
    </w:p>
    <w:p w14:paraId="267D054B">
      <w:pPr>
        <w:widowControl/>
        <w:spacing w:line="360" w:lineRule="auto"/>
        <w:jc w:val="left"/>
        <w:outlineLvl w:val="9"/>
        <w:rPr>
          <w:rFonts w:hint="eastAsia" w:ascii="宋体" w:hAnsi="宋体" w:cs="宋体"/>
          <w:b/>
          <w:bCs/>
          <w:color w:val="auto"/>
          <w:kern w:val="0"/>
          <w:sz w:val="28"/>
          <w:szCs w:val="28"/>
          <w:lang w:bidi="ar"/>
        </w:rPr>
      </w:pPr>
      <w:bookmarkStart w:id="246" w:name="_Toc8989"/>
      <w:r>
        <w:rPr>
          <w:rFonts w:hint="eastAsia" w:ascii="宋体" w:hAnsi="宋体" w:cs="宋体"/>
          <w:b/>
          <w:bCs/>
          <w:color w:val="auto"/>
          <w:kern w:val="0"/>
          <w:sz w:val="28"/>
          <w:szCs w:val="28"/>
          <w:lang w:bidi="ar"/>
        </w:rPr>
        <w:t>二、评审程序</w:t>
      </w:r>
      <w:bookmarkEnd w:id="246"/>
      <w:r>
        <w:rPr>
          <w:rFonts w:hint="eastAsia" w:ascii="宋体" w:hAnsi="宋体" w:cs="宋体"/>
          <w:b/>
          <w:bCs/>
          <w:color w:val="auto"/>
          <w:kern w:val="0"/>
          <w:sz w:val="28"/>
          <w:szCs w:val="28"/>
          <w:lang w:bidi="ar"/>
        </w:rPr>
        <w:t xml:space="preserve"> </w:t>
      </w:r>
    </w:p>
    <w:p w14:paraId="1467CC74">
      <w:pPr>
        <w:widowControl/>
        <w:spacing w:line="360" w:lineRule="auto"/>
        <w:jc w:val="left"/>
        <w:outlineLvl w:val="9"/>
        <w:rPr>
          <w:rFonts w:hint="eastAsia" w:ascii="宋体" w:hAnsi="宋体" w:cs="宋体"/>
          <w:b/>
          <w:bCs/>
          <w:color w:val="auto"/>
          <w:kern w:val="0"/>
          <w:sz w:val="28"/>
          <w:szCs w:val="28"/>
          <w:lang w:bidi="ar"/>
        </w:rPr>
      </w:pPr>
      <w:r>
        <w:rPr>
          <w:rFonts w:hint="eastAsia" w:ascii="宋体" w:hAnsi="宋体" w:cs="宋体"/>
          <w:b/>
          <w:bCs/>
          <w:color w:val="auto"/>
          <w:kern w:val="0"/>
          <w:sz w:val="28"/>
          <w:szCs w:val="28"/>
          <w:lang w:bidi="ar"/>
        </w:rPr>
        <w:t>1、初步评审</w:t>
      </w:r>
    </w:p>
    <w:p w14:paraId="3FEE19FD">
      <w:pPr>
        <w:widowControl/>
        <w:jc w:val="left"/>
        <w:outlineLvl w:val="9"/>
        <w:rPr>
          <w:rFonts w:hint="eastAsia" w:ascii="????" w:hAnsi="????" w:eastAsia="????" w:cs="????"/>
          <w:b/>
          <w:bCs/>
          <w:color w:val="auto"/>
          <w:kern w:val="0"/>
          <w:sz w:val="28"/>
          <w:szCs w:val="28"/>
          <w:lang w:bidi="ar"/>
        </w:rPr>
      </w:pPr>
      <w:r>
        <w:rPr>
          <w:rFonts w:hint="eastAsia" w:ascii="宋体" w:hAnsi="宋体" w:cs="宋体"/>
          <w:b/>
          <w:bCs/>
          <w:color w:val="auto"/>
          <w:kern w:val="0"/>
          <w:sz w:val="28"/>
          <w:szCs w:val="28"/>
          <w:lang w:bidi="ar"/>
        </w:rPr>
        <w:t>1）</w:t>
      </w:r>
      <w:r>
        <w:rPr>
          <w:rFonts w:hint="eastAsia" w:ascii="????" w:hAnsi="????" w:eastAsia="????" w:cs="????"/>
          <w:b/>
          <w:bCs/>
          <w:color w:val="auto"/>
          <w:kern w:val="0"/>
          <w:sz w:val="28"/>
          <w:szCs w:val="28"/>
          <w:lang w:bidi="ar"/>
        </w:rPr>
        <w:t>资格性审查</w:t>
      </w:r>
    </w:p>
    <w:tbl>
      <w:tblPr>
        <w:tblStyle w:val="20"/>
        <w:tblW w:w="9797" w:type="dxa"/>
        <w:jc w:val="center"/>
        <w:tblLayout w:type="fixed"/>
        <w:tblCellMar>
          <w:top w:w="0" w:type="dxa"/>
          <w:left w:w="108" w:type="dxa"/>
          <w:bottom w:w="0" w:type="dxa"/>
          <w:right w:w="108" w:type="dxa"/>
        </w:tblCellMar>
      </w:tblPr>
      <w:tblGrid>
        <w:gridCol w:w="705"/>
        <w:gridCol w:w="2634"/>
        <w:gridCol w:w="6458"/>
      </w:tblGrid>
      <w:tr w14:paraId="133A3566">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FB9F6B">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F3FE5B6">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33B5C109">
            <w:pPr>
              <w:widowControl/>
              <w:spacing w:line="360" w:lineRule="auto"/>
              <w:jc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评审标准</w:t>
            </w:r>
          </w:p>
        </w:tc>
      </w:tr>
      <w:tr w14:paraId="34B42D8A">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46A72C9">
            <w:pPr>
              <w:spacing w:line="360"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9ACA9B6">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rPr>
              <w:t>有效的主体资格证明</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2661AC58">
            <w:pPr>
              <w:pStyle w:val="9"/>
              <w:keepNext w:val="0"/>
              <w:keepLines w:val="0"/>
              <w:pageBreakBefore w:val="0"/>
              <w:kinsoku/>
              <w:wordWrap/>
              <w:overflowPunct w:val="0"/>
              <w:topLinePunct w:val="0"/>
              <w:bidi w:val="0"/>
              <w:adjustRightInd/>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646ECCCF">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C34049B">
            <w:pPr>
              <w:spacing w:line="360"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CF7D848">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cs="宋体"/>
                <w:color w:val="auto"/>
                <w:sz w:val="24"/>
                <w:szCs w:val="24"/>
                <w:lang w:val="en-US" w:eastAsia="zh-CN"/>
              </w:rPr>
              <w:t>资质</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045FFF8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val="0"/>
              <w:autoSpaceDN w:val="0"/>
              <w:bidi w:val="0"/>
              <w:adjustRightInd/>
              <w:snapToGrid w:val="0"/>
              <w:spacing w:before="0" w:beforeAutospacing="0" w:after="0" w:afterAutospacing="0" w:line="360" w:lineRule="auto"/>
              <w:ind w:right="0"/>
              <w:jc w:val="both"/>
              <w:textAlignment w:val="auto"/>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i w:val="0"/>
                <w:iCs w:val="0"/>
                <w:caps w:val="0"/>
                <w:color w:val="auto"/>
                <w:spacing w:val="0"/>
                <w:sz w:val="24"/>
                <w:szCs w:val="24"/>
                <w:shd w:val="clear" w:fill="FFFFFF"/>
              </w:rPr>
              <w:t>具备建设行政主管部门核发的市政公用工程施工总承包三级及以上资质，具备有效的安全生产许可证；</w:t>
            </w:r>
          </w:p>
        </w:tc>
      </w:tr>
      <w:tr w14:paraId="49BEF17A">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CEB8CC6">
            <w:pPr>
              <w:spacing w:line="360"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955AC63">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lang w:val="en-US" w:eastAsia="zh-CN"/>
              </w:rPr>
              <w:t>项目经理</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36BC0967">
            <w:pPr>
              <w:keepNext w:val="0"/>
              <w:keepLines w:val="0"/>
              <w:pageBreakBefore w:val="0"/>
              <w:widowControl/>
              <w:tabs>
                <w:tab w:val="left" w:pos="1620"/>
              </w:tabs>
              <w:kinsoku/>
              <w:wordWrap/>
              <w:overflowPunct w:val="0"/>
              <w:topLinePunct w:val="0"/>
              <w:bidi w:val="0"/>
              <w:adjustRightInd/>
              <w:snapToGrid w:val="0"/>
              <w:spacing w:line="360" w:lineRule="auto"/>
              <w:jc w:val="left"/>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i w:val="0"/>
                <w:iCs w:val="0"/>
                <w:caps w:val="0"/>
                <w:color w:val="auto"/>
                <w:spacing w:val="0"/>
                <w:sz w:val="24"/>
                <w:szCs w:val="24"/>
                <w:shd w:val="clear" w:fill="FFFFFF"/>
              </w:rPr>
              <w:t>拟派往本项目的建造师必须为本企业注册的建造师，具备市政公用工程专业二级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p>
        </w:tc>
      </w:tr>
      <w:tr w14:paraId="6E714D8E">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78F26B1">
            <w:pPr>
              <w:spacing w:line="360"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725052F">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税收缴纳证明</w:t>
            </w:r>
          </w:p>
        </w:tc>
        <w:tc>
          <w:tcPr>
            <w:tcW w:w="6458" w:type="dxa"/>
            <w:tcBorders>
              <w:top w:val="single" w:color="auto" w:sz="4" w:space="0"/>
              <w:left w:val="single" w:color="auto" w:sz="4" w:space="0"/>
              <w:bottom w:val="single" w:color="auto" w:sz="4" w:space="0"/>
              <w:right w:val="single" w:color="auto" w:sz="4" w:space="0"/>
            </w:tcBorders>
            <w:noWrap w:val="0"/>
            <w:vAlign w:val="top"/>
          </w:tcPr>
          <w:p w14:paraId="4F69035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val="0"/>
              <w:autoSpaceDN w:val="0"/>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rPr>
              <w:t>提供开标前六个月至今至少1个月的纳税证明（银行缴费凭证）或完税证明，依法免税的单位应提供相关证明材料；</w:t>
            </w:r>
          </w:p>
        </w:tc>
      </w:tr>
      <w:tr w14:paraId="05E735E5">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1BAE70">
            <w:pPr>
              <w:spacing w:line="360" w:lineRule="auto"/>
              <w:jc w:val="center"/>
              <w:outlineLvl w:val="9"/>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5</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EDC314F">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6458" w:type="dxa"/>
            <w:tcBorders>
              <w:top w:val="single" w:color="auto" w:sz="4" w:space="0"/>
              <w:left w:val="single" w:color="auto" w:sz="4" w:space="0"/>
              <w:bottom w:val="single" w:color="auto" w:sz="4" w:space="0"/>
              <w:right w:val="single" w:color="auto" w:sz="4" w:space="0"/>
            </w:tcBorders>
            <w:noWrap w:val="0"/>
            <w:vAlign w:val="top"/>
          </w:tcPr>
          <w:p w14:paraId="4582FAF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val="0"/>
              <w:autoSpaceDN w:val="0"/>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cs="宋体"/>
                <w:i w:val="0"/>
                <w:iCs w:val="0"/>
                <w:caps w:val="0"/>
                <w:color w:val="auto"/>
                <w:spacing w:val="0"/>
                <w:sz w:val="24"/>
                <w:szCs w:val="24"/>
                <w:shd w:val="clear" w:fill="FFFFFF"/>
                <w:lang w:eastAsia="zh-CN"/>
              </w:rPr>
              <w:t>提供开标前六个月至今至少1个月的社会保障资金（任一险种）缴费单据或社保机构开具的社会保险（任一险种）参保缴费情况证明，依法不需要缴纳社会保障资金的单位应提供相关证明材料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t>；</w:t>
            </w:r>
          </w:p>
        </w:tc>
      </w:tr>
      <w:tr w14:paraId="18696F4E">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BE51DCF">
            <w:pPr>
              <w:spacing w:line="360"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1399FCA">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财务要求</w:t>
            </w:r>
          </w:p>
        </w:tc>
        <w:tc>
          <w:tcPr>
            <w:tcW w:w="6458" w:type="dxa"/>
            <w:tcBorders>
              <w:top w:val="single" w:color="auto" w:sz="4" w:space="0"/>
              <w:left w:val="single" w:color="auto" w:sz="4" w:space="0"/>
              <w:bottom w:val="single" w:color="auto" w:sz="4" w:space="0"/>
              <w:right w:val="single" w:color="auto" w:sz="4" w:space="0"/>
            </w:tcBorders>
            <w:noWrap w:val="0"/>
            <w:vAlign w:val="top"/>
          </w:tcPr>
          <w:p w14:paraId="1DF0E46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val="0"/>
              <w:autoSpaceDN w:val="0"/>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4"/>
                <w:szCs w:val="24"/>
                <w:shd w:val="clear" w:fill="FFFFFF"/>
              </w:rPr>
            </w:pPr>
            <w:r>
              <w:rPr>
                <w:rFonts w:hint="eastAsia" w:cs="宋体"/>
                <w:i w:val="0"/>
                <w:iCs w:val="0"/>
                <w:caps w:val="0"/>
                <w:color w:val="auto"/>
                <w:spacing w:val="0"/>
                <w:sz w:val="24"/>
                <w:szCs w:val="24"/>
                <w:shd w:val="clear" w:fill="FFFFFF"/>
                <w:lang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auto"/>
                <w:spacing w:val="0"/>
                <w:sz w:val="24"/>
                <w:szCs w:val="24"/>
                <w:shd w:val="clear" w:fill="FFFFFF"/>
              </w:rPr>
              <w:t>；</w:t>
            </w:r>
          </w:p>
        </w:tc>
      </w:tr>
      <w:tr w14:paraId="7453D75A">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100E3EA">
            <w:pPr>
              <w:spacing w:line="360" w:lineRule="auto"/>
              <w:jc w:val="center"/>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DEBE7D8">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无</w:t>
            </w:r>
            <w:r>
              <w:rPr>
                <w:rFonts w:hint="eastAsia" w:ascii="宋体" w:hAnsi="宋体" w:eastAsia="宋体" w:cs="宋体"/>
                <w:color w:val="auto"/>
                <w:sz w:val="24"/>
                <w:szCs w:val="24"/>
              </w:rPr>
              <w:t>重大违法记录的书面声明</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30EFF5E5">
            <w:pPr>
              <w:keepNext w:val="0"/>
              <w:keepLines w:val="0"/>
              <w:pageBreakBefore w:val="0"/>
              <w:kinsoku/>
              <w:wordWrap/>
              <w:overflowPunct w:val="0"/>
              <w:topLinePunct w:val="0"/>
              <w:bidi w:val="0"/>
              <w:adjustRightInd/>
              <w:spacing w:line="360" w:lineRule="auto"/>
              <w:jc w:val="left"/>
              <w:textAlignment w:val="auto"/>
              <w:outlineLvl w:val="9"/>
              <w:rPr>
                <w:rFonts w:hint="eastAsia" w:ascii="宋体" w:hAnsi="宋体" w:eastAsia="宋体" w:cs="宋体"/>
                <w:color w:val="auto"/>
                <w:sz w:val="24"/>
                <w:szCs w:val="24"/>
                <w:lang w:eastAsia="zh-CN"/>
              </w:rPr>
            </w:pPr>
            <w:r>
              <w:rPr>
                <w:rFonts w:hint="eastAsia" w:asciiTheme="majorEastAsia" w:hAnsiTheme="majorEastAsia" w:eastAsiaTheme="majorEastAsia" w:cstheme="majorEastAsia"/>
                <w:i w:val="0"/>
                <w:iCs w:val="0"/>
                <w:caps w:val="0"/>
                <w:color w:val="333333"/>
                <w:spacing w:val="0"/>
                <w:sz w:val="24"/>
                <w:szCs w:val="24"/>
                <w:shd w:val="clear" w:fill="FFFFFF"/>
              </w:rPr>
              <w:t>参加政府采购活动前三年内，在经营活动中没有重大违法记录的书面声明；</w:t>
            </w:r>
          </w:p>
        </w:tc>
      </w:tr>
      <w:tr w14:paraId="450EF971">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32472F6">
            <w:pPr>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37041000">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设备和专业技术能力</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7F93CFA5">
            <w:pPr>
              <w:keepNext w:val="0"/>
              <w:keepLines w:val="0"/>
              <w:pageBreakBefore w:val="0"/>
              <w:kinsoku/>
              <w:wordWrap/>
              <w:overflowPunct w:val="0"/>
              <w:topLinePunct w:val="0"/>
              <w:bidi w:val="0"/>
              <w:adjustRightInd/>
              <w:spacing w:line="360" w:lineRule="auto"/>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提供具有履行合同所必需的设备和专业技术能力的证明资料或承诺书；</w:t>
            </w:r>
          </w:p>
        </w:tc>
      </w:tr>
      <w:tr w14:paraId="608E02EA">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1F2F05">
            <w:pPr>
              <w:spacing w:line="360" w:lineRule="auto"/>
              <w:jc w:val="center"/>
              <w:outlineLvl w:val="9"/>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9</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F64D4E9">
            <w:pPr>
              <w:keepNext w:val="0"/>
              <w:keepLines w:val="0"/>
              <w:pageBreakBefore w:val="0"/>
              <w:kinsoku/>
              <w:wordWrap/>
              <w:overflowPunct w:val="0"/>
              <w:topLinePunct w:val="0"/>
              <w:bidi w:val="0"/>
              <w:adjustRightInd/>
              <w:spacing w:line="360" w:lineRule="auto"/>
              <w:jc w:val="center"/>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信誉</w:t>
            </w:r>
            <w:r>
              <w:rPr>
                <w:rFonts w:hint="eastAsia" w:ascii="宋体" w:hAnsi="宋体" w:eastAsia="宋体" w:cs="宋体"/>
                <w:color w:val="auto"/>
                <w:sz w:val="24"/>
                <w:szCs w:val="24"/>
                <w:lang w:val="en-US" w:eastAsia="zh-CN"/>
              </w:rPr>
              <w:t>截图</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14FB73C7">
            <w:pPr>
              <w:pStyle w:val="26"/>
              <w:keepNext w:val="0"/>
              <w:keepLines w:val="0"/>
              <w:pageBreakBefore w:val="0"/>
              <w:kinsoku/>
              <w:wordWrap/>
              <w:overflowPunct w:val="0"/>
              <w:topLinePunct w:val="0"/>
              <w:bidi w:val="0"/>
              <w:adjustRightInd/>
              <w:spacing w:line="360" w:lineRule="auto"/>
              <w:ind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p>
        </w:tc>
      </w:tr>
      <w:tr w14:paraId="04449D37">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3631597">
            <w:pPr>
              <w:snapToGrid w:val="0"/>
              <w:spacing w:line="360" w:lineRule="auto"/>
              <w:jc w:val="center"/>
              <w:outlineLvl w:val="9"/>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10</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35E0612">
            <w:pPr>
              <w:keepNext w:val="0"/>
              <w:keepLines w:val="0"/>
              <w:pageBreakBefore w:val="0"/>
              <w:kinsoku/>
              <w:wordWrap/>
              <w:overflowPunct w:val="0"/>
              <w:topLinePunct w:val="0"/>
              <w:bidi w:val="0"/>
              <w:adjustRightInd/>
              <w:spacing w:line="360" w:lineRule="auto"/>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自主上报信用承诺书</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2408520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val="0"/>
              <w:autoSpaceDN w:val="0"/>
              <w:bidi w:val="0"/>
              <w:adjustRightInd/>
              <w:snapToGrid w:val="0"/>
              <w:spacing w:before="0" w:beforeAutospacing="0" w:after="0" w:afterAutospacing="0" w:line="360" w:lineRule="auto"/>
              <w:ind w:right="0"/>
              <w:jc w:val="both"/>
              <w:textAlignment w:val="auto"/>
              <w:rPr>
                <w:rFonts w:hint="eastAsia" w:ascii="宋体" w:hAnsi="宋体" w:eastAsia="宋体" w:cs="宋体"/>
                <w:color w:val="auto"/>
                <w:sz w:val="24"/>
                <w:szCs w:val="24"/>
              </w:rPr>
            </w:pPr>
            <w:r>
              <w:rPr>
                <w:rFonts w:hint="eastAsia" w:asciiTheme="majorEastAsia" w:hAnsiTheme="majorEastAsia" w:eastAsiaTheme="majorEastAsia" w:cstheme="majorEastAsia"/>
                <w:i w:val="0"/>
                <w:iCs w:val="0"/>
                <w:caps w:val="0"/>
                <w:color w:val="333333"/>
                <w:spacing w:val="0"/>
                <w:sz w:val="24"/>
                <w:szCs w:val="24"/>
                <w:shd w:val="clear" w:fill="FFFFFF"/>
              </w:rPr>
              <w:t>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p>
        </w:tc>
      </w:tr>
      <w:tr w14:paraId="3C9ADA84">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1F093B8">
            <w:pPr>
              <w:snapToGrid w:val="0"/>
              <w:spacing w:line="360" w:lineRule="auto"/>
              <w:jc w:val="center"/>
              <w:outlineLvl w:val="9"/>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1F1D2C4">
            <w:pPr>
              <w:keepNext w:val="0"/>
              <w:keepLines w:val="0"/>
              <w:pageBreakBefore w:val="0"/>
              <w:kinsoku/>
              <w:wordWrap/>
              <w:overflowPunct w:val="0"/>
              <w:topLinePunct w:val="0"/>
              <w:bidi w:val="0"/>
              <w:adjustRightInd/>
              <w:snapToGrid w:val="0"/>
              <w:spacing w:line="360" w:lineRule="auto"/>
              <w:jc w:val="center"/>
              <w:textAlignment w:val="auto"/>
              <w:outlineLvl w:val="9"/>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cs="宋体"/>
                <w:color w:val="auto"/>
                <w:sz w:val="24"/>
                <w:szCs w:val="24"/>
              </w:rPr>
              <w:t>企业声明函</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58FFCB1C">
            <w:pPr>
              <w:keepNext w:val="0"/>
              <w:keepLines w:val="0"/>
              <w:pageBreakBefore w:val="0"/>
              <w:kinsoku/>
              <w:wordWrap/>
              <w:overflowPunct w:val="0"/>
              <w:topLinePunct w:val="0"/>
              <w:autoSpaceDE/>
              <w:autoSpaceDN/>
              <w:bidi w:val="0"/>
              <w:adjustRightInd/>
              <w:snapToGrid w:val="0"/>
              <w:spacing w:line="360" w:lineRule="auto"/>
              <w:jc w:val="left"/>
              <w:textAlignment w:val="auto"/>
              <w:outlineLvl w:val="9"/>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fill="FFFFFF"/>
                <w:lang w:eastAsia="zh-CN"/>
              </w:rPr>
              <w:t>本项目专门面向小微企业</w:t>
            </w:r>
            <w:r>
              <w:rPr>
                <w:rFonts w:hint="eastAsia" w:ascii="宋体" w:hAnsi="宋体" w:eastAsia="宋体" w:cs="宋体"/>
                <w:i w:val="0"/>
                <w:iCs w:val="0"/>
                <w:caps w:val="0"/>
                <w:color w:val="auto"/>
                <w:spacing w:val="0"/>
                <w:sz w:val="24"/>
                <w:szCs w:val="24"/>
                <w:shd w:val="clear" w:fill="FFFFFF"/>
              </w:rPr>
              <w:t>（提供中小企业声明函）；</w:t>
            </w:r>
          </w:p>
        </w:tc>
      </w:tr>
      <w:tr w14:paraId="3B6069B9">
        <w:tblPrEx>
          <w:tblCellMar>
            <w:top w:w="0" w:type="dxa"/>
            <w:left w:w="108" w:type="dxa"/>
            <w:bottom w:w="0" w:type="dxa"/>
            <w:right w:w="108" w:type="dxa"/>
          </w:tblCellMar>
        </w:tblPrEx>
        <w:trPr>
          <w:trHeight w:val="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0354728">
            <w:pPr>
              <w:snapToGrid w:val="0"/>
              <w:spacing w:line="360" w:lineRule="auto"/>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5132B8A">
            <w:pPr>
              <w:keepNext w:val="0"/>
              <w:keepLines w:val="0"/>
              <w:pageBreakBefore w:val="0"/>
              <w:kinsoku/>
              <w:wordWrap/>
              <w:overflowPunct w:val="0"/>
              <w:topLinePunct w:val="0"/>
              <w:bidi w:val="0"/>
              <w:adjustRightInd/>
              <w:snapToGrid w:val="0"/>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非联合体投标声明</w:t>
            </w:r>
          </w:p>
        </w:tc>
        <w:tc>
          <w:tcPr>
            <w:tcW w:w="6458" w:type="dxa"/>
            <w:tcBorders>
              <w:top w:val="single" w:color="auto" w:sz="4" w:space="0"/>
              <w:left w:val="single" w:color="auto" w:sz="4" w:space="0"/>
              <w:bottom w:val="single" w:color="auto" w:sz="4" w:space="0"/>
              <w:right w:val="single" w:color="auto" w:sz="4" w:space="0"/>
            </w:tcBorders>
            <w:noWrap w:val="0"/>
            <w:vAlign w:val="center"/>
          </w:tcPr>
          <w:p w14:paraId="1B37B340">
            <w:pPr>
              <w:pStyle w:val="9"/>
              <w:keepNext w:val="0"/>
              <w:keepLines w:val="0"/>
              <w:pageBreakBefore w:val="0"/>
              <w:tabs>
                <w:tab w:val="left" w:pos="6060"/>
              </w:tabs>
              <w:kinsoku/>
              <w:wordWrap/>
              <w:overflowPunct w:val="0"/>
              <w:topLinePunct w:val="0"/>
              <w:bidi w:val="0"/>
              <w:adjustRightInd/>
              <w:snapToGrid w:val="0"/>
              <w:spacing w:line="360" w:lineRule="auto"/>
              <w:textAlignment w:val="auto"/>
              <w:outlineLvl w:val="9"/>
              <w:rPr>
                <w:rFonts w:hint="eastAsia" w:ascii="宋体" w:hAnsi="宋体" w:eastAsia="宋体" w:cs="宋体"/>
                <w:bCs/>
                <w:color w:val="auto"/>
                <w:sz w:val="24"/>
                <w:szCs w:val="24"/>
              </w:rPr>
            </w:pPr>
            <w:r>
              <w:rPr>
                <w:rFonts w:hint="eastAsia" w:ascii="宋体" w:hAnsi="宋体" w:eastAsia="宋体" w:cs="宋体"/>
                <w:i w:val="0"/>
                <w:iCs w:val="0"/>
                <w:caps w:val="0"/>
                <w:color w:val="auto"/>
                <w:spacing w:val="0"/>
                <w:sz w:val="24"/>
                <w:szCs w:val="24"/>
                <w:shd w:val="clear" w:fill="FFFFFF"/>
              </w:rPr>
              <w:t>本项目不接受联合体投标，单位负责人为同一人或者存在直接控股、管理关系的不同投标人，不得参加同一合同项下的政府采购活动（提供非联合体投标声明）。</w:t>
            </w:r>
          </w:p>
        </w:tc>
      </w:tr>
    </w:tbl>
    <w:p w14:paraId="16A85489">
      <w:pPr>
        <w:widowControl/>
        <w:jc w:val="left"/>
        <w:outlineLvl w:val="9"/>
        <w:rPr>
          <w:color w:val="auto"/>
          <w:sz w:val="28"/>
          <w:szCs w:val="28"/>
        </w:rPr>
      </w:pPr>
      <w:r>
        <w:rPr>
          <w:rFonts w:hint="eastAsia" w:ascii="宋体" w:hAnsi="宋体" w:cs="宋体"/>
          <w:b/>
          <w:bCs/>
          <w:color w:val="auto"/>
          <w:kern w:val="0"/>
          <w:sz w:val="28"/>
          <w:szCs w:val="28"/>
          <w:lang w:bidi="ar"/>
        </w:rPr>
        <w:t>2）投标文件有效性、完整性检查（符合性审查）</w:t>
      </w:r>
    </w:p>
    <w:p w14:paraId="4FC36822">
      <w:pPr>
        <w:adjustRightInd w:val="0"/>
        <w:snapToGrid w:val="0"/>
        <w:spacing w:line="240" w:lineRule="auto"/>
        <w:jc w:val="left"/>
        <w:outlineLvl w:val="9"/>
        <w:rPr>
          <w:rFonts w:hint="eastAsia" w:ascii="宋体" w:hAnsi="宋体" w:cs="宋体"/>
          <w:color w:val="auto"/>
          <w:sz w:val="24"/>
        </w:rPr>
      </w:pPr>
      <w:r>
        <w:rPr>
          <w:rFonts w:hint="eastAsia" w:ascii="宋体" w:hAnsi="宋体" w:cs="宋体"/>
          <w:color w:val="auto"/>
          <w:sz w:val="24"/>
        </w:rPr>
        <w:t>按照以下内容对投标文件进行符合性审查，一项不合格其投标即为无效投标。</w:t>
      </w:r>
    </w:p>
    <w:tbl>
      <w:tblPr>
        <w:tblStyle w:val="20"/>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15E7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0DC40F7E">
            <w:pPr>
              <w:keepNext w:val="0"/>
              <w:keepLines w:val="0"/>
              <w:pageBreakBefore w:val="0"/>
              <w:widowControl/>
              <w:kinsoku/>
              <w:wordWrap/>
              <w:overflowPunct/>
              <w:topLinePunct w:val="0"/>
              <w:autoSpaceDE/>
              <w:autoSpaceDN/>
              <w:bidi w:val="0"/>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2123" w:type="dxa"/>
            <w:noWrap w:val="0"/>
            <w:vAlign w:val="center"/>
          </w:tcPr>
          <w:p w14:paraId="76A8E795">
            <w:pPr>
              <w:keepNext w:val="0"/>
              <w:keepLines w:val="0"/>
              <w:pageBreakBefore w:val="0"/>
              <w:widowControl/>
              <w:kinsoku/>
              <w:wordWrap/>
              <w:overflowPunct/>
              <w:topLinePunct w:val="0"/>
              <w:autoSpaceDE/>
              <w:autoSpaceDN/>
              <w:bidi w:val="0"/>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评审因素</w:t>
            </w:r>
          </w:p>
        </w:tc>
        <w:tc>
          <w:tcPr>
            <w:tcW w:w="6593" w:type="dxa"/>
            <w:noWrap w:val="0"/>
            <w:vAlign w:val="center"/>
          </w:tcPr>
          <w:p w14:paraId="4DA5E559">
            <w:pPr>
              <w:keepNext w:val="0"/>
              <w:keepLines w:val="0"/>
              <w:pageBreakBefore w:val="0"/>
              <w:widowControl/>
              <w:kinsoku/>
              <w:wordWrap/>
              <w:overflowPunct/>
              <w:topLinePunct w:val="0"/>
              <w:autoSpaceDE/>
              <w:autoSpaceDN/>
              <w:bidi w:val="0"/>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评审标准</w:t>
            </w:r>
          </w:p>
        </w:tc>
      </w:tr>
      <w:tr w14:paraId="6645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497935C">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2123" w:type="dxa"/>
            <w:noWrap w:val="0"/>
            <w:vAlign w:val="center"/>
          </w:tcPr>
          <w:p w14:paraId="7ED59340">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left"/>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响应文件项目名称、项目编号</w:t>
            </w:r>
          </w:p>
        </w:tc>
        <w:tc>
          <w:tcPr>
            <w:tcW w:w="6593" w:type="dxa"/>
            <w:noWrap w:val="0"/>
            <w:vAlign w:val="center"/>
          </w:tcPr>
          <w:p w14:paraId="147F4032">
            <w:pPr>
              <w:keepNext w:val="0"/>
              <w:keepLines w:val="0"/>
              <w:pageBreakBefore w:val="0"/>
              <w:kinsoku/>
              <w:wordWrap/>
              <w:overflowPunct/>
              <w:topLinePunct w:val="0"/>
              <w:autoSpaceDE/>
              <w:autoSpaceDN/>
              <w:bidi w:val="0"/>
              <w:adjustRightInd w:val="0"/>
              <w:snapToGrid w:val="0"/>
              <w:spacing w:line="360" w:lineRule="auto"/>
              <w:jc w:val="left"/>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响应</w:t>
            </w:r>
            <w:r>
              <w:rPr>
                <w:rFonts w:hint="eastAsia" w:ascii="宋体" w:hAnsi="宋体" w:cs="宋体"/>
                <w:color w:val="auto"/>
                <w:sz w:val="24"/>
                <w:szCs w:val="24"/>
              </w:rPr>
              <w:t>文件的项目名称、项目编号与本项目完全一致，且无遗漏。</w:t>
            </w:r>
          </w:p>
        </w:tc>
      </w:tr>
      <w:tr w14:paraId="7167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27B85F8A">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123" w:type="dxa"/>
            <w:noWrap w:val="0"/>
            <w:vAlign w:val="center"/>
          </w:tcPr>
          <w:p w14:paraId="1FF32A16">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响应文件组成</w:t>
            </w:r>
          </w:p>
        </w:tc>
        <w:tc>
          <w:tcPr>
            <w:tcW w:w="6593" w:type="dxa"/>
            <w:noWrap w:val="0"/>
            <w:vAlign w:val="center"/>
          </w:tcPr>
          <w:p w14:paraId="5F539701">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left"/>
              <w:outlineLvl w:val="9"/>
              <w:rPr>
                <w:rFonts w:hint="eastAsia" w:ascii="宋体" w:hAnsi="宋体" w:eastAsia="宋体" w:cs="宋体"/>
                <w:color w:val="auto"/>
                <w:sz w:val="24"/>
                <w:szCs w:val="24"/>
              </w:rPr>
            </w:pPr>
            <w:r>
              <w:rPr>
                <w:rFonts w:hint="eastAsia" w:ascii="宋体" w:hAnsi="宋体" w:eastAsia="宋体" w:cs="宋体"/>
                <w:b w:val="0"/>
                <w:color w:val="auto"/>
                <w:kern w:val="2"/>
                <w:sz w:val="24"/>
                <w:szCs w:val="24"/>
                <w:lang w:val="en-US" w:eastAsia="zh-CN" w:bidi="ar-SA"/>
              </w:rPr>
              <w:t>没有私自篡改磋商文件中规定的磋商响应文件格式及相关内容，按磋商文件中规定的磋商响应文件格式填写相关内容的。</w:t>
            </w:r>
          </w:p>
        </w:tc>
      </w:tr>
      <w:tr w14:paraId="1FEC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2DD7B0CA">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123" w:type="dxa"/>
            <w:noWrap w:val="0"/>
            <w:vAlign w:val="center"/>
          </w:tcPr>
          <w:p w14:paraId="755E7459">
            <w:pPr>
              <w:keepNext w:val="0"/>
              <w:keepLines w:val="0"/>
              <w:pageBreakBefore w:val="0"/>
              <w:widowControl/>
              <w:kinsoku/>
              <w:wordWrap/>
              <w:overflowPunct/>
              <w:topLinePunct w:val="0"/>
              <w:autoSpaceDE/>
              <w:autoSpaceDN/>
              <w:bidi w:val="0"/>
              <w:adjustRightInd w:val="0"/>
              <w:snapToGrid w:val="0"/>
              <w:spacing w:line="360" w:lineRule="auto"/>
              <w:jc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投标函</w:t>
            </w:r>
          </w:p>
        </w:tc>
        <w:tc>
          <w:tcPr>
            <w:tcW w:w="6593" w:type="dxa"/>
            <w:noWrap w:val="0"/>
            <w:vAlign w:val="center"/>
          </w:tcPr>
          <w:p w14:paraId="11414F9B">
            <w:pPr>
              <w:keepNext w:val="0"/>
              <w:keepLines w:val="0"/>
              <w:pageBreakBefore w:val="0"/>
              <w:kinsoku/>
              <w:wordWrap/>
              <w:overflowPunct/>
              <w:topLinePunct w:val="0"/>
              <w:autoSpaceDE/>
              <w:autoSpaceDN/>
              <w:bidi w:val="0"/>
              <w:adjustRightInd w:val="0"/>
              <w:snapToGrid w:val="0"/>
              <w:spacing w:line="360" w:lineRule="auto"/>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加盖投标人公章，且经法定代表人或其授权代表签字或盖章。</w:t>
            </w:r>
          </w:p>
        </w:tc>
      </w:tr>
      <w:tr w14:paraId="001B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2E244B17">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2123" w:type="dxa"/>
            <w:noWrap w:val="0"/>
            <w:vAlign w:val="center"/>
          </w:tcPr>
          <w:p w14:paraId="73445CB9">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法定代表人授权书</w:t>
            </w:r>
          </w:p>
        </w:tc>
        <w:tc>
          <w:tcPr>
            <w:tcW w:w="6593" w:type="dxa"/>
            <w:noWrap w:val="0"/>
            <w:vAlign w:val="center"/>
          </w:tcPr>
          <w:p w14:paraId="6548B4F4">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响应</w:t>
            </w:r>
            <w:r>
              <w:rPr>
                <w:rFonts w:hint="eastAsia" w:ascii="宋体" w:hAnsi="宋体" w:cs="宋体"/>
                <w:color w:val="auto"/>
                <w:sz w:val="24"/>
                <w:szCs w:val="24"/>
              </w:rPr>
              <w:t>文件有法定代表人授权书（法人直接投标除外）且授权书的合法性和有效性符合竞争性</w:t>
            </w:r>
            <w:r>
              <w:rPr>
                <w:rFonts w:hint="eastAsia" w:ascii="宋体" w:hAnsi="宋体" w:cs="宋体"/>
                <w:color w:val="auto"/>
                <w:sz w:val="24"/>
                <w:szCs w:val="24"/>
                <w:lang w:val="en-US" w:eastAsia="zh-CN"/>
              </w:rPr>
              <w:t>磋商</w:t>
            </w:r>
            <w:r>
              <w:rPr>
                <w:rFonts w:hint="eastAsia" w:ascii="宋体" w:hAnsi="宋体" w:cs="宋体"/>
                <w:color w:val="auto"/>
                <w:sz w:val="24"/>
                <w:szCs w:val="24"/>
              </w:rPr>
              <w:t>文件规定的。</w:t>
            </w:r>
          </w:p>
        </w:tc>
      </w:tr>
      <w:tr w14:paraId="0D2D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66B368CB">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2123" w:type="dxa"/>
            <w:noWrap w:val="0"/>
            <w:vAlign w:val="center"/>
          </w:tcPr>
          <w:p w14:paraId="6C2CB451">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响应文件签署、盖章</w:t>
            </w:r>
          </w:p>
        </w:tc>
        <w:tc>
          <w:tcPr>
            <w:tcW w:w="6593" w:type="dxa"/>
            <w:noWrap w:val="0"/>
            <w:vAlign w:val="center"/>
          </w:tcPr>
          <w:p w14:paraId="084452F4">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both"/>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cs="宋体"/>
                <w:color w:val="auto"/>
                <w:sz w:val="24"/>
                <w:szCs w:val="24"/>
                <w:lang w:val="en-US" w:eastAsia="zh-CN"/>
              </w:rPr>
              <w:t>磋商</w:t>
            </w:r>
            <w:r>
              <w:rPr>
                <w:rFonts w:hint="eastAsia" w:ascii="宋体" w:hAnsi="宋体" w:eastAsia="宋体" w:cs="宋体"/>
                <w:color w:val="auto"/>
                <w:sz w:val="24"/>
                <w:szCs w:val="24"/>
              </w:rPr>
              <w:t>文件要求，且无遗漏</w:t>
            </w:r>
            <w:r>
              <w:rPr>
                <w:rFonts w:hint="eastAsia" w:ascii="宋体" w:hAnsi="宋体" w:eastAsia="宋体" w:cs="宋体"/>
                <w:color w:val="auto"/>
                <w:sz w:val="24"/>
                <w:szCs w:val="24"/>
                <w:lang w:eastAsia="zh-CN"/>
              </w:rPr>
              <w:t>。</w:t>
            </w:r>
          </w:p>
        </w:tc>
      </w:tr>
      <w:tr w14:paraId="3B22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1B6C0EE1">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p>
        </w:tc>
        <w:tc>
          <w:tcPr>
            <w:tcW w:w="2123" w:type="dxa"/>
            <w:noWrap w:val="0"/>
            <w:vAlign w:val="center"/>
          </w:tcPr>
          <w:p w14:paraId="36DE9DE4">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响应文件有效期</w:t>
            </w:r>
          </w:p>
        </w:tc>
        <w:tc>
          <w:tcPr>
            <w:tcW w:w="6593" w:type="dxa"/>
            <w:noWrap w:val="0"/>
            <w:vAlign w:val="center"/>
          </w:tcPr>
          <w:p w14:paraId="2BE68DD8">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both"/>
              <w:outlineLvl w:val="9"/>
              <w:rPr>
                <w:rFonts w:hint="eastAsia" w:ascii="宋体" w:hAnsi="宋体" w:eastAsia="宋体" w:cs="宋体"/>
                <w:color w:val="auto"/>
                <w:sz w:val="24"/>
                <w:szCs w:val="24"/>
              </w:rPr>
            </w:pPr>
            <w:r>
              <w:rPr>
                <w:rFonts w:hint="eastAsia" w:ascii="宋体" w:hAnsi="宋体" w:eastAsia="宋体" w:cs="宋体"/>
                <w:color w:val="auto"/>
                <w:sz w:val="24"/>
                <w:szCs w:val="24"/>
              </w:rPr>
              <w:t>符合</w:t>
            </w:r>
            <w:r>
              <w:rPr>
                <w:rFonts w:hint="eastAsia" w:ascii="宋体" w:hAnsi="宋体" w:cs="宋体"/>
                <w:color w:val="auto"/>
                <w:sz w:val="24"/>
                <w:szCs w:val="24"/>
                <w:lang w:val="en-US" w:eastAsia="zh-CN"/>
              </w:rPr>
              <w:t>磋商</w:t>
            </w:r>
            <w:r>
              <w:rPr>
                <w:rFonts w:hint="eastAsia" w:ascii="宋体" w:hAnsi="宋体" w:eastAsia="宋体" w:cs="宋体"/>
                <w:color w:val="auto"/>
                <w:sz w:val="24"/>
                <w:szCs w:val="24"/>
              </w:rPr>
              <w:t>文件的要求。</w:t>
            </w:r>
          </w:p>
        </w:tc>
      </w:tr>
      <w:tr w14:paraId="309B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1415FC79">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w:t>
            </w:r>
          </w:p>
        </w:tc>
        <w:tc>
          <w:tcPr>
            <w:tcW w:w="2123" w:type="dxa"/>
            <w:noWrap w:val="0"/>
            <w:vAlign w:val="center"/>
          </w:tcPr>
          <w:p w14:paraId="10891103">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w:t>
            </w:r>
          </w:p>
        </w:tc>
        <w:tc>
          <w:tcPr>
            <w:tcW w:w="6593" w:type="dxa"/>
            <w:noWrap w:val="0"/>
            <w:vAlign w:val="center"/>
          </w:tcPr>
          <w:p w14:paraId="2D0F9575">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同时满足以下条款：</w:t>
            </w:r>
          </w:p>
          <w:p w14:paraId="41DF5188">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报价符合唯一性要求；</w:t>
            </w:r>
          </w:p>
          <w:p w14:paraId="140575E0">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（2）第一次</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报价表填写符合要求；</w:t>
            </w:r>
          </w:p>
          <w:p w14:paraId="7483CE8A">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（3）报价货币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单位</w:t>
            </w:r>
            <w:r>
              <w:rPr>
                <w:rFonts w:hint="eastAsia" w:ascii="宋体" w:hAnsi="宋体" w:eastAsia="宋体" w:cs="宋体"/>
                <w:color w:val="auto"/>
                <w:sz w:val="24"/>
                <w:szCs w:val="24"/>
              </w:rPr>
              <w:t>符合</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文件要求；</w:t>
            </w:r>
          </w:p>
          <w:p w14:paraId="1A1F585C">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（4）未超出采购预算或</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文件规定的最高限价；</w:t>
            </w:r>
          </w:p>
        </w:tc>
      </w:tr>
      <w:tr w14:paraId="5589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3699193A">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2123" w:type="dxa"/>
            <w:noWrap w:val="0"/>
            <w:vAlign w:val="center"/>
          </w:tcPr>
          <w:p w14:paraId="17CA88C2">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响应文件编写</w:t>
            </w:r>
          </w:p>
        </w:tc>
        <w:tc>
          <w:tcPr>
            <w:tcW w:w="6593" w:type="dxa"/>
            <w:noWrap w:val="0"/>
            <w:vAlign w:val="center"/>
          </w:tcPr>
          <w:p w14:paraId="5EC79086">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响应文件按照竞争性</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文件要求的格式编写及</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响应文件的关键内容字迹清晰、可辨认的。</w:t>
            </w:r>
          </w:p>
        </w:tc>
      </w:tr>
      <w:tr w14:paraId="0A22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BBB8C07">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123" w:type="dxa"/>
            <w:noWrap w:val="0"/>
            <w:vAlign w:val="center"/>
          </w:tcPr>
          <w:p w14:paraId="059F585E">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cs="宋体"/>
                <w:color w:val="auto"/>
                <w:sz w:val="24"/>
                <w:szCs w:val="24"/>
              </w:rPr>
              <w:t>商务要求</w:t>
            </w:r>
          </w:p>
        </w:tc>
        <w:tc>
          <w:tcPr>
            <w:tcW w:w="6593" w:type="dxa"/>
            <w:noWrap w:val="0"/>
            <w:vAlign w:val="center"/>
          </w:tcPr>
          <w:p w14:paraId="798AFA4B">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outlineLvl w:val="9"/>
              <w:rPr>
                <w:rFonts w:hint="eastAsia" w:ascii="宋体" w:hAnsi="宋体" w:eastAsia="宋体" w:cs="宋体"/>
                <w:color w:val="auto"/>
                <w:sz w:val="24"/>
                <w:szCs w:val="24"/>
                <w:lang w:eastAsia="zh-CN"/>
              </w:rPr>
            </w:pPr>
            <w:r>
              <w:rPr>
                <w:rFonts w:hint="eastAsia" w:ascii="宋体" w:hAnsi="宋体" w:cs="宋体"/>
                <w:color w:val="auto"/>
                <w:sz w:val="24"/>
                <w:szCs w:val="24"/>
              </w:rPr>
              <w:t>商务要求逐条响应并满足竞争性</w:t>
            </w:r>
            <w:r>
              <w:rPr>
                <w:rFonts w:hint="eastAsia" w:ascii="宋体" w:hAnsi="宋体" w:cs="宋体"/>
                <w:color w:val="auto"/>
                <w:sz w:val="24"/>
                <w:szCs w:val="24"/>
                <w:lang w:val="en-US" w:eastAsia="zh-CN"/>
              </w:rPr>
              <w:t>磋商</w:t>
            </w:r>
            <w:r>
              <w:rPr>
                <w:rFonts w:hint="eastAsia" w:ascii="宋体" w:hAnsi="宋体" w:cs="宋体"/>
                <w:color w:val="auto"/>
                <w:sz w:val="24"/>
                <w:szCs w:val="24"/>
              </w:rPr>
              <w:t>文件要求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投标文件在商务响应方面未附加采购单位难以接受的条件</w:t>
            </w:r>
            <w:r>
              <w:rPr>
                <w:rFonts w:hint="eastAsia" w:ascii="宋体" w:hAnsi="宋体" w:eastAsia="宋体" w:cs="宋体"/>
                <w:color w:val="auto"/>
                <w:sz w:val="24"/>
                <w:szCs w:val="24"/>
                <w:lang w:eastAsia="zh-CN"/>
              </w:rPr>
              <w:t>。</w:t>
            </w:r>
          </w:p>
        </w:tc>
      </w:tr>
      <w:tr w14:paraId="4995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085A7977">
            <w:pPr>
              <w:pStyle w:val="19"/>
              <w:keepNext w:val="0"/>
              <w:keepLines w:val="0"/>
              <w:pageBreakBefore w:val="0"/>
              <w:kinsoku/>
              <w:wordWrap/>
              <w:overflowPunct/>
              <w:topLinePunct w:val="0"/>
              <w:autoSpaceDE/>
              <w:autoSpaceDN/>
              <w:bidi w:val="0"/>
              <w:adjustRightInd w:val="0"/>
              <w:snapToGrid w:val="0"/>
              <w:spacing w:after="0" w:line="360" w:lineRule="auto"/>
              <w:ind w:firstLine="0"/>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123" w:type="dxa"/>
            <w:noWrap w:val="0"/>
            <w:vAlign w:val="center"/>
          </w:tcPr>
          <w:p w14:paraId="438CFD55">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cs="宋体"/>
                <w:color w:val="auto"/>
                <w:sz w:val="24"/>
                <w:szCs w:val="24"/>
              </w:rPr>
              <w:t>其他要求</w:t>
            </w:r>
          </w:p>
        </w:tc>
        <w:tc>
          <w:tcPr>
            <w:tcW w:w="6593" w:type="dxa"/>
            <w:noWrap w:val="0"/>
            <w:vAlign w:val="center"/>
          </w:tcPr>
          <w:p w14:paraId="221AE981">
            <w:pPr>
              <w:keepNext w:val="0"/>
              <w:keepLines w:val="0"/>
              <w:pageBreakBefore w:val="0"/>
              <w:suppressLineNumbers w:val="0"/>
              <w:kinsoku/>
              <w:wordWrap/>
              <w:overflowPunct/>
              <w:topLinePunct w:val="0"/>
              <w:autoSpaceDE/>
              <w:autoSpaceDN/>
              <w:bidi w:val="0"/>
              <w:adjustRightInd w:val="0"/>
              <w:snapToGrid w:val="0"/>
              <w:spacing w:before="0" w:beforeAutospacing="0" w:afterAutospacing="0" w:line="360" w:lineRule="auto"/>
              <w:ind w:left="0" w:leftChars="0" w:right="0" w:rightChars="0"/>
              <w:outlineLvl w:val="9"/>
              <w:rPr>
                <w:rFonts w:hint="eastAsia" w:ascii="宋体" w:hAnsi="宋体" w:eastAsia="宋体" w:cs="宋体"/>
                <w:color w:val="auto"/>
                <w:sz w:val="24"/>
                <w:szCs w:val="24"/>
              </w:rPr>
            </w:pPr>
            <w:r>
              <w:rPr>
                <w:rFonts w:hint="eastAsia" w:ascii="宋体" w:hAnsi="宋体" w:cs="宋体"/>
                <w:color w:val="auto"/>
                <w:sz w:val="24"/>
                <w:szCs w:val="24"/>
              </w:rPr>
              <w:t>完全理解并接受法律法规和</w:t>
            </w:r>
            <w:r>
              <w:rPr>
                <w:rFonts w:hint="eastAsia" w:ascii="宋体" w:hAnsi="宋体" w:cs="宋体"/>
                <w:color w:val="auto"/>
                <w:sz w:val="24"/>
                <w:szCs w:val="24"/>
                <w:lang w:val="en-US" w:eastAsia="zh-CN"/>
              </w:rPr>
              <w:t>磋商</w:t>
            </w:r>
            <w:r>
              <w:rPr>
                <w:rFonts w:hint="eastAsia" w:ascii="宋体" w:hAnsi="宋体" w:cs="宋体"/>
                <w:color w:val="auto"/>
                <w:sz w:val="24"/>
                <w:szCs w:val="24"/>
              </w:rPr>
              <w:t>文件对供应商的各项须知、规约要求和责任义务，没有出现法律法规或</w:t>
            </w:r>
            <w:r>
              <w:rPr>
                <w:rFonts w:hint="eastAsia" w:ascii="宋体" w:hAnsi="宋体" w:cs="宋体"/>
                <w:color w:val="auto"/>
                <w:sz w:val="24"/>
                <w:szCs w:val="24"/>
                <w:lang w:val="en-US" w:eastAsia="zh-CN"/>
              </w:rPr>
              <w:t>磋商</w:t>
            </w:r>
            <w:r>
              <w:rPr>
                <w:rFonts w:hint="eastAsia" w:ascii="宋体" w:hAnsi="宋体" w:cs="宋体"/>
                <w:color w:val="auto"/>
                <w:sz w:val="24"/>
                <w:szCs w:val="24"/>
              </w:rPr>
              <w:t>文件明确规定的其他被视为“无效响应”的情形。</w:t>
            </w:r>
          </w:p>
        </w:tc>
      </w:tr>
    </w:tbl>
    <w:p w14:paraId="2C8C17E7">
      <w:pPr>
        <w:widowControl/>
        <w:jc w:val="left"/>
        <w:outlineLvl w:val="9"/>
        <w:rPr>
          <w:rFonts w:hint="eastAsia" w:ascii="宋体" w:hAnsi="宋体" w:cs="宋体"/>
          <w:b/>
          <w:bCs/>
          <w:color w:val="auto"/>
          <w:kern w:val="0"/>
          <w:sz w:val="28"/>
          <w:szCs w:val="28"/>
          <w:lang w:bidi="ar"/>
        </w:rPr>
        <w:sectPr>
          <w:pgSz w:w="11905" w:h="16838"/>
          <w:pgMar w:top="1219" w:right="1803" w:bottom="1219" w:left="1803" w:header="850" w:footer="850" w:gutter="0"/>
          <w:pgNumType w:fmt="decimal"/>
          <w:cols w:space="0" w:num="1"/>
          <w:rtlGutter w:val="0"/>
          <w:docGrid w:type="lines" w:linePitch="313" w:charSpace="0"/>
        </w:sectPr>
      </w:pPr>
    </w:p>
    <w:p w14:paraId="455897B2">
      <w:pPr>
        <w:widowControl/>
        <w:numPr>
          <w:ilvl w:val="0"/>
          <w:numId w:val="2"/>
        </w:numPr>
        <w:ind w:left="0" w:leftChars="0" w:firstLine="562" w:firstLineChars="200"/>
        <w:jc w:val="left"/>
        <w:outlineLvl w:val="9"/>
        <w:rPr>
          <w:rFonts w:hint="eastAsia"/>
          <w:color w:val="auto"/>
        </w:rPr>
      </w:pPr>
      <w:r>
        <w:rPr>
          <w:rFonts w:hint="eastAsia" w:ascii="宋体" w:hAnsi="宋体" w:cs="宋体"/>
          <w:b/>
          <w:bCs/>
          <w:color w:val="auto"/>
          <w:kern w:val="0"/>
          <w:sz w:val="28"/>
          <w:szCs w:val="28"/>
          <w:lang w:bidi="ar"/>
        </w:rPr>
        <w:t>详细评审</w:t>
      </w:r>
    </w:p>
    <w:tbl>
      <w:tblPr>
        <w:tblStyle w:val="2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41"/>
        <w:gridCol w:w="6767"/>
      </w:tblGrid>
      <w:tr w14:paraId="3264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781" w:type="dxa"/>
            <w:gridSpan w:val="3"/>
            <w:noWrap w:val="0"/>
            <w:vAlign w:val="center"/>
          </w:tcPr>
          <w:p w14:paraId="7F1864FC">
            <w:pPr>
              <w:spacing w:line="360" w:lineRule="auto"/>
              <w:ind w:firstLine="480" w:firstLineChars="200"/>
              <w:jc w:val="center"/>
              <w:outlineLvl w:val="9"/>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4"/>
                <w:szCs w:val="24"/>
                <w:lang w:val="en-US" w:eastAsia="zh-CN" w:bidi="ar"/>
              </w:rPr>
              <w:t>评审分值结构表</w:t>
            </w:r>
          </w:p>
        </w:tc>
      </w:tr>
      <w:tr w14:paraId="07B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dxa"/>
            <w:noWrap w:val="0"/>
            <w:vAlign w:val="center"/>
          </w:tcPr>
          <w:p w14:paraId="618F94F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序号</w:t>
            </w:r>
          </w:p>
        </w:tc>
        <w:tc>
          <w:tcPr>
            <w:tcW w:w="2241" w:type="dxa"/>
            <w:noWrap w:val="0"/>
            <w:vAlign w:val="center"/>
          </w:tcPr>
          <w:p w14:paraId="264D9F7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评分项</w:t>
            </w:r>
          </w:p>
        </w:tc>
        <w:tc>
          <w:tcPr>
            <w:tcW w:w="6767" w:type="dxa"/>
            <w:noWrap w:val="0"/>
            <w:vAlign w:val="center"/>
          </w:tcPr>
          <w:p w14:paraId="4717C69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评分标准</w:t>
            </w:r>
          </w:p>
        </w:tc>
      </w:tr>
      <w:tr w14:paraId="364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73" w:type="dxa"/>
            <w:noWrap w:val="0"/>
            <w:vAlign w:val="center"/>
          </w:tcPr>
          <w:p w14:paraId="69BAC98B">
            <w:pPr>
              <w:spacing w:line="360" w:lineRule="auto"/>
              <w:ind w:left="-118" w:leftChars="-56" w:right="-94" w:rightChars="-45"/>
              <w:jc w:val="center"/>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1</w:t>
            </w:r>
          </w:p>
        </w:tc>
        <w:tc>
          <w:tcPr>
            <w:tcW w:w="2241" w:type="dxa"/>
            <w:noWrap w:val="0"/>
            <w:vAlign w:val="center"/>
          </w:tcPr>
          <w:p w14:paraId="3A51E883">
            <w:pPr>
              <w:spacing w:line="440" w:lineRule="exact"/>
              <w:jc w:val="center"/>
              <w:outlineLvl w:val="9"/>
              <w:rPr>
                <w:rFonts w:hint="eastAsia" w:ascii="Times New Roman" w:hAnsi="Times New Roman" w:eastAsia="宋体"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投标报价</w:t>
            </w:r>
          </w:p>
          <w:p w14:paraId="0CCF562A">
            <w:pPr>
              <w:spacing w:line="440" w:lineRule="exact"/>
              <w:jc w:val="center"/>
              <w:outlineLvl w:val="9"/>
              <w:rPr>
                <w:rFonts w:hint="eastAsia" w:ascii="宋体" w:hAnsi="宋体" w:eastAsia="宋体" w:cs="宋体"/>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747E6121">
            <w:pPr>
              <w:spacing w:line="360" w:lineRule="auto"/>
              <w:outlineLvl w:val="9"/>
              <w:rPr>
                <w:rFonts w:ascii="宋体" w:hAnsi="宋体" w:cs="宋体"/>
                <w:b w:val="0"/>
                <w:bCs/>
                <w:color w:val="auto"/>
                <w:sz w:val="24"/>
                <w:szCs w:val="24"/>
              </w:rPr>
            </w:pPr>
            <w:r>
              <w:rPr>
                <w:rFonts w:hint="eastAsia" w:ascii="宋体" w:hAnsi="宋体" w:cs="宋体"/>
                <w:b w:val="0"/>
                <w:bCs/>
                <w:color w:val="auto"/>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14:paraId="469D4808">
            <w:pPr>
              <w:adjustRightInd w:val="0"/>
              <w:snapToGrid w:val="0"/>
              <w:spacing w:line="360" w:lineRule="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4"/>
                <w:lang w:val="en-US" w:eastAsia="zh-CN"/>
              </w:rPr>
              <w:t>本项目专门面向中小企业采购，故不再执行价格评审优惠；</w:t>
            </w:r>
          </w:p>
        </w:tc>
      </w:tr>
      <w:tr w14:paraId="4C58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54EC641">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64A266A">
            <w:pPr>
              <w:spacing w:line="440" w:lineRule="exact"/>
              <w:jc w:val="center"/>
              <w:outlineLvl w:val="9"/>
              <w:rPr>
                <w:rFonts w:hint="default" w:ascii="Times New Roman" w:hAnsi="Times New Roman" w:eastAsia="宋体" w:cs="Times New Roman"/>
                <w:b w:val="0"/>
                <w:bCs/>
                <w:color w:val="auto"/>
                <w:sz w:val="24"/>
                <w:szCs w:val="22"/>
                <w:lang w:val="en-US" w:eastAsia="zh-CN"/>
              </w:rPr>
            </w:pPr>
            <w:r>
              <w:rPr>
                <w:rFonts w:hint="eastAsia" w:ascii="宋体" w:hAnsi="宋体" w:cs="宋体"/>
                <w:color w:val="auto"/>
                <w:sz w:val="24"/>
                <w:lang w:val="en-US" w:eastAsia="zh-CN"/>
              </w:rPr>
              <w:t>主要施工方案与技术措施</w:t>
            </w:r>
            <w:r>
              <w:rPr>
                <w:rFonts w:hint="eastAsia" w:cs="Times New Roman"/>
                <w:b w:val="0"/>
                <w:bCs/>
                <w:color w:val="auto"/>
                <w:sz w:val="24"/>
                <w:szCs w:val="22"/>
                <w:lang w:val="en-US" w:eastAsia="zh-CN"/>
              </w:rPr>
              <w:t>（15分）</w:t>
            </w:r>
          </w:p>
        </w:tc>
        <w:tc>
          <w:tcPr>
            <w:tcW w:w="6767" w:type="dxa"/>
            <w:noWrap w:val="0"/>
            <w:tcMar>
              <w:top w:w="0" w:type="dxa"/>
              <w:left w:w="113" w:type="dxa"/>
              <w:bottom w:w="0" w:type="dxa"/>
              <w:right w:w="113" w:type="dxa"/>
            </w:tcMar>
            <w:vAlign w:val="center"/>
          </w:tcPr>
          <w:p w14:paraId="0CA652C6">
            <w:pPr>
              <w:spacing w:line="360" w:lineRule="auto"/>
              <w:rPr>
                <w:rFonts w:hint="eastAsia" w:ascii="宋体" w:hAnsi="宋体" w:eastAsia="宋体" w:cs="宋体"/>
                <w:b w:val="0"/>
                <w:bCs/>
                <w:color w:val="auto"/>
                <w:kern w:val="2"/>
                <w:sz w:val="24"/>
                <w:szCs w:val="24"/>
                <w:lang w:val="en-US" w:eastAsia="zh-CN" w:bidi="ar-SA"/>
              </w:rPr>
            </w:pPr>
            <w:r>
              <w:rPr>
                <w:rFonts w:ascii="宋体" w:hAnsi="宋体" w:cs="宋体"/>
                <w:color w:val="auto"/>
                <w:sz w:val="24"/>
              </w:rPr>
              <w:t>根据供应商提供的</w:t>
            </w:r>
            <w:r>
              <w:rPr>
                <w:rFonts w:hint="eastAsia" w:ascii="宋体" w:hAnsi="宋体" w:cs="宋体"/>
                <w:color w:val="auto"/>
                <w:sz w:val="24"/>
                <w:lang w:val="en-US" w:eastAsia="zh-CN"/>
              </w:rPr>
              <w:t>主要施工方案与技术措施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15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A4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25EADBB">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79EEF65F">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1E7A0060">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质量保证体系及措施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45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A1A02A7">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5E4BF13D">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81A0BF8">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安全生产保证措施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81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8687F5A">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32ADB91F">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3055D78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3B4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77C643F">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9EB69CC">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施工进度计划及保证措施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73EE6E14">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施工进度计划及保证措施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F9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17B7023">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3BC3FE6A">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劳动力计划、设备配备情况</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6C70D44">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劳动力计划、设备配备情况</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F9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6137A81">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16F30F95">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紧急情况应对措施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3952F97E">
            <w:pPr>
              <w:spacing w:line="360" w:lineRule="auto"/>
              <w:rPr>
                <w:rFonts w:hint="eastAsia" w:ascii="Times New Roman" w:hAnsi="Times New Roman" w:eastAsia="宋体"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E0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56DB7A59">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25542F16">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成品保护和工程保修管理措施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06AD9A2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成品保护和工程保修管理措施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C0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E065893">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7346627B">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cs="Times New Roman"/>
                <w:b w:val="0"/>
                <w:bCs/>
                <w:color w:val="auto"/>
                <w:sz w:val="24"/>
                <w:szCs w:val="22"/>
                <w:lang w:val="en-US" w:eastAsia="zh-CN"/>
              </w:rPr>
              <w:t>（8分）</w:t>
            </w:r>
          </w:p>
        </w:tc>
        <w:tc>
          <w:tcPr>
            <w:tcW w:w="6767" w:type="dxa"/>
            <w:noWrap w:val="0"/>
            <w:tcMar>
              <w:top w:w="0" w:type="dxa"/>
              <w:left w:w="113" w:type="dxa"/>
              <w:bottom w:w="0" w:type="dxa"/>
              <w:right w:w="113" w:type="dxa"/>
            </w:tcMar>
            <w:vAlign w:val="center"/>
          </w:tcPr>
          <w:p w14:paraId="320187A0">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8</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5D6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B2C857B">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651BAFBF">
            <w:pPr>
              <w:spacing w:line="440" w:lineRule="exact"/>
              <w:jc w:val="center"/>
              <w:outlineLvl w:val="9"/>
              <w:rPr>
                <w:rFonts w:hint="eastAsia" w:cs="Times New Roman"/>
                <w:b w:val="0"/>
                <w:bCs/>
                <w:color w:val="auto"/>
                <w:sz w:val="24"/>
                <w:szCs w:val="22"/>
                <w:lang w:val="en-US" w:eastAsia="zh-CN"/>
              </w:rPr>
            </w:pPr>
            <w:r>
              <w:rPr>
                <w:rFonts w:hint="eastAsia" w:cs="宋体"/>
                <w:b w:val="0"/>
                <w:bCs/>
                <w:color w:val="auto"/>
                <w:kern w:val="2"/>
                <w:sz w:val="24"/>
                <w:szCs w:val="24"/>
                <w:lang w:val="en-US" w:eastAsia="zh-CN" w:bidi="ar-SA"/>
              </w:rPr>
              <w:t>新技术、新产品、新工艺、新材料应用</w:t>
            </w:r>
            <w:r>
              <w:rPr>
                <w:rFonts w:hint="eastAsia" w:cs="Times New Roman"/>
                <w:b w:val="0"/>
                <w:bCs/>
                <w:color w:val="auto"/>
                <w:sz w:val="24"/>
                <w:szCs w:val="22"/>
                <w:lang w:val="en-US" w:eastAsia="zh-CN"/>
              </w:rPr>
              <w:t>（4分）</w:t>
            </w:r>
          </w:p>
        </w:tc>
        <w:tc>
          <w:tcPr>
            <w:tcW w:w="6767" w:type="dxa"/>
            <w:noWrap w:val="0"/>
            <w:tcMar>
              <w:top w:w="0" w:type="dxa"/>
              <w:left w:w="113" w:type="dxa"/>
              <w:bottom w:w="0" w:type="dxa"/>
              <w:right w:w="113" w:type="dxa"/>
            </w:tcMar>
            <w:vAlign w:val="center"/>
          </w:tcPr>
          <w:p w14:paraId="0201FDDF">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宋体"/>
                <w:b w:val="0"/>
                <w:bCs/>
                <w:color w:val="auto"/>
                <w:kern w:val="2"/>
                <w:sz w:val="24"/>
                <w:szCs w:val="24"/>
                <w:lang w:val="en-US" w:eastAsia="zh-CN" w:bidi="ar-SA"/>
              </w:rPr>
              <w:t>新技术、新产品、新工艺、新材料应用</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4</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A3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9760669">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1505E509">
            <w:pPr>
              <w:pStyle w:val="18"/>
              <w:keepNext w:val="0"/>
              <w:keepLines w:val="0"/>
              <w:widowControl/>
              <w:suppressLineNumbers w:val="0"/>
              <w:spacing w:before="0" w:beforeAutospacing="0" w:after="0" w:afterAutospacing="0"/>
              <w:ind w:left="0" w:right="0" w:firstLine="0"/>
              <w:jc w:val="center"/>
              <w:outlineLvl w:val="9"/>
              <w:rPr>
                <w:rFonts w:hint="eastAsia" w:ascii="Times New Roman" w:hAnsi="Times New Roman" w:cs="Times New Roman"/>
                <w:b w:val="0"/>
                <w:bCs/>
                <w:color w:val="auto"/>
                <w:kern w:val="2"/>
                <w:sz w:val="24"/>
                <w:szCs w:val="22"/>
                <w:lang w:val="en-US" w:eastAsia="zh-CN" w:bidi="ar-SA"/>
              </w:rPr>
            </w:pPr>
            <w:r>
              <w:rPr>
                <w:rFonts w:hint="eastAsia" w:ascii="Times New Roman" w:hAnsi="Times New Roman" w:cs="Times New Roman"/>
                <w:b w:val="0"/>
                <w:bCs/>
                <w:color w:val="auto"/>
                <w:kern w:val="2"/>
                <w:sz w:val="24"/>
                <w:szCs w:val="22"/>
                <w:lang w:val="en-US" w:eastAsia="zh-CN" w:bidi="ar-SA"/>
              </w:rPr>
              <w:t>类似业绩</w:t>
            </w:r>
          </w:p>
          <w:p w14:paraId="5D538D88">
            <w:pPr>
              <w:pStyle w:val="18"/>
              <w:keepNext w:val="0"/>
              <w:keepLines w:val="0"/>
              <w:widowControl/>
              <w:suppressLineNumbers w:val="0"/>
              <w:spacing w:before="0" w:beforeAutospacing="0" w:after="0" w:afterAutospacing="0"/>
              <w:ind w:left="0" w:right="0" w:firstLine="0"/>
              <w:jc w:val="center"/>
              <w:outlineLvl w:val="9"/>
              <w:rPr>
                <w:rFonts w:hint="default" w:ascii="Times New Roman" w:hAnsi="Times New Roman" w:eastAsia="宋体" w:cs="Times New Roman"/>
                <w:b w:val="0"/>
                <w:bCs/>
                <w:color w:val="auto"/>
                <w:kern w:val="2"/>
                <w:sz w:val="24"/>
                <w:szCs w:val="22"/>
                <w:lang w:val="en-US" w:eastAsia="zh-CN" w:bidi="ar-SA"/>
              </w:rPr>
            </w:pP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CB9F505">
            <w:pPr>
              <w:pStyle w:val="18"/>
              <w:keepNext w:val="0"/>
              <w:keepLines w:val="0"/>
              <w:widowControl/>
              <w:suppressLineNumbers w:val="0"/>
              <w:spacing w:before="0" w:beforeAutospacing="0" w:after="0" w:afterAutospacing="0" w:line="360" w:lineRule="auto"/>
              <w:ind w:left="0" w:right="0" w:firstLine="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（20</w:t>
            </w:r>
            <w:r>
              <w:rPr>
                <w:rFonts w:hint="eastAsia" w:cs="宋体"/>
                <w:b w:val="0"/>
                <w:bCs/>
                <w:color w:val="auto"/>
                <w:kern w:val="2"/>
                <w:sz w:val="24"/>
                <w:szCs w:val="24"/>
                <w:lang w:val="en-US" w:eastAsia="zh-CN" w:bidi="ar-SA"/>
              </w:rPr>
              <w:t>22</w:t>
            </w:r>
            <w:r>
              <w:rPr>
                <w:rFonts w:hint="eastAsia" w:ascii="宋体" w:hAnsi="宋体" w:eastAsia="宋体" w:cs="宋体"/>
                <w:b w:val="0"/>
                <w:bCs/>
                <w:color w:val="auto"/>
                <w:kern w:val="2"/>
                <w:sz w:val="24"/>
                <w:szCs w:val="24"/>
                <w:lang w:val="en-US" w:eastAsia="zh-CN" w:bidi="ar-SA"/>
              </w:rPr>
              <w:t>年0</w:t>
            </w:r>
            <w:r>
              <w:rPr>
                <w:rFonts w:hint="eastAsia" w:cs="宋体"/>
                <w:b w:val="0"/>
                <w:bCs/>
                <w:color w:val="auto"/>
                <w:kern w:val="2"/>
                <w:sz w:val="24"/>
                <w:szCs w:val="24"/>
                <w:lang w:val="en-US" w:eastAsia="zh-CN" w:bidi="ar-SA"/>
              </w:rPr>
              <w:t>1</w:t>
            </w:r>
            <w:r>
              <w:rPr>
                <w:rFonts w:hint="eastAsia" w:ascii="宋体" w:hAnsi="宋体" w:eastAsia="宋体" w:cs="宋体"/>
                <w:b w:val="0"/>
                <w:bCs/>
                <w:color w:val="auto"/>
                <w:kern w:val="2"/>
                <w:sz w:val="24"/>
                <w:szCs w:val="24"/>
                <w:lang w:val="en-US" w:eastAsia="zh-CN" w:bidi="ar-SA"/>
              </w:rPr>
              <w:t>月01日至今）已完成的类似业绩。每提供一个得</w:t>
            </w:r>
            <w:r>
              <w:rPr>
                <w:rFonts w:hint="eastAsia" w:cs="宋体"/>
                <w:b w:val="0"/>
                <w:bCs/>
                <w:color w:val="auto"/>
                <w:kern w:val="2"/>
                <w:sz w:val="24"/>
                <w:szCs w:val="24"/>
                <w:lang w:val="en-US" w:eastAsia="zh-CN" w:bidi="ar-SA"/>
              </w:rPr>
              <w:t>2.5</w:t>
            </w:r>
            <w:r>
              <w:rPr>
                <w:rFonts w:hint="eastAsia" w:ascii="宋体" w:hAnsi="宋体" w:eastAsia="宋体" w:cs="宋体"/>
                <w:b w:val="0"/>
                <w:bCs/>
                <w:color w:val="auto"/>
                <w:kern w:val="2"/>
                <w:sz w:val="24"/>
                <w:szCs w:val="24"/>
                <w:lang w:val="en-US" w:eastAsia="zh-CN" w:bidi="ar-SA"/>
              </w:rPr>
              <w:t>分，最高不超过</w:t>
            </w:r>
            <w:r>
              <w:rPr>
                <w:rFonts w:hint="eastAsia" w:cs="宋体"/>
                <w:b w:val="0"/>
                <w:bCs/>
                <w:color w:val="auto"/>
                <w:kern w:val="2"/>
                <w:sz w:val="24"/>
                <w:szCs w:val="24"/>
                <w:lang w:val="en-US" w:eastAsia="zh-CN" w:bidi="ar-SA"/>
              </w:rPr>
              <w:t>5</w:t>
            </w:r>
            <w:r>
              <w:rPr>
                <w:rFonts w:hint="eastAsia" w:ascii="宋体" w:hAnsi="宋体" w:eastAsia="宋体" w:cs="宋体"/>
                <w:b w:val="0"/>
                <w:bCs/>
                <w:color w:val="auto"/>
                <w:kern w:val="2"/>
                <w:sz w:val="24"/>
                <w:szCs w:val="24"/>
                <w:lang w:val="en-US" w:eastAsia="zh-CN" w:bidi="ar-SA"/>
              </w:rPr>
              <w:t>分。需提供合同签订的首页、合同 金额所在页、合同内容页、签字盖章页作为证明。</w:t>
            </w:r>
          </w:p>
        </w:tc>
      </w:tr>
    </w:tbl>
    <w:p w14:paraId="34D1AC75">
      <w:pPr>
        <w:pStyle w:val="9"/>
        <w:outlineLvl w:val="9"/>
        <w:rPr>
          <w:rFonts w:hint="eastAsia" w:ascii="宋体" w:hAnsi="宋体" w:cs="宋体"/>
          <w:color w:val="auto"/>
        </w:rPr>
      </w:pPr>
    </w:p>
    <w:p w14:paraId="72BB4030">
      <w:pPr>
        <w:outlineLvl w:val="9"/>
        <w:rPr>
          <w:rFonts w:hint="eastAsia" w:ascii="宋体" w:hAnsi="宋体" w:cs="宋体"/>
          <w:color w:val="auto"/>
        </w:rPr>
      </w:pPr>
    </w:p>
    <w:p w14:paraId="7343D235">
      <w:pPr>
        <w:pStyle w:val="9"/>
        <w:outlineLvl w:val="9"/>
        <w:rPr>
          <w:rFonts w:hint="eastAsia" w:ascii="宋体" w:hAnsi="宋体" w:cs="宋体"/>
          <w:color w:val="auto"/>
        </w:rPr>
      </w:pPr>
    </w:p>
    <w:p w14:paraId="44151222">
      <w:pPr>
        <w:outlineLvl w:val="9"/>
        <w:rPr>
          <w:rFonts w:hint="eastAsia" w:ascii="宋体" w:hAnsi="宋体" w:cs="宋体"/>
          <w:color w:val="auto"/>
        </w:rPr>
        <w:sectPr>
          <w:pgSz w:w="11905" w:h="16838"/>
          <w:pgMar w:top="1219" w:right="1803" w:bottom="1219" w:left="1803" w:header="850" w:footer="850" w:gutter="0"/>
          <w:pgNumType w:fmt="decimal"/>
          <w:cols w:space="0" w:num="1"/>
          <w:rtlGutter w:val="0"/>
          <w:docGrid w:type="lines" w:linePitch="313" w:charSpace="0"/>
        </w:sectPr>
      </w:pPr>
    </w:p>
    <w:bookmarkEnd w:id="239"/>
    <w:p w14:paraId="2AF28945">
      <w:pPr>
        <w:bidi w:val="0"/>
        <w:spacing w:line="360" w:lineRule="auto"/>
        <w:jc w:val="center"/>
        <w:outlineLvl w:val="0"/>
        <w:rPr>
          <w:rFonts w:hint="eastAsia"/>
          <w:b/>
          <w:bCs/>
          <w:color w:val="auto"/>
          <w:sz w:val="36"/>
          <w:szCs w:val="36"/>
        </w:rPr>
      </w:pPr>
      <w:bookmarkStart w:id="247" w:name="_Toc10531"/>
      <w:bookmarkStart w:id="248" w:name="_Toc7175"/>
      <w:bookmarkStart w:id="249" w:name="_Toc15866"/>
      <w:bookmarkStart w:id="250" w:name="_Toc29384"/>
      <w:bookmarkStart w:id="251" w:name="_Toc14711"/>
      <w:bookmarkStart w:id="252" w:name="_Toc557"/>
      <w:bookmarkStart w:id="253" w:name="_Toc2619"/>
      <w:r>
        <w:rPr>
          <w:rFonts w:hint="eastAsia"/>
          <w:b/>
          <w:bCs/>
          <w:color w:val="auto"/>
          <w:sz w:val="36"/>
          <w:szCs w:val="36"/>
          <w:lang w:val="en-US" w:eastAsia="zh-CN"/>
        </w:rPr>
        <w:t>第四章  商务要求</w:t>
      </w:r>
      <w:bookmarkEnd w:id="247"/>
      <w:bookmarkEnd w:id="248"/>
      <w:bookmarkEnd w:id="249"/>
      <w:bookmarkEnd w:id="250"/>
    </w:p>
    <w:p w14:paraId="7EC6B5E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一、</w:t>
      </w:r>
      <w:r>
        <w:rPr>
          <w:rFonts w:hint="eastAsia" w:ascii="宋体" w:hAnsi="宋体" w:eastAsia="宋体" w:cs="宋体"/>
          <w:b/>
          <w:bCs w:val="0"/>
          <w:color w:val="auto"/>
          <w:sz w:val="24"/>
          <w:szCs w:val="24"/>
          <w:lang w:val="en-US" w:eastAsia="zh-CN"/>
        </w:rPr>
        <w:t>工期：</w:t>
      </w:r>
      <w:r>
        <w:rPr>
          <w:rFonts w:hint="eastAsia" w:ascii="宋体" w:hAnsi="宋体" w:cs="宋体"/>
          <w:b w:val="0"/>
          <w:bCs/>
          <w:color w:val="auto"/>
          <w:sz w:val="24"/>
          <w:szCs w:val="24"/>
          <w:lang w:val="en-US" w:eastAsia="zh-CN"/>
        </w:rPr>
        <w:t>25天</w:t>
      </w:r>
      <w:r>
        <w:rPr>
          <w:rFonts w:hint="eastAsia" w:ascii="宋体" w:hAnsi="宋体" w:eastAsia="宋体" w:cs="宋体"/>
          <w:b w:val="0"/>
          <w:bCs/>
          <w:color w:val="auto"/>
          <w:sz w:val="24"/>
          <w:szCs w:val="24"/>
          <w:lang w:val="en-US" w:eastAsia="zh-CN"/>
        </w:rPr>
        <w:t>。</w:t>
      </w:r>
    </w:p>
    <w:p w14:paraId="11CAC62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宋体" w:hAnsi="宋体"/>
          <w:b/>
          <w:bCs/>
          <w:color w:val="auto"/>
          <w:sz w:val="24"/>
          <w:highlight w:val="none"/>
          <w:lang w:val="en-US" w:eastAsia="zh-CN"/>
        </w:rPr>
      </w:pPr>
      <w:r>
        <w:rPr>
          <w:rFonts w:hint="eastAsia" w:ascii="宋体" w:hAnsi="宋体" w:cs="宋体"/>
          <w:b/>
          <w:bCs/>
          <w:color w:val="auto"/>
          <w:sz w:val="24"/>
          <w:highlight w:val="none"/>
          <w:lang w:val="en-US" w:eastAsia="zh-CN"/>
        </w:rPr>
        <w:t xml:space="preserve">  </w:t>
      </w:r>
      <w:r>
        <w:rPr>
          <w:rFonts w:hint="eastAsia" w:ascii="宋体" w:hAnsi="宋体"/>
          <w:b/>
          <w:bCs/>
          <w:color w:val="auto"/>
          <w:sz w:val="24"/>
          <w:highlight w:val="none"/>
          <w:lang w:val="en-US" w:eastAsia="zh-CN"/>
        </w:rPr>
        <w:t>质保期：</w:t>
      </w:r>
      <w:r>
        <w:rPr>
          <w:rFonts w:hint="eastAsia" w:ascii="宋体" w:hAnsi="宋体"/>
          <w:b w:val="0"/>
          <w:bCs w:val="0"/>
          <w:color w:val="auto"/>
          <w:sz w:val="24"/>
          <w:highlight w:val="none"/>
          <w:lang w:val="en-US" w:eastAsia="zh-CN"/>
        </w:rPr>
        <w:t>验收合格后1年。</w:t>
      </w:r>
    </w:p>
    <w:p w14:paraId="553247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宋体" w:hAnsi="宋体"/>
          <w:b w:val="0"/>
          <w:bCs w:val="0"/>
          <w:color w:val="auto"/>
          <w:sz w:val="24"/>
          <w:highlight w:val="none"/>
          <w:lang w:val="en-US" w:eastAsia="zh-CN"/>
        </w:rPr>
      </w:pPr>
      <w:r>
        <w:rPr>
          <w:rFonts w:hint="eastAsia" w:ascii="宋体" w:hAnsi="宋体"/>
          <w:b/>
          <w:bCs/>
          <w:color w:val="auto"/>
          <w:sz w:val="24"/>
          <w:highlight w:val="none"/>
          <w:lang w:val="en-US" w:eastAsia="zh-CN"/>
        </w:rPr>
        <w:t xml:space="preserve">  工程质量：</w:t>
      </w:r>
      <w:r>
        <w:rPr>
          <w:rFonts w:hint="eastAsia" w:ascii="宋体" w:hAnsi="宋体"/>
          <w:b w:val="0"/>
          <w:bCs w:val="0"/>
          <w:color w:val="auto"/>
          <w:sz w:val="24"/>
          <w:highlight w:val="none"/>
          <w:lang w:val="en-US" w:eastAsia="zh-CN"/>
        </w:rPr>
        <w:t>必须达到国家和地方现行施工验收规范和质量检验“合格”标准。</w:t>
      </w:r>
    </w:p>
    <w:p w14:paraId="296E5A4D">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imes New Roman" w:hAnsi="Times New Roman" w:eastAsia="宋体" w:cs="Times New Roman"/>
          <w:color w:val="auto"/>
          <w:kern w:val="2"/>
          <w:sz w:val="24"/>
          <w:szCs w:val="16"/>
          <w:lang w:val="en-US" w:eastAsia="zh-CN" w:bidi="ar-SA"/>
        </w:rPr>
      </w:pPr>
      <w:r>
        <w:rPr>
          <w:rFonts w:hint="eastAsia" w:ascii="宋体" w:hAnsi="宋体" w:cs="宋体"/>
          <w:b/>
          <w:bCs w:val="0"/>
          <w:color w:val="auto"/>
          <w:sz w:val="24"/>
          <w:szCs w:val="24"/>
          <w:lang w:val="en-US" w:eastAsia="zh-CN"/>
        </w:rPr>
        <w:t>施工地点：</w:t>
      </w:r>
      <w:r>
        <w:rPr>
          <w:rFonts w:hint="eastAsia" w:ascii="宋体" w:hAnsi="宋体" w:cs="宋体"/>
          <w:b w:val="0"/>
          <w:bCs/>
          <w:color w:val="auto"/>
          <w:sz w:val="24"/>
          <w:szCs w:val="24"/>
          <w:lang w:val="en-US" w:eastAsia="zh-CN"/>
        </w:rPr>
        <w:t>吴堡县张家山镇人民政府指定地点。</w:t>
      </w:r>
    </w:p>
    <w:p w14:paraId="7453CDF3">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合同价款</w:t>
      </w:r>
    </w:p>
    <w:p w14:paraId="7E4C81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14:paraId="3EAB31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14:paraId="7F69A725">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bookmarkStart w:id="254" w:name="_Toc16112"/>
      <w:r>
        <w:rPr>
          <w:rFonts w:hint="eastAsia" w:ascii="宋体" w:hAnsi="宋体" w:cs="宋体"/>
          <w:b/>
          <w:bCs w:val="0"/>
          <w:color w:val="auto"/>
          <w:sz w:val="24"/>
          <w:szCs w:val="24"/>
          <w:lang w:val="en-US" w:eastAsia="zh-CN"/>
        </w:rPr>
        <w:t>四、</w:t>
      </w:r>
      <w:bookmarkEnd w:id="254"/>
      <w:r>
        <w:rPr>
          <w:rFonts w:hint="eastAsia" w:ascii="宋体" w:hAnsi="宋体" w:cs="宋体"/>
          <w:b/>
          <w:bCs w:val="0"/>
          <w:color w:val="auto"/>
          <w:sz w:val="24"/>
          <w:szCs w:val="24"/>
          <w:lang w:val="en-US" w:eastAsia="zh-CN"/>
        </w:rPr>
        <w:t xml:space="preserve">付款： </w:t>
      </w:r>
    </w:p>
    <w:p w14:paraId="18F6AD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1、合同总价即成交价，不受市场价变化或实际工作量变化的影响。 </w:t>
      </w:r>
    </w:p>
    <w:p w14:paraId="4EFD5D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2、付款方式和程序： </w:t>
      </w:r>
    </w:p>
    <w:p w14:paraId="6E1025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2.1 由采购人负责结算，在付款前，供应商必须开具全额发票给采购人 （附详细清单）。 </w:t>
      </w:r>
    </w:p>
    <w:p w14:paraId="0359F26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b w:val="0"/>
          <w:bCs/>
          <w:color w:val="auto"/>
          <w:sz w:val="24"/>
          <w:szCs w:val="24"/>
          <w:shd w:val="clear"/>
          <w:lang w:val="en-US" w:eastAsia="zh-CN"/>
        </w:rPr>
      </w:pPr>
      <w:r>
        <w:rPr>
          <w:rFonts w:hint="eastAsia" w:ascii="宋体" w:hAnsi="宋体" w:eastAsia="宋体" w:cs="宋体"/>
          <w:b w:val="0"/>
          <w:bCs/>
          <w:color w:val="auto"/>
          <w:sz w:val="24"/>
          <w:szCs w:val="24"/>
          <w:lang w:val="en-US" w:eastAsia="zh-CN"/>
        </w:rPr>
        <w:t>2.2</w:t>
      </w:r>
      <w:r>
        <w:rPr>
          <w:rFonts w:hint="eastAsia" w:ascii="宋体" w:hAnsi="宋体" w:eastAsia="宋体" w:cs="宋体"/>
          <w:b w:val="0"/>
          <w:bCs/>
          <w:color w:val="auto"/>
          <w:sz w:val="24"/>
          <w:szCs w:val="24"/>
          <w:shd w:val="clear"/>
          <w:lang w:val="en-US" w:eastAsia="zh-CN"/>
        </w:rPr>
        <w:t xml:space="preserve"> 付款方式：</w:t>
      </w:r>
      <w:r>
        <w:rPr>
          <w:rFonts w:hint="eastAsia" w:ascii="宋体" w:hAnsi="宋体" w:cs="宋体"/>
          <w:b w:val="0"/>
          <w:bCs/>
          <w:color w:val="auto"/>
          <w:sz w:val="24"/>
          <w:szCs w:val="24"/>
          <w:shd w:val="clear"/>
          <w:lang w:val="en-US" w:eastAsia="zh-CN"/>
        </w:rPr>
        <w:t>项目开工后拨付合同价40%预付款，项目竣工验收后，以决算评审价为准，支付剩余工程款。</w:t>
      </w:r>
    </w:p>
    <w:p w14:paraId="58F3FD17">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rPr>
      </w:pPr>
      <w:r>
        <w:rPr>
          <w:rFonts w:hint="eastAsia" w:ascii="宋体" w:hAnsi="宋体" w:cs="宋体"/>
          <w:b/>
          <w:bCs w:val="0"/>
          <w:color w:val="auto"/>
          <w:sz w:val="24"/>
          <w:szCs w:val="24"/>
        </w:rPr>
        <w:t>五、</w:t>
      </w:r>
      <w:r>
        <w:rPr>
          <w:rFonts w:ascii="宋体" w:hAnsi="宋体" w:eastAsia="宋体" w:cs="宋体"/>
          <w:b/>
          <w:bCs w:val="0"/>
          <w:color w:val="auto"/>
          <w:sz w:val="24"/>
          <w:szCs w:val="24"/>
        </w:rPr>
        <w:t>服务保证</w:t>
      </w:r>
    </w:p>
    <w:p w14:paraId="60FEEC7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ascii="宋体" w:hAnsi="宋体" w:eastAsia="宋体" w:cs="宋体"/>
          <w:b w:val="0"/>
          <w:bCs w:val="0"/>
          <w:color w:val="auto"/>
          <w:sz w:val="24"/>
          <w:szCs w:val="24"/>
        </w:rPr>
      </w:pPr>
      <w:r>
        <w:rPr>
          <w:rFonts w:ascii="宋体" w:hAnsi="宋体" w:eastAsia="宋体" w:cs="宋体"/>
          <w:b w:val="0"/>
          <w:bCs w:val="0"/>
          <w:color w:val="auto"/>
          <w:sz w:val="24"/>
          <w:szCs w:val="24"/>
        </w:rPr>
        <w:t>供应商交付的服务及材料必须保证质量可靠，应全面满足</w:t>
      </w:r>
      <w:r>
        <w:rPr>
          <w:rFonts w:hint="eastAsia" w:ascii="宋体" w:hAnsi="宋体" w:eastAsia="宋体" w:cs="宋体"/>
          <w:b w:val="0"/>
          <w:bCs w:val="0"/>
          <w:color w:val="auto"/>
          <w:sz w:val="24"/>
          <w:szCs w:val="24"/>
          <w:lang w:val="en-US" w:eastAsia="zh-CN"/>
        </w:rPr>
        <w:t>招标</w:t>
      </w:r>
      <w:r>
        <w:rPr>
          <w:rFonts w:ascii="宋体" w:hAnsi="宋体" w:eastAsia="宋体" w:cs="宋体"/>
          <w:b w:val="0"/>
          <w:bCs w:val="0"/>
          <w:color w:val="auto"/>
          <w:sz w:val="24"/>
          <w:szCs w:val="24"/>
        </w:rPr>
        <w:t>文件的要求，采购文件未明确要求的内容，供应商按磋商服务要求或以采购人的 补充要求为准。所供服务及材料应严格按照国家最新发布的规范标准执行，如发生问题由供应商承担全部责任。</w:t>
      </w:r>
    </w:p>
    <w:p w14:paraId="671536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ascii="宋体" w:hAnsi="宋体" w:eastAsia="宋体" w:cs="宋体"/>
          <w:b/>
          <w:bCs/>
          <w:color w:val="auto"/>
          <w:sz w:val="24"/>
          <w:szCs w:val="24"/>
        </w:rPr>
      </w:pPr>
      <w:r>
        <w:rPr>
          <w:rFonts w:hint="eastAsia" w:ascii="宋体" w:hAnsi="宋体" w:cs="宋体"/>
          <w:b/>
          <w:bCs/>
          <w:color w:val="auto"/>
          <w:sz w:val="24"/>
          <w:szCs w:val="24"/>
          <w:lang w:val="en-US" w:eastAsia="zh-CN"/>
        </w:rPr>
        <w:t>六、</w:t>
      </w:r>
      <w:r>
        <w:rPr>
          <w:rFonts w:ascii="宋体" w:hAnsi="宋体" w:eastAsia="宋体" w:cs="宋体"/>
          <w:b/>
          <w:bCs/>
          <w:color w:val="auto"/>
          <w:sz w:val="24"/>
          <w:szCs w:val="24"/>
        </w:rPr>
        <w:t>知识产权</w:t>
      </w:r>
    </w:p>
    <w:p w14:paraId="60EF51EF">
      <w:pPr>
        <w:pStyle w:val="9"/>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70516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七、违约责任</w:t>
      </w:r>
    </w:p>
    <w:p w14:paraId="487A18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按《中华人民共和国政府采购法》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《中华人民共和国民法典》中的相关条款执行。 </w:t>
      </w:r>
    </w:p>
    <w:p w14:paraId="11AF1F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未按合同或</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 xml:space="preserve">文件要求提供服务或供应的服务质量不能满足采购人技术要求，采购单位有权终止合同，甚至对供应商违约行为进行追究。 </w:t>
      </w:r>
    </w:p>
    <w:p w14:paraId="78A84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供应商的响应文件为签订正式书面合同书不可分割的部分，供应商应履行相应的责任。</w:t>
      </w:r>
    </w:p>
    <w:p w14:paraId="564BA5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color w:val="auto"/>
        </w:rPr>
      </w:pPr>
      <w:r>
        <w:rPr>
          <w:rFonts w:hint="eastAsia" w:ascii="宋体" w:hAnsi="宋体" w:eastAsia="宋体" w:cs="宋体"/>
          <w:b/>
          <w:bCs/>
          <w:color w:val="auto"/>
          <w:sz w:val="24"/>
          <w:szCs w:val="24"/>
          <w:lang w:val="en-US" w:eastAsia="zh-CN"/>
        </w:rPr>
        <w:t>八、验收标准</w:t>
      </w:r>
    </w:p>
    <w:p w14:paraId="008DEC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53E266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验收依据：</w:t>
      </w:r>
      <w:r>
        <w:rPr>
          <w:rFonts w:hint="eastAsia" w:ascii="宋体" w:hAnsi="宋体" w:eastAsia="宋体" w:cs="宋体"/>
          <w:color w:val="auto"/>
          <w:sz w:val="24"/>
          <w:szCs w:val="24"/>
        </w:rPr>
        <w:t>合同文本、磋商文件、磋商响应文件；国家或行业标准、规范等规定的标准和方法。</w:t>
      </w:r>
    </w:p>
    <w:p w14:paraId="144CA61D">
      <w:pPr>
        <w:bidi w:val="0"/>
        <w:spacing w:line="360" w:lineRule="auto"/>
        <w:ind w:firstLine="480" w:firstLineChars="200"/>
        <w:outlineLvl w:val="9"/>
        <w:rPr>
          <w:rFonts w:hint="eastAsia" w:ascii="宋体" w:hAnsi="宋体" w:eastAsia="宋体" w:cs="宋体"/>
          <w:color w:val="auto"/>
          <w:sz w:val="24"/>
          <w:szCs w:val="24"/>
        </w:rPr>
        <w:sectPr>
          <w:pgSz w:w="11905" w:h="16838"/>
          <w:pgMar w:top="1219" w:right="1803" w:bottom="1219" w:left="1803" w:header="850" w:footer="850" w:gutter="0"/>
          <w:pgNumType w:fmt="decimal"/>
          <w:cols w:space="0" w:num="1"/>
          <w:rtlGutter w:val="0"/>
          <w:docGrid w:type="lines" w:linePitch="313" w:charSpace="0"/>
        </w:sectPr>
      </w:pPr>
    </w:p>
    <w:bookmarkEnd w:id="251"/>
    <w:bookmarkEnd w:id="252"/>
    <w:bookmarkEnd w:id="253"/>
    <w:p w14:paraId="3AA25167">
      <w:pPr>
        <w:bidi w:val="0"/>
        <w:jc w:val="center"/>
        <w:outlineLvl w:val="0"/>
        <w:rPr>
          <w:rFonts w:hint="eastAsia" w:eastAsia="宋体"/>
          <w:b/>
          <w:bCs/>
          <w:color w:val="auto"/>
          <w:sz w:val="36"/>
          <w:szCs w:val="36"/>
          <w:lang w:eastAsia="zh-CN"/>
        </w:rPr>
      </w:pPr>
      <w:bookmarkStart w:id="255" w:name="_Toc31409"/>
      <w:bookmarkStart w:id="256" w:name="_Toc25814"/>
      <w:bookmarkStart w:id="257" w:name="_Toc21882"/>
      <w:bookmarkStart w:id="258" w:name="_Toc28604"/>
      <w:bookmarkStart w:id="259" w:name="_Toc25118"/>
      <w:bookmarkStart w:id="260" w:name="_Toc3752"/>
      <w:bookmarkStart w:id="261" w:name="_Toc6363"/>
      <w:bookmarkStart w:id="262" w:name="_Toc26171"/>
      <w:bookmarkStart w:id="263" w:name="_Toc3157"/>
      <w:bookmarkStart w:id="264" w:name="_Toc24168"/>
      <w:bookmarkStart w:id="265" w:name="_Toc17980"/>
      <w:bookmarkStart w:id="266" w:name="_Toc30843"/>
      <w:bookmarkStart w:id="267" w:name="_Toc28897"/>
      <w:bookmarkStart w:id="268" w:name="_Toc14444"/>
      <w:bookmarkStart w:id="269" w:name="_Toc1581"/>
      <w:bookmarkStart w:id="270" w:name="_Toc13059"/>
      <w:bookmarkStart w:id="271" w:name="_Toc474770760"/>
      <w:bookmarkStart w:id="272" w:name="_Toc510859905"/>
      <w:bookmarkStart w:id="273" w:name="_Toc6072"/>
      <w:bookmarkStart w:id="274" w:name="_Toc504605199"/>
      <w:r>
        <w:rPr>
          <w:rFonts w:hint="eastAsia"/>
          <w:b/>
          <w:bCs/>
          <w:color w:val="auto"/>
          <w:sz w:val="36"/>
          <w:szCs w:val="36"/>
          <w:lang w:val="en-US" w:eastAsia="zh-CN"/>
        </w:rPr>
        <w:t>第五章</w:t>
      </w:r>
      <w:r>
        <w:rPr>
          <w:rFonts w:hint="eastAsia"/>
          <w:b/>
          <w:bCs/>
          <w:color w:val="auto"/>
          <w:sz w:val="36"/>
          <w:szCs w:val="36"/>
        </w:rPr>
        <w:t xml:space="preserve"> </w:t>
      </w:r>
      <w:r>
        <w:rPr>
          <w:rFonts w:hint="eastAsia"/>
          <w:b/>
          <w:bCs/>
          <w:color w:val="auto"/>
          <w:sz w:val="36"/>
          <w:szCs w:val="36"/>
          <w:lang w:val="en-US" w:eastAsia="zh-CN"/>
        </w:rPr>
        <w:t xml:space="preserve"> </w:t>
      </w:r>
      <w:bookmarkEnd w:id="255"/>
      <w:r>
        <w:rPr>
          <w:rFonts w:hint="eastAsia"/>
          <w:b/>
          <w:bCs/>
          <w:color w:val="auto"/>
          <w:sz w:val="36"/>
          <w:szCs w:val="36"/>
        </w:rPr>
        <w:t>政府采购合同</w:t>
      </w:r>
      <w:bookmarkEnd w:id="256"/>
      <w:bookmarkEnd w:id="257"/>
      <w:bookmarkEnd w:id="258"/>
      <w:r>
        <w:rPr>
          <w:rFonts w:hint="eastAsia"/>
          <w:b/>
          <w:bCs/>
          <w:color w:val="auto"/>
          <w:sz w:val="36"/>
          <w:szCs w:val="36"/>
          <w:lang w:eastAsia="zh-CN"/>
        </w:rPr>
        <w:t>（</w:t>
      </w:r>
      <w:r>
        <w:rPr>
          <w:rFonts w:hint="eastAsia"/>
          <w:b/>
          <w:bCs/>
          <w:color w:val="auto"/>
          <w:sz w:val="36"/>
          <w:szCs w:val="36"/>
          <w:lang w:val="en-US" w:eastAsia="zh-CN"/>
        </w:rPr>
        <w:t>仅供参考</w:t>
      </w:r>
      <w:r>
        <w:rPr>
          <w:rFonts w:hint="eastAsia"/>
          <w:b/>
          <w:bCs/>
          <w:color w:val="auto"/>
          <w:sz w:val="36"/>
          <w:szCs w:val="36"/>
          <w:lang w:eastAsia="zh-CN"/>
        </w:rPr>
        <w:t>）</w:t>
      </w:r>
      <w:bookmarkEnd w:id="259"/>
    </w:p>
    <w:bookmarkEnd w:id="260"/>
    <w:bookmarkEnd w:id="261"/>
    <w:bookmarkEnd w:id="262"/>
    <w:bookmarkEnd w:id="263"/>
    <w:bookmarkEnd w:id="264"/>
    <w:bookmarkEnd w:id="265"/>
    <w:bookmarkEnd w:id="266"/>
    <w:bookmarkEnd w:id="267"/>
    <w:bookmarkEnd w:id="268"/>
    <w:bookmarkEnd w:id="269"/>
    <w:bookmarkEnd w:id="270"/>
    <w:p w14:paraId="37BFFE6A">
      <w:pPr>
        <w:pStyle w:val="2"/>
        <w:pageBreakBefore w:val="0"/>
        <w:kinsoku/>
        <w:wordWrap/>
        <w:overflowPunct/>
        <w:topLinePunct w:val="0"/>
        <w:bidi w:val="0"/>
        <w:snapToGrid/>
        <w:spacing w:line="360" w:lineRule="auto"/>
        <w:jc w:val="center"/>
        <w:textAlignment w:val="auto"/>
        <w:rPr>
          <w:rFonts w:hint="eastAsia" w:ascii="宋体" w:hAnsi="宋体" w:eastAsia="宋体" w:cs="宋体"/>
          <w:color w:val="auto"/>
          <w:sz w:val="24"/>
          <w:szCs w:val="24"/>
        </w:rPr>
      </w:pPr>
      <w:bookmarkStart w:id="275" w:name="_Toc10348"/>
      <w:bookmarkStart w:id="276" w:name="_Toc10165"/>
      <w:bookmarkStart w:id="277" w:name="_Toc173"/>
      <w:bookmarkStart w:id="278" w:name="_Toc21787"/>
      <w:bookmarkStart w:id="279" w:name="_Toc21474"/>
      <w:r>
        <w:rPr>
          <w:rFonts w:hint="eastAsia" w:ascii="宋体" w:hAnsi="宋体" w:eastAsia="宋体" w:cs="宋体"/>
          <w:color w:val="auto"/>
          <w:sz w:val="24"/>
          <w:szCs w:val="24"/>
          <w:lang w:eastAsia="zh-CN"/>
        </w:rPr>
        <w:t>建设工程施工合同（示范文本）</w:t>
      </w:r>
      <w:bookmarkEnd w:id="275"/>
      <w:bookmarkEnd w:id="276"/>
    </w:p>
    <w:bookmarkEnd w:id="277"/>
    <w:bookmarkEnd w:id="278"/>
    <w:p w14:paraId="2EBC4B2B">
      <w:pPr>
        <w:pStyle w:val="18"/>
        <w:keepNext w:val="0"/>
        <w:keepLines w:val="0"/>
        <w:pageBreakBefore w:val="0"/>
        <w:widowControl/>
        <w:suppressLineNumbers w:val="0"/>
        <w:kinsoku/>
        <w:wordWrap/>
        <w:overflowPunct/>
        <w:topLinePunct w:val="0"/>
        <w:bidi w:val="0"/>
        <w:snapToGrid/>
        <w:spacing w:before="0" w:beforeAutospacing="0" w:after="0" w:afterAutospacing="0" w:line="288"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本工程施工合同采用建设部、国家工商行政管理局</w:t>
      </w:r>
      <w:r>
        <w:rPr>
          <w:rFonts w:hint="eastAsia" w:ascii="宋体" w:hAnsi="宋体" w:eastAsia="宋体" w:cs="宋体"/>
          <w:color w:val="auto"/>
          <w:sz w:val="24"/>
          <w:szCs w:val="24"/>
          <w:lang w:val="en-US" w:eastAsia="zh-CN"/>
        </w:rPr>
        <w:t>2017</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执行</w:t>
      </w:r>
      <w:r>
        <w:rPr>
          <w:rFonts w:hint="eastAsia" w:ascii="宋体" w:hAnsi="宋体" w:eastAsia="宋体" w:cs="宋体"/>
          <w:color w:val="auto"/>
          <w:sz w:val="24"/>
          <w:szCs w:val="24"/>
        </w:rPr>
        <w:t>的：《建设工程施工合同(示范文本)》(GF-2017-0201)</w:t>
      </w:r>
    </w:p>
    <w:p w14:paraId="12B7B651">
      <w:pPr>
        <w:pStyle w:val="3"/>
        <w:pageBreakBefore w:val="0"/>
        <w:kinsoku/>
        <w:wordWrap/>
        <w:overflowPunct/>
        <w:topLinePunct w:val="0"/>
        <w:bidi w:val="0"/>
        <w:snapToGrid/>
        <w:spacing w:before="0" w:after="0" w:line="288" w:lineRule="auto"/>
        <w:ind w:firstLine="1440" w:firstLineChars="600"/>
        <w:jc w:val="center"/>
        <w:textAlignment w:val="auto"/>
        <w:rPr>
          <w:rFonts w:hint="eastAsia" w:ascii="宋体" w:hAnsi="宋体" w:eastAsia="宋体" w:cs="宋体"/>
          <w:b w:val="0"/>
          <w:bCs/>
          <w:color w:val="auto"/>
          <w:sz w:val="24"/>
          <w:szCs w:val="24"/>
        </w:rPr>
      </w:pPr>
      <w:bookmarkStart w:id="280" w:name="_Toc169940955"/>
      <w:bookmarkStart w:id="281" w:name="_Toc132684565"/>
      <w:bookmarkStart w:id="282" w:name="_Toc145989449"/>
    </w:p>
    <w:bookmarkEnd w:id="280"/>
    <w:bookmarkEnd w:id="281"/>
    <w:bookmarkEnd w:id="282"/>
    <w:p w14:paraId="634D2D45">
      <w:pPr>
        <w:pStyle w:val="4"/>
        <w:pageBreakBefore w:val="0"/>
        <w:kinsoku/>
        <w:wordWrap/>
        <w:overflowPunct/>
        <w:topLinePunct w:val="0"/>
        <w:bidi w:val="0"/>
        <w:snapToGrid/>
        <w:spacing w:line="288" w:lineRule="auto"/>
        <w:jc w:val="center"/>
        <w:textAlignment w:val="auto"/>
        <w:rPr>
          <w:rFonts w:hint="eastAsia" w:ascii="宋体" w:hAnsi="宋体" w:eastAsia="宋体" w:cs="宋体"/>
          <w:b w:val="0"/>
          <w:color w:val="auto"/>
          <w:sz w:val="24"/>
          <w:szCs w:val="24"/>
        </w:rPr>
      </w:pPr>
      <w:r>
        <w:rPr>
          <w:rFonts w:hint="eastAsia" w:ascii="宋体" w:hAnsi="宋体" w:eastAsia="宋体" w:cs="宋体"/>
          <w:color w:val="auto"/>
          <w:sz w:val="24"/>
          <w:szCs w:val="24"/>
        </w:rPr>
        <w:t>合同协议书</w:t>
      </w:r>
    </w:p>
    <w:p w14:paraId="27602443">
      <w:pPr>
        <w:pageBreakBefore w:val="0"/>
        <w:kinsoku/>
        <w:wordWrap/>
        <w:overflowPunct/>
        <w:topLinePunct w:val="0"/>
        <w:bidi w:val="0"/>
        <w:snapToGrid/>
        <w:spacing w:line="288" w:lineRule="auto"/>
        <w:textAlignment w:val="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u w:val="single"/>
        </w:rPr>
        <w:t xml:space="preserve">  </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u w:val="single"/>
        </w:rPr>
        <w:t xml:space="preserve">    </w:t>
      </w:r>
    </w:p>
    <w:p w14:paraId="2340D091">
      <w:pPr>
        <w:pageBreakBefore w:val="0"/>
        <w:kinsoku/>
        <w:wordWrap/>
        <w:overflowPunct/>
        <w:topLinePunct w:val="0"/>
        <w:bidi w:val="0"/>
        <w:snapToGrid/>
        <w:spacing w:line="288" w:lineRule="auto"/>
        <w:textAlignment w:val="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44D22D48">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根据《中华人民共和国合同法》、《中华人民共和国建筑法》及有关法律规定，遵循平等、自愿、公平和诚实信用的原则，双方就</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color w:val="auto"/>
          <w:sz w:val="24"/>
          <w:szCs w:val="24"/>
          <w:lang w:val="en-US" w:eastAsia="zh-CN"/>
        </w:rPr>
        <w:t>施工及有关事项协商一致，共</w:t>
      </w:r>
      <w:r>
        <w:rPr>
          <w:rFonts w:hint="eastAsia" w:ascii="宋体" w:hAnsi="宋体" w:eastAsia="宋体" w:cs="宋体"/>
          <w:color w:val="auto"/>
          <w:sz w:val="24"/>
          <w:szCs w:val="24"/>
        </w:rPr>
        <w:t>同达成如下协议：</w:t>
      </w:r>
    </w:p>
    <w:p w14:paraId="77468426">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283" w:name="_Toc351203481"/>
      <w:r>
        <w:rPr>
          <w:rFonts w:hint="eastAsia" w:ascii="宋体" w:hAnsi="宋体" w:eastAsia="宋体" w:cs="宋体"/>
          <w:b w:val="0"/>
          <w:color w:val="auto"/>
          <w:sz w:val="24"/>
          <w:szCs w:val="24"/>
        </w:rPr>
        <w:t>一、工程概况</w:t>
      </w:r>
      <w:bookmarkEnd w:id="283"/>
    </w:p>
    <w:p w14:paraId="0A3BA70C">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BB99E7F">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6DFB1D6">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524DC61A">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5ECA7844">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57C0AC9C">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43EB47FE">
      <w:pPr>
        <w:pageBreakBefore w:val="0"/>
        <w:kinsoku/>
        <w:wordWrap/>
        <w:overflowPunct/>
        <w:topLinePunct w:val="0"/>
        <w:bidi w:val="0"/>
        <w:snapToGrid/>
        <w:spacing w:line="288"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5A59E483">
      <w:pPr>
        <w:pageBreakBefore w:val="0"/>
        <w:kinsoku/>
        <w:wordWrap/>
        <w:overflowPunct/>
        <w:topLinePunct w:val="0"/>
        <w:bidi w:val="0"/>
        <w:snapToGrid/>
        <w:spacing w:line="288" w:lineRule="auto"/>
        <w:ind w:firstLine="463" w:firstLineChars="19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54DDB9DE">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B6718E3">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284" w:name="_Toc351203482"/>
      <w:r>
        <w:rPr>
          <w:rFonts w:hint="eastAsia" w:ascii="宋体" w:hAnsi="宋体" w:eastAsia="宋体" w:cs="宋体"/>
          <w:b w:val="0"/>
          <w:color w:val="auto"/>
          <w:sz w:val="24"/>
          <w:szCs w:val="24"/>
        </w:rPr>
        <w:t>二、合同工期</w:t>
      </w:r>
      <w:bookmarkEnd w:id="284"/>
    </w:p>
    <w:p w14:paraId="1ABFA35B">
      <w:pPr>
        <w:pageBreakBefore w:val="0"/>
        <w:kinsoku/>
        <w:wordWrap/>
        <w:overflowPunct/>
        <w:topLinePunct w:val="0"/>
        <w:bidi w:val="0"/>
        <w:snapToGrid/>
        <w:spacing w:line="288"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6D472C06">
      <w:pPr>
        <w:pageBreakBefore w:val="0"/>
        <w:kinsoku/>
        <w:wordWrap/>
        <w:overflowPunct/>
        <w:topLinePunct w:val="0"/>
        <w:bidi w:val="0"/>
        <w:snapToGrid/>
        <w:spacing w:line="288"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45F20667">
      <w:pPr>
        <w:pageBreakBefore w:val="0"/>
        <w:kinsoku/>
        <w:wordWrap/>
        <w:overflowPunct/>
        <w:topLinePunct w:val="0"/>
        <w:bidi w:val="0"/>
        <w:snapToGrid/>
        <w:spacing w:line="288"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天。工期总日历天数与根据前述计划开竣工日期计算的工期天数不一致的，以工期总日历天数为准。</w:t>
      </w:r>
    </w:p>
    <w:p w14:paraId="1E547C5E">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285" w:name="_Toc351203483"/>
      <w:r>
        <w:rPr>
          <w:rFonts w:hint="eastAsia" w:ascii="宋体" w:hAnsi="宋体" w:eastAsia="宋体" w:cs="宋体"/>
          <w:b w:val="0"/>
          <w:color w:val="auto"/>
          <w:sz w:val="24"/>
          <w:szCs w:val="24"/>
        </w:rPr>
        <w:t>三、质量标准</w:t>
      </w:r>
      <w:bookmarkEnd w:id="285"/>
    </w:p>
    <w:p w14:paraId="0995C0EF">
      <w:pPr>
        <w:pageBreakBefore w:val="0"/>
        <w:kinsoku/>
        <w:wordWrap/>
        <w:overflowPunct/>
        <w:topLinePunct w:val="0"/>
        <w:bidi w:val="0"/>
        <w:snapToGrid/>
        <w:spacing w:line="288"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合格</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62080362">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286" w:name="_Toc351203484"/>
      <w:r>
        <w:rPr>
          <w:rFonts w:hint="eastAsia" w:ascii="宋体" w:hAnsi="宋体" w:eastAsia="宋体" w:cs="宋体"/>
          <w:b w:val="0"/>
          <w:color w:val="auto"/>
          <w:sz w:val="24"/>
          <w:szCs w:val="24"/>
        </w:rPr>
        <w:t>四、签约合同价与合同价格形式</w:t>
      </w:r>
      <w:bookmarkEnd w:id="286"/>
      <w:r>
        <w:rPr>
          <w:rFonts w:hint="eastAsia" w:ascii="宋体" w:hAnsi="宋体" w:eastAsia="宋体" w:cs="宋体"/>
          <w:b w:val="0"/>
          <w:color w:val="auto"/>
          <w:sz w:val="24"/>
          <w:szCs w:val="24"/>
        </w:rPr>
        <w:tab/>
      </w:r>
    </w:p>
    <w:p w14:paraId="4AE991EC">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0605138C">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1B1ECA91">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146704F7">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23CB6154">
      <w:pPr>
        <w:pageBreakBefore w:val="0"/>
        <w:kinsoku/>
        <w:wordWrap/>
        <w:overflowPunct/>
        <w:topLinePunct w:val="0"/>
        <w:bidi w:val="0"/>
        <w:snapToGrid/>
        <w:spacing w:line="288"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054C004">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5F4C82BE">
      <w:pPr>
        <w:pageBreakBefore w:val="0"/>
        <w:kinsoku/>
        <w:wordWrap/>
        <w:overflowPunct/>
        <w:topLinePunct w:val="0"/>
        <w:bidi w:val="0"/>
        <w:snapToGrid/>
        <w:spacing w:line="288"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B2A869C">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21674D44">
      <w:pPr>
        <w:pageBreakBefore w:val="0"/>
        <w:kinsoku/>
        <w:wordWrap/>
        <w:overflowPunct/>
        <w:topLinePunct w:val="0"/>
        <w:bidi w:val="0"/>
        <w:snapToGrid/>
        <w:spacing w:line="288"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243C7729">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06C0F9B0">
      <w:pPr>
        <w:pageBreakBefore w:val="0"/>
        <w:kinsoku/>
        <w:wordWrap/>
        <w:overflowPunct/>
        <w:topLinePunct w:val="0"/>
        <w:bidi w:val="0"/>
        <w:snapToGrid/>
        <w:spacing w:line="288"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212C3FFB">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D468275">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287" w:name="_Toc351203485"/>
      <w:r>
        <w:rPr>
          <w:rFonts w:hint="eastAsia" w:ascii="宋体" w:hAnsi="宋体" w:eastAsia="宋体" w:cs="宋体"/>
          <w:b w:val="0"/>
          <w:color w:val="auto"/>
          <w:sz w:val="24"/>
          <w:szCs w:val="24"/>
        </w:rPr>
        <w:t>五、</w:t>
      </w:r>
      <w:bookmarkEnd w:id="287"/>
      <w:r>
        <w:rPr>
          <w:rFonts w:hint="eastAsia" w:ascii="宋体" w:hAnsi="宋体" w:eastAsia="宋体" w:cs="宋体"/>
          <w:b w:val="0"/>
          <w:color w:val="auto"/>
          <w:sz w:val="24"/>
          <w:szCs w:val="24"/>
        </w:rPr>
        <w:t>项目经理</w:t>
      </w:r>
    </w:p>
    <w:p w14:paraId="334AE456">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43A0EC7">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288" w:name="_Toc351203486"/>
      <w:r>
        <w:rPr>
          <w:rFonts w:hint="eastAsia" w:ascii="宋体" w:hAnsi="宋体" w:eastAsia="宋体" w:cs="宋体"/>
          <w:b w:val="0"/>
          <w:color w:val="auto"/>
          <w:sz w:val="24"/>
          <w:szCs w:val="24"/>
        </w:rPr>
        <w:t>六、合同文件构成</w:t>
      </w:r>
      <w:bookmarkEnd w:id="288"/>
    </w:p>
    <w:p w14:paraId="68D9E9F1">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489C1CF4">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通知书（如果有）；</w:t>
      </w:r>
    </w:p>
    <w:p w14:paraId="3032413D">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磋商响应</w:t>
      </w:r>
      <w:r>
        <w:rPr>
          <w:rFonts w:hint="eastAsia" w:ascii="宋体" w:hAnsi="宋体" w:eastAsia="宋体" w:cs="宋体"/>
          <w:color w:val="auto"/>
          <w:sz w:val="24"/>
          <w:szCs w:val="24"/>
        </w:rPr>
        <w:t xml:space="preserve">函及其附录（如果有）； </w:t>
      </w:r>
    </w:p>
    <w:p w14:paraId="78F62324">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4F21D748">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4CC48AD1">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0FBE4431">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5CFFC3C8">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545758AB">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761E8D61">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65860B60">
      <w:pPr>
        <w:pageBreakBefore w:val="0"/>
        <w:kinsoku/>
        <w:wordWrap/>
        <w:overflowPunct/>
        <w:topLinePunct w:val="0"/>
        <w:autoSpaceDE w:val="0"/>
        <w:autoSpaceDN w:val="0"/>
        <w:bidi w:val="0"/>
        <w:adjustRightInd w:val="0"/>
        <w:snapToGrid/>
        <w:spacing w:line="288"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37E03E5F">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289" w:name="_Toc351203487"/>
      <w:r>
        <w:rPr>
          <w:rFonts w:hint="eastAsia" w:ascii="宋体" w:hAnsi="宋体" w:eastAsia="宋体" w:cs="宋体"/>
          <w:b w:val="0"/>
          <w:color w:val="auto"/>
          <w:sz w:val="24"/>
          <w:szCs w:val="24"/>
        </w:rPr>
        <w:t>七、承诺</w:t>
      </w:r>
      <w:bookmarkEnd w:id="289"/>
    </w:p>
    <w:p w14:paraId="57F65EB2">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0D976363">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126A30CD">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4ED7BC6B">
      <w:pPr>
        <w:pageBreakBefore w:val="0"/>
        <w:kinsoku/>
        <w:wordWrap/>
        <w:overflowPunct/>
        <w:topLinePunct w:val="0"/>
        <w:bidi w:val="0"/>
        <w:snapToGrid/>
        <w:spacing w:line="288" w:lineRule="auto"/>
        <w:textAlignment w:val="auto"/>
        <w:rPr>
          <w:rFonts w:hint="eastAsia" w:ascii="宋体" w:hAnsi="宋体" w:eastAsia="宋体" w:cs="宋体"/>
          <w:bCs/>
          <w:color w:val="auto"/>
          <w:sz w:val="24"/>
          <w:szCs w:val="24"/>
        </w:rPr>
      </w:pPr>
      <w:bookmarkStart w:id="290" w:name="_Toc351203488"/>
      <w:r>
        <w:rPr>
          <w:rFonts w:hint="eastAsia" w:ascii="宋体" w:hAnsi="宋体" w:eastAsia="宋体" w:cs="宋体"/>
          <w:b/>
          <w:color w:val="auto"/>
          <w:sz w:val="24"/>
          <w:szCs w:val="24"/>
        </w:rPr>
        <w:t xml:space="preserve">    </w:t>
      </w:r>
      <w:r>
        <w:rPr>
          <w:rFonts w:hint="eastAsia" w:ascii="宋体" w:hAnsi="宋体" w:eastAsia="宋体" w:cs="宋体"/>
          <w:b w:val="0"/>
          <w:bCs/>
          <w:color w:val="auto"/>
          <w:sz w:val="24"/>
          <w:szCs w:val="24"/>
        </w:rPr>
        <w:t>八、词语含义</w:t>
      </w:r>
      <w:bookmarkEnd w:id="290"/>
    </w:p>
    <w:p w14:paraId="2BB78E18">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1B134B30">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291" w:name="_Toc351203489"/>
      <w:r>
        <w:rPr>
          <w:rFonts w:hint="eastAsia" w:ascii="宋体" w:hAnsi="宋体" w:eastAsia="宋体" w:cs="宋体"/>
          <w:b w:val="0"/>
          <w:color w:val="auto"/>
          <w:sz w:val="24"/>
          <w:szCs w:val="24"/>
        </w:rPr>
        <w:t>九、签订时间</w:t>
      </w:r>
      <w:bookmarkEnd w:id="291"/>
    </w:p>
    <w:p w14:paraId="5A25779D">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14140D34">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292" w:name="_Toc351203490"/>
      <w:r>
        <w:rPr>
          <w:rFonts w:hint="eastAsia" w:ascii="宋体" w:hAnsi="宋体" w:eastAsia="宋体" w:cs="宋体"/>
          <w:b w:val="0"/>
          <w:color w:val="auto"/>
          <w:sz w:val="24"/>
          <w:szCs w:val="24"/>
        </w:rPr>
        <w:t>十、签订地点</w:t>
      </w:r>
      <w:bookmarkEnd w:id="292"/>
    </w:p>
    <w:p w14:paraId="729E2590">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53B216DB">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293" w:name="_Toc351203491"/>
      <w:r>
        <w:rPr>
          <w:rFonts w:hint="eastAsia" w:ascii="宋体" w:hAnsi="宋体" w:eastAsia="宋体" w:cs="宋体"/>
          <w:b w:val="0"/>
          <w:color w:val="auto"/>
          <w:sz w:val="24"/>
          <w:szCs w:val="24"/>
        </w:rPr>
        <w:t>十一、补充协议</w:t>
      </w:r>
      <w:bookmarkEnd w:id="293"/>
    </w:p>
    <w:p w14:paraId="20590D5C">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6105E244">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294" w:name="_Toc351203492"/>
      <w:r>
        <w:rPr>
          <w:rFonts w:hint="eastAsia" w:ascii="宋体" w:hAnsi="宋体" w:eastAsia="宋体" w:cs="宋体"/>
          <w:b w:val="0"/>
          <w:color w:val="auto"/>
          <w:sz w:val="24"/>
          <w:szCs w:val="24"/>
        </w:rPr>
        <w:t>十二、合同生效</w:t>
      </w:r>
      <w:bookmarkEnd w:id="294"/>
    </w:p>
    <w:p w14:paraId="423B0FAE">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70F5DB79">
      <w:pPr>
        <w:pStyle w:val="5"/>
        <w:pageBreakBefore w:val="0"/>
        <w:tabs>
          <w:tab w:val="left" w:pos="864"/>
        </w:tabs>
        <w:kinsoku/>
        <w:wordWrap/>
        <w:overflowPunct/>
        <w:topLinePunct w:val="0"/>
        <w:bidi w:val="0"/>
        <w:snapToGrid/>
        <w:spacing w:before="120" w:after="120" w:line="288"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295" w:name="_Toc351203493"/>
      <w:r>
        <w:rPr>
          <w:rFonts w:hint="eastAsia" w:ascii="宋体" w:hAnsi="宋体" w:eastAsia="宋体" w:cs="宋体"/>
          <w:b w:val="0"/>
          <w:color w:val="auto"/>
          <w:sz w:val="24"/>
          <w:szCs w:val="24"/>
        </w:rPr>
        <w:t>十三、合同份数</w:t>
      </w:r>
      <w:bookmarkEnd w:id="295"/>
    </w:p>
    <w:p w14:paraId="62AE6149">
      <w:pPr>
        <w:pageBreakBefore w:val="0"/>
        <w:kinsoku/>
        <w:wordWrap/>
        <w:overflowPunct/>
        <w:topLinePunct w:val="0"/>
        <w:bidi w:val="0"/>
        <w:snapToGrid/>
        <w:spacing w:line="288"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2EDB4BFF">
      <w:pPr>
        <w:pageBreakBefore w:val="0"/>
        <w:kinsoku/>
        <w:wordWrap/>
        <w:overflowPunct/>
        <w:topLinePunct w:val="0"/>
        <w:bidi w:val="0"/>
        <w:snapToGrid/>
        <w:spacing w:line="288" w:lineRule="auto"/>
        <w:textAlignment w:val="auto"/>
        <w:rPr>
          <w:rFonts w:hint="eastAsia" w:ascii="宋体" w:hAnsi="宋体" w:eastAsia="宋体" w:cs="宋体"/>
          <w:bCs/>
          <w:color w:val="auto"/>
          <w:sz w:val="24"/>
          <w:szCs w:val="24"/>
        </w:rPr>
      </w:pPr>
    </w:p>
    <w:p w14:paraId="20959E70">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p>
    <w:p w14:paraId="2CF51DB7">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1FDB0717">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26578917">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法定代表人或</w:t>
      </w:r>
    </w:p>
    <w:p w14:paraId="40DDE35C">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其委托代理人：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其委托代理人：     </w:t>
      </w:r>
    </w:p>
    <w:p w14:paraId="5F4EC57C">
      <w:pPr>
        <w:pageBreakBefore w:val="0"/>
        <w:kinsoku/>
        <w:wordWrap/>
        <w:overflowPunct/>
        <w:topLinePunct w:val="0"/>
        <w:bidi w:val="0"/>
        <w:snapToGrid/>
        <w:spacing w:line="288" w:lineRule="auto"/>
        <w:ind w:firstLine="2400" w:firstLineChars="10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（签字）</w:t>
      </w:r>
    </w:p>
    <w:p w14:paraId="62B1FB52">
      <w:pPr>
        <w:pageBreakBefore w:val="0"/>
        <w:tabs>
          <w:tab w:val="left" w:pos="4410"/>
        </w:tabs>
        <w:kinsoku/>
        <w:wordWrap/>
        <w:overflowPunct/>
        <w:topLinePunct w:val="0"/>
        <w:bidi w:val="0"/>
        <w:snapToGrid/>
        <w:spacing w:line="288" w:lineRule="auto"/>
        <w:textAlignment w:val="auto"/>
        <w:rPr>
          <w:rFonts w:hint="eastAsia" w:ascii="宋体" w:hAnsi="宋体" w:eastAsia="宋体" w:cs="宋体"/>
          <w:color w:val="auto"/>
          <w:sz w:val="24"/>
          <w:szCs w:val="24"/>
        </w:rPr>
      </w:pPr>
    </w:p>
    <w:p w14:paraId="26ED7EDE">
      <w:pPr>
        <w:pageBreakBefore w:val="0"/>
        <w:tabs>
          <w:tab w:val="left" w:pos="4410"/>
        </w:tabs>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48D9AE90">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地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  </w:t>
      </w:r>
    </w:p>
    <w:p w14:paraId="3DFB3485">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2C7C83A8">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2B23BC86">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p>
    <w:p w14:paraId="775F2A4C">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1E333585">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   </w:t>
      </w:r>
    </w:p>
    <w:p w14:paraId="0335F3D6">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p>
    <w:p w14:paraId="4AAEC4AE">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p>
    <w:p w14:paraId="7733F66F">
      <w:pPr>
        <w:pageBreakBefore w:val="0"/>
        <w:kinsoku/>
        <w:wordWrap/>
        <w:overflowPunct/>
        <w:topLinePunct w:val="0"/>
        <w:bidi w:val="0"/>
        <w:snapToGrid/>
        <w:spacing w:line="288"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w:t>
      </w:r>
    </w:p>
    <w:p w14:paraId="15A5CA4A"/>
    <w:p w14:paraId="48C24B6B">
      <w:pPr>
        <w:rPr>
          <w:rFonts w:hint="eastAsia"/>
          <w:b/>
          <w:bCs/>
          <w:color w:val="auto"/>
          <w:sz w:val="36"/>
          <w:szCs w:val="36"/>
          <w:lang w:eastAsia="zh-CN"/>
        </w:rPr>
      </w:pPr>
      <w:r>
        <w:rPr>
          <w:rFonts w:hint="eastAsia"/>
          <w:b/>
          <w:bCs/>
          <w:color w:val="auto"/>
          <w:sz w:val="36"/>
          <w:szCs w:val="36"/>
          <w:lang w:eastAsia="zh-CN"/>
        </w:rPr>
        <w:br w:type="page"/>
      </w:r>
    </w:p>
    <w:p w14:paraId="405E5A20">
      <w:pPr>
        <w:numPr>
          <w:ilvl w:val="0"/>
          <w:numId w:val="4"/>
        </w:numPr>
        <w:bidi w:val="0"/>
        <w:jc w:val="center"/>
        <w:outlineLvl w:val="0"/>
        <w:rPr>
          <w:rFonts w:hint="eastAsia"/>
          <w:b/>
          <w:bCs/>
          <w:color w:val="auto"/>
          <w:sz w:val="36"/>
          <w:szCs w:val="36"/>
          <w:lang w:eastAsia="zh-CN"/>
        </w:rPr>
      </w:pPr>
      <w:bookmarkStart w:id="296" w:name="_Toc2854"/>
      <w:r>
        <w:rPr>
          <w:rFonts w:hint="eastAsia"/>
          <w:b/>
          <w:bCs/>
          <w:color w:val="auto"/>
          <w:sz w:val="36"/>
          <w:szCs w:val="36"/>
          <w:lang w:eastAsia="zh-CN"/>
        </w:rPr>
        <w:t>工程量清单</w:t>
      </w:r>
      <w:bookmarkEnd w:id="279"/>
      <w:bookmarkEnd w:id="296"/>
    </w:p>
    <w:p w14:paraId="0ABFA8C5">
      <w:pPr>
        <w:rPr>
          <w:rFonts w:hint="eastAsia"/>
          <w:color w:val="auto"/>
          <w:lang w:eastAsia="zh-CN"/>
        </w:rPr>
      </w:pPr>
    </w:p>
    <w:bookmarkEnd w:id="271"/>
    <w:bookmarkEnd w:id="272"/>
    <w:bookmarkEnd w:id="273"/>
    <w:p w14:paraId="60515642">
      <w:pPr>
        <w:pStyle w:val="2"/>
        <w:bidi w:val="0"/>
        <w:spacing w:line="360" w:lineRule="auto"/>
        <w:jc w:val="center"/>
        <w:rPr>
          <w:rFonts w:hint="eastAsia" w:ascii="宋体" w:hAnsi="宋体" w:eastAsia="宋体" w:cs="宋体"/>
          <w:sz w:val="24"/>
          <w:szCs w:val="24"/>
        </w:rPr>
      </w:pPr>
      <w:bookmarkStart w:id="297" w:name="_Toc4993"/>
      <w:bookmarkStart w:id="298" w:name="_Toc26144"/>
      <w:bookmarkStart w:id="299" w:name="_Toc14374"/>
      <w:bookmarkStart w:id="300" w:name="_Toc22765"/>
      <w:bookmarkStart w:id="301" w:name="_Toc513557045"/>
      <w:bookmarkStart w:id="302" w:name="_Toc21629"/>
      <w:r>
        <w:rPr>
          <w:rFonts w:hint="eastAsia" w:ascii="宋体" w:hAnsi="宋体" w:eastAsia="宋体" w:cs="宋体"/>
          <w:sz w:val="24"/>
          <w:szCs w:val="24"/>
        </w:rPr>
        <w:t>吴堡县张家山镇辛庄村人居环境整治工程采购需求</w:t>
      </w:r>
    </w:p>
    <w:p w14:paraId="48CEE3E2">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一、项目概况</w:t>
      </w:r>
    </w:p>
    <w:p w14:paraId="41E2A051">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（一）项目背景</w:t>
      </w:r>
    </w:p>
    <w:p w14:paraId="5B4763C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是响应乡村振兴战略中“生态宜居”要求的关键民生工程，旨在解决辛庄村当前存在的排水管网不完善、村容风貌与产业发展不匹配、村民居住品质待提升等问题。项目建成后，将助力辛庄村以乡村文旅、花椒种植、小杂粮加工为核心的产业体系升级，同时满足村民对“宜居舒适”生活环境的需求，增强群众获得感、幸福感与归属感。</w:t>
      </w:r>
    </w:p>
    <w:p w14:paraId="03473FE6">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项目概况</w:t>
      </w:r>
    </w:p>
    <w:p w14:paraId="0587D84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项目预算：最高投标限价498921.15元（大写：肆拾玖万捌仟玖佰贰拾壹元壹角伍分），报价需包含分部分项工程项目费、措施项目费、增值税等所有相关费用，不得超预算。</w:t>
      </w:r>
    </w:p>
    <w:p w14:paraId="6945EA4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工期要求：总工期</w:t>
      </w:r>
      <w:r>
        <w:rPr>
          <w:rFonts w:hint="eastAsia" w:ascii="宋体" w:hAnsi="宋体" w:eastAsia="宋体" w:cs="宋体"/>
          <w:sz w:val="24"/>
          <w:szCs w:val="24"/>
          <w:lang w:val="en-US" w:eastAsia="zh-CN"/>
        </w:rPr>
        <w:t>25</w:t>
      </w:r>
      <w:r>
        <w:rPr>
          <w:rFonts w:hint="eastAsia" w:ascii="宋体" w:hAnsi="宋体" w:eastAsia="宋体" w:cs="宋体"/>
          <w:sz w:val="24"/>
          <w:szCs w:val="24"/>
        </w:rPr>
        <w:t>天，计划建设期限为2025年</w:t>
      </w:r>
      <w:r>
        <w:rPr>
          <w:rFonts w:hint="eastAsia" w:ascii="宋体" w:hAnsi="宋体" w:eastAsia="宋体" w:cs="宋体"/>
          <w:sz w:val="24"/>
          <w:szCs w:val="24"/>
          <w:lang w:val="en-US" w:eastAsia="zh-CN"/>
        </w:rPr>
        <w:t>11</w:t>
      </w:r>
      <w:r>
        <w:rPr>
          <w:rFonts w:hint="eastAsia" w:ascii="宋体" w:hAnsi="宋体" w:eastAsia="宋体" w:cs="宋体"/>
          <w:sz w:val="24"/>
          <w:szCs w:val="24"/>
        </w:rPr>
        <w:t>月-2025年</w:t>
      </w:r>
      <w:r>
        <w:rPr>
          <w:rFonts w:hint="eastAsia" w:ascii="宋体" w:hAnsi="宋体" w:eastAsia="宋体" w:cs="宋体"/>
          <w:sz w:val="24"/>
          <w:szCs w:val="24"/>
          <w:lang w:val="en-US" w:eastAsia="zh-CN"/>
        </w:rPr>
        <w:t>12</w:t>
      </w:r>
      <w:r>
        <w:rPr>
          <w:rFonts w:hint="eastAsia" w:ascii="宋体" w:hAnsi="宋体" w:eastAsia="宋体" w:cs="宋体"/>
          <w:sz w:val="24"/>
          <w:szCs w:val="24"/>
        </w:rPr>
        <w:t>月，供应商需制定详细进度计划，确保按期完工。</w:t>
      </w:r>
    </w:p>
    <w:p w14:paraId="6294C92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人员要求：施工过程中优先吸纳辛庄村及周边村庄有劳动能力的村民参与。</w:t>
      </w:r>
    </w:p>
    <w:p w14:paraId="5586EC58">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二、分部分项工程具体要求</w:t>
      </w:r>
    </w:p>
    <w:p w14:paraId="09E47E4F">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（一）脑畔混凝土硬化（142.6㎡）</w:t>
      </w:r>
    </w:p>
    <w:p w14:paraId="351BE56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基层处理：清理脑畔表面杂物、浮土，对松动基层进行夯实，确保基层承载力满足要求；若基层存在裂缝、坑洼，需采用水泥砂浆修补平整。</w:t>
      </w:r>
    </w:p>
    <w:p w14:paraId="2930C457">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混凝土浇筑：按设计要求浇筑C30混凝土，厚度控制在150mm，需分块浇筑，块体划分需结合脑畔尺寸合理设置，避免因温度变化产生裂缝。</w:t>
      </w:r>
    </w:p>
    <w:p w14:paraId="49A1AAE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后期养护：混凝土浇筑完成后，及时覆盖土工布或塑料薄膜保湿养护，养护时间不少于7天，确保混凝土强度达标。</w:t>
      </w:r>
    </w:p>
    <w:p w14:paraId="0D83458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3B7B7B6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混凝土配比：严格按照C30混凝土配合比（水泥：砂：石：水=1：1.83：3.47：0.42，具体可根据材料性能调整）搅拌，搅拌时间不少于90秒，确保混凝土和易性良好。</w:t>
      </w:r>
    </w:p>
    <w:p w14:paraId="704D6D0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浇筑流程：浇筑前先洒水湿润基层，采用平板振动器振捣密实，振捣时遵循“快插慢拔”原则，振捣间距不大于300mm，直至混凝土表面无气泡、泛浆为止；浇筑完成后用抹子抹平，表面平整度误差不超过5mm。</w:t>
      </w:r>
    </w:p>
    <w:p w14:paraId="70BA0AA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质量控制：每批次混凝土需制作3组标准试块，进行28天抗压强度检测，检测结果需达到C30强度标准（抗压强度≥30MPa）。</w:t>
      </w:r>
    </w:p>
    <w:p w14:paraId="5951363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27CDDD72">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表面平整光滑，无裂缝、起砂、空鼓等质量问题，平整度误差符合规范要求。</w:t>
      </w:r>
    </w:p>
    <w:p w14:paraId="553B0F88">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混凝土强度达标，能承受正常使用荷载，满足脑畔日常活动及排水需求。</w:t>
      </w:r>
    </w:p>
    <w:p w14:paraId="08F44BF8">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（二）块料面层（45㎡）</w:t>
      </w:r>
    </w:p>
    <w:p w14:paraId="4ACB4F70">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基层施工：浇筑150mm厚C25混凝土基层，施工工艺参照脑畔混凝土硬化基层要求，基层养护完成后，表面弹线确定块料铺设位置。</w:t>
      </w:r>
    </w:p>
    <w:p w14:paraId="1A6BEC4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青石板采购与处理：采购不规则青石板，石板厚度不小于30mm，表面无破损、裂缝，色泽均匀；铺设前将青石板浸泡24小时，捞出晾干备用，避免铺设后吸水导致砂浆空鼓。</w:t>
      </w:r>
    </w:p>
    <w:p w14:paraId="5C3B0D9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块料铺设：采用干硬性水泥砂浆（配合比1：3）作为结合层，厚度20-30mm，按弹线位置铺设青石板，用橡皮锤敲击密实，确保石板平整，相邻石板缝隙控制在5-8mm，缝隙均匀一致。</w:t>
      </w:r>
    </w:p>
    <w:p w14:paraId="62FE164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缝隙处理：铺设完成后，用水泥砂浆（配合比1：1）勾缝，勾缝要饱满、光滑，勾完缝后及时清理石板表面残留砂浆，养护3-5天。</w:t>
      </w:r>
    </w:p>
    <w:p w14:paraId="1CEFD65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19590A2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基层平整度：C25混凝土基层表面平整度误差不超过3mm，用2m靠尺检查。</w:t>
      </w:r>
    </w:p>
    <w:p w14:paraId="3454AD52">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块料铺设精度：青石板铺设完成后，表面平整度误差不超过2mm，相邻板块高度差不超过1mm，缝隙直线度误差不超过3mm（5m范围内）。</w:t>
      </w:r>
    </w:p>
    <w:p w14:paraId="1C806720">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砂浆质量：干硬性水泥砂浆含水率控制在12%-15%，手握成团、落地即散；勾缝砂浆需搅拌均匀，无结块，勾缝深度与缝隙宽度一致。</w:t>
      </w:r>
    </w:p>
    <w:p w14:paraId="36CBF5C3">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61EEF50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青石板铺设牢固，无松动、空鼓现象，表面整洁美观，色泽协调。</w:t>
      </w:r>
    </w:p>
    <w:p w14:paraId="43D2E03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缝隙勾缝饱满，无渗漏，能有效防止雨水渗入基层，延长使用寿命。</w:t>
      </w:r>
    </w:p>
    <w:p w14:paraId="09684F94">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（三）花栏砌筑（3.6m³）</w:t>
      </w:r>
    </w:p>
    <w:p w14:paraId="68CBC0C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材料准备：采购实心粘土砖，砖的强度等级不低于MU10，外观尺寸偏差符合规范要求（长≤±4mm，宽≤±3mm，高≤±3mm），无缺棱掉角、裂缝等缺陷；准备M5水泥砂浆（配合比水泥：砂=1：5.2），砂采用中砂，含泥量不大于3%。</w:t>
      </w:r>
    </w:p>
    <w:p w14:paraId="0E48318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基础处理：清理花栏砌筑位置的地表杂物，开挖基坑，基坑深度根据地质情况确定，一般不小于300mm，采用C15混凝土浇筑基础，基础宽度比花栏墙体宽100mm，养护7天后进行墙体砌筑。</w:t>
      </w:r>
    </w:p>
    <w:p w14:paraId="507828F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墙体砌筑：按设计尺寸砌筑花栏墙体，采用一顺一丁砌筑法，灰缝厚度控制在8-12mm，灰缝饱满度不低于80%；每砌筑3皮砖，用水平仪检查墙体平整度和垂直度，垂直度误差不超过5mm（2m高度范围内）。</w:t>
      </w:r>
    </w:p>
    <w:p w14:paraId="27C7D75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顶部处理：墙体砌筑至设计高度后，采用水泥砂浆抹面，抹面厚度20mm，表面压光，确保美观且防止雨水渗入。</w:t>
      </w:r>
    </w:p>
    <w:p w14:paraId="66C3506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3F73D52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砌筑顺序：先砌转角处、交接处，再砌中间部分，转角处和交接处应同时砌筑，若不能同时砌筑，需留斜槎，斜槎长度不小于高度的2/3。</w:t>
      </w:r>
    </w:p>
    <w:p w14:paraId="293FDD6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砂浆使用：水泥砂浆应随拌随用，搅拌完成后3小时内用完（夏季高温时2小时内用完），严禁使用过夜砂浆。</w:t>
      </w:r>
    </w:p>
    <w:p w14:paraId="203482A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质量检测：每砌筑完成一段墙体，需检查灰缝饱满度、墙体垂直度和平整度，发现问题及时整改。</w:t>
      </w:r>
    </w:p>
    <w:p w14:paraId="77F0F16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6375F08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花栏墙体砌筑牢固，垂直度、平整度符合规范要求，无裂缝、空鼓现象。</w:t>
      </w:r>
    </w:p>
    <w:p w14:paraId="67F95E1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外观整洁美观，灰缝均匀，顶部抹面光滑，能起到装饰和防护作用，与周边环境协调。</w:t>
      </w:r>
    </w:p>
    <w:p w14:paraId="1C58F707">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（四）水泥混凝土（1008.25㎡）</w:t>
      </w:r>
    </w:p>
    <w:p w14:paraId="22B79F6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施工：铺设200mm厚级配砂砾石基层，级配砂砾石的颗粒级配需符合设计要求，最大粒径不超过300mm，含泥量不大于5%；采用压路机分层碾压，碾压次数不少于6遍，碾压密实度不低于93%（重型击实标准），碾压完成后检查基层平整度和压实度，不合格处及时处理。</w:t>
      </w:r>
    </w:p>
    <w:p w14:paraId="0D2B734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混凝土浇筑：浇筑C30混凝土，厚度220mm，分块浇筑，块体划分间距不大于6m，设置伸缩缝，伸缩缝宽度20mm，填缝材料采用沥青木板。</w:t>
      </w:r>
    </w:p>
    <w:p w14:paraId="5328D5D8">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表面处理：混凝土浇筑振捣密实后，用抹子抹平，表面拉毛（纹理深度2-3mm），增加表面摩擦力，防止行人滑倒；拉毛完成后及时覆盖养护。</w:t>
      </w:r>
    </w:p>
    <w:p w14:paraId="1498787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养护：采用洒水养护，每天洒水次数不少于3次（夏季高温时增加洒水次数），养护时间不少于14天，确保混凝土强度稳定增长。</w:t>
      </w:r>
    </w:p>
    <w:p w14:paraId="216A94E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1D1381A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级配砂砾石基层：摊铺时采用平地机整平，平整度误差不超过10mm（3m直尺检查）；碾压时压路机行驶速度控制在2-3km/h，碾压轮迹重叠宽度不小于1/3轮宽。</w:t>
      </w:r>
    </w:p>
    <w:p w14:paraId="41CE181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浇筑：混凝土坍落度控制在120±20mm，浇筑时按顺序连续进行，不得出现施工缝；若因特殊情况需留施工缝，需按规范要求设置止水带，并对施工缝进行处理（清除表面浮浆、松动石子，洒水湿润后铺设10-20mm厚同配合比水泥砂浆）。</w:t>
      </w:r>
    </w:p>
    <w:p w14:paraId="02548C9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质量检测：除制作混凝土标准试块检测强度外，还需采用回弹仪对混凝土表面强度进行抽检，抽检数量不少于总浇筑面积的10%，回弹强度需符合C30要求。</w:t>
      </w:r>
    </w:p>
    <w:p w14:paraId="62620AD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79A0D8B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混凝土表面平整，拉毛纹理均匀，无裂缝、起砂、露骨等缺陷，平整度误差不超过5mm（2m靠尺检查）。</w:t>
      </w:r>
    </w:p>
    <w:p w14:paraId="4AA4584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基层压实度、混凝土强度达标，能满足车辆、行人通行需求，使用寿命长。</w:t>
      </w:r>
    </w:p>
    <w:p w14:paraId="1F9C5BEE">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（五）双壁波纹管（41m）</w:t>
      </w:r>
    </w:p>
    <w:p w14:paraId="6D5F844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土方开挖：按设计要求开挖沟槽，土类别为一二类土，挖土深度1.2m，沟槽宽度根据双壁波纹管外径确定，一般比管径大300mm；开挖过程中若遇到地下管线、障碍物，需及时与建设单位沟通处理，不得盲目开挖。</w:t>
      </w:r>
    </w:p>
    <w:p w14:paraId="3D17C863">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砂垫层铺设：在沟槽底部铺设100mm厚砂垫层，砂采用中砂，含泥量不大于3%，铺设时整平，采用平板振动器振捣密实。</w:t>
      </w:r>
    </w:p>
    <w:p w14:paraId="5A352B20">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波纹管安装：采购DN300双壁波纹管，管材外观无裂纹、凹陷、变形等缺陷，环刚度不小于8kN/m²；采用承插连接方式，连接前清理管材承口和插口，在插口外侧涂抹润滑剂，将插口插入承口内，插入深度符合设计要求（一般为承口深度的2/3），连接后检查接口密封性，不得有渗漏现象。</w:t>
      </w:r>
    </w:p>
    <w:p w14:paraId="7AD2C6A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方回填：采用素土回填，回填土含水率控制在最佳含水率范围内（18%-22%），分层回填，每层回填厚度不超过200mm，采用小型压路机或蛙式打夯机夯实，压实度不低于93%；回填至管顶以上500mm后，方可采用大型压路机碾压。</w:t>
      </w:r>
    </w:p>
    <w:p w14:paraId="5CE1D2F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0D0ED5BF">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沟槽开挖：沟槽底面平整度误差不超过50mm，边坡坡度根据土壤类别确定（一二类土边坡坡度1：0.5），若沟槽深度超过1.5m，需设置支撑（如钢板桩支撑），防止沟槽坍塌。</w:t>
      </w:r>
    </w:p>
    <w:p w14:paraId="6F86F82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管材连接：承插接口处需设置密封圈，密封圈材质为橡胶，规格与管材匹配，安装时确保密封圈位置正确、无扭曲，连接后用塞尺检查接口间隙，间隙不大于0.5mm。</w:t>
      </w:r>
    </w:p>
    <w:p w14:paraId="5C8668D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回填质量：每层回填土压实后，需进行压实度检测，检测合格后方可进行下一层回填；回填过程中严禁将大块石头、杂物填入沟槽，避免损坏波纹管。</w:t>
      </w:r>
    </w:p>
    <w:p w14:paraId="2C863FD2">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5DCFDDC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波纹管安装牢固，接口密封良好，无渗漏现象，能满足排水需求。</w:t>
      </w:r>
    </w:p>
    <w:p w14:paraId="54AF819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沟槽回填密实，无沉降，确保波纹管正常使用，避免因回填不实导致管材变形、损坏。</w:t>
      </w:r>
    </w:p>
    <w:p w14:paraId="27477FDC">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（六）挖一般土方（49.2m³）</w:t>
      </w:r>
    </w:p>
    <w:p w14:paraId="46516BB2">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测量放线：根据设计图纸，采用全站仪或水准仪测量确定开挖范围和深度，撒白灰标记开挖边线。</w:t>
      </w:r>
    </w:p>
    <w:p w14:paraId="305B101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土方开挖：使用挖掘机开挖，人工配合清理边坡和基底，开挖过程中控制开挖深度，避免超挖；若出现超挖，需采用级配砂砾石回填夯实，压实度不低于93%。</w:t>
      </w:r>
    </w:p>
    <w:p w14:paraId="66EE163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土方堆放：开挖出的土方部分用于后续回填（一般回填方46.3m³），剩余土方需运输至建设单位指定地点堆放，不得随意堆放影响村民生产生活。</w:t>
      </w:r>
    </w:p>
    <w:p w14:paraId="796FE5B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18885283">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开挖精度：开挖范围偏差不超过50mm，开挖深度偏差不超过±30mm，基底平整度误差不超过50mm。</w:t>
      </w:r>
    </w:p>
    <w:p w14:paraId="6502B47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安全防护：开挖现场设置警示标志和围挡（高度不低于1.2m），夜间设置警示灯，防止人员、车辆坠入沟槽。</w:t>
      </w:r>
    </w:p>
    <w:p w14:paraId="692B349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3066F22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开挖范围、深度符合设计要求，基底平整，无超挖、欠挖现象。</w:t>
      </w:r>
    </w:p>
    <w:p w14:paraId="7BA0776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土方堆放合理，不影响施工进度和周边环境，确保施工安全。</w:t>
      </w:r>
    </w:p>
    <w:p w14:paraId="27E498EB">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（七）一般回填方（46.3m³）</w:t>
      </w:r>
    </w:p>
    <w:p w14:paraId="75F2B07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回填土准备：选用开挖出的余土（素土）作为回填材料，去除土中的石块、杂草、树根等杂物，若土的含水率过高或过低，需进行晾晒或洒水调整，使其达到最佳含水率。</w:t>
      </w:r>
    </w:p>
    <w:p w14:paraId="3908604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分层回填：按设计要求分层回填，每层厚度200mm，采用蛙式打夯机夯实，夯实次数不少于3遍，确保压实度≥0.93。</w:t>
      </w:r>
    </w:p>
    <w:p w14:paraId="7D87F8C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回填检测：每层回填完成后，采用环刀法检测压实度，检测点数量每100m³不少于1个，检测合格后方可进行下一层回填。</w:t>
      </w:r>
    </w:p>
    <w:p w14:paraId="70B08DF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3F3188A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回填顺序：从沟槽两侧对称回填，避免单侧回填导致波纹管移位。</w:t>
      </w:r>
    </w:p>
    <w:p w14:paraId="18F565B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压实控制：夯实机行驶速度控制在1-1.5km/h，夯实重叠宽度不小于100mm，确保回填土密实均匀。</w:t>
      </w:r>
    </w:p>
    <w:p w14:paraId="3281FC2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05D2EC0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回填土密实，压实度符合要求，无沉降现象，能有效支撑上部结构和保护波纹管。</w:t>
      </w:r>
    </w:p>
    <w:p w14:paraId="5BCA1982">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回填表面平整，与周边地面标高一致，符合设计要求。</w:t>
      </w:r>
    </w:p>
    <w:p w14:paraId="74267CF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bCs/>
          <w:sz w:val="24"/>
          <w:szCs w:val="24"/>
        </w:rPr>
        <w:t>八）雨水检查井（1座）</w:t>
      </w:r>
    </w:p>
    <w:p w14:paraId="01E99C1C">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基础施工：开挖检查井基坑，基坑尺寸比检查井外径大500mm，深度根据设计要求确定；浇筑C15混凝土基础，基础厚度100mm，养护7天后进行墙体砌筑。</w:t>
      </w:r>
    </w:p>
    <w:p w14:paraId="5BB06427">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墙体砌筑：采用标砖砌筑，砖的强度等级不低于MU10，使用M7.5水泥砂浆（配合比水泥：砂=1：4.8）；检查井内径1500mm，墙体厚度240mm，砌筑时按设计要求设置预留孔洞（与双壁波纹管连接），预留孔洞位置、尺寸准确。</w:t>
      </w:r>
    </w:p>
    <w:p w14:paraId="6A91A5A7">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抹灰与井盖安装：墙体砌筑完成后，内外墙采用1：2水泥砂浆抹面，抹面厚度20mm，表面压光；安装检查井盖板，盖板采用钢筋混凝土预制板，盖板与墙体之间用水泥砂浆密封；最后安装铸铁雨水井盖（与后续铸铁雨水井盖配套），井盖安装平整，与地面标高一致。</w:t>
      </w:r>
    </w:p>
    <w:p w14:paraId="61106FD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0525943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砌筑质量：灰缝厚度8-12mm，灰缝饱满度不低于80%，墙体垂直度误差不超过5mm（2m高度范围内），内径尺寸偏差不超过±20mm。</w:t>
      </w:r>
    </w:p>
    <w:p w14:paraId="6D6AC53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预留孔洞：预留孔洞中心标高偏差不超过±10mm，孔洞尺寸偏差不超过±5mm，与波纹管连接时采用水泥砂浆密封，确保无渗漏。</w:t>
      </w:r>
    </w:p>
    <w:p w14:paraId="6A310B60">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抹面质量：抹面表面平整光滑，无裂缝、空鼓现象，平整度误差不超过3mm（2m靠尺检查）。</w:t>
      </w:r>
    </w:p>
    <w:p w14:paraId="1557E5E8">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36E814E9">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检查井砌筑牢固，外观整洁，抹面光滑，无渗漏现象。</w:t>
      </w:r>
    </w:p>
    <w:p w14:paraId="3A11972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井盖安装平整，开启灵活，能有效收集和排出雨水，满足排水系统运行要求。</w:t>
      </w:r>
    </w:p>
    <w:p w14:paraId="3505AC7D">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（九）铸铁雨水井盖（2套）</w:t>
      </w:r>
    </w:p>
    <w:p w14:paraId="6BD26A96">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井盖采购：采购铸铁雨水井盖，型号400*600，材质为球墨铸铁，抗拉强度不小于420MPa，屈服强度不小于300MPa；井盖外观无裂纹、砂眼、变形等缺陷，表面防滑纹路清晰。</w:t>
      </w:r>
    </w:p>
    <w:p w14:paraId="2FC1EC31">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井盖安装：将井盖安装在雨水检查井和指定排水口处，安装前清理井口周边杂物，调整井盖位置，使井盖与地面平齐，缝隙均匀；采用水泥砂浆固定井盖，确保井盖安装牢固，无松动现象。</w:t>
      </w:r>
    </w:p>
    <w:p w14:paraId="2417968F">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187A5DB4">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安装精度：井盖顶面与地面标高偏差不超过±3mm，井盖水平度误差不超过2mm（用水平仪检查）。</w:t>
      </w:r>
    </w:p>
    <w:p w14:paraId="0A9CCA15">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固定要求：水泥砂浆固定层厚度不小于50mm，养护3天后方可正常使用。</w:t>
      </w:r>
    </w:p>
    <w:p w14:paraId="49F43F5F">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5F226D9A">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井盖安装牢固，开启灵活，表面防滑，能承受行人、车辆荷载，无破损、变形现象。</w:t>
      </w:r>
    </w:p>
    <w:p w14:paraId="3CF19D10">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井盖与井口密封良好，无雨水渗漏、杂物落入井内现象，确保排水系统正常运行。</w:t>
      </w:r>
    </w:p>
    <w:p w14:paraId="5771009D">
      <w:pPr>
        <w:pStyle w:val="3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（十）浆砌块料（403.75m³）</w:t>
      </w:r>
    </w:p>
    <w:p w14:paraId="1CAC48CB">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材料准备：采购毛石（用于挡土墙），毛石强度等级不低于MU30，单块毛石重量不小于30kg，尺寸一般为200-300mm（长）×150-200mm（宽）×100-150mm（厚），无裂缝、风化等缺陷；准备M10水泥砂浆（配合比水泥：砂=1：3.5），砂采用中砂，含泥量不大于3%。</w:t>
      </w:r>
    </w:p>
    <w:p w14:paraId="270D410D">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基础施工：开挖挡土墙基础基坑，基坑深度根据地质情况和设计要求确定，一般不小于500mm，采用C15混凝土浇筑基础，基础宽度比挡土墙宽200mm，养护7天后进行墙体砌筑。</w:t>
      </w:r>
    </w:p>
    <w:p w14:paraId="0696511E">
      <w:pPr>
        <w:pStyle w:val="33"/>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墙体砌筑：采用坐浆法砌筑，先在基础表面铺一层20-30mm厚M10水泥砂浆，然后摆放毛石，毛石大面朝下，块体之间错缝搭接，搭接长度不小于100mm；灰缝厚度控制在20-30mm，灰缝应饱满，若灰缝过大，需用小石块填塞，但不得用干石块直接填塞，需先铺砂浆再填石块。</w:t>
      </w:r>
    </w:p>
    <w:p w14:paraId="3F398E27">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勾缝与养护：墙体砌筑完成后，采用M10水泥砂浆勾缝，勾缝深度不小于15mm，确保勾缝饱满、光滑；勾缝完成后及时覆盖土工布洒水养护，养护时间不少于14天，避免墙体因水分过快流失出现裂缝。</w:t>
      </w:r>
    </w:p>
    <w:p w14:paraId="1693E7F9">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67A71885">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基础质量：C15混凝土基础表面平整度误差不超过5mm，混凝土强度需达到设计要求（抗压强度≥15MPa），基础轴线偏差不超过10mm。</w:t>
      </w:r>
    </w:p>
    <w:p w14:paraId="7069BCD6">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砌筑精度：挡土墙墙体垂直度误差不超过5mm（2m高度范围内），墙面平整度误差不超过8mm（2m靠尺检查）；每30m长度内设置一道伸缩缝，伸缩缝宽度20mm，填缝材料采用沥青麻丝，确保伸缩缝上下贯通。</w:t>
      </w:r>
    </w:p>
    <w:p w14:paraId="782AFE70">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砂浆质量：M10水泥砂浆搅拌均匀，稠度控制在50-70mm，每批次砂浆制作3组标准试块，28天抗压强度检测结果需≥10MPa。</w:t>
      </w:r>
    </w:p>
    <w:p w14:paraId="61C4B700">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2F27FA76">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挡土墙砌筑牢固，无倾斜、裂缝、空鼓现象，能有效抵御土方侧压力，防止边坡坍塌。</w:t>
      </w:r>
    </w:p>
    <w:p w14:paraId="65F6226D">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外观整洁，勾缝均匀光滑，伸缩缝设置合理，与周边环境协调，满足村庄防护及景观需求。</w:t>
      </w:r>
    </w:p>
    <w:p w14:paraId="3E2F6D81">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（十一）墙面一般抹灰（548.97㎡）</w:t>
      </w:r>
    </w:p>
    <w:p w14:paraId="386039F7">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处理：清理墙面杂物、灰尘、油污，对墙面空鼓、裂缝处进行修补（空鼓处凿除后用1：3水泥砂浆修补，裂缝处用环氧树脂砂浆灌缝）；墙面浇水湿润，含水率控制在8%-12%，然后涂刷界面剂（配合比水泥：界面剂：水=1：0.2：0.4），增强抹灰层与基层粘结力。</w:t>
      </w:r>
    </w:p>
    <w:p w14:paraId="02D0EC33">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分层抹灰：采用1：3水泥砂浆打底，厚度12mm，打底后用刮尺刮平，初凝后用木抹子搓毛；待底层砂浆强度达到70%后，涂抹1：2.5水泥砂浆中层，厚度8mm，同样刮平搓毛；最后涂抹1：2水泥砂浆面层，厚度5mm，用抹子压光，确保表面平整光滑。</w:t>
      </w:r>
    </w:p>
    <w:p w14:paraId="0AC90C1E">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细部处理：墙面阴阳角处做护角，护角采用1：2水泥砂浆，高度不低于2m，宽度不小于50mm，护角应方正、顺直；门窗洞口周边抹灰时，需与门窗框之间预留5mm缝隙，缝隙用密封胶填充，防止雨水渗漏。</w:t>
      </w:r>
    </w:p>
    <w:p w14:paraId="76480A8C">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施工工艺标准</w:t>
      </w:r>
    </w:p>
    <w:p w14:paraId="26695053">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抹灰厚度：总厚度控制在25mm（底层12mm+中层8mm+面层5mm），各层厚度误差不超过±2mm，不得出现超厚或漏抹现象。</w:t>
      </w:r>
    </w:p>
    <w:p w14:paraId="25CAE612">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表面质量：面层压光后，表面平整度误差不超过3mm（2m靠尺检查），阴阳角方正度误差不超过3mm（用阴阳角尺检查），无裂缝、空鼓、脱层、爆灰等缺陷。</w:t>
      </w:r>
    </w:p>
    <w:p w14:paraId="4ED0487B">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养护要求：抹灰完成后24小时内覆盖塑料薄膜养护，养护时间不少于7天，每天洒水1-2次，保持抹灰层湿润，避免因水分蒸发过快产生裂缝。</w:t>
      </w:r>
    </w:p>
    <w:p w14:paraId="35A926E2">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预期效果</w:t>
      </w:r>
    </w:p>
    <w:p w14:paraId="505FE501">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墙面平整光滑，色泽均匀，阴阳角方正顺直，无质量缺陷，整体观感良好。</w:t>
      </w:r>
    </w:p>
    <w:p w14:paraId="78F82676">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抹灰层与基层粘结牢固，能有效保护墙体，提高墙体防水、抗渗性能，延长墙体使用寿命。</w:t>
      </w:r>
    </w:p>
    <w:p w14:paraId="6474AEF4">
      <w:pPr>
        <w:pStyle w:val="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三、安全文明施工要求</w:t>
      </w:r>
    </w:p>
    <w:p w14:paraId="2CD8BACB">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（一）安全管理措施</w:t>
      </w:r>
    </w:p>
    <w:p w14:paraId="07F0E494">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员管理：施工人员需经安全教育培训合格后方可上岗，特种作业人员（如电工、焊工、压路机操作员等）必须持有效特种作业操作证上岗；施工期间需佩戴安全帽、安全带、防滑鞋等个人防护用品，严禁酒后作业、违章操作。</w:t>
      </w:r>
    </w:p>
    <w:p w14:paraId="66BEBE1B">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备管理：施工机械设备（挖掘机、压路机、搅拌机等）需定期检查、维护，确保设备性能良好；设备操作人员需熟悉设备操作规程，作业前检查设备各部件，发现问题及时维修，不得带病作业；机械设备停放需有序，避免占用村民通道或影响周边环境。</w:t>
      </w:r>
    </w:p>
    <w:p w14:paraId="4CC1C4CE">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临时用电管理：施工现场临时用电需采用“三相五线制”，设置三级配电、二级保护，配电箱需防雨、防尘，张贴警示标志；电线需架空或埋地敷设，不得随意拖拽，避免破损漏电；用电设备需接地接零保护，定期检测漏电保护器性能，确保用电安全。</w:t>
      </w:r>
    </w:p>
    <w:p w14:paraId="6A77CE7D">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场防护：沟槽开挖后，需在沟槽周边设置1.2m高防护栏杆，栏杆刷红白相间警示漆，悬挂警示标志；夜间设置警示灯（红灯），提醒行人、车辆注意安全；施工现场危险区域（如搅拌机作业区、压路机行驶路线）需设置围挡或警示带，禁止非施工人员进入。</w:t>
      </w:r>
    </w:p>
    <w:p w14:paraId="0D0FDF40">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（二）文明施工措施</w:t>
      </w:r>
    </w:p>
    <w:p w14:paraId="7AB144E2">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现场围挡：施工现场周边设置高度不低于1.8m的彩钢围挡，围挡牢固、整洁，张贴项目宣传标语、安全警示标志及施工平面图，不得随意拆除或损坏。</w:t>
      </w:r>
    </w:p>
    <w:p w14:paraId="2C275AFA">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材料堆放：施工材料（水泥、砂石、砖块、管材等）需分类堆放，设置标识牌（标明材料名称、规格、数量、进场时间），堆放场地需硬化处理，防止材料受潮、污染；水泥需存放在防雨、防潮的库房内，底部垫高300mm以上，避免水泥受潮结块。</w:t>
      </w:r>
    </w:p>
    <w:p w14:paraId="10EED2E4">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扬尘控制：施工现场出入口设置洗车台，车辆出场前需冲洗轮胎，避免带泥上路；土方开挖、回填及材料运输过程中，需采取洒水、覆盖土工布等防尘措施，减少扬尘污染；搅拌机作业时需搭建防护棚，设置降尘设备，防止水泥粉尘扩散。</w:t>
      </w:r>
    </w:p>
    <w:p w14:paraId="25CF3D99">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噪声控制：合理安排施工时间，避免在村民休息时段（如中午12：00-14：00、晚上20：00-次日6：00）进行高噪声作业（如挖掘机开挖、压路机碾压）；若因工期需要必须在休息时段作业，需提前向村民公告并征得同意，同时采取降噪措施（如选用低噪声设备、设置隔声屏障），降低噪声影响。</w:t>
      </w:r>
    </w:p>
    <w:p w14:paraId="17377E06">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环境清理：施工过程中产生的建筑垃圾（如碎砖块、混凝土块、废管材等）需及时清理，分类堆放至指定地点，不得随意丢弃或填埋；施工废水（如搅拌机清洗废水、养护废水）需经沉淀池处理后排放，避免污染周边土壤、水源；施工完成后，需对施工现场进行全面清理，平整场地，恢复周边环境原貌。</w:t>
      </w:r>
    </w:p>
    <w:p w14:paraId="41BCA84D">
      <w:pPr>
        <w:pStyle w:val="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四、验收流程与标准</w:t>
      </w:r>
    </w:p>
    <w:p w14:paraId="38F5F91A">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（一）验收流程</w:t>
      </w:r>
    </w:p>
    <w:p w14:paraId="5331B96C">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自检：施工单位完成各分部分项工程后，组织内部自检，对照设计图纸、施工规范及本采购需求书要求，检查工程质量、施工工艺、材料性能等，自检合格后填写《工程自检报告》。</w:t>
      </w:r>
    </w:p>
    <w:p w14:paraId="6D2EDB14">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初验：施工单位向建设单位提交《工程初验申请》及相关资料（自检报告、材料合格证、检测报告、施工记录等），建设单位组织监理单位、设计单位进行初验，重点检查工程实体质量、资料完整性，初验合格后出具《工程初验意见书》。</w:t>
      </w:r>
    </w:p>
    <w:p w14:paraId="00A1C5B1">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终验：初验合格后，建设单位向当地主管部门（如住建局、乡村振兴局）申请终验，主管部门组织相关单位（建设、监理、设计、施工单位及村民代表）进行终验，现场核查工程质量、核对工程量，查阅相关资料，终验合格后出具《工程竣工验收报告》，工程正式交付使用。</w:t>
      </w:r>
    </w:p>
    <w:p w14:paraId="2004BBBC">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（二）验收标准</w:t>
      </w:r>
    </w:p>
    <w:p w14:paraId="6E1058F7">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标准：各分部分项工程质量需符合《建筑工程施工质量验收统一标准》（GB50300-2013）、《混凝土结构工程施工质量验收规范》（GB50204-2015）、《砌体结构工程施工质量验收规范》（GB50203-2011）等相关规范要求，无质量缺陷，检测报告（混凝土强度、砂浆强度、压实度等）符合设计标准。</w:t>
      </w:r>
    </w:p>
    <w:p w14:paraId="544E6244">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工艺标准：施工工艺需严格按照本采购需求书规定的工艺要求执行，如混凝土配比、砌筑方法、抹灰流程等，不得擅自变更工艺，若因特殊情况需调整工艺，需经建设单位、设计单位书面同意后方可实施。</w:t>
      </w:r>
    </w:p>
    <w:p w14:paraId="023129B6">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效果标准：工程完成后，需达到本采购需求书规定的预期效果，如脑畔混凝土硬化表面平整、强度达标，块料面层铺设牢固、美观，排水系统无渗漏、排水通畅，墙面抹灰平整光滑等，同时满足村民使用需求，得到村民认可。</w:t>
      </w:r>
    </w:p>
    <w:p w14:paraId="3BD73E22">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资料标准：验收时需提供完整的工程资料，包括但不限于：施工图纸、设计变更文件、材料出厂合格证及检验报告、施工记录（如混凝土浇筑记录、砌筑记录、养护记录）、检测报告（混凝土试块检测、砂浆试块检测、压实度检测）、自检报告、初验意见书等，资料需真实、完整、规范，符合档案管理要求。</w:t>
      </w:r>
    </w:p>
    <w:p w14:paraId="5EF5B95E">
      <w:pPr>
        <w:pStyle w:val="3"/>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五、付款方式与违约责任</w:t>
      </w:r>
    </w:p>
    <w:p w14:paraId="7B49A39F">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（一）付款方式</w:t>
      </w:r>
    </w:p>
    <w:p w14:paraId="515FDAFC">
      <w:pPr>
        <w:pStyle w:val="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项目开工后拨付合同价40%预付款，项目竣工验收后，以决算评审价为准，支付剩余工程款。</w:t>
      </w:r>
    </w:p>
    <w:p w14:paraId="57E9FB35">
      <w:pPr>
        <w:pStyle w:val="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（二）违约责任</w:t>
      </w:r>
    </w:p>
    <w:p w14:paraId="6DA831D0">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施工单位违约责任：</w:t>
      </w:r>
    </w:p>
    <w:p w14:paraId="1AF41371">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期延误：若施工单位未按合同约定工期完工，每逾期1天，需向建设单位支付合同总价0.5%的违约金；逾期超过15天，建设单位有权解除合同，施工单位需承担合同总价20%的违约金，并赔偿建设单位因此造成的损失。</w:t>
      </w:r>
    </w:p>
    <w:p w14:paraId="5B2FFC0A">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量问题：若工程质量不符合设计要求及验收标准，施工单位需无偿返修、重做，直至达到合格标准，由此产生的费用由施工单位承担，且工期不予顺延；若返修后仍无法达到合格标准，建设单位有权解除合同，施工单位需返还已支付的工程款，并承担合同总价30%的违约金，赔偿建设单位损失。</w:t>
      </w:r>
    </w:p>
    <w:p w14:paraId="0822A9F5">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安全事故：若施工单位因安全管理不到位导致发生安全事故，需承担全部责任，赔偿事故造成的人员伤亡、财产损失等费用，同时向建设单位支付合同总价10%的违约金；情节严重的，建设单位有权解除合同。</w:t>
      </w:r>
    </w:p>
    <w:p w14:paraId="486A4BDC">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建设单位违约责任：</w:t>
      </w:r>
    </w:p>
    <w:p w14:paraId="392F0EA8">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付款延误：若建设单位未按合同约定支付工程款，每逾期1天，需向施工单位支付应付款项0.5%的违约金；逾期超过30天，施工单位有权暂停施工，由此造成的工期延误及损失由建设单位承担。</w:t>
      </w:r>
    </w:p>
    <w:p w14:paraId="63FDB6FC">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指令错误：若建设单位发出的施工指令错误导致工程返工、停工，建设单位需承担由此产生的费用（如材料损耗、人工费用），并顺延工期；若造成施工单位损失，需予以赔偿。</w:t>
      </w:r>
      <w:r>
        <w:rPr>
          <w:rFonts w:hint="eastAsia" w:ascii="宋体" w:hAnsi="宋体" w:eastAsia="宋体" w:cs="宋体"/>
          <w:sz w:val="24"/>
          <w:szCs w:val="24"/>
          <w:lang w:eastAsia="zh-CN"/>
        </w:rPr>
        <w:drawing>
          <wp:inline distT="0" distB="0" distL="114300" distR="114300">
            <wp:extent cx="5266690" cy="7453630"/>
            <wp:effectExtent l="0" t="0" r="10160" b="13970"/>
            <wp:docPr id="12" name="图片 12" descr="工程量清单-吴堡县张家山镇辛庄村人居环境整治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吴堡县张家山镇辛庄村人居环境整治工程_03"/>
                    <pic:cNvPicPr>
                      <a:picLocks noChangeAspect="1"/>
                    </pic:cNvPicPr>
                  </pic:nvPicPr>
                  <pic:blipFill>
                    <a:blip r:embed="rId18"/>
                    <a:stretch>
                      <a:fillRect/>
                    </a:stretch>
                  </pic:blipFill>
                  <pic:spPr>
                    <a:xfrm>
                      <a:off x="0" y="0"/>
                      <a:ext cx="5266690" cy="74536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6690" cy="7453630"/>
            <wp:effectExtent l="0" t="0" r="10160" b="13970"/>
            <wp:docPr id="11" name="图片 11" descr="工程量清单-吴堡县张家山镇辛庄村人居环境整治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吴堡县张家山镇辛庄村人居环境整治工程_04"/>
                    <pic:cNvPicPr>
                      <a:picLocks noChangeAspect="1"/>
                    </pic:cNvPicPr>
                  </pic:nvPicPr>
                  <pic:blipFill>
                    <a:blip r:embed="rId19"/>
                    <a:stretch>
                      <a:fillRect/>
                    </a:stretch>
                  </pic:blipFill>
                  <pic:spPr>
                    <a:xfrm>
                      <a:off x="0" y="0"/>
                      <a:ext cx="5266690" cy="74536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6690" cy="7453630"/>
            <wp:effectExtent l="0" t="0" r="10160" b="13970"/>
            <wp:docPr id="5" name="图片 5" descr="工程量清单-吴堡县张家山镇辛庄村人居环境整治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吴堡县张家山镇辛庄村人居环境整治工程_05"/>
                    <pic:cNvPicPr>
                      <a:picLocks noChangeAspect="1"/>
                    </pic:cNvPicPr>
                  </pic:nvPicPr>
                  <pic:blipFill>
                    <a:blip r:embed="rId20"/>
                    <a:stretch>
                      <a:fillRect/>
                    </a:stretch>
                  </pic:blipFill>
                  <pic:spPr>
                    <a:xfrm>
                      <a:off x="0" y="0"/>
                      <a:ext cx="5266690" cy="74536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6690" cy="7453630"/>
            <wp:effectExtent l="0" t="0" r="10160" b="13970"/>
            <wp:docPr id="3" name="图片 3" descr="工程量清单-吴堡县张家山镇辛庄村人居环境整治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吴堡县张家山镇辛庄村人居环境整治工程_06"/>
                    <pic:cNvPicPr>
                      <a:picLocks noChangeAspect="1"/>
                    </pic:cNvPicPr>
                  </pic:nvPicPr>
                  <pic:blipFill>
                    <a:blip r:embed="rId21"/>
                    <a:stretch>
                      <a:fillRect/>
                    </a:stretch>
                  </pic:blipFill>
                  <pic:spPr>
                    <a:xfrm>
                      <a:off x="0" y="0"/>
                      <a:ext cx="5266690" cy="7453630"/>
                    </a:xfrm>
                    <a:prstGeom prst="rect">
                      <a:avLst/>
                    </a:prstGeom>
                  </pic:spPr>
                </pic:pic>
              </a:graphicData>
            </a:graphic>
          </wp:inline>
        </w:drawing>
      </w:r>
    </w:p>
    <w:p w14:paraId="21CE7EE6">
      <w:pPr>
        <w:rPr>
          <w:rFonts w:hint="eastAsia"/>
          <w:b/>
          <w:bCs/>
          <w:color w:val="auto"/>
          <w:sz w:val="36"/>
          <w:szCs w:val="36"/>
          <w:lang w:eastAsia="zh-CN"/>
        </w:rPr>
      </w:pPr>
      <w:r>
        <w:rPr>
          <w:rFonts w:hint="eastAsia"/>
          <w:b/>
          <w:bCs/>
          <w:color w:val="auto"/>
          <w:sz w:val="36"/>
          <w:szCs w:val="36"/>
          <w:lang w:eastAsia="zh-CN"/>
        </w:rPr>
        <w:br w:type="page"/>
      </w:r>
    </w:p>
    <w:p w14:paraId="0D65A24E">
      <w:pPr>
        <w:bidi w:val="0"/>
        <w:jc w:val="center"/>
        <w:outlineLvl w:val="0"/>
        <w:rPr>
          <w:rFonts w:hint="eastAsia" w:hAnsi="宋体"/>
          <w:b/>
          <w:bCs/>
          <w:color w:val="auto"/>
          <w:szCs w:val="44"/>
          <w:lang w:eastAsia="zh-CN"/>
        </w:rPr>
      </w:pPr>
      <w:r>
        <w:rPr>
          <w:rFonts w:hint="eastAsia"/>
          <w:b/>
          <w:bCs/>
          <w:color w:val="auto"/>
          <w:sz w:val="36"/>
          <w:szCs w:val="36"/>
          <w:lang w:eastAsia="zh-CN"/>
        </w:rPr>
        <w:t>第</w:t>
      </w:r>
      <w:r>
        <w:rPr>
          <w:rFonts w:hint="eastAsia"/>
          <w:b/>
          <w:bCs/>
          <w:color w:val="auto"/>
          <w:sz w:val="36"/>
          <w:szCs w:val="36"/>
          <w:lang w:val="en-US" w:eastAsia="zh-CN"/>
        </w:rPr>
        <w:t>七</w:t>
      </w:r>
      <w:r>
        <w:rPr>
          <w:rFonts w:hint="eastAsia"/>
          <w:b/>
          <w:bCs/>
          <w:color w:val="auto"/>
          <w:sz w:val="36"/>
          <w:szCs w:val="36"/>
          <w:lang w:eastAsia="zh-CN"/>
        </w:rPr>
        <w:t>章  竞争性磋商响应文件格式</w:t>
      </w:r>
      <w:bookmarkEnd w:id="297"/>
      <w:bookmarkEnd w:id="298"/>
      <w:bookmarkEnd w:id="299"/>
      <w:bookmarkEnd w:id="300"/>
    </w:p>
    <w:p w14:paraId="5F9AFD6D">
      <w:pPr>
        <w:spacing w:line="360" w:lineRule="auto"/>
        <w:jc w:val="both"/>
        <w:outlineLvl w:val="9"/>
        <w:rPr>
          <w:rFonts w:hint="eastAsia" w:hAnsi="宋体"/>
          <w:b/>
          <w:color w:val="auto"/>
          <w:sz w:val="44"/>
          <w:szCs w:val="44"/>
          <w:lang w:eastAsia="zh-CN"/>
        </w:rPr>
      </w:pPr>
    </w:p>
    <w:p w14:paraId="74A9930E">
      <w:pPr>
        <w:spacing w:line="360" w:lineRule="auto"/>
        <w:jc w:val="left"/>
        <w:outlineLvl w:val="9"/>
        <w:rPr>
          <w:rFonts w:hint="eastAsia" w:ascii="宋体" w:hAnsi="宋体" w:cs="仿宋_GB2312"/>
          <w:b/>
          <w:color w:val="auto"/>
          <w:sz w:val="32"/>
          <w:szCs w:val="22"/>
          <w:lang w:eastAsia="zh-CN"/>
        </w:rPr>
      </w:pPr>
      <w:bookmarkStart w:id="303" w:name="_Toc1997"/>
      <w:bookmarkStart w:id="304" w:name="_Toc31931"/>
      <w:bookmarkStart w:id="305" w:name="_Toc20828"/>
      <w:bookmarkStart w:id="306" w:name="_Toc11120"/>
      <w:bookmarkStart w:id="307" w:name="_Toc18625"/>
      <w:r>
        <w:rPr>
          <w:rFonts w:hint="eastAsia" w:ascii="宋体" w:hAnsi="宋体" w:cs="仿宋_GB2312"/>
          <w:b/>
          <w:color w:val="auto"/>
          <w:sz w:val="32"/>
          <w:szCs w:val="22"/>
          <w:lang w:eastAsia="zh-CN"/>
        </w:rPr>
        <w:t>采购项目编号：</w:t>
      </w:r>
      <w:r>
        <w:rPr>
          <w:rFonts w:hint="eastAsia" w:ascii="宋体" w:hAnsi="宋体" w:cs="仿宋_GB2312"/>
          <w:b/>
          <w:color w:val="auto"/>
          <w:sz w:val="32"/>
          <w:szCs w:val="22"/>
          <w:lang w:val="en-US" w:eastAsia="zh-CN"/>
        </w:rPr>
        <w:t xml:space="preserve"> </w:t>
      </w:r>
      <w:r>
        <w:rPr>
          <w:rFonts w:hint="eastAsia" w:ascii="宋体" w:hAnsi="宋体" w:cs="仿宋_GB2312"/>
          <w:b/>
          <w:color w:val="auto"/>
          <w:sz w:val="32"/>
          <w:szCs w:val="22"/>
          <w:lang w:eastAsia="zh-CN"/>
        </w:rPr>
        <w:t xml:space="preserve">            </w:t>
      </w:r>
      <w:r>
        <w:rPr>
          <w:rFonts w:hint="eastAsia" w:ascii="宋体" w:hAnsi="宋体" w:cs="仿宋_GB2312"/>
          <w:b/>
          <w:color w:val="auto"/>
          <w:sz w:val="32"/>
          <w:szCs w:val="22"/>
          <w:lang w:val="en-US" w:eastAsia="zh-CN"/>
        </w:rPr>
        <w:t xml:space="preserve">       </w:t>
      </w:r>
      <w:r>
        <w:rPr>
          <w:rFonts w:hint="eastAsia" w:ascii="宋体" w:hAnsi="宋体" w:cs="仿宋_GB2312"/>
          <w:b/>
          <w:color w:val="auto"/>
          <w:sz w:val="32"/>
          <w:szCs w:val="22"/>
          <w:lang w:eastAsia="zh-CN"/>
        </w:rPr>
        <w:t>（正/副本）</w:t>
      </w:r>
      <w:bookmarkEnd w:id="303"/>
      <w:bookmarkEnd w:id="304"/>
      <w:bookmarkEnd w:id="305"/>
      <w:bookmarkEnd w:id="306"/>
      <w:bookmarkEnd w:id="307"/>
    </w:p>
    <w:p w14:paraId="445A0D5F">
      <w:pPr>
        <w:spacing w:line="360" w:lineRule="auto"/>
        <w:jc w:val="left"/>
        <w:outlineLvl w:val="9"/>
        <w:rPr>
          <w:rFonts w:hint="eastAsia" w:hAnsi="宋体"/>
          <w:b/>
          <w:color w:val="auto"/>
          <w:sz w:val="32"/>
          <w:szCs w:val="32"/>
          <w:lang w:eastAsia="zh-CN"/>
        </w:rPr>
      </w:pPr>
    </w:p>
    <w:p w14:paraId="2848F6D0">
      <w:pPr>
        <w:spacing w:line="360" w:lineRule="auto"/>
        <w:jc w:val="left"/>
        <w:outlineLvl w:val="9"/>
        <w:rPr>
          <w:rFonts w:hint="eastAsia" w:hAnsi="宋体"/>
          <w:b/>
          <w:color w:val="auto"/>
          <w:sz w:val="32"/>
          <w:szCs w:val="32"/>
          <w:lang w:eastAsia="zh-CN"/>
        </w:rPr>
      </w:pPr>
    </w:p>
    <w:p w14:paraId="561CF7E7">
      <w:pPr>
        <w:pStyle w:val="9"/>
        <w:jc w:val="center"/>
        <w:outlineLvl w:val="9"/>
        <w:rPr>
          <w:rFonts w:hint="eastAsia" w:ascii="宋体" w:hAnsi="宋体" w:eastAsia="宋体" w:cs="仿宋_GB2312"/>
          <w:b/>
          <w:color w:val="auto"/>
          <w:kern w:val="2"/>
          <w:sz w:val="44"/>
          <w:szCs w:val="44"/>
          <w:lang w:val="en-US" w:eastAsia="zh-CN" w:bidi="ar-SA"/>
        </w:rPr>
      </w:pPr>
      <w:r>
        <w:rPr>
          <w:rFonts w:hint="eastAsia" w:ascii="宋体" w:hAnsi="宋体" w:eastAsia="宋体" w:cs="仿宋_GB2312"/>
          <w:b/>
          <w:color w:val="auto"/>
          <w:kern w:val="2"/>
          <w:sz w:val="44"/>
          <w:szCs w:val="44"/>
          <w:lang w:val="en-US" w:eastAsia="zh-CN" w:bidi="ar-SA"/>
        </w:rPr>
        <w:t>吴堡县张家山镇辛庄村人居环境整治工程</w:t>
      </w:r>
    </w:p>
    <w:p w14:paraId="7991C092">
      <w:pPr>
        <w:pStyle w:val="9"/>
        <w:outlineLvl w:val="9"/>
        <w:rPr>
          <w:color w:val="auto"/>
        </w:rPr>
      </w:pPr>
    </w:p>
    <w:p w14:paraId="43AD91E4">
      <w:pPr>
        <w:jc w:val="both"/>
        <w:outlineLvl w:val="9"/>
        <w:rPr>
          <w:rFonts w:hAnsi="宋体"/>
          <w:b/>
          <w:color w:val="auto"/>
          <w:sz w:val="52"/>
          <w:szCs w:val="52"/>
        </w:rPr>
      </w:pPr>
    </w:p>
    <w:p w14:paraId="1A5EB037">
      <w:pPr>
        <w:jc w:val="center"/>
        <w:outlineLvl w:val="9"/>
        <w:rPr>
          <w:rFonts w:hint="eastAsia" w:hAnsi="宋体"/>
          <w:b/>
          <w:color w:val="auto"/>
          <w:sz w:val="52"/>
          <w:szCs w:val="52"/>
        </w:rPr>
      </w:pPr>
    </w:p>
    <w:p w14:paraId="3AD82860">
      <w:pPr>
        <w:jc w:val="center"/>
        <w:outlineLvl w:val="9"/>
        <w:rPr>
          <w:rFonts w:hint="eastAsia" w:hAnsi="宋体"/>
          <w:b/>
          <w:color w:val="auto"/>
          <w:sz w:val="52"/>
          <w:szCs w:val="52"/>
        </w:rPr>
      </w:pPr>
    </w:p>
    <w:p w14:paraId="334F4E1C">
      <w:pPr>
        <w:jc w:val="center"/>
        <w:outlineLvl w:val="9"/>
        <w:rPr>
          <w:rFonts w:hAnsi="宋体"/>
          <w:b/>
          <w:color w:val="auto"/>
          <w:sz w:val="72"/>
          <w:szCs w:val="72"/>
        </w:rPr>
      </w:pPr>
      <w:r>
        <w:rPr>
          <w:rFonts w:hint="eastAsia" w:hAnsi="宋体"/>
          <w:b/>
          <w:color w:val="auto"/>
          <w:sz w:val="72"/>
          <w:szCs w:val="72"/>
        </w:rPr>
        <w:t>竞争性磋商响应文件</w:t>
      </w:r>
    </w:p>
    <w:p w14:paraId="08F2AABF">
      <w:pPr>
        <w:outlineLvl w:val="9"/>
        <w:rPr>
          <w:rFonts w:hAnsi="宋体"/>
          <w:b/>
          <w:color w:val="auto"/>
          <w:sz w:val="36"/>
          <w:szCs w:val="36"/>
        </w:rPr>
      </w:pPr>
      <w:r>
        <w:rPr>
          <w:rFonts w:hint="eastAsia" w:hAnsi="宋体"/>
          <w:b/>
          <w:color w:val="auto"/>
          <w:sz w:val="36"/>
          <w:szCs w:val="36"/>
        </w:rPr>
        <w:t xml:space="preserve">               </w:t>
      </w:r>
    </w:p>
    <w:p w14:paraId="145E30B3">
      <w:pPr>
        <w:jc w:val="center"/>
        <w:outlineLvl w:val="9"/>
        <w:rPr>
          <w:rFonts w:hAnsi="宋体"/>
          <w:b/>
          <w:color w:val="auto"/>
          <w:sz w:val="36"/>
          <w:szCs w:val="36"/>
        </w:rPr>
      </w:pPr>
    </w:p>
    <w:p w14:paraId="54C9627E">
      <w:pPr>
        <w:jc w:val="center"/>
        <w:outlineLvl w:val="9"/>
        <w:rPr>
          <w:rFonts w:hAnsi="宋体"/>
          <w:b/>
          <w:color w:val="auto"/>
          <w:sz w:val="36"/>
          <w:szCs w:val="36"/>
        </w:rPr>
      </w:pPr>
    </w:p>
    <w:p w14:paraId="77651DA0">
      <w:pPr>
        <w:pStyle w:val="9"/>
        <w:outlineLvl w:val="9"/>
        <w:rPr>
          <w:color w:val="auto"/>
        </w:rPr>
      </w:pPr>
    </w:p>
    <w:p w14:paraId="70A294BB">
      <w:pPr>
        <w:pStyle w:val="9"/>
        <w:outlineLvl w:val="9"/>
        <w:rPr>
          <w:color w:val="auto"/>
        </w:rPr>
      </w:pPr>
    </w:p>
    <w:p w14:paraId="0A7AACB5">
      <w:pPr>
        <w:pStyle w:val="9"/>
        <w:outlineLvl w:val="9"/>
        <w:rPr>
          <w:color w:val="auto"/>
        </w:rPr>
      </w:pPr>
    </w:p>
    <w:p w14:paraId="739039E7">
      <w:pPr>
        <w:outlineLvl w:val="9"/>
        <w:rPr>
          <w:rFonts w:hAnsi="宋体"/>
          <w:b/>
          <w:color w:val="auto"/>
          <w:sz w:val="36"/>
          <w:szCs w:val="36"/>
        </w:rPr>
      </w:pPr>
    </w:p>
    <w:p w14:paraId="1897D53F">
      <w:pPr>
        <w:tabs>
          <w:tab w:val="center" w:pos="5346"/>
        </w:tabs>
        <w:spacing w:line="480" w:lineRule="auto"/>
        <w:ind w:firstLine="1928" w:firstLineChars="600"/>
        <w:outlineLvl w:val="9"/>
        <w:rPr>
          <w:rFonts w:hAnsi="宋体"/>
          <w:b/>
          <w:color w:val="auto"/>
          <w:sz w:val="32"/>
          <w:szCs w:val="32"/>
          <w:u w:val="single"/>
        </w:rPr>
      </w:pPr>
      <w:bookmarkStart w:id="308" w:name="_Toc6010"/>
      <w:bookmarkStart w:id="309" w:name="_Toc26671"/>
      <w:bookmarkStart w:id="310" w:name="_Toc4952"/>
      <w:bookmarkStart w:id="311" w:name="_Toc393"/>
      <w:bookmarkStart w:id="312" w:name="_Toc17368"/>
      <w:r>
        <w:rPr>
          <w:rFonts w:hint="eastAsia" w:hAnsi="宋体"/>
          <w:b/>
          <w:color w:val="auto"/>
          <w:sz w:val="32"/>
          <w:szCs w:val="32"/>
        </w:rPr>
        <w:t>供应商名称（公章）</w:t>
      </w:r>
      <w:bookmarkEnd w:id="308"/>
      <w:bookmarkEnd w:id="309"/>
      <w:bookmarkEnd w:id="310"/>
      <w:bookmarkEnd w:id="311"/>
      <w:bookmarkEnd w:id="312"/>
      <w:r>
        <w:rPr>
          <w:rFonts w:hint="eastAsia" w:hAnsi="宋体"/>
          <w:b/>
          <w:color w:val="auto"/>
          <w:sz w:val="32"/>
          <w:szCs w:val="32"/>
          <w:u w:val="single"/>
        </w:rPr>
        <w:t xml:space="preserve">                  </w:t>
      </w:r>
    </w:p>
    <w:p w14:paraId="0A23E1BC">
      <w:pPr>
        <w:pStyle w:val="9"/>
        <w:outlineLvl w:val="9"/>
        <w:rPr>
          <w:color w:val="auto"/>
        </w:rPr>
      </w:pPr>
    </w:p>
    <w:p w14:paraId="5D8C5BE0">
      <w:pPr>
        <w:tabs>
          <w:tab w:val="center" w:pos="5346"/>
        </w:tabs>
        <w:spacing w:line="480" w:lineRule="auto"/>
        <w:ind w:firstLine="1928" w:firstLineChars="600"/>
        <w:outlineLvl w:val="9"/>
        <w:rPr>
          <w:rFonts w:hAnsi="宋体"/>
          <w:b/>
          <w:color w:val="auto"/>
          <w:sz w:val="32"/>
          <w:szCs w:val="32"/>
          <w:u w:val="single"/>
        </w:rPr>
      </w:pPr>
      <w:bookmarkStart w:id="313" w:name="_Toc22265"/>
      <w:bookmarkStart w:id="314" w:name="_Toc28374"/>
      <w:bookmarkStart w:id="315" w:name="_Toc18783"/>
      <w:bookmarkStart w:id="316" w:name="_Toc5300"/>
      <w:bookmarkStart w:id="317" w:name="_Toc20251"/>
      <w:bookmarkStart w:id="318" w:name="_Toc1193"/>
      <w:r>
        <w:rPr>
          <w:rFonts w:hint="eastAsia" w:hAnsi="宋体"/>
          <w:b/>
          <w:color w:val="auto"/>
          <w:sz w:val="32"/>
          <w:szCs w:val="32"/>
        </w:rPr>
        <w:t>法人或授权人签字或盖章：</w:t>
      </w:r>
      <w:bookmarkEnd w:id="313"/>
      <w:bookmarkEnd w:id="314"/>
      <w:bookmarkEnd w:id="315"/>
      <w:bookmarkEnd w:id="316"/>
      <w:bookmarkEnd w:id="317"/>
      <w:bookmarkEnd w:id="318"/>
      <w:r>
        <w:rPr>
          <w:rFonts w:hint="eastAsia" w:hAnsi="宋体"/>
          <w:b/>
          <w:color w:val="auto"/>
          <w:sz w:val="32"/>
          <w:szCs w:val="32"/>
          <w:u w:val="single"/>
        </w:rPr>
        <w:t xml:space="preserve">            </w:t>
      </w:r>
    </w:p>
    <w:p w14:paraId="3AD2E29C">
      <w:pPr>
        <w:spacing w:line="360" w:lineRule="auto"/>
        <w:jc w:val="center"/>
        <w:outlineLvl w:val="9"/>
        <w:rPr>
          <w:rFonts w:hint="eastAsia" w:hAnsi="宋体"/>
          <w:b/>
          <w:color w:val="auto"/>
          <w:sz w:val="32"/>
          <w:szCs w:val="32"/>
          <w:lang w:val="en-US" w:eastAsia="zh-CN"/>
        </w:rPr>
      </w:pPr>
      <w:r>
        <w:rPr>
          <w:rFonts w:hint="eastAsia" w:hAnsi="宋体"/>
          <w:b/>
          <w:color w:val="auto"/>
          <w:sz w:val="32"/>
          <w:szCs w:val="32"/>
          <w:u w:val="single"/>
          <w:lang w:val="en-US" w:eastAsia="zh-CN"/>
        </w:rPr>
        <w:t xml:space="preserve">     </w:t>
      </w:r>
      <w:r>
        <w:rPr>
          <w:rFonts w:hint="eastAsia" w:hAnsi="宋体"/>
          <w:b/>
          <w:color w:val="auto"/>
          <w:sz w:val="32"/>
          <w:szCs w:val="32"/>
        </w:rPr>
        <w:t>年</w:t>
      </w:r>
      <w:r>
        <w:rPr>
          <w:rFonts w:hint="eastAsia" w:hAnsi="宋体"/>
          <w:b/>
          <w:color w:val="auto"/>
          <w:sz w:val="32"/>
          <w:szCs w:val="32"/>
          <w:u w:val="single"/>
        </w:rPr>
        <w:t xml:space="preserve">   </w:t>
      </w:r>
      <w:r>
        <w:rPr>
          <w:rFonts w:hint="eastAsia" w:hAnsi="宋体"/>
          <w:b/>
          <w:color w:val="auto"/>
          <w:sz w:val="32"/>
          <w:szCs w:val="32"/>
        </w:rPr>
        <w:t>月</w:t>
      </w:r>
      <w:r>
        <w:rPr>
          <w:rFonts w:hint="eastAsia" w:hAnsi="宋体"/>
          <w:b/>
          <w:color w:val="auto"/>
          <w:sz w:val="32"/>
          <w:szCs w:val="32"/>
          <w:u w:val="single"/>
        </w:rPr>
        <w:t xml:space="preserve">   </w:t>
      </w:r>
      <w:bookmarkStart w:id="319" w:name="_Toc344572156"/>
      <w:r>
        <w:rPr>
          <w:rFonts w:hint="eastAsia" w:hAnsi="宋体"/>
          <w:b/>
          <w:color w:val="auto"/>
          <w:sz w:val="32"/>
          <w:szCs w:val="32"/>
          <w:lang w:val="en-US" w:eastAsia="zh-CN"/>
        </w:rPr>
        <w:t>日</w:t>
      </w:r>
    </w:p>
    <w:p w14:paraId="32420195">
      <w:pPr>
        <w:spacing w:line="360" w:lineRule="auto"/>
        <w:jc w:val="center"/>
        <w:outlineLvl w:val="9"/>
        <w:rPr>
          <w:rFonts w:hint="eastAsia" w:hAnsi="宋体"/>
          <w:b/>
          <w:color w:val="auto"/>
          <w:sz w:val="32"/>
          <w:szCs w:val="32"/>
          <w:lang w:val="en-US" w:eastAsia="zh-CN"/>
        </w:rPr>
      </w:pPr>
    </w:p>
    <w:p w14:paraId="262A64A9">
      <w:pPr>
        <w:spacing w:line="360" w:lineRule="auto"/>
        <w:jc w:val="center"/>
        <w:outlineLvl w:val="9"/>
        <w:rPr>
          <w:rFonts w:hint="eastAsia" w:hAnsi="宋体"/>
          <w:b/>
          <w:color w:val="auto"/>
          <w:sz w:val="32"/>
          <w:szCs w:val="32"/>
          <w:lang w:val="en-US" w:eastAsia="zh-CN"/>
        </w:rPr>
      </w:pPr>
    </w:p>
    <w:p w14:paraId="67147BFE">
      <w:pPr>
        <w:spacing w:line="360" w:lineRule="auto"/>
        <w:jc w:val="center"/>
        <w:outlineLvl w:val="9"/>
        <w:rPr>
          <w:b/>
          <w:color w:val="auto"/>
          <w:sz w:val="44"/>
        </w:rPr>
      </w:pPr>
      <w:r>
        <w:rPr>
          <w:rFonts w:hint="eastAsia"/>
          <w:b/>
          <w:color w:val="auto"/>
          <w:sz w:val="44"/>
        </w:rPr>
        <w:t>目  录</w:t>
      </w:r>
    </w:p>
    <w:p w14:paraId="5B8D7B8A">
      <w:pPr>
        <w:spacing w:line="360" w:lineRule="auto"/>
        <w:ind w:firstLine="3520" w:firstLineChars="1100"/>
        <w:outlineLvl w:val="9"/>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lang w:val="en-US" w:eastAsia="zh-CN"/>
        </w:rPr>
        <w:t>须自动索引</w:t>
      </w:r>
      <w:r>
        <w:rPr>
          <w:rFonts w:hint="eastAsia" w:ascii="宋体" w:hAnsi="宋体" w:eastAsia="宋体" w:cs="宋体"/>
          <w:color w:val="auto"/>
          <w:sz w:val="32"/>
          <w:szCs w:val="32"/>
          <w:lang w:eastAsia="zh-CN"/>
        </w:rPr>
        <w:t>）</w:t>
      </w:r>
    </w:p>
    <w:p w14:paraId="03E2AB5C">
      <w:pPr>
        <w:pStyle w:val="7"/>
        <w:spacing w:line="360" w:lineRule="auto"/>
        <w:ind w:firstLine="400"/>
        <w:jc w:val="center"/>
        <w:outlineLvl w:val="9"/>
        <w:rPr>
          <w:color w:val="auto"/>
        </w:rPr>
      </w:pPr>
      <w:r>
        <w:rPr>
          <w:rFonts w:hint="eastAsia" w:ascii="宋体" w:hAnsi="宋体" w:eastAsia="宋体" w:cs="宋体"/>
          <w:color w:val="auto"/>
        </w:rPr>
        <w:br w:type="page"/>
      </w:r>
    </w:p>
    <w:bookmarkEnd w:id="319"/>
    <w:p w14:paraId="696690D9">
      <w:pPr>
        <w:spacing w:line="360" w:lineRule="auto"/>
        <w:jc w:val="center"/>
        <w:outlineLvl w:val="1"/>
        <w:rPr>
          <w:rFonts w:hint="eastAsia" w:ascii="宋体" w:hAnsi="宋体" w:eastAsia="宋体" w:cs="宋体"/>
          <w:b/>
          <w:color w:val="auto"/>
          <w:sz w:val="32"/>
          <w:szCs w:val="32"/>
        </w:rPr>
      </w:pPr>
      <w:bookmarkStart w:id="320" w:name="_Toc363474027"/>
      <w:bookmarkStart w:id="321" w:name="_Toc403077648"/>
      <w:bookmarkStart w:id="322" w:name="_Toc15830"/>
      <w:bookmarkStart w:id="323" w:name="_Toc24357"/>
      <w:bookmarkStart w:id="324" w:name="_Toc15940"/>
      <w:bookmarkStart w:id="325" w:name="_Toc12920"/>
      <w:bookmarkStart w:id="326" w:name="_Toc16045"/>
      <w:bookmarkStart w:id="327" w:name="_Toc20261"/>
      <w:bookmarkStart w:id="328" w:name="_Toc19670"/>
      <w:bookmarkStart w:id="329" w:name="_Toc204524343"/>
      <w:r>
        <w:rPr>
          <w:rFonts w:hint="eastAsia" w:ascii="宋体" w:hAnsi="宋体" w:cs="宋体"/>
          <w:b/>
          <w:color w:val="auto"/>
          <w:sz w:val="32"/>
          <w:szCs w:val="32"/>
          <w:lang w:val="en-US" w:eastAsia="zh-CN"/>
        </w:rPr>
        <w:t>一、</w:t>
      </w:r>
      <w:bookmarkEnd w:id="320"/>
      <w:bookmarkEnd w:id="321"/>
      <w:r>
        <w:rPr>
          <w:rFonts w:hint="eastAsia" w:ascii="宋体" w:hAnsi="宋体" w:eastAsia="宋体" w:cs="宋体"/>
          <w:b/>
          <w:color w:val="auto"/>
          <w:sz w:val="32"/>
          <w:szCs w:val="32"/>
        </w:rPr>
        <w:t>响应函</w:t>
      </w:r>
      <w:bookmarkEnd w:id="322"/>
      <w:bookmarkEnd w:id="323"/>
      <w:bookmarkEnd w:id="324"/>
      <w:bookmarkEnd w:id="325"/>
      <w:bookmarkEnd w:id="326"/>
      <w:bookmarkEnd w:id="327"/>
      <w:bookmarkEnd w:id="328"/>
    </w:p>
    <w:p w14:paraId="5CEB758F">
      <w:pPr>
        <w:spacing w:line="360" w:lineRule="auto"/>
        <w:jc w:val="left"/>
        <w:outlineLvl w:val="9"/>
        <w:rPr>
          <w:rFonts w:hint="eastAsia" w:hAnsi="宋体" w:eastAsia="宋体"/>
          <w:color w:val="auto"/>
          <w:spacing w:val="4"/>
          <w:sz w:val="24"/>
          <w:szCs w:val="24"/>
          <w:lang w:eastAsia="zh-CN"/>
        </w:rPr>
      </w:pPr>
      <w:r>
        <w:rPr>
          <w:rFonts w:hint="eastAsia" w:hAnsi="宋体"/>
          <w:color w:val="auto"/>
          <w:spacing w:val="4"/>
          <w:sz w:val="24"/>
          <w:szCs w:val="24"/>
        </w:rPr>
        <w:t>致：</w:t>
      </w:r>
      <w:r>
        <w:rPr>
          <w:rFonts w:hint="eastAsia" w:hAnsi="宋体"/>
          <w:color w:val="auto"/>
          <w:spacing w:val="4"/>
          <w:sz w:val="24"/>
          <w:szCs w:val="24"/>
          <w:lang w:eastAsia="zh-CN"/>
        </w:rPr>
        <w:t>陕西华旭晟信项目管理有限责任公司</w:t>
      </w:r>
    </w:p>
    <w:p w14:paraId="1B388E2F">
      <w:pPr>
        <w:spacing w:line="360" w:lineRule="auto"/>
        <w:ind w:firstLine="496" w:firstLineChars="200"/>
        <w:outlineLvl w:val="9"/>
        <w:rPr>
          <w:rFonts w:hint="eastAsia" w:hAnsi="宋体" w:eastAsia="宋体"/>
          <w:color w:val="auto"/>
          <w:spacing w:val="4"/>
          <w:sz w:val="24"/>
          <w:szCs w:val="24"/>
          <w:u w:val="single"/>
          <w:lang w:eastAsia="zh-CN"/>
        </w:rPr>
      </w:pPr>
      <w:r>
        <w:rPr>
          <w:rFonts w:hint="eastAsia" w:hAnsi="宋体"/>
          <w:color w:val="auto"/>
          <w:spacing w:val="4"/>
          <w:sz w:val="24"/>
          <w:szCs w:val="24"/>
        </w:rPr>
        <w:t>根据贵方“</w:t>
      </w:r>
      <w:r>
        <w:rPr>
          <w:rFonts w:hint="eastAsia" w:hAnsi="宋体"/>
          <w:color w:val="auto"/>
          <w:spacing w:val="4"/>
          <w:sz w:val="24"/>
          <w:szCs w:val="24"/>
          <w:u w:val="single"/>
        </w:rPr>
        <w:t xml:space="preserve">          </w:t>
      </w:r>
      <w:r>
        <w:rPr>
          <w:rFonts w:hint="eastAsia" w:hAnsi="宋体"/>
          <w:color w:val="auto"/>
          <w:spacing w:val="4"/>
          <w:sz w:val="24"/>
          <w:szCs w:val="24"/>
        </w:rPr>
        <w:t>”项目的磋商文件</w:t>
      </w:r>
      <w:r>
        <w:rPr>
          <w:rFonts w:hint="eastAsia" w:hAnsi="宋体"/>
          <w:color w:val="auto"/>
          <w:spacing w:val="4"/>
          <w:sz w:val="24"/>
          <w:szCs w:val="24"/>
          <w:u w:val="single"/>
        </w:rPr>
        <w:t>(编号：      )</w:t>
      </w:r>
      <w:r>
        <w:rPr>
          <w:rFonts w:hint="eastAsia" w:hAnsi="宋体"/>
          <w:color w:val="auto"/>
          <w:spacing w:val="4"/>
          <w:sz w:val="24"/>
          <w:szCs w:val="24"/>
        </w:rPr>
        <w:t>，签字代表</w:t>
      </w:r>
      <w:r>
        <w:rPr>
          <w:rFonts w:hint="eastAsia" w:hAnsi="宋体"/>
          <w:color w:val="auto"/>
          <w:spacing w:val="4"/>
          <w:sz w:val="24"/>
          <w:szCs w:val="24"/>
          <w:u w:val="single"/>
        </w:rPr>
        <w:t>（全名、职务）</w:t>
      </w:r>
      <w:r>
        <w:rPr>
          <w:rFonts w:hint="eastAsia" w:hAnsi="宋体"/>
          <w:color w:val="auto"/>
          <w:spacing w:val="4"/>
          <w:sz w:val="24"/>
          <w:szCs w:val="24"/>
        </w:rPr>
        <w:t>经正式授权并代表供应商</w:t>
      </w:r>
      <w:r>
        <w:rPr>
          <w:rFonts w:hint="eastAsia" w:hAnsi="宋体"/>
          <w:color w:val="auto"/>
          <w:spacing w:val="4"/>
          <w:sz w:val="24"/>
          <w:szCs w:val="24"/>
          <w:u w:val="single"/>
        </w:rPr>
        <w:t>(供应商名称、地址、统一社会信用代码)</w:t>
      </w:r>
      <w:r>
        <w:rPr>
          <w:rFonts w:hint="eastAsia" w:hAnsi="宋体"/>
          <w:color w:val="auto"/>
          <w:spacing w:val="4"/>
          <w:sz w:val="24"/>
          <w:szCs w:val="24"/>
        </w:rPr>
        <w:t xml:space="preserve"> 提交竞争性磋商响应文件</w:t>
      </w:r>
      <w:r>
        <w:rPr>
          <w:rFonts w:hint="eastAsia" w:hAnsi="宋体"/>
          <w:color w:val="auto"/>
          <w:spacing w:val="4"/>
          <w:sz w:val="24"/>
          <w:szCs w:val="24"/>
          <w:lang w:eastAsia="zh-CN"/>
        </w:rPr>
        <w:t>。</w:t>
      </w:r>
    </w:p>
    <w:p w14:paraId="381FBC87">
      <w:pPr>
        <w:spacing w:line="360" w:lineRule="auto"/>
        <w:ind w:left="549" w:leftChars="251" w:hanging="22" w:hangingChars="9"/>
        <w:jc w:val="left"/>
        <w:outlineLvl w:val="9"/>
        <w:rPr>
          <w:rFonts w:hAnsi="宋体"/>
          <w:color w:val="auto"/>
          <w:spacing w:val="4"/>
          <w:sz w:val="24"/>
          <w:szCs w:val="24"/>
        </w:rPr>
      </w:pPr>
      <w:r>
        <w:rPr>
          <w:rFonts w:hint="eastAsia" w:hAnsi="宋体"/>
          <w:color w:val="auto"/>
          <w:spacing w:val="4"/>
          <w:sz w:val="24"/>
          <w:szCs w:val="24"/>
        </w:rPr>
        <w:t>我方承诺如下：</w:t>
      </w:r>
    </w:p>
    <w:p w14:paraId="4851C62B">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 xml:space="preserve">1）磋商总价为 </w:t>
      </w:r>
      <w:r>
        <w:rPr>
          <w:rFonts w:hint="eastAsia" w:hAnsi="宋体"/>
          <w:color w:val="auto"/>
          <w:spacing w:val="4"/>
          <w:sz w:val="24"/>
          <w:szCs w:val="24"/>
          <w:u w:val="single"/>
        </w:rPr>
        <w:t xml:space="preserve">        </w:t>
      </w:r>
      <w:r>
        <w:rPr>
          <w:rFonts w:hint="eastAsia" w:hAnsi="宋体"/>
          <w:color w:val="auto"/>
          <w:spacing w:val="4"/>
          <w:sz w:val="24"/>
          <w:szCs w:val="24"/>
        </w:rPr>
        <w:t>（人民币）（用文字和数字表示的磋商总价）。</w:t>
      </w:r>
    </w:p>
    <w:p w14:paraId="30CDC0CF">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2）如果成交，我们根据竞争性磋商文件的规定，履行合同的责任和义务。</w:t>
      </w:r>
    </w:p>
    <w:p w14:paraId="7DD41ED3">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3）我们已详细阅读和审核全部竞争性磋商文件（含修改部分，如有的话），及有关附件，我们知道必须放弃提出含糊不清或误解的问题的权利。</w:t>
      </w:r>
    </w:p>
    <w:p w14:paraId="6EE340E0">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4）我们同意在磋商有效期内，本磋商响应函对我方具有约束力。</w:t>
      </w:r>
    </w:p>
    <w:p w14:paraId="608BB0FA">
      <w:pPr>
        <w:tabs>
          <w:tab w:val="left" w:pos="2160"/>
        </w:tabs>
        <w:spacing w:line="360" w:lineRule="auto"/>
        <w:ind w:firstLine="496" w:firstLineChars="200"/>
        <w:jc w:val="left"/>
        <w:outlineLvl w:val="9"/>
        <w:rPr>
          <w:rFonts w:hint="eastAsia" w:ascii="Times New Roman" w:hAnsi="宋体" w:eastAsia="宋体" w:cs="Times New Roman"/>
          <w:color w:val="auto"/>
          <w:spacing w:val="4"/>
          <w:sz w:val="24"/>
          <w:szCs w:val="24"/>
        </w:rPr>
      </w:pPr>
      <w:r>
        <w:rPr>
          <w:rFonts w:hint="eastAsia" w:hAnsi="宋体"/>
          <w:color w:val="auto"/>
          <w:spacing w:val="4"/>
          <w:sz w:val="24"/>
          <w:szCs w:val="24"/>
        </w:rPr>
        <w:t>5）如果在磋商后规定的磋商有效</w:t>
      </w:r>
      <w:r>
        <w:rPr>
          <w:rFonts w:hint="eastAsia" w:ascii="Times New Roman" w:hAnsi="宋体" w:eastAsia="宋体" w:cs="Times New Roman"/>
          <w:color w:val="auto"/>
          <w:spacing w:val="4"/>
          <w:sz w:val="24"/>
          <w:szCs w:val="24"/>
        </w:rPr>
        <w:t>期内撤销磋商文件，我们</w:t>
      </w:r>
      <w:r>
        <w:rPr>
          <w:rFonts w:hint="eastAsia" w:ascii="Times New Roman" w:hAnsi="宋体" w:eastAsia="宋体" w:cs="Times New Roman"/>
          <w:color w:val="auto"/>
          <w:spacing w:val="4"/>
          <w:sz w:val="24"/>
          <w:szCs w:val="24"/>
          <w:lang w:val="en-US" w:eastAsia="zh-CN"/>
        </w:rPr>
        <w:t>自愿根据投标信用承诺书有关规定执行。</w:t>
      </w:r>
    </w:p>
    <w:p w14:paraId="041680A1">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 xml:space="preserve">6）同意提供贵方可能另外要求的与本磋商有关的任何证据和资料。 </w:t>
      </w:r>
    </w:p>
    <w:p w14:paraId="0F9B2C43">
      <w:pPr>
        <w:tabs>
          <w:tab w:val="left" w:pos="2160"/>
        </w:tabs>
        <w:spacing w:line="360" w:lineRule="auto"/>
        <w:ind w:firstLine="496" w:firstLineChars="200"/>
        <w:jc w:val="left"/>
        <w:outlineLvl w:val="9"/>
        <w:rPr>
          <w:rFonts w:hint="default" w:hAnsi="宋体" w:eastAsia="宋体"/>
          <w:color w:val="auto"/>
          <w:spacing w:val="4"/>
          <w:sz w:val="24"/>
          <w:szCs w:val="24"/>
          <w:u w:val="single"/>
          <w:lang w:val="en-US" w:eastAsia="zh-CN"/>
        </w:rPr>
      </w:pPr>
      <w:r>
        <w:rPr>
          <w:rFonts w:hint="eastAsia" w:hAnsi="宋体"/>
          <w:color w:val="auto"/>
          <w:spacing w:val="4"/>
          <w:sz w:val="24"/>
          <w:szCs w:val="24"/>
          <w:lang w:val="en-US" w:eastAsia="zh-CN"/>
        </w:rPr>
        <w:t>7</w:t>
      </w:r>
      <w:r>
        <w:rPr>
          <w:rFonts w:hint="eastAsia" w:hAnsi="宋体"/>
          <w:color w:val="auto"/>
          <w:spacing w:val="4"/>
          <w:sz w:val="24"/>
          <w:szCs w:val="24"/>
        </w:rPr>
        <w:t>）</w:t>
      </w:r>
      <w:r>
        <w:rPr>
          <w:rFonts w:hint="eastAsia" w:hAnsi="宋体"/>
          <w:color w:val="auto"/>
          <w:spacing w:val="4"/>
          <w:sz w:val="24"/>
          <w:szCs w:val="24"/>
          <w:lang w:val="en-US" w:eastAsia="zh-CN"/>
        </w:rPr>
        <w:t>其他：</w:t>
      </w:r>
      <w:r>
        <w:rPr>
          <w:rFonts w:hint="eastAsia" w:hAnsi="宋体"/>
          <w:color w:val="auto"/>
          <w:spacing w:val="4"/>
          <w:sz w:val="24"/>
          <w:szCs w:val="24"/>
          <w:u w:val="single"/>
          <w:lang w:val="en-US" w:eastAsia="zh-CN"/>
        </w:rPr>
        <w:t xml:space="preserve">                     </w:t>
      </w:r>
    </w:p>
    <w:p w14:paraId="640FF3DD">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lang w:val="en-US" w:eastAsia="zh-CN"/>
        </w:rPr>
        <w:t>8）</w:t>
      </w:r>
      <w:r>
        <w:rPr>
          <w:rFonts w:hint="eastAsia" w:hAnsi="宋体"/>
          <w:color w:val="auto"/>
          <w:spacing w:val="4"/>
          <w:sz w:val="24"/>
          <w:szCs w:val="24"/>
        </w:rPr>
        <w:t>与本磋商有关的一切正式往来通讯为：</w:t>
      </w:r>
    </w:p>
    <w:p w14:paraId="57CEF66C">
      <w:pPr>
        <w:spacing w:line="360" w:lineRule="auto"/>
        <w:ind w:firstLine="1240" w:firstLineChars="500"/>
        <w:jc w:val="left"/>
        <w:outlineLvl w:val="9"/>
        <w:rPr>
          <w:rFonts w:hint="eastAsia" w:hAnsi="宋体"/>
          <w:color w:val="auto"/>
          <w:spacing w:val="4"/>
          <w:sz w:val="24"/>
          <w:szCs w:val="24"/>
        </w:rPr>
      </w:pPr>
    </w:p>
    <w:p w14:paraId="6D43828F">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联系地址：</w:t>
      </w:r>
    </w:p>
    <w:p w14:paraId="639FEFA3">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邮政编码：</w:t>
      </w:r>
    </w:p>
    <w:p w14:paraId="777E9BAF">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电    话：</w:t>
      </w:r>
    </w:p>
    <w:p w14:paraId="53982F8D">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传    真：</w:t>
      </w:r>
    </w:p>
    <w:p w14:paraId="7F87D4DD">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供应商名称（盖章）：</w:t>
      </w:r>
    </w:p>
    <w:p w14:paraId="3B45272B">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供应商法定代表人签字</w:t>
      </w:r>
      <w:r>
        <w:rPr>
          <w:rFonts w:hint="eastAsia" w:hAnsi="宋体"/>
          <w:color w:val="auto"/>
          <w:spacing w:val="4"/>
          <w:sz w:val="24"/>
          <w:szCs w:val="24"/>
          <w:lang w:val="en-US" w:eastAsia="zh-CN"/>
        </w:rPr>
        <w:t>或盖章</w:t>
      </w:r>
      <w:r>
        <w:rPr>
          <w:rFonts w:hint="eastAsia" w:hAnsi="宋体"/>
          <w:color w:val="auto"/>
          <w:spacing w:val="4"/>
          <w:sz w:val="24"/>
          <w:szCs w:val="24"/>
        </w:rPr>
        <w:t>：</w:t>
      </w:r>
    </w:p>
    <w:p w14:paraId="35E1781D">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日    期：</w:t>
      </w:r>
    </w:p>
    <w:p w14:paraId="183CAF8D">
      <w:pPr>
        <w:spacing w:before="312" w:beforeLines="100"/>
        <w:jc w:val="center"/>
        <w:outlineLvl w:val="1"/>
        <w:rPr>
          <w:rFonts w:hint="eastAsia" w:eastAsia="宋体"/>
          <w:color w:val="auto"/>
          <w:sz w:val="30"/>
          <w:szCs w:val="30"/>
          <w:lang w:eastAsia="zh-CN"/>
        </w:rPr>
      </w:pPr>
      <w:r>
        <w:rPr>
          <w:rFonts w:hint="eastAsia"/>
          <w:color w:val="auto"/>
        </w:rPr>
        <w:br w:type="page"/>
      </w:r>
      <w:bookmarkStart w:id="330" w:name="_Toc14053"/>
      <w:bookmarkStart w:id="331" w:name="_Toc485"/>
      <w:bookmarkStart w:id="332" w:name="_Toc31101"/>
      <w:bookmarkStart w:id="333" w:name="_Toc403077649"/>
      <w:bookmarkStart w:id="334" w:name="_Toc363474028"/>
      <w:bookmarkStart w:id="335" w:name="_Toc18764"/>
      <w:r>
        <w:rPr>
          <w:rFonts w:hint="eastAsia" w:ascii="宋体" w:hAnsi="宋体" w:eastAsia="宋体" w:cs="宋体"/>
          <w:b/>
          <w:color w:val="auto"/>
          <w:sz w:val="32"/>
          <w:szCs w:val="32"/>
          <w:lang w:val="en-US" w:eastAsia="zh-CN"/>
        </w:rPr>
        <w:t>二、第一次</w:t>
      </w:r>
      <w:r>
        <w:rPr>
          <w:rFonts w:hint="eastAsia" w:ascii="宋体" w:hAnsi="宋体" w:eastAsia="宋体" w:cs="宋体"/>
          <w:b/>
          <w:color w:val="auto"/>
          <w:sz w:val="32"/>
          <w:szCs w:val="32"/>
          <w:lang w:eastAsia="zh-CN"/>
        </w:rPr>
        <w:t>磋商报价表</w:t>
      </w:r>
      <w:bookmarkEnd w:id="330"/>
      <w:bookmarkEnd w:id="331"/>
      <w:bookmarkEnd w:id="332"/>
    </w:p>
    <w:p w14:paraId="101DF46B">
      <w:pPr>
        <w:spacing w:line="360" w:lineRule="auto"/>
        <w:outlineLvl w:val="9"/>
        <w:rPr>
          <w:rFonts w:hint="eastAsia" w:ascii="宋体" w:hAnsi="宋体" w:cs="宋体"/>
          <w:b/>
          <w:bCs/>
          <w:color w:val="auto"/>
          <w:sz w:val="28"/>
          <w:szCs w:val="28"/>
        </w:rPr>
      </w:pPr>
      <w:r>
        <w:rPr>
          <w:rFonts w:hint="eastAsia" w:ascii="宋体" w:hAnsi="宋体" w:cs="宋体"/>
          <w:b/>
          <w:bCs/>
          <w:color w:val="auto"/>
          <w:sz w:val="28"/>
          <w:szCs w:val="28"/>
        </w:rPr>
        <w:t>项目编号：</w:t>
      </w:r>
    </w:p>
    <w:p w14:paraId="38401DE0">
      <w:pPr>
        <w:pStyle w:val="9"/>
        <w:spacing w:line="360" w:lineRule="auto"/>
        <w:outlineLvl w:val="9"/>
        <w:rPr>
          <w:rFonts w:hint="eastAsia" w:ascii="宋体" w:hAnsi="宋体" w:cs="宋体"/>
          <w:color w:val="auto"/>
        </w:rPr>
      </w:pPr>
      <w:r>
        <w:rPr>
          <w:rFonts w:hint="eastAsia" w:ascii="宋体" w:hAnsi="宋体" w:eastAsia="宋体" w:cs="宋体"/>
          <w:b/>
          <w:bCs/>
          <w:color w:val="auto"/>
          <w:kern w:val="2"/>
          <w:sz w:val="28"/>
          <w:szCs w:val="28"/>
          <w:lang w:val="en-US" w:eastAsia="zh-CN" w:bidi="ar-SA"/>
        </w:rPr>
        <w:t>项目名称：</w:t>
      </w:r>
    </w:p>
    <w:tbl>
      <w:tblPr>
        <w:tblStyle w:val="20"/>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43194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2DB5EA23">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投标总价</w:t>
            </w:r>
          </w:p>
          <w:p w14:paraId="6134B713">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（人民币）</w:t>
            </w:r>
          </w:p>
        </w:tc>
        <w:tc>
          <w:tcPr>
            <w:tcW w:w="7560" w:type="dxa"/>
            <w:noWrap w:val="0"/>
            <w:vAlign w:val="center"/>
          </w:tcPr>
          <w:p w14:paraId="12277DE1">
            <w:pPr>
              <w:spacing w:line="360" w:lineRule="auto"/>
              <w:outlineLvl w:val="9"/>
              <w:rPr>
                <w:rFonts w:hint="eastAsia" w:ascii="宋体" w:hAnsi="宋体" w:cs="宋体"/>
                <w:b/>
                <w:bCs/>
                <w:color w:val="auto"/>
                <w:sz w:val="24"/>
                <w:szCs w:val="24"/>
              </w:rPr>
            </w:pPr>
            <w:r>
              <w:rPr>
                <w:rFonts w:hint="eastAsia" w:ascii="宋体" w:hAnsi="宋体" w:cs="宋体"/>
                <w:b/>
                <w:bCs/>
                <w:color w:val="auto"/>
                <w:sz w:val="24"/>
                <w:szCs w:val="24"/>
              </w:rPr>
              <w:t>小写金额：</w:t>
            </w:r>
            <w:r>
              <w:rPr>
                <w:rFonts w:hint="eastAsia" w:ascii="宋体" w:hAnsi="宋体" w:cs="宋体"/>
                <w:b/>
                <w:bCs/>
                <w:color w:val="auto"/>
                <w:sz w:val="24"/>
                <w:szCs w:val="24"/>
                <w:u w:val="single"/>
              </w:rPr>
              <w:t xml:space="preserve">                        </w:t>
            </w:r>
            <w:r>
              <w:rPr>
                <w:rFonts w:hint="eastAsia" w:ascii="宋体" w:hAnsi="宋体" w:cs="宋体"/>
                <w:b/>
                <w:bCs/>
                <w:color w:val="auto"/>
                <w:sz w:val="24"/>
                <w:szCs w:val="24"/>
              </w:rPr>
              <w:t xml:space="preserve"> </w:t>
            </w:r>
          </w:p>
          <w:p w14:paraId="29F7A6BC">
            <w:pPr>
              <w:spacing w:line="360" w:lineRule="auto"/>
              <w:outlineLvl w:val="9"/>
              <w:rPr>
                <w:rFonts w:hint="eastAsia" w:ascii="宋体" w:hAnsi="宋体" w:cs="宋体"/>
                <w:color w:val="auto"/>
                <w:sz w:val="24"/>
                <w:szCs w:val="24"/>
              </w:rPr>
            </w:pPr>
            <w:r>
              <w:rPr>
                <w:rFonts w:hint="eastAsia" w:ascii="宋体" w:hAnsi="宋体" w:cs="宋体"/>
                <w:b/>
                <w:bCs/>
                <w:color w:val="auto"/>
                <w:sz w:val="24"/>
                <w:szCs w:val="24"/>
              </w:rPr>
              <w:t>大写金额：</w:t>
            </w:r>
            <w:r>
              <w:rPr>
                <w:rFonts w:hint="eastAsia" w:ascii="宋体" w:hAnsi="宋体" w:cs="宋体"/>
                <w:b/>
                <w:bCs/>
                <w:color w:val="auto"/>
                <w:sz w:val="24"/>
                <w:szCs w:val="24"/>
                <w:u w:val="single"/>
              </w:rPr>
              <w:t xml:space="preserve">                        </w:t>
            </w:r>
          </w:p>
        </w:tc>
      </w:tr>
      <w:tr w14:paraId="48A9D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19F6F896">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投标人</w:t>
            </w:r>
          </w:p>
          <w:p w14:paraId="6C6C2E27">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（公司名称）</w:t>
            </w:r>
          </w:p>
        </w:tc>
        <w:tc>
          <w:tcPr>
            <w:tcW w:w="7560" w:type="dxa"/>
            <w:noWrap w:val="0"/>
            <w:vAlign w:val="center"/>
          </w:tcPr>
          <w:p w14:paraId="535E9BE3">
            <w:pPr>
              <w:spacing w:line="360" w:lineRule="auto"/>
              <w:outlineLvl w:val="9"/>
              <w:rPr>
                <w:rFonts w:hint="eastAsia" w:ascii="宋体" w:hAnsi="宋体" w:cs="宋体"/>
                <w:color w:val="auto"/>
                <w:sz w:val="24"/>
                <w:szCs w:val="24"/>
              </w:rPr>
            </w:pPr>
          </w:p>
        </w:tc>
      </w:tr>
      <w:tr w14:paraId="1020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403CAD45">
            <w:pPr>
              <w:spacing w:line="360" w:lineRule="auto"/>
              <w:jc w:val="center"/>
              <w:outlineLvl w:val="9"/>
              <w:rPr>
                <w:rFonts w:hint="eastAsia" w:ascii="宋体" w:hAnsi="宋体" w:eastAsia="宋体"/>
                <w:b/>
                <w:color w:val="auto"/>
                <w:sz w:val="24"/>
                <w:szCs w:val="24"/>
                <w:lang w:eastAsia="zh-CN"/>
              </w:rPr>
            </w:pPr>
            <w:r>
              <w:rPr>
                <w:rFonts w:hint="eastAsia" w:ascii="宋体" w:hAnsi="宋体"/>
                <w:b/>
                <w:color w:val="auto"/>
                <w:sz w:val="24"/>
                <w:szCs w:val="24"/>
                <w:lang w:val="en-US" w:eastAsia="zh-CN"/>
              </w:rPr>
              <w:t>工期</w:t>
            </w:r>
          </w:p>
        </w:tc>
        <w:tc>
          <w:tcPr>
            <w:tcW w:w="7560" w:type="dxa"/>
            <w:noWrap w:val="0"/>
            <w:vAlign w:val="center"/>
          </w:tcPr>
          <w:p w14:paraId="34D376CD">
            <w:pPr>
              <w:spacing w:line="360" w:lineRule="auto"/>
              <w:outlineLvl w:val="9"/>
              <w:rPr>
                <w:rFonts w:hint="eastAsia" w:ascii="宋体" w:hAnsi="宋体" w:cs="宋体"/>
                <w:color w:val="auto"/>
                <w:sz w:val="24"/>
                <w:szCs w:val="24"/>
              </w:rPr>
            </w:pPr>
          </w:p>
        </w:tc>
      </w:tr>
      <w:tr w14:paraId="38152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DB19D21">
            <w:pPr>
              <w:spacing w:line="360" w:lineRule="auto"/>
              <w:jc w:val="center"/>
              <w:outlineLvl w:val="9"/>
              <w:rPr>
                <w:rFonts w:hint="default" w:ascii="宋体" w:hAnsi="宋体"/>
                <w:b/>
                <w:color w:val="auto"/>
                <w:sz w:val="24"/>
                <w:szCs w:val="24"/>
                <w:lang w:val="en-US" w:eastAsia="zh-CN"/>
              </w:rPr>
            </w:pPr>
            <w:r>
              <w:rPr>
                <w:rFonts w:hint="eastAsia" w:ascii="宋体" w:hAnsi="宋体"/>
                <w:b/>
                <w:color w:val="auto"/>
                <w:sz w:val="24"/>
                <w:szCs w:val="24"/>
                <w:lang w:val="en-US" w:eastAsia="zh-CN"/>
              </w:rPr>
              <w:t>质保期</w:t>
            </w:r>
          </w:p>
        </w:tc>
        <w:tc>
          <w:tcPr>
            <w:tcW w:w="7560" w:type="dxa"/>
            <w:noWrap w:val="0"/>
            <w:vAlign w:val="center"/>
          </w:tcPr>
          <w:p w14:paraId="2A2CA9B0">
            <w:pPr>
              <w:spacing w:line="360" w:lineRule="auto"/>
              <w:outlineLvl w:val="9"/>
              <w:rPr>
                <w:rFonts w:hint="eastAsia" w:ascii="宋体" w:hAnsi="宋体" w:cs="宋体"/>
                <w:color w:val="auto"/>
                <w:sz w:val="24"/>
                <w:szCs w:val="24"/>
              </w:rPr>
            </w:pPr>
          </w:p>
        </w:tc>
      </w:tr>
      <w:tr w14:paraId="5BC86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5B08C5AF">
            <w:pPr>
              <w:spacing w:line="360" w:lineRule="auto"/>
              <w:jc w:val="center"/>
              <w:outlineLvl w:val="9"/>
              <w:rPr>
                <w:rFonts w:hint="default" w:ascii="宋体" w:hAnsi="宋体"/>
                <w:b/>
                <w:color w:val="auto"/>
                <w:sz w:val="24"/>
                <w:szCs w:val="24"/>
                <w:lang w:val="en-US" w:eastAsia="zh-CN"/>
              </w:rPr>
            </w:pPr>
            <w:r>
              <w:rPr>
                <w:rFonts w:hint="eastAsia" w:ascii="宋体" w:hAnsi="宋体"/>
                <w:b/>
                <w:color w:val="auto"/>
                <w:sz w:val="24"/>
                <w:szCs w:val="24"/>
                <w:lang w:val="en-US" w:eastAsia="zh-CN"/>
              </w:rPr>
              <w:t>工程质量</w:t>
            </w:r>
          </w:p>
        </w:tc>
        <w:tc>
          <w:tcPr>
            <w:tcW w:w="7560" w:type="dxa"/>
            <w:noWrap w:val="0"/>
            <w:vAlign w:val="center"/>
          </w:tcPr>
          <w:p w14:paraId="2EC3C70A">
            <w:pPr>
              <w:spacing w:line="360" w:lineRule="auto"/>
              <w:outlineLvl w:val="9"/>
              <w:rPr>
                <w:rFonts w:hint="eastAsia" w:ascii="宋体" w:hAnsi="宋体" w:cs="宋体"/>
                <w:color w:val="auto"/>
                <w:sz w:val="24"/>
                <w:szCs w:val="24"/>
              </w:rPr>
            </w:pPr>
          </w:p>
        </w:tc>
      </w:tr>
      <w:tr w14:paraId="7D4EF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7626442E">
            <w:pPr>
              <w:spacing w:line="360" w:lineRule="auto"/>
              <w:jc w:val="center"/>
              <w:outlineLvl w:val="9"/>
              <w:rPr>
                <w:rFonts w:hint="eastAsia" w:ascii="宋体" w:hAnsi="宋体" w:cs="宋体"/>
                <w:b/>
                <w:bCs/>
                <w:color w:val="auto"/>
                <w:sz w:val="24"/>
              </w:rPr>
            </w:pPr>
            <w:r>
              <w:rPr>
                <w:rFonts w:hint="eastAsia" w:ascii="宋体" w:hAnsi="宋体" w:cs="宋体"/>
                <w:b/>
                <w:bCs/>
                <w:color w:val="auto"/>
                <w:sz w:val="24"/>
              </w:rPr>
              <w:t>投标声明</w:t>
            </w:r>
          </w:p>
        </w:tc>
        <w:tc>
          <w:tcPr>
            <w:tcW w:w="7560" w:type="dxa"/>
            <w:noWrap w:val="0"/>
            <w:vAlign w:val="center"/>
          </w:tcPr>
          <w:p w14:paraId="0B93B9F4">
            <w:pPr>
              <w:spacing w:line="360" w:lineRule="auto"/>
              <w:outlineLvl w:val="9"/>
              <w:rPr>
                <w:rFonts w:hint="eastAsia" w:ascii="宋体" w:hAnsi="宋体" w:cs="宋体"/>
                <w:color w:val="auto"/>
                <w:sz w:val="24"/>
                <w:szCs w:val="24"/>
              </w:rPr>
            </w:pPr>
          </w:p>
        </w:tc>
      </w:tr>
    </w:tbl>
    <w:p w14:paraId="45C9B7E9">
      <w:pPr>
        <w:outlineLvl w:val="9"/>
        <w:rPr>
          <w:rFonts w:hint="eastAsia" w:ascii="宋体" w:hAnsi="宋体" w:cs="宋体"/>
          <w:color w:val="auto"/>
        </w:rPr>
      </w:pPr>
    </w:p>
    <w:p w14:paraId="34599BF8">
      <w:pPr>
        <w:spacing w:line="360" w:lineRule="auto"/>
        <w:outlineLvl w:val="9"/>
        <w:rPr>
          <w:rFonts w:hint="eastAsia" w:ascii="宋体" w:hAnsi="宋体" w:cs="宋体"/>
          <w:color w:val="auto"/>
          <w:sz w:val="24"/>
        </w:rPr>
      </w:pPr>
    </w:p>
    <w:p w14:paraId="07C7A6BD">
      <w:pPr>
        <w:widowControl/>
        <w:jc w:val="right"/>
        <w:outlineLvl w:val="9"/>
        <w:rPr>
          <w:color w:val="auto"/>
        </w:rPr>
      </w:pPr>
      <w:r>
        <w:rPr>
          <w:rFonts w:hint="eastAsia" w:ascii="宋体" w:hAnsi="宋体" w:cs="宋体"/>
          <w:color w:val="auto"/>
          <w:sz w:val="24"/>
          <w:szCs w:val="24"/>
        </w:rPr>
        <w:t xml:space="preserve">  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（盖章或签字） </w:t>
      </w:r>
    </w:p>
    <w:p w14:paraId="12CDE902">
      <w:pPr>
        <w:ind w:right="-161"/>
        <w:outlineLvl w:val="9"/>
        <w:rPr>
          <w:rFonts w:hint="eastAsia" w:ascii="宋体" w:hAnsi="宋体" w:cs="宋体"/>
          <w:color w:val="auto"/>
          <w:sz w:val="24"/>
          <w:szCs w:val="24"/>
          <w:u w:val="single"/>
        </w:rPr>
      </w:pPr>
    </w:p>
    <w:p w14:paraId="09A8C26A">
      <w:pPr>
        <w:widowControl/>
        <w:spacing w:line="360" w:lineRule="auto"/>
        <w:jc w:val="center"/>
        <w:outlineLvl w:val="9"/>
        <w:rPr>
          <w:color w:val="auto"/>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0902414B">
      <w:pPr>
        <w:ind w:right="-161" w:firstLine="2160" w:firstLineChars="900"/>
        <w:outlineLvl w:val="9"/>
        <w:rPr>
          <w:rFonts w:hint="eastAsia" w:ascii="宋体" w:hAnsi="宋体" w:cs="宋体"/>
          <w:color w:val="auto"/>
          <w:sz w:val="24"/>
          <w:szCs w:val="24"/>
          <w:u w:val="single"/>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2D3DFB64">
      <w:pPr>
        <w:ind w:right="-161" w:firstLine="2640" w:firstLineChars="1100"/>
        <w:outlineLvl w:val="9"/>
        <w:rPr>
          <w:rFonts w:hint="eastAsia" w:ascii="宋体" w:hAnsi="宋体" w:cs="宋体"/>
          <w:color w:val="auto"/>
          <w:sz w:val="24"/>
          <w:szCs w:val="24"/>
          <w:u w:val="single"/>
        </w:rPr>
      </w:pPr>
    </w:p>
    <w:p w14:paraId="5DF7A378">
      <w:pPr>
        <w:spacing w:line="120" w:lineRule="exact"/>
        <w:outlineLvl w:val="9"/>
        <w:rPr>
          <w:rFonts w:ascii="宋体" w:hAnsi="宋体" w:cs="宋体"/>
          <w:color w:val="auto"/>
          <w:sz w:val="24"/>
          <w:szCs w:val="24"/>
        </w:rPr>
      </w:pPr>
    </w:p>
    <w:p w14:paraId="043B96AF">
      <w:pPr>
        <w:pStyle w:val="9"/>
        <w:outlineLvl w:val="9"/>
        <w:rPr>
          <w:color w:val="auto"/>
        </w:rPr>
      </w:pPr>
    </w:p>
    <w:p w14:paraId="4D4B7237">
      <w:pPr>
        <w:spacing w:line="480" w:lineRule="auto"/>
        <w:ind w:right="-161"/>
        <w:jc w:val="center"/>
        <w:outlineLvl w:val="9"/>
        <w:rPr>
          <w:rFonts w:hint="eastAsia"/>
          <w:b/>
          <w:bCs/>
          <w:color w:val="auto"/>
          <w:sz w:val="36"/>
          <w:szCs w:val="16"/>
        </w:rPr>
        <w:sectPr>
          <w:headerReference r:id="rId12" w:type="default"/>
          <w:footerReference r:id="rId13" w:type="default"/>
          <w:pgSz w:w="11905" w:h="16838"/>
          <w:pgMar w:top="1219" w:right="1803" w:bottom="1219" w:left="1803" w:header="850" w:footer="850" w:gutter="0"/>
          <w:pgNumType w:fmt="decimal"/>
          <w:cols w:space="0" w:num="1"/>
          <w:rtlGutter w:val="0"/>
          <w:docGrid w:type="lines" w:linePitch="313" w:charSpace="0"/>
        </w:sectPr>
      </w:pPr>
      <w:bookmarkStart w:id="336" w:name="_Toc26878"/>
      <w:bookmarkStart w:id="337" w:name="_Toc1408"/>
      <w:bookmarkStart w:id="338" w:name="_Toc5971"/>
      <w:bookmarkStart w:id="339" w:name="_Toc8483"/>
      <w:bookmarkStart w:id="340" w:name="_Toc30603"/>
      <w:bookmarkStart w:id="341" w:name="_Toc16078"/>
      <w:bookmarkStart w:id="342" w:name="_Toc9067"/>
      <w:bookmarkStart w:id="343" w:name="_Toc3758"/>
      <w:bookmarkStart w:id="344" w:name="_Toc14005"/>
      <w:bookmarkStart w:id="345" w:name="_Toc1083"/>
      <w:bookmarkStart w:id="346" w:name="_Toc776"/>
      <w:bookmarkStart w:id="347" w:name="_Toc859"/>
      <w:bookmarkStart w:id="348" w:name="_Toc29346"/>
      <w:bookmarkStart w:id="349" w:name="_Toc21755"/>
      <w:bookmarkStart w:id="350" w:name="_Toc27665"/>
    </w:p>
    <w:p w14:paraId="0E886ADF">
      <w:pPr>
        <w:snapToGrid w:val="0"/>
        <w:spacing w:line="360" w:lineRule="auto"/>
        <w:jc w:val="center"/>
        <w:outlineLvl w:val="1"/>
        <w:rPr>
          <w:rFonts w:ascii="宋体" w:hAnsi="宋体" w:cs="宋体"/>
          <w:b/>
          <w:color w:val="auto"/>
          <w:sz w:val="32"/>
          <w:szCs w:val="32"/>
        </w:rPr>
      </w:pPr>
      <w:bookmarkStart w:id="351" w:name="_Toc31491"/>
      <w:bookmarkStart w:id="352" w:name="_Toc32049"/>
      <w:r>
        <w:rPr>
          <w:rFonts w:hint="eastAsia" w:ascii="宋体" w:hAnsi="宋体" w:cs="宋体"/>
          <w:b/>
          <w:color w:val="auto"/>
          <w:sz w:val="32"/>
          <w:szCs w:val="32"/>
          <w:lang w:val="en-US" w:eastAsia="zh-CN"/>
        </w:rPr>
        <w:t>三、</w:t>
      </w:r>
      <w:r>
        <w:rPr>
          <w:rFonts w:hint="eastAsia" w:ascii="宋体" w:hAnsi="宋体" w:cs="宋体"/>
          <w:b/>
          <w:color w:val="auto"/>
          <w:sz w:val="32"/>
          <w:szCs w:val="32"/>
        </w:rPr>
        <w:t>磋商分项报价表</w:t>
      </w:r>
      <w:bookmarkEnd w:id="351"/>
      <w:bookmarkEnd w:id="352"/>
    </w:p>
    <w:p w14:paraId="2155F96A">
      <w:pPr>
        <w:jc w:val="center"/>
        <w:outlineLvl w:val="9"/>
        <w:rPr>
          <w:color w:val="auto"/>
        </w:rPr>
      </w:pPr>
    </w:p>
    <w:p w14:paraId="5A5DC566">
      <w:pPr>
        <w:spacing w:line="480" w:lineRule="auto"/>
        <w:ind w:right="-161"/>
        <w:jc w:val="center"/>
        <w:outlineLvl w:val="9"/>
        <w:rPr>
          <w:rFonts w:hint="eastAsia" w:eastAsia="宋体"/>
          <w:b w:val="0"/>
          <w:bCs w:val="0"/>
          <w:color w:val="auto"/>
          <w:sz w:val="24"/>
          <w:szCs w:val="24"/>
          <w:lang w:eastAsia="zh-CN"/>
        </w:rPr>
      </w:pPr>
      <w:r>
        <w:rPr>
          <w:rFonts w:hint="eastAsia"/>
          <w:b w:val="0"/>
          <w:bCs w:val="0"/>
          <w:color w:val="auto"/>
          <w:sz w:val="24"/>
          <w:szCs w:val="24"/>
          <w:lang w:eastAsia="zh-CN"/>
        </w:rPr>
        <w:t>（</w:t>
      </w:r>
      <w:r>
        <w:rPr>
          <w:rFonts w:hint="eastAsia"/>
          <w:b w:val="0"/>
          <w:bCs w:val="0"/>
          <w:color w:val="auto"/>
          <w:sz w:val="24"/>
          <w:szCs w:val="24"/>
          <w:lang w:val="en-US" w:eastAsia="zh-CN"/>
        </w:rPr>
        <w:t>以软件生成为准</w:t>
      </w:r>
      <w:r>
        <w:rPr>
          <w:rFonts w:hint="eastAsia"/>
          <w:b w:val="0"/>
          <w:bCs w:val="0"/>
          <w:color w:val="auto"/>
          <w:sz w:val="24"/>
          <w:szCs w:val="24"/>
          <w:lang w:eastAsia="zh-CN"/>
        </w:rPr>
        <w:t>）</w:t>
      </w:r>
    </w:p>
    <w:p w14:paraId="3D645B24">
      <w:pPr>
        <w:spacing w:line="480" w:lineRule="auto"/>
        <w:ind w:right="-161"/>
        <w:jc w:val="center"/>
        <w:outlineLvl w:val="9"/>
        <w:rPr>
          <w:rFonts w:hint="eastAsia" w:eastAsia="宋体"/>
          <w:b w:val="0"/>
          <w:bCs w:val="0"/>
          <w:color w:val="auto"/>
          <w:sz w:val="24"/>
          <w:szCs w:val="24"/>
          <w:lang w:eastAsia="zh-CN"/>
        </w:rPr>
      </w:pPr>
    </w:p>
    <w:p w14:paraId="2839A744">
      <w:pPr>
        <w:outlineLvl w:val="9"/>
        <w:rPr>
          <w:rFonts w:hint="eastAsia"/>
          <w:color w:val="auto"/>
        </w:rPr>
      </w:pPr>
    </w:p>
    <w:p w14:paraId="1C80145A">
      <w:pPr>
        <w:spacing w:line="480" w:lineRule="auto"/>
        <w:ind w:right="-161"/>
        <w:jc w:val="center"/>
        <w:outlineLvl w:val="9"/>
        <w:rPr>
          <w:rFonts w:hint="eastAsia"/>
          <w:b/>
          <w:bCs/>
          <w:color w:val="auto"/>
          <w:sz w:val="36"/>
          <w:szCs w:val="16"/>
          <w:lang w:val="en-US" w:eastAsia="zh-CN"/>
        </w:rPr>
        <w:sectPr>
          <w:pgSz w:w="11905" w:h="16838"/>
          <w:pgMar w:top="1219" w:right="1803" w:bottom="1219" w:left="1803" w:header="850" w:footer="850" w:gutter="0"/>
          <w:pgNumType w:fmt="decimal"/>
          <w:cols w:space="0" w:num="1"/>
          <w:rtlGutter w:val="0"/>
          <w:docGrid w:type="lines" w:linePitch="313" w:charSpace="0"/>
        </w:sectPr>
      </w:pPr>
    </w:p>
    <w:p w14:paraId="09BDB78A">
      <w:pPr>
        <w:spacing w:line="480" w:lineRule="auto"/>
        <w:ind w:right="-161"/>
        <w:jc w:val="center"/>
        <w:outlineLvl w:val="1"/>
        <w:rPr>
          <w:rFonts w:hint="eastAsia" w:ascii="宋体" w:hAnsi="宋体" w:cs="宋体"/>
          <w:b/>
          <w:bCs/>
          <w:color w:val="auto"/>
          <w:sz w:val="24"/>
          <w:szCs w:val="24"/>
          <w:u w:val="single"/>
        </w:rPr>
      </w:pPr>
      <w:bookmarkStart w:id="353" w:name="_Toc31177"/>
      <w:bookmarkStart w:id="354" w:name="_Toc27848"/>
      <w:r>
        <w:rPr>
          <w:rFonts w:hint="eastAsia"/>
          <w:b/>
          <w:bCs/>
          <w:color w:val="auto"/>
          <w:sz w:val="36"/>
          <w:szCs w:val="16"/>
          <w:lang w:val="en-US" w:eastAsia="zh-CN"/>
        </w:rPr>
        <w:t>四</w:t>
      </w:r>
      <w:r>
        <w:rPr>
          <w:rFonts w:hint="eastAsia"/>
          <w:b/>
          <w:bCs/>
          <w:color w:val="auto"/>
          <w:sz w:val="36"/>
          <w:szCs w:val="16"/>
        </w:rPr>
        <w:t>、资格证明文件</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3"/>
      <w:bookmarkEnd w:id="354"/>
    </w:p>
    <w:p w14:paraId="6234E62A">
      <w:pPr>
        <w:spacing w:before="120" w:beforeLines="50" w:line="400" w:lineRule="exact"/>
        <w:ind w:left="-141" w:leftChars="-67" w:firstLine="480" w:firstLineChars="200"/>
        <w:outlineLvl w:val="9"/>
        <w:rPr>
          <w:rFonts w:hint="eastAsia" w:ascii="宋体" w:hAnsi="宋体" w:eastAsia="宋体" w:cs="宋体"/>
          <w:color w:val="auto"/>
          <w:sz w:val="24"/>
          <w:szCs w:val="24"/>
        </w:rPr>
        <w:sectPr>
          <w:pgSz w:w="11905" w:h="16838"/>
          <w:pgMar w:top="1219" w:right="1803" w:bottom="1219" w:left="1803" w:header="850" w:footer="850" w:gutter="0"/>
          <w:pgNumType w:fmt="decimal"/>
          <w:cols w:space="0" w:num="1"/>
          <w:rtlGutter w:val="0"/>
          <w:docGrid w:type="lines" w:linePitch="313" w:charSpace="0"/>
        </w:sectPr>
      </w:pPr>
      <w:r>
        <w:rPr>
          <w:rFonts w:hint="eastAsia" w:ascii="宋体" w:hAnsi="宋体" w:eastAsia="宋体" w:cs="宋体"/>
          <w:color w:val="auto"/>
          <w:sz w:val="24"/>
          <w:szCs w:val="24"/>
        </w:rPr>
        <w:t>投标人按“第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 xml:space="preserve">章 </w:t>
      </w:r>
      <w:r>
        <w:rPr>
          <w:rFonts w:hint="eastAsia" w:ascii="宋体" w:hAnsi="宋体" w:eastAsia="宋体" w:cs="宋体"/>
          <w:color w:val="auto"/>
          <w:sz w:val="24"/>
          <w:szCs w:val="24"/>
          <w:lang w:val="en-US" w:eastAsia="zh-CN"/>
        </w:rPr>
        <w:t>招标公告 二、申请人的资格要求 3.本项目的特定资格要求</w:t>
      </w:r>
      <w:r>
        <w:rPr>
          <w:rFonts w:hint="eastAsia" w:ascii="宋体" w:hAnsi="宋体" w:eastAsia="宋体" w:cs="宋体"/>
          <w:color w:val="auto"/>
          <w:sz w:val="24"/>
          <w:szCs w:val="24"/>
        </w:rPr>
        <w:t>”逐一提供全部资料，缺少其中任何一项，其投标文件将被视为无效文件。其中，《</w:t>
      </w:r>
      <w:r>
        <w:rPr>
          <w:rFonts w:hint="eastAsia" w:ascii="宋体" w:hAnsi="宋体" w:eastAsia="宋体" w:cs="宋体"/>
          <w:color w:val="auto"/>
          <w:sz w:val="24"/>
          <w:szCs w:val="24"/>
          <w:lang w:eastAsia="zh-CN"/>
        </w:rPr>
        <w:t>榆林市政府采购工程类项目供应商信用承诺书</w:t>
      </w:r>
      <w:r>
        <w:rPr>
          <w:rFonts w:hint="eastAsia" w:ascii="宋体" w:hAnsi="宋体" w:eastAsia="宋体" w:cs="宋体"/>
          <w:color w:val="auto"/>
          <w:sz w:val="24"/>
          <w:szCs w:val="24"/>
        </w:rPr>
        <w:t>》、《投标人信用承诺》、《投标信用承诺》、《投标人委托代理人员信用承诺书》（如有）应按下文给定格式填写，否则</w:t>
      </w:r>
      <w:r>
        <w:rPr>
          <w:rFonts w:hint="eastAsia" w:ascii="宋体" w:hAnsi="宋体" w:eastAsia="宋体" w:cs="宋体"/>
          <w:b/>
          <w:bCs/>
          <w:color w:val="auto"/>
          <w:sz w:val="24"/>
          <w:szCs w:val="24"/>
        </w:rPr>
        <w:t>按无效处理</w:t>
      </w:r>
      <w:r>
        <w:rPr>
          <w:rFonts w:hint="eastAsia" w:ascii="宋体" w:hAnsi="宋体" w:eastAsia="宋体" w:cs="宋体"/>
          <w:color w:val="auto"/>
          <w:sz w:val="24"/>
          <w:szCs w:val="24"/>
        </w:rPr>
        <w:t>。</w:t>
      </w:r>
    </w:p>
    <w:p w14:paraId="7C6EDCC4">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榆林市政府采购工程类项目供应商信用承诺书</w:t>
      </w:r>
    </w:p>
    <w:p w14:paraId="6C5DCE8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p>
    <w:p w14:paraId="5D4BB3E0">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168A8A55">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CBF37CF">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32027E9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45C4C8B0">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2BB0E3D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6A8E9B07">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6A7FAA0D">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26F5811E">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290F094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6163096">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D43EE6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307D7DB7">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6C0FF10E">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E27337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A2888B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p>
    <w:p w14:paraId="1004387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0AC73BB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41F01D1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67E5D3D6">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6B719786">
      <w:pPr>
        <w:pStyle w:val="3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color w:val="auto"/>
          <w:sz w:val="24"/>
          <w:szCs w:val="24"/>
        </w:rPr>
      </w:pPr>
    </w:p>
    <w:p w14:paraId="5B27CA73">
      <w:pPr>
        <w:pStyle w:val="3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color w:val="auto"/>
          <w:sz w:val="24"/>
          <w:szCs w:val="24"/>
        </w:rPr>
      </w:pPr>
    </w:p>
    <w:p w14:paraId="7512CB44">
      <w:pPr>
        <w:pStyle w:val="3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color w:val="auto"/>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color w:val="auto"/>
          <w:kern w:val="2"/>
          <w:sz w:val="21"/>
          <w:szCs w:val="21"/>
          <w:lang w:val="en-US" w:eastAsia="zh-CN" w:bidi="ar-SA"/>
        </w:rPr>
        <w:br w:type="page"/>
      </w:r>
      <w:r>
        <w:rPr>
          <w:rFonts w:hint="eastAsia" w:ascii="宋体" w:hAnsi="宋体" w:eastAsia="宋体" w:cs="宋体"/>
          <w:b/>
          <w:bCs/>
          <w:color w:val="auto"/>
          <w:sz w:val="24"/>
          <w:szCs w:val="24"/>
        </w:rPr>
        <w:t>投标人信用承诺</w:t>
      </w:r>
    </w:p>
    <w:p w14:paraId="1592821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4F4BEF3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统一社会信用代码：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 xml:space="preserve">                  </w:t>
      </w:r>
    </w:p>
    <w:p w14:paraId="6A54FE11">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5E8CD13">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项目招投标活动中，我公司（单位）郑重作出以下信用承诺：</w:t>
      </w:r>
    </w:p>
    <w:p w14:paraId="556E3722">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6798A9C3">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的规定提交履约保证金。5.招投标法规定的其它违法违规行为。</w:t>
      </w:r>
    </w:p>
    <w:p w14:paraId="1B4AC097">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（三）自愿接受招投标监督部门和有关行政监督部门的依法检查。</w:t>
      </w:r>
    </w:p>
    <w:p w14:paraId="2D787C66">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（四）同意将此信用承诺纳入陕西省公共信用信息平台和榆林市公共信用信息共享平台，并上网公示，接受社会监督。</w:t>
      </w:r>
    </w:p>
    <w:p w14:paraId="31FA111C">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7F00A12D">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                           投标人（盖章）：</w:t>
      </w:r>
    </w:p>
    <w:p w14:paraId="1CC28D17">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4"/>
          <w:szCs w:val="24"/>
        </w:rPr>
      </w:pPr>
    </w:p>
    <w:p w14:paraId="642EAA6A">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1F946AE5">
      <w:pPr>
        <w:keepNext w:val="0"/>
        <w:keepLines w:val="0"/>
        <w:pageBreakBefore w:val="0"/>
        <w:kinsoku/>
        <w:wordWrap/>
        <w:overflowPunct/>
        <w:topLinePunct w:val="0"/>
        <w:autoSpaceDE/>
        <w:autoSpaceDN/>
        <w:bidi w:val="0"/>
        <w:spacing w:line="360" w:lineRule="auto"/>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宋体" w:hAnsi="宋体" w:eastAsia="宋体" w:cs="宋体"/>
          <w:color w:val="auto"/>
          <w:sz w:val="21"/>
          <w:szCs w:val="21"/>
        </w:rPr>
        <w:br w:type="page"/>
      </w:r>
      <w:r>
        <w:rPr>
          <w:rFonts w:hint="eastAsia" w:ascii="宋体" w:hAnsi="宋体" w:eastAsia="宋体" w:cs="宋体"/>
          <w:b/>
          <w:bCs/>
          <w:color w:val="auto"/>
          <w:sz w:val="24"/>
          <w:szCs w:val="24"/>
        </w:rPr>
        <w:t>投标信用承诺书</w:t>
      </w:r>
    </w:p>
    <w:p w14:paraId="6025D1F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rPr>
      </w:pPr>
    </w:p>
    <w:p w14:paraId="0D47199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项目标段：</w:t>
      </w:r>
      <w:r>
        <w:rPr>
          <w:rFonts w:hint="eastAsia" w:ascii="宋体" w:hAnsi="宋体" w:eastAsia="宋体" w:cs="宋体"/>
          <w:color w:val="auto"/>
          <w:sz w:val="24"/>
          <w:szCs w:val="24"/>
          <w:u w:val="single"/>
        </w:rPr>
        <w:t xml:space="preserve">                                                                  </w:t>
      </w:r>
    </w:p>
    <w:p w14:paraId="56215BC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5E6E317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统一社会信用代码：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 xml:space="preserve">                 </w:t>
      </w:r>
    </w:p>
    <w:p w14:paraId="2A6A6A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在本项目标段招投标活动中，我公司（单位）自愿作出以下投标信用承诺：</w:t>
      </w:r>
    </w:p>
    <w:p w14:paraId="334B37B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w:t>
      </w:r>
    </w:p>
    <w:p w14:paraId="76511BB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的规定提交履约保证金。5.招投标法规定的其它违法违规行为。</w:t>
      </w:r>
    </w:p>
    <w:p w14:paraId="118BE4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C99FEC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p>
    <w:p w14:paraId="2C13E314">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                           投标人（盖章）：</w:t>
      </w:r>
    </w:p>
    <w:p w14:paraId="772BC6DE">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4"/>
          <w:szCs w:val="24"/>
        </w:rPr>
      </w:pPr>
    </w:p>
    <w:p w14:paraId="715FFCB6">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EF5AD1F">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4"/>
          <w:szCs w:val="24"/>
        </w:rPr>
      </w:pPr>
    </w:p>
    <w:p w14:paraId="150B81B2">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color w:val="auto"/>
          <w:sz w:val="24"/>
          <w:szCs w:val="24"/>
        </w:rPr>
      </w:pPr>
    </w:p>
    <w:p w14:paraId="39B5E1C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color w:val="auto"/>
          <w:sz w:val="24"/>
          <w:szCs w:val="24"/>
        </w:rPr>
      </w:pPr>
    </w:p>
    <w:p w14:paraId="32F5661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说明：本承诺书效力和作用等同投标保证金，其有效期与投标有效期一致。</w:t>
      </w:r>
      <w:r>
        <w:rPr>
          <w:rFonts w:hint="eastAsia" w:ascii="宋体" w:hAnsi="宋体" w:eastAsia="宋体" w:cs="宋体"/>
          <w:color w:val="auto"/>
          <w:sz w:val="21"/>
          <w:szCs w:val="21"/>
        </w:rPr>
        <w:t xml:space="preserve"> </w:t>
      </w:r>
    </w:p>
    <w:p w14:paraId="5B4156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pPr>
    </w:p>
    <w:p w14:paraId="7C92D7B1">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sectPr>
          <w:pgSz w:w="11905" w:h="16838"/>
          <w:pgMar w:top="1219" w:right="1803" w:bottom="1219" w:left="1803" w:header="850" w:footer="850" w:gutter="0"/>
          <w:pgNumType w:fmt="decimal"/>
          <w:cols w:space="0" w:num="1"/>
          <w:rtlGutter w:val="0"/>
          <w:docGrid w:type="lines" w:linePitch="313" w:charSpace="0"/>
        </w:sect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此承诺书除附在投标文件中外还须上传至“信用中国（陕西榆林）”网站投标人自主上报信用承诺书附件。（须后附截图）</w:t>
      </w:r>
    </w:p>
    <w:p w14:paraId="45405254">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投标人委托代理人员信用承诺书</w:t>
      </w:r>
    </w:p>
    <w:p w14:paraId="4274442E">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p>
    <w:p w14:paraId="5E3D6C22">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项目招投标活动中，我个人郑重作出以下信用承诺：</w:t>
      </w:r>
    </w:p>
    <w:p w14:paraId="4BCE217D">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41DE6AE1">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的规定提交履约保证金。5.招投标法规定的其它违法违规行为。</w:t>
      </w:r>
    </w:p>
    <w:p w14:paraId="3B158241">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（三）自愿接受招投标监督部门和有关行政监督部门的依法检查。</w:t>
      </w:r>
    </w:p>
    <w:p w14:paraId="04481ECF">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（四）同意将此信用承诺纳入陕西省公共信用信息平台和榆林市公共信用信息共享平台，并接受社会监督。</w:t>
      </w:r>
    </w:p>
    <w:p w14:paraId="39B3E4E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8EE06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210D07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06AE559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承诺人（签字）：</w:t>
      </w:r>
      <w:r>
        <w:rPr>
          <w:rFonts w:hint="eastAsia" w:ascii="宋体" w:hAnsi="宋体" w:eastAsia="宋体" w:cs="宋体"/>
          <w:color w:val="auto"/>
          <w:sz w:val="24"/>
          <w:szCs w:val="24"/>
          <w:u w:val="single"/>
        </w:rPr>
        <w:t xml:space="preserve">                 </w:t>
      </w:r>
    </w:p>
    <w:p w14:paraId="37E8BF2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DDD8A4">
      <w:pPr>
        <w:pStyle w:val="9"/>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color w:val="auto"/>
          <w:lang w:eastAsia="zh-CN"/>
        </w:r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34FB396C">
      <w:pPr>
        <w:outlineLvl w:val="9"/>
        <w:rPr>
          <w:rFonts w:hint="eastAsia" w:ascii="宋体" w:hAnsi="宋体" w:eastAsia="宋体" w:cs="宋体"/>
          <w:color w:val="auto"/>
          <w:lang w:eastAsia="zh-CN"/>
        </w:rPr>
        <w:sectPr>
          <w:pgSz w:w="11905" w:h="16838"/>
          <w:pgMar w:top="1219" w:right="1803" w:bottom="1219" w:left="1803" w:header="850" w:footer="850" w:gutter="0"/>
          <w:pgNumType w:fmt="decimal"/>
          <w:cols w:space="0" w:num="1"/>
          <w:rtlGutter w:val="0"/>
          <w:docGrid w:type="lines" w:linePitch="313" w:charSpace="0"/>
        </w:sectPr>
      </w:pPr>
    </w:p>
    <w:p w14:paraId="085C9610">
      <w:pPr>
        <w:spacing w:line="360" w:lineRule="atLeast"/>
        <w:ind w:firstLine="723" w:firstLineChars="200"/>
        <w:jc w:val="center"/>
        <w:outlineLvl w:val="1"/>
        <w:rPr>
          <w:rFonts w:hint="eastAsia" w:ascii="宋体" w:hAnsi="宋体" w:cs="宋体"/>
          <w:b/>
          <w:bCs/>
          <w:color w:val="auto"/>
          <w:sz w:val="36"/>
          <w:szCs w:val="36"/>
        </w:rPr>
      </w:pPr>
      <w:bookmarkStart w:id="355" w:name="_Toc20433"/>
      <w:bookmarkStart w:id="356" w:name="_Toc10654"/>
      <w:bookmarkStart w:id="357" w:name="_Toc30459"/>
      <w:r>
        <w:rPr>
          <w:rFonts w:hint="eastAsia" w:ascii="宋体" w:hAnsi="宋体" w:cs="宋体"/>
          <w:b/>
          <w:bCs/>
          <w:color w:val="auto"/>
          <w:sz w:val="36"/>
          <w:szCs w:val="36"/>
          <w:lang w:val="en-US" w:eastAsia="zh-CN"/>
        </w:rPr>
        <w:t>五</w:t>
      </w:r>
      <w:r>
        <w:rPr>
          <w:rFonts w:hint="eastAsia" w:ascii="宋体" w:hAnsi="宋体" w:cs="宋体"/>
          <w:b/>
          <w:bCs/>
          <w:color w:val="auto"/>
          <w:sz w:val="36"/>
          <w:szCs w:val="36"/>
        </w:rPr>
        <w:t>、供应商参加政府采购活动承诺书</w:t>
      </w:r>
      <w:bookmarkEnd w:id="355"/>
      <w:bookmarkEnd w:id="356"/>
      <w:bookmarkEnd w:id="357"/>
    </w:p>
    <w:p w14:paraId="4919759E">
      <w:pPr>
        <w:pStyle w:val="31"/>
        <w:outlineLvl w:val="9"/>
        <w:rPr>
          <w:rFonts w:hint="eastAsia" w:ascii="宋体" w:hAnsi="宋体" w:cs="宋体"/>
          <w:color w:val="auto"/>
        </w:rPr>
      </w:pPr>
    </w:p>
    <w:p w14:paraId="042D4C7A">
      <w:pPr>
        <w:pStyle w:val="11"/>
        <w:spacing w:line="360" w:lineRule="auto"/>
        <w:jc w:val="center"/>
        <w:outlineLvl w:val="9"/>
        <w:rPr>
          <w:rFonts w:hAnsi="宋体" w:cs="宋体"/>
          <w:b/>
          <w:color w:val="auto"/>
          <w:sz w:val="32"/>
        </w:rPr>
      </w:pPr>
      <w:r>
        <w:rPr>
          <w:rFonts w:hAnsi="宋体" w:cs="宋体"/>
          <w:b/>
          <w:color w:val="auto"/>
          <w:sz w:val="32"/>
        </w:rPr>
        <w:t>承诺书</w:t>
      </w:r>
      <w:r>
        <w:rPr>
          <w:rFonts w:hAnsi="宋体" w:cs="宋体"/>
          <w:b/>
          <w:color w:val="auto"/>
          <w:sz w:val="32"/>
          <w:szCs w:val="32"/>
        </w:rPr>
        <w:t>Ⅰ</w:t>
      </w:r>
    </w:p>
    <w:p w14:paraId="7FF58D6C">
      <w:pPr>
        <w:outlineLvl w:val="9"/>
        <w:rPr>
          <w:rFonts w:hint="eastAsia" w:ascii="宋体" w:hAnsi="宋体" w:cs="宋体"/>
          <w:color w:val="auto"/>
        </w:rPr>
      </w:pPr>
    </w:p>
    <w:p w14:paraId="2AFEE5DC">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为响应党中央、国务院关于治理政府采购领域商业贿赂行为的号召，我公司在此庄严承诺：</w:t>
      </w:r>
    </w:p>
    <w:p w14:paraId="18FA2197">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1、在参与政府采购活动中遵纪守法、诚信经营、公平竞标。</w:t>
      </w:r>
    </w:p>
    <w:p w14:paraId="6299381F">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2、不向政府采购人、采购代理机构和政府采购评审专家进行任何形式的商业贿赂以谋取交易机会。</w:t>
      </w:r>
    </w:p>
    <w:p w14:paraId="001D8CF1">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3、不向政府采购代理机构和采购人提供虚假资质文件或采用虚假应标方式参与政府采购市场竞争并谋取中标、成交。</w:t>
      </w:r>
    </w:p>
    <w:p w14:paraId="79876760">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4、不采取“围标、陪标”等商业欺诈手段获得政府采购定单。</w:t>
      </w:r>
    </w:p>
    <w:p w14:paraId="50B46448">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5、不采取不正当手段诋毁、排挤其他供应商。</w:t>
      </w:r>
    </w:p>
    <w:p w14:paraId="0750EA57">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6、不在提供商品和服务时“偷梁换柱、以次充好”损害采购人的合法权益。</w:t>
      </w:r>
    </w:p>
    <w:p w14:paraId="3C0DDD14">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7、不与采购人、采购代理机构政府采购评审专家或其它供应商恶意串通，进行质疑和投诉，维护政府采购市场秩序。</w:t>
      </w:r>
    </w:p>
    <w:p w14:paraId="1457BEEE">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8、尊重和接受政府采购监督管理部门的监督和政府采购代理机构招标采购要求，承担因违约行为给采购人造成的损失。</w:t>
      </w:r>
    </w:p>
    <w:p w14:paraId="0084DFAE">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9、不发生其他有悖于政府采购公开、公平、公正和诚信原则的行为。</w:t>
      </w:r>
    </w:p>
    <w:p w14:paraId="2BAD4C7D">
      <w:pPr>
        <w:pStyle w:val="9"/>
        <w:outlineLvl w:val="9"/>
        <w:rPr>
          <w:rFonts w:hint="eastAsia"/>
          <w:color w:val="auto"/>
          <w:lang w:eastAsia="zh-CN"/>
        </w:rPr>
      </w:pPr>
    </w:p>
    <w:p w14:paraId="65561A2A">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承诺单位名称：</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（盖章）</w:t>
      </w:r>
    </w:p>
    <w:p w14:paraId="3D3A50BF">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sz w:val="24"/>
          <w:szCs w:val="24"/>
        </w:rPr>
        <w:t>法定代表人/单位负责人/或被授权人签字：</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kern w:val="0"/>
          <w:sz w:val="24"/>
        </w:rPr>
        <w:t>（签字）</w:t>
      </w:r>
    </w:p>
    <w:p w14:paraId="2C34B45C">
      <w:pPr>
        <w:widowControl/>
        <w:spacing w:line="360" w:lineRule="auto"/>
        <w:ind w:left="239" w:leftChars="114"/>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w:t>
      </w:r>
    </w:p>
    <w:p w14:paraId="6BBDD5E3">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5EA97858">
      <w:pPr>
        <w:widowControl/>
        <w:spacing w:line="360" w:lineRule="auto"/>
        <w:ind w:left="239" w:leftChars="114"/>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w:t>
      </w:r>
    </w:p>
    <w:p w14:paraId="5B1EC2DE">
      <w:pPr>
        <w:spacing w:line="360" w:lineRule="atLeast"/>
        <w:ind w:firstLine="240" w:firstLineChars="100"/>
        <w:jc w:val="both"/>
        <w:outlineLvl w:val="9"/>
        <w:rPr>
          <w:rFonts w:hint="eastAsia" w:ascii="宋体" w:hAnsi="宋体" w:cs="宋体"/>
          <w:b/>
          <w:color w:val="auto"/>
          <w:sz w:val="32"/>
          <w:szCs w:val="32"/>
        </w:rPr>
      </w:pPr>
      <w:r>
        <w:rPr>
          <w:rFonts w:hint="eastAsia" w:ascii="宋体" w:hAnsi="宋体" w:cs="宋体"/>
          <w:color w:val="auto"/>
          <w:kern w:val="0"/>
          <w:sz w:val="24"/>
          <w:lang w:val="en-US" w:eastAsia="zh-CN"/>
        </w:rPr>
        <w:t>日    期：</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            </w:t>
      </w:r>
    </w:p>
    <w:p w14:paraId="77499498">
      <w:pPr>
        <w:spacing w:line="360" w:lineRule="atLeast"/>
        <w:jc w:val="center"/>
        <w:outlineLvl w:val="9"/>
        <w:rPr>
          <w:rFonts w:hint="eastAsia" w:ascii="宋体" w:hAnsi="宋体" w:cs="宋体"/>
          <w:b/>
          <w:color w:val="auto"/>
          <w:sz w:val="32"/>
          <w:szCs w:val="32"/>
        </w:rPr>
      </w:pPr>
    </w:p>
    <w:p w14:paraId="2A0A76E4">
      <w:pPr>
        <w:spacing w:line="360" w:lineRule="atLeast"/>
        <w:jc w:val="center"/>
        <w:outlineLvl w:val="9"/>
        <w:rPr>
          <w:rFonts w:hint="eastAsia" w:ascii="宋体" w:hAnsi="宋体" w:cs="宋体"/>
          <w:b/>
          <w:color w:val="auto"/>
          <w:sz w:val="32"/>
          <w:szCs w:val="32"/>
        </w:rPr>
      </w:pPr>
    </w:p>
    <w:p w14:paraId="4445ACB5">
      <w:pPr>
        <w:spacing w:line="360" w:lineRule="atLeast"/>
        <w:jc w:val="center"/>
        <w:outlineLvl w:val="9"/>
        <w:rPr>
          <w:rFonts w:hint="eastAsia" w:ascii="宋体" w:hAnsi="宋体" w:cs="宋体"/>
          <w:b/>
          <w:color w:val="auto"/>
          <w:sz w:val="32"/>
          <w:szCs w:val="32"/>
        </w:rPr>
      </w:pPr>
    </w:p>
    <w:p w14:paraId="0C41A440">
      <w:pPr>
        <w:spacing w:line="360" w:lineRule="atLeast"/>
        <w:jc w:val="center"/>
        <w:outlineLvl w:val="9"/>
        <w:rPr>
          <w:rFonts w:hint="eastAsia" w:ascii="宋体" w:hAnsi="宋体" w:cs="宋体"/>
          <w:b/>
          <w:color w:val="auto"/>
          <w:sz w:val="32"/>
          <w:szCs w:val="32"/>
        </w:rPr>
      </w:pPr>
    </w:p>
    <w:p w14:paraId="656115C8">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承诺书Ⅱ</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3B6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4AA73BB">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陕西华旭晟信项目管理有限责任公司</w:t>
            </w:r>
          </w:p>
        </w:tc>
      </w:tr>
      <w:tr w14:paraId="303A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1CBBF48">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4E4D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41803DA">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3B176245">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543C0535">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41BB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8B147E4">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40C4A531">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6BE112C5">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5C68AC0C">
      <w:pPr>
        <w:spacing w:line="360" w:lineRule="atLeast"/>
        <w:outlineLvl w:val="9"/>
        <w:rPr>
          <w:rFonts w:hint="eastAsia" w:ascii="宋体" w:hAnsi="宋体" w:cs="宋体"/>
          <w:b/>
          <w:color w:val="auto"/>
          <w:sz w:val="42"/>
          <w:szCs w:val="42"/>
        </w:rPr>
      </w:pPr>
    </w:p>
    <w:p w14:paraId="65CDAD8E">
      <w:pPr>
        <w:outlineLvl w:val="9"/>
        <w:rPr>
          <w:rFonts w:hint="eastAsia" w:ascii="宋体" w:hAnsi="宋体" w:cs="宋体"/>
          <w:b/>
          <w:color w:val="auto"/>
          <w:sz w:val="42"/>
          <w:szCs w:val="42"/>
        </w:rPr>
      </w:pPr>
    </w:p>
    <w:p w14:paraId="1C3CC8F3">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AA0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EC0DE52">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陕西华旭晟信项目管理有限责任公司</w:t>
            </w:r>
          </w:p>
        </w:tc>
      </w:tr>
      <w:tr w14:paraId="3822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F11D378">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作为参加贵公司组织的招标采购项目的投标单位，本公司郑重申告并承诺：近三年受到有关行政主管部门的行政处理、不良行为记录为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3DF3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848CD73">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35BD6048">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0245861D">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4428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8CCE3D1">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4A54EB2D">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22B548D4">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534699EA">
      <w:pPr>
        <w:spacing w:line="360" w:lineRule="atLeast"/>
        <w:outlineLvl w:val="9"/>
        <w:rPr>
          <w:rFonts w:hint="eastAsia" w:ascii="宋体" w:hAnsi="宋体" w:cs="宋体"/>
          <w:b/>
          <w:color w:val="auto"/>
          <w:sz w:val="32"/>
          <w:szCs w:val="32"/>
        </w:rPr>
      </w:pPr>
    </w:p>
    <w:p w14:paraId="4F433E5E">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承诺书Ⅳ</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772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E77FBF6">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陕西华旭晟信项目管理有限责任公司</w:t>
            </w:r>
          </w:p>
        </w:tc>
      </w:tr>
      <w:tr w14:paraId="6EBD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BB17C6E">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作为参加贵公司组织的招标采购项目的投标单位，本公司郑重申告：近三年因项目质量问题的不法行为记录为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197C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388D2E7">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186AF770">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284AB05A">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4044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A5AB15F">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77C76ECA">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6F65192E">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26A09341">
      <w:pPr>
        <w:spacing w:line="360" w:lineRule="auto"/>
        <w:ind w:right="480"/>
        <w:outlineLvl w:val="9"/>
        <w:rPr>
          <w:rFonts w:hint="eastAsia" w:ascii="宋体" w:hAnsi="宋体" w:cs="宋体"/>
          <w:color w:val="auto"/>
          <w:sz w:val="24"/>
          <w:szCs w:val="28"/>
        </w:rPr>
      </w:pPr>
    </w:p>
    <w:p w14:paraId="055A4C1A">
      <w:pPr>
        <w:spacing w:line="360" w:lineRule="atLeast"/>
        <w:jc w:val="center"/>
        <w:outlineLvl w:val="9"/>
        <w:rPr>
          <w:rFonts w:hint="eastAsia" w:ascii="宋体" w:hAnsi="宋体" w:cs="宋体"/>
          <w:b/>
          <w:color w:val="auto"/>
          <w:sz w:val="32"/>
          <w:szCs w:val="32"/>
        </w:rPr>
      </w:pPr>
      <w:bookmarkStart w:id="358" w:name="_Toc27080"/>
      <w:r>
        <w:rPr>
          <w:rFonts w:hint="eastAsia" w:ascii="宋体" w:hAnsi="宋体" w:cs="宋体"/>
          <w:b/>
          <w:color w:val="auto"/>
          <w:sz w:val="32"/>
          <w:szCs w:val="32"/>
        </w:rPr>
        <w:t>承诺书</w:t>
      </w:r>
      <w:r>
        <w:rPr>
          <w:rFonts w:hint="eastAsia" w:ascii="宋体" w:hAnsi="宋体" w:cs="宋体"/>
          <w:b/>
          <w:color w:val="auto"/>
          <w:sz w:val="36"/>
          <w:szCs w:val="36"/>
        </w:rPr>
        <w:fldChar w:fldCharType="begin"/>
      </w:r>
      <w:r>
        <w:rPr>
          <w:rFonts w:hint="eastAsia" w:ascii="宋体" w:hAnsi="宋体" w:cs="宋体"/>
          <w:b/>
          <w:color w:val="auto"/>
          <w:sz w:val="36"/>
          <w:szCs w:val="36"/>
        </w:rPr>
        <w:instrText xml:space="preserve"> = 5 \* ROMAN </w:instrText>
      </w:r>
      <w:r>
        <w:rPr>
          <w:rFonts w:hint="eastAsia" w:ascii="宋体" w:hAnsi="宋体" w:cs="宋体"/>
          <w:b/>
          <w:color w:val="auto"/>
          <w:sz w:val="36"/>
          <w:szCs w:val="36"/>
        </w:rPr>
        <w:fldChar w:fldCharType="separate"/>
      </w:r>
      <w:r>
        <w:rPr>
          <w:rFonts w:hint="eastAsia" w:ascii="宋体" w:hAnsi="宋体" w:cs="宋体"/>
          <w:b/>
          <w:color w:val="auto"/>
          <w:sz w:val="36"/>
          <w:szCs w:val="36"/>
        </w:rPr>
        <w:t>V</w:t>
      </w:r>
      <w:r>
        <w:rPr>
          <w:rFonts w:hint="eastAsia" w:ascii="宋体" w:hAnsi="宋体" w:cs="宋体"/>
          <w:b/>
          <w:color w:val="auto"/>
          <w:sz w:val="36"/>
          <w:szCs w:val="36"/>
        </w:rPr>
        <w:fldChar w:fldCharType="end"/>
      </w:r>
      <w:bookmarkEnd w:id="35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E59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B66487C">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陕西华旭晟信项目管理有限责任公司</w:t>
            </w:r>
          </w:p>
        </w:tc>
      </w:tr>
      <w:tr w14:paraId="2EF9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1255CF0">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作为参加贵公司组织的招标采购项目的投标单位，本公司承诺：参加本次投标提交的所有资质证明文件及业绩证明是真实的、有效的，如有隐瞒实情，愿承担一切责任及后果。</w:t>
            </w:r>
          </w:p>
        </w:tc>
      </w:tr>
      <w:tr w14:paraId="0A6A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300826F">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3FFA9596">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6A7DA1F4">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519A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3B34C90">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43FAA182">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220150DF">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6392FF90">
      <w:pPr>
        <w:outlineLvl w:val="9"/>
        <w:rPr>
          <w:rFonts w:ascii="宋体" w:hAnsi="宋体" w:cs="宋体"/>
          <w:b/>
          <w:color w:val="auto"/>
          <w:sz w:val="24"/>
          <w:szCs w:val="24"/>
          <w:u w:val="single"/>
        </w:rPr>
      </w:pPr>
    </w:p>
    <w:p w14:paraId="614D73E7">
      <w:pPr>
        <w:pStyle w:val="9"/>
        <w:outlineLvl w:val="9"/>
        <w:rPr>
          <w:rFonts w:hint="eastAsia" w:ascii="宋体" w:hAnsi="宋体" w:cs="宋体"/>
          <w:b w:val="0"/>
          <w:color w:val="auto"/>
          <w:sz w:val="24"/>
          <w:szCs w:val="24"/>
          <w:u w:val="single"/>
        </w:rPr>
      </w:pPr>
    </w:p>
    <w:p w14:paraId="069405D8">
      <w:pPr>
        <w:outlineLvl w:val="9"/>
        <w:rPr>
          <w:rFonts w:hint="eastAsia" w:ascii="宋体" w:hAnsi="宋体" w:cs="宋体"/>
          <w:b/>
          <w:color w:val="auto"/>
          <w:sz w:val="24"/>
          <w:szCs w:val="24"/>
          <w:u w:val="single"/>
        </w:rPr>
      </w:pPr>
    </w:p>
    <w:p w14:paraId="36066DB2">
      <w:pPr>
        <w:pStyle w:val="9"/>
        <w:outlineLvl w:val="9"/>
        <w:rPr>
          <w:rFonts w:hint="eastAsia" w:ascii="宋体" w:hAnsi="宋体" w:cs="宋体"/>
          <w:b w:val="0"/>
          <w:color w:val="auto"/>
          <w:sz w:val="24"/>
          <w:szCs w:val="24"/>
          <w:u w:val="single"/>
        </w:rPr>
      </w:pPr>
    </w:p>
    <w:p w14:paraId="3A33B2EE">
      <w:pPr>
        <w:outlineLvl w:val="9"/>
        <w:rPr>
          <w:rFonts w:hint="eastAsia" w:ascii="宋体" w:hAnsi="宋体" w:cs="宋体"/>
          <w:b/>
          <w:color w:val="auto"/>
          <w:sz w:val="24"/>
          <w:szCs w:val="24"/>
          <w:u w:val="single"/>
        </w:rPr>
      </w:pPr>
    </w:p>
    <w:p w14:paraId="447A328D">
      <w:pPr>
        <w:spacing w:line="360" w:lineRule="auto"/>
        <w:jc w:val="center"/>
        <w:outlineLvl w:val="9"/>
        <w:rPr>
          <w:rFonts w:hint="eastAsia" w:ascii="宋体" w:hAnsi="宋体" w:cs="宋体"/>
          <w:b/>
          <w:color w:val="auto"/>
          <w:sz w:val="32"/>
          <w:szCs w:val="32"/>
        </w:rPr>
        <w:sectPr>
          <w:pgSz w:w="11905" w:h="16838"/>
          <w:pgMar w:top="1219" w:right="1803" w:bottom="1219" w:left="1803" w:header="850" w:footer="850" w:gutter="0"/>
          <w:pgNumType w:fmt="decimal"/>
          <w:cols w:space="0" w:num="1"/>
          <w:rtlGutter w:val="0"/>
          <w:docGrid w:type="lines" w:linePitch="313" w:charSpace="0"/>
        </w:sectPr>
      </w:pPr>
    </w:p>
    <w:p w14:paraId="04C04C3C">
      <w:pPr>
        <w:spacing w:line="360" w:lineRule="auto"/>
        <w:jc w:val="center"/>
        <w:outlineLvl w:val="1"/>
        <w:rPr>
          <w:rFonts w:hint="eastAsia" w:ascii="宋体" w:hAnsi="宋体" w:cs="宋体"/>
          <w:b/>
          <w:color w:val="auto"/>
          <w:sz w:val="32"/>
          <w:szCs w:val="32"/>
        </w:rPr>
      </w:pPr>
      <w:bookmarkStart w:id="359" w:name="_Toc26010"/>
      <w:bookmarkStart w:id="360" w:name="_Toc11048"/>
      <w:bookmarkStart w:id="361" w:name="_Toc21718"/>
      <w:r>
        <w:rPr>
          <w:rFonts w:hint="eastAsia" w:ascii="宋体" w:hAnsi="宋体" w:cs="宋体"/>
          <w:b/>
          <w:color w:val="auto"/>
          <w:sz w:val="32"/>
          <w:szCs w:val="32"/>
          <w:lang w:val="en-US" w:eastAsia="zh-CN"/>
        </w:rPr>
        <w:t>六</w:t>
      </w:r>
      <w:r>
        <w:rPr>
          <w:rFonts w:hint="eastAsia" w:ascii="宋体" w:hAnsi="宋体" w:cs="宋体"/>
          <w:b/>
          <w:color w:val="auto"/>
          <w:sz w:val="32"/>
          <w:szCs w:val="32"/>
        </w:rPr>
        <w:t>、投标方案</w:t>
      </w:r>
      <w:bookmarkEnd w:id="359"/>
      <w:bookmarkEnd w:id="360"/>
      <w:bookmarkEnd w:id="361"/>
    </w:p>
    <w:p w14:paraId="4FB83763">
      <w:pPr>
        <w:spacing w:line="360" w:lineRule="auto"/>
        <w:ind w:firstLine="241" w:firstLineChars="100"/>
        <w:jc w:val="both"/>
        <w:outlineLvl w:val="9"/>
        <w:rPr>
          <w:rFonts w:hint="eastAsia" w:ascii="宋体" w:hAnsi="宋体" w:eastAsia="宋体" w:cs="宋体"/>
          <w:b/>
          <w:bCs/>
          <w:color w:val="auto"/>
          <w:sz w:val="24"/>
          <w:lang w:val="en-US" w:eastAsia="zh-CN"/>
        </w:rPr>
      </w:pPr>
      <w:r>
        <w:rPr>
          <w:rFonts w:hint="eastAsia" w:ascii="宋体" w:hAnsi="宋体" w:eastAsia="宋体" w:cs="宋体"/>
          <w:b/>
          <w:bCs/>
          <w:color w:val="auto"/>
          <w:sz w:val="24"/>
        </w:rPr>
        <w:t>各投标人根据采购内容及评审办法自主编</w:t>
      </w:r>
      <w:r>
        <w:rPr>
          <w:rFonts w:hint="eastAsia" w:ascii="宋体" w:hAnsi="宋体" w:eastAsia="宋体" w:cs="宋体"/>
          <w:b/>
          <w:bCs/>
          <w:color w:val="auto"/>
          <w:sz w:val="24"/>
          <w:lang w:val="en-US" w:eastAsia="zh-CN"/>
        </w:rPr>
        <w:t>写。</w:t>
      </w:r>
    </w:p>
    <w:p w14:paraId="14BD163D">
      <w:pPr>
        <w:pStyle w:val="26"/>
        <w:outlineLvl w:val="9"/>
        <w:rPr>
          <w:rFonts w:hint="eastAsia" w:ascii="宋体" w:hAnsi="宋体" w:eastAsia="宋体" w:cs="宋体"/>
          <w:b/>
          <w:bCs/>
          <w:color w:val="auto"/>
          <w:sz w:val="24"/>
          <w:lang w:val="en-US" w:eastAsia="zh-CN"/>
        </w:rPr>
      </w:pPr>
    </w:p>
    <w:p w14:paraId="776D7667">
      <w:pPr>
        <w:pStyle w:val="26"/>
        <w:outlineLvl w:val="9"/>
        <w:rPr>
          <w:rFonts w:hint="eastAsia" w:ascii="宋体" w:hAnsi="宋体" w:eastAsia="宋体" w:cs="宋体"/>
          <w:b/>
          <w:bCs/>
          <w:color w:val="auto"/>
          <w:sz w:val="24"/>
          <w:lang w:val="en-US" w:eastAsia="zh-CN"/>
        </w:rPr>
      </w:pPr>
    </w:p>
    <w:p w14:paraId="38AC035E">
      <w:pPr>
        <w:pStyle w:val="26"/>
        <w:outlineLvl w:val="9"/>
        <w:rPr>
          <w:rFonts w:hint="eastAsia" w:ascii="宋体" w:hAnsi="宋体" w:eastAsia="宋体" w:cs="宋体"/>
          <w:b/>
          <w:bCs/>
          <w:color w:val="auto"/>
          <w:sz w:val="24"/>
          <w:lang w:val="en-US" w:eastAsia="zh-CN"/>
        </w:rPr>
      </w:pPr>
    </w:p>
    <w:p w14:paraId="360FE916">
      <w:pPr>
        <w:pStyle w:val="26"/>
        <w:outlineLvl w:val="9"/>
        <w:rPr>
          <w:rFonts w:hint="eastAsia" w:ascii="宋体" w:hAnsi="宋体" w:eastAsia="宋体" w:cs="宋体"/>
          <w:b/>
          <w:bCs/>
          <w:color w:val="auto"/>
          <w:sz w:val="24"/>
          <w:lang w:val="en-US" w:eastAsia="zh-CN"/>
        </w:rPr>
      </w:pPr>
    </w:p>
    <w:p w14:paraId="2241BE1C">
      <w:pPr>
        <w:pStyle w:val="26"/>
        <w:outlineLvl w:val="9"/>
        <w:rPr>
          <w:rFonts w:hint="eastAsia" w:ascii="宋体" w:hAnsi="宋体" w:eastAsia="宋体" w:cs="宋体"/>
          <w:b/>
          <w:bCs/>
          <w:color w:val="auto"/>
          <w:sz w:val="24"/>
          <w:lang w:val="en-US" w:eastAsia="zh-CN"/>
        </w:rPr>
      </w:pPr>
    </w:p>
    <w:p w14:paraId="1F93A1A1">
      <w:pPr>
        <w:pStyle w:val="26"/>
        <w:outlineLvl w:val="9"/>
        <w:rPr>
          <w:rFonts w:hint="eastAsia" w:ascii="宋体" w:hAnsi="宋体" w:eastAsia="宋体" w:cs="宋体"/>
          <w:b/>
          <w:bCs/>
          <w:color w:val="auto"/>
          <w:sz w:val="24"/>
          <w:lang w:val="en-US" w:eastAsia="zh-CN"/>
        </w:rPr>
      </w:pPr>
    </w:p>
    <w:p w14:paraId="23815193">
      <w:pPr>
        <w:pStyle w:val="26"/>
        <w:outlineLvl w:val="9"/>
        <w:rPr>
          <w:rFonts w:hint="eastAsia" w:ascii="宋体" w:hAnsi="宋体" w:eastAsia="宋体" w:cs="宋体"/>
          <w:b/>
          <w:bCs/>
          <w:color w:val="auto"/>
          <w:sz w:val="24"/>
          <w:lang w:val="en-US" w:eastAsia="zh-CN"/>
        </w:rPr>
      </w:pPr>
    </w:p>
    <w:p w14:paraId="23F3CC20">
      <w:pPr>
        <w:pStyle w:val="26"/>
        <w:outlineLvl w:val="9"/>
        <w:rPr>
          <w:rFonts w:hint="eastAsia" w:ascii="宋体" w:hAnsi="宋体" w:eastAsia="宋体" w:cs="宋体"/>
          <w:b/>
          <w:bCs/>
          <w:color w:val="auto"/>
          <w:sz w:val="24"/>
          <w:lang w:val="en-US" w:eastAsia="zh-CN"/>
        </w:rPr>
      </w:pPr>
    </w:p>
    <w:p w14:paraId="638EAFC6">
      <w:pPr>
        <w:pStyle w:val="26"/>
        <w:outlineLvl w:val="9"/>
        <w:rPr>
          <w:rFonts w:hint="eastAsia" w:ascii="宋体" w:hAnsi="宋体" w:eastAsia="宋体" w:cs="宋体"/>
          <w:b/>
          <w:bCs/>
          <w:color w:val="auto"/>
          <w:sz w:val="24"/>
          <w:lang w:val="en-US" w:eastAsia="zh-CN"/>
        </w:rPr>
      </w:pPr>
    </w:p>
    <w:p w14:paraId="6D673CB0">
      <w:pPr>
        <w:pStyle w:val="26"/>
        <w:outlineLvl w:val="9"/>
        <w:rPr>
          <w:rFonts w:hint="eastAsia" w:ascii="宋体" w:hAnsi="宋体" w:eastAsia="宋体" w:cs="宋体"/>
          <w:b/>
          <w:bCs/>
          <w:color w:val="auto"/>
          <w:sz w:val="24"/>
          <w:lang w:val="en-US" w:eastAsia="zh-CN"/>
        </w:rPr>
      </w:pPr>
    </w:p>
    <w:p w14:paraId="258B3E87">
      <w:pPr>
        <w:pStyle w:val="26"/>
        <w:outlineLvl w:val="9"/>
        <w:rPr>
          <w:rFonts w:hint="eastAsia" w:ascii="宋体" w:hAnsi="宋体" w:eastAsia="宋体" w:cs="宋体"/>
          <w:b/>
          <w:bCs/>
          <w:color w:val="auto"/>
          <w:sz w:val="24"/>
          <w:lang w:val="en-US" w:eastAsia="zh-CN"/>
        </w:rPr>
      </w:pPr>
    </w:p>
    <w:p w14:paraId="0A75B9EE">
      <w:pPr>
        <w:pStyle w:val="26"/>
        <w:outlineLvl w:val="9"/>
        <w:rPr>
          <w:rFonts w:hint="eastAsia" w:ascii="宋体" w:hAnsi="宋体" w:eastAsia="宋体" w:cs="宋体"/>
          <w:b/>
          <w:bCs/>
          <w:color w:val="auto"/>
          <w:sz w:val="24"/>
          <w:lang w:val="en-US" w:eastAsia="zh-CN"/>
        </w:rPr>
      </w:pPr>
    </w:p>
    <w:p w14:paraId="1AF884AF">
      <w:pPr>
        <w:pStyle w:val="26"/>
        <w:outlineLvl w:val="9"/>
        <w:rPr>
          <w:rFonts w:hint="eastAsia" w:ascii="宋体" w:hAnsi="宋体" w:eastAsia="宋体" w:cs="宋体"/>
          <w:b/>
          <w:bCs/>
          <w:color w:val="auto"/>
          <w:sz w:val="24"/>
          <w:lang w:val="en-US" w:eastAsia="zh-CN"/>
        </w:rPr>
      </w:pPr>
    </w:p>
    <w:p w14:paraId="0424B552">
      <w:pPr>
        <w:pStyle w:val="26"/>
        <w:outlineLvl w:val="9"/>
        <w:rPr>
          <w:rFonts w:hint="eastAsia" w:ascii="宋体" w:hAnsi="宋体" w:eastAsia="宋体" w:cs="宋体"/>
          <w:b/>
          <w:bCs/>
          <w:color w:val="auto"/>
          <w:sz w:val="24"/>
          <w:lang w:val="en-US" w:eastAsia="zh-CN"/>
        </w:rPr>
      </w:pPr>
    </w:p>
    <w:p w14:paraId="7A107128">
      <w:pPr>
        <w:pStyle w:val="26"/>
        <w:outlineLvl w:val="9"/>
        <w:rPr>
          <w:rFonts w:hint="eastAsia" w:ascii="宋体" w:hAnsi="宋体" w:eastAsia="宋体" w:cs="宋体"/>
          <w:b/>
          <w:bCs/>
          <w:color w:val="auto"/>
          <w:sz w:val="24"/>
          <w:lang w:val="en-US" w:eastAsia="zh-CN"/>
        </w:rPr>
      </w:pPr>
    </w:p>
    <w:p w14:paraId="05E1B1B3">
      <w:pPr>
        <w:pStyle w:val="26"/>
        <w:outlineLvl w:val="9"/>
        <w:rPr>
          <w:rFonts w:hint="eastAsia" w:ascii="宋体" w:hAnsi="宋体" w:eastAsia="宋体" w:cs="宋体"/>
          <w:b/>
          <w:bCs/>
          <w:color w:val="auto"/>
          <w:sz w:val="24"/>
          <w:lang w:val="en-US" w:eastAsia="zh-CN"/>
        </w:rPr>
      </w:pPr>
    </w:p>
    <w:p w14:paraId="2D882A8B">
      <w:pPr>
        <w:pStyle w:val="26"/>
        <w:outlineLvl w:val="9"/>
        <w:rPr>
          <w:rFonts w:hint="eastAsia" w:ascii="宋体" w:hAnsi="宋体" w:eastAsia="宋体" w:cs="宋体"/>
          <w:b/>
          <w:bCs/>
          <w:color w:val="auto"/>
          <w:sz w:val="24"/>
          <w:lang w:val="en-US" w:eastAsia="zh-CN"/>
        </w:rPr>
      </w:pPr>
    </w:p>
    <w:p w14:paraId="5C7F18CA">
      <w:pPr>
        <w:pStyle w:val="26"/>
        <w:outlineLvl w:val="9"/>
        <w:rPr>
          <w:rFonts w:hint="eastAsia" w:ascii="宋体" w:hAnsi="宋体" w:eastAsia="宋体" w:cs="宋体"/>
          <w:b/>
          <w:bCs/>
          <w:color w:val="auto"/>
          <w:sz w:val="24"/>
          <w:lang w:val="en-US" w:eastAsia="zh-CN"/>
        </w:rPr>
      </w:pPr>
    </w:p>
    <w:p w14:paraId="7D7E6817">
      <w:pPr>
        <w:pStyle w:val="26"/>
        <w:outlineLvl w:val="9"/>
        <w:rPr>
          <w:rFonts w:hint="eastAsia" w:ascii="宋体" w:hAnsi="宋体" w:eastAsia="宋体" w:cs="宋体"/>
          <w:b/>
          <w:bCs/>
          <w:color w:val="auto"/>
          <w:sz w:val="24"/>
          <w:lang w:val="en-US" w:eastAsia="zh-CN"/>
        </w:rPr>
      </w:pPr>
    </w:p>
    <w:p w14:paraId="4B3BE432">
      <w:pPr>
        <w:pStyle w:val="26"/>
        <w:outlineLvl w:val="9"/>
        <w:rPr>
          <w:rFonts w:hint="eastAsia" w:ascii="宋体" w:hAnsi="宋体" w:eastAsia="宋体" w:cs="宋体"/>
          <w:b/>
          <w:bCs/>
          <w:color w:val="auto"/>
          <w:sz w:val="24"/>
          <w:lang w:val="en-US" w:eastAsia="zh-CN"/>
        </w:rPr>
      </w:pPr>
    </w:p>
    <w:p w14:paraId="294BD662">
      <w:pPr>
        <w:pStyle w:val="26"/>
        <w:outlineLvl w:val="9"/>
        <w:rPr>
          <w:rFonts w:hint="eastAsia" w:ascii="宋体" w:hAnsi="宋体" w:eastAsia="宋体" w:cs="宋体"/>
          <w:b/>
          <w:bCs/>
          <w:color w:val="auto"/>
          <w:sz w:val="24"/>
          <w:lang w:val="en-US" w:eastAsia="zh-CN"/>
        </w:rPr>
      </w:pPr>
    </w:p>
    <w:p w14:paraId="51D3EC32">
      <w:pPr>
        <w:pStyle w:val="26"/>
        <w:outlineLvl w:val="9"/>
        <w:rPr>
          <w:rFonts w:hint="eastAsia" w:ascii="宋体" w:hAnsi="宋体" w:eastAsia="宋体" w:cs="宋体"/>
          <w:b/>
          <w:bCs/>
          <w:color w:val="auto"/>
          <w:sz w:val="24"/>
          <w:lang w:val="en-US" w:eastAsia="zh-CN"/>
        </w:rPr>
      </w:pPr>
    </w:p>
    <w:p w14:paraId="1FEF3379">
      <w:pPr>
        <w:pStyle w:val="26"/>
        <w:outlineLvl w:val="9"/>
        <w:rPr>
          <w:rFonts w:hint="eastAsia" w:ascii="宋体" w:hAnsi="宋体" w:eastAsia="宋体" w:cs="宋体"/>
          <w:b/>
          <w:bCs/>
          <w:color w:val="auto"/>
          <w:sz w:val="24"/>
          <w:lang w:val="en-US" w:eastAsia="zh-CN"/>
        </w:rPr>
      </w:pPr>
    </w:p>
    <w:p w14:paraId="5732E86D">
      <w:pPr>
        <w:pStyle w:val="26"/>
        <w:outlineLvl w:val="9"/>
        <w:rPr>
          <w:rFonts w:hint="eastAsia" w:ascii="宋体" w:hAnsi="宋体" w:eastAsia="宋体" w:cs="宋体"/>
          <w:b/>
          <w:bCs/>
          <w:color w:val="auto"/>
          <w:sz w:val="24"/>
          <w:lang w:val="en-US" w:eastAsia="zh-CN"/>
        </w:rPr>
      </w:pPr>
    </w:p>
    <w:p w14:paraId="7FD180BA">
      <w:pPr>
        <w:pStyle w:val="26"/>
        <w:outlineLvl w:val="9"/>
        <w:rPr>
          <w:rFonts w:hint="eastAsia" w:ascii="宋体" w:hAnsi="宋体" w:eastAsia="宋体" w:cs="宋体"/>
          <w:b/>
          <w:bCs/>
          <w:color w:val="auto"/>
          <w:sz w:val="24"/>
          <w:lang w:val="en-US" w:eastAsia="zh-CN"/>
        </w:rPr>
      </w:pPr>
    </w:p>
    <w:p w14:paraId="2BC78FCC">
      <w:pPr>
        <w:pStyle w:val="26"/>
        <w:outlineLvl w:val="9"/>
        <w:rPr>
          <w:rFonts w:hint="eastAsia" w:ascii="宋体" w:hAnsi="宋体" w:eastAsia="宋体" w:cs="宋体"/>
          <w:b/>
          <w:bCs/>
          <w:color w:val="auto"/>
          <w:sz w:val="24"/>
          <w:lang w:val="en-US" w:eastAsia="zh-CN"/>
        </w:rPr>
      </w:pPr>
    </w:p>
    <w:p w14:paraId="47065477">
      <w:pPr>
        <w:pStyle w:val="26"/>
        <w:outlineLvl w:val="9"/>
        <w:rPr>
          <w:rFonts w:hint="eastAsia" w:ascii="宋体" w:hAnsi="宋体" w:eastAsia="宋体" w:cs="宋体"/>
          <w:b/>
          <w:bCs/>
          <w:color w:val="auto"/>
          <w:sz w:val="24"/>
          <w:lang w:val="en-US" w:eastAsia="zh-CN"/>
        </w:rPr>
      </w:pPr>
    </w:p>
    <w:p w14:paraId="41F44E64">
      <w:pPr>
        <w:pStyle w:val="26"/>
        <w:outlineLvl w:val="9"/>
        <w:rPr>
          <w:rFonts w:hint="eastAsia" w:ascii="宋体" w:hAnsi="宋体" w:eastAsia="宋体" w:cs="宋体"/>
          <w:b/>
          <w:bCs/>
          <w:color w:val="auto"/>
          <w:sz w:val="24"/>
          <w:lang w:val="en-US" w:eastAsia="zh-CN"/>
        </w:rPr>
      </w:pPr>
    </w:p>
    <w:p w14:paraId="09BCDCFE">
      <w:pPr>
        <w:pStyle w:val="26"/>
        <w:outlineLvl w:val="9"/>
        <w:rPr>
          <w:rFonts w:hint="eastAsia" w:ascii="宋体" w:hAnsi="宋体" w:eastAsia="宋体" w:cs="宋体"/>
          <w:b/>
          <w:bCs/>
          <w:color w:val="auto"/>
          <w:sz w:val="24"/>
          <w:lang w:val="en-US" w:eastAsia="zh-CN"/>
        </w:rPr>
      </w:pPr>
    </w:p>
    <w:p w14:paraId="4E9781B6">
      <w:pPr>
        <w:pStyle w:val="26"/>
        <w:outlineLvl w:val="9"/>
        <w:rPr>
          <w:rFonts w:hint="eastAsia" w:ascii="宋体" w:hAnsi="宋体" w:eastAsia="宋体" w:cs="宋体"/>
          <w:b/>
          <w:bCs/>
          <w:color w:val="auto"/>
          <w:sz w:val="24"/>
          <w:lang w:val="en-US" w:eastAsia="zh-CN"/>
        </w:rPr>
      </w:pPr>
    </w:p>
    <w:p w14:paraId="00CED419">
      <w:pPr>
        <w:pStyle w:val="26"/>
        <w:outlineLvl w:val="9"/>
        <w:rPr>
          <w:rFonts w:hint="eastAsia" w:ascii="宋体" w:hAnsi="宋体" w:eastAsia="宋体" w:cs="宋体"/>
          <w:b/>
          <w:bCs/>
          <w:color w:val="auto"/>
          <w:sz w:val="24"/>
          <w:lang w:val="en-US" w:eastAsia="zh-CN"/>
        </w:rPr>
      </w:pPr>
    </w:p>
    <w:p w14:paraId="5CFC52FE">
      <w:pPr>
        <w:pStyle w:val="26"/>
        <w:outlineLvl w:val="9"/>
        <w:rPr>
          <w:rFonts w:hint="eastAsia" w:ascii="宋体" w:hAnsi="宋体" w:eastAsia="宋体" w:cs="宋体"/>
          <w:b/>
          <w:bCs/>
          <w:color w:val="auto"/>
          <w:sz w:val="24"/>
          <w:lang w:val="en-US" w:eastAsia="zh-CN"/>
        </w:rPr>
      </w:pPr>
    </w:p>
    <w:p w14:paraId="1D34BCAA">
      <w:pPr>
        <w:pStyle w:val="26"/>
        <w:outlineLvl w:val="9"/>
        <w:rPr>
          <w:rFonts w:hint="eastAsia" w:ascii="宋体" w:hAnsi="宋体" w:eastAsia="宋体" w:cs="宋体"/>
          <w:b/>
          <w:bCs/>
          <w:color w:val="auto"/>
          <w:sz w:val="24"/>
          <w:lang w:val="en-US" w:eastAsia="zh-CN"/>
        </w:rPr>
      </w:pPr>
    </w:p>
    <w:p w14:paraId="7B318C85">
      <w:pPr>
        <w:pStyle w:val="26"/>
        <w:outlineLvl w:val="9"/>
        <w:rPr>
          <w:rFonts w:hint="eastAsia" w:ascii="宋体" w:hAnsi="宋体" w:eastAsia="宋体" w:cs="宋体"/>
          <w:b/>
          <w:bCs/>
          <w:color w:val="auto"/>
          <w:sz w:val="24"/>
          <w:lang w:val="en-US" w:eastAsia="zh-CN"/>
        </w:rPr>
      </w:pPr>
    </w:p>
    <w:p w14:paraId="6FC8D739">
      <w:pPr>
        <w:pStyle w:val="26"/>
        <w:outlineLvl w:val="9"/>
        <w:rPr>
          <w:rFonts w:hint="eastAsia" w:ascii="宋体" w:hAnsi="宋体" w:eastAsia="宋体" w:cs="宋体"/>
          <w:b/>
          <w:bCs/>
          <w:color w:val="auto"/>
          <w:sz w:val="24"/>
          <w:lang w:val="en-US" w:eastAsia="zh-CN"/>
        </w:rPr>
      </w:pPr>
    </w:p>
    <w:p w14:paraId="54B666BB">
      <w:pPr>
        <w:pStyle w:val="26"/>
        <w:outlineLvl w:val="9"/>
        <w:rPr>
          <w:rFonts w:hint="eastAsia" w:ascii="宋体" w:hAnsi="宋体" w:eastAsia="宋体" w:cs="宋体"/>
          <w:b/>
          <w:bCs/>
          <w:color w:val="auto"/>
          <w:sz w:val="24"/>
          <w:lang w:val="en-US" w:eastAsia="zh-CN"/>
        </w:rPr>
      </w:pPr>
    </w:p>
    <w:p w14:paraId="09A9626D">
      <w:pPr>
        <w:pStyle w:val="26"/>
        <w:outlineLvl w:val="9"/>
        <w:rPr>
          <w:rFonts w:hint="eastAsia" w:ascii="宋体" w:hAnsi="宋体" w:eastAsia="宋体" w:cs="宋体"/>
          <w:b/>
          <w:bCs/>
          <w:color w:val="auto"/>
          <w:sz w:val="24"/>
          <w:lang w:val="en-US" w:eastAsia="zh-CN"/>
        </w:rPr>
      </w:pPr>
    </w:p>
    <w:p w14:paraId="4B6CCEE4">
      <w:pPr>
        <w:pStyle w:val="26"/>
        <w:outlineLvl w:val="9"/>
        <w:rPr>
          <w:rFonts w:hint="eastAsia" w:ascii="宋体" w:hAnsi="宋体" w:eastAsia="宋体" w:cs="宋体"/>
          <w:b/>
          <w:bCs/>
          <w:color w:val="auto"/>
          <w:sz w:val="24"/>
          <w:lang w:val="en-US" w:eastAsia="zh-CN"/>
        </w:rPr>
      </w:pPr>
    </w:p>
    <w:p w14:paraId="1D6FACB9">
      <w:pPr>
        <w:pStyle w:val="26"/>
        <w:outlineLvl w:val="9"/>
        <w:rPr>
          <w:rFonts w:hint="eastAsia" w:ascii="宋体" w:hAnsi="宋体" w:eastAsia="宋体" w:cs="宋体"/>
          <w:b/>
          <w:bCs/>
          <w:color w:val="auto"/>
          <w:sz w:val="24"/>
          <w:lang w:val="en-US" w:eastAsia="zh-CN"/>
        </w:rPr>
      </w:pPr>
    </w:p>
    <w:bookmarkEnd w:id="274"/>
    <w:bookmarkEnd w:id="301"/>
    <w:bookmarkEnd w:id="302"/>
    <w:bookmarkEnd w:id="329"/>
    <w:bookmarkEnd w:id="333"/>
    <w:bookmarkEnd w:id="334"/>
    <w:bookmarkEnd w:id="335"/>
    <w:p w14:paraId="1B42956E">
      <w:pPr>
        <w:numPr>
          <w:ilvl w:val="0"/>
          <w:numId w:val="0"/>
        </w:numPr>
        <w:spacing w:line="360" w:lineRule="auto"/>
        <w:jc w:val="center"/>
        <w:outlineLvl w:val="1"/>
        <w:rPr>
          <w:rFonts w:hint="eastAsia" w:ascii="宋体" w:hAnsi="宋体" w:cs="宋体"/>
          <w:b/>
          <w:color w:val="auto"/>
          <w:sz w:val="36"/>
          <w:szCs w:val="24"/>
          <w:lang w:val="en-US" w:eastAsia="zh-CN"/>
        </w:rPr>
        <w:sectPr>
          <w:pgSz w:w="11905" w:h="16838"/>
          <w:pgMar w:top="1219" w:right="1803" w:bottom="1219" w:left="1803" w:header="850" w:footer="850" w:gutter="0"/>
          <w:pgNumType w:fmt="decimal"/>
          <w:cols w:space="0" w:num="1"/>
          <w:rtlGutter w:val="0"/>
          <w:docGrid w:type="lines" w:linePitch="313" w:charSpace="0"/>
        </w:sectPr>
      </w:pPr>
      <w:bookmarkStart w:id="362" w:name="_Toc4907"/>
      <w:bookmarkStart w:id="363" w:name="_Toc7932"/>
      <w:bookmarkStart w:id="364" w:name="_Toc15686"/>
      <w:bookmarkStart w:id="365" w:name="_Toc26336"/>
    </w:p>
    <w:p w14:paraId="2645A263">
      <w:pPr>
        <w:numPr>
          <w:ilvl w:val="0"/>
          <w:numId w:val="0"/>
        </w:numPr>
        <w:spacing w:line="360" w:lineRule="auto"/>
        <w:jc w:val="center"/>
        <w:outlineLvl w:val="1"/>
        <w:rPr>
          <w:rFonts w:hint="eastAsia" w:ascii="宋体" w:hAnsi="宋体" w:eastAsia="宋体" w:cs="宋体"/>
          <w:b/>
          <w:color w:val="auto"/>
          <w:sz w:val="36"/>
          <w:szCs w:val="24"/>
        </w:rPr>
      </w:pPr>
      <w:bookmarkStart w:id="366" w:name="_Toc28609"/>
      <w:r>
        <w:rPr>
          <w:rFonts w:hint="eastAsia" w:ascii="宋体" w:hAnsi="宋体" w:cs="宋体"/>
          <w:b/>
          <w:color w:val="auto"/>
          <w:sz w:val="36"/>
          <w:szCs w:val="24"/>
          <w:lang w:val="en-US" w:eastAsia="zh-CN"/>
        </w:rPr>
        <w:t>七、</w:t>
      </w:r>
      <w:r>
        <w:rPr>
          <w:rFonts w:hint="eastAsia" w:ascii="宋体" w:hAnsi="宋体" w:eastAsia="宋体" w:cs="宋体"/>
          <w:b/>
          <w:color w:val="auto"/>
          <w:sz w:val="36"/>
          <w:szCs w:val="24"/>
        </w:rPr>
        <w:t>商务偏离表</w:t>
      </w:r>
      <w:bookmarkEnd w:id="362"/>
      <w:bookmarkEnd w:id="363"/>
      <w:bookmarkEnd w:id="364"/>
      <w:bookmarkEnd w:id="365"/>
      <w:bookmarkEnd w:id="366"/>
    </w:p>
    <w:p w14:paraId="13A9595B">
      <w:pPr>
        <w:spacing w:line="360" w:lineRule="auto"/>
        <w:outlineLvl w:val="9"/>
        <w:rPr>
          <w:rFonts w:hint="eastAsia"/>
          <w:color w:val="auto"/>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 xml:space="preserve">            采购项目编号：</w:t>
      </w:r>
      <w:r>
        <w:rPr>
          <w:rFonts w:hint="eastAsia" w:ascii="宋体" w:hAnsi="宋体" w:cs="宋体"/>
          <w:color w:val="auto"/>
          <w:sz w:val="24"/>
          <w:u w:val="single"/>
        </w:rPr>
        <w:t xml:space="preserve">                   </w:t>
      </w:r>
    </w:p>
    <w:tbl>
      <w:tblPr>
        <w:tblStyle w:val="20"/>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2E00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6426D4BC">
            <w:pPr>
              <w:spacing w:line="360" w:lineRule="auto"/>
              <w:jc w:val="center"/>
              <w:outlineLvl w:val="9"/>
              <w:rPr>
                <w:rFonts w:hint="eastAsia" w:ascii="宋体" w:hAnsi="宋体" w:cs="宋体"/>
                <w:b/>
                <w:color w:val="auto"/>
                <w:sz w:val="24"/>
              </w:rPr>
            </w:pPr>
            <w:r>
              <w:rPr>
                <w:rFonts w:hint="eastAsia" w:ascii="宋体" w:hAnsi="宋体" w:cs="宋体"/>
                <w:b/>
                <w:color w:val="auto"/>
                <w:sz w:val="24"/>
              </w:rPr>
              <w:t>序号</w:t>
            </w:r>
          </w:p>
        </w:tc>
        <w:tc>
          <w:tcPr>
            <w:tcW w:w="2931" w:type="dxa"/>
            <w:noWrap w:val="0"/>
            <w:vAlign w:val="top"/>
          </w:tcPr>
          <w:p w14:paraId="676530CF">
            <w:pPr>
              <w:spacing w:line="360" w:lineRule="auto"/>
              <w:jc w:val="center"/>
              <w:outlineLvl w:val="9"/>
              <w:rPr>
                <w:rFonts w:hint="eastAsia" w:ascii="宋体" w:hAnsi="宋体" w:cs="宋体"/>
                <w:b/>
                <w:color w:val="auto"/>
                <w:sz w:val="24"/>
              </w:rPr>
            </w:pPr>
            <w:r>
              <w:rPr>
                <w:rFonts w:hint="eastAsia" w:ascii="宋体" w:hAnsi="宋体" w:cs="宋体"/>
                <w:b/>
                <w:color w:val="auto"/>
                <w:sz w:val="24"/>
              </w:rPr>
              <w:t>竞争性磋商文件商务要求</w:t>
            </w:r>
          </w:p>
        </w:tc>
        <w:tc>
          <w:tcPr>
            <w:tcW w:w="3231" w:type="dxa"/>
            <w:noWrap w:val="0"/>
            <w:vAlign w:val="top"/>
          </w:tcPr>
          <w:p w14:paraId="334CF931">
            <w:pPr>
              <w:spacing w:line="360" w:lineRule="auto"/>
              <w:jc w:val="center"/>
              <w:outlineLvl w:val="9"/>
              <w:rPr>
                <w:rFonts w:hint="eastAsia" w:ascii="宋体" w:hAnsi="宋体" w:cs="宋体"/>
                <w:b/>
                <w:color w:val="auto"/>
                <w:sz w:val="24"/>
              </w:rPr>
            </w:pPr>
            <w:r>
              <w:rPr>
                <w:rFonts w:hint="eastAsia" w:ascii="宋体" w:hAnsi="宋体" w:cs="宋体"/>
                <w:b/>
                <w:color w:val="auto"/>
                <w:sz w:val="24"/>
              </w:rPr>
              <w:t>竞争性磋商响应文件商务响应</w:t>
            </w:r>
          </w:p>
        </w:tc>
        <w:tc>
          <w:tcPr>
            <w:tcW w:w="1202" w:type="dxa"/>
            <w:noWrap w:val="0"/>
            <w:vAlign w:val="top"/>
          </w:tcPr>
          <w:p w14:paraId="46753920">
            <w:pPr>
              <w:spacing w:line="360" w:lineRule="auto"/>
              <w:jc w:val="center"/>
              <w:outlineLvl w:val="9"/>
              <w:rPr>
                <w:rFonts w:hint="eastAsia" w:ascii="宋体" w:hAnsi="宋体" w:cs="宋体"/>
                <w:b/>
                <w:color w:val="auto"/>
                <w:sz w:val="24"/>
              </w:rPr>
            </w:pPr>
            <w:r>
              <w:rPr>
                <w:rFonts w:hint="eastAsia" w:ascii="宋体" w:hAnsi="宋体" w:cs="宋体"/>
                <w:b/>
                <w:color w:val="auto"/>
                <w:sz w:val="24"/>
              </w:rPr>
              <w:t>偏离情况</w:t>
            </w:r>
          </w:p>
        </w:tc>
        <w:tc>
          <w:tcPr>
            <w:tcW w:w="1350" w:type="dxa"/>
            <w:noWrap w:val="0"/>
            <w:vAlign w:val="top"/>
          </w:tcPr>
          <w:p w14:paraId="68120CEC">
            <w:pPr>
              <w:spacing w:line="360" w:lineRule="auto"/>
              <w:jc w:val="center"/>
              <w:outlineLvl w:val="9"/>
              <w:rPr>
                <w:rFonts w:hint="eastAsia" w:ascii="宋体" w:hAnsi="宋体" w:cs="宋体"/>
                <w:b/>
                <w:color w:val="auto"/>
                <w:sz w:val="24"/>
              </w:rPr>
            </w:pPr>
            <w:r>
              <w:rPr>
                <w:rFonts w:hint="eastAsia" w:ascii="宋体" w:hAnsi="宋体" w:cs="宋体"/>
                <w:b/>
                <w:color w:val="auto"/>
                <w:sz w:val="24"/>
              </w:rPr>
              <w:t>响应说明</w:t>
            </w:r>
          </w:p>
        </w:tc>
      </w:tr>
      <w:tr w14:paraId="0A9C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E0108">
            <w:pPr>
              <w:spacing w:line="360" w:lineRule="auto"/>
              <w:jc w:val="center"/>
              <w:outlineLvl w:val="9"/>
              <w:rPr>
                <w:rFonts w:hint="eastAsia" w:ascii="宋体" w:hAnsi="宋体" w:cs="宋体"/>
                <w:color w:val="auto"/>
                <w:sz w:val="24"/>
              </w:rPr>
            </w:pPr>
          </w:p>
        </w:tc>
        <w:tc>
          <w:tcPr>
            <w:tcW w:w="2931" w:type="dxa"/>
            <w:noWrap w:val="0"/>
            <w:vAlign w:val="top"/>
          </w:tcPr>
          <w:p w14:paraId="4228D816">
            <w:pPr>
              <w:spacing w:line="360" w:lineRule="auto"/>
              <w:jc w:val="center"/>
              <w:outlineLvl w:val="9"/>
              <w:rPr>
                <w:rFonts w:hint="eastAsia" w:ascii="宋体" w:hAnsi="宋体" w:cs="宋体"/>
                <w:color w:val="auto"/>
                <w:sz w:val="24"/>
              </w:rPr>
            </w:pPr>
          </w:p>
        </w:tc>
        <w:tc>
          <w:tcPr>
            <w:tcW w:w="3231" w:type="dxa"/>
            <w:noWrap w:val="0"/>
            <w:vAlign w:val="top"/>
          </w:tcPr>
          <w:p w14:paraId="20E9AA88">
            <w:pPr>
              <w:spacing w:line="360" w:lineRule="auto"/>
              <w:jc w:val="center"/>
              <w:outlineLvl w:val="9"/>
              <w:rPr>
                <w:rFonts w:hint="eastAsia" w:ascii="宋体" w:hAnsi="宋体" w:cs="宋体"/>
                <w:color w:val="auto"/>
                <w:sz w:val="24"/>
              </w:rPr>
            </w:pPr>
          </w:p>
        </w:tc>
        <w:tc>
          <w:tcPr>
            <w:tcW w:w="1202" w:type="dxa"/>
            <w:noWrap w:val="0"/>
            <w:vAlign w:val="top"/>
          </w:tcPr>
          <w:p w14:paraId="283D45A5">
            <w:pPr>
              <w:spacing w:line="360" w:lineRule="auto"/>
              <w:jc w:val="center"/>
              <w:outlineLvl w:val="9"/>
              <w:rPr>
                <w:rFonts w:hint="eastAsia" w:ascii="宋体" w:hAnsi="宋体" w:cs="宋体"/>
                <w:color w:val="auto"/>
                <w:sz w:val="24"/>
              </w:rPr>
            </w:pPr>
          </w:p>
        </w:tc>
        <w:tc>
          <w:tcPr>
            <w:tcW w:w="1350" w:type="dxa"/>
            <w:noWrap w:val="0"/>
            <w:vAlign w:val="top"/>
          </w:tcPr>
          <w:p w14:paraId="62FB9B47">
            <w:pPr>
              <w:spacing w:line="360" w:lineRule="auto"/>
              <w:jc w:val="center"/>
              <w:outlineLvl w:val="9"/>
              <w:rPr>
                <w:rFonts w:hint="eastAsia" w:ascii="宋体" w:hAnsi="宋体" w:cs="宋体"/>
                <w:color w:val="auto"/>
                <w:sz w:val="24"/>
              </w:rPr>
            </w:pPr>
          </w:p>
        </w:tc>
      </w:tr>
      <w:tr w14:paraId="5AC5F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9CF1816">
            <w:pPr>
              <w:spacing w:line="360" w:lineRule="auto"/>
              <w:jc w:val="center"/>
              <w:outlineLvl w:val="9"/>
              <w:rPr>
                <w:rFonts w:hint="eastAsia" w:ascii="宋体" w:hAnsi="宋体" w:cs="宋体"/>
                <w:color w:val="auto"/>
                <w:sz w:val="24"/>
              </w:rPr>
            </w:pPr>
          </w:p>
        </w:tc>
        <w:tc>
          <w:tcPr>
            <w:tcW w:w="2931" w:type="dxa"/>
            <w:noWrap w:val="0"/>
            <w:vAlign w:val="top"/>
          </w:tcPr>
          <w:p w14:paraId="4691A47F">
            <w:pPr>
              <w:spacing w:line="360" w:lineRule="auto"/>
              <w:jc w:val="center"/>
              <w:outlineLvl w:val="9"/>
              <w:rPr>
                <w:rFonts w:hint="eastAsia" w:ascii="宋体" w:hAnsi="宋体" w:cs="宋体"/>
                <w:color w:val="auto"/>
                <w:sz w:val="24"/>
              </w:rPr>
            </w:pPr>
          </w:p>
        </w:tc>
        <w:tc>
          <w:tcPr>
            <w:tcW w:w="3231" w:type="dxa"/>
            <w:noWrap w:val="0"/>
            <w:vAlign w:val="top"/>
          </w:tcPr>
          <w:p w14:paraId="11380082">
            <w:pPr>
              <w:spacing w:line="360" w:lineRule="auto"/>
              <w:jc w:val="center"/>
              <w:outlineLvl w:val="9"/>
              <w:rPr>
                <w:rFonts w:hint="eastAsia" w:ascii="宋体" w:hAnsi="宋体" w:cs="宋体"/>
                <w:color w:val="auto"/>
                <w:sz w:val="24"/>
              </w:rPr>
            </w:pPr>
          </w:p>
        </w:tc>
        <w:tc>
          <w:tcPr>
            <w:tcW w:w="1202" w:type="dxa"/>
            <w:noWrap w:val="0"/>
            <w:vAlign w:val="top"/>
          </w:tcPr>
          <w:p w14:paraId="64C8A0D6">
            <w:pPr>
              <w:spacing w:line="360" w:lineRule="auto"/>
              <w:jc w:val="center"/>
              <w:outlineLvl w:val="9"/>
              <w:rPr>
                <w:rFonts w:hint="eastAsia" w:ascii="宋体" w:hAnsi="宋体" w:cs="宋体"/>
                <w:color w:val="auto"/>
                <w:sz w:val="24"/>
              </w:rPr>
            </w:pPr>
          </w:p>
        </w:tc>
        <w:tc>
          <w:tcPr>
            <w:tcW w:w="1350" w:type="dxa"/>
            <w:noWrap w:val="0"/>
            <w:vAlign w:val="top"/>
          </w:tcPr>
          <w:p w14:paraId="5F5D3ACA">
            <w:pPr>
              <w:spacing w:line="360" w:lineRule="auto"/>
              <w:jc w:val="center"/>
              <w:outlineLvl w:val="9"/>
              <w:rPr>
                <w:rFonts w:hint="eastAsia" w:ascii="宋体" w:hAnsi="宋体" w:cs="宋体"/>
                <w:color w:val="auto"/>
                <w:sz w:val="24"/>
              </w:rPr>
            </w:pPr>
          </w:p>
        </w:tc>
      </w:tr>
      <w:tr w14:paraId="76F5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58CB84">
            <w:pPr>
              <w:spacing w:line="360" w:lineRule="auto"/>
              <w:jc w:val="center"/>
              <w:outlineLvl w:val="9"/>
              <w:rPr>
                <w:rFonts w:hint="eastAsia" w:ascii="宋体" w:hAnsi="宋体" w:cs="宋体"/>
                <w:color w:val="auto"/>
                <w:sz w:val="24"/>
              </w:rPr>
            </w:pPr>
          </w:p>
        </w:tc>
        <w:tc>
          <w:tcPr>
            <w:tcW w:w="2931" w:type="dxa"/>
            <w:noWrap w:val="0"/>
            <w:vAlign w:val="top"/>
          </w:tcPr>
          <w:p w14:paraId="783F0A9D">
            <w:pPr>
              <w:spacing w:line="360" w:lineRule="auto"/>
              <w:jc w:val="center"/>
              <w:outlineLvl w:val="9"/>
              <w:rPr>
                <w:rFonts w:hint="eastAsia" w:ascii="宋体" w:hAnsi="宋体" w:cs="宋体"/>
                <w:color w:val="auto"/>
                <w:sz w:val="24"/>
              </w:rPr>
            </w:pPr>
          </w:p>
        </w:tc>
        <w:tc>
          <w:tcPr>
            <w:tcW w:w="3231" w:type="dxa"/>
            <w:noWrap w:val="0"/>
            <w:vAlign w:val="top"/>
          </w:tcPr>
          <w:p w14:paraId="6983B82E">
            <w:pPr>
              <w:spacing w:line="360" w:lineRule="auto"/>
              <w:jc w:val="center"/>
              <w:outlineLvl w:val="9"/>
              <w:rPr>
                <w:rFonts w:hint="eastAsia" w:ascii="宋体" w:hAnsi="宋体" w:cs="宋体"/>
                <w:color w:val="auto"/>
                <w:sz w:val="24"/>
              </w:rPr>
            </w:pPr>
          </w:p>
        </w:tc>
        <w:tc>
          <w:tcPr>
            <w:tcW w:w="1202" w:type="dxa"/>
            <w:noWrap w:val="0"/>
            <w:vAlign w:val="top"/>
          </w:tcPr>
          <w:p w14:paraId="6858238B">
            <w:pPr>
              <w:spacing w:line="360" w:lineRule="auto"/>
              <w:jc w:val="center"/>
              <w:outlineLvl w:val="9"/>
              <w:rPr>
                <w:rFonts w:hint="eastAsia" w:ascii="宋体" w:hAnsi="宋体" w:cs="宋体"/>
                <w:color w:val="auto"/>
                <w:sz w:val="24"/>
              </w:rPr>
            </w:pPr>
          </w:p>
        </w:tc>
        <w:tc>
          <w:tcPr>
            <w:tcW w:w="1350" w:type="dxa"/>
            <w:noWrap w:val="0"/>
            <w:vAlign w:val="top"/>
          </w:tcPr>
          <w:p w14:paraId="2A8AFAE2">
            <w:pPr>
              <w:spacing w:line="360" w:lineRule="auto"/>
              <w:jc w:val="center"/>
              <w:outlineLvl w:val="9"/>
              <w:rPr>
                <w:rFonts w:hint="eastAsia" w:ascii="宋体" w:hAnsi="宋体" w:cs="宋体"/>
                <w:color w:val="auto"/>
                <w:sz w:val="24"/>
              </w:rPr>
            </w:pPr>
          </w:p>
        </w:tc>
      </w:tr>
      <w:tr w14:paraId="5972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71FAB13">
            <w:pPr>
              <w:spacing w:line="360" w:lineRule="auto"/>
              <w:jc w:val="center"/>
              <w:outlineLvl w:val="9"/>
              <w:rPr>
                <w:rFonts w:hint="eastAsia" w:ascii="宋体" w:hAnsi="宋体" w:cs="宋体"/>
                <w:color w:val="auto"/>
                <w:sz w:val="24"/>
              </w:rPr>
            </w:pPr>
          </w:p>
        </w:tc>
        <w:tc>
          <w:tcPr>
            <w:tcW w:w="2931" w:type="dxa"/>
            <w:noWrap w:val="0"/>
            <w:vAlign w:val="top"/>
          </w:tcPr>
          <w:p w14:paraId="776F59D5">
            <w:pPr>
              <w:spacing w:line="360" w:lineRule="auto"/>
              <w:jc w:val="center"/>
              <w:outlineLvl w:val="9"/>
              <w:rPr>
                <w:rFonts w:hint="eastAsia" w:ascii="宋体" w:hAnsi="宋体" w:cs="宋体"/>
                <w:color w:val="auto"/>
                <w:sz w:val="24"/>
              </w:rPr>
            </w:pPr>
          </w:p>
        </w:tc>
        <w:tc>
          <w:tcPr>
            <w:tcW w:w="3231" w:type="dxa"/>
            <w:noWrap w:val="0"/>
            <w:vAlign w:val="top"/>
          </w:tcPr>
          <w:p w14:paraId="78914189">
            <w:pPr>
              <w:spacing w:line="360" w:lineRule="auto"/>
              <w:jc w:val="center"/>
              <w:outlineLvl w:val="9"/>
              <w:rPr>
                <w:rFonts w:hint="eastAsia" w:ascii="宋体" w:hAnsi="宋体" w:cs="宋体"/>
                <w:color w:val="auto"/>
                <w:sz w:val="24"/>
              </w:rPr>
            </w:pPr>
          </w:p>
        </w:tc>
        <w:tc>
          <w:tcPr>
            <w:tcW w:w="1202" w:type="dxa"/>
            <w:noWrap w:val="0"/>
            <w:vAlign w:val="top"/>
          </w:tcPr>
          <w:p w14:paraId="7CEEC583">
            <w:pPr>
              <w:spacing w:line="360" w:lineRule="auto"/>
              <w:jc w:val="center"/>
              <w:outlineLvl w:val="9"/>
              <w:rPr>
                <w:rFonts w:hint="eastAsia" w:ascii="宋体" w:hAnsi="宋体" w:cs="宋体"/>
                <w:color w:val="auto"/>
                <w:sz w:val="24"/>
              </w:rPr>
            </w:pPr>
          </w:p>
        </w:tc>
        <w:tc>
          <w:tcPr>
            <w:tcW w:w="1350" w:type="dxa"/>
            <w:noWrap w:val="0"/>
            <w:vAlign w:val="top"/>
          </w:tcPr>
          <w:p w14:paraId="6F2CA9F2">
            <w:pPr>
              <w:spacing w:line="360" w:lineRule="auto"/>
              <w:jc w:val="center"/>
              <w:outlineLvl w:val="9"/>
              <w:rPr>
                <w:rFonts w:hint="eastAsia" w:ascii="宋体" w:hAnsi="宋体" w:cs="宋体"/>
                <w:color w:val="auto"/>
                <w:sz w:val="24"/>
              </w:rPr>
            </w:pPr>
          </w:p>
        </w:tc>
      </w:tr>
      <w:tr w14:paraId="7882B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F12392D">
            <w:pPr>
              <w:spacing w:line="360" w:lineRule="auto"/>
              <w:jc w:val="center"/>
              <w:outlineLvl w:val="9"/>
              <w:rPr>
                <w:rFonts w:hint="eastAsia" w:ascii="宋体" w:hAnsi="宋体" w:cs="宋体"/>
                <w:color w:val="auto"/>
                <w:sz w:val="24"/>
              </w:rPr>
            </w:pPr>
          </w:p>
        </w:tc>
        <w:tc>
          <w:tcPr>
            <w:tcW w:w="2931" w:type="dxa"/>
            <w:noWrap w:val="0"/>
            <w:vAlign w:val="top"/>
          </w:tcPr>
          <w:p w14:paraId="08D93F93">
            <w:pPr>
              <w:spacing w:line="360" w:lineRule="auto"/>
              <w:jc w:val="center"/>
              <w:outlineLvl w:val="9"/>
              <w:rPr>
                <w:rFonts w:hint="eastAsia" w:ascii="宋体" w:hAnsi="宋体" w:cs="宋体"/>
                <w:color w:val="auto"/>
                <w:sz w:val="24"/>
              </w:rPr>
            </w:pPr>
          </w:p>
        </w:tc>
        <w:tc>
          <w:tcPr>
            <w:tcW w:w="3231" w:type="dxa"/>
            <w:noWrap w:val="0"/>
            <w:vAlign w:val="top"/>
          </w:tcPr>
          <w:p w14:paraId="195EA574">
            <w:pPr>
              <w:spacing w:line="360" w:lineRule="auto"/>
              <w:jc w:val="center"/>
              <w:outlineLvl w:val="9"/>
              <w:rPr>
                <w:rFonts w:hint="eastAsia" w:ascii="宋体" w:hAnsi="宋体" w:cs="宋体"/>
                <w:color w:val="auto"/>
                <w:sz w:val="24"/>
              </w:rPr>
            </w:pPr>
          </w:p>
        </w:tc>
        <w:tc>
          <w:tcPr>
            <w:tcW w:w="1202" w:type="dxa"/>
            <w:noWrap w:val="0"/>
            <w:vAlign w:val="top"/>
          </w:tcPr>
          <w:p w14:paraId="084137AD">
            <w:pPr>
              <w:spacing w:line="360" w:lineRule="auto"/>
              <w:jc w:val="center"/>
              <w:outlineLvl w:val="9"/>
              <w:rPr>
                <w:rFonts w:hint="eastAsia" w:ascii="宋体" w:hAnsi="宋体" w:cs="宋体"/>
                <w:color w:val="auto"/>
                <w:sz w:val="24"/>
              </w:rPr>
            </w:pPr>
          </w:p>
        </w:tc>
        <w:tc>
          <w:tcPr>
            <w:tcW w:w="1350" w:type="dxa"/>
            <w:noWrap w:val="0"/>
            <w:vAlign w:val="top"/>
          </w:tcPr>
          <w:p w14:paraId="7A049F2F">
            <w:pPr>
              <w:spacing w:line="360" w:lineRule="auto"/>
              <w:jc w:val="center"/>
              <w:outlineLvl w:val="9"/>
              <w:rPr>
                <w:rFonts w:hint="eastAsia" w:ascii="宋体" w:hAnsi="宋体" w:cs="宋体"/>
                <w:color w:val="auto"/>
                <w:sz w:val="24"/>
              </w:rPr>
            </w:pPr>
          </w:p>
        </w:tc>
      </w:tr>
      <w:tr w14:paraId="5DA0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B2243C5">
            <w:pPr>
              <w:spacing w:line="360" w:lineRule="auto"/>
              <w:jc w:val="center"/>
              <w:outlineLvl w:val="9"/>
              <w:rPr>
                <w:rFonts w:hint="eastAsia" w:ascii="宋体" w:hAnsi="宋体" w:cs="宋体"/>
                <w:color w:val="auto"/>
                <w:sz w:val="24"/>
              </w:rPr>
            </w:pPr>
          </w:p>
        </w:tc>
        <w:tc>
          <w:tcPr>
            <w:tcW w:w="2931" w:type="dxa"/>
            <w:noWrap w:val="0"/>
            <w:vAlign w:val="top"/>
          </w:tcPr>
          <w:p w14:paraId="60867373">
            <w:pPr>
              <w:spacing w:line="360" w:lineRule="auto"/>
              <w:jc w:val="center"/>
              <w:outlineLvl w:val="9"/>
              <w:rPr>
                <w:rFonts w:hint="eastAsia" w:ascii="宋体" w:hAnsi="宋体" w:cs="宋体"/>
                <w:color w:val="auto"/>
                <w:sz w:val="24"/>
              </w:rPr>
            </w:pPr>
          </w:p>
        </w:tc>
        <w:tc>
          <w:tcPr>
            <w:tcW w:w="3231" w:type="dxa"/>
            <w:noWrap w:val="0"/>
            <w:vAlign w:val="top"/>
          </w:tcPr>
          <w:p w14:paraId="035F46D6">
            <w:pPr>
              <w:spacing w:line="360" w:lineRule="auto"/>
              <w:jc w:val="center"/>
              <w:outlineLvl w:val="9"/>
              <w:rPr>
                <w:rFonts w:hint="eastAsia" w:ascii="宋体" w:hAnsi="宋体" w:cs="宋体"/>
                <w:color w:val="auto"/>
                <w:sz w:val="24"/>
              </w:rPr>
            </w:pPr>
          </w:p>
        </w:tc>
        <w:tc>
          <w:tcPr>
            <w:tcW w:w="1202" w:type="dxa"/>
            <w:noWrap w:val="0"/>
            <w:vAlign w:val="top"/>
          </w:tcPr>
          <w:p w14:paraId="701CA399">
            <w:pPr>
              <w:spacing w:line="360" w:lineRule="auto"/>
              <w:jc w:val="center"/>
              <w:outlineLvl w:val="9"/>
              <w:rPr>
                <w:rFonts w:hint="eastAsia" w:ascii="宋体" w:hAnsi="宋体" w:cs="宋体"/>
                <w:color w:val="auto"/>
                <w:sz w:val="24"/>
              </w:rPr>
            </w:pPr>
          </w:p>
        </w:tc>
        <w:tc>
          <w:tcPr>
            <w:tcW w:w="1350" w:type="dxa"/>
            <w:noWrap w:val="0"/>
            <w:vAlign w:val="top"/>
          </w:tcPr>
          <w:p w14:paraId="4B83705D">
            <w:pPr>
              <w:spacing w:line="360" w:lineRule="auto"/>
              <w:jc w:val="center"/>
              <w:outlineLvl w:val="9"/>
              <w:rPr>
                <w:rFonts w:hint="eastAsia" w:ascii="宋体" w:hAnsi="宋体" w:cs="宋体"/>
                <w:color w:val="auto"/>
                <w:sz w:val="24"/>
              </w:rPr>
            </w:pPr>
          </w:p>
        </w:tc>
      </w:tr>
      <w:tr w14:paraId="5D903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FC269E7">
            <w:pPr>
              <w:spacing w:line="360" w:lineRule="auto"/>
              <w:jc w:val="center"/>
              <w:outlineLvl w:val="9"/>
              <w:rPr>
                <w:rFonts w:hint="eastAsia" w:ascii="宋体" w:hAnsi="宋体" w:cs="宋体"/>
                <w:color w:val="auto"/>
                <w:sz w:val="24"/>
              </w:rPr>
            </w:pPr>
          </w:p>
        </w:tc>
        <w:tc>
          <w:tcPr>
            <w:tcW w:w="2931" w:type="dxa"/>
            <w:noWrap w:val="0"/>
            <w:vAlign w:val="top"/>
          </w:tcPr>
          <w:p w14:paraId="5005151F">
            <w:pPr>
              <w:spacing w:line="360" w:lineRule="auto"/>
              <w:jc w:val="center"/>
              <w:outlineLvl w:val="9"/>
              <w:rPr>
                <w:rFonts w:hint="eastAsia" w:ascii="宋体" w:hAnsi="宋体" w:cs="宋体"/>
                <w:color w:val="auto"/>
                <w:sz w:val="24"/>
              </w:rPr>
            </w:pPr>
          </w:p>
        </w:tc>
        <w:tc>
          <w:tcPr>
            <w:tcW w:w="3231" w:type="dxa"/>
            <w:noWrap w:val="0"/>
            <w:vAlign w:val="top"/>
          </w:tcPr>
          <w:p w14:paraId="66628518">
            <w:pPr>
              <w:spacing w:line="360" w:lineRule="auto"/>
              <w:jc w:val="center"/>
              <w:outlineLvl w:val="9"/>
              <w:rPr>
                <w:rFonts w:hint="eastAsia" w:ascii="宋体" w:hAnsi="宋体" w:cs="宋体"/>
                <w:color w:val="auto"/>
                <w:sz w:val="24"/>
              </w:rPr>
            </w:pPr>
          </w:p>
        </w:tc>
        <w:tc>
          <w:tcPr>
            <w:tcW w:w="1202" w:type="dxa"/>
            <w:noWrap w:val="0"/>
            <w:vAlign w:val="top"/>
          </w:tcPr>
          <w:p w14:paraId="15CB10C3">
            <w:pPr>
              <w:spacing w:line="360" w:lineRule="auto"/>
              <w:jc w:val="center"/>
              <w:outlineLvl w:val="9"/>
              <w:rPr>
                <w:rFonts w:hint="eastAsia" w:ascii="宋体" w:hAnsi="宋体" w:cs="宋体"/>
                <w:color w:val="auto"/>
                <w:sz w:val="24"/>
              </w:rPr>
            </w:pPr>
          </w:p>
        </w:tc>
        <w:tc>
          <w:tcPr>
            <w:tcW w:w="1350" w:type="dxa"/>
            <w:noWrap w:val="0"/>
            <w:vAlign w:val="top"/>
          </w:tcPr>
          <w:p w14:paraId="280B41D7">
            <w:pPr>
              <w:spacing w:line="360" w:lineRule="auto"/>
              <w:jc w:val="center"/>
              <w:outlineLvl w:val="9"/>
              <w:rPr>
                <w:rFonts w:hint="eastAsia" w:ascii="宋体" w:hAnsi="宋体" w:cs="宋体"/>
                <w:color w:val="auto"/>
                <w:sz w:val="24"/>
              </w:rPr>
            </w:pPr>
          </w:p>
        </w:tc>
      </w:tr>
      <w:tr w14:paraId="1D2AF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8CA8E94">
            <w:pPr>
              <w:spacing w:line="360" w:lineRule="auto"/>
              <w:jc w:val="center"/>
              <w:outlineLvl w:val="9"/>
              <w:rPr>
                <w:rFonts w:hint="eastAsia" w:ascii="宋体" w:hAnsi="宋体" w:cs="宋体"/>
                <w:color w:val="auto"/>
                <w:sz w:val="24"/>
              </w:rPr>
            </w:pPr>
          </w:p>
        </w:tc>
        <w:tc>
          <w:tcPr>
            <w:tcW w:w="2931" w:type="dxa"/>
            <w:noWrap w:val="0"/>
            <w:vAlign w:val="top"/>
          </w:tcPr>
          <w:p w14:paraId="2912D8D1">
            <w:pPr>
              <w:spacing w:line="360" w:lineRule="auto"/>
              <w:jc w:val="center"/>
              <w:outlineLvl w:val="9"/>
              <w:rPr>
                <w:rFonts w:hint="eastAsia" w:ascii="宋体" w:hAnsi="宋体" w:cs="宋体"/>
                <w:color w:val="auto"/>
                <w:sz w:val="24"/>
              </w:rPr>
            </w:pPr>
          </w:p>
        </w:tc>
        <w:tc>
          <w:tcPr>
            <w:tcW w:w="3231" w:type="dxa"/>
            <w:noWrap w:val="0"/>
            <w:vAlign w:val="top"/>
          </w:tcPr>
          <w:p w14:paraId="2C57C932">
            <w:pPr>
              <w:spacing w:line="360" w:lineRule="auto"/>
              <w:jc w:val="center"/>
              <w:outlineLvl w:val="9"/>
              <w:rPr>
                <w:rFonts w:hint="eastAsia" w:ascii="宋体" w:hAnsi="宋体" w:cs="宋体"/>
                <w:color w:val="auto"/>
                <w:sz w:val="24"/>
              </w:rPr>
            </w:pPr>
          </w:p>
        </w:tc>
        <w:tc>
          <w:tcPr>
            <w:tcW w:w="1202" w:type="dxa"/>
            <w:noWrap w:val="0"/>
            <w:vAlign w:val="top"/>
          </w:tcPr>
          <w:p w14:paraId="36307D09">
            <w:pPr>
              <w:spacing w:line="360" w:lineRule="auto"/>
              <w:jc w:val="center"/>
              <w:outlineLvl w:val="9"/>
              <w:rPr>
                <w:rFonts w:hint="eastAsia" w:ascii="宋体" w:hAnsi="宋体" w:cs="宋体"/>
                <w:color w:val="auto"/>
                <w:sz w:val="24"/>
              </w:rPr>
            </w:pPr>
          </w:p>
        </w:tc>
        <w:tc>
          <w:tcPr>
            <w:tcW w:w="1350" w:type="dxa"/>
            <w:noWrap w:val="0"/>
            <w:vAlign w:val="top"/>
          </w:tcPr>
          <w:p w14:paraId="46AB5957">
            <w:pPr>
              <w:spacing w:line="360" w:lineRule="auto"/>
              <w:jc w:val="center"/>
              <w:outlineLvl w:val="9"/>
              <w:rPr>
                <w:rFonts w:hint="eastAsia" w:ascii="宋体" w:hAnsi="宋体" w:cs="宋体"/>
                <w:color w:val="auto"/>
                <w:sz w:val="24"/>
              </w:rPr>
            </w:pPr>
          </w:p>
        </w:tc>
      </w:tr>
      <w:tr w14:paraId="1899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C35EA6E">
            <w:pPr>
              <w:spacing w:line="360" w:lineRule="auto"/>
              <w:jc w:val="center"/>
              <w:outlineLvl w:val="9"/>
              <w:rPr>
                <w:rFonts w:hint="eastAsia" w:ascii="宋体" w:hAnsi="宋体" w:cs="宋体"/>
                <w:color w:val="auto"/>
                <w:sz w:val="24"/>
              </w:rPr>
            </w:pPr>
          </w:p>
        </w:tc>
        <w:tc>
          <w:tcPr>
            <w:tcW w:w="2931" w:type="dxa"/>
            <w:noWrap w:val="0"/>
            <w:vAlign w:val="top"/>
          </w:tcPr>
          <w:p w14:paraId="57278653">
            <w:pPr>
              <w:spacing w:line="360" w:lineRule="auto"/>
              <w:jc w:val="center"/>
              <w:outlineLvl w:val="9"/>
              <w:rPr>
                <w:rFonts w:hint="eastAsia" w:ascii="宋体" w:hAnsi="宋体" w:cs="宋体"/>
                <w:color w:val="auto"/>
                <w:sz w:val="24"/>
              </w:rPr>
            </w:pPr>
          </w:p>
        </w:tc>
        <w:tc>
          <w:tcPr>
            <w:tcW w:w="3231" w:type="dxa"/>
            <w:noWrap w:val="0"/>
            <w:vAlign w:val="top"/>
          </w:tcPr>
          <w:p w14:paraId="04155465">
            <w:pPr>
              <w:spacing w:line="360" w:lineRule="auto"/>
              <w:jc w:val="center"/>
              <w:outlineLvl w:val="9"/>
              <w:rPr>
                <w:rFonts w:hint="eastAsia" w:ascii="宋体" w:hAnsi="宋体" w:cs="宋体"/>
                <w:color w:val="auto"/>
                <w:sz w:val="24"/>
              </w:rPr>
            </w:pPr>
          </w:p>
        </w:tc>
        <w:tc>
          <w:tcPr>
            <w:tcW w:w="1202" w:type="dxa"/>
            <w:noWrap w:val="0"/>
            <w:vAlign w:val="top"/>
          </w:tcPr>
          <w:p w14:paraId="593E13E9">
            <w:pPr>
              <w:spacing w:line="360" w:lineRule="auto"/>
              <w:jc w:val="center"/>
              <w:outlineLvl w:val="9"/>
              <w:rPr>
                <w:rFonts w:hint="eastAsia" w:ascii="宋体" w:hAnsi="宋体" w:cs="宋体"/>
                <w:color w:val="auto"/>
                <w:sz w:val="24"/>
              </w:rPr>
            </w:pPr>
          </w:p>
        </w:tc>
        <w:tc>
          <w:tcPr>
            <w:tcW w:w="1350" w:type="dxa"/>
            <w:noWrap w:val="0"/>
            <w:vAlign w:val="top"/>
          </w:tcPr>
          <w:p w14:paraId="0AA06AFA">
            <w:pPr>
              <w:spacing w:line="360" w:lineRule="auto"/>
              <w:jc w:val="center"/>
              <w:outlineLvl w:val="9"/>
              <w:rPr>
                <w:rFonts w:hint="eastAsia" w:ascii="宋体" w:hAnsi="宋体" w:cs="宋体"/>
                <w:color w:val="auto"/>
                <w:sz w:val="24"/>
              </w:rPr>
            </w:pPr>
          </w:p>
        </w:tc>
      </w:tr>
      <w:tr w14:paraId="591C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FC96E5A">
            <w:pPr>
              <w:spacing w:line="360" w:lineRule="auto"/>
              <w:jc w:val="center"/>
              <w:outlineLvl w:val="9"/>
              <w:rPr>
                <w:rFonts w:hint="eastAsia" w:ascii="宋体" w:hAnsi="宋体" w:cs="宋体"/>
                <w:color w:val="auto"/>
                <w:sz w:val="24"/>
              </w:rPr>
            </w:pPr>
          </w:p>
        </w:tc>
        <w:tc>
          <w:tcPr>
            <w:tcW w:w="2931" w:type="dxa"/>
            <w:noWrap w:val="0"/>
            <w:vAlign w:val="top"/>
          </w:tcPr>
          <w:p w14:paraId="594E8BBD">
            <w:pPr>
              <w:spacing w:line="360" w:lineRule="auto"/>
              <w:jc w:val="center"/>
              <w:outlineLvl w:val="9"/>
              <w:rPr>
                <w:rFonts w:hint="eastAsia" w:ascii="宋体" w:hAnsi="宋体" w:cs="宋体"/>
                <w:color w:val="auto"/>
                <w:sz w:val="24"/>
              </w:rPr>
            </w:pPr>
          </w:p>
        </w:tc>
        <w:tc>
          <w:tcPr>
            <w:tcW w:w="3231" w:type="dxa"/>
            <w:noWrap w:val="0"/>
            <w:vAlign w:val="top"/>
          </w:tcPr>
          <w:p w14:paraId="564119E0">
            <w:pPr>
              <w:spacing w:line="360" w:lineRule="auto"/>
              <w:jc w:val="center"/>
              <w:outlineLvl w:val="9"/>
              <w:rPr>
                <w:rFonts w:hint="eastAsia" w:ascii="宋体" w:hAnsi="宋体" w:cs="宋体"/>
                <w:color w:val="auto"/>
                <w:sz w:val="24"/>
              </w:rPr>
            </w:pPr>
          </w:p>
        </w:tc>
        <w:tc>
          <w:tcPr>
            <w:tcW w:w="1202" w:type="dxa"/>
            <w:noWrap w:val="0"/>
            <w:vAlign w:val="top"/>
          </w:tcPr>
          <w:p w14:paraId="27B1141B">
            <w:pPr>
              <w:spacing w:line="360" w:lineRule="auto"/>
              <w:jc w:val="center"/>
              <w:outlineLvl w:val="9"/>
              <w:rPr>
                <w:rFonts w:hint="eastAsia" w:ascii="宋体" w:hAnsi="宋体" w:cs="宋体"/>
                <w:color w:val="auto"/>
                <w:sz w:val="24"/>
              </w:rPr>
            </w:pPr>
          </w:p>
        </w:tc>
        <w:tc>
          <w:tcPr>
            <w:tcW w:w="1350" w:type="dxa"/>
            <w:noWrap w:val="0"/>
            <w:vAlign w:val="top"/>
          </w:tcPr>
          <w:p w14:paraId="08DA95CC">
            <w:pPr>
              <w:spacing w:line="360" w:lineRule="auto"/>
              <w:jc w:val="center"/>
              <w:outlineLvl w:val="9"/>
              <w:rPr>
                <w:rFonts w:hint="eastAsia" w:ascii="宋体" w:hAnsi="宋体" w:cs="宋体"/>
                <w:color w:val="auto"/>
                <w:sz w:val="24"/>
              </w:rPr>
            </w:pPr>
          </w:p>
        </w:tc>
      </w:tr>
      <w:tr w14:paraId="5BBB9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A66CB5">
            <w:pPr>
              <w:spacing w:line="360" w:lineRule="auto"/>
              <w:jc w:val="center"/>
              <w:outlineLvl w:val="9"/>
              <w:rPr>
                <w:rFonts w:hint="eastAsia" w:ascii="宋体" w:hAnsi="宋体" w:cs="宋体"/>
                <w:color w:val="auto"/>
                <w:sz w:val="24"/>
              </w:rPr>
            </w:pPr>
          </w:p>
        </w:tc>
        <w:tc>
          <w:tcPr>
            <w:tcW w:w="2931" w:type="dxa"/>
            <w:noWrap w:val="0"/>
            <w:vAlign w:val="top"/>
          </w:tcPr>
          <w:p w14:paraId="21826052">
            <w:pPr>
              <w:spacing w:line="360" w:lineRule="auto"/>
              <w:jc w:val="center"/>
              <w:outlineLvl w:val="9"/>
              <w:rPr>
                <w:rFonts w:hint="eastAsia" w:ascii="宋体" w:hAnsi="宋体" w:cs="宋体"/>
                <w:color w:val="auto"/>
                <w:sz w:val="24"/>
              </w:rPr>
            </w:pPr>
          </w:p>
        </w:tc>
        <w:tc>
          <w:tcPr>
            <w:tcW w:w="3231" w:type="dxa"/>
            <w:noWrap w:val="0"/>
            <w:vAlign w:val="top"/>
          </w:tcPr>
          <w:p w14:paraId="1F28A087">
            <w:pPr>
              <w:spacing w:line="360" w:lineRule="auto"/>
              <w:jc w:val="center"/>
              <w:outlineLvl w:val="9"/>
              <w:rPr>
                <w:rFonts w:hint="eastAsia" w:ascii="宋体" w:hAnsi="宋体" w:cs="宋体"/>
                <w:color w:val="auto"/>
                <w:sz w:val="24"/>
              </w:rPr>
            </w:pPr>
          </w:p>
        </w:tc>
        <w:tc>
          <w:tcPr>
            <w:tcW w:w="1202" w:type="dxa"/>
            <w:noWrap w:val="0"/>
            <w:vAlign w:val="top"/>
          </w:tcPr>
          <w:p w14:paraId="1427B992">
            <w:pPr>
              <w:spacing w:line="360" w:lineRule="auto"/>
              <w:jc w:val="center"/>
              <w:outlineLvl w:val="9"/>
              <w:rPr>
                <w:rFonts w:hint="eastAsia" w:ascii="宋体" w:hAnsi="宋体" w:cs="宋体"/>
                <w:color w:val="auto"/>
                <w:sz w:val="24"/>
              </w:rPr>
            </w:pPr>
          </w:p>
        </w:tc>
        <w:tc>
          <w:tcPr>
            <w:tcW w:w="1350" w:type="dxa"/>
            <w:noWrap w:val="0"/>
            <w:vAlign w:val="top"/>
          </w:tcPr>
          <w:p w14:paraId="626B65C2">
            <w:pPr>
              <w:spacing w:line="360" w:lineRule="auto"/>
              <w:jc w:val="center"/>
              <w:outlineLvl w:val="9"/>
              <w:rPr>
                <w:rFonts w:hint="eastAsia" w:ascii="宋体" w:hAnsi="宋体" w:cs="宋体"/>
                <w:color w:val="auto"/>
                <w:sz w:val="24"/>
              </w:rPr>
            </w:pPr>
          </w:p>
        </w:tc>
      </w:tr>
      <w:tr w14:paraId="4837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C343A72">
            <w:pPr>
              <w:spacing w:line="360" w:lineRule="auto"/>
              <w:jc w:val="center"/>
              <w:outlineLvl w:val="9"/>
              <w:rPr>
                <w:rFonts w:hint="eastAsia" w:ascii="宋体" w:hAnsi="宋体" w:cs="宋体"/>
                <w:color w:val="auto"/>
                <w:sz w:val="24"/>
              </w:rPr>
            </w:pPr>
          </w:p>
        </w:tc>
        <w:tc>
          <w:tcPr>
            <w:tcW w:w="2931" w:type="dxa"/>
            <w:noWrap w:val="0"/>
            <w:vAlign w:val="top"/>
          </w:tcPr>
          <w:p w14:paraId="597EE7C2">
            <w:pPr>
              <w:spacing w:line="360" w:lineRule="auto"/>
              <w:jc w:val="center"/>
              <w:outlineLvl w:val="9"/>
              <w:rPr>
                <w:rFonts w:hint="eastAsia" w:ascii="宋体" w:hAnsi="宋体" w:cs="宋体"/>
                <w:color w:val="auto"/>
                <w:sz w:val="24"/>
              </w:rPr>
            </w:pPr>
          </w:p>
        </w:tc>
        <w:tc>
          <w:tcPr>
            <w:tcW w:w="3231" w:type="dxa"/>
            <w:noWrap w:val="0"/>
            <w:vAlign w:val="top"/>
          </w:tcPr>
          <w:p w14:paraId="3E324F78">
            <w:pPr>
              <w:spacing w:line="360" w:lineRule="auto"/>
              <w:jc w:val="center"/>
              <w:outlineLvl w:val="9"/>
              <w:rPr>
                <w:rFonts w:hint="eastAsia" w:ascii="宋体" w:hAnsi="宋体" w:cs="宋体"/>
                <w:color w:val="auto"/>
                <w:sz w:val="24"/>
              </w:rPr>
            </w:pPr>
          </w:p>
        </w:tc>
        <w:tc>
          <w:tcPr>
            <w:tcW w:w="1202" w:type="dxa"/>
            <w:noWrap w:val="0"/>
            <w:vAlign w:val="top"/>
          </w:tcPr>
          <w:p w14:paraId="03843E83">
            <w:pPr>
              <w:spacing w:line="360" w:lineRule="auto"/>
              <w:jc w:val="center"/>
              <w:outlineLvl w:val="9"/>
              <w:rPr>
                <w:rFonts w:hint="eastAsia" w:ascii="宋体" w:hAnsi="宋体" w:cs="宋体"/>
                <w:color w:val="auto"/>
                <w:sz w:val="24"/>
              </w:rPr>
            </w:pPr>
          </w:p>
        </w:tc>
        <w:tc>
          <w:tcPr>
            <w:tcW w:w="1350" w:type="dxa"/>
            <w:noWrap w:val="0"/>
            <w:vAlign w:val="top"/>
          </w:tcPr>
          <w:p w14:paraId="223CCD3C">
            <w:pPr>
              <w:spacing w:line="360" w:lineRule="auto"/>
              <w:jc w:val="center"/>
              <w:outlineLvl w:val="9"/>
              <w:rPr>
                <w:rFonts w:hint="eastAsia" w:ascii="宋体" w:hAnsi="宋体" w:cs="宋体"/>
                <w:color w:val="auto"/>
                <w:sz w:val="24"/>
              </w:rPr>
            </w:pPr>
          </w:p>
        </w:tc>
      </w:tr>
    </w:tbl>
    <w:p w14:paraId="5DCEBC53">
      <w:pPr>
        <w:spacing w:line="360" w:lineRule="auto"/>
        <w:ind w:right="-161"/>
        <w:outlineLvl w:val="9"/>
        <w:rPr>
          <w:rFonts w:hint="eastAsia" w:ascii="宋体" w:hAnsi="宋体" w:cs="宋体"/>
          <w:color w:val="auto"/>
          <w:sz w:val="24"/>
        </w:rPr>
      </w:pPr>
      <w:r>
        <w:rPr>
          <w:rFonts w:hint="eastAsia" w:ascii="宋体" w:hAnsi="宋体" w:cs="宋体"/>
          <w:color w:val="auto"/>
          <w:sz w:val="24"/>
        </w:rPr>
        <w:t>说明：</w:t>
      </w:r>
    </w:p>
    <w:p w14:paraId="067B714A">
      <w:pPr>
        <w:spacing w:line="360" w:lineRule="auto"/>
        <w:ind w:right="-161" w:firstLine="480" w:firstLineChars="200"/>
        <w:outlineLvl w:val="9"/>
        <w:rPr>
          <w:rFonts w:ascii="宋体" w:hAnsi="宋体" w:cs="宋体"/>
          <w:color w:val="auto"/>
          <w:sz w:val="24"/>
        </w:rPr>
      </w:pPr>
      <w:r>
        <w:rPr>
          <w:rFonts w:hint="eastAsia" w:ascii="宋体" w:hAnsi="宋体" w:cs="宋体"/>
          <w:color w:val="auto"/>
          <w:sz w:val="24"/>
        </w:rPr>
        <w:t>1、竞争性磋商响应文件根据磋商文件的商务要求</w:t>
      </w:r>
      <w:r>
        <w:rPr>
          <w:rFonts w:hint="eastAsia" w:ascii="宋体" w:hAnsi="宋体" w:cs="宋体"/>
          <w:color w:val="auto"/>
          <w:sz w:val="24"/>
          <w:szCs w:val="22"/>
        </w:rPr>
        <w:t>如</w:t>
      </w:r>
      <w:r>
        <w:rPr>
          <w:rFonts w:hint="eastAsia" w:ascii="宋体" w:hAnsi="宋体" w:cs="宋体"/>
          <w:color w:val="auto"/>
          <w:sz w:val="24"/>
        </w:rPr>
        <w:t>实填写。</w:t>
      </w:r>
    </w:p>
    <w:p w14:paraId="37C24D79">
      <w:pPr>
        <w:spacing w:line="360" w:lineRule="auto"/>
        <w:ind w:right="-161" w:firstLine="480" w:firstLineChars="200"/>
        <w:outlineLvl w:val="9"/>
        <w:rPr>
          <w:rFonts w:ascii="宋体" w:hAnsi="宋体" w:cs="宋体"/>
          <w:color w:val="auto"/>
          <w:sz w:val="24"/>
        </w:rPr>
      </w:pPr>
      <w:r>
        <w:rPr>
          <w:rFonts w:hint="eastAsia" w:ascii="宋体" w:hAnsi="宋体" w:cs="宋体"/>
          <w:color w:val="auto"/>
          <w:sz w:val="24"/>
        </w:rPr>
        <w:t>2、偏离情况填写：正偏离、无偏离、负偏离。</w:t>
      </w:r>
    </w:p>
    <w:p w14:paraId="0D532C13">
      <w:pPr>
        <w:spacing w:line="360" w:lineRule="auto"/>
        <w:ind w:firstLine="480" w:firstLineChars="200"/>
        <w:outlineLvl w:val="9"/>
        <w:rPr>
          <w:rFonts w:ascii="宋体" w:hAnsi="宋体" w:cs="宋体"/>
          <w:color w:val="auto"/>
          <w:sz w:val="24"/>
        </w:rPr>
      </w:pPr>
      <w:r>
        <w:rPr>
          <w:rFonts w:hint="eastAsia" w:ascii="宋体" w:hAnsi="宋体" w:cs="宋体"/>
          <w:color w:val="auto"/>
          <w:sz w:val="24"/>
        </w:rPr>
        <w:t>3、响应说明填写：优于、相同、低于并对偏离情况做出详细的说明。</w:t>
      </w:r>
    </w:p>
    <w:p w14:paraId="4A656A1B">
      <w:pPr>
        <w:spacing w:line="360" w:lineRule="auto"/>
        <w:ind w:right="-161" w:firstLine="2640" w:firstLineChars="1100"/>
        <w:outlineLvl w:val="9"/>
        <w:rPr>
          <w:rFonts w:hint="eastAsia" w:ascii="宋体" w:hAnsi="宋体" w:cs="宋体"/>
          <w:color w:val="auto"/>
          <w:sz w:val="24"/>
          <w:szCs w:val="24"/>
        </w:rPr>
      </w:pPr>
    </w:p>
    <w:p w14:paraId="2B5786F4">
      <w:pPr>
        <w:spacing w:line="360" w:lineRule="auto"/>
        <w:ind w:right="-161"/>
        <w:jc w:val="right"/>
        <w:outlineLvl w:val="9"/>
        <w:rPr>
          <w:rFonts w:hint="eastAsia" w:ascii="宋体" w:hAnsi="宋体" w:cs="宋体"/>
          <w:color w:val="auto"/>
          <w:sz w:val="24"/>
          <w:szCs w:val="24"/>
          <w:u w:val="single"/>
        </w:rPr>
      </w:pPr>
      <w:r>
        <w:rPr>
          <w:rFonts w:hint="eastAsia" w:ascii="宋体" w:hAnsi="宋体" w:cs="宋体"/>
          <w:color w:val="auto"/>
          <w:sz w:val="24"/>
          <w:szCs w:val="24"/>
        </w:rPr>
        <w:t xml:space="preserve">   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（盖章或签字）</w:t>
      </w:r>
    </w:p>
    <w:p w14:paraId="27525B7A">
      <w:pPr>
        <w:widowControl/>
        <w:spacing w:line="360" w:lineRule="auto"/>
        <w:jc w:val="center"/>
        <w:outlineLvl w:val="9"/>
        <w:rPr>
          <w:rFonts w:hint="eastAsia" w:ascii="宋体" w:hAnsi="宋体" w:cs="宋体"/>
          <w:color w:val="auto"/>
          <w:sz w:val="24"/>
          <w:szCs w:val="24"/>
          <w:u w:val="single"/>
        </w:rPr>
      </w:pP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753D36B6">
      <w:pPr>
        <w:spacing w:line="360" w:lineRule="auto"/>
        <w:ind w:firstLine="2160" w:firstLineChars="900"/>
        <w:outlineLvl w:val="9"/>
        <w:rPr>
          <w:rFonts w:hint="eastAsia" w:ascii="宋体" w:hAnsi="宋体" w:cs="宋体"/>
          <w:b/>
          <w:color w:val="auto"/>
          <w:sz w:val="32"/>
          <w:szCs w:val="22"/>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0B0825FE">
      <w:pPr>
        <w:spacing w:line="360" w:lineRule="auto"/>
        <w:jc w:val="center"/>
        <w:outlineLvl w:val="9"/>
        <w:rPr>
          <w:rFonts w:hint="eastAsia" w:ascii="宋体" w:hAnsi="宋体" w:eastAsia="宋体" w:cs="宋体"/>
          <w:b/>
          <w:color w:val="auto"/>
          <w:sz w:val="32"/>
          <w:szCs w:val="32"/>
          <w:lang w:eastAsia="zh-CN"/>
        </w:rPr>
        <w:sectPr>
          <w:pgSz w:w="11905" w:h="16838"/>
          <w:pgMar w:top="1219" w:right="1803" w:bottom="1219" w:left="1803" w:header="850" w:footer="850" w:gutter="0"/>
          <w:pgNumType w:fmt="decimal"/>
          <w:cols w:space="0" w:num="1"/>
          <w:rtlGutter w:val="0"/>
          <w:docGrid w:type="lines" w:linePitch="313" w:charSpace="0"/>
        </w:sectPr>
      </w:pPr>
      <w:bookmarkStart w:id="367" w:name="_Toc29582"/>
      <w:bookmarkStart w:id="368" w:name="_Toc18580"/>
      <w:bookmarkStart w:id="369" w:name="_Toc6574"/>
      <w:bookmarkStart w:id="370" w:name="_Toc20312"/>
      <w:bookmarkStart w:id="371" w:name="_Toc16651"/>
      <w:bookmarkStart w:id="372" w:name="_Toc25773"/>
      <w:bookmarkStart w:id="373" w:name="_Toc10877"/>
      <w:bookmarkStart w:id="374" w:name="_Toc1722"/>
      <w:bookmarkStart w:id="375" w:name="_Toc16973"/>
      <w:bookmarkStart w:id="376" w:name="_Toc14309"/>
    </w:p>
    <w:p w14:paraId="7EFB6022">
      <w:pPr>
        <w:spacing w:line="360" w:lineRule="auto"/>
        <w:jc w:val="center"/>
        <w:outlineLvl w:val="1"/>
        <w:rPr>
          <w:rFonts w:hint="eastAsia"/>
          <w:b/>
          <w:bCs/>
          <w:color w:val="auto"/>
          <w:sz w:val="36"/>
          <w:szCs w:val="16"/>
        </w:rPr>
      </w:pPr>
      <w:bookmarkStart w:id="377" w:name="_Toc9517"/>
      <w:bookmarkStart w:id="378" w:name="_Toc5683"/>
      <w:bookmarkStart w:id="379" w:name="_Toc5129"/>
      <w:bookmarkStart w:id="380" w:name="_Toc22784"/>
      <w:bookmarkStart w:id="381" w:name="_Toc21191"/>
      <w:bookmarkStart w:id="382" w:name="_Toc28299"/>
      <w:bookmarkStart w:id="383" w:name="_Toc9935"/>
      <w:bookmarkStart w:id="384" w:name="_Toc5757"/>
      <w:r>
        <w:rPr>
          <w:rFonts w:hint="eastAsia"/>
          <w:b/>
          <w:bCs/>
          <w:color w:val="auto"/>
          <w:sz w:val="36"/>
          <w:szCs w:val="16"/>
          <w:lang w:val="en-US" w:eastAsia="zh-CN"/>
        </w:rPr>
        <w:t>八</w:t>
      </w:r>
      <w:r>
        <w:rPr>
          <w:rFonts w:hint="eastAsia"/>
          <w:b/>
          <w:bCs/>
          <w:color w:val="auto"/>
          <w:sz w:val="36"/>
          <w:szCs w:val="16"/>
        </w:rPr>
        <w:t>、法定代表人证明书及法定代表人授权书</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19A59895">
      <w:pPr>
        <w:pStyle w:val="9"/>
        <w:spacing w:line="360" w:lineRule="auto"/>
        <w:ind w:left="372" w:leftChars="177"/>
        <w:jc w:val="center"/>
        <w:outlineLvl w:val="9"/>
        <w:rPr>
          <w:rFonts w:hint="eastAsia" w:ascii="宋体" w:hAnsi="宋体" w:cs="宋体"/>
          <w:b/>
          <w:bCs/>
          <w:color w:val="auto"/>
          <w:kern w:val="0"/>
          <w:sz w:val="36"/>
          <w:szCs w:val="36"/>
        </w:rPr>
      </w:pPr>
      <w:r>
        <w:rPr>
          <w:rFonts w:hint="eastAsia"/>
          <w:b/>
          <w:bCs/>
          <w:color w:val="auto"/>
          <w:sz w:val="36"/>
          <w:szCs w:val="36"/>
        </w:rPr>
        <w:t>（一）</w:t>
      </w:r>
      <w:r>
        <w:rPr>
          <w:rFonts w:hint="eastAsia" w:ascii="宋体" w:hAnsi="宋体" w:cs="宋体"/>
          <w:b/>
          <w:bCs/>
          <w:color w:val="auto"/>
          <w:sz w:val="36"/>
          <w:szCs w:val="36"/>
        </w:rPr>
        <w:t>法定代表人证明书</w:t>
      </w:r>
    </w:p>
    <w:tbl>
      <w:tblPr>
        <w:tblStyle w:val="20"/>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2698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261F7B78">
            <w:pPr>
              <w:tabs>
                <w:tab w:val="left" w:pos="210"/>
              </w:tabs>
              <w:spacing w:line="320" w:lineRule="exact"/>
              <w:outlineLvl w:val="9"/>
              <w:rPr>
                <w:rFonts w:hint="eastAsia" w:ascii="宋体" w:hAnsi="宋体" w:eastAsia="宋体" w:cs="宋体"/>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lang w:eastAsia="zh-CN"/>
              </w:rPr>
              <w:t>陕西华旭晟信项目管理有限责任公司</w:t>
            </w:r>
          </w:p>
        </w:tc>
      </w:tr>
      <w:tr w14:paraId="32F0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534C5318">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企</w:t>
            </w:r>
          </w:p>
          <w:p w14:paraId="41C3BD66">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业</w:t>
            </w:r>
          </w:p>
          <w:p w14:paraId="0AC4F18B">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w:t>
            </w:r>
          </w:p>
          <w:p w14:paraId="3C1CA25B">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人</w:t>
            </w:r>
          </w:p>
        </w:tc>
        <w:tc>
          <w:tcPr>
            <w:tcW w:w="2067" w:type="dxa"/>
            <w:noWrap w:val="0"/>
            <w:vAlign w:val="center"/>
          </w:tcPr>
          <w:p w14:paraId="59139604">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企业名称</w:t>
            </w:r>
          </w:p>
        </w:tc>
        <w:tc>
          <w:tcPr>
            <w:tcW w:w="7225" w:type="dxa"/>
            <w:gridSpan w:val="3"/>
            <w:noWrap w:val="0"/>
            <w:vAlign w:val="center"/>
          </w:tcPr>
          <w:p w14:paraId="6B0EA4BA">
            <w:pPr>
              <w:tabs>
                <w:tab w:val="left" w:pos="210"/>
              </w:tabs>
              <w:spacing w:line="320" w:lineRule="exact"/>
              <w:jc w:val="center"/>
              <w:outlineLvl w:val="9"/>
              <w:rPr>
                <w:rFonts w:hint="eastAsia" w:ascii="宋体" w:hAnsi="宋体" w:cs="宋体"/>
                <w:color w:val="auto"/>
                <w:kern w:val="0"/>
                <w:sz w:val="24"/>
              </w:rPr>
            </w:pPr>
          </w:p>
        </w:tc>
      </w:tr>
      <w:tr w14:paraId="6CC0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25765C06">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710642C7">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法定地址</w:t>
            </w:r>
          </w:p>
        </w:tc>
        <w:tc>
          <w:tcPr>
            <w:tcW w:w="7225" w:type="dxa"/>
            <w:gridSpan w:val="3"/>
            <w:noWrap w:val="0"/>
            <w:vAlign w:val="center"/>
          </w:tcPr>
          <w:p w14:paraId="0A690F09">
            <w:pPr>
              <w:tabs>
                <w:tab w:val="left" w:pos="210"/>
              </w:tabs>
              <w:spacing w:line="320" w:lineRule="exact"/>
              <w:jc w:val="center"/>
              <w:outlineLvl w:val="9"/>
              <w:rPr>
                <w:rFonts w:hint="eastAsia" w:ascii="宋体" w:hAnsi="宋体" w:cs="宋体"/>
                <w:color w:val="auto"/>
                <w:kern w:val="0"/>
                <w:sz w:val="24"/>
              </w:rPr>
            </w:pPr>
          </w:p>
        </w:tc>
      </w:tr>
      <w:tr w14:paraId="010B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794A5A84">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01D49C79">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邮政编码</w:t>
            </w:r>
          </w:p>
        </w:tc>
        <w:tc>
          <w:tcPr>
            <w:tcW w:w="7225" w:type="dxa"/>
            <w:gridSpan w:val="3"/>
            <w:noWrap w:val="0"/>
            <w:vAlign w:val="center"/>
          </w:tcPr>
          <w:p w14:paraId="6AF43044">
            <w:pPr>
              <w:tabs>
                <w:tab w:val="left" w:pos="210"/>
              </w:tabs>
              <w:spacing w:line="320" w:lineRule="exact"/>
              <w:jc w:val="center"/>
              <w:outlineLvl w:val="9"/>
              <w:rPr>
                <w:rFonts w:hint="eastAsia" w:ascii="宋体" w:hAnsi="宋体" w:cs="宋体"/>
                <w:color w:val="auto"/>
                <w:kern w:val="0"/>
                <w:sz w:val="24"/>
              </w:rPr>
            </w:pPr>
          </w:p>
        </w:tc>
      </w:tr>
      <w:tr w14:paraId="2168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AA540BB">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1A6A7D6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工商登记机关</w:t>
            </w:r>
          </w:p>
        </w:tc>
        <w:tc>
          <w:tcPr>
            <w:tcW w:w="7225" w:type="dxa"/>
            <w:gridSpan w:val="3"/>
            <w:noWrap w:val="0"/>
            <w:vAlign w:val="center"/>
          </w:tcPr>
          <w:p w14:paraId="5B0F6650">
            <w:pPr>
              <w:tabs>
                <w:tab w:val="left" w:pos="210"/>
              </w:tabs>
              <w:spacing w:line="320" w:lineRule="exact"/>
              <w:jc w:val="center"/>
              <w:outlineLvl w:val="9"/>
              <w:rPr>
                <w:rFonts w:hint="eastAsia" w:ascii="宋体" w:hAnsi="宋体" w:cs="宋体"/>
                <w:color w:val="auto"/>
                <w:kern w:val="0"/>
                <w:sz w:val="24"/>
              </w:rPr>
            </w:pPr>
          </w:p>
        </w:tc>
      </w:tr>
      <w:tr w14:paraId="57A7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168665D9">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060AC422">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机构代码证号</w:t>
            </w:r>
          </w:p>
        </w:tc>
        <w:tc>
          <w:tcPr>
            <w:tcW w:w="7225" w:type="dxa"/>
            <w:gridSpan w:val="3"/>
            <w:noWrap w:val="0"/>
            <w:vAlign w:val="center"/>
          </w:tcPr>
          <w:p w14:paraId="08C16B14">
            <w:pPr>
              <w:tabs>
                <w:tab w:val="left" w:pos="210"/>
              </w:tabs>
              <w:spacing w:line="320" w:lineRule="exact"/>
              <w:jc w:val="center"/>
              <w:outlineLvl w:val="9"/>
              <w:rPr>
                <w:rFonts w:hint="eastAsia" w:ascii="宋体" w:hAnsi="宋体" w:cs="宋体"/>
                <w:color w:val="auto"/>
                <w:kern w:val="0"/>
                <w:sz w:val="24"/>
              </w:rPr>
            </w:pPr>
          </w:p>
        </w:tc>
      </w:tr>
      <w:tr w14:paraId="06CB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5D83D56F">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sz w:val="24"/>
                <w:szCs w:val="24"/>
              </w:rPr>
              <w:t>项目名称</w:t>
            </w:r>
          </w:p>
        </w:tc>
        <w:tc>
          <w:tcPr>
            <w:tcW w:w="7225" w:type="dxa"/>
            <w:gridSpan w:val="3"/>
            <w:noWrap w:val="0"/>
            <w:vAlign w:val="center"/>
          </w:tcPr>
          <w:p w14:paraId="022B8C9B">
            <w:pPr>
              <w:tabs>
                <w:tab w:val="left" w:pos="210"/>
              </w:tabs>
              <w:spacing w:line="320" w:lineRule="exact"/>
              <w:jc w:val="center"/>
              <w:outlineLvl w:val="9"/>
              <w:rPr>
                <w:rFonts w:hint="eastAsia" w:ascii="宋体" w:hAnsi="宋体" w:cs="宋体"/>
                <w:color w:val="auto"/>
                <w:kern w:val="0"/>
                <w:sz w:val="24"/>
              </w:rPr>
            </w:pPr>
          </w:p>
        </w:tc>
      </w:tr>
      <w:tr w14:paraId="2E47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560FA5E0">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sz w:val="24"/>
                <w:szCs w:val="24"/>
              </w:rPr>
              <w:t>项目编号</w:t>
            </w:r>
          </w:p>
        </w:tc>
        <w:tc>
          <w:tcPr>
            <w:tcW w:w="7225" w:type="dxa"/>
            <w:gridSpan w:val="3"/>
            <w:noWrap w:val="0"/>
            <w:vAlign w:val="center"/>
          </w:tcPr>
          <w:p w14:paraId="61A9E882">
            <w:pPr>
              <w:tabs>
                <w:tab w:val="left" w:pos="210"/>
              </w:tabs>
              <w:spacing w:line="320" w:lineRule="exact"/>
              <w:jc w:val="center"/>
              <w:outlineLvl w:val="9"/>
              <w:rPr>
                <w:rFonts w:hint="eastAsia" w:ascii="宋体" w:hAnsi="宋体" w:cs="宋体"/>
                <w:color w:val="auto"/>
                <w:kern w:val="0"/>
                <w:sz w:val="24"/>
              </w:rPr>
            </w:pPr>
          </w:p>
        </w:tc>
      </w:tr>
      <w:tr w14:paraId="1FA9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5BF910F5">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法定代表人</w:t>
            </w:r>
          </w:p>
        </w:tc>
        <w:tc>
          <w:tcPr>
            <w:tcW w:w="2067" w:type="dxa"/>
            <w:noWrap w:val="0"/>
            <w:vAlign w:val="center"/>
          </w:tcPr>
          <w:p w14:paraId="4C1FF748">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姓名</w:t>
            </w:r>
          </w:p>
        </w:tc>
        <w:tc>
          <w:tcPr>
            <w:tcW w:w="2551" w:type="dxa"/>
            <w:noWrap w:val="0"/>
            <w:vAlign w:val="center"/>
          </w:tcPr>
          <w:p w14:paraId="4CA90E1B">
            <w:pPr>
              <w:tabs>
                <w:tab w:val="left" w:pos="210"/>
              </w:tabs>
              <w:spacing w:line="320" w:lineRule="exact"/>
              <w:jc w:val="center"/>
              <w:outlineLvl w:val="9"/>
              <w:rPr>
                <w:rFonts w:hint="eastAsia" w:ascii="宋体" w:hAnsi="宋体" w:cs="宋体"/>
                <w:color w:val="auto"/>
                <w:kern w:val="0"/>
                <w:sz w:val="24"/>
              </w:rPr>
            </w:pPr>
          </w:p>
        </w:tc>
        <w:tc>
          <w:tcPr>
            <w:tcW w:w="2346" w:type="dxa"/>
            <w:noWrap w:val="0"/>
            <w:vAlign w:val="center"/>
          </w:tcPr>
          <w:p w14:paraId="4A5B5314">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性别</w:t>
            </w:r>
          </w:p>
        </w:tc>
        <w:tc>
          <w:tcPr>
            <w:tcW w:w="2328" w:type="dxa"/>
            <w:noWrap w:val="0"/>
            <w:vAlign w:val="center"/>
          </w:tcPr>
          <w:p w14:paraId="1483ABBD">
            <w:pPr>
              <w:tabs>
                <w:tab w:val="left" w:pos="210"/>
              </w:tabs>
              <w:spacing w:line="320" w:lineRule="exact"/>
              <w:jc w:val="center"/>
              <w:outlineLvl w:val="9"/>
              <w:rPr>
                <w:rFonts w:hint="eastAsia" w:ascii="宋体" w:hAnsi="宋体" w:cs="宋体"/>
                <w:color w:val="auto"/>
                <w:kern w:val="0"/>
                <w:sz w:val="24"/>
              </w:rPr>
            </w:pPr>
          </w:p>
        </w:tc>
      </w:tr>
      <w:tr w14:paraId="7EF2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7FAF409">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0CAD63F0">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职务</w:t>
            </w:r>
          </w:p>
        </w:tc>
        <w:tc>
          <w:tcPr>
            <w:tcW w:w="2551" w:type="dxa"/>
            <w:noWrap w:val="0"/>
            <w:vAlign w:val="center"/>
          </w:tcPr>
          <w:p w14:paraId="0B99DB80">
            <w:pPr>
              <w:tabs>
                <w:tab w:val="left" w:pos="210"/>
              </w:tabs>
              <w:spacing w:line="320" w:lineRule="exact"/>
              <w:jc w:val="center"/>
              <w:outlineLvl w:val="9"/>
              <w:rPr>
                <w:rFonts w:hint="eastAsia" w:ascii="宋体" w:hAnsi="宋体" w:cs="宋体"/>
                <w:color w:val="auto"/>
                <w:kern w:val="0"/>
                <w:sz w:val="24"/>
              </w:rPr>
            </w:pPr>
          </w:p>
        </w:tc>
        <w:tc>
          <w:tcPr>
            <w:tcW w:w="2346" w:type="dxa"/>
            <w:noWrap w:val="0"/>
            <w:vAlign w:val="center"/>
          </w:tcPr>
          <w:p w14:paraId="3DF4D2EC">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联系电话</w:t>
            </w:r>
          </w:p>
        </w:tc>
        <w:tc>
          <w:tcPr>
            <w:tcW w:w="2328" w:type="dxa"/>
            <w:noWrap w:val="0"/>
            <w:vAlign w:val="center"/>
          </w:tcPr>
          <w:p w14:paraId="00BAB789">
            <w:pPr>
              <w:tabs>
                <w:tab w:val="left" w:pos="210"/>
              </w:tabs>
              <w:spacing w:line="320" w:lineRule="exact"/>
              <w:jc w:val="center"/>
              <w:outlineLvl w:val="9"/>
              <w:rPr>
                <w:rFonts w:hint="eastAsia" w:ascii="宋体" w:hAnsi="宋体" w:cs="宋体"/>
                <w:color w:val="auto"/>
                <w:kern w:val="0"/>
                <w:sz w:val="24"/>
              </w:rPr>
            </w:pPr>
          </w:p>
        </w:tc>
      </w:tr>
      <w:tr w14:paraId="1D8B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74D7EDA2">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488C14F1">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传真</w:t>
            </w:r>
          </w:p>
        </w:tc>
        <w:tc>
          <w:tcPr>
            <w:tcW w:w="7225" w:type="dxa"/>
            <w:gridSpan w:val="3"/>
            <w:noWrap w:val="0"/>
            <w:vAlign w:val="center"/>
          </w:tcPr>
          <w:p w14:paraId="6F669C7A">
            <w:pPr>
              <w:tabs>
                <w:tab w:val="left" w:pos="210"/>
              </w:tabs>
              <w:spacing w:line="320" w:lineRule="exact"/>
              <w:jc w:val="center"/>
              <w:outlineLvl w:val="9"/>
              <w:rPr>
                <w:rFonts w:hint="eastAsia" w:ascii="宋体" w:hAnsi="宋体" w:cs="宋体"/>
                <w:color w:val="auto"/>
                <w:kern w:val="0"/>
                <w:sz w:val="24"/>
              </w:rPr>
            </w:pPr>
          </w:p>
        </w:tc>
      </w:tr>
      <w:tr w14:paraId="3E71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6ED378A0">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法定代表人身份证复印件</w:t>
            </w:r>
          </w:p>
        </w:tc>
        <w:tc>
          <w:tcPr>
            <w:tcW w:w="4618" w:type="dxa"/>
            <w:gridSpan w:val="2"/>
            <w:vMerge w:val="restart"/>
            <w:noWrap w:val="0"/>
            <w:vAlign w:val="center"/>
          </w:tcPr>
          <w:p w14:paraId="02950911">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（粘贴处）</w:t>
            </w:r>
          </w:p>
        </w:tc>
        <w:tc>
          <w:tcPr>
            <w:tcW w:w="4674" w:type="dxa"/>
            <w:gridSpan w:val="2"/>
            <w:noWrap w:val="0"/>
            <w:vAlign w:val="center"/>
          </w:tcPr>
          <w:p w14:paraId="18CADB60">
            <w:pPr>
              <w:tabs>
                <w:tab w:val="left" w:pos="210"/>
              </w:tabs>
              <w:spacing w:line="320" w:lineRule="exact"/>
              <w:jc w:val="center"/>
              <w:outlineLvl w:val="9"/>
              <w:rPr>
                <w:rFonts w:hint="eastAsia" w:ascii="宋体" w:hAnsi="宋体" w:eastAsia="宋体" w:cs="宋体"/>
                <w:color w:val="auto"/>
                <w:kern w:val="0"/>
                <w:sz w:val="24"/>
                <w:lang w:eastAsia="zh-CN"/>
              </w:rPr>
            </w:pPr>
            <w:r>
              <w:rPr>
                <w:rFonts w:hint="eastAsia" w:ascii="宋体" w:hAnsi="宋体" w:cs="Arial"/>
                <w:color w:val="auto"/>
                <w:kern w:val="0"/>
                <w:sz w:val="24"/>
              </w:rPr>
              <w:t>法定代表人签字</w:t>
            </w:r>
            <w:r>
              <w:rPr>
                <w:rFonts w:hint="eastAsia" w:ascii="宋体" w:hAnsi="宋体" w:cs="Arial"/>
                <w:color w:val="auto"/>
                <w:kern w:val="0"/>
                <w:sz w:val="24"/>
                <w:lang w:eastAsia="zh-CN"/>
              </w:rPr>
              <w:t>或盖章</w:t>
            </w:r>
          </w:p>
        </w:tc>
      </w:tr>
      <w:tr w14:paraId="5FB8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761ED352">
            <w:pPr>
              <w:tabs>
                <w:tab w:val="left" w:pos="210"/>
              </w:tabs>
              <w:spacing w:line="320" w:lineRule="exact"/>
              <w:jc w:val="center"/>
              <w:outlineLvl w:val="9"/>
              <w:rPr>
                <w:rFonts w:hint="eastAsia" w:ascii="宋体" w:hAnsi="宋体" w:cs="宋体"/>
                <w:color w:val="auto"/>
                <w:kern w:val="0"/>
                <w:sz w:val="24"/>
              </w:rPr>
            </w:pPr>
          </w:p>
        </w:tc>
        <w:tc>
          <w:tcPr>
            <w:tcW w:w="4618" w:type="dxa"/>
            <w:gridSpan w:val="2"/>
            <w:vMerge w:val="continue"/>
            <w:noWrap w:val="0"/>
            <w:vAlign w:val="center"/>
          </w:tcPr>
          <w:p w14:paraId="31CE05E8">
            <w:pPr>
              <w:tabs>
                <w:tab w:val="left" w:pos="210"/>
              </w:tabs>
              <w:spacing w:line="320" w:lineRule="exact"/>
              <w:jc w:val="center"/>
              <w:outlineLvl w:val="9"/>
              <w:rPr>
                <w:rFonts w:hint="eastAsia" w:ascii="宋体" w:hAnsi="宋体" w:cs="宋体"/>
                <w:color w:val="auto"/>
                <w:kern w:val="0"/>
                <w:sz w:val="24"/>
              </w:rPr>
            </w:pPr>
          </w:p>
        </w:tc>
        <w:tc>
          <w:tcPr>
            <w:tcW w:w="4674" w:type="dxa"/>
            <w:gridSpan w:val="2"/>
            <w:noWrap w:val="0"/>
            <w:vAlign w:val="bottom"/>
          </w:tcPr>
          <w:p w14:paraId="5845A838">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（公章）</w:t>
            </w:r>
          </w:p>
          <w:p w14:paraId="5C3B2F76">
            <w:pPr>
              <w:tabs>
                <w:tab w:val="left" w:pos="210"/>
              </w:tabs>
              <w:spacing w:line="320" w:lineRule="exact"/>
              <w:jc w:val="center"/>
              <w:outlineLvl w:val="9"/>
              <w:rPr>
                <w:rFonts w:hint="eastAsia" w:ascii="宋体" w:hAnsi="宋体" w:cs="宋体"/>
                <w:color w:val="auto"/>
                <w:kern w:val="0"/>
                <w:sz w:val="24"/>
              </w:rPr>
            </w:pPr>
          </w:p>
          <w:p w14:paraId="6FAD9D8A">
            <w:pPr>
              <w:tabs>
                <w:tab w:val="left" w:pos="210"/>
              </w:tabs>
              <w:spacing w:line="320" w:lineRule="exact"/>
              <w:jc w:val="center"/>
              <w:outlineLvl w:val="9"/>
              <w:rPr>
                <w:rFonts w:hint="eastAsia" w:ascii="宋体" w:hAnsi="宋体" w:cs="宋体"/>
                <w:color w:val="auto"/>
                <w:kern w:val="0"/>
                <w:sz w:val="24"/>
              </w:rPr>
            </w:pPr>
          </w:p>
          <w:p w14:paraId="12D2DBA7">
            <w:pPr>
              <w:tabs>
                <w:tab w:val="left" w:pos="210"/>
              </w:tabs>
              <w:spacing w:line="320" w:lineRule="exact"/>
              <w:jc w:val="center"/>
              <w:outlineLvl w:val="9"/>
              <w:rPr>
                <w:rFonts w:hint="eastAsia" w:ascii="宋体" w:hAnsi="宋体" w:cs="宋体"/>
                <w:color w:val="auto"/>
                <w:kern w:val="0"/>
                <w:sz w:val="24"/>
              </w:rPr>
            </w:pPr>
          </w:p>
          <w:p w14:paraId="5DBBB3F0">
            <w:pPr>
              <w:tabs>
                <w:tab w:val="left" w:pos="210"/>
              </w:tabs>
              <w:spacing w:line="320" w:lineRule="exact"/>
              <w:jc w:val="right"/>
              <w:outlineLvl w:val="9"/>
              <w:rPr>
                <w:rFonts w:hint="eastAsia" w:ascii="宋体" w:hAnsi="宋体" w:cs="宋体"/>
                <w:color w:val="auto"/>
                <w:kern w:val="0"/>
                <w:sz w:val="24"/>
              </w:rPr>
            </w:pPr>
            <w:r>
              <w:rPr>
                <w:rFonts w:hint="eastAsia" w:ascii="宋体" w:hAnsi="宋体" w:cs="宋体"/>
                <w:color w:val="auto"/>
                <w:kern w:val="0"/>
                <w:sz w:val="24"/>
              </w:rPr>
              <w:t xml:space="preserve">年  月  日 </w:t>
            </w:r>
          </w:p>
        </w:tc>
      </w:tr>
    </w:tbl>
    <w:p w14:paraId="65B29620">
      <w:pPr>
        <w:tabs>
          <w:tab w:val="left" w:pos="329"/>
        </w:tabs>
        <w:jc w:val="center"/>
        <w:outlineLvl w:val="9"/>
        <w:rPr>
          <w:rFonts w:hint="eastAsia" w:ascii="宋体" w:hAnsi="宋体" w:cs="宋体"/>
          <w:b/>
          <w:color w:val="auto"/>
          <w:sz w:val="32"/>
          <w:szCs w:val="32"/>
        </w:rPr>
      </w:pPr>
    </w:p>
    <w:p w14:paraId="004ED391">
      <w:pPr>
        <w:tabs>
          <w:tab w:val="left" w:pos="329"/>
        </w:tabs>
        <w:jc w:val="center"/>
        <w:outlineLvl w:val="9"/>
        <w:rPr>
          <w:rFonts w:hint="eastAsia" w:ascii="宋体" w:hAnsi="宋体" w:cs="宋体"/>
          <w:b/>
          <w:color w:val="auto"/>
          <w:sz w:val="32"/>
          <w:szCs w:val="32"/>
        </w:rPr>
        <w:sectPr>
          <w:pgSz w:w="11905" w:h="16838"/>
          <w:pgMar w:top="1219" w:right="1803" w:bottom="1219" w:left="1803" w:header="850" w:footer="850" w:gutter="0"/>
          <w:pgNumType w:fmt="decimal"/>
          <w:cols w:space="0" w:num="1"/>
          <w:rtlGutter w:val="0"/>
          <w:docGrid w:type="lines" w:linePitch="313" w:charSpace="0"/>
        </w:sectPr>
      </w:pPr>
    </w:p>
    <w:p w14:paraId="5D2FAE7C">
      <w:pPr>
        <w:tabs>
          <w:tab w:val="left" w:pos="329"/>
        </w:tabs>
        <w:jc w:val="center"/>
        <w:outlineLvl w:val="9"/>
        <w:rPr>
          <w:rFonts w:hint="eastAsia" w:ascii="宋体" w:hAnsi="宋体" w:cs="宋体"/>
          <w:color w:val="auto"/>
        </w:rPr>
      </w:pPr>
      <w:r>
        <w:rPr>
          <w:rFonts w:hint="eastAsia" w:ascii="宋体" w:hAnsi="宋体" w:cs="宋体"/>
          <w:b/>
          <w:color w:val="auto"/>
          <w:sz w:val="32"/>
          <w:szCs w:val="32"/>
        </w:rPr>
        <w:t>（二）法定代表人授权书</w:t>
      </w:r>
    </w:p>
    <w:p w14:paraId="6C63C9DF">
      <w:pPr>
        <w:tabs>
          <w:tab w:val="left" w:pos="8820"/>
        </w:tabs>
        <w:spacing w:line="360" w:lineRule="auto"/>
        <w:ind w:firstLine="570"/>
        <w:outlineLvl w:val="9"/>
        <w:rPr>
          <w:rFonts w:hint="eastAsia" w:ascii="宋体" w:hAnsi="宋体" w:cs="宋体"/>
          <w:color w:val="auto"/>
          <w:sz w:val="24"/>
          <w:szCs w:val="24"/>
          <w:u w:val="single"/>
        </w:rPr>
      </w:pPr>
      <w:r>
        <w:rPr>
          <w:rFonts w:hint="eastAsia" w:ascii="宋体" w:hAnsi="宋体" w:cs="宋体"/>
          <w:color w:val="auto"/>
          <w:sz w:val="24"/>
          <w:szCs w:val="24"/>
        </w:rPr>
        <w:t>本授权委托书声明：我</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（法定代表人姓名）</w:t>
      </w:r>
      <w:r>
        <w:rPr>
          <w:rFonts w:hint="eastAsia" w:ascii="宋体" w:hAnsi="宋体" w:cs="宋体"/>
          <w:color w:val="auto"/>
          <w:sz w:val="24"/>
          <w:szCs w:val="24"/>
        </w:rPr>
        <w:t>系注册于</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（投标人地址）</w:t>
      </w:r>
      <w:r>
        <w:rPr>
          <w:rFonts w:hint="eastAsia" w:ascii="宋体" w:hAnsi="宋体" w:cs="宋体"/>
          <w:color w:val="auto"/>
          <w:sz w:val="24"/>
          <w:szCs w:val="24"/>
        </w:rPr>
        <w:t>的</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（投标人名称）  </w:t>
      </w:r>
      <w:r>
        <w:rPr>
          <w:rFonts w:hint="eastAsia" w:ascii="宋体" w:hAnsi="宋体" w:cs="宋体"/>
          <w:color w:val="auto"/>
          <w:sz w:val="24"/>
          <w:szCs w:val="24"/>
        </w:rPr>
        <w:t>的法定代表人，现代表公司授权下面签字的</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（被授权人的姓名、职务）</w:t>
      </w:r>
      <w:r>
        <w:rPr>
          <w:rFonts w:hint="eastAsia" w:ascii="宋体" w:hAnsi="宋体" w:cs="宋体"/>
          <w:color w:val="auto"/>
          <w:sz w:val="24"/>
          <w:szCs w:val="24"/>
        </w:rPr>
        <w:t>为我公司合法代理人，代表本公司参加</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（采购项目名称）</w:t>
      </w:r>
      <w:r>
        <w:rPr>
          <w:rFonts w:hint="eastAsia" w:ascii="宋体" w:hAnsi="宋体" w:cs="宋体"/>
          <w:color w:val="auto"/>
          <w:sz w:val="24"/>
          <w:szCs w:val="24"/>
        </w:rPr>
        <w:t>采购项目编号：</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的投标活动。代理人在本次投标中所签署的一切文件和处理的一切有关事务，我公司均予承认。</w:t>
      </w:r>
    </w:p>
    <w:p w14:paraId="268C209F">
      <w:pPr>
        <w:spacing w:line="360" w:lineRule="auto"/>
        <w:ind w:firstLine="570"/>
        <w:outlineLvl w:val="9"/>
        <w:rPr>
          <w:rFonts w:hint="eastAsia" w:ascii="宋体" w:hAnsi="宋体" w:cs="宋体"/>
          <w:color w:val="auto"/>
          <w:sz w:val="24"/>
          <w:szCs w:val="24"/>
        </w:rPr>
      </w:pPr>
      <w:r>
        <w:rPr>
          <w:rFonts w:hint="eastAsia" w:ascii="宋体" w:hAnsi="宋体" w:cs="宋体"/>
          <w:color w:val="auto"/>
          <w:sz w:val="24"/>
          <w:szCs w:val="24"/>
        </w:rPr>
        <w:t>本授权书于</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日签字（盖章）生效，有效期自开标之日起</w:t>
      </w:r>
      <w:r>
        <w:rPr>
          <w:rFonts w:hint="eastAsia" w:ascii="宋体" w:hAnsi="宋体" w:cs="宋体"/>
          <w:color w:val="auto"/>
          <w:sz w:val="24"/>
          <w:szCs w:val="24"/>
          <w:u w:val="single"/>
        </w:rPr>
        <w:t xml:space="preserve"> </w:t>
      </w:r>
      <w:r>
        <w:rPr>
          <w:rFonts w:hint="eastAsia" w:ascii="宋体" w:hAnsi="宋体" w:cs="宋体"/>
          <w:color w:val="auto"/>
          <w:sz w:val="24"/>
          <w:szCs w:val="24"/>
        </w:rPr>
        <w:t>天；特此声明。</w:t>
      </w:r>
    </w:p>
    <w:tbl>
      <w:tblPr>
        <w:tblStyle w:val="20"/>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0AA405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3225" w:hRule="atLeast"/>
        </w:trPr>
        <w:tc>
          <w:tcPr>
            <w:tcW w:w="4470" w:type="dxa"/>
            <w:noWrap w:val="0"/>
            <w:vAlign w:val="center"/>
          </w:tcPr>
          <w:p w14:paraId="044EF6D6">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法定代表人身份证复印件</w:t>
            </w:r>
          </w:p>
          <w:p w14:paraId="34096D96">
            <w:pPr>
              <w:spacing w:line="360" w:lineRule="auto"/>
              <w:jc w:val="center"/>
              <w:outlineLvl w:val="9"/>
              <w:rPr>
                <w:rFonts w:hint="eastAsia" w:ascii="宋体" w:hAnsi="宋体" w:cs="宋体"/>
                <w:color w:val="auto"/>
                <w:sz w:val="24"/>
                <w:szCs w:val="24"/>
              </w:rPr>
            </w:pPr>
          </w:p>
        </w:tc>
        <w:tc>
          <w:tcPr>
            <w:tcW w:w="4470" w:type="dxa"/>
            <w:noWrap w:val="0"/>
            <w:vAlign w:val="center"/>
          </w:tcPr>
          <w:p w14:paraId="51C4B4B6">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授权代表身份证复印件</w:t>
            </w:r>
          </w:p>
          <w:p w14:paraId="35310746">
            <w:pPr>
              <w:spacing w:line="360" w:lineRule="auto"/>
              <w:jc w:val="center"/>
              <w:outlineLvl w:val="9"/>
              <w:rPr>
                <w:rFonts w:hint="eastAsia" w:ascii="宋体" w:hAnsi="宋体" w:cs="宋体"/>
                <w:color w:val="auto"/>
                <w:sz w:val="24"/>
                <w:szCs w:val="24"/>
              </w:rPr>
            </w:pPr>
          </w:p>
        </w:tc>
      </w:tr>
      <w:tr w14:paraId="24955E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8662EA1">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法定代表人身份证复印件</w:t>
            </w:r>
          </w:p>
          <w:p w14:paraId="7D7DA3C2">
            <w:pPr>
              <w:spacing w:line="360" w:lineRule="auto"/>
              <w:jc w:val="center"/>
              <w:outlineLvl w:val="9"/>
              <w:rPr>
                <w:rFonts w:hint="eastAsia" w:ascii="宋体" w:hAnsi="宋体" w:cs="宋体"/>
                <w:color w:val="auto"/>
                <w:sz w:val="24"/>
                <w:szCs w:val="24"/>
              </w:rPr>
            </w:pPr>
          </w:p>
        </w:tc>
        <w:tc>
          <w:tcPr>
            <w:tcW w:w="4470" w:type="dxa"/>
            <w:noWrap w:val="0"/>
            <w:vAlign w:val="center"/>
          </w:tcPr>
          <w:p w14:paraId="0C14566C">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授权代表身份证复印件</w:t>
            </w:r>
          </w:p>
          <w:p w14:paraId="09A021EE">
            <w:pPr>
              <w:spacing w:line="360" w:lineRule="auto"/>
              <w:jc w:val="center"/>
              <w:outlineLvl w:val="9"/>
              <w:rPr>
                <w:rFonts w:hint="eastAsia" w:ascii="宋体" w:hAnsi="宋体" w:cs="宋体"/>
                <w:color w:val="auto"/>
                <w:sz w:val="24"/>
                <w:szCs w:val="24"/>
              </w:rPr>
            </w:pPr>
          </w:p>
        </w:tc>
      </w:tr>
    </w:tbl>
    <w:p w14:paraId="6FECC53A">
      <w:pPr>
        <w:spacing w:line="360" w:lineRule="auto"/>
        <w:ind w:firstLine="482" w:firstLineChars="200"/>
        <w:outlineLvl w:val="9"/>
        <w:rPr>
          <w:rFonts w:hint="eastAsia" w:ascii="宋体" w:hAnsi="宋体" w:cs="宋体"/>
          <w:b/>
          <w:bCs/>
          <w:color w:val="auto"/>
          <w:sz w:val="24"/>
          <w:szCs w:val="22"/>
        </w:rPr>
      </w:pPr>
      <w:r>
        <w:rPr>
          <w:rFonts w:hint="eastAsia" w:ascii="宋体" w:hAnsi="宋体" w:cs="宋体"/>
          <w:b/>
          <w:bCs/>
          <w:color w:val="auto"/>
          <w:sz w:val="24"/>
          <w:szCs w:val="24"/>
        </w:rPr>
        <w:t>注：此授权书的有效期应与投标文件有效期一致。身份证正反面复印件必须依次加盖单位鲜章。</w:t>
      </w:r>
    </w:p>
    <w:p w14:paraId="04DE4F30">
      <w:pPr>
        <w:spacing w:line="360" w:lineRule="auto"/>
        <w:outlineLvl w:val="9"/>
        <w:rPr>
          <w:rFonts w:hint="eastAsia" w:ascii="宋体" w:hAnsi="宋体" w:cs="宋体"/>
          <w:color w:val="auto"/>
          <w:sz w:val="24"/>
          <w:szCs w:val="24"/>
        </w:rPr>
      </w:pPr>
      <w:r>
        <w:rPr>
          <w:rFonts w:hint="eastAsia" w:ascii="宋体" w:hAnsi="宋体" w:cs="宋体"/>
          <w:color w:val="auto"/>
          <w:sz w:val="24"/>
          <w:szCs w:val="24"/>
        </w:rPr>
        <w:t xml:space="preserve">                       </w:t>
      </w:r>
    </w:p>
    <w:p w14:paraId="7B546D12">
      <w:pPr>
        <w:spacing w:line="360" w:lineRule="auto"/>
        <w:ind w:firstLine="3600" w:firstLineChars="1500"/>
        <w:outlineLvl w:val="9"/>
        <w:rPr>
          <w:rFonts w:hint="eastAsia" w:ascii="宋体" w:hAnsi="宋体" w:cs="宋体"/>
          <w:color w:val="auto"/>
          <w:sz w:val="24"/>
          <w:szCs w:val="24"/>
        </w:rPr>
      </w:pPr>
      <w:r>
        <w:rPr>
          <w:rFonts w:hint="eastAsia" w:ascii="宋体" w:hAnsi="宋体" w:cs="宋体"/>
          <w:color w:val="auto"/>
          <w:sz w:val="24"/>
          <w:szCs w:val="24"/>
        </w:rPr>
        <w:t>投标人：</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14:paraId="17C1CE52">
      <w:pPr>
        <w:spacing w:line="360" w:lineRule="auto"/>
        <w:ind w:left="3120" w:hanging="3120" w:hangingChars="1300"/>
        <w:outlineLvl w:val="9"/>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法定代表人：</w:t>
      </w:r>
      <w:r>
        <w:rPr>
          <w:rFonts w:hint="eastAsia" w:ascii="宋体" w:hAnsi="宋体" w:cs="宋体"/>
          <w:color w:val="auto"/>
          <w:sz w:val="24"/>
          <w:szCs w:val="24"/>
          <w:u w:val="single"/>
        </w:rPr>
        <w:t xml:space="preserve">                   </w:t>
      </w:r>
      <w:r>
        <w:rPr>
          <w:rFonts w:hint="eastAsia" w:ascii="宋体" w:hAnsi="宋体" w:cs="宋体"/>
          <w:color w:val="auto"/>
          <w:sz w:val="24"/>
          <w:szCs w:val="24"/>
        </w:rPr>
        <w:t>（签字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p>
    <w:p w14:paraId="2DC59D73">
      <w:pPr>
        <w:pStyle w:val="9"/>
        <w:ind w:firstLine="3360" w:firstLineChars="1400"/>
        <w:outlineLvl w:val="9"/>
        <w:rPr>
          <w:rFonts w:hint="eastAsia" w:eastAsia="宋体"/>
          <w:color w:val="auto"/>
          <w:lang w:eastAsia="zh-CN"/>
        </w:rPr>
      </w:pPr>
      <w:r>
        <w:rPr>
          <w:rFonts w:hint="eastAsia" w:ascii="宋体" w:hAnsi="宋体" w:eastAsia="宋体" w:cs="宋体"/>
          <w:color w:val="auto"/>
          <w:kern w:val="2"/>
          <w:sz w:val="24"/>
          <w:szCs w:val="24"/>
          <w:lang w:val="en-US" w:eastAsia="zh-CN" w:bidi="ar-SA"/>
        </w:rPr>
        <w:t>授权代表</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cs="宋体"/>
          <w:color w:val="auto"/>
          <w:sz w:val="24"/>
          <w:szCs w:val="24"/>
          <w:u w:val="none"/>
          <w:lang w:eastAsia="zh-CN"/>
        </w:rPr>
        <w:t>（</w:t>
      </w:r>
      <w:r>
        <w:rPr>
          <w:rFonts w:hint="eastAsia" w:ascii="宋体" w:hAnsi="宋体" w:cs="宋体"/>
          <w:color w:val="auto"/>
          <w:sz w:val="24"/>
          <w:szCs w:val="24"/>
          <w:u w:val="none"/>
          <w:lang w:val="en-US" w:eastAsia="zh-CN"/>
        </w:rPr>
        <w:t>签字</w:t>
      </w:r>
      <w:r>
        <w:rPr>
          <w:rFonts w:hint="eastAsia" w:ascii="宋体" w:hAnsi="宋体" w:cs="宋体"/>
          <w:color w:val="auto"/>
          <w:sz w:val="24"/>
          <w:szCs w:val="24"/>
          <w:u w:val="none"/>
          <w:lang w:eastAsia="zh-CN"/>
        </w:rPr>
        <w:t>）</w:t>
      </w:r>
    </w:p>
    <w:p w14:paraId="71DF6582">
      <w:pPr>
        <w:pStyle w:val="9"/>
        <w:ind w:firstLine="3360" w:firstLineChars="1400"/>
        <w:outlineLvl w:val="9"/>
        <w:rPr>
          <w:rFonts w:hint="eastAsia" w:ascii="宋体" w:hAnsi="宋体" w:cs="宋体"/>
          <w:color w:val="auto"/>
          <w:sz w:val="24"/>
          <w:szCs w:val="24"/>
          <w:u w:val="single"/>
        </w:rPr>
        <w:sectPr>
          <w:pgSz w:w="11905" w:h="16838"/>
          <w:pgMar w:top="1219" w:right="1803" w:bottom="1219" w:left="1803" w:header="850" w:footer="850" w:gutter="0"/>
          <w:pgNumType w:fmt="decimal"/>
          <w:cols w:space="0" w:num="1"/>
          <w:rtlGutter w:val="0"/>
          <w:docGrid w:type="lines" w:linePitch="313" w:charSpace="0"/>
        </w:sect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42DA3965">
      <w:pPr>
        <w:spacing w:line="360" w:lineRule="auto"/>
        <w:jc w:val="center"/>
        <w:outlineLvl w:val="1"/>
        <w:rPr>
          <w:rFonts w:hint="eastAsia" w:ascii="宋体" w:hAnsi="宋体" w:eastAsia="宋体" w:cs="宋体"/>
          <w:b/>
          <w:color w:val="auto"/>
          <w:sz w:val="32"/>
          <w:szCs w:val="32"/>
        </w:rPr>
      </w:pPr>
      <w:bookmarkStart w:id="385" w:name="_Toc24901"/>
      <w:bookmarkStart w:id="386" w:name="_Toc28711"/>
      <w:bookmarkStart w:id="387" w:name="_Toc12973"/>
      <w:bookmarkStart w:id="388" w:name="_Toc21538"/>
      <w:bookmarkStart w:id="389" w:name="_Toc27147"/>
      <w:bookmarkStart w:id="390" w:name="_Toc4340"/>
      <w:bookmarkStart w:id="391" w:name="_Toc31996"/>
      <w:bookmarkStart w:id="392" w:name="_Toc7641"/>
      <w:r>
        <w:rPr>
          <w:rFonts w:hint="eastAsia" w:ascii="宋体" w:hAnsi="宋体" w:cs="宋体"/>
          <w:b/>
          <w:bCs/>
          <w:color w:val="auto"/>
          <w:kern w:val="0"/>
          <w:sz w:val="36"/>
          <w:szCs w:val="36"/>
          <w:lang w:val="en-US" w:eastAsia="zh-CN" w:bidi="ar"/>
        </w:rPr>
        <w:t>九</w:t>
      </w:r>
      <w:r>
        <w:rPr>
          <w:rFonts w:hint="eastAsia" w:ascii="宋体" w:hAnsi="宋体" w:cs="宋体"/>
          <w:b/>
          <w:bCs/>
          <w:color w:val="auto"/>
          <w:kern w:val="0"/>
          <w:sz w:val="36"/>
          <w:szCs w:val="36"/>
          <w:lang w:bidi="ar"/>
        </w:rPr>
        <w:t>、</w:t>
      </w:r>
      <w:bookmarkEnd w:id="385"/>
      <w:bookmarkEnd w:id="386"/>
      <w:bookmarkEnd w:id="387"/>
      <w:bookmarkEnd w:id="388"/>
      <w:bookmarkEnd w:id="389"/>
      <w:bookmarkEnd w:id="390"/>
      <w:bookmarkEnd w:id="391"/>
      <w:bookmarkStart w:id="393" w:name="_Toc2265"/>
      <w:bookmarkStart w:id="394" w:name="_Toc21962"/>
      <w:bookmarkStart w:id="395" w:name="_Toc5108"/>
      <w:bookmarkStart w:id="396" w:name="_Toc1221"/>
      <w:bookmarkStart w:id="397" w:name="_Toc10427"/>
      <w:r>
        <w:rPr>
          <w:rFonts w:hint="eastAsia" w:ascii="宋体" w:hAnsi="宋体" w:cs="宋体"/>
          <w:b/>
          <w:color w:val="auto"/>
          <w:sz w:val="32"/>
          <w:szCs w:val="32"/>
          <w:lang w:val="en-US" w:eastAsia="zh-CN"/>
        </w:rPr>
        <w:t>中小企业、监狱企业、残疾人福利单位声明函或证明</w:t>
      </w:r>
      <w:bookmarkEnd w:id="392"/>
    </w:p>
    <w:p w14:paraId="63F2566B">
      <w:pPr>
        <w:pStyle w:val="9"/>
        <w:outlineLvl w:val="9"/>
        <w:rPr>
          <w:rFonts w:hint="eastAsia" w:ascii="宋体" w:hAnsi="宋体" w:eastAsia="宋体" w:cs="宋体"/>
          <w:color w:val="auto"/>
          <w:lang w:val="en-US"/>
        </w:rPr>
      </w:pPr>
    </w:p>
    <w:p w14:paraId="3C173CAC">
      <w:pPr>
        <w:spacing w:line="500" w:lineRule="exact"/>
        <w:jc w:val="center"/>
        <w:outlineLvl w:val="9"/>
        <w:rPr>
          <w:rFonts w:hint="eastAsia" w:ascii="宋体" w:hAnsi="宋体" w:eastAsia="宋体" w:cs="宋体"/>
          <w:b/>
          <w:color w:val="auto"/>
          <w:spacing w:val="6"/>
          <w:sz w:val="28"/>
          <w:szCs w:val="28"/>
        </w:rPr>
      </w:pPr>
      <w:bookmarkStart w:id="398" w:name="_Toc25215"/>
      <w:bookmarkStart w:id="399" w:name="_Toc6863"/>
      <w:bookmarkStart w:id="400" w:name="_Toc15759"/>
      <w:bookmarkStart w:id="401" w:name="_Toc8674"/>
      <w:r>
        <w:rPr>
          <w:rFonts w:hint="eastAsia" w:ascii="宋体" w:hAnsi="宋体" w:eastAsia="宋体" w:cs="宋体"/>
          <w:b/>
          <w:color w:val="auto"/>
          <w:spacing w:val="6"/>
          <w:sz w:val="28"/>
          <w:szCs w:val="28"/>
        </w:rPr>
        <w:t>1.</w:t>
      </w:r>
      <w:r>
        <w:rPr>
          <w:rFonts w:hint="eastAsia" w:ascii="宋体" w:hAnsi="宋体" w:cs="宋体"/>
          <w:b/>
          <w:color w:val="auto"/>
          <w:spacing w:val="6"/>
          <w:sz w:val="28"/>
          <w:szCs w:val="28"/>
          <w:lang w:val="en-US" w:eastAsia="zh-CN"/>
        </w:rPr>
        <w:t>中小</w:t>
      </w:r>
      <w:r>
        <w:rPr>
          <w:rFonts w:hint="eastAsia" w:ascii="宋体" w:hAnsi="宋体" w:eastAsia="宋体" w:cs="宋体"/>
          <w:b/>
          <w:color w:val="auto"/>
          <w:spacing w:val="6"/>
          <w:sz w:val="28"/>
          <w:szCs w:val="28"/>
        </w:rPr>
        <w:t>企业声明函</w:t>
      </w:r>
      <w:bookmarkEnd w:id="398"/>
      <w:bookmarkEnd w:id="399"/>
      <w:bookmarkEnd w:id="400"/>
    </w:p>
    <w:p w14:paraId="627E9898">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宋体"/>
          <w:color w:val="auto"/>
          <w:sz w:val="24"/>
          <w:u w:val="single"/>
        </w:rPr>
        <w:t>（单位名称）</w:t>
      </w:r>
      <w:r>
        <w:rPr>
          <w:rFonts w:hint="eastAsia" w:ascii="宋体" w:hAnsi="宋体" w:eastAsia="宋体" w:cs="宋体"/>
          <w:color w:val="auto"/>
          <w:sz w:val="24"/>
        </w:rPr>
        <w:t>的</w:t>
      </w:r>
      <w:r>
        <w:rPr>
          <w:rFonts w:hint="eastAsia" w:ascii="宋体" w:hAnsi="宋体" w:eastAsia="宋体" w:cs="宋体"/>
          <w:color w:val="auto"/>
          <w:sz w:val="24"/>
          <w:u w:val="single"/>
        </w:rPr>
        <w:t>（项目名称）</w:t>
      </w:r>
      <w:r>
        <w:rPr>
          <w:rFonts w:hint="eastAsia" w:ascii="宋体" w:hAnsi="宋体" w:eastAsia="宋体" w:cs="宋体"/>
          <w:color w:val="auto"/>
          <w:sz w:val="24"/>
        </w:rPr>
        <w:t>采购活动，</w:t>
      </w:r>
      <w:r>
        <w:rPr>
          <w:rFonts w:hint="eastAsia" w:ascii="宋体" w:hAnsi="宋体" w:eastAsia="宋体" w:cs="宋体"/>
          <w:color w:val="auto"/>
          <w:sz w:val="24"/>
          <w:lang w:val="en-US" w:eastAsia="zh-CN"/>
        </w:rPr>
        <w:t>工程的施工单位全部为符合政策要求的</w:t>
      </w:r>
      <w:r>
        <w:rPr>
          <w:rFonts w:hint="eastAsia" w:ascii="宋体" w:hAnsi="宋体" w:cs="宋体"/>
          <w:color w:val="auto"/>
          <w:sz w:val="24"/>
          <w:lang w:val="en-US" w:eastAsia="zh-CN"/>
        </w:rPr>
        <w:t>中小</w:t>
      </w:r>
      <w:r>
        <w:rPr>
          <w:rFonts w:hint="eastAsia" w:ascii="宋体" w:hAnsi="宋体" w:eastAsia="宋体" w:cs="宋体"/>
          <w:color w:val="auto"/>
          <w:sz w:val="24"/>
          <w:lang w:val="en-US" w:eastAsia="zh-CN"/>
        </w:rPr>
        <w:t>企业。相关企业（含联合体中的</w:t>
      </w:r>
      <w:r>
        <w:rPr>
          <w:rFonts w:hint="eastAsia" w:ascii="宋体" w:hAnsi="宋体" w:cs="宋体"/>
          <w:color w:val="auto"/>
          <w:sz w:val="24"/>
          <w:lang w:val="en-US" w:eastAsia="zh-CN"/>
        </w:rPr>
        <w:t>中小</w:t>
      </w:r>
      <w:r>
        <w:rPr>
          <w:rFonts w:hint="eastAsia" w:ascii="宋体" w:hAnsi="宋体" w:eastAsia="宋体" w:cs="宋体"/>
          <w:color w:val="auto"/>
          <w:sz w:val="24"/>
          <w:lang w:val="en-US" w:eastAsia="zh-CN"/>
        </w:rPr>
        <w:t>企业、签订分包意向协议的</w:t>
      </w:r>
      <w:r>
        <w:rPr>
          <w:rFonts w:hint="eastAsia" w:ascii="宋体" w:hAnsi="宋体" w:cs="宋体"/>
          <w:color w:val="auto"/>
          <w:sz w:val="24"/>
          <w:lang w:val="en-US" w:eastAsia="zh-CN"/>
        </w:rPr>
        <w:t>中小</w:t>
      </w:r>
      <w:r>
        <w:rPr>
          <w:rFonts w:hint="eastAsia" w:ascii="宋体" w:hAnsi="宋体" w:eastAsia="宋体" w:cs="宋体"/>
          <w:color w:val="auto"/>
          <w:sz w:val="24"/>
          <w:lang w:val="en-US" w:eastAsia="zh-CN"/>
        </w:rPr>
        <w:t>企业）的具体情 况如下</w:t>
      </w:r>
      <w:r>
        <w:rPr>
          <w:rFonts w:hint="eastAsia" w:ascii="宋体" w:hAnsi="宋体" w:eastAsia="宋体" w:cs="宋体"/>
          <w:color w:val="auto"/>
          <w:sz w:val="24"/>
        </w:rPr>
        <w:t>：</w:t>
      </w:r>
    </w:p>
    <w:p w14:paraId="51E43394">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（小型企业、微型企业</w:t>
      </w:r>
      <w:r>
        <w:rPr>
          <w:rFonts w:hint="eastAsia" w:ascii="宋体" w:hAnsi="宋体" w:cs="宋体"/>
          <w:color w:val="auto"/>
          <w:sz w:val="24"/>
          <w:lang w:eastAsia="zh-CN"/>
        </w:rPr>
        <w:t>、</w:t>
      </w:r>
      <w:r>
        <w:rPr>
          <w:rFonts w:hint="eastAsia" w:ascii="宋体" w:hAnsi="宋体" w:cs="宋体"/>
          <w:color w:val="auto"/>
          <w:sz w:val="24"/>
          <w:lang w:val="en-US" w:eastAsia="zh-CN"/>
        </w:rPr>
        <w:t>中</w:t>
      </w:r>
      <w:r>
        <w:rPr>
          <w:rFonts w:hint="eastAsia" w:ascii="宋体" w:hAnsi="宋体" w:eastAsia="宋体" w:cs="宋体"/>
          <w:color w:val="auto"/>
          <w:sz w:val="24"/>
        </w:rPr>
        <w:t>型企业）；</w:t>
      </w:r>
    </w:p>
    <w:p w14:paraId="3A815CF5">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（小型企业、微型企业）；</w:t>
      </w:r>
    </w:p>
    <w:p w14:paraId="00BA4E41">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14:paraId="14AB5AF7">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以上企业，不属于大企业的分支机构，不存在控股股东为大企业的情形，也不存在与大企业的负责人为同一人的情形。</w:t>
      </w:r>
    </w:p>
    <w:p w14:paraId="3FE85AA6">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本企业对上述声明内容的真实性负责。如有虚假，将依法承担相应责任。</w:t>
      </w:r>
    </w:p>
    <w:p w14:paraId="44CF0E11">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14:paraId="6824DBEE">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日期：</w:t>
      </w:r>
    </w:p>
    <w:p w14:paraId="05ACD7CF">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备注：</w:t>
      </w:r>
    </w:p>
    <w:p w14:paraId="57EC9027">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 xml:space="preserve">从业人员、营业收入、资产总额填报上一年度数据，无上一年度数据的新成立企业可不填报。 </w:t>
      </w:r>
    </w:p>
    <w:p w14:paraId="12365045">
      <w:pPr>
        <w:spacing w:line="500" w:lineRule="exact"/>
        <w:jc w:val="center"/>
        <w:outlineLvl w:val="9"/>
        <w:rPr>
          <w:rFonts w:hint="eastAsia" w:ascii="宋体" w:hAnsi="宋体" w:eastAsia="宋体" w:cs="宋体"/>
          <w:b/>
          <w:color w:val="auto"/>
          <w:spacing w:val="6"/>
          <w:sz w:val="28"/>
          <w:szCs w:val="28"/>
        </w:rPr>
        <w:sectPr>
          <w:footerReference r:id="rId14" w:type="default"/>
          <w:pgSz w:w="11905" w:h="16838"/>
          <w:pgMar w:top="1219" w:right="1803" w:bottom="1219" w:left="1803" w:header="850" w:footer="850" w:gutter="0"/>
          <w:pgNumType w:fmt="decimal"/>
          <w:cols w:space="0" w:num="1"/>
          <w:rtlGutter w:val="0"/>
          <w:docGrid w:type="lines" w:linePitch="313" w:charSpace="0"/>
        </w:sectPr>
      </w:pPr>
    </w:p>
    <w:p w14:paraId="157070FC">
      <w:pPr>
        <w:spacing w:line="500" w:lineRule="exact"/>
        <w:jc w:val="center"/>
        <w:outlineLvl w:val="9"/>
        <w:rPr>
          <w:rFonts w:hint="eastAsia" w:ascii="宋体" w:hAnsi="宋体" w:eastAsia="宋体" w:cs="宋体"/>
          <w:b/>
          <w:color w:val="auto"/>
          <w:spacing w:val="6"/>
          <w:sz w:val="28"/>
          <w:szCs w:val="28"/>
        </w:rPr>
      </w:pPr>
      <w:r>
        <w:rPr>
          <w:rFonts w:hint="eastAsia" w:ascii="宋体" w:hAnsi="宋体" w:eastAsia="宋体" w:cs="宋体"/>
          <w:b/>
          <w:color w:val="auto"/>
          <w:spacing w:val="6"/>
          <w:sz w:val="28"/>
          <w:szCs w:val="28"/>
        </w:rPr>
        <w:t>2.残疾人福利性单位声明函</w:t>
      </w:r>
      <w:bookmarkEnd w:id="401"/>
    </w:p>
    <w:p w14:paraId="153AC738">
      <w:pPr>
        <w:spacing w:line="500" w:lineRule="exact"/>
        <w:jc w:val="center"/>
        <w:outlineLvl w:val="9"/>
        <w:rPr>
          <w:rFonts w:hint="eastAsia" w:ascii="宋体" w:hAnsi="宋体" w:eastAsia="宋体" w:cs="宋体"/>
          <w:color w:val="auto"/>
          <w:sz w:val="24"/>
        </w:rPr>
      </w:pPr>
      <w:r>
        <w:rPr>
          <w:rFonts w:hint="eastAsia" w:ascii="宋体" w:hAnsi="宋体" w:eastAsia="宋体" w:cs="宋体"/>
          <w:color w:val="auto"/>
          <w:sz w:val="24"/>
        </w:rPr>
        <w:t>（注：符合条件的残疾人福利性单位请提供本函，不符合的不提供本函）</w:t>
      </w:r>
    </w:p>
    <w:p w14:paraId="005ED8D2">
      <w:pPr>
        <w:pStyle w:val="9"/>
        <w:outlineLvl w:val="9"/>
        <w:rPr>
          <w:rFonts w:hint="eastAsia" w:ascii="宋体" w:hAnsi="宋体" w:eastAsia="宋体" w:cs="宋体"/>
          <w:color w:val="auto"/>
        </w:rPr>
      </w:pPr>
    </w:p>
    <w:p w14:paraId="2E1600FB">
      <w:pPr>
        <w:spacing w:line="500"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 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z w:val="24"/>
          <w:u w:val="single"/>
        </w:rPr>
        <w:t xml:space="preserve">            </w:t>
      </w:r>
      <w:r>
        <w:rPr>
          <w:rFonts w:hint="eastAsia" w:ascii="宋体" w:hAnsi="宋体" w:eastAsia="宋体" w:cs="宋体"/>
          <w:color w:val="auto"/>
          <w:spacing w:val="6"/>
          <w:sz w:val="24"/>
        </w:rPr>
        <w:t>单位的</w:t>
      </w:r>
      <w:r>
        <w:rPr>
          <w:rFonts w:hint="eastAsia" w:ascii="宋体" w:hAnsi="宋体" w:eastAsia="宋体" w:cs="宋体"/>
          <w:b/>
          <w:bCs/>
          <w:color w:val="auto"/>
          <w:spacing w:val="6"/>
          <w:sz w:val="24"/>
          <w:u w:val="single"/>
        </w:rPr>
        <w:t xml:space="preserve">         </w:t>
      </w:r>
      <w:r>
        <w:rPr>
          <w:rFonts w:hint="eastAsia" w:ascii="宋体" w:hAnsi="宋体" w:eastAsia="宋体" w:cs="宋体"/>
          <w:color w:val="auto"/>
          <w:spacing w:val="6"/>
          <w:sz w:val="24"/>
        </w:rPr>
        <w:t>项目采购活动提供本单位制造的货物（由本单位承担工程/提供服务），或者提供其他残疾人福利性单位制造的货物（不包括使用非残疾人福利性单位注册商标的货物）。</w:t>
      </w:r>
    </w:p>
    <w:p w14:paraId="07EBA2E9">
      <w:pPr>
        <w:spacing w:line="500"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14:paraId="0A0F4A70">
      <w:pPr>
        <w:spacing w:line="500" w:lineRule="exact"/>
        <w:outlineLvl w:val="9"/>
        <w:rPr>
          <w:rFonts w:hint="eastAsia" w:ascii="宋体" w:hAnsi="宋体" w:eastAsia="宋体" w:cs="宋体"/>
          <w:color w:val="auto"/>
          <w:spacing w:val="6"/>
          <w:sz w:val="24"/>
        </w:rPr>
      </w:pPr>
    </w:p>
    <w:p w14:paraId="088F6984">
      <w:pPr>
        <w:tabs>
          <w:tab w:val="left" w:pos="4860"/>
        </w:tabs>
        <w:spacing w:line="500" w:lineRule="exact"/>
        <w:ind w:right="1560" w:firstLine="504" w:firstLineChars="200"/>
        <w:jc w:val="center"/>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                                  单位名称（盖章）：</w:t>
      </w:r>
    </w:p>
    <w:p w14:paraId="0E8B2CBB">
      <w:pPr>
        <w:adjustRightInd w:val="0"/>
        <w:snapToGrid w:val="0"/>
        <w:spacing w:line="500" w:lineRule="exact"/>
        <w:ind w:firstLine="630" w:firstLineChars="250"/>
        <w:outlineLvl w:val="9"/>
        <w:rPr>
          <w:rFonts w:hint="eastAsia" w:ascii="宋体" w:hAnsi="宋体" w:eastAsia="宋体" w:cs="宋体"/>
          <w:color w:val="auto"/>
          <w:szCs w:val="21"/>
        </w:rPr>
      </w:pPr>
      <w:r>
        <w:rPr>
          <w:rFonts w:hint="eastAsia" w:ascii="宋体" w:hAnsi="宋体" w:eastAsia="宋体" w:cs="宋体"/>
          <w:color w:val="auto"/>
          <w:spacing w:val="6"/>
          <w:sz w:val="24"/>
        </w:rPr>
        <w:t xml:space="preserve">                                         日  期：</w:t>
      </w:r>
    </w:p>
    <w:p w14:paraId="01FAC37A">
      <w:pPr>
        <w:adjustRightInd w:val="0"/>
        <w:snapToGrid w:val="0"/>
        <w:spacing w:line="500" w:lineRule="exact"/>
        <w:outlineLvl w:val="9"/>
        <w:rPr>
          <w:rFonts w:hint="eastAsia" w:ascii="宋体" w:hAnsi="宋体" w:eastAsia="宋体" w:cs="宋体"/>
          <w:color w:val="auto"/>
          <w:szCs w:val="21"/>
        </w:rPr>
      </w:pPr>
    </w:p>
    <w:p w14:paraId="4A7DCCD8">
      <w:pPr>
        <w:tabs>
          <w:tab w:val="left" w:pos="5670"/>
        </w:tabs>
        <w:ind w:firstLine="566"/>
        <w:outlineLvl w:val="9"/>
        <w:rPr>
          <w:rFonts w:hint="eastAsia" w:ascii="宋体" w:hAnsi="宋体" w:eastAsia="宋体" w:cs="宋体"/>
          <w:color w:val="auto"/>
          <w:szCs w:val="21"/>
        </w:rPr>
      </w:pPr>
      <w:r>
        <w:rPr>
          <w:rFonts w:hint="eastAsia" w:ascii="宋体" w:hAnsi="宋体" w:eastAsia="宋体" w:cs="宋体"/>
          <w:b/>
          <w:bCs/>
          <w:color w:val="auto"/>
          <w:szCs w:val="21"/>
        </w:rPr>
        <w:t>备注：</w:t>
      </w:r>
      <w:r>
        <w:rPr>
          <w:rFonts w:hint="eastAsia" w:ascii="宋体" w:hAnsi="宋体" w:eastAsia="宋体" w:cs="宋体"/>
          <w:color w:val="auto"/>
          <w:szCs w:val="21"/>
        </w:rPr>
        <w:t>项目不分标段的，第___标段空白处填写“/”。</w:t>
      </w:r>
    </w:p>
    <w:p w14:paraId="179F94F3">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根据《财政部 民政部 中国残疾人联合会关于促进残疾人就业政府采购政策的通知》（财库〔2017〕141号）的规定：</w:t>
      </w:r>
    </w:p>
    <w:p w14:paraId="4C529F6B">
      <w:pPr>
        <w:tabs>
          <w:tab w:val="left" w:pos="5670"/>
        </w:tabs>
        <w:ind w:firstLine="420" w:firstLineChars="200"/>
        <w:outlineLvl w:val="9"/>
        <w:rPr>
          <w:rFonts w:hint="eastAsia" w:ascii="宋体" w:hAnsi="宋体" w:eastAsia="宋体" w:cs="宋体"/>
          <w:color w:val="auto"/>
          <w:szCs w:val="21"/>
        </w:rPr>
      </w:pPr>
      <w:r>
        <w:rPr>
          <w:rFonts w:hint="eastAsia" w:ascii="宋体" w:hAnsi="宋体" w:eastAsia="宋体" w:cs="宋体"/>
          <w:color w:val="auto"/>
          <w:szCs w:val="21"/>
        </w:rPr>
        <w:t>一、享受政府采购支持政策的残疾人福利性单位应当同时满足以下条件：</w:t>
      </w:r>
    </w:p>
    <w:p w14:paraId="55340279">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（一）安置的残疾人占本单位在职职工人数的比例不低于25%（含25%），并且安置的残疾人人数不少于10人（含10人）；</w:t>
      </w:r>
    </w:p>
    <w:p w14:paraId="05C5FD7C">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（二）依法与安置的每位残疾人签订了一年以上（含一年）的劳动合同或服务协议；</w:t>
      </w:r>
    </w:p>
    <w:p w14:paraId="2F750813">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（三）为安置的每位残疾人按月足额缴纳了基本养老保险、基本医疗保险、失业保险、工伤保险和生育保险等社会保险费；</w:t>
      </w:r>
    </w:p>
    <w:p w14:paraId="16C916D3">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（四）通过银行等金融机构向安置的每位残疾人，按月支付了不低于单位所在区县适用的经省级人民政府批准的月最低工资标准的工资；</w:t>
      </w:r>
    </w:p>
    <w:p w14:paraId="09E4B2D2">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（五）提供本单位承担的服务（以下简称产品），或者提供其他残疾人福利性单位提供的服。</w:t>
      </w:r>
    </w:p>
    <w:p w14:paraId="79F55775">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DAB9499">
      <w:pPr>
        <w:tabs>
          <w:tab w:val="left" w:pos="5670"/>
        </w:tabs>
        <w:ind w:firstLine="420" w:firstLineChars="200"/>
        <w:outlineLvl w:val="9"/>
        <w:rPr>
          <w:rFonts w:hint="eastAsia" w:ascii="宋体" w:hAnsi="宋体" w:eastAsia="宋体" w:cs="宋体"/>
          <w:color w:val="auto"/>
          <w:szCs w:val="21"/>
        </w:rPr>
      </w:pPr>
      <w:r>
        <w:rPr>
          <w:rFonts w:hint="eastAsia" w:ascii="宋体" w:hAnsi="宋体" w:eastAsia="宋体" w:cs="宋体"/>
          <w:color w:val="auto"/>
          <w:szCs w:val="21"/>
        </w:rPr>
        <w:t>二、中标、成交供应商为残疾人福利性单位的，采购人或者其委托的采购代理机构应当随中标、成交结果同时公告其《残疾人福利性单位声明函》，接受社会监督。</w:t>
      </w:r>
    </w:p>
    <w:p w14:paraId="243FF458">
      <w:pPr>
        <w:tabs>
          <w:tab w:val="left" w:pos="5670"/>
        </w:tabs>
        <w:jc w:val="center"/>
        <w:outlineLvl w:val="9"/>
        <w:rPr>
          <w:rFonts w:hint="eastAsia" w:ascii="宋体" w:hAnsi="宋体" w:eastAsia="宋体" w:cs="宋体"/>
          <w:b/>
          <w:color w:val="auto"/>
          <w:spacing w:val="6"/>
          <w:sz w:val="28"/>
          <w:szCs w:val="28"/>
        </w:rPr>
      </w:pPr>
      <w:r>
        <w:rPr>
          <w:rFonts w:hint="eastAsia" w:ascii="宋体" w:hAnsi="宋体" w:eastAsia="宋体" w:cs="宋体"/>
          <w:b/>
          <w:bCs/>
          <w:color w:val="auto"/>
          <w:sz w:val="36"/>
          <w:szCs w:val="36"/>
        </w:rPr>
        <w:br w:type="page"/>
      </w:r>
      <w:bookmarkStart w:id="402" w:name="_Toc23398"/>
      <w:r>
        <w:rPr>
          <w:rFonts w:hint="eastAsia" w:ascii="宋体" w:hAnsi="宋体" w:eastAsia="宋体" w:cs="宋体"/>
          <w:b/>
          <w:bCs/>
          <w:color w:val="auto"/>
          <w:sz w:val="28"/>
          <w:szCs w:val="28"/>
        </w:rPr>
        <w:t>3.</w:t>
      </w:r>
      <w:r>
        <w:rPr>
          <w:rFonts w:hint="eastAsia" w:ascii="宋体" w:hAnsi="宋体" w:eastAsia="宋体" w:cs="宋体"/>
          <w:b/>
          <w:color w:val="auto"/>
          <w:spacing w:val="6"/>
          <w:sz w:val="28"/>
          <w:szCs w:val="28"/>
        </w:rPr>
        <w:t>监狱企业证明函</w:t>
      </w:r>
      <w:bookmarkEnd w:id="402"/>
    </w:p>
    <w:p w14:paraId="773D1005">
      <w:pPr>
        <w:jc w:val="center"/>
        <w:outlineLvl w:val="9"/>
        <w:rPr>
          <w:rFonts w:hint="eastAsia" w:ascii="宋体" w:hAnsi="宋体" w:eastAsia="宋体" w:cs="宋体"/>
          <w:color w:val="auto"/>
          <w:sz w:val="24"/>
        </w:rPr>
      </w:pPr>
      <w:r>
        <w:rPr>
          <w:rFonts w:hint="eastAsia" w:ascii="宋体" w:hAnsi="宋体" w:eastAsia="宋体" w:cs="宋体"/>
          <w:color w:val="auto"/>
          <w:sz w:val="24"/>
        </w:rPr>
        <w:t>（注：符合条件的监狱企业请提供本函，不符合的不提供本函）</w:t>
      </w:r>
    </w:p>
    <w:p w14:paraId="05AAA859">
      <w:pPr>
        <w:outlineLvl w:val="9"/>
        <w:rPr>
          <w:rFonts w:hint="eastAsia" w:ascii="宋体" w:hAnsi="宋体" w:eastAsia="宋体" w:cs="宋体"/>
          <w:color w:val="auto"/>
        </w:rPr>
      </w:pPr>
    </w:p>
    <w:p w14:paraId="4CF1E6F4">
      <w:pPr>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监狱企业参加政府采购活动，要求享受相关优惠政策的，应当提供由省级以上监狱管理局、戒毒管理局（含新疆生产建设兵团）出具的属于监狱企业的证明文件。</w:t>
      </w:r>
    </w:p>
    <w:p w14:paraId="6E871076">
      <w:pPr>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70C1CC6">
      <w:pPr>
        <w:pStyle w:val="19"/>
        <w:ind w:firstLine="183"/>
        <w:outlineLvl w:val="9"/>
        <w:rPr>
          <w:rFonts w:hint="eastAsia" w:ascii="宋体" w:hAnsi="宋体" w:eastAsia="宋体" w:cs="宋体"/>
          <w:color w:val="auto"/>
        </w:rPr>
      </w:pPr>
    </w:p>
    <w:p w14:paraId="26C777D6">
      <w:pPr>
        <w:outlineLvl w:val="9"/>
        <w:rPr>
          <w:rFonts w:hint="eastAsia" w:ascii="宋体" w:hAnsi="宋体" w:eastAsia="宋体" w:cs="宋体"/>
          <w:color w:val="auto"/>
        </w:rPr>
      </w:pPr>
    </w:p>
    <w:p w14:paraId="03835949">
      <w:pPr>
        <w:outlineLvl w:val="9"/>
        <w:rPr>
          <w:rFonts w:hint="eastAsia" w:ascii="宋体" w:hAnsi="宋体" w:eastAsia="宋体" w:cs="宋体"/>
          <w:color w:val="auto"/>
        </w:rPr>
      </w:pPr>
    </w:p>
    <w:p w14:paraId="6D7D6D29">
      <w:pPr>
        <w:outlineLvl w:val="9"/>
        <w:rPr>
          <w:rFonts w:hint="eastAsia" w:ascii="宋体" w:hAnsi="宋体" w:eastAsia="宋体" w:cs="宋体"/>
          <w:color w:val="auto"/>
        </w:rPr>
      </w:pPr>
    </w:p>
    <w:p w14:paraId="0BFBB699">
      <w:pPr>
        <w:outlineLvl w:val="9"/>
        <w:rPr>
          <w:rFonts w:hint="eastAsia" w:ascii="宋体" w:hAnsi="宋体" w:eastAsia="宋体" w:cs="宋体"/>
          <w:color w:val="auto"/>
        </w:rPr>
      </w:pPr>
    </w:p>
    <w:p w14:paraId="57EEB0E2">
      <w:pPr>
        <w:outlineLvl w:val="9"/>
        <w:rPr>
          <w:rFonts w:hint="eastAsia" w:ascii="宋体" w:hAnsi="宋体" w:eastAsia="宋体" w:cs="宋体"/>
          <w:color w:val="auto"/>
        </w:rPr>
      </w:pPr>
    </w:p>
    <w:p w14:paraId="6E7DD95D">
      <w:pPr>
        <w:outlineLvl w:val="9"/>
        <w:rPr>
          <w:rFonts w:hint="eastAsia" w:ascii="宋体" w:hAnsi="宋体" w:eastAsia="宋体" w:cs="宋体"/>
          <w:color w:val="auto"/>
        </w:rPr>
      </w:pPr>
    </w:p>
    <w:p w14:paraId="24237B78">
      <w:pPr>
        <w:widowControl/>
        <w:jc w:val="left"/>
        <w:outlineLvl w:val="9"/>
        <w:rPr>
          <w:rFonts w:hint="eastAsia" w:ascii="宋体" w:hAnsi="宋体" w:eastAsia="宋体" w:cs="宋体"/>
          <w:color w:val="auto"/>
          <w:kern w:val="0"/>
          <w:sz w:val="24"/>
          <w:u w:val="single"/>
        </w:rPr>
      </w:pPr>
      <w:r>
        <w:rPr>
          <w:rFonts w:hint="eastAsia" w:ascii="宋体" w:hAnsi="宋体" w:eastAsia="宋体" w:cs="宋体"/>
          <w:color w:val="auto"/>
        </w:rPr>
        <w:tab/>
      </w:r>
      <w:r>
        <w:rPr>
          <w:rFonts w:hint="eastAsia" w:ascii="宋体" w:hAnsi="宋体" w:eastAsia="宋体" w:cs="宋体"/>
          <w:color w:val="auto"/>
        </w:rPr>
        <w:t xml:space="preserve"> </w:t>
      </w:r>
      <w:r>
        <w:rPr>
          <w:rFonts w:hint="eastAsia" w:ascii="宋体" w:hAnsi="宋体" w:eastAsia="宋体" w:cs="宋体"/>
          <w:color w:val="auto"/>
          <w:kern w:val="0"/>
          <w:sz w:val="24"/>
        </w:rPr>
        <w:t>供应商（盖章）：</w:t>
      </w:r>
      <w:r>
        <w:rPr>
          <w:rFonts w:hint="eastAsia" w:ascii="宋体" w:hAnsi="宋体" w:eastAsia="宋体" w:cs="宋体"/>
          <w:color w:val="auto"/>
          <w:kern w:val="0"/>
          <w:sz w:val="24"/>
          <w:u w:val="single"/>
        </w:rPr>
        <w:t xml:space="preserve">                                               </w:t>
      </w:r>
    </w:p>
    <w:p w14:paraId="361242C4">
      <w:pPr>
        <w:widowControl/>
        <w:ind w:firstLine="482"/>
        <w:jc w:val="left"/>
        <w:outlineLvl w:val="9"/>
        <w:rPr>
          <w:rFonts w:hint="eastAsia" w:ascii="宋体" w:hAnsi="宋体" w:eastAsia="宋体" w:cs="宋体"/>
          <w:color w:val="auto"/>
          <w:kern w:val="0"/>
          <w:sz w:val="24"/>
        </w:rPr>
      </w:pPr>
    </w:p>
    <w:p w14:paraId="1772A108">
      <w:pPr>
        <w:widowControl/>
        <w:ind w:firstLine="480" w:firstLineChars="200"/>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779A09E9">
      <w:pPr>
        <w:widowControl/>
        <w:ind w:firstLine="482"/>
        <w:jc w:val="left"/>
        <w:outlineLvl w:val="9"/>
        <w:rPr>
          <w:rFonts w:hint="eastAsia" w:ascii="宋体" w:hAnsi="宋体" w:eastAsia="宋体" w:cs="宋体"/>
          <w:color w:val="auto"/>
          <w:kern w:val="0"/>
          <w:sz w:val="24"/>
          <w:u w:val="single"/>
        </w:rPr>
      </w:pPr>
    </w:p>
    <w:p w14:paraId="55A1E1F9">
      <w:pPr>
        <w:widowControl/>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6EC8B0A0">
      <w:pPr>
        <w:pStyle w:val="12"/>
        <w:outlineLvl w:val="9"/>
        <w:rPr>
          <w:rFonts w:hint="eastAsia" w:ascii="宋体" w:hAnsi="宋体" w:eastAsia="宋体" w:cs="宋体"/>
          <w:color w:val="auto"/>
          <w:kern w:val="0"/>
          <w:sz w:val="24"/>
        </w:rPr>
      </w:pPr>
    </w:p>
    <w:p w14:paraId="468C3571">
      <w:pPr>
        <w:kinsoku w:val="0"/>
        <w:spacing w:line="360" w:lineRule="auto"/>
        <w:ind w:firstLine="1205" w:firstLineChars="500"/>
        <w:outlineLvl w:val="9"/>
        <w:rPr>
          <w:rFonts w:hint="eastAsia" w:ascii="宋体" w:hAnsi="宋体" w:cs="宋体"/>
          <w:b/>
          <w:bCs/>
          <w:color w:val="auto"/>
          <w:sz w:val="24"/>
          <w:szCs w:val="24"/>
        </w:rPr>
      </w:pPr>
    </w:p>
    <w:p w14:paraId="5D2F464F">
      <w:pPr>
        <w:spacing w:line="240" w:lineRule="auto"/>
        <w:jc w:val="center"/>
        <w:outlineLvl w:val="9"/>
        <w:rPr>
          <w:rFonts w:hint="eastAsia"/>
          <w:color w:val="auto"/>
          <w:sz w:val="36"/>
          <w:szCs w:val="16"/>
        </w:rPr>
      </w:pPr>
    </w:p>
    <w:p w14:paraId="0EEA653E">
      <w:pPr>
        <w:outlineLvl w:val="9"/>
        <w:rPr>
          <w:rFonts w:hint="eastAsia"/>
          <w:color w:val="auto"/>
          <w:sz w:val="36"/>
          <w:szCs w:val="16"/>
        </w:rPr>
      </w:pPr>
    </w:p>
    <w:p w14:paraId="02B4EC0E">
      <w:pPr>
        <w:pStyle w:val="9"/>
        <w:outlineLvl w:val="9"/>
        <w:rPr>
          <w:rFonts w:hint="eastAsia"/>
          <w:color w:val="auto"/>
          <w:sz w:val="36"/>
          <w:szCs w:val="16"/>
        </w:rPr>
      </w:pPr>
    </w:p>
    <w:bookmarkEnd w:id="393"/>
    <w:bookmarkEnd w:id="394"/>
    <w:bookmarkEnd w:id="395"/>
    <w:bookmarkEnd w:id="396"/>
    <w:bookmarkEnd w:id="397"/>
    <w:p w14:paraId="66F83B7C">
      <w:pPr>
        <w:pStyle w:val="9"/>
        <w:outlineLvl w:val="9"/>
        <w:rPr>
          <w:rFonts w:hint="eastAsia" w:ascii="宋体" w:hAnsi="宋体" w:cs="宋体"/>
          <w:color w:val="auto"/>
          <w:sz w:val="36"/>
          <w:szCs w:val="36"/>
        </w:rPr>
      </w:pPr>
      <w:bookmarkStart w:id="403" w:name="_Toc8066"/>
      <w:bookmarkStart w:id="404" w:name="_Toc2007"/>
      <w:bookmarkStart w:id="405" w:name="_Toc3658"/>
    </w:p>
    <w:p w14:paraId="5D0EB3D9">
      <w:pPr>
        <w:outlineLvl w:val="9"/>
        <w:rPr>
          <w:rFonts w:hint="eastAsia" w:ascii="宋体" w:hAnsi="宋体" w:cs="宋体"/>
          <w:color w:val="auto"/>
          <w:sz w:val="36"/>
          <w:szCs w:val="36"/>
        </w:rPr>
      </w:pPr>
    </w:p>
    <w:p w14:paraId="6AB897D9">
      <w:pPr>
        <w:pStyle w:val="9"/>
        <w:outlineLvl w:val="9"/>
        <w:rPr>
          <w:rFonts w:hint="eastAsia" w:ascii="宋体" w:hAnsi="宋体" w:cs="宋体"/>
          <w:color w:val="auto"/>
          <w:sz w:val="36"/>
          <w:szCs w:val="36"/>
        </w:rPr>
      </w:pPr>
    </w:p>
    <w:p w14:paraId="664C137F">
      <w:pPr>
        <w:outlineLvl w:val="9"/>
        <w:rPr>
          <w:rFonts w:hint="eastAsia" w:ascii="宋体" w:hAnsi="宋体" w:cs="宋体"/>
          <w:color w:val="auto"/>
          <w:sz w:val="36"/>
          <w:szCs w:val="36"/>
        </w:rPr>
      </w:pPr>
    </w:p>
    <w:p w14:paraId="133BCC40">
      <w:pPr>
        <w:adjustRightInd w:val="0"/>
        <w:snapToGrid w:val="0"/>
        <w:spacing w:line="500" w:lineRule="exact"/>
        <w:jc w:val="center"/>
        <w:outlineLvl w:val="0"/>
        <w:rPr>
          <w:b/>
          <w:bCs/>
          <w:color w:val="auto"/>
          <w:sz w:val="32"/>
          <w:szCs w:val="28"/>
        </w:rPr>
      </w:pPr>
      <w:bookmarkStart w:id="406" w:name="_Toc1810"/>
      <w:bookmarkStart w:id="407" w:name="_Toc11256"/>
      <w:bookmarkStart w:id="408" w:name="_Toc7372"/>
      <w:bookmarkStart w:id="409" w:name="_Toc30245"/>
      <w:bookmarkStart w:id="410" w:name="_Toc26945"/>
      <w:bookmarkStart w:id="411" w:name="_Toc13397"/>
      <w:bookmarkStart w:id="412" w:name="_Toc25531"/>
      <w:bookmarkStart w:id="413" w:name="_Toc23524"/>
      <w:bookmarkStart w:id="414" w:name="_Toc10444"/>
      <w:bookmarkStart w:id="415" w:name="_Toc3826"/>
      <w:bookmarkStart w:id="416" w:name="_Toc30949"/>
      <w:r>
        <w:rPr>
          <w:rFonts w:hint="eastAsia" w:ascii="宋体" w:hAnsi="宋体" w:cs="宋体"/>
          <w:b/>
          <w:bCs/>
          <w:color w:val="auto"/>
          <w:sz w:val="32"/>
          <w:szCs w:val="28"/>
          <w:lang w:val="en-US" w:eastAsia="zh-CN"/>
        </w:rPr>
        <w:t xml:space="preserve">第八章  </w:t>
      </w:r>
      <w:bookmarkEnd w:id="406"/>
      <w:bookmarkEnd w:id="407"/>
      <w:bookmarkEnd w:id="408"/>
      <w:bookmarkEnd w:id="409"/>
      <w:bookmarkEnd w:id="410"/>
      <w:bookmarkEnd w:id="411"/>
      <w:bookmarkEnd w:id="412"/>
      <w:bookmarkEnd w:id="413"/>
      <w:bookmarkEnd w:id="414"/>
      <w:bookmarkStart w:id="417" w:name="_Toc4420"/>
      <w:bookmarkStart w:id="418" w:name="_Toc27221"/>
      <w:r>
        <w:rPr>
          <w:rFonts w:hint="eastAsia" w:ascii="宋体" w:hAnsi="宋体" w:cs="宋体"/>
          <w:b/>
          <w:bCs/>
          <w:color w:val="auto"/>
          <w:sz w:val="32"/>
          <w:szCs w:val="28"/>
        </w:rPr>
        <w:t>关于信用承诺网上公示的通知及操作指南</w:t>
      </w:r>
      <w:bookmarkEnd w:id="415"/>
      <w:bookmarkEnd w:id="416"/>
      <w:bookmarkEnd w:id="417"/>
      <w:bookmarkEnd w:id="418"/>
    </w:p>
    <w:p w14:paraId="51074CEA">
      <w:pPr>
        <w:bidi w:val="0"/>
        <w:outlineLvl w:val="9"/>
        <w:rPr>
          <w:rFonts w:hint="eastAsia"/>
          <w:color w:val="auto"/>
          <w:sz w:val="36"/>
          <w:szCs w:val="36"/>
        </w:rPr>
      </w:pPr>
    </w:p>
    <w:p w14:paraId="1E1B72B2">
      <w:pPr>
        <w:pStyle w:val="7"/>
        <w:spacing w:line="480" w:lineRule="auto"/>
        <w:ind w:firstLine="0"/>
        <w:jc w:val="center"/>
        <w:outlineLvl w:val="9"/>
        <w:rPr>
          <w:color w:val="auto"/>
        </w:rPr>
        <w:sectPr>
          <w:footerReference r:id="rId15" w:type="default"/>
          <w:pgSz w:w="11905" w:h="16838"/>
          <w:pgMar w:top="1219" w:right="1803" w:bottom="1219" w:left="1803" w:header="850" w:footer="850" w:gutter="0"/>
          <w:pgNumType w:fmt="decimal"/>
          <w:cols w:space="0" w:num="1"/>
          <w:rtlGutter w:val="0"/>
          <w:docGrid w:type="lines" w:linePitch="313" w:charSpace="0"/>
        </w:sectPr>
      </w:pPr>
      <w:r>
        <w:rPr>
          <w:color w:val="auto"/>
        </w:rP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22"/>
                    <a:stretch>
                      <a:fillRect/>
                    </a:stretch>
                  </pic:blipFill>
                  <pic:spPr>
                    <a:xfrm>
                      <a:off x="0" y="0"/>
                      <a:ext cx="5298440" cy="7381240"/>
                    </a:xfrm>
                    <a:prstGeom prst="rect">
                      <a:avLst/>
                    </a:prstGeom>
                    <a:noFill/>
                    <a:ln>
                      <a:noFill/>
                    </a:ln>
                  </pic:spPr>
                </pic:pic>
              </a:graphicData>
            </a:graphic>
          </wp:inline>
        </w:drawing>
      </w:r>
      <w:r>
        <w:rPr>
          <w:color w:val="auto"/>
        </w:rPr>
        <w:drawing>
          <wp:inline distT="0" distB="0" distL="114300" distR="114300">
            <wp:extent cx="5807075" cy="7776210"/>
            <wp:effectExtent l="0" t="0" r="3175" b="15240"/>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23"/>
                    <a:stretch>
                      <a:fillRect/>
                    </a:stretch>
                  </pic:blipFill>
                  <pic:spPr>
                    <a:xfrm>
                      <a:off x="0" y="0"/>
                      <a:ext cx="5807075" cy="7776210"/>
                    </a:xfrm>
                    <a:prstGeom prst="rect">
                      <a:avLst/>
                    </a:prstGeom>
                    <a:noFill/>
                    <a:ln>
                      <a:noFill/>
                    </a:ln>
                  </pic:spPr>
                </pic:pic>
              </a:graphicData>
            </a:graphic>
          </wp:inline>
        </w:drawing>
      </w:r>
    </w:p>
    <w:p w14:paraId="262C7807">
      <w:pPr>
        <w:jc w:val="both"/>
        <w:outlineLvl w:val="9"/>
        <w:rPr>
          <w:color w:val="auto"/>
        </w:rPr>
      </w:pPr>
      <w:r>
        <w:rPr>
          <w:color w:val="auto"/>
        </w:rPr>
        <w:drawing>
          <wp:inline distT="0" distB="0" distL="114300" distR="114300">
            <wp:extent cx="5537200" cy="7781290"/>
            <wp:effectExtent l="0" t="0" r="10160" b="6350"/>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24"/>
                    <a:stretch>
                      <a:fillRect/>
                    </a:stretch>
                  </pic:blipFill>
                  <pic:spPr>
                    <a:xfrm rot="5400000">
                      <a:off x="0" y="0"/>
                      <a:ext cx="5537200" cy="7781290"/>
                    </a:xfrm>
                    <a:prstGeom prst="rect">
                      <a:avLst/>
                    </a:prstGeom>
                    <a:noFill/>
                    <a:ln>
                      <a:noFill/>
                    </a:ln>
                  </pic:spPr>
                </pic:pic>
              </a:graphicData>
            </a:graphic>
          </wp:inline>
        </w:drawing>
      </w:r>
      <w:r>
        <w:rPr>
          <w:color w:val="auto"/>
        </w:rPr>
        <w:drawing>
          <wp:inline distT="0" distB="0" distL="114300" distR="114300">
            <wp:extent cx="5761355" cy="7972425"/>
            <wp:effectExtent l="0" t="0" r="9525" b="1079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25"/>
                    <a:stretch>
                      <a:fillRect/>
                    </a:stretch>
                  </pic:blipFill>
                  <pic:spPr>
                    <a:xfrm rot="5400000">
                      <a:off x="0" y="0"/>
                      <a:ext cx="5761355" cy="7972425"/>
                    </a:xfrm>
                    <a:prstGeom prst="rect">
                      <a:avLst/>
                    </a:prstGeom>
                    <a:noFill/>
                    <a:ln>
                      <a:noFill/>
                    </a:ln>
                  </pic:spPr>
                </pic:pic>
              </a:graphicData>
            </a:graphic>
          </wp:inline>
        </w:drawing>
      </w:r>
      <w:r>
        <w:rPr>
          <w:color w:val="auto"/>
        </w:rPr>
        <w:drawing>
          <wp:inline distT="0" distB="0" distL="114300" distR="114300">
            <wp:extent cx="5375275" cy="7501255"/>
            <wp:effectExtent l="0" t="0" r="4445" b="1587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26"/>
                    <a:stretch>
                      <a:fillRect/>
                    </a:stretch>
                  </pic:blipFill>
                  <pic:spPr>
                    <a:xfrm rot="5400000">
                      <a:off x="0" y="0"/>
                      <a:ext cx="5375275" cy="7501255"/>
                    </a:xfrm>
                    <a:prstGeom prst="rect">
                      <a:avLst/>
                    </a:prstGeom>
                    <a:noFill/>
                    <a:ln>
                      <a:noFill/>
                    </a:ln>
                  </pic:spPr>
                </pic:pic>
              </a:graphicData>
            </a:graphic>
          </wp:inline>
        </w:drawing>
      </w:r>
      <w:r>
        <w:rPr>
          <w:color w:val="auto"/>
        </w:rPr>
        <w:drawing>
          <wp:inline distT="0" distB="0" distL="114300" distR="114300">
            <wp:extent cx="5640070" cy="7687310"/>
            <wp:effectExtent l="0" t="0" r="8890" b="1778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7"/>
                    <a:stretch>
                      <a:fillRect/>
                    </a:stretch>
                  </pic:blipFill>
                  <pic:spPr>
                    <a:xfrm rot="5400000">
                      <a:off x="0" y="0"/>
                      <a:ext cx="5640070" cy="7687310"/>
                    </a:xfrm>
                    <a:prstGeom prst="rect">
                      <a:avLst/>
                    </a:prstGeom>
                    <a:noFill/>
                    <a:ln>
                      <a:noFill/>
                    </a:ln>
                  </pic:spPr>
                </pic:pic>
              </a:graphicData>
            </a:graphic>
          </wp:inline>
        </w:drawing>
      </w:r>
      <w:r>
        <w:rPr>
          <w:color w:val="auto"/>
        </w:rPr>
        <w:drawing>
          <wp:inline distT="0" distB="0" distL="114300" distR="114300">
            <wp:extent cx="5534025" cy="7713980"/>
            <wp:effectExtent l="0" t="0" r="1270" b="952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8"/>
                    <a:stretch>
                      <a:fillRect/>
                    </a:stretch>
                  </pic:blipFill>
                  <pic:spPr>
                    <a:xfrm rot="5400000">
                      <a:off x="0" y="0"/>
                      <a:ext cx="5534025" cy="7713980"/>
                    </a:xfrm>
                    <a:prstGeom prst="rect">
                      <a:avLst/>
                    </a:prstGeom>
                    <a:noFill/>
                    <a:ln>
                      <a:noFill/>
                    </a:ln>
                  </pic:spPr>
                </pic:pic>
              </a:graphicData>
            </a:graphic>
          </wp:inline>
        </w:drawing>
      </w:r>
      <w:r>
        <w:rPr>
          <w:color w:val="auto"/>
        </w:rPr>
        <w:drawing>
          <wp:inline distT="0" distB="0" distL="114300" distR="114300">
            <wp:extent cx="5464175" cy="7693660"/>
            <wp:effectExtent l="0" t="0" r="2540" b="317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9"/>
                    <a:stretch>
                      <a:fillRect/>
                    </a:stretch>
                  </pic:blipFill>
                  <pic:spPr>
                    <a:xfrm rot="5400000">
                      <a:off x="0" y="0"/>
                      <a:ext cx="5464175" cy="7693660"/>
                    </a:xfrm>
                    <a:prstGeom prst="rect">
                      <a:avLst/>
                    </a:prstGeom>
                    <a:noFill/>
                    <a:ln>
                      <a:noFill/>
                    </a:ln>
                  </pic:spPr>
                </pic:pic>
              </a:graphicData>
            </a:graphic>
          </wp:inline>
        </w:drawing>
      </w:r>
      <w:r>
        <w:rPr>
          <w:color w:val="auto"/>
        </w:rPr>
        <w:drawing>
          <wp:inline distT="0" distB="0" distL="114300" distR="114300">
            <wp:extent cx="5580380" cy="7706995"/>
            <wp:effectExtent l="0" t="0" r="8255" b="1270"/>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30"/>
                    <a:stretch>
                      <a:fillRect/>
                    </a:stretch>
                  </pic:blipFill>
                  <pic:spPr>
                    <a:xfrm rot="5400000">
                      <a:off x="0" y="0"/>
                      <a:ext cx="5580380" cy="7706995"/>
                    </a:xfrm>
                    <a:prstGeom prst="rect">
                      <a:avLst/>
                    </a:prstGeom>
                    <a:noFill/>
                    <a:ln>
                      <a:noFill/>
                    </a:ln>
                  </pic:spPr>
                </pic:pic>
              </a:graphicData>
            </a:graphic>
          </wp:inline>
        </w:drawing>
      </w:r>
      <w:r>
        <w:rPr>
          <w:color w:val="auto"/>
        </w:rPr>
        <w:drawing>
          <wp:inline distT="0" distB="0" distL="114300" distR="114300">
            <wp:extent cx="6002020" cy="8295005"/>
            <wp:effectExtent l="0" t="0" r="10795" b="17780"/>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31"/>
                    <a:stretch>
                      <a:fillRect/>
                    </a:stretch>
                  </pic:blipFill>
                  <pic:spPr>
                    <a:xfrm rot="5400000">
                      <a:off x="0" y="0"/>
                      <a:ext cx="6002020" cy="8295005"/>
                    </a:xfrm>
                    <a:prstGeom prst="rect">
                      <a:avLst/>
                    </a:prstGeom>
                    <a:noFill/>
                    <a:ln>
                      <a:noFill/>
                    </a:ln>
                  </pic:spPr>
                </pic:pic>
              </a:graphicData>
            </a:graphic>
          </wp:inline>
        </w:drawing>
      </w:r>
      <w:r>
        <w:rPr>
          <w:color w:val="auto"/>
        </w:rPr>
        <w:drawing>
          <wp:inline distT="0" distB="0" distL="114300" distR="114300">
            <wp:extent cx="5573395" cy="7620000"/>
            <wp:effectExtent l="0" t="0" r="0" b="825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32"/>
                    <a:stretch>
                      <a:fillRect/>
                    </a:stretch>
                  </pic:blipFill>
                  <pic:spPr>
                    <a:xfrm rot="5400000">
                      <a:off x="0" y="0"/>
                      <a:ext cx="5573395" cy="7620000"/>
                    </a:xfrm>
                    <a:prstGeom prst="rect">
                      <a:avLst/>
                    </a:prstGeom>
                    <a:noFill/>
                    <a:ln>
                      <a:noFill/>
                    </a:ln>
                  </pic:spPr>
                </pic:pic>
              </a:graphicData>
            </a:graphic>
          </wp:inline>
        </w:drawing>
      </w:r>
      <w:r>
        <w:rPr>
          <w:color w:val="auto"/>
        </w:rPr>
        <w:drawing>
          <wp:inline distT="0" distB="0" distL="114300" distR="114300">
            <wp:extent cx="5594350" cy="7762240"/>
            <wp:effectExtent l="0" t="0" r="10160" b="635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33"/>
                    <a:stretch>
                      <a:fillRect/>
                    </a:stretch>
                  </pic:blipFill>
                  <pic:spPr>
                    <a:xfrm rot="5400000">
                      <a:off x="0" y="0"/>
                      <a:ext cx="5594350" cy="7762240"/>
                    </a:xfrm>
                    <a:prstGeom prst="rect">
                      <a:avLst/>
                    </a:prstGeom>
                    <a:noFill/>
                    <a:ln>
                      <a:noFill/>
                    </a:ln>
                  </pic:spPr>
                </pic:pic>
              </a:graphicData>
            </a:graphic>
          </wp:inline>
        </w:drawing>
      </w:r>
      <w:r>
        <w:rPr>
          <w:color w:val="auto"/>
        </w:rPr>
        <w:drawing>
          <wp:inline distT="0" distB="0" distL="114300" distR="114300">
            <wp:extent cx="5516245" cy="7505700"/>
            <wp:effectExtent l="0" t="0" r="0" b="8255"/>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34"/>
                    <a:stretch>
                      <a:fillRect/>
                    </a:stretch>
                  </pic:blipFill>
                  <pic:spPr>
                    <a:xfrm rot="5400000">
                      <a:off x="0" y="0"/>
                      <a:ext cx="5516245" cy="7505700"/>
                    </a:xfrm>
                    <a:prstGeom prst="rect">
                      <a:avLst/>
                    </a:prstGeom>
                    <a:noFill/>
                    <a:ln>
                      <a:noFill/>
                    </a:ln>
                  </pic:spPr>
                </pic:pic>
              </a:graphicData>
            </a:graphic>
          </wp:inline>
        </w:drawing>
      </w:r>
      <w:r>
        <w:rPr>
          <w:color w:val="auto"/>
        </w:rPr>
        <w:drawing>
          <wp:inline distT="0" distB="0" distL="114300" distR="114300">
            <wp:extent cx="5575935" cy="7753985"/>
            <wp:effectExtent l="0" t="0" r="18415" b="571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35"/>
                    <a:stretch>
                      <a:fillRect/>
                    </a:stretch>
                  </pic:blipFill>
                  <pic:spPr>
                    <a:xfrm rot="5400000">
                      <a:off x="0" y="0"/>
                      <a:ext cx="5575935" cy="7753985"/>
                    </a:xfrm>
                    <a:prstGeom prst="rect">
                      <a:avLst/>
                    </a:prstGeom>
                    <a:noFill/>
                    <a:ln>
                      <a:noFill/>
                    </a:ln>
                  </pic:spPr>
                </pic:pic>
              </a:graphicData>
            </a:graphic>
          </wp:inline>
        </w:drawing>
      </w:r>
      <w:r>
        <w:rPr>
          <w:color w:val="auto"/>
        </w:rPr>
        <w:drawing>
          <wp:inline distT="0" distB="0" distL="114300" distR="114300">
            <wp:extent cx="5148580" cy="7205345"/>
            <wp:effectExtent l="0" t="0" r="14605" b="1397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36"/>
                    <a:stretch>
                      <a:fillRect/>
                    </a:stretch>
                  </pic:blipFill>
                  <pic:spPr>
                    <a:xfrm rot="5400000">
                      <a:off x="0" y="0"/>
                      <a:ext cx="5148580" cy="7205345"/>
                    </a:xfrm>
                    <a:prstGeom prst="rect">
                      <a:avLst/>
                    </a:prstGeom>
                    <a:noFill/>
                    <a:ln>
                      <a:noFill/>
                    </a:ln>
                  </pic:spPr>
                </pic:pic>
              </a:graphicData>
            </a:graphic>
          </wp:inline>
        </w:drawing>
      </w:r>
      <w:bookmarkEnd w:id="403"/>
      <w:bookmarkEnd w:id="404"/>
      <w:bookmarkEnd w:id="405"/>
    </w:p>
    <w:sectPr>
      <w:footerReference r:id="rId16" w:type="default"/>
      <w:footnotePr>
        <w:pos w:val="beneathText"/>
      </w:footnotePr>
      <w:pgSz w:w="16838" w:h="11905" w:orient="landscape"/>
      <w:pgMar w:top="1803" w:right="1219" w:bottom="1803" w:left="1219" w:header="850" w:footer="850" w:gutter="0"/>
      <w:pgNumType w:fmt="decimal"/>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109F4">
    <w:pPr>
      <w:pStyle w:val="12"/>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61975">
    <w:pPr>
      <w:pStyle w:val="12"/>
      <w:tabs>
        <w:tab w:val="center" w:pos="4365"/>
        <w:tab w:val="clear" w:pos="4153"/>
      </w:tabs>
      <w:ind w:right="360"/>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AF3CD">
    <w:pPr>
      <w:pStyle w:val="12"/>
      <w:jc w:val="center"/>
    </w:pPr>
    <w:r>
      <w:fldChar w:fldCharType="begin"/>
    </w:r>
    <w:r>
      <w:instrText xml:space="preserve">PAGE   \* MERGEFORMAT</w:instrText>
    </w:r>
    <w:r>
      <w:fldChar w:fldCharType="separate"/>
    </w:r>
    <w:r>
      <w:rPr>
        <w:lang w:val="zh-CN"/>
      </w:rPr>
      <w:t>-</w:t>
    </w:r>
    <w:r>
      <w:t xml:space="preserve"> 3 -</w:t>
    </w:r>
    <w:r>
      <w:fldChar w:fldCharType="end"/>
    </w:r>
  </w:p>
  <w:p w14:paraId="42A4F8EE">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7E72">
    <w:pPr>
      <w:pStyle w:val="12"/>
      <w:tabs>
        <w:tab w:val="center" w:pos="4365"/>
        <w:tab w:val="clear" w:pos="4153"/>
      </w:tabs>
      <w:ind w:right="360"/>
    </w:pPr>
    <w:r>
      <w:rPr>
        <w:sz w:val="18"/>
      </w:rPr>
      <mc:AlternateContent>
        <mc:Choice Requires="wps">
          <w:drawing>
            <wp:anchor distT="0" distB="0" distL="114300" distR="114300" simplePos="0" relativeHeight="251663360" behindDoc="0" locked="0" layoutInCell="1" allowOverlap="1">
              <wp:simplePos x="0" y="0"/>
              <wp:positionH relativeFrom="margin">
                <wp:posOffset>2311400</wp:posOffset>
              </wp:positionH>
              <wp:positionV relativeFrom="paragraph">
                <wp:posOffset>-55245</wp:posOffset>
              </wp:positionV>
              <wp:extent cx="1158240" cy="2139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58240"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4D7C3">
                          <w:pPr>
                            <w:pStyle w:val="12"/>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2pt;margin-top:-4.35pt;height:16.85pt;width:91.2pt;mso-position-horizontal-relative:margin;z-index:251663360;mso-width-relative:page;mso-height-relative:page;" filled="f" stroked="f" coordsize="21600,21600" o:gfxdata="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Qltg2QAAAAkBAAAPAAAAAAAAAAEAIAAAACIAAABkcnMvZG93&#10;bnJldi54bWxQSwECFAAUAAAACACHTuJA5O5hLzgCAABiBAAADgAAAAAAAAABACAAAAAoAQAAZHJz&#10;L2Uyb0RvYy54bWxQSwUGAAAAAAYABgBZAQAA0gUAAAAA&#10;">
              <v:fill on="f" focussize="0,0"/>
              <v:stroke on="f" weight="0.5pt"/>
              <v:imagedata o:title=""/>
              <o:lock v:ext="edit" aspectratio="f"/>
              <v:textbox inset="0mm,0mm,0mm,0mm">
                <w:txbxContent>
                  <w:p w14:paraId="2B54D7C3">
                    <w:pPr>
                      <w:pStyle w:val="12"/>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AE726">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DF93F">
                          <w:pPr>
                            <w:pStyle w:val="12"/>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14DF93F">
                    <w:pPr>
                      <w:pStyle w:val="12"/>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2516096A">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74E87">
    <w:pPr>
      <w:pStyle w:val="12"/>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6EE51">
                          <w:pPr>
                            <w:pStyle w:val="12"/>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E86EE51">
                    <w:pPr>
                      <w:pStyle w:val="12"/>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72734">
    <w:pPr>
      <w:pStyle w:val="12"/>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D181F8B">
                          <w:pPr>
                            <w:pStyle w:val="12"/>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14:paraId="2D181F8B">
                    <w:pPr>
                      <w:pStyle w:val="12"/>
                    </w:pPr>
                    <w:r>
                      <w:fldChar w:fldCharType="begin"/>
                    </w:r>
                    <w:r>
                      <w:instrText xml:space="preserve"> PAGE  \* MERGEFORMAT </w:instrText>
                    </w:r>
                    <w:r>
                      <w:fldChar w:fldCharType="separate"/>
                    </w:r>
                    <w:r>
                      <w:t>46</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A947D">
    <w:pPr>
      <w:pStyle w:val="12"/>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D51706">
                          <w:pPr>
                            <w:pStyle w:val="12"/>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4D51706">
                    <w:pPr>
                      <w:pStyle w:val="12"/>
                    </w:pPr>
                    <w:r>
                      <w:fldChar w:fldCharType="begin"/>
                    </w:r>
                    <w:r>
                      <w:instrText xml:space="preserve"> PAGE  \* MERGEFORMAT </w:instrText>
                    </w:r>
                    <w:r>
                      <w:fldChar w:fldCharType="separate"/>
                    </w:r>
                    <w:r>
                      <w:t>46</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EB81F">
    <w:pPr>
      <w:pStyle w:val="12"/>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9035D">
                          <w:pPr>
                            <w:pStyle w:val="12"/>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639035D">
                    <w:pPr>
                      <w:pStyle w:val="12"/>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E7304">
    <w:pPr>
      <w:pStyle w:val="14"/>
      <w:pBdr>
        <w:bottom w:val="none" w:color="auto" w:sz="0" w:space="1"/>
      </w:pBdr>
      <w:jc w:val="right"/>
    </w:pPr>
    <w:r>
      <w:rPr>
        <w:rFonts w:hint="eastAsia"/>
      </w:rPr>
      <w:t xml:space="preserve">                                                      </w:t>
    </w:r>
  </w:p>
  <w:p w14:paraId="6106E2FC">
    <w:pPr>
      <w:pStyle w:val="14"/>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3BC31">
    <w:pPr>
      <w:pStyle w:val="14"/>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2B35">
    <w:pPr>
      <w:pStyle w:val="14"/>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B5077">
    <w:pPr>
      <w:pStyle w:val="14"/>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B048">
    <w:pPr>
      <w:pStyle w:val="14"/>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A92E2"/>
    <w:multiLevelType w:val="singleLevel"/>
    <w:tmpl w:val="C97A92E2"/>
    <w:lvl w:ilvl="0" w:tentative="0">
      <w:start w:val="2"/>
      <w:numFmt w:val="chineseCounting"/>
      <w:suff w:val="nothing"/>
      <w:lvlText w:val="%1、"/>
      <w:lvlJc w:val="left"/>
      <w:rPr>
        <w:rFonts w:hint="eastAsia"/>
      </w:rPr>
    </w:lvl>
  </w:abstractNum>
  <w:abstractNum w:abstractNumId="1">
    <w:nsid w:val="D8A1DD42"/>
    <w:multiLevelType w:val="singleLevel"/>
    <w:tmpl w:val="D8A1DD42"/>
    <w:lvl w:ilvl="0" w:tentative="0">
      <w:start w:val="1"/>
      <w:numFmt w:val="decimal"/>
      <w:suff w:val="nothing"/>
      <w:lvlText w:val="%1、"/>
      <w:lvlJc w:val="left"/>
    </w:lvl>
  </w:abstractNum>
  <w:abstractNum w:abstractNumId="2">
    <w:nsid w:val="08B2D8E5"/>
    <w:multiLevelType w:val="singleLevel"/>
    <w:tmpl w:val="08B2D8E5"/>
    <w:lvl w:ilvl="0" w:tentative="0">
      <w:start w:val="9"/>
      <w:numFmt w:val="decimal"/>
      <w:suff w:val="nothing"/>
      <w:lvlText w:val="%1、"/>
      <w:lvlJc w:val="left"/>
    </w:lvl>
  </w:abstractNum>
  <w:abstractNum w:abstractNumId="3">
    <w:nsid w:val="4670638B"/>
    <w:multiLevelType w:val="singleLevel"/>
    <w:tmpl w:val="4670638B"/>
    <w:lvl w:ilvl="0" w:tentative="0">
      <w:start w:val="6"/>
      <w:numFmt w:val="chineseCounting"/>
      <w:suff w:val="space"/>
      <w:lvlText w:val="第%1章"/>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SystemFonts/>
  <w:bordersDoNotSurroundHeader w:val="0"/>
  <w:bordersDoNotSurroundFooter w:val="0"/>
  <w:documentProtection w:enforcement="0"/>
  <w:defaultTabStop w:val="420"/>
  <w:drawingGridHorizontalSpacing w:val="21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ZWQ2YjM2MjdlYmMwMmFmMTI5ZDY5NjhkMzA1NWYifQ=="/>
  </w:docVars>
  <w:rsids>
    <w:rsidRoot w:val="38C528D7"/>
    <w:rsid w:val="00846A81"/>
    <w:rsid w:val="00C02D47"/>
    <w:rsid w:val="0111494D"/>
    <w:rsid w:val="03463F04"/>
    <w:rsid w:val="07F303EA"/>
    <w:rsid w:val="09456B99"/>
    <w:rsid w:val="09537971"/>
    <w:rsid w:val="0EC2576E"/>
    <w:rsid w:val="0EFE69E9"/>
    <w:rsid w:val="12C51D48"/>
    <w:rsid w:val="134E4ECA"/>
    <w:rsid w:val="18D55226"/>
    <w:rsid w:val="1AB23B55"/>
    <w:rsid w:val="1B042668"/>
    <w:rsid w:val="1EC04283"/>
    <w:rsid w:val="223C044D"/>
    <w:rsid w:val="228B1F13"/>
    <w:rsid w:val="23A82D11"/>
    <w:rsid w:val="24C3189B"/>
    <w:rsid w:val="277A0BD5"/>
    <w:rsid w:val="2BF238A1"/>
    <w:rsid w:val="2C673F8F"/>
    <w:rsid w:val="2F0D2C80"/>
    <w:rsid w:val="31B36E27"/>
    <w:rsid w:val="31C80F85"/>
    <w:rsid w:val="34E10717"/>
    <w:rsid w:val="37904A5C"/>
    <w:rsid w:val="38C528D7"/>
    <w:rsid w:val="38DD7AB3"/>
    <w:rsid w:val="38EF420E"/>
    <w:rsid w:val="3A5B6004"/>
    <w:rsid w:val="3CB21257"/>
    <w:rsid w:val="3EBA0149"/>
    <w:rsid w:val="4693164F"/>
    <w:rsid w:val="48AF0F60"/>
    <w:rsid w:val="48CA268C"/>
    <w:rsid w:val="4A4A18A2"/>
    <w:rsid w:val="501C5C44"/>
    <w:rsid w:val="50AC3B03"/>
    <w:rsid w:val="51FE3331"/>
    <w:rsid w:val="54B0568F"/>
    <w:rsid w:val="54DB177D"/>
    <w:rsid w:val="56096102"/>
    <w:rsid w:val="58EB2333"/>
    <w:rsid w:val="5C9F0DDB"/>
    <w:rsid w:val="62C94D21"/>
    <w:rsid w:val="6F555835"/>
    <w:rsid w:val="73E5295E"/>
    <w:rsid w:val="74B164C6"/>
    <w:rsid w:val="75FD0ED0"/>
    <w:rsid w:val="765D2ADD"/>
    <w:rsid w:val="7A35671D"/>
    <w:rsid w:val="7C2E77FB"/>
    <w:rsid w:val="7F652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line="360" w:lineRule="auto"/>
      <w:jc w:val="center"/>
      <w:outlineLvl w:val="0"/>
    </w:pPr>
    <w:rPr>
      <w:rFonts w:ascii="Times New Roman" w:hAnsi="Times New Roman" w:eastAsia="宋体"/>
      <w:b/>
      <w:kern w:val="44"/>
      <w:sz w:val="32"/>
      <w:szCs w:val="44"/>
    </w:rPr>
  </w:style>
  <w:style w:type="paragraph" w:styleId="3">
    <w:name w:val="heading 2"/>
    <w:basedOn w:val="1"/>
    <w:next w:val="4"/>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Body Text 3"/>
    <w:basedOn w:val="1"/>
    <w:autoRedefine/>
    <w:qFormat/>
    <w:uiPriority w:val="99"/>
    <w:pPr>
      <w:spacing w:after="120"/>
    </w:pPr>
    <w:rPr>
      <w:sz w:val="16"/>
      <w:szCs w:val="16"/>
    </w:rPr>
  </w:style>
  <w:style w:type="paragraph" w:styleId="9">
    <w:name w:val="Body Text"/>
    <w:basedOn w:val="1"/>
    <w:next w:val="1"/>
    <w:qFormat/>
    <w:uiPriority w:val="99"/>
    <w:pPr>
      <w:spacing w:after="120"/>
    </w:pPr>
    <w:rPr>
      <w:szCs w:val="24"/>
    </w:rPr>
  </w:style>
  <w:style w:type="paragraph" w:styleId="10">
    <w:name w:val="Block Text"/>
    <w:basedOn w:val="1"/>
    <w:next w:val="1"/>
    <w:autoRedefine/>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1">
    <w:name w:val="Plain Text"/>
    <w:basedOn w:val="1"/>
    <w:next w:val="1"/>
    <w:autoRedefine/>
    <w:qFormat/>
    <w:uiPriority w:val="99"/>
    <w:rPr>
      <w:rFonts w:ascii="宋体" w:hAnsi="Courier New"/>
    </w:rPr>
  </w:style>
  <w:style w:type="paragraph" w:styleId="12">
    <w:name w:val="footer"/>
    <w:basedOn w:val="1"/>
    <w:qFormat/>
    <w:uiPriority w:val="99"/>
    <w:pPr>
      <w:tabs>
        <w:tab w:val="center" w:pos="4153"/>
        <w:tab w:val="right" w:pos="8306"/>
      </w:tabs>
      <w:adjustRightInd w:val="0"/>
      <w:spacing w:line="240" w:lineRule="atLeast"/>
      <w:jc w:val="left"/>
      <w:textAlignment w:val="baseline"/>
    </w:pPr>
    <w:rPr>
      <w:kern w:val="0"/>
      <w:sz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0"/>
  </w:style>
  <w:style w:type="paragraph" w:styleId="16">
    <w:name w:val="toc 2"/>
    <w:basedOn w:val="1"/>
    <w:next w:val="1"/>
    <w:autoRedefine/>
    <w:qFormat/>
    <w:uiPriority w:val="0"/>
    <w:pPr>
      <w:ind w:left="420" w:leftChars="200"/>
    </w:pPr>
  </w:style>
  <w:style w:type="paragraph" w:styleId="17">
    <w:name w:val="HTML Preformatted"/>
    <w:basedOn w:val="1"/>
    <w:qFormat/>
    <w:uiPriority w:val="0"/>
    <w:rPr>
      <w:rFonts w:ascii="Courier New" w:hAnsi="Courier New"/>
      <w:sz w:val="20"/>
    </w:rPr>
  </w:style>
  <w:style w:type="paragraph" w:styleId="18">
    <w:name w:val="Normal (Web)"/>
    <w:basedOn w:val="1"/>
    <w:next w:val="15"/>
    <w:qFormat/>
    <w:uiPriority w:val="99"/>
    <w:pPr>
      <w:widowControl/>
      <w:spacing w:before="100" w:beforeAutospacing="1" w:after="100" w:afterAutospacing="1"/>
      <w:jc w:val="left"/>
    </w:pPr>
    <w:rPr>
      <w:rFonts w:ascii="宋体" w:hAnsi="宋体" w:cs="宋体"/>
      <w:kern w:val="0"/>
      <w:sz w:val="24"/>
      <w:szCs w:val="24"/>
    </w:rPr>
  </w:style>
  <w:style w:type="paragraph" w:styleId="19">
    <w:name w:val="Body Text First Indent"/>
    <w:basedOn w:val="9"/>
    <w:autoRedefine/>
    <w:qFormat/>
    <w:uiPriority w:val="0"/>
    <w:pPr>
      <w:adjustRightInd w:val="0"/>
      <w:ind w:firstLine="420"/>
      <w:jc w:val="left"/>
      <w:textAlignment w:val="baseline"/>
    </w:pPr>
    <w:rPr>
      <w:kern w:val="0"/>
      <w:sz w:val="21"/>
    </w:rPr>
  </w:style>
  <w:style w:type="character" w:styleId="22">
    <w:name w:val="Strong"/>
    <w:basedOn w:val="21"/>
    <w:qFormat/>
    <w:uiPriority w:val="0"/>
    <w:rPr>
      <w:b/>
      <w:bCs/>
    </w:rPr>
  </w:style>
  <w:style w:type="character" w:styleId="23">
    <w:name w:val="Hyperlink"/>
    <w:basedOn w:val="21"/>
    <w:qFormat/>
    <w:uiPriority w:val="0"/>
    <w:rPr>
      <w:color w:val="0000FF"/>
      <w:u w:val="none"/>
    </w:rPr>
  </w:style>
  <w:style w:type="paragraph" w:customStyle="1" w:styleId="24">
    <w:name w:val="List Paragraph1"/>
    <w:autoRedefine/>
    <w:qFormat/>
    <w:uiPriority w:val="99"/>
    <w:pPr>
      <w:ind w:firstLine="420" w:firstLineChars="200"/>
    </w:pPr>
    <w:rPr>
      <w:rFonts w:ascii="Times New Roman" w:hAnsi="Times New Roman" w:eastAsia="宋体" w:cs="Times New Roman"/>
      <w:lang w:val="en-US" w:eastAsia="zh-CN" w:bidi="ar-SA"/>
    </w:rPr>
  </w:style>
  <w:style w:type="paragraph" w:customStyle="1" w:styleId="25">
    <w:name w:val="Table Paragraph"/>
    <w:basedOn w:val="1"/>
    <w:autoRedefine/>
    <w:qFormat/>
    <w:uiPriority w:val="1"/>
    <w:rPr>
      <w:rFonts w:ascii="仿宋" w:hAnsi="仿宋" w:eastAsia="仿宋" w:cs="仿宋"/>
      <w:lang w:val="zh-CN" w:eastAsia="zh-CN" w:bidi="zh-CN"/>
    </w:rPr>
  </w:style>
  <w:style w:type="paragraph" w:customStyle="1" w:styleId="26">
    <w:name w:val="正文缩进1"/>
    <w:basedOn w:val="1"/>
    <w:qFormat/>
    <w:uiPriority w:val="0"/>
    <w:pPr>
      <w:ind w:firstLine="420" w:firstLineChars="200"/>
    </w:pPr>
  </w:style>
  <w:style w:type="paragraph" w:customStyle="1" w:styleId="27">
    <w:name w:val="样式 标题 2 + Times New Roman 四号 非加粗 段前: 5 磅 段后: 0 磅 行距: 固定值 20..."/>
    <w:basedOn w:val="3"/>
    <w:autoRedefine/>
    <w:qFormat/>
    <w:uiPriority w:val="99"/>
    <w:pPr>
      <w:spacing w:before="100" w:line="400" w:lineRule="exact"/>
    </w:pPr>
    <w:rPr>
      <w:rFonts w:ascii="Times New Roman" w:hAnsi="Times New Roman" w:cs="宋体"/>
      <w:b w:val="0"/>
      <w:kern w:val="0"/>
      <w:sz w:val="28"/>
    </w:rPr>
  </w:style>
  <w:style w:type="paragraph" w:customStyle="1" w:styleId="28">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29">
    <w:name w:val="列出段落11"/>
    <w:basedOn w:val="1"/>
    <w:autoRedefine/>
    <w:qFormat/>
    <w:uiPriority w:val="99"/>
    <w:pPr>
      <w:ind w:firstLine="420" w:firstLineChars="200"/>
    </w:pPr>
  </w:style>
  <w:style w:type="paragraph" w:customStyle="1" w:styleId="30">
    <w:name w:val="正文（缩进 2 字符）"/>
    <w:basedOn w:val="1"/>
    <w:autoRedefine/>
    <w:qFormat/>
    <w:uiPriority w:val="0"/>
    <w:pPr>
      <w:ind w:firstLine="200" w:firstLineChars="200"/>
    </w:pPr>
  </w:style>
  <w:style w:type="paragraph" w:customStyle="1" w:styleId="31">
    <w:name w:val="Default"/>
    <w:basedOn w:val="1"/>
    <w:autoRedefine/>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paragraph" w:customStyle="1" w:styleId="33">
    <w:name w:val="_Style 13"/>
    <w:autoRedefine/>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9664</Words>
  <Characters>11169</Characters>
  <Lines>0</Lines>
  <Paragraphs>0</Paragraphs>
  <TotalTime>14</TotalTime>
  <ScaleCrop>false</ScaleCrop>
  <LinksUpToDate>false</LinksUpToDate>
  <CharactersWithSpaces>11320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2023-10-10T05:08:00Z</dcterms:created>
  <dc:creator>浸宁静の夜色</dc:creator>
  <cp:lastModifiedBy>黑曼巴</cp:lastModifiedBy>
  <cp:lastPrinted>2025-05-30T07:32:00Z</cp:lastPrinted>
  <dcterms:modified xsi:type="dcterms:W3CDTF">2025-11-17T09:32:54Z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5BE35FE756664D428DC5C0D06BD3170C_13</vt:lpwstr>
  </property>
  <property fmtid="{D5CDD505-2E9C-101B-9397-08002B2CF9AE}" pid="4" name="KSOTemplateDocerSaveRecord">
    <vt:lpwstr>eyJoZGlkIjoiZmFjMzI4NDRiNmE3YjkzOTJiMjQ4NDY4ZjAyZDIyNjAiLCJ1c2VySWQiOiIyMTIyOTgxMjcifQ==</vt:lpwstr>
  </property>
</Properties>
</file>