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4ED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bdr w:val="none" w:color="auto" w:sz="0" w:space="0"/>
          <w:shd w:val="clear" w:fill="FFFFFF"/>
          <w:lang w:val="en-US" w:eastAsia="zh-CN" w:bidi="ar"/>
        </w:rPr>
        <w:t>木瓜镇常塔村入户及产业道路建设项目竞争性磋商公告</w:t>
      </w:r>
    </w:p>
    <w:p w14:paraId="4AC30D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项目概况</w:t>
      </w:r>
    </w:p>
    <w:p w14:paraId="628413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bdr w:val="none" w:color="auto" w:sz="0" w:space="0"/>
          <w:shd w:val="clear" w:fill="FFFFFF"/>
        </w:rPr>
        <w:t>木瓜镇常塔村入户及产业道路建设项目</w:t>
      </w:r>
      <w:r>
        <w:rPr>
          <w:rFonts w:hint="eastAsia" w:ascii="微软雅黑" w:hAnsi="微软雅黑" w:eastAsia="微软雅黑" w:cs="微软雅黑"/>
          <w:i w:val="0"/>
          <w:iCs w:val="0"/>
          <w:caps w:val="0"/>
          <w:color w:val="333333"/>
          <w:spacing w:val="0"/>
          <w:sz w:val="16"/>
          <w:szCs w:val="16"/>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r>
        <w:rPr>
          <w:rFonts w:hint="eastAsia" w:ascii="微软雅黑" w:hAnsi="微软雅黑" w:eastAsia="微软雅黑" w:cs="微软雅黑"/>
          <w:i w:val="0"/>
          <w:iCs w:val="0"/>
          <w:caps w:val="0"/>
          <w:color w:val="333333"/>
          <w:spacing w:val="0"/>
          <w:sz w:val="16"/>
          <w:szCs w:val="16"/>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2025年12月11日 14时30分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（北京时间）前提交响应文件。</w:t>
      </w:r>
    </w:p>
    <w:p w14:paraId="5AD2DE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一、项目基本情况</w:t>
      </w:r>
    </w:p>
    <w:p w14:paraId="1C85E9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项目编号：ZCSP-府谷县-2025-01804</w:t>
      </w:r>
    </w:p>
    <w:p w14:paraId="632D70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项目名称：木瓜镇常塔村入户及产业道路建设项目</w:t>
      </w:r>
    </w:p>
    <w:p w14:paraId="75BD86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采购方式：竞争性磋商</w:t>
      </w:r>
    </w:p>
    <w:p w14:paraId="432CD2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预算金额：1,003,965.82元</w:t>
      </w:r>
    </w:p>
    <w:p w14:paraId="3ADAAC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14:paraId="24A3D9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合同包1(木瓜镇常塔村入户及产业道路建设项目):</w:t>
      </w:r>
    </w:p>
    <w:p w14:paraId="5ECA65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合同包预算金额：1,003,965.82元</w:t>
      </w:r>
    </w:p>
    <w:p w14:paraId="5352F7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合同包最高限价：1,003,965.82元</w:t>
      </w:r>
    </w:p>
    <w:tbl>
      <w:tblPr>
        <w:tblW w:w="929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6"/>
        <w:gridCol w:w="1400"/>
        <w:gridCol w:w="2347"/>
        <w:gridCol w:w="1293"/>
        <w:gridCol w:w="1880"/>
        <w:gridCol w:w="1613"/>
      </w:tblGrid>
      <w:tr w14:paraId="250F38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5" w:hRule="atLeast"/>
          <w:tblHeader/>
        </w:trPr>
        <w:tc>
          <w:tcPr>
            <w:tcW w:w="76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969AD93">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品目号</w:t>
            </w:r>
          </w:p>
        </w:tc>
        <w:tc>
          <w:tcPr>
            <w:tcW w:w="1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F9534DC">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品目名称</w:t>
            </w:r>
          </w:p>
        </w:tc>
        <w:tc>
          <w:tcPr>
            <w:tcW w:w="234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0D8EC3C">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采购标的</w:t>
            </w:r>
          </w:p>
        </w:tc>
        <w:tc>
          <w:tcPr>
            <w:tcW w:w="129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446ECF7">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数量（单位）</w:t>
            </w:r>
          </w:p>
        </w:tc>
        <w:tc>
          <w:tcPr>
            <w:tcW w:w="188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4CC70B5">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技术规格、参数及要求</w:t>
            </w:r>
          </w:p>
        </w:tc>
        <w:tc>
          <w:tcPr>
            <w:tcW w:w="161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407E386">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bdr w:val="none" w:color="auto" w:sz="0" w:space="0"/>
                <w:lang w:val="en-US" w:eastAsia="zh-CN" w:bidi="ar"/>
              </w:rPr>
              <w:t>品目预算(元)</w:t>
            </w:r>
          </w:p>
        </w:tc>
      </w:tr>
      <w:tr w14:paraId="477596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3" w:hRule="atLeast"/>
        </w:trPr>
        <w:tc>
          <w:tcPr>
            <w:tcW w:w="766"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32D8370">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1-1</w:t>
            </w:r>
          </w:p>
        </w:tc>
        <w:tc>
          <w:tcPr>
            <w:tcW w:w="1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EFE45AF">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其他建筑工程</w:t>
            </w:r>
          </w:p>
        </w:tc>
        <w:tc>
          <w:tcPr>
            <w:tcW w:w="2347"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8E8E704">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木瓜镇常塔村入户及产业道路建设项目</w:t>
            </w:r>
          </w:p>
        </w:tc>
        <w:tc>
          <w:tcPr>
            <w:tcW w:w="129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5AA817C">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1(项)</w:t>
            </w:r>
          </w:p>
        </w:tc>
        <w:tc>
          <w:tcPr>
            <w:tcW w:w="188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A589096">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bdr w:val="none" w:color="auto" w:sz="0" w:space="0"/>
                <w:lang w:val="en-US" w:eastAsia="zh-CN" w:bidi="ar"/>
              </w:rPr>
              <w:t>详见采购文件</w:t>
            </w:r>
          </w:p>
        </w:tc>
        <w:tc>
          <w:tcPr>
            <w:tcW w:w="1613"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EB6A403">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bdr w:val="none" w:color="auto" w:sz="0" w:space="0"/>
                <w:lang w:val="en-US" w:eastAsia="zh-CN" w:bidi="ar"/>
              </w:rPr>
              <w:t>1,003,965.82</w:t>
            </w:r>
          </w:p>
        </w:tc>
      </w:tr>
    </w:tbl>
    <w:p w14:paraId="571319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14:paraId="76D6AE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合同履行期限：30日历天</w:t>
      </w:r>
    </w:p>
    <w:p w14:paraId="01499D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二、申请人的资格要求：</w:t>
      </w:r>
    </w:p>
    <w:p w14:paraId="4A62D4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14:paraId="5EF1EA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14:paraId="715114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合同包1(木瓜镇常塔村入户及产业道路建设项目)落实政府采购政策需满足的资格要求如下:</w:t>
      </w:r>
    </w:p>
    <w:p w14:paraId="7CF029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 落实其它相关政策。</w:t>
      </w:r>
    </w:p>
    <w:p w14:paraId="71420C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14:paraId="680055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合同包1(木瓜镇常塔村入户及产业道路建设项目)特定资格要求如下:</w:t>
      </w:r>
    </w:p>
    <w:p w14:paraId="34E328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（2）、供应商应具备市政公用工程施工总承包三级及以上资质的独立企业法人资格，并具备有效的安全生产许可证；</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（3）、拟派项目负责人需具备市政公用工程专业二级及以上建造师注册证书、安全生产考核合格证书（B证）且未担任其他在建工程的项目负责人；</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（5）、税收缴纳证明：提供2024年12月至今已缴纳的至少一个月的纳税证明材料或完税证明，依法免税的单位应提供相关证明材料；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（6）、社会保障资金缴纳证明：提供2024年12月至今已缴纳的至少一个月的社会保障资金缴存单据或社保机构开具的社会保险参保缴费情况证明。依法不需要缴纳社会保障资金的供应商应提供相关文件证明；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（12）、本项目不接受联合体磋商，单位负责人为同一人或者存在直接控股、管理关系的不同供应商，不得同时参加本项目投标活动，提供《供应商企业关系关联承诺书》；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 (13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详细内容见竞争性磋商文件。</w:t>
      </w:r>
    </w:p>
    <w:p w14:paraId="6162E5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三、获取采购文件</w:t>
      </w:r>
    </w:p>
    <w:p w14:paraId="1B5C27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2025年12月01日 至 2025年12月05日 ，每天上午 09:00:00 至 12:00:00 ，下午 14:30:00 至 17:30:00 （北京时间）</w:t>
      </w:r>
    </w:p>
    <w:p w14:paraId="51EEC6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途径：</w:t>
      </w:r>
      <w:r>
        <w:rPr>
          <w:rFonts w:hint="eastAsia" w:ascii="微软雅黑" w:hAnsi="微软雅黑" w:eastAsia="微软雅黑" w:cs="微软雅黑"/>
          <w:i w:val="0"/>
          <w:iCs w:val="0"/>
          <w:caps w:val="0"/>
          <w:color w:val="0A82E5"/>
          <w:spacing w:val="0"/>
          <w:sz w:val="16"/>
          <w:szCs w:val="16"/>
          <w:bdr w:val="none" w:color="auto" w:sz="0" w:space="0"/>
          <w:shd w:val="clear" w:fill="FFFFFF"/>
        </w:rPr>
        <w:t>全国公共资源交易中心平台登录（陕西省）使用CA锁投标确认后自行下载</w:t>
      </w:r>
    </w:p>
    <w:p w14:paraId="57198A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方式：</w:t>
      </w:r>
      <w:r>
        <w:rPr>
          <w:rFonts w:hint="eastAsia" w:ascii="微软雅黑" w:hAnsi="微软雅黑" w:eastAsia="微软雅黑" w:cs="微软雅黑"/>
          <w:i w:val="0"/>
          <w:iCs w:val="0"/>
          <w:caps w:val="0"/>
          <w:color w:val="0A82E5"/>
          <w:spacing w:val="0"/>
          <w:sz w:val="16"/>
          <w:szCs w:val="16"/>
          <w:bdr w:val="none" w:color="auto" w:sz="0" w:space="0"/>
          <w:shd w:val="clear" w:fill="FFFFFF"/>
        </w:rPr>
        <w:t>在线获取</w:t>
      </w:r>
    </w:p>
    <w:p w14:paraId="119395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售价：</w:t>
      </w:r>
      <w:r>
        <w:rPr>
          <w:rFonts w:hint="eastAsia" w:ascii="微软雅黑" w:hAnsi="微软雅黑" w:eastAsia="微软雅黑" w:cs="微软雅黑"/>
          <w:i w:val="0"/>
          <w:iCs w:val="0"/>
          <w:caps w:val="0"/>
          <w:color w:val="0A82E5"/>
          <w:spacing w:val="0"/>
          <w:sz w:val="16"/>
          <w:szCs w:val="16"/>
          <w:bdr w:val="none" w:color="auto" w:sz="0" w:space="0"/>
          <w:shd w:val="clear" w:fill="FFFFFF"/>
        </w:rPr>
        <w:t> 0元</w:t>
      </w:r>
    </w:p>
    <w:p w14:paraId="345D2A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四、响应文件提交</w:t>
      </w:r>
    </w:p>
    <w:p w14:paraId="514BC6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截止时间：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2025年12月11日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3B1188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府谷县新区盛尚嘉宴5楼8561室</w:t>
      </w:r>
    </w:p>
    <w:p w14:paraId="37EE21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五、开启</w:t>
      </w:r>
    </w:p>
    <w:p w14:paraId="6B083F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时间：</w:t>
      </w:r>
      <w:r>
        <w:rPr>
          <w:rFonts w:hint="eastAsia" w:ascii="微软雅黑" w:hAnsi="微软雅黑" w:eastAsia="微软雅黑" w:cs="微软雅黑"/>
          <w:i w:val="0"/>
          <w:iCs w:val="0"/>
          <w:caps w:val="0"/>
          <w:color w:val="0A82E5"/>
          <w:spacing w:val="0"/>
          <w:sz w:val="16"/>
          <w:szCs w:val="16"/>
          <w:bdr w:val="none" w:color="auto" w:sz="0" w:space="0"/>
          <w:shd w:val="clear" w:fill="FFFFFF"/>
        </w:rPr>
        <w:t> 2025年12月11日 14时30分00秒 </w:t>
      </w:r>
      <w:r>
        <w:rPr>
          <w:rFonts w:hint="eastAsia" w:ascii="微软雅黑" w:hAnsi="微软雅黑" w:eastAsia="微软雅黑" w:cs="微软雅黑"/>
          <w:i w:val="0"/>
          <w:iCs w:val="0"/>
          <w:caps w:val="0"/>
          <w:color w:val="333333"/>
          <w:spacing w:val="0"/>
          <w:sz w:val="16"/>
          <w:szCs w:val="16"/>
          <w:bdr w:val="none" w:color="auto" w:sz="0" w:space="0"/>
          <w:shd w:val="clear" w:fill="FFFFFF"/>
        </w:rPr>
        <w:t>（北京时间）</w:t>
      </w:r>
    </w:p>
    <w:p w14:paraId="1CA91A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地点：</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府谷县新区盛尚嘉宴5楼8561室</w:t>
      </w:r>
    </w:p>
    <w:p w14:paraId="14CBD8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六、公告期限</w:t>
      </w:r>
    </w:p>
    <w:p w14:paraId="574F9E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6"/>
          <w:szCs w:val="16"/>
          <w:bdr w:val="none" w:color="auto" w:sz="0" w:space="0"/>
          <w:shd w:val="clear" w:fill="FFFFFF"/>
        </w:rPr>
        <w:t>3</w:t>
      </w:r>
      <w:r>
        <w:rPr>
          <w:rFonts w:hint="eastAsia" w:ascii="微软雅黑" w:hAnsi="微软雅黑" w:eastAsia="微软雅黑" w:cs="微软雅黑"/>
          <w:i w:val="0"/>
          <w:iCs w:val="0"/>
          <w:caps w:val="0"/>
          <w:color w:val="333333"/>
          <w:spacing w:val="0"/>
          <w:sz w:val="16"/>
          <w:szCs w:val="16"/>
          <w:bdr w:val="none" w:color="auto" w:sz="0" w:space="0"/>
          <w:shd w:val="clear" w:fill="FFFFFF"/>
        </w:rPr>
        <w:t>个工作日。</w:t>
      </w:r>
    </w:p>
    <w:p w14:paraId="1853FF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七、其他补充事宜</w:t>
      </w:r>
    </w:p>
    <w:p w14:paraId="6FD02F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right="0"/>
        <w:jc w:val="left"/>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线上与线下需同时确认，二者缺一不可，否则视为确认无效。</w:t>
      </w:r>
    </w:p>
    <w:p w14:paraId="6EF6DD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right="0"/>
        <w:jc w:val="left"/>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30BAAC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right="0"/>
        <w:jc w:val="left"/>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10月、11月或12月份至少一个月的本企业社保缴纳证明材料（五险一金其中一项即可，应可查询）加盖公章到信宏工程咨询有限公司(府谷县新区盛尚嘉宴5楼8561室）进行线下确认，线上与线下投标确认信息须一致，否则视为无效。线上线下投标确认时间：2025年12月01日至2025年12月05日，每天上午09:00:00至12:00:00，下午14:30:00至17:30:00（北京时间）。自本公告发布之日起以5个工作日为准。</w:t>
      </w:r>
    </w:p>
    <w:p w14:paraId="01BC67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right="0"/>
        <w:jc w:val="left"/>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3、办理CA锁方式（仅供参考）：榆林市市民大厦，联系电话：0912-3452148。</w:t>
      </w:r>
    </w:p>
    <w:p w14:paraId="02B083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right="0"/>
        <w:jc w:val="left"/>
        <w:rPr>
          <w:sz w:val="16"/>
          <w:szCs w:val="16"/>
        </w:rPr>
      </w:pPr>
      <w:r>
        <w:rPr>
          <w:rFonts w:hint="eastAsia" w:ascii="宋体" w:hAnsi="宋体" w:eastAsia="宋体" w:cs="宋体"/>
          <w:i w:val="0"/>
          <w:iCs w:val="0"/>
          <w:caps w:val="0"/>
          <w:color w:val="0A82E5"/>
          <w:spacing w:val="0"/>
          <w:sz w:val="16"/>
          <w:szCs w:val="16"/>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15C11A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bdr w:val="none" w:color="auto" w:sz="0" w:space="0"/>
          <w:shd w:val="clear" w:fill="FFFFFF"/>
        </w:rPr>
        <w:t>八、对本次招标提出询问，请按以下方式联系。</w:t>
      </w:r>
    </w:p>
    <w:p w14:paraId="5EFFF1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1.采购人信息</w:t>
      </w:r>
    </w:p>
    <w:p w14:paraId="55AD0F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府谷县木瓜镇人民政府</w:t>
      </w:r>
    </w:p>
    <w:p w14:paraId="7D2892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府谷县木瓜镇木瓜村001号</w:t>
      </w:r>
    </w:p>
    <w:p w14:paraId="2988DD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15891238199</w:t>
      </w:r>
    </w:p>
    <w:p w14:paraId="164B6B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2.采购代理机构信息</w:t>
      </w:r>
    </w:p>
    <w:p w14:paraId="191D5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名称：</w:t>
      </w:r>
      <w:r>
        <w:rPr>
          <w:rFonts w:hint="eastAsia" w:ascii="微软雅黑" w:hAnsi="微软雅黑" w:eastAsia="微软雅黑" w:cs="微软雅黑"/>
          <w:i w:val="0"/>
          <w:iCs w:val="0"/>
          <w:caps w:val="0"/>
          <w:color w:val="0A82E5"/>
          <w:spacing w:val="0"/>
          <w:sz w:val="16"/>
          <w:szCs w:val="16"/>
          <w:bdr w:val="none" w:color="auto" w:sz="0" w:space="0"/>
          <w:shd w:val="clear" w:fill="FFFFFF"/>
        </w:rPr>
        <w:t>信宏工程咨询有限公司</w:t>
      </w:r>
    </w:p>
    <w:p w14:paraId="428420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地址：</w:t>
      </w:r>
      <w:r>
        <w:rPr>
          <w:rFonts w:hint="eastAsia" w:ascii="微软雅黑" w:hAnsi="微软雅黑" w:eastAsia="微软雅黑" w:cs="微软雅黑"/>
          <w:i w:val="0"/>
          <w:iCs w:val="0"/>
          <w:caps w:val="0"/>
          <w:color w:val="0A82E5"/>
          <w:spacing w:val="0"/>
          <w:sz w:val="16"/>
          <w:szCs w:val="16"/>
          <w:bdr w:val="none" w:color="auto" w:sz="0" w:space="0"/>
          <w:shd w:val="clear" w:fill="FFFFFF"/>
        </w:rPr>
        <w:t>府谷县新区盛尚嘉宴5楼8561室</w:t>
      </w:r>
    </w:p>
    <w:p w14:paraId="17E7D0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联系方式：</w:t>
      </w:r>
      <w:r>
        <w:rPr>
          <w:rFonts w:hint="eastAsia" w:ascii="微软雅黑" w:hAnsi="微软雅黑" w:eastAsia="微软雅黑" w:cs="微软雅黑"/>
          <w:i w:val="0"/>
          <w:iCs w:val="0"/>
          <w:caps w:val="0"/>
          <w:color w:val="0A82E5"/>
          <w:spacing w:val="0"/>
          <w:sz w:val="16"/>
          <w:szCs w:val="16"/>
          <w:bdr w:val="none" w:color="auto" w:sz="0" w:space="0"/>
          <w:shd w:val="clear" w:fill="FFFFFF"/>
        </w:rPr>
        <w:t>0912-8733111</w:t>
      </w:r>
    </w:p>
    <w:p w14:paraId="5E0556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bdr w:val="none" w:color="auto" w:sz="0" w:space="0"/>
          <w:shd w:val="clear" w:fill="FFFFFF"/>
        </w:rPr>
        <w:t>3.项目联系方式</w:t>
      </w:r>
    </w:p>
    <w:p w14:paraId="4D6637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项目联系人：</w:t>
      </w:r>
      <w:r>
        <w:rPr>
          <w:rFonts w:hint="eastAsia" w:ascii="微软雅黑" w:hAnsi="微软雅黑" w:eastAsia="微软雅黑" w:cs="微软雅黑"/>
          <w:i w:val="0"/>
          <w:iCs w:val="0"/>
          <w:caps w:val="0"/>
          <w:color w:val="0A82E5"/>
          <w:spacing w:val="0"/>
          <w:sz w:val="16"/>
          <w:szCs w:val="16"/>
          <w:bdr w:val="none" w:color="auto" w:sz="0" w:space="0"/>
          <w:shd w:val="clear" w:fill="FFFFFF"/>
        </w:rPr>
        <w:t>刘工</w:t>
      </w:r>
    </w:p>
    <w:p w14:paraId="13D94B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电话：</w:t>
      </w:r>
      <w:r>
        <w:rPr>
          <w:rFonts w:hint="eastAsia" w:ascii="微软雅黑" w:hAnsi="微软雅黑" w:eastAsia="微软雅黑" w:cs="微软雅黑"/>
          <w:i w:val="0"/>
          <w:iCs w:val="0"/>
          <w:caps w:val="0"/>
          <w:color w:val="0A82E5"/>
          <w:spacing w:val="0"/>
          <w:sz w:val="16"/>
          <w:szCs w:val="16"/>
          <w:bdr w:val="none" w:color="auto" w:sz="0" w:space="0"/>
          <w:shd w:val="clear" w:fill="FFFFFF"/>
        </w:rPr>
        <w:t>0912-8733111</w:t>
      </w:r>
      <w:bookmarkStart w:id="0" w:name="_GoBack"/>
      <w:bookmarkEnd w:id="0"/>
    </w:p>
    <w:p w14:paraId="37EED6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信宏工程咨询有限公司</w:t>
      </w:r>
    </w:p>
    <w:p w14:paraId="20DBDF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61497"/>
    <w:rsid w:val="14461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2025-11-30T09:08:00Z</dcterms:created>
  <dc:creator>平安喜乐</dc:creator>
  <cp:lastModifiedBy>平安喜乐</cp:lastModifiedBy>
  <dcterms:modified xsi:type="dcterms:W3CDTF">2025-11-30T09:13:33Z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C4F3F7F6E55746F2ACF50973A04B64EB_11</vt:lpwstr>
  </property>
  <property fmtid="{D5CDD505-2E9C-101B-9397-08002B2CF9AE}" pid="4" name="KSOTemplateDocerSaveRecord">
    <vt:lpwstr>eyJoZGlkIjoiMzEwNTM5NzYwMDRjMzkwZTVkZjY2ODkwMGIxNGU0OTUiLCJ1c2VySWQiOiI2MTUyMzY4NzQifQ==</vt:lpwstr>
  </property>
</Properties>
</file>