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23933">
      <w:pPr>
        <w:outlineLvl w:val="9"/>
        <w:rPr>
          <w:rFonts w:hint="eastAsia" w:ascii="宋体" w:hAnsi="宋体" w:eastAsia="宋体" w:cs="宋体"/>
          <w:b/>
          <w:color w:val="auto"/>
          <w:sz w:val="36"/>
          <w:highlight w:val="none"/>
          <w:lang w:val="en-US" w:eastAsia="zh-CN"/>
        </w:rPr>
      </w:pPr>
      <w:bookmarkStart w:id="0" w:name="_Toc4443"/>
      <w:r>
        <w:rPr>
          <w:rFonts w:hint="eastAsia" w:ascii="宋体" w:hAnsi="宋体" w:eastAsia="宋体" w:cs="宋体"/>
          <w:b/>
          <w:bCs/>
          <w:color w:val="auto"/>
          <w:sz w:val="32"/>
          <w:szCs w:val="32"/>
          <w:highlight w:val="none"/>
        </w:rPr>
        <w:t>项目编号：</w:t>
      </w:r>
      <w:bookmarkEnd w:id="0"/>
      <w:r>
        <w:rPr>
          <w:rFonts w:hint="eastAsia" w:hAnsi="宋体" w:cs="宋体"/>
          <w:b/>
          <w:bCs/>
          <w:color w:val="auto"/>
          <w:sz w:val="32"/>
          <w:szCs w:val="32"/>
          <w:highlight w:val="none"/>
          <w:lang w:eastAsia="zh-CN"/>
        </w:rPr>
        <w:t>YZZB-20250141</w:t>
      </w:r>
    </w:p>
    <w:p w14:paraId="3C1D69B2">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5CC7F127">
      <w:pPr>
        <w:jc w:val="both"/>
        <w:rPr>
          <w:rFonts w:hint="eastAsia" w:hAnsi="宋体" w:eastAsia="宋体" w:cs="宋体"/>
          <w:b/>
          <w:color w:val="auto"/>
          <w:sz w:val="56"/>
          <w:szCs w:val="56"/>
          <w:highlight w:val="none"/>
          <w:lang w:eastAsia="zh-CN"/>
        </w:rPr>
      </w:pPr>
    </w:p>
    <w:p w14:paraId="0AFCC581">
      <w:pPr>
        <w:spacing w:line="780" w:lineRule="auto"/>
        <w:jc w:val="center"/>
        <w:outlineLvl w:val="9"/>
        <w:rPr>
          <w:rFonts w:hint="eastAsia" w:ascii="宋体" w:hAnsi="宋体" w:eastAsia="宋体" w:cs="宋体"/>
          <w:b/>
          <w:color w:val="auto"/>
          <w:sz w:val="56"/>
          <w:szCs w:val="56"/>
          <w:highlight w:val="none"/>
          <w:lang w:val="en-US" w:eastAsia="zh-CN"/>
        </w:rPr>
      </w:pPr>
      <w:r>
        <w:rPr>
          <w:rFonts w:hint="eastAsia" w:hAnsi="宋体" w:cs="宋体"/>
          <w:b/>
          <w:color w:val="auto"/>
          <w:sz w:val="56"/>
          <w:szCs w:val="56"/>
          <w:highlight w:val="none"/>
          <w:lang w:val="en-US" w:eastAsia="zh-CN"/>
        </w:rPr>
        <w:t xml:space="preserve"> 2025年管护用房建设项目</w:t>
      </w:r>
    </w:p>
    <w:p w14:paraId="6710D7FA">
      <w:pPr>
        <w:jc w:val="center"/>
        <w:rPr>
          <w:rFonts w:hint="eastAsia" w:ascii="宋体" w:hAnsi="宋体" w:eastAsia="宋体" w:cs="宋体"/>
          <w:b/>
          <w:color w:val="auto"/>
          <w:sz w:val="36"/>
          <w:szCs w:val="36"/>
          <w:highlight w:val="none"/>
        </w:rPr>
      </w:pPr>
    </w:p>
    <w:p w14:paraId="3449733C">
      <w:pPr>
        <w:spacing w:line="780" w:lineRule="auto"/>
        <w:jc w:val="both"/>
        <w:rPr>
          <w:rFonts w:hint="eastAsia" w:ascii="宋体" w:hAnsi="宋体" w:eastAsia="宋体" w:cs="宋体"/>
          <w:b/>
          <w:color w:val="auto"/>
          <w:sz w:val="72"/>
          <w:szCs w:val="72"/>
          <w:highlight w:val="none"/>
        </w:rPr>
      </w:pPr>
    </w:p>
    <w:p w14:paraId="402A285F">
      <w:pPr>
        <w:spacing w:line="780" w:lineRule="auto"/>
        <w:jc w:val="center"/>
        <w:outlineLvl w:val="9"/>
        <w:rPr>
          <w:rFonts w:hint="eastAsia" w:ascii="宋体" w:hAnsi="宋体" w:eastAsia="宋体" w:cs="宋体"/>
          <w:b/>
          <w:color w:val="auto"/>
          <w:sz w:val="72"/>
          <w:szCs w:val="72"/>
          <w:highlight w:val="none"/>
        </w:rPr>
      </w:pPr>
      <w:bookmarkStart w:id="1" w:name="_Toc1507"/>
      <w:r>
        <w:rPr>
          <w:rFonts w:hint="eastAsia" w:ascii="宋体" w:hAnsi="宋体" w:eastAsia="宋体" w:cs="宋体"/>
          <w:b/>
          <w:color w:val="auto"/>
          <w:sz w:val="72"/>
          <w:szCs w:val="72"/>
          <w:highlight w:val="none"/>
        </w:rPr>
        <w:t>竞争性磋商文件</w:t>
      </w:r>
      <w:bookmarkEnd w:id="1"/>
    </w:p>
    <w:p w14:paraId="6400E07B">
      <w:pPr>
        <w:rPr>
          <w:rFonts w:hint="eastAsia" w:ascii="宋体" w:hAnsi="宋体" w:eastAsia="宋体" w:cs="宋体"/>
          <w:color w:val="auto"/>
          <w:highlight w:val="none"/>
        </w:rPr>
      </w:pPr>
      <w:bookmarkStart w:id="2" w:name="_Toc363463325"/>
    </w:p>
    <w:p w14:paraId="6C53A22D">
      <w:pPr>
        <w:rPr>
          <w:rFonts w:hint="eastAsia" w:ascii="宋体" w:hAnsi="宋体" w:eastAsia="宋体" w:cs="宋体"/>
          <w:color w:val="auto"/>
          <w:highlight w:val="none"/>
        </w:rPr>
      </w:pPr>
    </w:p>
    <w:p w14:paraId="601A4D19">
      <w:pPr>
        <w:rPr>
          <w:rFonts w:hint="eastAsia" w:ascii="宋体" w:hAnsi="宋体" w:eastAsia="宋体" w:cs="宋体"/>
          <w:color w:val="auto"/>
          <w:highlight w:val="none"/>
        </w:rPr>
      </w:pPr>
    </w:p>
    <w:bookmarkEnd w:id="2"/>
    <w:p w14:paraId="68C8696C">
      <w:pPr>
        <w:rPr>
          <w:rFonts w:hint="eastAsia" w:ascii="宋体" w:hAnsi="宋体" w:eastAsia="宋体" w:cs="宋体"/>
          <w:color w:val="auto"/>
          <w:sz w:val="18"/>
          <w:szCs w:val="18"/>
          <w:highlight w:val="none"/>
        </w:rPr>
      </w:pPr>
    </w:p>
    <w:p w14:paraId="42F30685">
      <w:pPr>
        <w:jc w:val="both"/>
        <w:rPr>
          <w:rFonts w:hint="eastAsia" w:hAnsi="宋体" w:cs="宋体"/>
          <w:b/>
          <w:bCs/>
          <w:color w:val="auto"/>
          <w:sz w:val="32"/>
          <w:szCs w:val="32"/>
          <w:highlight w:val="none"/>
          <w:lang w:eastAsia="zh-CN"/>
        </w:rPr>
      </w:pPr>
    </w:p>
    <w:p w14:paraId="2DA0426B">
      <w:pPr>
        <w:pStyle w:val="7"/>
        <w:rPr>
          <w:rFonts w:hint="eastAsia" w:hAnsi="宋体" w:cs="宋体"/>
          <w:b/>
          <w:bCs/>
          <w:color w:val="auto"/>
          <w:sz w:val="32"/>
          <w:szCs w:val="32"/>
          <w:highlight w:val="none"/>
          <w:lang w:eastAsia="zh-CN"/>
        </w:rPr>
      </w:pPr>
    </w:p>
    <w:p w14:paraId="66323805">
      <w:pPr>
        <w:pStyle w:val="17"/>
        <w:rPr>
          <w:rFonts w:hint="eastAsia" w:hAnsi="宋体" w:cs="宋体"/>
          <w:b/>
          <w:bCs/>
          <w:color w:val="auto"/>
          <w:sz w:val="32"/>
          <w:szCs w:val="32"/>
          <w:highlight w:val="none"/>
          <w:lang w:eastAsia="zh-CN"/>
        </w:rPr>
      </w:pPr>
    </w:p>
    <w:p w14:paraId="03909FD4">
      <w:pPr>
        <w:jc w:val="center"/>
        <w:rPr>
          <w:rFonts w:hint="default"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采购人：扶风县国有野河林场</w:t>
      </w:r>
    </w:p>
    <w:p w14:paraId="689EDB53">
      <w:pPr>
        <w:pStyle w:val="10"/>
        <w:jc w:val="center"/>
        <w:rPr>
          <w:rFonts w:hint="eastAsia" w:hAnsi="宋体" w:cs="宋体"/>
          <w:b/>
          <w:bCs/>
          <w:color w:val="auto"/>
          <w:sz w:val="32"/>
          <w:szCs w:val="32"/>
          <w:highlight w:val="none"/>
          <w:lang w:eastAsia="zh-CN"/>
        </w:rPr>
      </w:pPr>
      <w:r>
        <w:rPr>
          <w:rFonts w:hint="eastAsia" w:hAnsi="宋体" w:cs="宋体"/>
          <w:b/>
          <w:bCs/>
          <w:color w:val="auto"/>
          <w:sz w:val="32"/>
          <w:szCs w:val="32"/>
          <w:highlight w:val="none"/>
          <w:lang w:eastAsia="zh-CN"/>
        </w:rPr>
        <w:t>采购代理机构：陕西银正项目管理有限公司</w:t>
      </w:r>
    </w:p>
    <w:p w14:paraId="45A7415E">
      <w:pPr>
        <w:pStyle w:val="10"/>
        <w:jc w:val="center"/>
        <w:rPr>
          <w:rFonts w:hint="eastAsia" w:ascii="宋体" w:hAnsi="宋体" w:eastAsia="宋体" w:cs="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color w:val="auto"/>
          <w:sz w:val="32"/>
          <w:szCs w:val="32"/>
          <w:highlight w:val="none"/>
        </w:rPr>
        <w:t>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rPr>
        <w:t>月</w:t>
      </w:r>
    </w:p>
    <w:p w14:paraId="42A2609E">
      <w:pPr>
        <w:pStyle w:val="16"/>
        <w:tabs>
          <w:tab w:val="right" w:leader="dot" w:pos="9298"/>
        </w:tabs>
        <w:spacing w:line="600" w:lineRule="auto"/>
        <w:jc w:val="center"/>
        <w:rPr>
          <w:rFonts w:hint="eastAsia" w:hAnsi="宋体" w:cs="宋体"/>
          <w:color w:val="auto"/>
          <w:sz w:val="36"/>
          <w:szCs w:val="24"/>
          <w:highlight w:val="none"/>
          <w:lang w:val="en-US" w:eastAsia="zh-CN"/>
        </w:rPr>
      </w:pPr>
      <w:r>
        <w:rPr>
          <w:rFonts w:hint="eastAsia" w:hAnsi="宋体" w:cs="宋体"/>
          <w:color w:val="auto"/>
          <w:sz w:val="36"/>
          <w:szCs w:val="24"/>
          <w:highlight w:val="none"/>
          <w:lang w:val="en-US" w:eastAsia="zh-CN"/>
        </w:rPr>
        <w:t>目  录</w:t>
      </w:r>
    </w:p>
    <w:p w14:paraId="1F8C917D">
      <w:pPr>
        <w:pStyle w:val="16"/>
        <w:tabs>
          <w:tab w:val="right" w:leader="dot" w:pos="9298"/>
        </w:tabs>
        <w:spacing w:line="600" w:lineRule="auto"/>
        <w:rPr>
          <w:sz w:val="36"/>
          <w:szCs w:val="24"/>
          <w:highlight w:val="none"/>
        </w:rPr>
      </w:pPr>
      <w:r>
        <w:rPr>
          <w:rFonts w:hint="eastAsia" w:ascii="宋体" w:hAnsi="宋体" w:eastAsia="宋体" w:cs="宋体"/>
          <w:color w:val="auto"/>
          <w:sz w:val="36"/>
          <w:szCs w:val="24"/>
          <w:highlight w:val="none"/>
        </w:rPr>
        <w:fldChar w:fldCharType="begin"/>
      </w:r>
      <w:r>
        <w:rPr>
          <w:rFonts w:hint="eastAsia" w:ascii="宋体" w:hAnsi="宋体" w:eastAsia="宋体" w:cs="宋体"/>
          <w:color w:val="auto"/>
          <w:sz w:val="36"/>
          <w:szCs w:val="24"/>
          <w:highlight w:val="none"/>
        </w:rPr>
        <w:instrText xml:space="preserve">TOC \o "1-2" \h \u </w:instrText>
      </w:r>
      <w:r>
        <w:rPr>
          <w:rFonts w:hint="eastAsia" w:ascii="宋体" w:hAnsi="宋体" w:eastAsia="宋体" w:cs="宋体"/>
          <w:color w:val="auto"/>
          <w:sz w:val="36"/>
          <w:szCs w:val="24"/>
          <w:highlight w:val="none"/>
        </w:rPr>
        <w:fldChar w:fldCharType="separate"/>
      </w:r>
      <w:r>
        <w:rPr>
          <w:rFonts w:hint="eastAsia" w:ascii="宋体" w:hAnsi="宋体" w:eastAsia="宋体" w:cs="宋体"/>
          <w:color w:val="auto"/>
          <w:sz w:val="36"/>
          <w:szCs w:val="24"/>
          <w:highlight w:val="none"/>
        </w:rPr>
        <w:fldChar w:fldCharType="begin"/>
      </w:r>
      <w:r>
        <w:rPr>
          <w:rFonts w:hint="eastAsia" w:ascii="宋体" w:hAnsi="宋体" w:eastAsia="宋体" w:cs="宋体"/>
          <w:sz w:val="36"/>
          <w:szCs w:val="24"/>
          <w:highlight w:val="none"/>
        </w:rPr>
        <w:instrText xml:space="preserve"> HYPERLINK \l _Toc27698 </w:instrText>
      </w:r>
      <w:r>
        <w:rPr>
          <w:rFonts w:hint="eastAsia" w:ascii="宋体" w:hAnsi="宋体" w:eastAsia="宋体" w:cs="宋体"/>
          <w:sz w:val="36"/>
          <w:szCs w:val="24"/>
          <w:highlight w:val="none"/>
        </w:rPr>
        <w:fldChar w:fldCharType="separate"/>
      </w:r>
      <w:r>
        <w:rPr>
          <w:rFonts w:hint="eastAsia" w:ascii="宋体" w:hAnsi="宋体" w:eastAsia="宋体" w:cs="宋体"/>
          <w:bCs/>
          <w:sz w:val="36"/>
          <w:szCs w:val="48"/>
          <w:highlight w:val="none"/>
        </w:rPr>
        <w:t>第一章</w:t>
      </w:r>
      <w:r>
        <w:rPr>
          <w:rFonts w:hint="eastAsia" w:hAnsi="宋体" w:cs="宋体"/>
          <w:bCs/>
          <w:sz w:val="36"/>
          <w:szCs w:val="48"/>
          <w:highlight w:val="none"/>
          <w:lang w:val="en-US" w:eastAsia="zh-CN"/>
        </w:rPr>
        <w:t xml:space="preserve"> </w:t>
      </w:r>
      <w:r>
        <w:rPr>
          <w:rFonts w:hint="eastAsia" w:ascii="宋体" w:hAnsi="宋体" w:eastAsia="宋体" w:cs="宋体"/>
          <w:bCs/>
          <w:sz w:val="36"/>
          <w:szCs w:val="48"/>
          <w:highlight w:val="none"/>
        </w:rPr>
        <w:t>竞争性磋商公告</w:t>
      </w:r>
      <w:r>
        <w:rPr>
          <w:sz w:val="36"/>
          <w:szCs w:val="24"/>
          <w:highlight w:val="none"/>
        </w:rPr>
        <w:tab/>
      </w:r>
      <w:r>
        <w:rPr>
          <w:sz w:val="36"/>
          <w:szCs w:val="24"/>
          <w:highlight w:val="none"/>
        </w:rPr>
        <w:fldChar w:fldCharType="begin"/>
      </w:r>
      <w:r>
        <w:rPr>
          <w:sz w:val="36"/>
          <w:szCs w:val="24"/>
          <w:highlight w:val="none"/>
        </w:rPr>
        <w:instrText xml:space="preserve"> PAGEREF _Toc27698 \h </w:instrText>
      </w:r>
      <w:r>
        <w:rPr>
          <w:sz w:val="36"/>
          <w:szCs w:val="24"/>
          <w:highlight w:val="none"/>
        </w:rPr>
        <w:fldChar w:fldCharType="separate"/>
      </w:r>
      <w:r>
        <w:rPr>
          <w:sz w:val="36"/>
          <w:szCs w:val="24"/>
          <w:highlight w:val="none"/>
        </w:rPr>
        <w:t>1</w:t>
      </w:r>
      <w:r>
        <w:rPr>
          <w:sz w:val="36"/>
          <w:szCs w:val="24"/>
          <w:highlight w:val="none"/>
        </w:rPr>
        <w:fldChar w:fldCharType="end"/>
      </w:r>
      <w:r>
        <w:rPr>
          <w:rFonts w:hint="eastAsia" w:ascii="宋体" w:hAnsi="宋体" w:eastAsia="宋体" w:cs="宋体"/>
          <w:color w:val="auto"/>
          <w:sz w:val="36"/>
          <w:szCs w:val="24"/>
          <w:highlight w:val="none"/>
        </w:rPr>
        <w:fldChar w:fldCharType="end"/>
      </w:r>
    </w:p>
    <w:p w14:paraId="76BAD861">
      <w:pPr>
        <w:pStyle w:val="16"/>
        <w:tabs>
          <w:tab w:val="right" w:leader="dot" w:pos="9298"/>
        </w:tabs>
        <w:spacing w:line="600" w:lineRule="auto"/>
        <w:rPr>
          <w:sz w:val="36"/>
          <w:szCs w:val="24"/>
          <w:highlight w:val="none"/>
        </w:rPr>
      </w:pPr>
      <w:r>
        <w:rPr>
          <w:rFonts w:hint="eastAsia" w:ascii="宋体" w:hAnsi="宋体" w:eastAsia="宋体" w:cs="宋体"/>
          <w:color w:val="auto"/>
          <w:sz w:val="36"/>
          <w:szCs w:val="24"/>
          <w:highlight w:val="none"/>
        </w:rPr>
        <w:fldChar w:fldCharType="begin"/>
      </w:r>
      <w:r>
        <w:rPr>
          <w:rFonts w:hint="eastAsia" w:ascii="宋体" w:hAnsi="宋体" w:eastAsia="宋体" w:cs="宋体"/>
          <w:sz w:val="36"/>
          <w:szCs w:val="24"/>
          <w:highlight w:val="none"/>
        </w:rPr>
        <w:instrText xml:space="preserve"> HYPERLINK \l _Toc28716 </w:instrText>
      </w:r>
      <w:r>
        <w:rPr>
          <w:rFonts w:hint="eastAsia" w:ascii="宋体" w:hAnsi="宋体" w:eastAsia="宋体" w:cs="宋体"/>
          <w:sz w:val="36"/>
          <w:szCs w:val="24"/>
          <w:highlight w:val="none"/>
        </w:rPr>
        <w:fldChar w:fldCharType="separate"/>
      </w:r>
      <w:r>
        <w:rPr>
          <w:rFonts w:ascii="宋体" w:hAnsi="宋体" w:eastAsia="宋体" w:cs="宋体"/>
          <w:bCs/>
          <w:spacing w:val="6"/>
          <w:sz w:val="36"/>
          <w:szCs w:val="40"/>
          <w:highlight w:val="none"/>
        </w:rPr>
        <w:t>第二章</w:t>
      </w:r>
      <w:r>
        <w:rPr>
          <w:rFonts w:hint="eastAsia" w:hAnsi="宋体" w:cs="宋体"/>
          <w:bCs/>
          <w:spacing w:val="6"/>
          <w:sz w:val="36"/>
          <w:szCs w:val="40"/>
          <w:highlight w:val="none"/>
          <w:lang w:val="en-US" w:eastAsia="zh-CN"/>
        </w:rPr>
        <w:t xml:space="preserve"> </w:t>
      </w:r>
      <w:r>
        <w:rPr>
          <w:rFonts w:ascii="宋体" w:hAnsi="宋体" w:eastAsia="宋体" w:cs="宋体"/>
          <w:bCs/>
          <w:spacing w:val="6"/>
          <w:sz w:val="36"/>
          <w:szCs w:val="40"/>
          <w:highlight w:val="none"/>
        </w:rPr>
        <w:t>竞争性磋商须知</w:t>
      </w:r>
      <w:r>
        <w:rPr>
          <w:sz w:val="36"/>
          <w:szCs w:val="24"/>
          <w:highlight w:val="none"/>
        </w:rPr>
        <w:tab/>
      </w:r>
      <w:r>
        <w:rPr>
          <w:sz w:val="36"/>
          <w:szCs w:val="24"/>
          <w:highlight w:val="none"/>
        </w:rPr>
        <w:fldChar w:fldCharType="begin"/>
      </w:r>
      <w:r>
        <w:rPr>
          <w:sz w:val="36"/>
          <w:szCs w:val="24"/>
          <w:highlight w:val="none"/>
        </w:rPr>
        <w:instrText xml:space="preserve"> PAGEREF _Toc28716 \h </w:instrText>
      </w:r>
      <w:r>
        <w:rPr>
          <w:sz w:val="36"/>
          <w:szCs w:val="24"/>
          <w:highlight w:val="none"/>
        </w:rPr>
        <w:fldChar w:fldCharType="separate"/>
      </w:r>
      <w:r>
        <w:rPr>
          <w:sz w:val="36"/>
          <w:szCs w:val="24"/>
          <w:highlight w:val="none"/>
        </w:rPr>
        <w:t>7</w:t>
      </w:r>
      <w:r>
        <w:rPr>
          <w:sz w:val="36"/>
          <w:szCs w:val="24"/>
          <w:highlight w:val="none"/>
        </w:rPr>
        <w:fldChar w:fldCharType="end"/>
      </w:r>
      <w:r>
        <w:rPr>
          <w:rFonts w:hint="eastAsia" w:ascii="宋体" w:hAnsi="宋体" w:eastAsia="宋体" w:cs="宋体"/>
          <w:color w:val="auto"/>
          <w:sz w:val="36"/>
          <w:szCs w:val="24"/>
          <w:highlight w:val="none"/>
        </w:rPr>
        <w:fldChar w:fldCharType="end"/>
      </w:r>
    </w:p>
    <w:p w14:paraId="182E2FD1">
      <w:pPr>
        <w:pStyle w:val="16"/>
        <w:tabs>
          <w:tab w:val="right" w:leader="dot" w:pos="9298"/>
        </w:tabs>
        <w:spacing w:line="600" w:lineRule="auto"/>
        <w:rPr>
          <w:sz w:val="36"/>
          <w:szCs w:val="24"/>
          <w:highlight w:val="none"/>
        </w:rPr>
      </w:pPr>
      <w:r>
        <w:rPr>
          <w:rFonts w:hint="eastAsia" w:ascii="宋体" w:hAnsi="宋体" w:eastAsia="宋体" w:cs="宋体"/>
          <w:color w:val="auto"/>
          <w:sz w:val="36"/>
          <w:szCs w:val="24"/>
          <w:highlight w:val="none"/>
        </w:rPr>
        <w:fldChar w:fldCharType="begin"/>
      </w:r>
      <w:r>
        <w:rPr>
          <w:rFonts w:hint="eastAsia" w:ascii="宋体" w:hAnsi="宋体" w:eastAsia="宋体" w:cs="宋体"/>
          <w:sz w:val="36"/>
          <w:szCs w:val="24"/>
          <w:highlight w:val="none"/>
        </w:rPr>
        <w:instrText xml:space="preserve"> HYPERLINK \l _Toc12314 </w:instrText>
      </w:r>
      <w:r>
        <w:rPr>
          <w:rFonts w:hint="eastAsia" w:ascii="宋体" w:hAnsi="宋体" w:eastAsia="宋体" w:cs="宋体"/>
          <w:sz w:val="36"/>
          <w:szCs w:val="24"/>
          <w:highlight w:val="none"/>
        </w:rPr>
        <w:fldChar w:fldCharType="separate"/>
      </w:r>
      <w:r>
        <w:rPr>
          <w:rFonts w:hint="eastAsia" w:ascii="宋体" w:hAnsi="宋体" w:eastAsia="宋体" w:cs="宋体"/>
          <w:bCs/>
          <w:sz w:val="36"/>
          <w:szCs w:val="48"/>
          <w:highlight w:val="none"/>
        </w:rPr>
        <w:t>第四章</w:t>
      </w:r>
      <w:r>
        <w:rPr>
          <w:rFonts w:hint="eastAsia" w:hAnsi="宋体" w:cs="宋体"/>
          <w:bCs/>
          <w:sz w:val="36"/>
          <w:szCs w:val="48"/>
          <w:highlight w:val="none"/>
          <w:lang w:val="en-US" w:eastAsia="zh-CN"/>
        </w:rPr>
        <w:t xml:space="preserve"> </w:t>
      </w:r>
      <w:r>
        <w:rPr>
          <w:rFonts w:hint="eastAsia" w:ascii="宋体" w:hAnsi="宋体" w:eastAsia="宋体" w:cs="宋体"/>
          <w:bCs/>
          <w:sz w:val="36"/>
          <w:szCs w:val="48"/>
          <w:highlight w:val="none"/>
        </w:rPr>
        <w:t>合同条款及格式</w:t>
      </w:r>
      <w:r>
        <w:rPr>
          <w:sz w:val="36"/>
          <w:szCs w:val="24"/>
          <w:highlight w:val="none"/>
        </w:rPr>
        <w:tab/>
      </w:r>
      <w:r>
        <w:rPr>
          <w:sz w:val="36"/>
          <w:szCs w:val="24"/>
          <w:highlight w:val="none"/>
        </w:rPr>
        <w:fldChar w:fldCharType="begin"/>
      </w:r>
      <w:r>
        <w:rPr>
          <w:sz w:val="36"/>
          <w:szCs w:val="24"/>
          <w:highlight w:val="none"/>
        </w:rPr>
        <w:instrText xml:space="preserve"> PAGEREF _Toc12314 \h </w:instrText>
      </w:r>
      <w:r>
        <w:rPr>
          <w:sz w:val="36"/>
          <w:szCs w:val="24"/>
          <w:highlight w:val="none"/>
        </w:rPr>
        <w:fldChar w:fldCharType="separate"/>
      </w:r>
      <w:r>
        <w:rPr>
          <w:sz w:val="36"/>
          <w:szCs w:val="24"/>
          <w:highlight w:val="none"/>
        </w:rPr>
        <w:t>35</w:t>
      </w:r>
      <w:r>
        <w:rPr>
          <w:sz w:val="36"/>
          <w:szCs w:val="24"/>
          <w:highlight w:val="none"/>
        </w:rPr>
        <w:fldChar w:fldCharType="end"/>
      </w:r>
      <w:r>
        <w:rPr>
          <w:rFonts w:hint="eastAsia" w:ascii="宋体" w:hAnsi="宋体" w:eastAsia="宋体" w:cs="宋体"/>
          <w:color w:val="auto"/>
          <w:sz w:val="36"/>
          <w:szCs w:val="24"/>
          <w:highlight w:val="none"/>
        </w:rPr>
        <w:fldChar w:fldCharType="end"/>
      </w:r>
    </w:p>
    <w:p w14:paraId="1B3D6616">
      <w:pPr>
        <w:pStyle w:val="16"/>
        <w:tabs>
          <w:tab w:val="right" w:leader="dot" w:pos="9298"/>
        </w:tabs>
        <w:spacing w:line="600" w:lineRule="auto"/>
        <w:rPr>
          <w:sz w:val="36"/>
          <w:szCs w:val="24"/>
          <w:highlight w:val="none"/>
        </w:rPr>
      </w:pPr>
      <w:r>
        <w:rPr>
          <w:rFonts w:hint="eastAsia" w:ascii="宋体" w:hAnsi="宋体" w:eastAsia="宋体" w:cs="宋体"/>
          <w:color w:val="auto"/>
          <w:sz w:val="36"/>
          <w:szCs w:val="24"/>
          <w:highlight w:val="none"/>
        </w:rPr>
        <w:fldChar w:fldCharType="begin"/>
      </w:r>
      <w:r>
        <w:rPr>
          <w:rFonts w:hint="eastAsia" w:ascii="宋体" w:hAnsi="宋体" w:eastAsia="宋体" w:cs="宋体"/>
          <w:sz w:val="36"/>
          <w:szCs w:val="24"/>
          <w:highlight w:val="none"/>
        </w:rPr>
        <w:instrText xml:space="preserve"> HYPERLINK \l _Toc30574 </w:instrText>
      </w:r>
      <w:r>
        <w:rPr>
          <w:rFonts w:hint="eastAsia" w:ascii="宋体" w:hAnsi="宋体" w:eastAsia="宋体" w:cs="宋体"/>
          <w:sz w:val="36"/>
          <w:szCs w:val="24"/>
          <w:highlight w:val="none"/>
        </w:rPr>
        <w:fldChar w:fldCharType="separate"/>
      </w:r>
      <w:r>
        <w:rPr>
          <w:rFonts w:hint="eastAsia" w:ascii="宋体" w:hAnsi="宋体" w:eastAsia="宋体" w:cs="宋体"/>
          <w:bCs w:val="0"/>
          <w:sz w:val="36"/>
          <w:szCs w:val="48"/>
          <w:highlight w:val="none"/>
        </w:rPr>
        <w:t>第五章</w:t>
      </w:r>
      <w:r>
        <w:rPr>
          <w:rFonts w:hint="eastAsia" w:hAnsi="宋体" w:cs="宋体"/>
          <w:bCs w:val="0"/>
          <w:sz w:val="36"/>
          <w:szCs w:val="48"/>
          <w:highlight w:val="none"/>
          <w:lang w:val="en-US" w:eastAsia="zh-CN"/>
        </w:rPr>
        <w:t xml:space="preserve"> 工程量清单</w:t>
      </w:r>
      <w:r>
        <w:rPr>
          <w:sz w:val="36"/>
          <w:szCs w:val="24"/>
          <w:highlight w:val="none"/>
        </w:rPr>
        <w:tab/>
      </w:r>
      <w:r>
        <w:rPr>
          <w:sz w:val="36"/>
          <w:szCs w:val="24"/>
          <w:highlight w:val="none"/>
        </w:rPr>
        <w:fldChar w:fldCharType="begin"/>
      </w:r>
      <w:r>
        <w:rPr>
          <w:sz w:val="36"/>
          <w:szCs w:val="24"/>
          <w:highlight w:val="none"/>
        </w:rPr>
        <w:instrText xml:space="preserve"> PAGEREF _Toc30574 \h </w:instrText>
      </w:r>
      <w:r>
        <w:rPr>
          <w:sz w:val="36"/>
          <w:szCs w:val="24"/>
          <w:highlight w:val="none"/>
        </w:rPr>
        <w:fldChar w:fldCharType="separate"/>
      </w:r>
      <w:r>
        <w:rPr>
          <w:sz w:val="36"/>
          <w:szCs w:val="24"/>
          <w:highlight w:val="none"/>
        </w:rPr>
        <w:t>50</w:t>
      </w:r>
      <w:r>
        <w:rPr>
          <w:sz w:val="36"/>
          <w:szCs w:val="24"/>
          <w:highlight w:val="none"/>
        </w:rPr>
        <w:fldChar w:fldCharType="end"/>
      </w:r>
      <w:r>
        <w:rPr>
          <w:rFonts w:hint="eastAsia" w:ascii="宋体" w:hAnsi="宋体" w:eastAsia="宋体" w:cs="宋体"/>
          <w:color w:val="auto"/>
          <w:sz w:val="36"/>
          <w:szCs w:val="24"/>
          <w:highlight w:val="none"/>
        </w:rPr>
        <w:fldChar w:fldCharType="end"/>
      </w:r>
    </w:p>
    <w:p w14:paraId="4E100F11">
      <w:pPr>
        <w:pStyle w:val="16"/>
        <w:tabs>
          <w:tab w:val="right" w:leader="dot" w:pos="9298"/>
        </w:tabs>
        <w:spacing w:line="600" w:lineRule="auto"/>
        <w:rPr>
          <w:sz w:val="36"/>
          <w:szCs w:val="24"/>
          <w:highlight w:val="none"/>
        </w:rPr>
      </w:pPr>
      <w:r>
        <w:rPr>
          <w:rFonts w:hint="eastAsia" w:ascii="宋体" w:hAnsi="宋体" w:eastAsia="宋体" w:cs="宋体"/>
          <w:color w:val="auto"/>
          <w:sz w:val="36"/>
          <w:szCs w:val="24"/>
          <w:highlight w:val="none"/>
        </w:rPr>
        <w:fldChar w:fldCharType="begin"/>
      </w:r>
      <w:r>
        <w:rPr>
          <w:rFonts w:hint="eastAsia" w:ascii="宋体" w:hAnsi="宋体" w:eastAsia="宋体" w:cs="宋体"/>
          <w:sz w:val="36"/>
          <w:szCs w:val="24"/>
          <w:highlight w:val="none"/>
        </w:rPr>
        <w:instrText xml:space="preserve"> HYPERLINK \l _Toc14006 </w:instrText>
      </w:r>
      <w:r>
        <w:rPr>
          <w:rFonts w:hint="eastAsia" w:ascii="宋体" w:hAnsi="宋体" w:eastAsia="宋体" w:cs="宋体"/>
          <w:sz w:val="36"/>
          <w:szCs w:val="24"/>
          <w:highlight w:val="none"/>
        </w:rPr>
        <w:fldChar w:fldCharType="separate"/>
      </w:r>
      <w:r>
        <w:rPr>
          <w:rFonts w:hint="eastAsia" w:ascii="宋体" w:hAnsi="宋体" w:eastAsia="宋体" w:cs="宋体"/>
          <w:sz w:val="36"/>
          <w:szCs w:val="28"/>
          <w:highlight w:val="none"/>
        </w:rPr>
        <w:t>第六章</w:t>
      </w:r>
      <w:r>
        <w:rPr>
          <w:rFonts w:hint="eastAsia" w:hAnsi="宋体" w:cs="宋体"/>
          <w:sz w:val="36"/>
          <w:szCs w:val="28"/>
          <w:highlight w:val="none"/>
          <w:lang w:val="en-US" w:eastAsia="zh-CN"/>
        </w:rPr>
        <w:t xml:space="preserve"> </w:t>
      </w:r>
      <w:r>
        <w:rPr>
          <w:rFonts w:hint="eastAsia" w:ascii="宋体" w:hAnsi="宋体" w:eastAsia="宋体" w:cs="宋体"/>
          <w:sz w:val="36"/>
          <w:szCs w:val="28"/>
          <w:highlight w:val="none"/>
        </w:rPr>
        <w:t>竞争性磋商响应文件格式</w:t>
      </w:r>
      <w:r>
        <w:rPr>
          <w:sz w:val="36"/>
          <w:szCs w:val="24"/>
          <w:highlight w:val="none"/>
        </w:rPr>
        <w:tab/>
      </w:r>
      <w:r>
        <w:rPr>
          <w:sz w:val="36"/>
          <w:szCs w:val="24"/>
          <w:highlight w:val="none"/>
        </w:rPr>
        <w:fldChar w:fldCharType="begin"/>
      </w:r>
      <w:r>
        <w:rPr>
          <w:sz w:val="36"/>
          <w:szCs w:val="24"/>
          <w:highlight w:val="none"/>
        </w:rPr>
        <w:instrText xml:space="preserve"> PAGEREF _Toc14006 \h </w:instrText>
      </w:r>
      <w:r>
        <w:rPr>
          <w:sz w:val="36"/>
          <w:szCs w:val="24"/>
          <w:highlight w:val="none"/>
        </w:rPr>
        <w:fldChar w:fldCharType="separate"/>
      </w:r>
      <w:r>
        <w:rPr>
          <w:sz w:val="36"/>
          <w:szCs w:val="24"/>
          <w:highlight w:val="none"/>
        </w:rPr>
        <w:t>67</w:t>
      </w:r>
      <w:r>
        <w:rPr>
          <w:sz w:val="36"/>
          <w:szCs w:val="24"/>
          <w:highlight w:val="none"/>
        </w:rPr>
        <w:fldChar w:fldCharType="end"/>
      </w:r>
      <w:r>
        <w:rPr>
          <w:rFonts w:hint="eastAsia" w:ascii="宋体" w:hAnsi="宋体" w:eastAsia="宋体" w:cs="宋体"/>
          <w:color w:val="auto"/>
          <w:sz w:val="36"/>
          <w:szCs w:val="24"/>
          <w:highlight w:val="none"/>
        </w:rPr>
        <w:fldChar w:fldCharType="end"/>
      </w:r>
    </w:p>
    <w:p w14:paraId="393BF5FF">
      <w:pPr>
        <w:pStyle w:val="16"/>
        <w:tabs>
          <w:tab w:val="right" w:leader="dot" w:pos="9298"/>
        </w:tabs>
        <w:spacing w:line="600" w:lineRule="auto"/>
        <w:rPr>
          <w:sz w:val="36"/>
          <w:szCs w:val="24"/>
          <w:highlight w:val="none"/>
        </w:rPr>
      </w:pPr>
    </w:p>
    <w:p w14:paraId="6E548D9C">
      <w:pPr>
        <w:spacing w:line="600" w:lineRule="auto"/>
        <w:rPr>
          <w:rFonts w:hint="eastAsia" w:ascii="宋体" w:hAnsi="宋体" w:eastAsia="宋体" w:cs="宋体"/>
          <w:color w:val="auto"/>
          <w:highlight w:val="none"/>
        </w:rPr>
      </w:pPr>
      <w:r>
        <w:rPr>
          <w:rFonts w:hint="eastAsia" w:ascii="宋体" w:hAnsi="宋体" w:eastAsia="宋体" w:cs="宋体"/>
          <w:color w:val="auto"/>
          <w:sz w:val="36"/>
          <w:szCs w:val="24"/>
          <w:highlight w:val="none"/>
        </w:rPr>
        <w:fldChar w:fldCharType="end"/>
      </w:r>
    </w:p>
    <w:sdt>
      <w:sdtPr>
        <w:rPr>
          <w:rFonts w:ascii="宋体" w:hAnsi="宋体" w:eastAsia="宋体" w:cs="Times New Roman"/>
          <w:sz w:val="21"/>
          <w:highlight w:val="none"/>
          <w:lang w:val="en-US" w:eastAsia="zh-CN" w:bidi="ar-SA"/>
        </w:rPr>
        <w:id w:val="147469110"/>
        <w:showingPlcHdr/>
        <w15:color w:val="DBDBDB"/>
        <w:docPartObj>
          <w:docPartGallery w:val="Table of Contents"/>
          <w:docPartUnique/>
        </w:docPartObj>
      </w:sdtPr>
      <w:sdtEndPr>
        <w:rPr>
          <w:rFonts w:hint="eastAsia" w:ascii="宋体" w:hAnsi="宋体" w:eastAsia="宋体" w:cs="宋体"/>
          <w:bCs/>
          <w:color w:val="auto"/>
          <w:sz w:val="24"/>
          <w:szCs w:val="44"/>
          <w:highlight w:val="none"/>
          <w:lang w:val="en-US" w:eastAsia="zh-CN" w:bidi="ar-SA"/>
        </w:rPr>
      </w:sdtEndPr>
      <w:sdtContent>
        <w:p w14:paraId="0D8BACBC">
          <w:pPr>
            <w:pStyle w:val="16"/>
            <w:tabs>
              <w:tab w:val="right" w:leader="dot" w:pos="9298"/>
            </w:tabs>
            <w:spacing w:line="480" w:lineRule="auto"/>
            <w:rPr>
              <w:rFonts w:hint="eastAsia" w:ascii="宋体" w:hAnsi="宋体" w:eastAsia="宋体" w:cs="宋体"/>
              <w:bCs/>
              <w:color w:val="auto"/>
              <w:sz w:val="44"/>
              <w:szCs w:val="44"/>
              <w:highlight w:val="none"/>
            </w:rPr>
          </w:pPr>
          <w:bookmarkStart w:id="3" w:name="_Toc20652"/>
          <w:bookmarkStart w:id="4" w:name="_Toc21518"/>
          <w:bookmarkStart w:id="5" w:name="_Toc389582033"/>
          <w:bookmarkStart w:id="6" w:name="_Toc19886"/>
          <w:bookmarkStart w:id="7" w:name="_Toc16218"/>
          <w:bookmarkStart w:id="8" w:name="_Toc20858"/>
          <w:bookmarkStart w:id="9" w:name="_Toc5293"/>
          <w:bookmarkStart w:id="10" w:name="_Toc27420"/>
          <w:bookmarkStart w:id="11" w:name="_Toc403077638"/>
          <w:bookmarkStart w:id="12" w:name="_Toc363473971"/>
          <w:bookmarkStart w:id="13" w:name="_Toc363474016"/>
          <w:r>
            <w:rPr>
              <w:rFonts w:hint="eastAsia" w:hAnsi="宋体" w:cs="Times New Roman"/>
              <w:sz w:val="21"/>
              <w:highlight w:val="none"/>
              <w:lang w:val="en-US" w:eastAsia="zh-CN" w:bidi="ar-SA"/>
            </w:rPr>
            <w:t xml:space="preserve">     </w:t>
          </w:r>
        </w:p>
      </w:sdtContent>
    </w:sdt>
    <w:p w14:paraId="01DF7740">
      <w:pPr>
        <w:pStyle w:val="16"/>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6"/>
          <w:szCs w:val="36"/>
          <w:highlight w:val="none"/>
        </w:rPr>
      </w:pPr>
    </w:p>
    <w:p w14:paraId="61C75165">
      <w:pPr>
        <w:pStyle w:val="2"/>
        <w:spacing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361" w:right="1304" w:bottom="1361" w:left="1304" w:header="851" w:footer="992" w:gutter="0"/>
          <w:pgNumType w:fmt="numberInDash" w:start="1"/>
          <w:cols w:space="720" w:num="1"/>
          <w:titlePg/>
          <w:rtlGutter w:val="0"/>
          <w:docGrid w:type="lines" w:linePitch="312" w:charSpace="0"/>
        </w:sectPr>
      </w:pPr>
    </w:p>
    <w:p w14:paraId="59A2B50D">
      <w:pPr>
        <w:pStyle w:val="2"/>
        <w:keepNext w:val="0"/>
        <w:keepLines/>
        <w:pageBreakBefore/>
        <w:spacing w:beforeLines="50" w:afterLines="50" w:line="360" w:lineRule="auto"/>
        <w:jc w:val="center"/>
        <w:outlineLvl w:val="0"/>
        <w:rPr>
          <w:rFonts w:hint="eastAsia" w:ascii="宋体" w:hAnsi="宋体" w:eastAsia="宋体" w:cs="宋体"/>
          <w:bCs/>
          <w:color w:val="auto"/>
          <w:sz w:val="36"/>
          <w:szCs w:val="36"/>
          <w:highlight w:val="none"/>
        </w:rPr>
      </w:pPr>
      <w:bookmarkStart w:id="14" w:name="_Toc423973071"/>
      <w:bookmarkStart w:id="15" w:name="_Toc27698"/>
      <w:bookmarkStart w:id="16" w:name="_Toc28703"/>
      <w:bookmarkStart w:id="17" w:name="_Toc2705"/>
      <w:bookmarkStart w:id="18" w:name="_Toc28930"/>
      <w:r>
        <w:rPr>
          <w:rFonts w:hint="eastAsia" w:ascii="宋体" w:hAnsi="宋体" w:eastAsia="宋体" w:cs="宋体"/>
          <w:bCs/>
          <w:color w:val="auto"/>
          <w:sz w:val="36"/>
          <w:szCs w:val="36"/>
          <w:highlight w:val="none"/>
        </w:rPr>
        <w:t xml:space="preserve">第一章  </w:t>
      </w:r>
      <w:bookmarkEnd w:id="3"/>
      <w:bookmarkEnd w:id="4"/>
      <w:bookmarkEnd w:id="5"/>
      <w:bookmarkEnd w:id="6"/>
      <w:bookmarkEnd w:id="7"/>
      <w:bookmarkEnd w:id="8"/>
      <w:bookmarkEnd w:id="9"/>
      <w:r>
        <w:rPr>
          <w:rFonts w:hint="eastAsia" w:ascii="宋体" w:hAnsi="宋体" w:eastAsia="宋体" w:cs="宋体"/>
          <w:bCs/>
          <w:color w:val="auto"/>
          <w:sz w:val="36"/>
          <w:szCs w:val="36"/>
          <w:highlight w:val="none"/>
        </w:rPr>
        <w:t>竞争性磋商公告</w:t>
      </w:r>
      <w:bookmarkEnd w:id="10"/>
      <w:bookmarkEnd w:id="14"/>
      <w:bookmarkEnd w:id="15"/>
      <w:bookmarkEnd w:id="16"/>
      <w:bookmarkEnd w:id="17"/>
      <w:bookmarkEnd w:id="18"/>
    </w:p>
    <w:p w14:paraId="1CF01B08">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bookmarkStart w:id="19" w:name="_Toc423973072"/>
      <w:bookmarkStart w:id="20" w:name="_Toc2929"/>
      <w:bookmarkStart w:id="21" w:name="_Toc3334"/>
      <w:bookmarkStart w:id="22" w:name="_Toc389582035"/>
      <w:bookmarkStart w:id="23" w:name="_Toc29249"/>
      <w:r>
        <w:rPr>
          <w:rFonts w:hint="eastAsia"/>
          <w:sz w:val="24"/>
          <w:szCs w:val="24"/>
          <w:highlight w:val="none"/>
          <w:lang w:val="en-US" w:eastAsia="zh-Hans"/>
        </w:rPr>
        <w:t> 项目概况</w:t>
      </w:r>
    </w:p>
    <w:p w14:paraId="65A236E0">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2025年管护用房建设项目采购项目的潜在供应商应在全国公共资源交易平台（陕西省·宝鸡市）宝鸡市公共资源交易中心获取采购文件，并于 2025年11月28日 14时00分 （北京时间）前提交响应文件。</w:t>
      </w:r>
    </w:p>
    <w:p w14:paraId="03EB726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一、项目基本情况</w:t>
      </w:r>
    </w:p>
    <w:p w14:paraId="1788228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项目编号：YZZB-20250141</w:t>
      </w:r>
    </w:p>
    <w:p w14:paraId="49C8C8D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项目名称：2025年管护用房建设项目</w:t>
      </w:r>
    </w:p>
    <w:p w14:paraId="41AB275E">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采购方式：竞争性磋商</w:t>
      </w:r>
    </w:p>
    <w:p w14:paraId="45B7AD8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预算金额：1,350,000.00元</w:t>
      </w:r>
    </w:p>
    <w:p w14:paraId="4963FFB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采购需求：</w:t>
      </w:r>
    </w:p>
    <w:p w14:paraId="26DF1986">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合同包1(2025年管护用房建设项目):</w:t>
      </w:r>
    </w:p>
    <w:p w14:paraId="4AD53404">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合同包预算金额：1,350,000.00元</w:t>
      </w:r>
    </w:p>
    <w:p w14:paraId="19591778">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 合同包最高限价：1,350,000.00元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84"/>
        <w:gridCol w:w="1384"/>
        <w:gridCol w:w="1384"/>
        <w:gridCol w:w="1384"/>
        <w:gridCol w:w="1384"/>
        <w:gridCol w:w="1972"/>
      </w:tblGrid>
      <w:tr w14:paraId="3B9C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1B8487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品目号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6872CE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品目名称</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2EB0CF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采购标的</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81940F8">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数量（单位）</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8829220">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技术规格、参数及要求</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681575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品目预算(元)</w:t>
            </w:r>
          </w:p>
        </w:tc>
      </w:tr>
      <w:tr w14:paraId="2C11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EABD13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1-1</w:t>
            </w:r>
          </w:p>
        </w:tc>
        <w:tc>
          <w:tcPr>
            <w:tcW w:w="13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153BAE0">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天然林保护工程施工</w:t>
            </w:r>
          </w:p>
        </w:tc>
        <w:tc>
          <w:tcPr>
            <w:tcW w:w="13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D55C04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2025年管护用房建设项目</w:t>
            </w:r>
          </w:p>
        </w:tc>
        <w:tc>
          <w:tcPr>
            <w:tcW w:w="13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6217CB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1(项目)</w:t>
            </w:r>
          </w:p>
        </w:tc>
        <w:tc>
          <w:tcPr>
            <w:tcW w:w="13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4F538F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详见采购文件</w:t>
            </w:r>
          </w:p>
        </w:tc>
        <w:tc>
          <w:tcPr>
            <w:tcW w:w="13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880A69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1,350,000.00</w:t>
            </w:r>
          </w:p>
        </w:tc>
      </w:tr>
    </w:tbl>
    <w:p w14:paraId="130F322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 本合同包不接受联合体投标</w:t>
      </w:r>
    </w:p>
    <w:p w14:paraId="4F6F689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 合同履行期限：无</w:t>
      </w:r>
    </w:p>
    <w:p w14:paraId="2820F790">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二、申请人的资格要求：</w:t>
      </w:r>
    </w:p>
    <w:p w14:paraId="459E5C8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1.满足《中华人民共和国政府采购法》第二十二条规定;</w:t>
      </w:r>
    </w:p>
    <w:p w14:paraId="77758A0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2.落实政府采购政策需满足的资格要求：</w:t>
      </w:r>
    </w:p>
    <w:p w14:paraId="216DEBE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合同包1(2025年管护用房建设项目)落实政府采购政策需满足的资格要求如下:</w:t>
      </w:r>
    </w:p>
    <w:p w14:paraId="31E0D81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（1）《政府采购促进中小企业发展管理办法》（财库〔2020〕46号）；</w:t>
      </w:r>
      <w:r>
        <w:rPr>
          <w:rFonts w:hint="eastAsia"/>
          <w:sz w:val="24"/>
          <w:szCs w:val="24"/>
          <w:highlight w:val="none"/>
          <w:lang w:val="en-US" w:eastAsia="zh-Hans"/>
        </w:rPr>
        <w:br w:type="textWrapping"/>
      </w:r>
      <w:r>
        <w:rPr>
          <w:rFonts w:hint="eastAsia"/>
          <w:sz w:val="24"/>
          <w:szCs w:val="24"/>
          <w:highlight w:val="none"/>
          <w:lang w:val="en-US" w:eastAsia="zh-Hans"/>
        </w:rPr>
        <w:t>（2）《财政部司法部关于政府采购支持监狱企业发展有关问题的通知》（财库〔2014〕68号）；</w:t>
      </w:r>
      <w:r>
        <w:rPr>
          <w:rFonts w:hint="eastAsia"/>
          <w:sz w:val="24"/>
          <w:szCs w:val="24"/>
          <w:highlight w:val="none"/>
          <w:lang w:val="en-US" w:eastAsia="zh-Hans"/>
        </w:rPr>
        <w:br w:type="textWrapping"/>
      </w:r>
      <w:r>
        <w:rPr>
          <w:rFonts w:hint="eastAsia"/>
          <w:sz w:val="24"/>
          <w:szCs w:val="24"/>
          <w:highlight w:val="none"/>
          <w:lang w:val="en-US" w:eastAsia="zh-Hans"/>
        </w:rPr>
        <w:t>（3）《关于促进残疾人就业政府采购政策的通知》（财库〔2017〕141号）；</w:t>
      </w:r>
      <w:r>
        <w:rPr>
          <w:rFonts w:hint="eastAsia"/>
          <w:sz w:val="24"/>
          <w:szCs w:val="24"/>
          <w:highlight w:val="none"/>
          <w:lang w:val="en-US" w:eastAsia="zh-Hans"/>
        </w:rPr>
        <w:br w:type="textWrapping"/>
      </w:r>
      <w:r>
        <w:rPr>
          <w:rFonts w:hint="eastAsia"/>
          <w:sz w:val="24"/>
          <w:szCs w:val="24"/>
          <w:highlight w:val="none"/>
          <w:lang w:val="en-US" w:eastAsia="zh-Hans"/>
        </w:rPr>
        <w:t>（4）《节能产品政府采购实施意见》（财库〔2004〕185号）；</w:t>
      </w:r>
      <w:r>
        <w:rPr>
          <w:rFonts w:hint="eastAsia"/>
          <w:sz w:val="24"/>
          <w:szCs w:val="24"/>
          <w:highlight w:val="none"/>
          <w:lang w:val="en-US" w:eastAsia="zh-Hans"/>
        </w:rPr>
        <w:br w:type="textWrapping"/>
      </w:r>
      <w:r>
        <w:rPr>
          <w:rFonts w:hint="eastAsia"/>
          <w:sz w:val="24"/>
          <w:szCs w:val="24"/>
          <w:highlight w:val="none"/>
          <w:lang w:val="en-US" w:eastAsia="zh-Hans"/>
        </w:rPr>
        <w:t>（5）《环境标志产品政府采购实施的意见》（财库〔2006〕90号）；</w:t>
      </w:r>
      <w:r>
        <w:rPr>
          <w:rFonts w:hint="eastAsia"/>
          <w:sz w:val="24"/>
          <w:szCs w:val="24"/>
          <w:highlight w:val="none"/>
          <w:lang w:val="en-US" w:eastAsia="zh-Hans"/>
        </w:rPr>
        <w:br w:type="textWrapping"/>
      </w:r>
      <w:r>
        <w:rPr>
          <w:rFonts w:hint="eastAsia"/>
          <w:sz w:val="24"/>
          <w:szCs w:val="24"/>
          <w:highlight w:val="none"/>
          <w:lang w:val="en-US" w:eastAsia="zh-Hans"/>
        </w:rPr>
        <w:t>（6）《国务院办公厅关于建立政府强制采购节能产品制度的通知》（国办发〔2007〕51号）；</w:t>
      </w:r>
      <w:r>
        <w:rPr>
          <w:rFonts w:hint="eastAsia"/>
          <w:sz w:val="24"/>
          <w:szCs w:val="24"/>
          <w:highlight w:val="none"/>
          <w:lang w:val="en-US" w:eastAsia="zh-Hans"/>
        </w:rPr>
        <w:br w:type="textWrapping"/>
      </w:r>
      <w:r>
        <w:rPr>
          <w:rFonts w:hint="eastAsia"/>
          <w:sz w:val="24"/>
          <w:szCs w:val="24"/>
          <w:highlight w:val="none"/>
          <w:lang w:val="en-US" w:eastAsia="zh-Hans"/>
        </w:rPr>
        <w:t>（7）财政部发展改革委生态环境部市场监管总局关于调整优化节能产品、环境标志产品政府采购执行机制的通知（财库〔2019〕9号）；</w:t>
      </w:r>
      <w:r>
        <w:rPr>
          <w:rFonts w:hint="eastAsia"/>
          <w:sz w:val="24"/>
          <w:szCs w:val="24"/>
          <w:highlight w:val="none"/>
          <w:lang w:val="en-US" w:eastAsia="zh-Hans"/>
        </w:rPr>
        <w:br w:type="textWrapping"/>
      </w:r>
      <w:r>
        <w:rPr>
          <w:rFonts w:hint="eastAsia"/>
          <w:sz w:val="24"/>
          <w:szCs w:val="24"/>
          <w:highlight w:val="none"/>
          <w:lang w:val="en-US" w:eastAsia="zh-Hans"/>
        </w:rPr>
        <w:t>（8）《关于印发环境标志产品政府采购品目清单的通知》--（财库〔2019〕18号）；</w:t>
      </w:r>
      <w:r>
        <w:rPr>
          <w:rFonts w:hint="eastAsia"/>
          <w:sz w:val="24"/>
          <w:szCs w:val="24"/>
          <w:highlight w:val="none"/>
          <w:lang w:val="en-US" w:eastAsia="zh-Hans"/>
        </w:rPr>
        <w:br w:type="textWrapping"/>
      </w:r>
      <w:r>
        <w:rPr>
          <w:rFonts w:hint="eastAsia"/>
          <w:sz w:val="24"/>
          <w:szCs w:val="24"/>
          <w:highlight w:val="none"/>
          <w:lang w:val="en-US" w:eastAsia="zh-Hans"/>
        </w:rPr>
        <w:t>（9）《关于印发节能产品政府采购品目清单的通知》--（财库〔2019〕19号）；</w:t>
      </w:r>
      <w:r>
        <w:rPr>
          <w:rFonts w:hint="eastAsia"/>
          <w:sz w:val="24"/>
          <w:szCs w:val="24"/>
          <w:highlight w:val="none"/>
          <w:lang w:val="en-US" w:eastAsia="zh-Hans"/>
        </w:rPr>
        <w:br w:type="textWrapping"/>
      </w:r>
      <w:r>
        <w:rPr>
          <w:rFonts w:hint="eastAsia"/>
          <w:sz w:val="24"/>
          <w:szCs w:val="24"/>
          <w:highlight w:val="none"/>
          <w:lang w:val="en-US" w:eastAsia="zh-Hans"/>
        </w:rPr>
        <w:t>（10）《关于发布参与实施政府采购节能产品、环境标志产品认证机构名录的公告》—2019年第16号；</w:t>
      </w:r>
      <w:r>
        <w:rPr>
          <w:rFonts w:hint="eastAsia"/>
          <w:sz w:val="24"/>
          <w:szCs w:val="24"/>
          <w:highlight w:val="none"/>
          <w:lang w:val="en-US" w:eastAsia="zh-Hans"/>
        </w:rPr>
        <w:br w:type="textWrapping"/>
      </w:r>
      <w:r>
        <w:rPr>
          <w:rFonts w:hint="eastAsia"/>
          <w:sz w:val="24"/>
          <w:szCs w:val="24"/>
          <w:highlight w:val="none"/>
          <w:lang w:val="en-US" w:eastAsia="zh-Hans"/>
        </w:rPr>
        <w:t>（11）《关于运用政府采购政策支持乡村产业振兴的通知》（财库〔2021〕19号）；</w:t>
      </w:r>
      <w:r>
        <w:rPr>
          <w:rFonts w:hint="eastAsia"/>
          <w:sz w:val="24"/>
          <w:szCs w:val="24"/>
          <w:highlight w:val="none"/>
          <w:lang w:val="en-US" w:eastAsia="zh-Hans"/>
        </w:rPr>
        <w:br w:type="textWrapping"/>
      </w:r>
      <w:r>
        <w:rPr>
          <w:rFonts w:hint="eastAsia"/>
          <w:sz w:val="24"/>
          <w:szCs w:val="24"/>
          <w:highlight w:val="none"/>
          <w:lang w:val="en-US" w:eastAsia="zh-Hans"/>
        </w:rPr>
        <w:t>（12）陕西省财政厅关于印发《陕西省中小企业政府采购信用融资办法》（陕财办采〔2018〕23号），相关政策、业务流程、办理平台（详见http://www.ccgp-shaanxi.gov.cn/zcdservice/zcd/shanxi/）；</w:t>
      </w:r>
      <w:r>
        <w:rPr>
          <w:rFonts w:hint="eastAsia"/>
          <w:sz w:val="24"/>
          <w:szCs w:val="24"/>
          <w:highlight w:val="none"/>
          <w:lang w:val="en-US" w:eastAsia="zh-Hans"/>
        </w:rPr>
        <w:br w:type="textWrapping"/>
      </w:r>
      <w:r>
        <w:rPr>
          <w:rFonts w:hint="eastAsia"/>
          <w:sz w:val="24"/>
          <w:szCs w:val="24"/>
          <w:highlight w:val="none"/>
          <w:lang w:val="en-US" w:eastAsia="zh-Hans"/>
        </w:rPr>
        <w:t>（13）《陕西省财政厅关于加快推进我省中小企业政府采购信用融资工作的通知》（陕财办采〔2020〕15号）；</w:t>
      </w:r>
      <w:r>
        <w:rPr>
          <w:rFonts w:hint="eastAsia"/>
          <w:sz w:val="24"/>
          <w:szCs w:val="24"/>
          <w:highlight w:val="none"/>
          <w:lang w:val="en-US" w:eastAsia="zh-Hans"/>
        </w:rPr>
        <w:br w:type="textWrapping"/>
      </w:r>
      <w:r>
        <w:rPr>
          <w:rFonts w:hint="eastAsia"/>
          <w:sz w:val="24"/>
          <w:szCs w:val="24"/>
          <w:highlight w:val="none"/>
          <w:lang w:val="en-US" w:eastAsia="zh-Hans"/>
        </w:rPr>
        <w:t>（14）《关于进一步加强政府绿色采购有关问题的通知》（陕财办采〔2021〕29号）；</w:t>
      </w:r>
      <w:r>
        <w:rPr>
          <w:rFonts w:hint="eastAsia"/>
          <w:sz w:val="24"/>
          <w:szCs w:val="24"/>
          <w:highlight w:val="none"/>
          <w:lang w:val="en-US" w:eastAsia="zh-Hans"/>
        </w:rPr>
        <w:br w:type="textWrapping"/>
      </w:r>
      <w:r>
        <w:rPr>
          <w:rFonts w:hint="eastAsia"/>
          <w:sz w:val="24"/>
          <w:szCs w:val="24"/>
          <w:highlight w:val="none"/>
          <w:lang w:val="en-US" w:eastAsia="zh-Hans"/>
        </w:rPr>
        <w:t>（15）《陕西省财政厅陕西省工业和信息化厅关于运用政府采购政策支持首台（套）及创新产品有关事项的通知》（陕财办采〔2021〕17号）；</w:t>
      </w:r>
      <w:r>
        <w:rPr>
          <w:rFonts w:hint="eastAsia"/>
          <w:sz w:val="24"/>
          <w:szCs w:val="24"/>
          <w:highlight w:val="none"/>
          <w:lang w:val="en-US" w:eastAsia="zh-Hans"/>
        </w:rPr>
        <w:br w:type="textWrapping"/>
      </w:r>
      <w:r>
        <w:rPr>
          <w:rFonts w:hint="eastAsia"/>
          <w:sz w:val="24"/>
          <w:szCs w:val="24"/>
          <w:highlight w:val="none"/>
          <w:lang w:val="en-US" w:eastAsia="zh-Hans"/>
        </w:rPr>
        <w:t>（16）《关于进一步加大政府采购支持中小企业力度的通知》（财库〔2022〕19号）、《关于落实政府采购支持中小企业政策有关事项的通知》（陕财办采函〔2022〕10号）；</w:t>
      </w:r>
      <w:r>
        <w:rPr>
          <w:rFonts w:hint="eastAsia"/>
          <w:sz w:val="24"/>
          <w:szCs w:val="24"/>
          <w:highlight w:val="none"/>
          <w:lang w:val="en-US" w:eastAsia="zh-Hans"/>
        </w:rPr>
        <w:br w:type="textWrapping"/>
      </w:r>
      <w:r>
        <w:rPr>
          <w:rFonts w:hint="eastAsia"/>
          <w:sz w:val="24"/>
          <w:szCs w:val="24"/>
          <w:highlight w:val="none"/>
          <w:lang w:val="en-US" w:eastAsia="zh-Hans"/>
        </w:rPr>
        <w:t>（17）其他需要落实的政府采购政策。</w:t>
      </w:r>
    </w:p>
    <w:p w14:paraId="57F5B1BA">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3.本项目的特定资格要求：</w:t>
      </w:r>
    </w:p>
    <w:p w14:paraId="5EB02F4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合同包1(2025年管护用房建设项目)特定资格要求如下:</w:t>
      </w:r>
    </w:p>
    <w:p w14:paraId="686E450D">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（1）提供合格有效的法人或者其他组织的营业执照等证明文件，自然人的身份证明；</w:t>
      </w:r>
      <w:r>
        <w:rPr>
          <w:rFonts w:hint="eastAsia"/>
          <w:sz w:val="24"/>
          <w:szCs w:val="24"/>
          <w:highlight w:val="none"/>
          <w:lang w:val="en-US" w:eastAsia="zh-Hans"/>
        </w:rPr>
        <w:br w:type="textWrapping"/>
      </w:r>
      <w:r>
        <w:rPr>
          <w:rFonts w:hint="eastAsia"/>
          <w:sz w:val="24"/>
          <w:szCs w:val="24"/>
          <w:highlight w:val="none"/>
          <w:lang w:val="en-US" w:eastAsia="zh-Hans"/>
        </w:rPr>
        <w:t>（2）提供法定代表人授权书（附法定代表人、被授权人身份证复印件)，法定代表人直接参加投标，须提供法定代表人身份证明及身份证复印件）；</w:t>
      </w:r>
      <w:r>
        <w:rPr>
          <w:rFonts w:hint="eastAsia"/>
          <w:sz w:val="24"/>
          <w:szCs w:val="24"/>
          <w:highlight w:val="none"/>
          <w:lang w:val="en-US" w:eastAsia="zh-Hans"/>
        </w:rPr>
        <w:br w:type="textWrapping"/>
      </w:r>
      <w:r>
        <w:rPr>
          <w:rFonts w:hint="eastAsia"/>
          <w:sz w:val="24"/>
          <w:szCs w:val="24"/>
          <w:highlight w:val="none"/>
          <w:lang w:val="en-US" w:eastAsia="zh-Hans"/>
        </w:rPr>
        <w:t>（3）财务状况报告：提供2024年度的财务审计报告（成立时间至提交响应文件截止时间不足一年的可提供成立后任意时段的资产负债表）或开标时间前六个月内银行出具的资信证明；</w:t>
      </w:r>
      <w:r>
        <w:rPr>
          <w:rFonts w:hint="eastAsia"/>
          <w:sz w:val="24"/>
          <w:szCs w:val="24"/>
          <w:highlight w:val="none"/>
          <w:lang w:val="en-US" w:eastAsia="zh-Hans"/>
        </w:rPr>
        <w:br w:type="textWrapping"/>
      </w:r>
      <w:r>
        <w:rPr>
          <w:rFonts w:hint="eastAsia"/>
          <w:sz w:val="24"/>
          <w:szCs w:val="24"/>
          <w:highlight w:val="none"/>
          <w:lang w:val="en-US" w:eastAsia="zh-Hans"/>
        </w:rPr>
        <w:t>（4）税收缴纳证明：提供响应文件截止日前一年内已缴纳的至少一个月的纳税证明或完税证明（任意税种），依法免税的单位应提供相关证明材料；</w:t>
      </w:r>
      <w:r>
        <w:rPr>
          <w:rFonts w:hint="eastAsia"/>
          <w:sz w:val="24"/>
          <w:szCs w:val="24"/>
          <w:highlight w:val="none"/>
          <w:lang w:val="en-US" w:eastAsia="zh-Hans"/>
        </w:rPr>
        <w:br w:type="textWrapping"/>
      </w:r>
      <w:r>
        <w:rPr>
          <w:rFonts w:hint="eastAsia"/>
          <w:sz w:val="24"/>
          <w:szCs w:val="24"/>
          <w:highlight w:val="none"/>
          <w:lang w:val="en-US" w:eastAsia="zh-Hans"/>
        </w:rPr>
        <w:t>（5）社会保障资金缴纳证明：提供响应文件截止日前一年内已缴存的至少一个月的社会保障资金缴存单据或社保机构开具的社会保险参保缴费情况证明，依法不需要缴纳社会保障资金的单位应提供相关证明材料；</w:t>
      </w:r>
      <w:r>
        <w:rPr>
          <w:rFonts w:hint="eastAsia"/>
          <w:sz w:val="24"/>
          <w:szCs w:val="24"/>
          <w:highlight w:val="none"/>
          <w:lang w:val="en-US" w:eastAsia="zh-Hans"/>
        </w:rPr>
        <w:br w:type="textWrapping"/>
      </w:r>
      <w:r>
        <w:rPr>
          <w:rFonts w:hint="eastAsia"/>
          <w:sz w:val="24"/>
          <w:szCs w:val="24"/>
          <w:highlight w:val="none"/>
          <w:lang w:val="en-US" w:eastAsia="zh-Hans"/>
        </w:rPr>
        <w:t>（6）供应商应通过“信用中国”网站(www.creditchina.gov.cn)、中国政府采购网(www.ccgp.gov.cn)查询相关主体信用记录；</w:t>
      </w:r>
      <w:r>
        <w:rPr>
          <w:rFonts w:hint="eastAsia"/>
          <w:sz w:val="24"/>
          <w:szCs w:val="24"/>
          <w:highlight w:val="none"/>
          <w:lang w:val="en-US" w:eastAsia="zh-Hans"/>
        </w:rPr>
        <w:br w:type="textWrapping"/>
      </w:r>
      <w:r>
        <w:rPr>
          <w:rFonts w:hint="eastAsia"/>
          <w:sz w:val="24"/>
          <w:szCs w:val="24"/>
          <w:highlight w:val="none"/>
          <w:lang w:val="en-US" w:eastAsia="zh-Hans"/>
        </w:rPr>
        <w:t>（7）参加政府采购活动前3年内，在经营活动中没有重大违法记录的书面声明；</w:t>
      </w:r>
      <w:r>
        <w:rPr>
          <w:rFonts w:hint="eastAsia"/>
          <w:sz w:val="24"/>
          <w:szCs w:val="24"/>
          <w:highlight w:val="none"/>
          <w:lang w:val="en-US" w:eastAsia="zh-Hans"/>
        </w:rPr>
        <w:br w:type="textWrapping"/>
      </w:r>
      <w:r>
        <w:rPr>
          <w:rFonts w:hint="eastAsia"/>
          <w:sz w:val="24"/>
          <w:szCs w:val="24"/>
          <w:highlight w:val="none"/>
          <w:lang w:val="en-US" w:eastAsia="zh-Hans"/>
        </w:rPr>
        <w:t>（8）提供具有履行合同所必需的设备和专业技术能力的承诺函；</w:t>
      </w:r>
      <w:r>
        <w:rPr>
          <w:rFonts w:hint="eastAsia"/>
          <w:sz w:val="24"/>
          <w:szCs w:val="24"/>
          <w:highlight w:val="none"/>
          <w:lang w:val="en-US" w:eastAsia="zh-Hans"/>
        </w:rPr>
        <w:br w:type="textWrapping"/>
      </w:r>
      <w:r>
        <w:rPr>
          <w:rFonts w:hint="eastAsia"/>
          <w:sz w:val="24"/>
          <w:szCs w:val="24"/>
          <w:highlight w:val="none"/>
          <w:lang w:val="en-US" w:eastAsia="zh-Hans"/>
        </w:rPr>
        <w:t>（9）供应商具有建设行政主管部门颁发的建筑工程施工总承包三级或以上资质；有效的安全生产许可证；</w:t>
      </w:r>
      <w:r>
        <w:rPr>
          <w:rFonts w:hint="eastAsia"/>
          <w:sz w:val="24"/>
          <w:szCs w:val="24"/>
          <w:highlight w:val="none"/>
          <w:lang w:val="en-US" w:eastAsia="zh-Hans"/>
        </w:rPr>
        <w:br w:type="textWrapping"/>
      </w:r>
      <w:r>
        <w:rPr>
          <w:rFonts w:hint="eastAsia"/>
          <w:sz w:val="24"/>
          <w:szCs w:val="24"/>
          <w:highlight w:val="none"/>
          <w:lang w:val="en-US" w:eastAsia="zh-Hans"/>
        </w:rPr>
        <w:t>（10）拟派项目经理须具备建设行政主管部门颁发的建筑工程专业二级注册建造师或以上执业资格以及有效的安全生产考核合格B证，在本单位注册，且未担任其他在建工程项目的项目经理（提供无在建承诺函）；</w:t>
      </w:r>
      <w:r>
        <w:rPr>
          <w:rFonts w:hint="eastAsia"/>
          <w:sz w:val="24"/>
          <w:szCs w:val="24"/>
          <w:highlight w:val="none"/>
          <w:lang w:val="en-US" w:eastAsia="zh-Hans"/>
        </w:rPr>
        <w:br w:type="textWrapping"/>
      </w:r>
      <w:r>
        <w:rPr>
          <w:rFonts w:hint="eastAsia"/>
          <w:sz w:val="24"/>
          <w:szCs w:val="24"/>
          <w:highlight w:val="none"/>
          <w:lang w:val="en-US" w:eastAsia="zh-Hans"/>
        </w:rPr>
        <w:t>（11）供应商须提供中小企业声明函；</w:t>
      </w:r>
      <w:r>
        <w:rPr>
          <w:rFonts w:hint="eastAsia"/>
          <w:sz w:val="24"/>
          <w:szCs w:val="24"/>
          <w:highlight w:val="none"/>
          <w:lang w:val="en-US" w:eastAsia="zh-Hans"/>
        </w:rPr>
        <w:br w:type="textWrapping"/>
      </w:r>
      <w:r>
        <w:rPr>
          <w:rFonts w:hint="eastAsia"/>
          <w:sz w:val="24"/>
          <w:szCs w:val="24"/>
          <w:highlight w:val="none"/>
          <w:lang w:val="en-US" w:eastAsia="zh-Hans"/>
        </w:rPr>
        <w:t>（12）本项目不接受联合体磋商（需提供承诺书）。</w:t>
      </w:r>
    </w:p>
    <w:p w14:paraId="65BA7C53">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三、获取采购文件</w:t>
      </w:r>
    </w:p>
    <w:p w14:paraId="315D3F2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时间： 2025年11月17日 至 2025年11月24日 ，每天上午 00:00:00 至 12:00:00 ，下午 12:00:00 至 23:59:59 （北京时间）</w:t>
      </w:r>
    </w:p>
    <w:p w14:paraId="0F6894E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途径：全国公共资源交易平台（陕西省·宝鸡市）宝鸡市公共资源交易中心</w:t>
      </w:r>
    </w:p>
    <w:p w14:paraId="38A1873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方式：在线获取</w:t>
      </w:r>
    </w:p>
    <w:p w14:paraId="39FC3F7D">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售价： 0元</w:t>
      </w:r>
    </w:p>
    <w:p w14:paraId="1924007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四、响应文件提交</w:t>
      </w:r>
    </w:p>
    <w:p w14:paraId="370674B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截止时间： 2025年11月28日 14时00分00秒 （北京时间）</w:t>
      </w:r>
    </w:p>
    <w:p w14:paraId="53452BE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地点：全国公共资源交易平台（陕西省·宝鸡市）宝鸡市公共资源交易中心〖首页〉电子交易平台〉陕西政府采购交易系统〉企业端〗不见面开标</w:t>
      </w:r>
    </w:p>
    <w:p w14:paraId="65A07CCA">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五、开启</w:t>
      </w:r>
    </w:p>
    <w:p w14:paraId="1DE6C7AD">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时间： 2025年11月28日 14时00分00秒 （北京时间）</w:t>
      </w:r>
    </w:p>
    <w:p w14:paraId="557E15D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地点：全国公共资源交易平台（陕西省·宝鸡市）宝鸡市公共资源交易中心〖首页〉电子交易平台〉陕西政府采购交易系统〉企业端〗不见面开标</w:t>
      </w:r>
    </w:p>
    <w:p w14:paraId="1922752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六、公告期限</w:t>
      </w:r>
    </w:p>
    <w:p w14:paraId="6A6E36F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自本公告发布之日起3个工作日。</w:t>
      </w:r>
    </w:p>
    <w:p w14:paraId="4A72730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七、其他补充事宜</w:t>
      </w:r>
    </w:p>
    <w:p w14:paraId="742E32C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       1、请供应商按照陕西省财政厅关于政府采购供应商注册登记有关事项的通知中的要求，通过陕西省政府采购网（http://www.ccgp-shaanxi.gov.cn/）注册登记加入陕西省政府采购供应商库。</w:t>
      </w:r>
    </w:p>
    <w:p w14:paraId="702665A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2、报名登记：供应商使用捆绑CA证书登录全国公共资源交易平台（陕西省·宝鸡市）宝鸡市公共资源交易中心（http://ggzy.baoji.gov.cn/）〖首页〉电子交易平台〉陕西政府采购交易系统〉企业端〗进行登录，登录后选择“交易乙方”身份进入供应商界面进行报名。</w:t>
      </w:r>
    </w:p>
    <w:p w14:paraId="0C734BB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3、供应商于获取采购文件截止时间之前，从【全国公共资源交易平台（陕西省·宝鸡市）】（http://ggzy.baoji.gov.cn/）〖我的项目〉项目流程〉交易文件下载〗中下载电子采购文件。</w:t>
      </w:r>
    </w:p>
    <w:p w14:paraId="2E1CEDF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4、供应商在网上填写单位信息（单位名称、营业执照相关信息）时应与采购文件要求及后期上传的电子响应文件中相关信息一致，否则造成资格审查不通过的后果自负。</w:t>
      </w:r>
    </w:p>
    <w:p w14:paraId="3598647B">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5、本项目为“全流程电子化”采购模式，各供应商须自行在网上下载采购文件，并登录全国公共资源交易平台（陕西省宝鸡市）宝鸡市公共资源交易中心（http://ggzy.baoji.gov.cn/）-服务指南-下载专区-下载政府采购电子标书制作工具，按照流程制作电子标书并在规定的投标截止时前上传电子投标文件。</w:t>
      </w:r>
    </w:p>
    <w:p w14:paraId="2EBB0A91">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6、本项目采用“不见面”开标形式，供应商需提前一小时登录陕西省宝鸡市公共资源交易中心平台（http://ggzy.baoji.gov.cn/）〖《首页》不见面开标〗签到、在线参与开评标过程，详见交易平台〖首页〉服务指南〉下载专区〗中的《新版政府采购不见面开标系统操作演示》及《政府采购电子交易-不见面系统操作手册》。技术支持服务电话：400-9980000。</w:t>
      </w:r>
    </w:p>
    <w:p w14:paraId="1B561A3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7、供应商应通过“信用中国”网站(www.creditchina.gov.cn)、中国政府采购网(www.ccgp.gov.cn)查询相关主体信用记录；</w:t>
      </w:r>
    </w:p>
    <w:p w14:paraId="7D17101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8、本项目涉及到公共资源交易中心网站的操作均建议采用IE浏览器或360极速浏览器兼容模式进行操作，否则后果自负。</w:t>
      </w:r>
    </w:p>
    <w:p w14:paraId="384F052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9、供应商应随时留意可能发布的变更公告，当澄清或修改的内容影响响应文件编制时，将在交易平台上同步发布答疑文件，此时供应商应从“项目流程”答疑文件下载、下载最新发布的答疑文件。</w:t>
      </w:r>
    </w:p>
    <w:p w14:paraId="686D863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10、本项目专门面向中小企业采购。</w:t>
      </w:r>
    </w:p>
    <w:p w14:paraId="211BC78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八、对本次招标提出询问，请按以下方式联系。</w:t>
      </w:r>
    </w:p>
    <w:p w14:paraId="7219C99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1.采购人信息</w:t>
      </w:r>
    </w:p>
    <w:p w14:paraId="1C0C0EEE">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名称：扶风县国有野河林场</w:t>
      </w:r>
    </w:p>
    <w:p w14:paraId="236809F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地址：扶风县法门镇观关路</w:t>
      </w:r>
    </w:p>
    <w:p w14:paraId="145A95D8">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联系方式：0917-5255580</w:t>
      </w:r>
    </w:p>
    <w:p w14:paraId="64AA020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2.采购代理机构信息</w:t>
      </w:r>
    </w:p>
    <w:p w14:paraId="1E3A7E3C">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名称：陕西银正项目管理有限公司</w:t>
      </w:r>
    </w:p>
    <w:p w14:paraId="7EA2AC06">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地址：陕西省西安市经济技术开发区凤城二路海荣翡翠国际城1幢12306号</w:t>
      </w:r>
    </w:p>
    <w:p w14:paraId="00544532">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联系方式：15686293686</w:t>
      </w:r>
    </w:p>
    <w:p w14:paraId="2447877F">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3.项目联系方式</w:t>
      </w:r>
    </w:p>
    <w:p w14:paraId="188424A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项目联系人：李白茹</w:t>
      </w:r>
    </w:p>
    <w:p w14:paraId="7E3A5EA4">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r>
        <w:rPr>
          <w:rFonts w:hint="eastAsia"/>
          <w:sz w:val="24"/>
          <w:szCs w:val="24"/>
          <w:highlight w:val="none"/>
          <w:lang w:val="en-US" w:eastAsia="zh-Hans"/>
        </w:rPr>
        <w:t>电话：15686293686</w:t>
      </w:r>
    </w:p>
    <w:p w14:paraId="74E18A14">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highlight w:val="none"/>
          <w:lang w:val="en-US" w:eastAsia="zh-Hans"/>
        </w:rPr>
      </w:pPr>
      <w:r>
        <w:rPr>
          <w:rFonts w:hint="eastAsia"/>
          <w:sz w:val="24"/>
          <w:szCs w:val="24"/>
          <w:highlight w:val="none"/>
          <w:lang w:val="en-US" w:eastAsia="zh-Hans"/>
        </w:rPr>
        <w:t>陕西银正项目管理有限公司</w:t>
      </w:r>
      <w:r>
        <w:rPr>
          <w:rFonts w:hint="eastAsia"/>
          <w:sz w:val="24"/>
          <w:szCs w:val="24"/>
          <w:highlight w:val="none"/>
          <w:lang w:val="en-US" w:eastAsia="zh-Hans"/>
        </w:rPr>
        <w:br w:type="textWrapping"/>
      </w:r>
      <w:r>
        <w:rPr>
          <w:rFonts w:hint="eastAsia"/>
          <w:sz w:val="24"/>
          <w:szCs w:val="24"/>
          <w:highlight w:val="none"/>
          <w:lang w:val="en-US" w:eastAsia="zh-Hans"/>
        </w:rPr>
        <w:t>2025年11月17日</w:t>
      </w:r>
    </w:p>
    <w:p w14:paraId="1ABA5E79">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Hans"/>
        </w:rPr>
      </w:pPr>
    </w:p>
    <w:p w14:paraId="11D58347">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14:paraId="0545CF25">
      <w:pPr>
        <w:pStyle w:val="3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Hans"/>
        </w:rPr>
      </w:pPr>
    </w:p>
    <w:p w14:paraId="2E926655">
      <w:pPr>
        <w:pStyle w:val="38"/>
        <w:jc w:val="right"/>
        <w:rPr>
          <w:rFonts w:hint="eastAsia" w:ascii="仿宋_GB2312" w:hAnsi="仿宋_GB2312" w:eastAsia="仿宋_GB2312" w:cs="仿宋_GB2312"/>
          <w:highlight w:val="none"/>
        </w:rPr>
      </w:pPr>
    </w:p>
    <w:p w14:paraId="61242D02">
      <w:pPr>
        <w:pStyle w:val="38"/>
        <w:jc w:val="right"/>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bookmarkEnd w:id="11"/>
    <w:bookmarkEnd w:id="12"/>
    <w:bookmarkEnd w:id="13"/>
    <w:bookmarkEnd w:id="19"/>
    <w:bookmarkEnd w:id="20"/>
    <w:bookmarkEnd w:id="21"/>
    <w:bookmarkEnd w:id="22"/>
    <w:bookmarkEnd w:id="23"/>
    <w:p w14:paraId="4B989B34">
      <w:pPr>
        <w:spacing w:before="162" w:line="224" w:lineRule="auto"/>
        <w:ind w:left="2866"/>
        <w:outlineLvl w:val="0"/>
        <w:rPr>
          <w:rFonts w:ascii="宋体" w:hAnsi="宋体" w:eastAsia="宋体" w:cs="宋体"/>
          <w:sz w:val="31"/>
          <w:szCs w:val="31"/>
          <w:highlight w:val="none"/>
        </w:rPr>
      </w:pPr>
      <w:bookmarkStart w:id="24" w:name="_Toc28716"/>
      <w:bookmarkStart w:id="25" w:name="_Toc19324"/>
      <w:bookmarkStart w:id="26" w:name="_Toc2986"/>
      <w:bookmarkStart w:id="27" w:name="_Toc13669"/>
      <w:bookmarkStart w:id="28" w:name="_Toc363473976"/>
      <w:bookmarkStart w:id="29" w:name="_Toc15436"/>
      <w:bookmarkStart w:id="30" w:name="_Toc403077643"/>
      <w:bookmarkStart w:id="31" w:name="_Toc363474021"/>
      <w:r>
        <w:rPr>
          <w:rFonts w:ascii="宋体" w:hAnsi="宋体" w:eastAsia="宋体" w:cs="宋体"/>
          <w:b/>
          <w:bCs/>
          <w:spacing w:val="6"/>
          <w:sz w:val="31"/>
          <w:szCs w:val="31"/>
          <w:highlight w:val="none"/>
        </w:rPr>
        <w:t>第二章</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竞争性磋商须知</w:t>
      </w:r>
      <w:bookmarkEnd w:id="24"/>
    </w:p>
    <w:p w14:paraId="4B761427">
      <w:pPr>
        <w:spacing w:before="272" w:line="219" w:lineRule="auto"/>
        <w:ind w:left="136"/>
        <w:jc w:val="center"/>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一、磋商须知前附表</w:t>
      </w:r>
    </w:p>
    <w:p w14:paraId="0D3539D3">
      <w:pPr>
        <w:spacing w:line="16" w:lineRule="exact"/>
        <w:rPr>
          <w:highlight w:val="none"/>
        </w:rPr>
      </w:pPr>
    </w:p>
    <w:tbl>
      <w:tblPr>
        <w:tblStyle w:val="40"/>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2125"/>
        <w:gridCol w:w="6386"/>
        <w:gridCol w:w="7"/>
      </w:tblGrid>
      <w:tr w14:paraId="2F9CF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27" w:hRule="atLeast"/>
        </w:trPr>
        <w:tc>
          <w:tcPr>
            <w:tcW w:w="803" w:type="dxa"/>
            <w:vAlign w:val="top"/>
          </w:tcPr>
          <w:p w14:paraId="289BABF5">
            <w:pPr>
              <w:pStyle w:val="39"/>
              <w:spacing w:before="144" w:line="360" w:lineRule="auto"/>
              <w:ind w:left="167"/>
              <w:rPr>
                <w:sz w:val="24"/>
                <w:szCs w:val="24"/>
                <w:highlight w:val="none"/>
              </w:rPr>
            </w:pPr>
            <w:r>
              <w:rPr>
                <w:b/>
                <w:bCs/>
                <w:spacing w:val="-7"/>
                <w:sz w:val="24"/>
                <w:szCs w:val="24"/>
                <w:highlight w:val="none"/>
              </w:rPr>
              <w:t>序号</w:t>
            </w:r>
          </w:p>
        </w:tc>
        <w:tc>
          <w:tcPr>
            <w:tcW w:w="2125" w:type="dxa"/>
            <w:vAlign w:val="top"/>
          </w:tcPr>
          <w:p w14:paraId="7999C65F">
            <w:pPr>
              <w:pStyle w:val="39"/>
              <w:spacing w:before="145" w:line="360" w:lineRule="auto"/>
              <w:ind w:left="588"/>
              <w:rPr>
                <w:sz w:val="24"/>
                <w:szCs w:val="24"/>
                <w:highlight w:val="none"/>
              </w:rPr>
            </w:pPr>
            <w:r>
              <w:rPr>
                <w:b/>
                <w:bCs/>
                <w:spacing w:val="-5"/>
                <w:sz w:val="24"/>
                <w:szCs w:val="24"/>
                <w:highlight w:val="none"/>
              </w:rPr>
              <w:t>条款名称</w:t>
            </w:r>
          </w:p>
        </w:tc>
        <w:tc>
          <w:tcPr>
            <w:tcW w:w="6386" w:type="dxa"/>
            <w:vAlign w:val="top"/>
          </w:tcPr>
          <w:p w14:paraId="6D921C42">
            <w:pPr>
              <w:pStyle w:val="39"/>
              <w:spacing w:before="145" w:line="360" w:lineRule="auto"/>
              <w:ind w:left="2599"/>
              <w:rPr>
                <w:sz w:val="24"/>
                <w:szCs w:val="24"/>
                <w:highlight w:val="none"/>
              </w:rPr>
            </w:pPr>
            <w:r>
              <w:rPr>
                <w:b/>
                <w:bCs/>
                <w:spacing w:val="-5"/>
                <w:sz w:val="24"/>
                <w:szCs w:val="24"/>
                <w:highlight w:val="none"/>
              </w:rPr>
              <w:t>说明和要求</w:t>
            </w:r>
          </w:p>
        </w:tc>
      </w:tr>
      <w:tr w14:paraId="23F6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780" w:hRule="atLeast"/>
        </w:trPr>
        <w:tc>
          <w:tcPr>
            <w:tcW w:w="803" w:type="dxa"/>
            <w:vAlign w:val="top"/>
          </w:tcPr>
          <w:p w14:paraId="38F988B8">
            <w:pPr>
              <w:spacing w:line="360" w:lineRule="auto"/>
              <w:rPr>
                <w:rFonts w:ascii="Arial"/>
                <w:sz w:val="24"/>
                <w:szCs w:val="24"/>
                <w:highlight w:val="none"/>
              </w:rPr>
            </w:pPr>
          </w:p>
          <w:p w14:paraId="2007232C">
            <w:pPr>
              <w:spacing w:line="360" w:lineRule="auto"/>
              <w:rPr>
                <w:rFonts w:ascii="Arial"/>
                <w:sz w:val="24"/>
                <w:szCs w:val="24"/>
                <w:highlight w:val="none"/>
              </w:rPr>
            </w:pPr>
          </w:p>
          <w:p w14:paraId="149FCD9E">
            <w:pPr>
              <w:spacing w:line="360" w:lineRule="auto"/>
              <w:rPr>
                <w:rFonts w:ascii="Arial"/>
                <w:sz w:val="24"/>
                <w:szCs w:val="24"/>
                <w:highlight w:val="none"/>
              </w:rPr>
            </w:pPr>
          </w:p>
          <w:p w14:paraId="4E50FFC8">
            <w:pPr>
              <w:pStyle w:val="39"/>
              <w:spacing w:before="78" w:line="360" w:lineRule="auto"/>
              <w:ind w:left="413"/>
              <w:rPr>
                <w:sz w:val="24"/>
                <w:szCs w:val="24"/>
                <w:highlight w:val="none"/>
              </w:rPr>
            </w:pPr>
            <w:r>
              <w:rPr>
                <w:spacing w:val="-14"/>
                <w:sz w:val="24"/>
                <w:szCs w:val="24"/>
                <w:highlight w:val="none"/>
              </w:rPr>
              <w:t>1.</w:t>
            </w:r>
          </w:p>
        </w:tc>
        <w:tc>
          <w:tcPr>
            <w:tcW w:w="2125" w:type="dxa"/>
            <w:vAlign w:val="top"/>
          </w:tcPr>
          <w:p w14:paraId="7BBCE6C4">
            <w:pPr>
              <w:spacing w:line="360" w:lineRule="auto"/>
              <w:rPr>
                <w:rFonts w:ascii="Arial"/>
                <w:sz w:val="24"/>
                <w:szCs w:val="24"/>
                <w:highlight w:val="none"/>
              </w:rPr>
            </w:pPr>
          </w:p>
          <w:p w14:paraId="68D20068">
            <w:pPr>
              <w:spacing w:line="360" w:lineRule="auto"/>
              <w:rPr>
                <w:rFonts w:ascii="Arial"/>
                <w:sz w:val="24"/>
                <w:szCs w:val="24"/>
                <w:highlight w:val="none"/>
              </w:rPr>
            </w:pPr>
          </w:p>
          <w:p w14:paraId="58E87620">
            <w:pPr>
              <w:spacing w:line="360" w:lineRule="auto"/>
              <w:rPr>
                <w:rFonts w:ascii="Arial"/>
                <w:sz w:val="24"/>
                <w:szCs w:val="24"/>
                <w:highlight w:val="none"/>
              </w:rPr>
            </w:pPr>
          </w:p>
          <w:p w14:paraId="46F569DE">
            <w:pPr>
              <w:pStyle w:val="39"/>
              <w:spacing w:before="78" w:line="360" w:lineRule="auto"/>
              <w:ind w:left="707"/>
              <w:rPr>
                <w:sz w:val="24"/>
                <w:szCs w:val="24"/>
                <w:highlight w:val="none"/>
              </w:rPr>
            </w:pPr>
            <w:r>
              <w:rPr>
                <w:spacing w:val="-3"/>
                <w:sz w:val="24"/>
                <w:szCs w:val="24"/>
                <w:highlight w:val="none"/>
              </w:rPr>
              <w:t>采购人</w:t>
            </w:r>
          </w:p>
        </w:tc>
        <w:tc>
          <w:tcPr>
            <w:tcW w:w="6386" w:type="dxa"/>
            <w:vAlign w:val="top"/>
          </w:tcPr>
          <w:p w14:paraId="7827F1FB">
            <w:pPr>
              <w:pStyle w:val="39"/>
              <w:spacing w:before="151" w:line="360" w:lineRule="auto"/>
              <w:ind w:left="118"/>
              <w:rPr>
                <w:rFonts w:hint="eastAsia" w:eastAsia="宋体"/>
                <w:sz w:val="24"/>
                <w:szCs w:val="24"/>
                <w:highlight w:val="none"/>
                <w:lang w:eastAsia="zh-CN"/>
              </w:rPr>
            </w:pPr>
            <w:r>
              <w:rPr>
                <w:spacing w:val="-2"/>
                <w:sz w:val="24"/>
                <w:szCs w:val="24"/>
                <w:highlight w:val="none"/>
              </w:rPr>
              <w:t>名称：</w:t>
            </w:r>
            <w:r>
              <w:rPr>
                <w:rFonts w:hint="eastAsia"/>
                <w:spacing w:val="-2"/>
                <w:sz w:val="24"/>
                <w:szCs w:val="24"/>
                <w:highlight w:val="none"/>
                <w:lang w:eastAsia="zh-CN"/>
              </w:rPr>
              <w:t>扶风县国有野河林场</w:t>
            </w:r>
          </w:p>
          <w:p w14:paraId="2F713F18">
            <w:pPr>
              <w:pStyle w:val="39"/>
              <w:spacing w:before="159" w:line="360" w:lineRule="auto"/>
              <w:ind w:left="115"/>
              <w:rPr>
                <w:rFonts w:hint="eastAsia" w:eastAsia="宋体"/>
                <w:sz w:val="24"/>
                <w:szCs w:val="24"/>
                <w:highlight w:val="none"/>
                <w:lang w:eastAsia="zh-CN"/>
              </w:rPr>
            </w:pPr>
            <w:r>
              <w:rPr>
                <w:spacing w:val="-1"/>
                <w:sz w:val="24"/>
                <w:szCs w:val="24"/>
                <w:highlight w:val="none"/>
              </w:rPr>
              <w:t>地址：</w:t>
            </w:r>
            <w:r>
              <w:rPr>
                <w:rFonts w:hint="eastAsia"/>
                <w:spacing w:val="-1"/>
                <w:sz w:val="24"/>
                <w:szCs w:val="24"/>
                <w:highlight w:val="none"/>
                <w:lang w:eastAsia="zh-CN"/>
              </w:rPr>
              <w:t>法门镇观光路029号</w:t>
            </w:r>
          </w:p>
          <w:p w14:paraId="5F0D67F3">
            <w:pPr>
              <w:pStyle w:val="39"/>
              <w:spacing w:before="158" w:line="360" w:lineRule="auto"/>
              <w:ind w:left="116"/>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lang w:eastAsia="zh-CN"/>
              </w:rPr>
              <w:t>0917-5255580</w:t>
            </w:r>
          </w:p>
          <w:p w14:paraId="57D9F715">
            <w:pPr>
              <w:pStyle w:val="39"/>
              <w:spacing w:before="157" w:line="360" w:lineRule="auto"/>
              <w:ind w:left="116"/>
              <w:rPr>
                <w:sz w:val="24"/>
                <w:szCs w:val="24"/>
                <w:highlight w:val="none"/>
              </w:rPr>
            </w:pPr>
            <w:r>
              <w:rPr>
                <w:spacing w:val="-2"/>
                <w:sz w:val="24"/>
                <w:szCs w:val="24"/>
                <w:highlight w:val="none"/>
              </w:rPr>
              <w:t>联系人：</w:t>
            </w:r>
            <w:r>
              <w:rPr>
                <w:rFonts w:hint="eastAsia"/>
                <w:spacing w:val="-2"/>
                <w:sz w:val="24"/>
                <w:szCs w:val="24"/>
                <w:highlight w:val="none"/>
                <w:lang w:val="en-US" w:eastAsia="zh-CN"/>
              </w:rPr>
              <w:t>强</w:t>
            </w:r>
            <w:r>
              <w:rPr>
                <w:spacing w:val="-2"/>
                <w:sz w:val="24"/>
                <w:szCs w:val="24"/>
                <w:highlight w:val="none"/>
              </w:rPr>
              <w:t>工</w:t>
            </w:r>
          </w:p>
        </w:tc>
      </w:tr>
      <w:tr w14:paraId="39B1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780" w:hRule="atLeast"/>
        </w:trPr>
        <w:tc>
          <w:tcPr>
            <w:tcW w:w="803" w:type="dxa"/>
            <w:vAlign w:val="top"/>
          </w:tcPr>
          <w:p w14:paraId="3B12F5E1">
            <w:pPr>
              <w:spacing w:line="360" w:lineRule="auto"/>
              <w:rPr>
                <w:rFonts w:ascii="Arial"/>
                <w:sz w:val="24"/>
                <w:szCs w:val="24"/>
                <w:highlight w:val="none"/>
              </w:rPr>
            </w:pPr>
          </w:p>
          <w:p w14:paraId="34D08162">
            <w:pPr>
              <w:spacing w:line="360" w:lineRule="auto"/>
              <w:rPr>
                <w:rFonts w:ascii="Arial"/>
                <w:sz w:val="24"/>
                <w:szCs w:val="24"/>
                <w:highlight w:val="none"/>
              </w:rPr>
            </w:pPr>
          </w:p>
          <w:p w14:paraId="063F4601">
            <w:pPr>
              <w:spacing w:line="360" w:lineRule="auto"/>
              <w:rPr>
                <w:rFonts w:ascii="Arial"/>
                <w:sz w:val="24"/>
                <w:szCs w:val="24"/>
                <w:highlight w:val="none"/>
              </w:rPr>
            </w:pPr>
          </w:p>
          <w:p w14:paraId="60EDB03A">
            <w:pPr>
              <w:pStyle w:val="39"/>
              <w:spacing w:before="78" w:line="360" w:lineRule="auto"/>
              <w:ind w:left="398"/>
              <w:rPr>
                <w:sz w:val="24"/>
                <w:szCs w:val="24"/>
                <w:highlight w:val="none"/>
              </w:rPr>
            </w:pPr>
            <w:r>
              <w:rPr>
                <w:spacing w:val="-7"/>
                <w:sz w:val="24"/>
                <w:szCs w:val="24"/>
                <w:highlight w:val="none"/>
              </w:rPr>
              <w:t>2.</w:t>
            </w:r>
          </w:p>
        </w:tc>
        <w:tc>
          <w:tcPr>
            <w:tcW w:w="2125" w:type="dxa"/>
            <w:vAlign w:val="top"/>
          </w:tcPr>
          <w:p w14:paraId="3A2F660A">
            <w:pPr>
              <w:spacing w:line="360" w:lineRule="auto"/>
              <w:rPr>
                <w:rFonts w:ascii="Arial"/>
                <w:sz w:val="24"/>
                <w:szCs w:val="24"/>
                <w:highlight w:val="none"/>
              </w:rPr>
            </w:pPr>
          </w:p>
          <w:p w14:paraId="51C4677C">
            <w:pPr>
              <w:spacing w:line="360" w:lineRule="auto"/>
              <w:rPr>
                <w:rFonts w:ascii="Arial"/>
                <w:sz w:val="24"/>
                <w:szCs w:val="24"/>
                <w:highlight w:val="none"/>
              </w:rPr>
            </w:pPr>
          </w:p>
          <w:p w14:paraId="48FC2C20">
            <w:pPr>
              <w:spacing w:line="360" w:lineRule="auto"/>
              <w:rPr>
                <w:rFonts w:ascii="Arial"/>
                <w:sz w:val="24"/>
                <w:szCs w:val="24"/>
                <w:highlight w:val="none"/>
              </w:rPr>
            </w:pPr>
          </w:p>
          <w:p w14:paraId="09B9BE9D">
            <w:pPr>
              <w:pStyle w:val="39"/>
              <w:spacing w:before="78" w:line="360" w:lineRule="auto"/>
              <w:ind w:left="348"/>
              <w:rPr>
                <w:sz w:val="24"/>
                <w:szCs w:val="24"/>
                <w:highlight w:val="none"/>
              </w:rPr>
            </w:pPr>
            <w:r>
              <w:rPr>
                <w:spacing w:val="-2"/>
                <w:sz w:val="24"/>
                <w:szCs w:val="24"/>
                <w:highlight w:val="none"/>
              </w:rPr>
              <w:t>采购代理机构</w:t>
            </w:r>
          </w:p>
        </w:tc>
        <w:tc>
          <w:tcPr>
            <w:tcW w:w="6386" w:type="dxa"/>
            <w:vAlign w:val="top"/>
          </w:tcPr>
          <w:p w14:paraId="60E3868F">
            <w:pPr>
              <w:pStyle w:val="39"/>
              <w:spacing w:before="158" w:line="360" w:lineRule="auto"/>
              <w:ind w:left="116"/>
              <w:rPr>
                <w:rFonts w:hint="eastAsia"/>
                <w:spacing w:val="-1"/>
                <w:sz w:val="24"/>
                <w:szCs w:val="24"/>
                <w:highlight w:val="none"/>
                <w:lang w:eastAsia="zh-CN"/>
              </w:rPr>
            </w:pPr>
            <w:r>
              <w:rPr>
                <w:spacing w:val="-1"/>
                <w:sz w:val="24"/>
                <w:szCs w:val="24"/>
                <w:highlight w:val="none"/>
              </w:rPr>
              <w:t>名称：</w:t>
            </w:r>
            <w:r>
              <w:rPr>
                <w:rFonts w:hint="eastAsia"/>
                <w:spacing w:val="-1"/>
                <w:sz w:val="24"/>
                <w:szCs w:val="24"/>
                <w:highlight w:val="none"/>
                <w:lang w:eastAsia="zh-CN"/>
              </w:rPr>
              <w:t>陕西银正项目管理有限公司</w:t>
            </w:r>
          </w:p>
          <w:p w14:paraId="7307304E">
            <w:pPr>
              <w:pStyle w:val="39"/>
              <w:spacing w:before="158" w:line="360" w:lineRule="auto"/>
              <w:ind w:left="116"/>
              <w:rPr>
                <w:rFonts w:hint="eastAsia"/>
                <w:spacing w:val="-5"/>
                <w:sz w:val="24"/>
                <w:szCs w:val="24"/>
                <w:highlight w:val="none"/>
                <w:lang w:eastAsia="zh-CN"/>
              </w:rPr>
            </w:pPr>
            <w:r>
              <w:rPr>
                <w:spacing w:val="-5"/>
                <w:sz w:val="24"/>
                <w:szCs w:val="24"/>
                <w:highlight w:val="none"/>
              </w:rPr>
              <w:t>地址：</w:t>
            </w:r>
            <w:r>
              <w:rPr>
                <w:rFonts w:hint="eastAsia"/>
                <w:spacing w:val="-5"/>
                <w:sz w:val="24"/>
                <w:szCs w:val="24"/>
                <w:highlight w:val="none"/>
                <w:lang w:eastAsia="zh-CN"/>
              </w:rPr>
              <w:t xml:space="preserve">陕西省西安市未央区西安市经济技术开发区凤城二路海荣翡翠国际城1幢12306号 </w:t>
            </w:r>
          </w:p>
          <w:p w14:paraId="71EA3BE6">
            <w:pPr>
              <w:pStyle w:val="39"/>
              <w:spacing w:before="157" w:line="360" w:lineRule="auto"/>
              <w:ind w:left="116"/>
              <w:rPr>
                <w:rFonts w:hint="eastAsia"/>
                <w:spacing w:val="-2"/>
                <w:sz w:val="24"/>
                <w:szCs w:val="24"/>
                <w:highlight w:val="none"/>
                <w:lang w:eastAsia="zh-CN"/>
              </w:rPr>
            </w:pPr>
            <w:r>
              <w:rPr>
                <w:spacing w:val="-2"/>
                <w:sz w:val="24"/>
                <w:szCs w:val="24"/>
                <w:highlight w:val="none"/>
              </w:rPr>
              <w:t>联系人：</w:t>
            </w:r>
            <w:r>
              <w:rPr>
                <w:rFonts w:hint="eastAsia"/>
                <w:spacing w:val="-2"/>
                <w:sz w:val="24"/>
                <w:szCs w:val="24"/>
                <w:highlight w:val="none"/>
              </w:rPr>
              <w:t>李白茹</w:t>
            </w:r>
          </w:p>
          <w:p w14:paraId="553C784F">
            <w:pPr>
              <w:pStyle w:val="39"/>
              <w:spacing w:before="157" w:line="360" w:lineRule="auto"/>
              <w:ind w:left="116"/>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rPr>
              <w:t>15686293686</w:t>
            </w:r>
          </w:p>
        </w:tc>
      </w:tr>
      <w:tr w14:paraId="7596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93" w:hRule="atLeast"/>
        </w:trPr>
        <w:tc>
          <w:tcPr>
            <w:tcW w:w="803" w:type="dxa"/>
            <w:vAlign w:val="top"/>
          </w:tcPr>
          <w:p w14:paraId="38A345DD">
            <w:pPr>
              <w:spacing w:line="360" w:lineRule="auto"/>
              <w:rPr>
                <w:rFonts w:ascii="Arial"/>
                <w:sz w:val="24"/>
                <w:szCs w:val="24"/>
                <w:highlight w:val="none"/>
              </w:rPr>
            </w:pPr>
          </w:p>
          <w:p w14:paraId="5D288E77">
            <w:pPr>
              <w:pStyle w:val="39"/>
              <w:spacing w:before="78" w:line="360" w:lineRule="auto"/>
              <w:ind w:left="400"/>
              <w:rPr>
                <w:sz w:val="24"/>
                <w:szCs w:val="24"/>
                <w:highlight w:val="none"/>
              </w:rPr>
            </w:pPr>
            <w:r>
              <w:rPr>
                <w:spacing w:val="-8"/>
                <w:sz w:val="24"/>
                <w:szCs w:val="24"/>
                <w:highlight w:val="none"/>
              </w:rPr>
              <w:t>3.</w:t>
            </w:r>
          </w:p>
        </w:tc>
        <w:tc>
          <w:tcPr>
            <w:tcW w:w="2125" w:type="dxa"/>
            <w:vAlign w:val="top"/>
          </w:tcPr>
          <w:p w14:paraId="28346357">
            <w:pPr>
              <w:spacing w:line="360" w:lineRule="auto"/>
              <w:rPr>
                <w:rFonts w:ascii="Arial"/>
                <w:sz w:val="24"/>
                <w:szCs w:val="24"/>
                <w:highlight w:val="none"/>
              </w:rPr>
            </w:pPr>
          </w:p>
          <w:p w14:paraId="00103EF4">
            <w:pPr>
              <w:pStyle w:val="39"/>
              <w:spacing w:before="78" w:line="360" w:lineRule="auto"/>
              <w:ind w:left="592"/>
              <w:rPr>
                <w:rFonts w:hint="default" w:eastAsia="宋体"/>
                <w:sz w:val="24"/>
                <w:szCs w:val="24"/>
                <w:highlight w:val="none"/>
                <w:lang w:val="en-US" w:eastAsia="zh-CN"/>
              </w:rPr>
            </w:pPr>
            <w:r>
              <w:rPr>
                <w:spacing w:val="-4"/>
                <w:sz w:val="24"/>
                <w:szCs w:val="24"/>
                <w:highlight w:val="none"/>
              </w:rPr>
              <w:t>项目名称</w:t>
            </w:r>
            <w:r>
              <w:rPr>
                <w:rFonts w:hint="eastAsia"/>
                <w:spacing w:val="-4"/>
                <w:sz w:val="24"/>
                <w:szCs w:val="24"/>
                <w:highlight w:val="none"/>
                <w:lang w:val="en-US" w:eastAsia="zh-CN"/>
              </w:rPr>
              <w:t>/标段名称</w:t>
            </w:r>
          </w:p>
        </w:tc>
        <w:tc>
          <w:tcPr>
            <w:tcW w:w="6386" w:type="dxa"/>
            <w:vAlign w:val="top"/>
          </w:tcPr>
          <w:p w14:paraId="4E7C4700">
            <w:pPr>
              <w:pStyle w:val="39"/>
              <w:spacing w:before="152" w:line="360" w:lineRule="auto"/>
              <w:ind w:left="113" w:right="107"/>
              <w:rPr>
                <w:rFonts w:hint="eastAsia"/>
                <w:spacing w:val="6"/>
                <w:sz w:val="24"/>
                <w:szCs w:val="24"/>
                <w:highlight w:val="none"/>
                <w:lang w:eastAsia="zh-CN"/>
              </w:rPr>
            </w:pPr>
            <w:r>
              <w:rPr>
                <w:rFonts w:hint="eastAsia"/>
                <w:spacing w:val="6"/>
                <w:sz w:val="24"/>
                <w:szCs w:val="24"/>
                <w:highlight w:val="none"/>
                <w:lang w:val="en-US" w:eastAsia="zh-CN"/>
              </w:rPr>
              <w:t>项目名称：</w:t>
            </w:r>
            <w:r>
              <w:rPr>
                <w:rFonts w:hint="eastAsia"/>
                <w:spacing w:val="6"/>
                <w:sz w:val="24"/>
                <w:szCs w:val="24"/>
                <w:highlight w:val="none"/>
                <w:lang w:eastAsia="zh-CN"/>
              </w:rPr>
              <w:t>2025年管护用房建设项目</w:t>
            </w:r>
          </w:p>
          <w:p w14:paraId="5340AEEA">
            <w:pPr>
              <w:pStyle w:val="39"/>
              <w:spacing w:before="152" w:line="360" w:lineRule="auto"/>
              <w:ind w:left="113" w:right="107"/>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项目编号：</w:t>
            </w:r>
            <w:r>
              <w:rPr>
                <w:rFonts w:hint="eastAsia" w:cs="宋体"/>
                <w:sz w:val="24"/>
                <w:szCs w:val="24"/>
                <w:highlight w:val="none"/>
                <w:lang w:eastAsia="zh-CN"/>
              </w:rPr>
              <w:t>YZZB-20250141</w:t>
            </w:r>
          </w:p>
        </w:tc>
      </w:tr>
      <w:tr w14:paraId="79F7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79" w:hRule="atLeast"/>
        </w:trPr>
        <w:tc>
          <w:tcPr>
            <w:tcW w:w="803" w:type="dxa"/>
            <w:vAlign w:val="top"/>
          </w:tcPr>
          <w:p w14:paraId="386BFE0B">
            <w:pPr>
              <w:pStyle w:val="39"/>
              <w:spacing w:before="168" w:line="360" w:lineRule="auto"/>
              <w:ind w:left="395"/>
              <w:rPr>
                <w:sz w:val="24"/>
                <w:szCs w:val="24"/>
                <w:highlight w:val="none"/>
              </w:rPr>
            </w:pPr>
            <w:r>
              <w:rPr>
                <w:spacing w:val="-5"/>
                <w:sz w:val="24"/>
                <w:szCs w:val="24"/>
                <w:highlight w:val="none"/>
              </w:rPr>
              <w:t>4.</w:t>
            </w:r>
          </w:p>
        </w:tc>
        <w:tc>
          <w:tcPr>
            <w:tcW w:w="2125" w:type="dxa"/>
            <w:vAlign w:val="top"/>
          </w:tcPr>
          <w:p w14:paraId="50C32609">
            <w:pPr>
              <w:pStyle w:val="39"/>
              <w:spacing w:before="168" w:line="360" w:lineRule="auto"/>
              <w:ind w:left="592"/>
              <w:rPr>
                <w:rFonts w:hint="default" w:eastAsia="宋体"/>
                <w:sz w:val="24"/>
                <w:szCs w:val="24"/>
                <w:highlight w:val="none"/>
                <w:lang w:val="en-US" w:eastAsia="zh-CN"/>
              </w:rPr>
            </w:pPr>
            <w:r>
              <w:rPr>
                <w:spacing w:val="-4"/>
                <w:sz w:val="24"/>
                <w:szCs w:val="24"/>
                <w:highlight w:val="none"/>
              </w:rPr>
              <w:t>项目编号</w:t>
            </w:r>
          </w:p>
        </w:tc>
        <w:tc>
          <w:tcPr>
            <w:tcW w:w="6386" w:type="dxa"/>
            <w:vAlign w:val="top"/>
          </w:tcPr>
          <w:p w14:paraId="5C89A738">
            <w:pPr>
              <w:pStyle w:val="39"/>
              <w:spacing w:before="154" w:line="360" w:lineRule="auto"/>
              <w:ind w:left="112"/>
              <w:rPr>
                <w:rFonts w:hint="eastAsia" w:eastAsia="宋体"/>
                <w:sz w:val="24"/>
                <w:szCs w:val="24"/>
                <w:highlight w:val="none"/>
                <w:lang w:eastAsia="zh-CN"/>
              </w:rPr>
            </w:pPr>
            <w:r>
              <w:rPr>
                <w:rFonts w:hint="eastAsia"/>
                <w:sz w:val="24"/>
                <w:szCs w:val="24"/>
                <w:highlight w:val="none"/>
                <w:lang w:eastAsia="zh-CN"/>
              </w:rPr>
              <w:t>YZZB-20250141</w:t>
            </w:r>
          </w:p>
        </w:tc>
      </w:tr>
      <w:tr w14:paraId="621A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36" w:hRule="atLeast"/>
        </w:trPr>
        <w:tc>
          <w:tcPr>
            <w:tcW w:w="803" w:type="dxa"/>
            <w:vAlign w:val="top"/>
          </w:tcPr>
          <w:p w14:paraId="32DE8EAF">
            <w:pPr>
              <w:spacing w:line="360" w:lineRule="auto"/>
              <w:rPr>
                <w:rFonts w:ascii="Arial"/>
                <w:sz w:val="24"/>
                <w:szCs w:val="24"/>
                <w:highlight w:val="none"/>
              </w:rPr>
            </w:pPr>
          </w:p>
          <w:p w14:paraId="6819FBE0">
            <w:pPr>
              <w:spacing w:line="360" w:lineRule="auto"/>
              <w:rPr>
                <w:rFonts w:ascii="Arial"/>
                <w:sz w:val="24"/>
                <w:szCs w:val="24"/>
                <w:highlight w:val="none"/>
              </w:rPr>
            </w:pPr>
          </w:p>
          <w:p w14:paraId="7B00837D">
            <w:pPr>
              <w:pStyle w:val="39"/>
              <w:spacing w:before="78" w:line="360" w:lineRule="auto"/>
              <w:ind w:left="400"/>
              <w:rPr>
                <w:sz w:val="24"/>
                <w:szCs w:val="24"/>
                <w:highlight w:val="none"/>
              </w:rPr>
            </w:pPr>
            <w:r>
              <w:rPr>
                <w:spacing w:val="-8"/>
                <w:sz w:val="24"/>
                <w:szCs w:val="24"/>
                <w:highlight w:val="none"/>
              </w:rPr>
              <w:t>5.</w:t>
            </w:r>
          </w:p>
        </w:tc>
        <w:tc>
          <w:tcPr>
            <w:tcW w:w="2125" w:type="dxa"/>
            <w:vAlign w:val="top"/>
          </w:tcPr>
          <w:p w14:paraId="15A9AF3B">
            <w:pPr>
              <w:spacing w:line="360" w:lineRule="auto"/>
              <w:rPr>
                <w:rFonts w:ascii="Arial"/>
                <w:sz w:val="24"/>
                <w:szCs w:val="24"/>
                <w:highlight w:val="none"/>
              </w:rPr>
            </w:pPr>
          </w:p>
          <w:p w14:paraId="542C7A13">
            <w:pPr>
              <w:spacing w:line="360" w:lineRule="auto"/>
              <w:rPr>
                <w:rFonts w:ascii="Arial"/>
                <w:sz w:val="24"/>
                <w:szCs w:val="24"/>
                <w:highlight w:val="none"/>
              </w:rPr>
            </w:pPr>
          </w:p>
          <w:p w14:paraId="6AA1DD42">
            <w:pPr>
              <w:pStyle w:val="39"/>
              <w:spacing w:before="78" w:line="360" w:lineRule="auto"/>
              <w:ind w:left="591"/>
              <w:rPr>
                <w:sz w:val="24"/>
                <w:szCs w:val="24"/>
                <w:highlight w:val="none"/>
              </w:rPr>
            </w:pPr>
            <w:r>
              <w:rPr>
                <w:spacing w:val="-4"/>
                <w:sz w:val="24"/>
                <w:szCs w:val="24"/>
                <w:highlight w:val="none"/>
              </w:rPr>
              <w:t>最高限价</w:t>
            </w:r>
          </w:p>
        </w:tc>
        <w:tc>
          <w:tcPr>
            <w:tcW w:w="6386" w:type="dxa"/>
            <w:vAlign w:val="top"/>
          </w:tcPr>
          <w:p w14:paraId="4E29C2FF">
            <w:pPr>
              <w:pStyle w:val="39"/>
              <w:spacing w:before="152" w:line="360" w:lineRule="auto"/>
              <w:ind w:left="132"/>
              <w:rPr>
                <w:rFonts w:hint="eastAsia"/>
                <w:sz w:val="24"/>
                <w:szCs w:val="24"/>
                <w:highlight w:val="none"/>
                <w:lang w:val="en-US" w:eastAsia="zh-CN"/>
              </w:rPr>
            </w:pPr>
            <w:r>
              <w:rPr>
                <w:sz w:val="24"/>
                <w:szCs w:val="24"/>
                <w:highlight w:val="none"/>
              </w:rPr>
              <w:t>合同包1(</w:t>
            </w:r>
            <w:r>
              <w:rPr>
                <w:rFonts w:hint="eastAsia"/>
                <w:sz w:val="24"/>
                <w:szCs w:val="24"/>
                <w:highlight w:val="none"/>
                <w:lang w:eastAsia="zh-CN"/>
              </w:rPr>
              <w:t>2025年管护用房建设项目</w:t>
            </w:r>
            <w:r>
              <w:rPr>
                <w:sz w:val="24"/>
                <w:szCs w:val="24"/>
                <w:highlight w:val="none"/>
              </w:rPr>
              <w:t>)</w:t>
            </w:r>
            <w:r>
              <w:rPr>
                <w:rFonts w:hint="eastAsia"/>
                <w:sz w:val="24"/>
                <w:szCs w:val="24"/>
                <w:highlight w:val="none"/>
                <w:lang w:eastAsia="zh-CN"/>
              </w:rPr>
              <w:t>：1350000.00</w:t>
            </w:r>
            <w:r>
              <w:rPr>
                <w:rFonts w:hint="eastAsia"/>
                <w:sz w:val="24"/>
                <w:szCs w:val="24"/>
                <w:highlight w:val="none"/>
                <w:lang w:val="en-US" w:eastAsia="zh-CN"/>
              </w:rPr>
              <w:t>元</w:t>
            </w:r>
          </w:p>
          <w:p w14:paraId="671DC705">
            <w:pPr>
              <w:pStyle w:val="39"/>
              <w:spacing w:before="157" w:line="360" w:lineRule="auto"/>
              <w:ind w:left="119" w:right="107" w:hanging="4"/>
              <w:rPr>
                <w:sz w:val="24"/>
                <w:szCs w:val="24"/>
                <w:highlight w:val="none"/>
              </w:rPr>
            </w:pPr>
            <w:r>
              <w:rPr>
                <w:spacing w:val="-3"/>
                <w:sz w:val="24"/>
                <w:szCs w:val="24"/>
                <w:highlight w:val="none"/>
              </w:rPr>
              <w:t>注：供应商报价超出最高限价，作为不实质性响</w:t>
            </w:r>
            <w:r>
              <w:rPr>
                <w:spacing w:val="-4"/>
                <w:sz w:val="24"/>
                <w:szCs w:val="24"/>
                <w:highlight w:val="none"/>
              </w:rPr>
              <w:t>应竞争性磋</w:t>
            </w:r>
            <w:r>
              <w:rPr>
                <w:sz w:val="24"/>
                <w:szCs w:val="24"/>
                <w:highlight w:val="none"/>
              </w:rPr>
              <w:t xml:space="preserve"> </w:t>
            </w:r>
            <w:r>
              <w:rPr>
                <w:spacing w:val="-1"/>
                <w:sz w:val="24"/>
                <w:szCs w:val="24"/>
                <w:highlight w:val="none"/>
              </w:rPr>
              <w:t>商响应文件，按无效磋商响应处理。</w:t>
            </w:r>
          </w:p>
        </w:tc>
      </w:tr>
      <w:tr w14:paraId="359B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9" w:hRule="atLeast"/>
        </w:trPr>
        <w:tc>
          <w:tcPr>
            <w:tcW w:w="803" w:type="dxa"/>
            <w:vAlign w:val="top"/>
          </w:tcPr>
          <w:p w14:paraId="4515B01A">
            <w:pPr>
              <w:pStyle w:val="39"/>
              <w:spacing w:before="153" w:line="360" w:lineRule="auto"/>
              <w:ind w:left="397"/>
              <w:rPr>
                <w:sz w:val="24"/>
                <w:szCs w:val="24"/>
                <w:highlight w:val="none"/>
              </w:rPr>
            </w:pPr>
            <w:r>
              <w:rPr>
                <w:spacing w:val="-6"/>
                <w:sz w:val="24"/>
                <w:szCs w:val="24"/>
                <w:highlight w:val="none"/>
              </w:rPr>
              <w:t>6.</w:t>
            </w:r>
          </w:p>
        </w:tc>
        <w:tc>
          <w:tcPr>
            <w:tcW w:w="2125" w:type="dxa"/>
            <w:vAlign w:val="top"/>
          </w:tcPr>
          <w:p w14:paraId="025F75BF">
            <w:pPr>
              <w:pStyle w:val="39"/>
              <w:spacing w:before="152" w:line="360" w:lineRule="auto"/>
              <w:ind w:left="471"/>
              <w:rPr>
                <w:rFonts w:hint="eastAsia" w:eastAsia="宋体"/>
                <w:sz w:val="24"/>
                <w:szCs w:val="24"/>
                <w:highlight w:val="none"/>
                <w:lang w:eastAsia="zh-CN"/>
              </w:rPr>
            </w:pPr>
            <w:r>
              <w:rPr>
                <w:rFonts w:hint="eastAsia"/>
                <w:spacing w:val="-3"/>
                <w:sz w:val="24"/>
                <w:szCs w:val="24"/>
                <w:highlight w:val="none"/>
                <w:lang w:val="en-US" w:eastAsia="zh-CN"/>
              </w:rPr>
              <w:t>工期</w:t>
            </w:r>
          </w:p>
        </w:tc>
        <w:tc>
          <w:tcPr>
            <w:tcW w:w="6386" w:type="dxa"/>
            <w:vAlign w:val="top"/>
          </w:tcPr>
          <w:p w14:paraId="7838DCE9">
            <w:pPr>
              <w:pStyle w:val="39"/>
              <w:spacing w:before="152" w:line="360" w:lineRule="auto"/>
              <w:ind w:left="117"/>
              <w:rPr>
                <w:rFonts w:hint="default" w:eastAsia="宋体"/>
                <w:sz w:val="24"/>
                <w:szCs w:val="24"/>
                <w:highlight w:val="none"/>
                <w:lang w:val="en-US" w:eastAsia="zh-CN"/>
              </w:rPr>
            </w:pPr>
            <w:r>
              <w:rPr>
                <w:rFonts w:hint="eastAsia"/>
                <w:spacing w:val="-12"/>
                <w:sz w:val="24"/>
                <w:szCs w:val="24"/>
                <w:highlight w:val="none"/>
                <w:lang w:val="en-US" w:eastAsia="zh-CN"/>
              </w:rPr>
              <w:t>自合同签订之日起至2025年12月31日</w:t>
            </w:r>
          </w:p>
        </w:tc>
      </w:tr>
      <w:tr w14:paraId="79AF1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9" w:hRule="atLeast"/>
        </w:trPr>
        <w:tc>
          <w:tcPr>
            <w:tcW w:w="803" w:type="dxa"/>
            <w:vAlign w:val="top"/>
          </w:tcPr>
          <w:p w14:paraId="72CF11DE">
            <w:pPr>
              <w:pStyle w:val="39"/>
              <w:spacing w:before="154" w:line="360" w:lineRule="auto"/>
              <w:ind w:left="396"/>
              <w:rPr>
                <w:sz w:val="24"/>
                <w:szCs w:val="24"/>
                <w:highlight w:val="none"/>
              </w:rPr>
            </w:pPr>
            <w:r>
              <w:rPr>
                <w:rFonts w:hint="eastAsia"/>
                <w:spacing w:val="-6"/>
                <w:sz w:val="24"/>
                <w:szCs w:val="24"/>
                <w:highlight w:val="none"/>
                <w:lang w:val="en-US" w:eastAsia="zh-CN"/>
              </w:rPr>
              <w:t>7</w:t>
            </w:r>
            <w:r>
              <w:rPr>
                <w:spacing w:val="-6"/>
                <w:sz w:val="24"/>
                <w:szCs w:val="24"/>
                <w:highlight w:val="none"/>
              </w:rPr>
              <w:t>.</w:t>
            </w:r>
          </w:p>
        </w:tc>
        <w:tc>
          <w:tcPr>
            <w:tcW w:w="2125" w:type="dxa"/>
            <w:vAlign w:val="top"/>
          </w:tcPr>
          <w:p w14:paraId="11AB8C82">
            <w:pPr>
              <w:pStyle w:val="39"/>
              <w:spacing w:before="154" w:line="360" w:lineRule="auto"/>
              <w:ind w:firstLine="456" w:firstLineChars="200"/>
              <w:rPr>
                <w:sz w:val="24"/>
                <w:szCs w:val="24"/>
                <w:highlight w:val="none"/>
              </w:rPr>
            </w:pPr>
            <w:r>
              <w:rPr>
                <w:spacing w:val="-6"/>
                <w:sz w:val="24"/>
                <w:szCs w:val="24"/>
                <w:highlight w:val="none"/>
              </w:rPr>
              <w:t>质量</w:t>
            </w:r>
          </w:p>
        </w:tc>
        <w:tc>
          <w:tcPr>
            <w:tcW w:w="6386" w:type="dxa"/>
            <w:vAlign w:val="top"/>
          </w:tcPr>
          <w:p w14:paraId="7B6051FD">
            <w:pPr>
              <w:pStyle w:val="39"/>
              <w:spacing w:before="154" w:line="360" w:lineRule="auto"/>
              <w:ind w:left="117"/>
              <w:rPr>
                <w:sz w:val="24"/>
                <w:szCs w:val="24"/>
                <w:highlight w:val="none"/>
              </w:rPr>
            </w:pPr>
            <w:r>
              <w:rPr>
                <w:spacing w:val="-1"/>
                <w:sz w:val="24"/>
                <w:szCs w:val="24"/>
                <w:highlight w:val="none"/>
              </w:rPr>
              <w:t>符合国家验收相关标准，并达到合格标准</w:t>
            </w:r>
          </w:p>
        </w:tc>
      </w:tr>
      <w:tr w14:paraId="3A93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0" w:hRule="atLeast"/>
        </w:trPr>
        <w:tc>
          <w:tcPr>
            <w:tcW w:w="803" w:type="dxa"/>
            <w:vAlign w:val="top"/>
          </w:tcPr>
          <w:p w14:paraId="039CD0EF">
            <w:pPr>
              <w:spacing w:line="360" w:lineRule="auto"/>
              <w:rPr>
                <w:rFonts w:ascii="Arial"/>
                <w:sz w:val="24"/>
                <w:szCs w:val="24"/>
                <w:highlight w:val="none"/>
              </w:rPr>
            </w:pPr>
          </w:p>
          <w:p w14:paraId="0711F919">
            <w:pPr>
              <w:spacing w:line="360" w:lineRule="auto"/>
              <w:rPr>
                <w:rFonts w:ascii="Arial"/>
                <w:sz w:val="24"/>
                <w:szCs w:val="24"/>
                <w:highlight w:val="none"/>
              </w:rPr>
            </w:pPr>
          </w:p>
          <w:p w14:paraId="173F583D">
            <w:pPr>
              <w:spacing w:line="360" w:lineRule="auto"/>
              <w:rPr>
                <w:rFonts w:ascii="Arial"/>
                <w:sz w:val="24"/>
                <w:szCs w:val="24"/>
                <w:highlight w:val="none"/>
              </w:rPr>
            </w:pPr>
          </w:p>
          <w:p w14:paraId="5848D3D1">
            <w:pPr>
              <w:spacing w:line="360" w:lineRule="auto"/>
              <w:rPr>
                <w:rFonts w:ascii="Arial"/>
                <w:sz w:val="24"/>
                <w:szCs w:val="24"/>
                <w:highlight w:val="none"/>
              </w:rPr>
            </w:pPr>
          </w:p>
          <w:p w14:paraId="6EB048A8">
            <w:pPr>
              <w:spacing w:line="360" w:lineRule="auto"/>
              <w:rPr>
                <w:rFonts w:ascii="Arial"/>
                <w:sz w:val="24"/>
                <w:szCs w:val="24"/>
                <w:highlight w:val="none"/>
              </w:rPr>
            </w:pPr>
          </w:p>
          <w:p w14:paraId="200C0FB0">
            <w:pPr>
              <w:spacing w:line="360" w:lineRule="auto"/>
              <w:rPr>
                <w:rFonts w:ascii="Arial"/>
                <w:sz w:val="24"/>
                <w:szCs w:val="24"/>
                <w:highlight w:val="none"/>
              </w:rPr>
            </w:pPr>
          </w:p>
          <w:p w14:paraId="3CAD0108">
            <w:pPr>
              <w:spacing w:line="360" w:lineRule="auto"/>
              <w:rPr>
                <w:rFonts w:ascii="Arial"/>
                <w:sz w:val="24"/>
                <w:szCs w:val="24"/>
                <w:highlight w:val="none"/>
              </w:rPr>
            </w:pPr>
          </w:p>
          <w:p w14:paraId="0DB5CE57">
            <w:pPr>
              <w:pStyle w:val="39"/>
              <w:spacing w:before="78" w:line="360" w:lineRule="auto"/>
              <w:ind w:left="413"/>
              <w:rPr>
                <w:sz w:val="24"/>
                <w:szCs w:val="24"/>
                <w:highlight w:val="none"/>
              </w:rPr>
            </w:pPr>
            <w:r>
              <w:rPr>
                <w:rFonts w:hint="eastAsia"/>
                <w:spacing w:val="-10"/>
                <w:sz w:val="24"/>
                <w:szCs w:val="24"/>
                <w:highlight w:val="none"/>
                <w:lang w:val="en-US" w:eastAsia="zh-CN"/>
              </w:rPr>
              <w:t>8</w:t>
            </w:r>
            <w:r>
              <w:rPr>
                <w:spacing w:val="-10"/>
                <w:sz w:val="24"/>
                <w:szCs w:val="24"/>
                <w:highlight w:val="none"/>
              </w:rPr>
              <w:t>.</w:t>
            </w:r>
          </w:p>
        </w:tc>
        <w:tc>
          <w:tcPr>
            <w:tcW w:w="2125" w:type="dxa"/>
            <w:vAlign w:val="top"/>
          </w:tcPr>
          <w:p w14:paraId="59D8DB6A">
            <w:pPr>
              <w:spacing w:line="360" w:lineRule="auto"/>
              <w:rPr>
                <w:rFonts w:ascii="Arial"/>
                <w:sz w:val="24"/>
                <w:szCs w:val="24"/>
                <w:highlight w:val="none"/>
              </w:rPr>
            </w:pPr>
          </w:p>
          <w:p w14:paraId="2E8ECE8C">
            <w:pPr>
              <w:spacing w:line="360" w:lineRule="auto"/>
              <w:rPr>
                <w:rFonts w:ascii="Arial"/>
                <w:sz w:val="24"/>
                <w:szCs w:val="24"/>
                <w:highlight w:val="none"/>
              </w:rPr>
            </w:pPr>
          </w:p>
          <w:p w14:paraId="4E59A699">
            <w:pPr>
              <w:spacing w:line="360" w:lineRule="auto"/>
              <w:rPr>
                <w:rFonts w:ascii="Arial"/>
                <w:sz w:val="24"/>
                <w:szCs w:val="24"/>
                <w:highlight w:val="none"/>
              </w:rPr>
            </w:pPr>
          </w:p>
          <w:p w14:paraId="3008A5B4">
            <w:pPr>
              <w:spacing w:line="360" w:lineRule="auto"/>
              <w:rPr>
                <w:rFonts w:ascii="Arial"/>
                <w:sz w:val="24"/>
                <w:szCs w:val="24"/>
                <w:highlight w:val="none"/>
              </w:rPr>
            </w:pPr>
          </w:p>
          <w:p w14:paraId="014701A2">
            <w:pPr>
              <w:spacing w:line="360" w:lineRule="auto"/>
              <w:rPr>
                <w:rFonts w:ascii="Arial"/>
                <w:sz w:val="24"/>
                <w:szCs w:val="24"/>
                <w:highlight w:val="none"/>
              </w:rPr>
            </w:pPr>
          </w:p>
          <w:p w14:paraId="22DFB015">
            <w:pPr>
              <w:spacing w:line="360" w:lineRule="auto"/>
              <w:rPr>
                <w:rFonts w:ascii="Arial"/>
                <w:sz w:val="24"/>
                <w:szCs w:val="24"/>
                <w:highlight w:val="none"/>
              </w:rPr>
            </w:pPr>
          </w:p>
          <w:p w14:paraId="33BF4CE7">
            <w:pPr>
              <w:spacing w:line="360" w:lineRule="auto"/>
              <w:rPr>
                <w:rFonts w:ascii="Arial"/>
                <w:sz w:val="24"/>
                <w:szCs w:val="24"/>
                <w:highlight w:val="none"/>
              </w:rPr>
            </w:pPr>
          </w:p>
          <w:p w14:paraId="416542BB">
            <w:pPr>
              <w:pStyle w:val="39"/>
              <w:spacing w:before="78" w:line="360" w:lineRule="auto"/>
              <w:ind w:left="228"/>
              <w:rPr>
                <w:sz w:val="24"/>
                <w:szCs w:val="24"/>
                <w:highlight w:val="none"/>
              </w:rPr>
            </w:pPr>
            <w:r>
              <w:rPr>
                <w:spacing w:val="-2"/>
                <w:sz w:val="24"/>
                <w:szCs w:val="24"/>
                <w:highlight w:val="none"/>
              </w:rPr>
              <w:t>供应商资格要求</w:t>
            </w:r>
          </w:p>
        </w:tc>
        <w:tc>
          <w:tcPr>
            <w:tcW w:w="6386" w:type="dxa"/>
            <w:vAlign w:val="top"/>
          </w:tcPr>
          <w:p w14:paraId="474C9233">
            <w:pPr>
              <w:pStyle w:val="39"/>
              <w:spacing w:before="183" w:line="360" w:lineRule="auto"/>
              <w:ind w:left="116" w:right="107" w:firstLine="10"/>
              <w:jc w:val="both"/>
              <w:rPr>
                <w:rFonts w:hint="eastAsia"/>
                <w:sz w:val="24"/>
                <w:szCs w:val="24"/>
                <w:highlight w:val="none"/>
              </w:rPr>
            </w:pPr>
            <w:r>
              <w:rPr>
                <w:rFonts w:hint="eastAsia"/>
                <w:sz w:val="24"/>
                <w:szCs w:val="24"/>
                <w:highlight w:val="none"/>
              </w:rPr>
              <w:t>（1）提供合格有效的法人或者其他组织的营业执照等证明文件，自然人的身份证明；</w:t>
            </w:r>
          </w:p>
          <w:p w14:paraId="3427EE5A">
            <w:pPr>
              <w:pStyle w:val="39"/>
              <w:spacing w:before="183" w:line="360" w:lineRule="auto"/>
              <w:ind w:left="116" w:right="107" w:firstLine="10"/>
              <w:jc w:val="both"/>
              <w:rPr>
                <w:rFonts w:hint="eastAsia"/>
                <w:sz w:val="24"/>
                <w:szCs w:val="24"/>
                <w:highlight w:val="none"/>
              </w:rPr>
            </w:pPr>
            <w:r>
              <w:rPr>
                <w:rFonts w:hint="eastAsia"/>
                <w:sz w:val="24"/>
                <w:szCs w:val="24"/>
                <w:highlight w:val="none"/>
              </w:rPr>
              <w:t>（2）提供法定代表人授权书（附法定代表人、被授权人身份证复印件)，法定代表人直接参加投标，须提供法定代表人身份证明及身份证复印件）；</w:t>
            </w:r>
          </w:p>
          <w:p w14:paraId="207E6CA3">
            <w:pPr>
              <w:pStyle w:val="39"/>
              <w:spacing w:before="183" w:line="360" w:lineRule="auto"/>
              <w:ind w:left="116" w:right="107" w:firstLine="10"/>
              <w:jc w:val="both"/>
              <w:rPr>
                <w:rFonts w:hint="eastAsia" w:eastAsia="宋体"/>
                <w:sz w:val="24"/>
                <w:szCs w:val="24"/>
                <w:highlight w:val="none"/>
                <w:lang w:eastAsia="zh-CN"/>
              </w:rPr>
            </w:pPr>
            <w:r>
              <w:rPr>
                <w:rFonts w:hint="eastAsia"/>
                <w:sz w:val="24"/>
                <w:szCs w:val="24"/>
                <w:highlight w:val="none"/>
              </w:rPr>
              <w:t>（3）财务状况报告：</w:t>
            </w:r>
            <w:r>
              <w:rPr>
                <w:rFonts w:hint="eastAsia" w:ascii="宋体" w:hAnsi="宋体" w:eastAsia="宋体" w:cs="宋体"/>
                <w:sz w:val="24"/>
                <w:szCs w:val="24"/>
                <w:highlight w:val="none"/>
              </w:rPr>
              <w:t>提供2024年度的财务审计报告（成立时间至提交响应文件截止时间不足一年的可提供成立后任意时段的资产负债表）或开标时间前六个月内银行出具的资信证明；</w:t>
            </w:r>
            <w:r>
              <w:rPr>
                <w:rFonts w:hint="eastAsia" w:ascii="宋体" w:hAnsi="宋体" w:eastAsia="宋体" w:cs="宋体"/>
                <w:sz w:val="24"/>
                <w:szCs w:val="24"/>
                <w:highlight w:val="none"/>
              </w:rPr>
              <w:br w:type="textWrapping"/>
            </w:r>
            <w:r>
              <w:rPr>
                <w:rFonts w:hint="eastAsia"/>
                <w:sz w:val="24"/>
                <w:szCs w:val="24"/>
                <w:highlight w:val="none"/>
              </w:rPr>
              <w:t>（4）税收缴纳证明：提供响应文件截止日前一年内已缴纳的至少一个月的纳税证明或完税证明（任意税种），依法免税的单位应提供相关证明材料</w:t>
            </w:r>
            <w:r>
              <w:rPr>
                <w:rFonts w:hint="eastAsia"/>
                <w:sz w:val="24"/>
                <w:szCs w:val="24"/>
                <w:highlight w:val="none"/>
                <w:lang w:eastAsia="zh-CN"/>
              </w:rPr>
              <w:t>；</w:t>
            </w:r>
          </w:p>
          <w:p w14:paraId="73531A26">
            <w:pPr>
              <w:pStyle w:val="39"/>
              <w:spacing w:before="183" w:line="360" w:lineRule="auto"/>
              <w:ind w:left="116" w:right="107" w:firstLine="10"/>
              <w:jc w:val="both"/>
              <w:rPr>
                <w:rFonts w:hint="eastAsia"/>
                <w:sz w:val="24"/>
                <w:szCs w:val="24"/>
                <w:highlight w:val="none"/>
              </w:rPr>
            </w:pPr>
            <w:r>
              <w:rPr>
                <w:rFonts w:hint="eastAsia"/>
                <w:sz w:val="24"/>
                <w:szCs w:val="24"/>
                <w:highlight w:val="none"/>
              </w:rPr>
              <w:t>（5）社会保障资金缴纳证明：提供响应文件截止日前一年内已缴存的至少一个月的社会保障资金缴存单据或社保机构开具的社会保险参保缴费情况证明，依法不需要缴纳社会保障资金的单位应提供相关证明材料；</w:t>
            </w:r>
          </w:p>
          <w:p w14:paraId="6935AD6D">
            <w:pPr>
              <w:pStyle w:val="39"/>
              <w:spacing w:before="183" w:line="360" w:lineRule="auto"/>
              <w:ind w:left="116" w:right="107" w:firstLine="10"/>
              <w:jc w:val="both"/>
              <w:rPr>
                <w:rFonts w:hint="eastAsia"/>
                <w:sz w:val="24"/>
                <w:szCs w:val="24"/>
                <w:highlight w:val="none"/>
              </w:rPr>
            </w:pPr>
            <w:r>
              <w:rPr>
                <w:rFonts w:hint="eastAsia"/>
                <w:sz w:val="24"/>
                <w:szCs w:val="24"/>
                <w:highlight w:val="none"/>
              </w:rPr>
              <w:t>（6）供应商应通过“信用中国”网站(www.creditchina.gov.cn)、中国政府采购网(www.ccgp.gov.cn)查询相关主体信用记录；</w:t>
            </w:r>
          </w:p>
          <w:p w14:paraId="2E568674">
            <w:pPr>
              <w:pStyle w:val="39"/>
              <w:spacing w:before="183" w:line="360" w:lineRule="auto"/>
              <w:ind w:left="116" w:right="107" w:firstLine="10"/>
              <w:jc w:val="both"/>
              <w:rPr>
                <w:rFonts w:hint="eastAsia"/>
                <w:sz w:val="24"/>
                <w:szCs w:val="24"/>
                <w:highlight w:val="none"/>
              </w:rPr>
            </w:pPr>
            <w:r>
              <w:rPr>
                <w:rFonts w:hint="eastAsia"/>
                <w:sz w:val="24"/>
                <w:szCs w:val="24"/>
                <w:highlight w:val="none"/>
              </w:rPr>
              <w:t>（7）参加政府采购活动前3年内，在经营活动中没有重大违法记录的书面声明；</w:t>
            </w:r>
          </w:p>
          <w:p w14:paraId="2BA93FEA">
            <w:pPr>
              <w:pStyle w:val="39"/>
              <w:spacing w:before="183" w:line="360" w:lineRule="auto"/>
              <w:ind w:left="116" w:right="107" w:firstLine="10"/>
              <w:jc w:val="both"/>
              <w:rPr>
                <w:rFonts w:hint="eastAsia"/>
                <w:sz w:val="24"/>
                <w:szCs w:val="24"/>
                <w:highlight w:val="none"/>
              </w:rPr>
            </w:pPr>
            <w:r>
              <w:rPr>
                <w:rFonts w:hint="eastAsia"/>
                <w:sz w:val="24"/>
                <w:szCs w:val="24"/>
                <w:highlight w:val="none"/>
              </w:rPr>
              <w:t>（8）提供具有履行合同所必需的设备和专业技术能力的承诺函；</w:t>
            </w:r>
          </w:p>
          <w:p w14:paraId="6C5ABC19">
            <w:pPr>
              <w:pStyle w:val="39"/>
              <w:spacing w:before="183" w:line="360" w:lineRule="auto"/>
              <w:ind w:left="116" w:right="107" w:firstLine="10"/>
              <w:jc w:val="both"/>
              <w:rPr>
                <w:rFonts w:hint="eastAsia"/>
                <w:sz w:val="24"/>
                <w:szCs w:val="24"/>
                <w:highlight w:val="none"/>
                <w:lang w:val="en-US" w:eastAsia="zh-CN"/>
              </w:rPr>
            </w:pPr>
            <w:r>
              <w:rPr>
                <w:rFonts w:hint="eastAsia"/>
                <w:sz w:val="24"/>
                <w:szCs w:val="24"/>
                <w:highlight w:val="none"/>
              </w:rPr>
              <w:t>（9）供应商具有建设行政主管部门颁发的建筑工程施工总承包三级或以上资质；有效的安全生产许可证；</w:t>
            </w:r>
          </w:p>
          <w:p w14:paraId="6139C512">
            <w:pPr>
              <w:pStyle w:val="39"/>
              <w:spacing w:before="183" w:line="360" w:lineRule="auto"/>
              <w:ind w:left="116" w:right="107" w:firstLine="10"/>
              <w:jc w:val="both"/>
              <w:rPr>
                <w:rFonts w:hint="eastAsia" w:eastAsia="宋体"/>
                <w:sz w:val="24"/>
                <w:szCs w:val="24"/>
                <w:highlight w:val="none"/>
                <w:lang w:eastAsia="zh-CN"/>
              </w:rPr>
            </w:pPr>
            <w:r>
              <w:rPr>
                <w:rFonts w:hint="eastAsia"/>
                <w:sz w:val="24"/>
                <w:szCs w:val="24"/>
                <w:highlight w:val="none"/>
                <w:lang w:val="en-US" w:eastAsia="zh-CN"/>
              </w:rPr>
              <w:t>（10）</w:t>
            </w:r>
            <w:r>
              <w:rPr>
                <w:rFonts w:hint="eastAsia"/>
                <w:sz w:val="24"/>
                <w:szCs w:val="24"/>
                <w:highlight w:val="none"/>
              </w:rPr>
              <w:t>拟派项目经理须具备建设行政主管部门颁发的建筑工程专业二级注册建造师或以上执业资格以及有效的安全生产考核合格B证，在本单位注册，且未担任其他在建工程项目的项目经理（提供无在建承诺函）</w:t>
            </w:r>
            <w:r>
              <w:rPr>
                <w:rFonts w:hint="eastAsia"/>
                <w:sz w:val="24"/>
                <w:szCs w:val="24"/>
                <w:highlight w:val="none"/>
                <w:lang w:eastAsia="zh-CN"/>
              </w:rPr>
              <w:t>；</w:t>
            </w:r>
          </w:p>
          <w:p w14:paraId="246D6062">
            <w:pPr>
              <w:pStyle w:val="39"/>
              <w:spacing w:before="183" w:line="360" w:lineRule="auto"/>
              <w:ind w:left="116" w:right="107" w:firstLine="10"/>
              <w:jc w:val="both"/>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供应商须提供中小企业声明函；</w:t>
            </w:r>
          </w:p>
          <w:p w14:paraId="3BFB9261">
            <w:pPr>
              <w:pStyle w:val="39"/>
              <w:spacing w:before="183" w:line="360" w:lineRule="auto"/>
              <w:ind w:left="116" w:right="107" w:firstLine="10"/>
              <w:jc w:val="both"/>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）本项目不接受联合体磋商（需提供承诺书）。</w:t>
            </w:r>
          </w:p>
          <w:p w14:paraId="50DD6B18">
            <w:pPr>
              <w:pStyle w:val="39"/>
              <w:spacing w:before="183" w:line="360" w:lineRule="auto"/>
              <w:ind w:left="116" w:right="107" w:firstLine="10"/>
              <w:jc w:val="both"/>
              <w:rPr>
                <w:rFonts w:hint="eastAsia"/>
                <w:sz w:val="24"/>
                <w:szCs w:val="24"/>
                <w:highlight w:val="none"/>
              </w:rPr>
            </w:pPr>
            <w:r>
              <w:rPr>
                <w:b/>
                <w:bCs/>
                <w:spacing w:val="-3"/>
                <w:sz w:val="24"/>
                <w:szCs w:val="24"/>
                <w:highlight w:val="none"/>
              </w:rPr>
              <w:t>注：供应商上传的资质证明文件均须加盖红色公章</w:t>
            </w:r>
          </w:p>
        </w:tc>
      </w:tr>
      <w:tr w14:paraId="1A3C1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166" w:hRule="atLeast"/>
        </w:trPr>
        <w:tc>
          <w:tcPr>
            <w:tcW w:w="803" w:type="dxa"/>
            <w:vAlign w:val="top"/>
          </w:tcPr>
          <w:p w14:paraId="729A5B8D">
            <w:pPr>
              <w:spacing w:line="360" w:lineRule="auto"/>
              <w:rPr>
                <w:rFonts w:ascii="Arial"/>
                <w:sz w:val="24"/>
                <w:szCs w:val="24"/>
                <w:highlight w:val="none"/>
              </w:rPr>
            </w:pPr>
          </w:p>
          <w:p w14:paraId="13B3A8CE">
            <w:pPr>
              <w:spacing w:line="360" w:lineRule="auto"/>
              <w:rPr>
                <w:rFonts w:ascii="Arial"/>
                <w:sz w:val="24"/>
                <w:szCs w:val="24"/>
                <w:highlight w:val="none"/>
              </w:rPr>
            </w:pPr>
          </w:p>
          <w:p w14:paraId="2704B7B4">
            <w:pPr>
              <w:spacing w:line="360" w:lineRule="auto"/>
              <w:rPr>
                <w:rFonts w:ascii="Arial"/>
                <w:sz w:val="24"/>
                <w:szCs w:val="24"/>
                <w:highlight w:val="none"/>
              </w:rPr>
            </w:pPr>
          </w:p>
          <w:p w14:paraId="76AC2058">
            <w:pPr>
              <w:spacing w:line="360" w:lineRule="auto"/>
              <w:rPr>
                <w:rFonts w:ascii="Arial"/>
                <w:sz w:val="24"/>
                <w:szCs w:val="24"/>
                <w:highlight w:val="none"/>
              </w:rPr>
            </w:pPr>
          </w:p>
          <w:p w14:paraId="271D5B42">
            <w:pPr>
              <w:pStyle w:val="39"/>
              <w:spacing w:before="78" w:line="360" w:lineRule="auto"/>
              <w:ind w:left="413"/>
              <w:rPr>
                <w:rFonts w:hint="default" w:eastAsia="宋体"/>
                <w:sz w:val="24"/>
                <w:szCs w:val="24"/>
                <w:highlight w:val="none"/>
                <w:lang w:val="en-US" w:eastAsia="zh-CN"/>
              </w:rPr>
            </w:pPr>
            <w:r>
              <w:rPr>
                <w:rFonts w:hint="eastAsia"/>
                <w:spacing w:val="-10"/>
                <w:sz w:val="24"/>
                <w:szCs w:val="24"/>
                <w:highlight w:val="none"/>
                <w:lang w:val="en-US" w:eastAsia="zh-CN"/>
              </w:rPr>
              <w:t>9.</w:t>
            </w:r>
          </w:p>
        </w:tc>
        <w:tc>
          <w:tcPr>
            <w:tcW w:w="2125" w:type="dxa"/>
            <w:vAlign w:val="top"/>
          </w:tcPr>
          <w:p w14:paraId="0BECB35D">
            <w:pPr>
              <w:spacing w:line="360" w:lineRule="auto"/>
              <w:rPr>
                <w:rFonts w:ascii="Arial"/>
                <w:sz w:val="24"/>
                <w:szCs w:val="24"/>
                <w:highlight w:val="none"/>
              </w:rPr>
            </w:pPr>
          </w:p>
          <w:p w14:paraId="4DA3B3A2">
            <w:pPr>
              <w:spacing w:line="360" w:lineRule="auto"/>
              <w:rPr>
                <w:rFonts w:ascii="Arial"/>
                <w:sz w:val="24"/>
                <w:szCs w:val="24"/>
                <w:highlight w:val="none"/>
              </w:rPr>
            </w:pPr>
          </w:p>
          <w:p w14:paraId="5C69AE99">
            <w:pPr>
              <w:spacing w:line="360" w:lineRule="auto"/>
              <w:rPr>
                <w:rFonts w:ascii="Arial"/>
                <w:sz w:val="24"/>
                <w:szCs w:val="24"/>
                <w:highlight w:val="none"/>
              </w:rPr>
            </w:pPr>
          </w:p>
          <w:p w14:paraId="3C083B78">
            <w:pPr>
              <w:pStyle w:val="39"/>
              <w:spacing w:before="78" w:line="360" w:lineRule="auto"/>
              <w:ind w:left="831" w:right="220" w:hanging="600"/>
              <w:rPr>
                <w:sz w:val="24"/>
                <w:szCs w:val="24"/>
                <w:highlight w:val="none"/>
              </w:rPr>
            </w:pPr>
            <w:r>
              <w:rPr>
                <w:spacing w:val="-2"/>
                <w:sz w:val="24"/>
                <w:szCs w:val="24"/>
                <w:highlight w:val="none"/>
              </w:rPr>
              <w:t>竞争性磋商文件</w:t>
            </w:r>
            <w:r>
              <w:rPr>
                <w:sz w:val="24"/>
                <w:szCs w:val="24"/>
                <w:highlight w:val="none"/>
              </w:rPr>
              <w:t xml:space="preserve"> </w:t>
            </w:r>
            <w:r>
              <w:rPr>
                <w:spacing w:val="-7"/>
                <w:sz w:val="24"/>
                <w:szCs w:val="24"/>
                <w:highlight w:val="none"/>
              </w:rPr>
              <w:t>发售</w:t>
            </w:r>
          </w:p>
        </w:tc>
        <w:tc>
          <w:tcPr>
            <w:tcW w:w="6386" w:type="dxa"/>
            <w:vAlign w:val="top"/>
          </w:tcPr>
          <w:p w14:paraId="39DDF5EE">
            <w:pPr>
              <w:pStyle w:val="39"/>
              <w:spacing w:before="182" w:line="360" w:lineRule="auto"/>
              <w:ind w:left="116"/>
              <w:rPr>
                <w:rFonts w:hint="default" w:eastAsia="宋体"/>
                <w:sz w:val="24"/>
                <w:szCs w:val="24"/>
                <w:highlight w:val="none"/>
                <w:lang w:val="en-US" w:eastAsia="zh-CN"/>
              </w:rPr>
            </w:pPr>
            <w:r>
              <w:rPr>
                <w:spacing w:val="-9"/>
                <w:sz w:val="24"/>
                <w:szCs w:val="24"/>
                <w:highlight w:val="none"/>
              </w:rPr>
              <w:t>发售时间：</w:t>
            </w:r>
            <w:r>
              <w:rPr>
                <w:rFonts w:hint="eastAsia"/>
                <w:spacing w:val="-9"/>
                <w:sz w:val="24"/>
                <w:szCs w:val="24"/>
                <w:highlight w:val="none"/>
                <w:lang w:val="en-US" w:eastAsia="zh-CN"/>
              </w:rPr>
              <w:t>详见竞争性磋商公告</w:t>
            </w:r>
          </w:p>
          <w:p w14:paraId="77755AF3">
            <w:pPr>
              <w:pStyle w:val="39"/>
              <w:spacing w:before="277" w:line="360" w:lineRule="auto"/>
              <w:ind w:left="138" w:right="107" w:hanging="19"/>
              <w:rPr>
                <w:sz w:val="24"/>
                <w:szCs w:val="24"/>
                <w:highlight w:val="none"/>
              </w:rPr>
            </w:pPr>
            <w:r>
              <w:rPr>
                <w:spacing w:val="-6"/>
                <w:sz w:val="24"/>
                <w:szCs w:val="24"/>
                <w:highlight w:val="none"/>
              </w:rPr>
              <w:t>发售地点：各供应商凭数字证书（陕西CA</w:t>
            </w:r>
            <w:r>
              <w:rPr>
                <w:spacing w:val="-45"/>
                <w:sz w:val="24"/>
                <w:szCs w:val="24"/>
                <w:highlight w:val="none"/>
              </w:rPr>
              <w:t xml:space="preserve"> </w:t>
            </w:r>
            <w:r>
              <w:rPr>
                <w:spacing w:val="-6"/>
                <w:sz w:val="24"/>
                <w:szCs w:val="24"/>
                <w:highlight w:val="none"/>
              </w:rPr>
              <w:t>锁）自行登录【全</w:t>
            </w:r>
            <w:r>
              <w:rPr>
                <w:spacing w:val="-5"/>
                <w:sz w:val="24"/>
                <w:szCs w:val="24"/>
                <w:highlight w:val="none"/>
              </w:rPr>
              <w:t>国公共资源交易平台（陕西省</w:t>
            </w:r>
            <w:r>
              <w:rPr>
                <w:spacing w:val="-26"/>
                <w:sz w:val="24"/>
                <w:szCs w:val="24"/>
                <w:highlight w:val="none"/>
              </w:rPr>
              <w:t xml:space="preserve"> </w:t>
            </w:r>
            <w:r>
              <w:rPr>
                <w:spacing w:val="-5"/>
                <w:sz w:val="24"/>
                <w:szCs w:val="24"/>
                <w:highlight w:val="none"/>
              </w:rPr>
              <w:t>·宝鸡市）】</w:t>
            </w:r>
          </w:p>
          <w:p w14:paraId="5F08FA0D">
            <w:pPr>
              <w:pStyle w:val="39"/>
              <w:spacing w:line="360" w:lineRule="auto"/>
              <w:ind w:left="126"/>
              <w:rPr>
                <w:sz w:val="24"/>
                <w:szCs w:val="24"/>
                <w:highlight w:val="none"/>
              </w:rPr>
            </w:pPr>
            <w:r>
              <w:rPr>
                <w:spacing w:val="-1"/>
                <w:sz w:val="24"/>
                <w:szCs w:val="24"/>
                <w:highlight w:val="none"/>
              </w:rPr>
              <w:t>（</w:t>
            </w:r>
            <w:r>
              <w:rPr>
                <w:sz w:val="24"/>
                <w:szCs w:val="24"/>
                <w:highlight w:val="none"/>
              </w:rPr>
              <w:fldChar w:fldCharType="begin"/>
            </w:r>
            <w:r>
              <w:rPr>
                <w:sz w:val="24"/>
                <w:szCs w:val="24"/>
                <w:highlight w:val="none"/>
              </w:rPr>
              <w:instrText xml:space="preserve"> HYPERLINK "http://ggzy.baoji.gov.cn" </w:instrText>
            </w:r>
            <w:r>
              <w:rPr>
                <w:sz w:val="24"/>
                <w:szCs w:val="24"/>
                <w:highlight w:val="none"/>
              </w:rPr>
              <w:fldChar w:fldCharType="separate"/>
            </w:r>
            <w:r>
              <w:rPr>
                <w:spacing w:val="-1"/>
                <w:sz w:val="24"/>
                <w:szCs w:val="24"/>
                <w:highlight w:val="none"/>
              </w:rPr>
              <w:t>http://ggzy.baoji.gov.cn</w:t>
            </w:r>
            <w:r>
              <w:rPr>
                <w:spacing w:val="-1"/>
                <w:sz w:val="24"/>
                <w:szCs w:val="24"/>
                <w:highlight w:val="none"/>
              </w:rPr>
              <w:fldChar w:fldCharType="end"/>
            </w:r>
            <w:r>
              <w:rPr>
                <w:spacing w:val="-1"/>
                <w:sz w:val="24"/>
                <w:szCs w:val="24"/>
                <w:highlight w:val="none"/>
              </w:rPr>
              <w:t>）下载磋商文件。</w:t>
            </w:r>
          </w:p>
        </w:tc>
      </w:tr>
      <w:tr w14:paraId="1D734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95" w:hRule="atLeast"/>
        </w:trPr>
        <w:tc>
          <w:tcPr>
            <w:tcW w:w="803" w:type="dxa"/>
            <w:vAlign w:val="top"/>
          </w:tcPr>
          <w:p w14:paraId="3E4BC085">
            <w:pPr>
              <w:spacing w:line="360" w:lineRule="auto"/>
              <w:rPr>
                <w:rFonts w:ascii="Arial"/>
                <w:sz w:val="24"/>
                <w:szCs w:val="24"/>
                <w:highlight w:val="none"/>
              </w:rPr>
            </w:pPr>
          </w:p>
          <w:p w14:paraId="3167B05E">
            <w:pPr>
              <w:pStyle w:val="39"/>
              <w:spacing w:before="78" w:line="360" w:lineRule="auto"/>
              <w:ind w:left="413"/>
              <w:rPr>
                <w:sz w:val="24"/>
                <w:szCs w:val="24"/>
                <w:highlight w:val="none"/>
              </w:rPr>
            </w:pPr>
            <w:r>
              <w:rPr>
                <w:rFonts w:hint="eastAsia"/>
                <w:spacing w:val="-10"/>
                <w:sz w:val="24"/>
                <w:szCs w:val="24"/>
                <w:highlight w:val="none"/>
                <w:lang w:val="en-US" w:eastAsia="zh-CN"/>
              </w:rPr>
              <w:t>10</w:t>
            </w:r>
            <w:r>
              <w:rPr>
                <w:spacing w:val="-10"/>
                <w:sz w:val="24"/>
                <w:szCs w:val="24"/>
                <w:highlight w:val="none"/>
              </w:rPr>
              <w:t>.</w:t>
            </w:r>
          </w:p>
        </w:tc>
        <w:tc>
          <w:tcPr>
            <w:tcW w:w="2125" w:type="dxa"/>
            <w:vAlign w:val="top"/>
          </w:tcPr>
          <w:p w14:paraId="023BAE5B">
            <w:pPr>
              <w:pStyle w:val="39"/>
              <w:spacing w:before="154" w:line="360" w:lineRule="auto"/>
              <w:ind w:left="831" w:right="105" w:hanging="716"/>
              <w:rPr>
                <w:sz w:val="24"/>
                <w:szCs w:val="24"/>
                <w:highlight w:val="none"/>
              </w:rPr>
            </w:pPr>
            <w:r>
              <w:rPr>
                <w:spacing w:val="-3"/>
                <w:sz w:val="24"/>
                <w:szCs w:val="24"/>
                <w:highlight w:val="none"/>
              </w:rPr>
              <w:t>现场勘查、标前答</w:t>
            </w:r>
            <w:r>
              <w:rPr>
                <w:spacing w:val="2"/>
                <w:sz w:val="24"/>
                <w:szCs w:val="24"/>
                <w:highlight w:val="none"/>
              </w:rPr>
              <w:t xml:space="preserve"> </w:t>
            </w:r>
            <w:r>
              <w:rPr>
                <w:spacing w:val="-7"/>
                <w:sz w:val="24"/>
                <w:szCs w:val="24"/>
                <w:highlight w:val="none"/>
              </w:rPr>
              <w:t>疑会</w:t>
            </w:r>
          </w:p>
        </w:tc>
        <w:tc>
          <w:tcPr>
            <w:tcW w:w="6386" w:type="dxa"/>
            <w:vAlign w:val="top"/>
          </w:tcPr>
          <w:p w14:paraId="61C1AF62">
            <w:pPr>
              <w:pStyle w:val="39"/>
              <w:spacing w:before="154" w:line="360" w:lineRule="auto"/>
              <w:ind w:left="116" w:right="107" w:firstLine="2"/>
              <w:rPr>
                <w:sz w:val="24"/>
                <w:szCs w:val="24"/>
                <w:highlight w:val="none"/>
              </w:rPr>
            </w:pPr>
            <w:r>
              <w:rPr>
                <w:spacing w:val="-4"/>
                <w:sz w:val="24"/>
                <w:szCs w:val="24"/>
                <w:highlight w:val="none"/>
              </w:rPr>
              <w:t>不组织。供应商认为有必要可自行勘查，并承担所有</w:t>
            </w:r>
            <w:bookmarkStart w:id="153" w:name="_GoBack"/>
            <w:r>
              <w:rPr>
                <w:spacing w:val="-4"/>
                <w:sz w:val="24"/>
                <w:szCs w:val="24"/>
                <w:highlight w:val="none"/>
              </w:rPr>
              <w:t>费用</w:t>
            </w:r>
            <w:bookmarkEnd w:id="153"/>
            <w:r>
              <w:rPr>
                <w:spacing w:val="-4"/>
                <w:sz w:val="24"/>
                <w:szCs w:val="24"/>
                <w:highlight w:val="none"/>
              </w:rPr>
              <w:t>及</w:t>
            </w:r>
            <w:r>
              <w:rPr>
                <w:spacing w:val="17"/>
                <w:sz w:val="24"/>
                <w:szCs w:val="24"/>
                <w:highlight w:val="none"/>
              </w:rPr>
              <w:t xml:space="preserve"> </w:t>
            </w:r>
            <w:r>
              <w:rPr>
                <w:spacing w:val="-4"/>
                <w:sz w:val="24"/>
                <w:szCs w:val="24"/>
                <w:highlight w:val="none"/>
              </w:rPr>
              <w:t>风险。</w:t>
            </w:r>
          </w:p>
        </w:tc>
      </w:tr>
      <w:tr w14:paraId="7658F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557" w:hRule="atLeast"/>
        </w:trPr>
        <w:tc>
          <w:tcPr>
            <w:tcW w:w="803" w:type="dxa"/>
            <w:vAlign w:val="top"/>
          </w:tcPr>
          <w:p w14:paraId="585EE04C">
            <w:pPr>
              <w:spacing w:line="360" w:lineRule="auto"/>
              <w:rPr>
                <w:rFonts w:ascii="Arial"/>
                <w:sz w:val="24"/>
                <w:szCs w:val="24"/>
                <w:highlight w:val="none"/>
              </w:rPr>
            </w:pPr>
          </w:p>
          <w:p w14:paraId="1D762BBB">
            <w:pPr>
              <w:pStyle w:val="39"/>
              <w:spacing w:before="78" w:line="360" w:lineRule="auto"/>
              <w:jc w:val="right"/>
              <w:rPr>
                <w:sz w:val="24"/>
                <w:szCs w:val="24"/>
                <w:highlight w:val="none"/>
              </w:rPr>
            </w:pPr>
            <w:r>
              <w:rPr>
                <w:rFonts w:hint="eastAsia"/>
                <w:spacing w:val="-10"/>
                <w:sz w:val="24"/>
                <w:szCs w:val="24"/>
                <w:highlight w:val="none"/>
                <w:lang w:val="en-US" w:eastAsia="zh-CN"/>
              </w:rPr>
              <w:t>11</w:t>
            </w:r>
            <w:r>
              <w:rPr>
                <w:spacing w:val="-10"/>
                <w:sz w:val="24"/>
                <w:szCs w:val="24"/>
                <w:highlight w:val="none"/>
              </w:rPr>
              <w:t>.</w:t>
            </w:r>
          </w:p>
        </w:tc>
        <w:tc>
          <w:tcPr>
            <w:tcW w:w="2125" w:type="dxa"/>
            <w:vAlign w:val="top"/>
          </w:tcPr>
          <w:p w14:paraId="6C0DE310">
            <w:pPr>
              <w:spacing w:line="360" w:lineRule="auto"/>
              <w:rPr>
                <w:rFonts w:ascii="Arial"/>
                <w:sz w:val="24"/>
                <w:szCs w:val="24"/>
                <w:highlight w:val="none"/>
              </w:rPr>
            </w:pPr>
          </w:p>
          <w:p w14:paraId="1887E66B">
            <w:pPr>
              <w:pStyle w:val="39"/>
              <w:spacing w:before="78" w:line="360" w:lineRule="auto"/>
              <w:ind w:right="220"/>
              <w:rPr>
                <w:sz w:val="24"/>
                <w:szCs w:val="24"/>
                <w:highlight w:val="none"/>
              </w:rPr>
            </w:pPr>
            <w:r>
              <w:rPr>
                <w:b/>
                <w:bCs/>
                <w:spacing w:val="-4"/>
                <w:sz w:val="24"/>
                <w:szCs w:val="24"/>
                <w:highlight w:val="none"/>
              </w:rPr>
              <w:t>保证金金额及交</w:t>
            </w:r>
            <w:r>
              <w:rPr>
                <w:spacing w:val="3"/>
                <w:sz w:val="24"/>
                <w:szCs w:val="24"/>
                <w:highlight w:val="none"/>
              </w:rPr>
              <w:t xml:space="preserve"> </w:t>
            </w:r>
            <w:r>
              <w:rPr>
                <w:b/>
                <w:bCs/>
                <w:spacing w:val="-6"/>
                <w:sz w:val="24"/>
                <w:szCs w:val="24"/>
                <w:highlight w:val="none"/>
              </w:rPr>
              <w:t>纳要求</w:t>
            </w:r>
          </w:p>
        </w:tc>
        <w:tc>
          <w:tcPr>
            <w:tcW w:w="6386" w:type="dxa"/>
            <w:vAlign w:val="top"/>
          </w:tcPr>
          <w:p w14:paraId="37F80159">
            <w:pPr>
              <w:pStyle w:val="39"/>
              <w:spacing w:before="227" w:line="360" w:lineRule="auto"/>
              <w:ind w:right="107"/>
              <w:rPr>
                <w:rFonts w:hint="default" w:eastAsia="宋体"/>
                <w:sz w:val="24"/>
                <w:szCs w:val="24"/>
                <w:highlight w:val="none"/>
                <w:lang w:val="en-US" w:eastAsia="zh-CN"/>
              </w:rPr>
            </w:pPr>
            <w:r>
              <w:rPr>
                <w:rFonts w:hint="eastAsia"/>
                <w:sz w:val="24"/>
                <w:szCs w:val="24"/>
                <w:highlight w:val="none"/>
              </w:rPr>
              <w:t>磋商保证金：本项目不缴纳磋商保证金</w:t>
            </w:r>
            <w:r>
              <w:rPr>
                <w:rFonts w:hint="eastAsia"/>
                <w:sz w:val="24"/>
                <w:szCs w:val="24"/>
                <w:highlight w:val="none"/>
                <w:lang w:eastAsia="zh-CN"/>
              </w:rPr>
              <w:t>（</w:t>
            </w:r>
            <w:r>
              <w:rPr>
                <w:rFonts w:hint="eastAsia"/>
                <w:sz w:val="24"/>
                <w:szCs w:val="24"/>
                <w:highlight w:val="none"/>
                <w:lang w:val="en-US" w:eastAsia="zh-CN"/>
              </w:rPr>
              <w:t>本文件中涉及的关于保证金要求均不适用）</w:t>
            </w:r>
          </w:p>
        </w:tc>
      </w:tr>
      <w:tr w14:paraId="29D95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36" w:hRule="atLeast"/>
        </w:trPr>
        <w:tc>
          <w:tcPr>
            <w:tcW w:w="803" w:type="dxa"/>
            <w:vAlign w:val="top"/>
          </w:tcPr>
          <w:p w14:paraId="29C5C201">
            <w:pPr>
              <w:spacing w:line="360" w:lineRule="auto"/>
              <w:rPr>
                <w:rFonts w:ascii="Arial"/>
                <w:sz w:val="24"/>
                <w:szCs w:val="24"/>
                <w:highlight w:val="none"/>
              </w:rPr>
            </w:pPr>
          </w:p>
          <w:p w14:paraId="2338051A">
            <w:pPr>
              <w:spacing w:line="360" w:lineRule="auto"/>
              <w:rPr>
                <w:rFonts w:ascii="Arial"/>
                <w:sz w:val="24"/>
                <w:szCs w:val="24"/>
                <w:highlight w:val="none"/>
              </w:rPr>
            </w:pPr>
          </w:p>
          <w:p w14:paraId="19DE94B9">
            <w:pPr>
              <w:pStyle w:val="39"/>
              <w:spacing w:before="78" w:line="360" w:lineRule="auto"/>
              <w:ind w:left="413"/>
              <w:rPr>
                <w:sz w:val="24"/>
                <w:szCs w:val="24"/>
                <w:highlight w:val="none"/>
              </w:rPr>
            </w:pPr>
            <w:r>
              <w:rPr>
                <w:spacing w:val="-10"/>
                <w:sz w:val="24"/>
                <w:szCs w:val="24"/>
                <w:highlight w:val="none"/>
              </w:rPr>
              <w:t>1</w:t>
            </w:r>
            <w:r>
              <w:rPr>
                <w:rFonts w:hint="eastAsia"/>
                <w:spacing w:val="-10"/>
                <w:sz w:val="24"/>
                <w:szCs w:val="24"/>
                <w:highlight w:val="none"/>
                <w:lang w:val="en-US" w:eastAsia="zh-CN"/>
              </w:rPr>
              <w:t>2</w:t>
            </w:r>
            <w:r>
              <w:rPr>
                <w:spacing w:val="-10"/>
                <w:sz w:val="24"/>
                <w:szCs w:val="24"/>
                <w:highlight w:val="none"/>
              </w:rPr>
              <w:t>.</w:t>
            </w:r>
          </w:p>
        </w:tc>
        <w:tc>
          <w:tcPr>
            <w:tcW w:w="2125" w:type="dxa"/>
            <w:vAlign w:val="top"/>
          </w:tcPr>
          <w:p w14:paraId="0024979A">
            <w:pPr>
              <w:pStyle w:val="39"/>
              <w:spacing w:before="151" w:line="360" w:lineRule="auto"/>
              <w:ind w:left="228"/>
              <w:rPr>
                <w:sz w:val="24"/>
                <w:szCs w:val="24"/>
                <w:highlight w:val="none"/>
              </w:rPr>
            </w:pPr>
            <w:r>
              <w:rPr>
                <w:spacing w:val="-2"/>
                <w:sz w:val="24"/>
                <w:szCs w:val="24"/>
                <w:highlight w:val="none"/>
              </w:rPr>
              <w:t>供应商对竞争性</w:t>
            </w:r>
          </w:p>
          <w:p w14:paraId="33328ADD">
            <w:pPr>
              <w:pStyle w:val="39"/>
              <w:spacing w:before="160" w:line="360" w:lineRule="auto"/>
              <w:ind w:left="228"/>
              <w:rPr>
                <w:sz w:val="24"/>
                <w:szCs w:val="24"/>
                <w:highlight w:val="none"/>
              </w:rPr>
            </w:pPr>
            <w:r>
              <w:rPr>
                <w:spacing w:val="-2"/>
                <w:sz w:val="24"/>
                <w:szCs w:val="24"/>
                <w:highlight w:val="none"/>
              </w:rPr>
              <w:t>磋商文件提出质</w:t>
            </w:r>
          </w:p>
          <w:p w14:paraId="2DAAD176">
            <w:pPr>
              <w:pStyle w:val="39"/>
              <w:spacing w:before="158" w:line="360" w:lineRule="auto"/>
              <w:ind w:left="591"/>
              <w:rPr>
                <w:sz w:val="24"/>
                <w:szCs w:val="24"/>
                <w:highlight w:val="none"/>
              </w:rPr>
            </w:pPr>
            <w:r>
              <w:rPr>
                <w:spacing w:val="-4"/>
                <w:sz w:val="24"/>
                <w:szCs w:val="24"/>
                <w:highlight w:val="none"/>
              </w:rPr>
              <w:t>疑的时间</w:t>
            </w:r>
          </w:p>
        </w:tc>
        <w:tc>
          <w:tcPr>
            <w:tcW w:w="6386" w:type="dxa"/>
            <w:vAlign w:val="top"/>
          </w:tcPr>
          <w:p w14:paraId="20128CDD">
            <w:pPr>
              <w:pStyle w:val="39"/>
              <w:spacing w:before="152" w:line="360" w:lineRule="auto"/>
              <w:ind w:left="114" w:right="107"/>
              <w:rPr>
                <w:sz w:val="24"/>
                <w:szCs w:val="24"/>
                <w:highlight w:val="none"/>
              </w:rPr>
            </w:pPr>
            <w:r>
              <w:rPr>
                <w:spacing w:val="-4"/>
                <w:sz w:val="24"/>
                <w:szCs w:val="24"/>
                <w:highlight w:val="none"/>
              </w:rPr>
              <w:t>在磋商文件递交截止时间</w:t>
            </w:r>
            <w:r>
              <w:rPr>
                <w:spacing w:val="-47"/>
                <w:sz w:val="24"/>
                <w:szCs w:val="24"/>
                <w:highlight w:val="none"/>
              </w:rPr>
              <w:t xml:space="preserve"> </w:t>
            </w:r>
            <w:r>
              <w:rPr>
                <w:spacing w:val="-4"/>
                <w:sz w:val="24"/>
                <w:szCs w:val="24"/>
                <w:highlight w:val="none"/>
              </w:rPr>
              <w:t>2</w:t>
            </w:r>
            <w:r>
              <w:rPr>
                <w:spacing w:val="-51"/>
                <w:sz w:val="24"/>
                <w:szCs w:val="24"/>
                <w:highlight w:val="none"/>
              </w:rPr>
              <w:t xml:space="preserve"> </w:t>
            </w:r>
            <w:r>
              <w:rPr>
                <w:spacing w:val="-4"/>
                <w:sz w:val="24"/>
                <w:szCs w:val="24"/>
                <w:highlight w:val="none"/>
              </w:rPr>
              <w:t>个日历日前，以书面形式向采购</w:t>
            </w:r>
            <w:r>
              <w:rPr>
                <w:sz w:val="24"/>
                <w:szCs w:val="24"/>
                <w:highlight w:val="none"/>
              </w:rPr>
              <w:t xml:space="preserve"> </w:t>
            </w:r>
            <w:r>
              <w:rPr>
                <w:spacing w:val="-1"/>
                <w:sz w:val="24"/>
                <w:szCs w:val="24"/>
                <w:highlight w:val="none"/>
              </w:rPr>
              <w:t>代理机构提出，在此之后提出的质疑无效。</w:t>
            </w:r>
          </w:p>
        </w:tc>
      </w:tr>
      <w:tr w14:paraId="73A2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93" w:hRule="atLeast"/>
        </w:trPr>
        <w:tc>
          <w:tcPr>
            <w:tcW w:w="803" w:type="dxa"/>
            <w:vAlign w:val="top"/>
          </w:tcPr>
          <w:p w14:paraId="32553E80">
            <w:pPr>
              <w:spacing w:line="360" w:lineRule="auto"/>
              <w:rPr>
                <w:rFonts w:ascii="Arial"/>
                <w:sz w:val="24"/>
                <w:szCs w:val="24"/>
                <w:highlight w:val="none"/>
              </w:rPr>
            </w:pPr>
          </w:p>
          <w:p w14:paraId="10042EF5">
            <w:pPr>
              <w:pStyle w:val="39"/>
              <w:spacing w:before="78" w:line="360" w:lineRule="auto"/>
              <w:ind w:left="413"/>
              <w:rPr>
                <w:sz w:val="24"/>
                <w:szCs w:val="24"/>
                <w:highlight w:val="none"/>
              </w:rPr>
            </w:pPr>
            <w:r>
              <w:rPr>
                <w:spacing w:val="-10"/>
                <w:sz w:val="24"/>
                <w:szCs w:val="24"/>
                <w:highlight w:val="none"/>
              </w:rPr>
              <w:t>1</w:t>
            </w:r>
            <w:r>
              <w:rPr>
                <w:rFonts w:hint="eastAsia"/>
                <w:spacing w:val="-10"/>
                <w:sz w:val="24"/>
                <w:szCs w:val="24"/>
                <w:highlight w:val="none"/>
                <w:lang w:val="en-US" w:eastAsia="zh-CN"/>
              </w:rPr>
              <w:t>3</w:t>
            </w:r>
            <w:r>
              <w:rPr>
                <w:spacing w:val="-10"/>
                <w:sz w:val="24"/>
                <w:szCs w:val="24"/>
                <w:highlight w:val="none"/>
              </w:rPr>
              <w:t>.</w:t>
            </w:r>
          </w:p>
        </w:tc>
        <w:tc>
          <w:tcPr>
            <w:tcW w:w="2125" w:type="dxa"/>
            <w:vAlign w:val="top"/>
          </w:tcPr>
          <w:p w14:paraId="127EEB78">
            <w:pPr>
              <w:pStyle w:val="39"/>
              <w:spacing w:before="152" w:line="360" w:lineRule="auto"/>
              <w:ind w:left="230" w:right="220"/>
              <w:rPr>
                <w:sz w:val="24"/>
                <w:szCs w:val="24"/>
                <w:highlight w:val="none"/>
              </w:rPr>
            </w:pPr>
            <w:r>
              <w:rPr>
                <w:spacing w:val="-2"/>
                <w:sz w:val="24"/>
                <w:szCs w:val="24"/>
                <w:highlight w:val="none"/>
              </w:rPr>
              <w:t>构成竞争性磋商</w:t>
            </w:r>
            <w:r>
              <w:rPr>
                <w:sz w:val="24"/>
                <w:szCs w:val="24"/>
                <w:highlight w:val="none"/>
              </w:rPr>
              <w:t xml:space="preserve"> </w:t>
            </w:r>
            <w:r>
              <w:rPr>
                <w:spacing w:val="-2"/>
                <w:sz w:val="24"/>
                <w:szCs w:val="24"/>
                <w:highlight w:val="none"/>
              </w:rPr>
              <w:t>文件的其他文件</w:t>
            </w:r>
          </w:p>
        </w:tc>
        <w:tc>
          <w:tcPr>
            <w:tcW w:w="6386" w:type="dxa"/>
            <w:vAlign w:val="top"/>
          </w:tcPr>
          <w:p w14:paraId="5FF7A6D0">
            <w:pPr>
              <w:pStyle w:val="39"/>
              <w:spacing w:before="152" w:line="360" w:lineRule="auto"/>
              <w:ind w:left="117" w:right="107"/>
              <w:rPr>
                <w:sz w:val="24"/>
                <w:szCs w:val="24"/>
                <w:highlight w:val="none"/>
              </w:rPr>
            </w:pPr>
            <w:r>
              <w:rPr>
                <w:spacing w:val="-4"/>
                <w:sz w:val="24"/>
                <w:szCs w:val="24"/>
                <w:highlight w:val="none"/>
              </w:rPr>
              <w:t>竞争性磋商文件的澄清、修改及有关补充通知为竞争性磋商</w:t>
            </w:r>
            <w:r>
              <w:rPr>
                <w:spacing w:val="18"/>
                <w:sz w:val="24"/>
                <w:szCs w:val="24"/>
                <w:highlight w:val="none"/>
              </w:rPr>
              <w:t xml:space="preserve"> </w:t>
            </w:r>
            <w:r>
              <w:rPr>
                <w:spacing w:val="-2"/>
                <w:sz w:val="24"/>
                <w:szCs w:val="24"/>
                <w:highlight w:val="none"/>
              </w:rPr>
              <w:t>文件的有效组成部分。</w:t>
            </w:r>
          </w:p>
        </w:tc>
      </w:tr>
      <w:tr w14:paraId="79ECD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56" w:hRule="atLeast"/>
        </w:trPr>
        <w:tc>
          <w:tcPr>
            <w:tcW w:w="803" w:type="dxa"/>
            <w:vAlign w:val="top"/>
          </w:tcPr>
          <w:p w14:paraId="2C2B32B1">
            <w:pPr>
              <w:spacing w:line="360" w:lineRule="auto"/>
              <w:rPr>
                <w:rFonts w:ascii="Arial"/>
                <w:sz w:val="24"/>
                <w:szCs w:val="24"/>
                <w:highlight w:val="none"/>
              </w:rPr>
            </w:pPr>
          </w:p>
          <w:p w14:paraId="063AC03D">
            <w:pPr>
              <w:spacing w:line="360" w:lineRule="auto"/>
              <w:rPr>
                <w:rFonts w:ascii="Arial"/>
                <w:sz w:val="24"/>
                <w:szCs w:val="24"/>
                <w:highlight w:val="none"/>
              </w:rPr>
            </w:pPr>
          </w:p>
          <w:p w14:paraId="173CBE70">
            <w:pPr>
              <w:spacing w:line="360" w:lineRule="auto"/>
              <w:rPr>
                <w:rFonts w:ascii="Arial"/>
                <w:sz w:val="24"/>
                <w:szCs w:val="24"/>
                <w:highlight w:val="none"/>
              </w:rPr>
            </w:pPr>
          </w:p>
          <w:p w14:paraId="0464EAFC">
            <w:pPr>
              <w:spacing w:line="360" w:lineRule="auto"/>
              <w:rPr>
                <w:rFonts w:ascii="Arial"/>
                <w:sz w:val="24"/>
                <w:szCs w:val="24"/>
                <w:highlight w:val="none"/>
              </w:rPr>
            </w:pPr>
          </w:p>
          <w:p w14:paraId="366C3D30">
            <w:pPr>
              <w:spacing w:line="360" w:lineRule="auto"/>
              <w:rPr>
                <w:rFonts w:ascii="Arial"/>
                <w:sz w:val="24"/>
                <w:szCs w:val="24"/>
                <w:highlight w:val="none"/>
              </w:rPr>
            </w:pPr>
          </w:p>
          <w:p w14:paraId="4D905B31">
            <w:pPr>
              <w:spacing w:line="360" w:lineRule="auto"/>
              <w:rPr>
                <w:rFonts w:ascii="Arial"/>
                <w:sz w:val="24"/>
                <w:szCs w:val="24"/>
                <w:highlight w:val="none"/>
              </w:rPr>
            </w:pPr>
          </w:p>
          <w:p w14:paraId="5DF0C5B6">
            <w:pPr>
              <w:spacing w:line="360" w:lineRule="auto"/>
              <w:rPr>
                <w:rFonts w:ascii="Arial"/>
                <w:sz w:val="24"/>
                <w:szCs w:val="24"/>
                <w:highlight w:val="none"/>
              </w:rPr>
            </w:pPr>
          </w:p>
          <w:p w14:paraId="08212BAF">
            <w:pPr>
              <w:pStyle w:val="39"/>
              <w:spacing w:before="78" w:line="360" w:lineRule="auto"/>
              <w:ind w:left="413"/>
              <w:rPr>
                <w:sz w:val="24"/>
                <w:szCs w:val="24"/>
                <w:highlight w:val="none"/>
              </w:rPr>
            </w:pPr>
            <w:r>
              <w:rPr>
                <w:spacing w:val="-10"/>
                <w:sz w:val="24"/>
                <w:szCs w:val="24"/>
                <w:highlight w:val="none"/>
              </w:rPr>
              <w:t>1</w:t>
            </w:r>
            <w:r>
              <w:rPr>
                <w:rFonts w:hint="eastAsia"/>
                <w:spacing w:val="-10"/>
                <w:sz w:val="24"/>
                <w:szCs w:val="24"/>
                <w:highlight w:val="none"/>
                <w:lang w:val="en-US" w:eastAsia="zh-CN"/>
              </w:rPr>
              <w:t>4</w:t>
            </w:r>
            <w:r>
              <w:rPr>
                <w:spacing w:val="-10"/>
                <w:sz w:val="24"/>
                <w:szCs w:val="24"/>
                <w:highlight w:val="none"/>
              </w:rPr>
              <w:t>.</w:t>
            </w:r>
          </w:p>
        </w:tc>
        <w:tc>
          <w:tcPr>
            <w:tcW w:w="2125" w:type="dxa"/>
            <w:vAlign w:val="top"/>
          </w:tcPr>
          <w:p w14:paraId="3D7792A0">
            <w:pPr>
              <w:spacing w:line="360" w:lineRule="auto"/>
              <w:rPr>
                <w:rFonts w:ascii="Arial"/>
                <w:sz w:val="24"/>
                <w:szCs w:val="24"/>
                <w:highlight w:val="none"/>
              </w:rPr>
            </w:pPr>
          </w:p>
          <w:p w14:paraId="7174EA40">
            <w:pPr>
              <w:spacing w:line="360" w:lineRule="auto"/>
              <w:rPr>
                <w:rFonts w:ascii="Arial"/>
                <w:sz w:val="24"/>
                <w:szCs w:val="24"/>
                <w:highlight w:val="none"/>
              </w:rPr>
            </w:pPr>
          </w:p>
          <w:p w14:paraId="713227F0">
            <w:pPr>
              <w:spacing w:line="360" w:lineRule="auto"/>
              <w:rPr>
                <w:rFonts w:ascii="Arial"/>
                <w:sz w:val="24"/>
                <w:szCs w:val="24"/>
                <w:highlight w:val="none"/>
              </w:rPr>
            </w:pPr>
          </w:p>
          <w:p w14:paraId="66DC615A">
            <w:pPr>
              <w:spacing w:line="360" w:lineRule="auto"/>
              <w:rPr>
                <w:rFonts w:ascii="Arial"/>
                <w:sz w:val="24"/>
                <w:szCs w:val="24"/>
                <w:highlight w:val="none"/>
              </w:rPr>
            </w:pPr>
          </w:p>
          <w:p w14:paraId="4CE66D22">
            <w:pPr>
              <w:spacing w:line="360" w:lineRule="auto"/>
              <w:rPr>
                <w:rFonts w:ascii="Arial"/>
                <w:sz w:val="24"/>
                <w:szCs w:val="24"/>
                <w:highlight w:val="none"/>
              </w:rPr>
            </w:pPr>
          </w:p>
          <w:p w14:paraId="6E354291">
            <w:pPr>
              <w:pStyle w:val="39"/>
              <w:spacing w:before="78" w:line="360" w:lineRule="auto"/>
              <w:ind w:left="228"/>
              <w:rPr>
                <w:sz w:val="24"/>
                <w:szCs w:val="24"/>
                <w:highlight w:val="none"/>
              </w:rPr>
            </w:pPr>
            <w:r>
              <w:rPr>
                <w:spacing w:val="-2"/>
                <w:sz w:val="24"/>
                <w:szCs w:val="24"/>
                <w:highlight w:val="none"/>
              </w:rPr>
              <w:t>磋商响应文件递</w:t>
            </w:r>
          </w:p>
          <w:p w14:paraId="7C6A2FF2">
            <w:pPr>
              <w:pStyle w:val="39"/>
              <w:spacing w:before="175" w:line="360" w:lineRule="auto"/>
              <w:ind w:left="233"/>
              <w:rPr>
                <w:sz w:val="24"/>
                <w:szCs w:val="24"/>
                <w:highlight w:val="none"/>
              </w:rPr>
            </w:pPr>
            <w:r>
              <w:rPr>
                <w:spacing w:val="-3"/>
                <w:sz w:val="24"/>
                <w:szCs w:val="24"/>
                <w:highlight w:val="none"/>
              </w:rPr>
              <w:t>交截止时间及开</w:t>
            </w:r>
          </w:p>
          <w:p w14:paraId="625E285F">
            <w:pPr>
              <w:pStyle w:val="39"/>
              <w:spacing w:before="174" w:line="360" w:lineRule="auto"/>
              <w:ind w:left="349"/>
              <w:rPr>
                <w:sz w:val="24"/>
                <w:szCs w:val="24"/>
                <w:highlight w:val="none"/>
              </w:rPr>
            </w:pPr>
            <w:r>
              <w:rPr>
                <w:spacing w:val="-2"/>
                <w:sz w:val="24"/>
                <w:szCs w:val="24"/>
                <w:highlight w:val="none"/>
              </w:rPr>
              <w:t>标时间和地点</w:t>
            </w:r>
          </w:p>
        </w:tc>
        <w:tc>
          <w:tcPr>
            <w:tcW w:w="6386" w:type="dxa"/>
            <w:vAlign w:val="top"/>
          </w:tcPr>
          <w:p w14:paraId="3BBD7708">
            <w:pPr>
              <w:pStyle w:val="39"/>
              <w:spacing w:before="155" w:line="360" w:lineRule="auto"/>
              <w:ind w:left="132"/>
              <w:rPr>
                <w:rFonts w:hint="default" w:eastAsia="宋体"/>
                <w:sz w:val="24"/>
                <w:szCs w:val="24"/>
                <w:highlight w:val="none"/>
                <w:lang w:val="en-US" w:eastAsia="zh-CN"/>
              </w:rPr>
            </w:pPr>
            <w:r>
              <w:rPr>
                <w:spacing w:val="-6"/>
                <w:sz w:val="24"/>
                <w:szCs w:val="24"/>
                <w:highlight w:val="none"/>
              </w:rPr>
              <w:t>1、响应文件递交截止时间：</w:t>
            </w:r>
            <w:r>
              <w:rPr>
                <w:rFonts w:hint="eastAsia"/>
                <w:spacing w:val="-6"/>
                <w:sz w:val="24"/>
                <w:szCs w:val="24"/>
                <w:highlight w:val="none"/>
                <w:lang w:val="en-US" w:eastAsia="zh-CN"/>
              </w:rPr>
              <w:t>详见竞争性磋商公告</w:t>
            </w:r>
          </w:p>
          <w:p w14:paraId="77E99082">
            <w:pPr>
              <w:pStyle w:val="39"/>
              <w:spacing w:before="248" w:line="360" w:lineRule="auto"/>
              <w:ind w:left="118" w:right="275"/>
              <w:rPr>
                <w:sz w:val="24"/>
                <w:szCs w:val="24"/>
                <w:highlight w:val="none"/>
              </w:rPr>
            </w:pPr>
            <w:r>
              <w:rPr>
                <w:spacing w:val="-4"/>
                <w:sz w:val="24"/>
                <w:szCs w:val="24"/>
                <w:highlight w:val="none"/>
              </w:rPr>
              <w:t>2、磋商地点：全国公共资源交易平台(陕西省·宝鸡市)-</w:t>
            </w:r>
            <w:r>
              <w:rPr>
                <w:sz w:val="24"/>
                <w:szCs w:val="24"/>
                <w:highlight w:val="none"/>
              </w:rPr>
              <w:t xml:space="preserve"> </w:t>
            </w:r>
            <w:r>
              <w:rPr>
                <w:spacing w:val="-3"/>
                <w:sz w:val="24"/>
                <w:szCs w:val="24"/>
                <w:highlight w:val="none"/>
              </w:rPr>
              <w:t>不见面开标</w:t>
            </w:r>
          </w:p>
          <w:p w14:paraId="598450E3">
            <w:pPr>
              <w:pStyle w:val="39"/>
              <w:spacing w:before="251" w:line="360" w:lineRule="auto"/>
              <w:ind w:left="114" w:right="107" w:firstLine="5"/>
              <w:rPr>
                <w:sz w:val="24"/>
                <w:szCs w:val="24"/>
                <w:highlight w:val="none"/>
              </w:rPr>
            </w:pPr>
            <w:r>
              <w:rPr>
                <w:spacing w:val="-2"/>
                <w:sz w:val="24"/>
                <w:szCs w:val="24"/>
                <w:highlight w:val="none"/>
              </w:rPr>
              <w:t>3、供应商须在响应截止时间前，持陕西CA</w:t>
            </w:r>
            <w:r>
              <w:rPr>
                <w:spacing w:val="-34"/>
                <w:sz w:val="24"/>
                <w:szCs w:val="24"/>
                <w:highlight w:val="none"/>
              </w:rPr>
              <w:t xml:space="preserve"> </w:t>
            </w:r>
            <w:r>
              <w:rPr>
                <w:spacing w:val="-2"/>
                <w:sz w:val="24"/>
                <w:szCs w:val="24"/>
                <w:highlight w:val="none"/>
              </w:rPr>
              <w:t>锁，登录全国公</w:t>
            </w:r>
            <w:r>
              <w:rPr>
                <w:sz w:val="24"/>
                <w:szCs w:val="24"/>
                <w:highlight w:val="none"/>
              </w:rPr>
              <w:t xml:space="preserve"> 共资源交易平台（陕西省</w:t>
            </w:r>
            <w:r>
              <w:rPr>
                <w:rFonts w:ascii="Arial" w:hAnsi="Arial" w:eastAsia="Arial" w:cs="Arial"/>
                <w:sz w:val="24"/>
                <w:szCs w:val="24"/>
                <w:highlight w:val="none"/>
              </w:rPr>
              <w:t>.</w:t>
            </w:r>
            <w:r>
              <w:rPr>
                <w:sz w:val="24"/>
                <w:szCs w:val="24"/>
                <w:highlight w:val="none"/>
              </w:rPr>
              <w:t>宝鸡市）宝鸡市公共资源交易中</w:t>
            </w:r>
            <w:r>
              <w:rPr>
                <w:spacing w:val="7"/>
                <w:sz w:val="24"/>
                <w:szCs w:val="24"/>
                <w:highlight w:val="none"/>
              </w:rPr>
              <w:t xml:space="preserve"> </w:t>
            </w:r>
            <w:r>
              <w:rPr>
                <w:sz w:val="24"/>
                <w:szCs w:val="24"/>
                <w:highlight w:val="none"/>
              </w:rPr>
              <w:t>心（</w:t>
            </w:r>
            <w:r>
              <w:rPr>
                <w:sz w:val="24"/>
                <w:szCs w:val="24"/>
                <w:highlight w:val="none"/>
              </w:rPr>
              <w:fldChar w:fldCharType="begin"/>
            </w:r>
            <w:r>
              <w:rPr>
                <w:sz w:val="24"/>
                <w:szCs w:val="24"/>
                <w:highlight w:val="none"/>
              </w:rPr>
              <w:instrText xml:space="preserve"> HYPERLINK "http://bj.sxggzyjy.cn" </w:instrText>
            </w:r>
            <w:r>
              <w:rPr>
                <w:sz w:val="24"/>
                <w:szCs w:val="24"/>
                <w:highlight w:val="none"/>
              </w:rPr>
              <w:fldChar w:fldCharType="separate"/>
            </w:r>
            <w:r>
              <w:rPr>
                <w:sz w:val="24"/>
                <w:szCs w:val="24"/>
                <w:highlight w:val="none"/>
              </w:rPr>
              <w:t>http://bj.sxggzyjy.cn</w:t>
            </w:r>
            <w:r>
              <w:rPr>
                <w:sz w:val="24"/>
                <w:szCs w:val="24"/>
                <w:highlight w:val="none"/>
              </w:rPr>
              <w:fldChar w:fldCharType="end"/>
            </w:r>
            <w:r>
              <w:rPr>
                <w:sz w:val="24"/>
                <w:szCs w:val="24"/>
                <w:highlight w:val="none"/>
              </w:rPr>
              <w:t>）上传</w:t>
            </w:r>
            <w:r>
              <w:rPr>
                <w:spacing w:val="-1"/>
                <w:sz w:val="24"/>
                <w:szCs w:val="24"/>
                <w:highlight w:val="none"/>
              </w:rPr>
              <w:t>电子标书，逾期提交，</w:t>
            </w:r>
          </w:p>
          <w:p w14:paraId="180A2598">
            <w:pPr>
              <w:pStyle w:val="39"/>
              <w:spacing w:before="164" w:line="360" w:lineRule="auto"/>
              <w:ind w:left="115" w:right="107" w:firstLine="4"/>
              <w:rPr>
                <w:sz w:val="24"/>
                <w:szCs w:val="24"/>
                <w:highlight w:val="none"/>
              </w:rPr>
            </w:pPr>
            <w:r>
              <w:rPr>
                <w:spacing w:val="-4"/>
                <w:sz w:val="24"/>
                <w:szCs w:val="24"/>
                <w:highlight w:val="none"/>
              </w:rPr>
              <w:t>系统将拒绝接收（具体详见磋商须知电子响应文件的编制与</w:t>
            </w:r>
            <w:r>
              <w:rPr>
                <w:spacing w:val="16"/>
                <w:sz w:val="24"/>
                <w:szCs w:val="24"/>
                <w:highlight w:val="none"/>
              </w:rPr>
              <w:t xml:space="preserve"> </w:t>
            </w:r>
            <w:r>
              <w:rPr>
                <w:spacing w:val="-3"/>
                <w:sz w:val="24"/>
                <w:szCs w:val="24"/>
                <w:highlight w:val="none"/>
              </w:rPr>
              <w:t>签名）。</w:t>
            </w:r>
          </w:p>
        </w:tc>
      </w:tr>
      <w:tr w14:paraId="235C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95" w:hRule="atLeast"/>
        </w:trPr>
        <w:tc>
          <w:tcPr>
            <w:tcW w:w="803" w:type="dxa"/>
            <w:vAlign w:val="top"/>
          </w:tcPr>
          <w:p w14:paraId="7F395A39">
            <w:pPr>
              <w:pStyle w:val="39"/>
              <w:spacing w:before="226" w:line="360" w:lineRule="auto"/>
              <w:ind w:left="413"/>
              <w:rPr>
                <w:sz w:val="24"/>
                <w:szCs w:val="24"/>
                <w:highlight w:val="none"/>
              </w:rPr>
            </w:pPr>
            <w:r>
              <w:rPr>
                <w:spacing w:val="-10"/>
                <w:sz w:val="24"/>
                <w:szCs w:val="24"/>
                <w:highlight w:val="none"/>
              </w:rPr>
              <w:t>1</w:t>
            </w:r>
            <w:r>
              <w:rPr>
                <w:rFonts w:hint="eastAsia"/>
                <w:spacing w:val="-10"/>
                <w:sz w:val="24"/>
                <w:szCs w:val="24"/>
                <w:highlight w:val="none"/>
                <w:lang w:val="en-US" w:eastAsia="zh-CN"/>
              </w:rPr>
              <w:t>5</w:t>
            </w:r>
            <w:r>
              <w:rPr>
                <w:spacing w:val="-10"/>
                <w:sz w:val="24"/>
                <w:szCs w:val="24"/>
                <w:highlight w:val="none"/>
              </w:rPr>
              <w:t>.</w:t>
            </w:r>
          </w:p>
        </w:tc>
        <w:tc>
          <w:tcPr>
            <w:tcW w:w="2125" w:type="dxa"/>
            <w:vAlign w:val="top"/>
          </w:tcPr>
          <w:p w14:paraId="4D089C07">
            <w:pPr>
              <w:pStyle w:val="39"/>
              <w:spacing w:before="226" w:line="360" w:lineRule="auto"/>
              <w:ind w:left="228"/>
              <w:rPr>
                <w:sz w:val="24"/>
                <w:szCs w:val="24"/>
                <w:highlight w:val="none"/>
              </w:rPr>
            </w:pPr>
            <w:r>
              <w:rPr>
                <w:spacing w:val="-2"/>
                <w:sz w:val="24"/>
                <w:szCs w:val="24"/>
                <w:highlight w:val="none"/>
              </w:rPr>
              <w:t>磋商响应有效期</w:t>
            </w:r>
          </w:p>
        </w:tc>
        <w:tc>
          <w:tcPr>
            <w:tcW w:w="6386" w:type="dxa"/>
            <w:vAlign w:val="top"/>
          </w:tcPr>
          <w:p w14:paraId="18803929">
            <w:pPr>
              <w:pStyle w:val="39"/>
              <w:spacing w:before="155" w:line="360" w:lineRule="auto"/>
              <w:ind w:left="154"/>
              <w:rPr>
                <w:sz w:val="24"/>
                <w:szCs w:val="24"/>
                <w:highlight w:val="none"/>
              </w:rPr>
            </w:pPr>
            <w:r>
              <w:rPr>
                <w:spacing w:val="-11"/>
                <w:sz w:val="24"/>
                <w:szCs w:val="24"/>
                <w:highlight w:val="none"/>
              </w:rPr>
              <w:t>自磋商之日起算</w:t>
            </w:r>
            <w:r>
              <w:rPr>
                <w:spacing w:val="-52"/>
                <w:sz w:val="24"/>
                <w:szCs w:val="24"/>
                <w:highlight w:val="none"/>
              </w:rPr>
              <w:t xml:space="preserve"> </w:t>
            </w:r>
            <w:r>
              <w:rPr>
                <w:spacing w:val="-11"/>
                <w:sz w:val="24"/>
                <w:szCs w:val="24"/>
                <w:highlight w:val="none"/>
              </w:rPr>
              <w:t>90</w:t>
            </w:r>
            <w:r>
              <w:rPr>
                <w:spacing w:val="-58"/>
                <w:sz w:val="24"/>
                <w:szCs w:val="24"/>
                <w:highlight w:val="none"/>
              </w:rPr>
              <w:t xml:space="preserve"> </w:t>
            </w:r>
            <w:r>
              <w:rPr>
                <w:spacing w:val="-11"/>
                <w:sz w:val="24"/>
                <w:szCs w:val="24"/>
                <w:highlight w:val="none"/>
              </w:rPr>
              <w:t>个日历日。</w:t>
            </w:r>
          </w:p>
        </w:tc>
      </w:tr>
      <w:tr w14:paraId="7723F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769" w:hRule="atLeast"/>
        </w:trPr>
        <w:tc>
          <w:tcPr>
            <w:tcW w:w="803" w:type="dxa"/>
            <w:vAlign w:val="top"/>
          </w:tcPr>
          <w:p w14:paraId="355410FB">
            <w:pPr>
              <w:pStyle w:val="39"/>
              <w:spacing w:before="315" w:line="360" w:lineRule="auto"/>
              <w:ind w:left="413"/>
              <w:rPr>
                <w:sz w:val="24"/>
                <w:szCs w:val="24"/>
                <w:highlight w:val="none"/>
              </w:rPr>
            </w:pPr>
            <w:r>
              <w:rPr>
                <w:spacing w:val="-10"/>
                <w:sz w:val="24"/>
                <w:szCs w:val="24"/>
                <w:highlight w:val="none"/>
              </w:rPr>
              <w:t>1</w:t>
            </w:r>
            <w:r>
              <w:rPr>
                <w:rFonts w:hint="eastAsia"/>
                <w:spacing w:val="-10"/>
                <w:sz w:val="24"/>
                <w:szCs w:val="24"/>
                <w:highlight w:val="none"/>
                <w:lang w:val="en-US" w:eastAsia="zh-CN"/>
              </w:rPr>
              <w:t>6</w:t>
            </w:r>
            <w:r>
              <w:rPr>
                <w:spacing w:val="-10"/>
                <w:sz w:val="24"/>
                <w:szCs w:val="24"/>
                <w:highlight w:val="none"/>
              </w:rPr>
              <w:t>.</w:t>
            </w:r>
          </w:p>
        </w:tc>
        <w:tc>
          <w:tcPr>
            <w:tcW w:w="2125" w:type="dxa"/>
            <w:vAlign w:val="top"/>
          </w:tcPr>
          <w:p w14:paraId="7A339D91">
            <w:pPr>
              <w:pStyle w:val="39"/>
              <w:spacing w:before="112" w:line="360" w:lineRule="auto"/>
              <w:ind w:left="709" w:right="340" w:hanging="358"/>
              <w:rPr>
                <w:sz w:val="24"/>
                <w:szCs w:val="24"/>
                <w:highlight w:val="none"/>
              </w:rPr>
            </w:pPr>
            <w:r>
              <w:rPr>
                <w:spacing w:val="-3"/>
                <w:sz w:val="24"/>
                <w:szCs w:val="24"/>
                <w:highlight w:val="none"/>
              </w:rPr>
              <w:t>备选磋商方案</w:t>
            </w:r>
            <w:r>
              <w:rPr>
                <w:spacing w:val="4"/>
                <w:sz w:val="24"/>
                <w:szCs w:val="24"/>
                <w:highlight w:val="none"/>
              </w:rPr>
              <w:t xml:space="preserve"> </w:t>
            </w:r>
            <w:r>
              <w:rPr>
                <w:spacing w:val="-4"/>
                <w:sz w:val="24"/>
                <w:szCs w:val="24"/>
                <w:highlight w:val="none"/>
              </w:rPr>
              <w:t>和报价</w:t>
            </w:r>
          </w:p>
        </w:tc>
        <w:tc>
          <w:tcPr>
            <w:tcW w:w="6386" w:type="dxa"/>
            <w:vAlign w:val="top"/>
          </w:tcPr>
          <w:p w14:paraId="2146F875">
            <w:pPr>
              <w:pStyle w:val="39"/>
              <w:spacing w:before="315" w:line="360" w:lineRule="auto"/>
              <w:ind w:left="119"/>
              <w:rPr>
                <w:sz w:val="24"/>
                <w:szCs w:val="24"/>
                <w:highlight w:val="none"/>
              </w:rPr>
            </w:pPr>
            <w:r>
              <w:rPr>
                <w:spacing w:val="-1"/>
                <w:sz w:val="24"/>
                <w:szCs w:val="24"/>
                <w:highlight w:val="none"/>
              </w:rPr>
              <w:t>不接受备选磋商方案和多个报价。</w:t>
            </w:r>
          </w:p>
        </w:tc>
      </w:tr>
      <w:tr w14:paraId="7F67C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67" w:hRule="atLeast"/>
        </w:trPr>
        <w:tc>
          <w:tcPr>
            <w:tcW w:w="803" w:type="dxa"/>
            <w:vAlign w:val="top"/>
          </w:tcPr>
          <w:p w14:paraId="2C6A2BA7">
            <w:pPr>
              <w:pStyle w:val="39"/>
              <w:spacing w:before="163" w:line="360" w:lineRule="auto"/>
              <w:ind w:left="413"/>
              <w:rPr>
                <w:sz w:val="24"/>
                <w:szCs w:val="24"/>
                <w:highlight w:val="none"/>
              </w:rPr>
            </w:pPr>
            <w:r>
              <w:rPr>
                <w:spacing w:val="-10"/>
                <w:sz w:val="24"/>
                <w:szCs w:val="24"/>
                <w:highlight w:val="none"/>
              </w:rPr>
              <w:t>1</w:t>
            </w:r>
            <w:r>
              <w:rPr>
                <w:rFonts w:hint="eastAsia"/>
                <w:spacing w:val="-10"/>
                <w:sz w:val="24"/>
                <w:szCs w:val="24"/>
                <w:highlight w:val="none"/>
                <w:lang w:val="en-US" w:eastAsia="zh-CN"/>
              </w:rPr>
              <w:t>7</w:t>
            </w:r>
            <w:r>
              <w:rPr>
                <w:spacing w:val="-10"/>
                <w:sz w:val="24"/>
                <w:szCs w:val="24"/>
                <w:highlight w:val="none"/>
              </w:rPr>
              <w:t>.</w:t>
            </w:r>
          </w:p>
        </w:tc>
        <w:tc>
          <w:tcPr>
            <w:tcW w:w="2125" w:type="dxa"/>
            <w:vAlign w:val="top"/>
          </w:tcPr>
          <w:p w14:paraId="6F7E34E9">
            <w:pPr>
              <w:pStyle w:val="39"/>
              <w:spacing w:before="167" w:line="360" w:lineRule="auto"/>
              <w:ind w:left="589"/>
              <w:rPr>
                <w:sz w:val="24"/>
                <w:szCs w:val="24"/>
                <w:highlight w:val="none"/>
              </w:rPr>
            </w:pPr>
            <w:r>
              <w:rPr>
                <w:spacing w:val="-3"/>
                <w:sz w:val="24"/>
                <w:szCs w:val="24"/>
                <w:highlight w:val="none"/>
              </w:rPr>
              <w:t>盖章签字</w:t>
            </w:r>
          </w:p>
        </w:tc>
        <w:tc>
          <w:tcPr>
            <w:tcW w:w="6386" w:type="dxa"/>
            <w:vAlign w:val="top"/>
          </w:tcPr>
          <w:p w14:paraId="68D5F3AE">
            <w:pPr>
              <w:pStyle w:val="39"/>
              <w:spacing w:before="54" w:line="360" w:lineRule="auto"/>
              <w:ind w:left="115"/>
              <w:rPr>
                <w:spacing w:val="-1"/>
                <w:sz w:val="24"/>
                <w:szCs w:val="24"/>
                <w:highlight w:val="none"/>
              </w:rPr>
            </w:pPr>
            <w:r>
              <w:rPr>
                <w:spacing w:val="-1"/>
                <w:sz w:val="24"/>
                <w:szCs w:val="24"/>
                <w:highlight w:val="none"/>
              </w:rPr>
              <w:t>供应商必须按照磋商文件的规定和要求盖章、签字</w:t>
            </w:r>
          </w:p>
          <w:p w14:paraId="5F7CD214">
            <w:pPr>
              <w:pStyle w:val="39"/>
              <w:spacing w:before="54" w:line="360" w:lineRule="auto"/>
              <w:ind w:left="115"/>
              <w:rPr>
                <w:spacing w:val="-1"/>
                <w:sz w:val="24"/>
                <w:szCs w:val="24"/>
                <w:highlight w:val="none"/>
              </w:rPr>
            </w:pPr>
            <w:r>
              <w:rPr>
                <w:b/>
                <w:bCs/>
                <w:spacing w:val="-6"/>
                <w:sz w:val="24"/>
                <w:szCs w:val="24"/>
                <w:highlight w:val="none"/>
              </w:rPr>
              <w:t>注：供应商按照电子标书专用工具编制的电子版文件签章要</w:t>
            </w:r>
            <w:r>
              <w:rPr>
                <w:b/>
                <w:bCs/>
                <w:spacing w:val="-3"/>
                <w:sz w:val="24"/>
                <w:szCs w:val="24"/>
                <w:highlight w:val="none"/>
              </w:rPr>
              <w:t>求同纸质版签章要求。</w:t>
            </w:r>
          </w:p>
        </w:tc>
      </w:tr>
      <w:tr w14:paraId="38A2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03" w:type="dxa"/>
            <w:vAlign w:val="top"/>
          </w:tcPr>
          <w:p w14:paraId="205367A0">
            <w:pPr>
              <w:spacing w:line="360" w:lineRule="auto"/>
              <w:rPr>
                <w:rFonts w:ascii="Arial"/>
                <w:sz w:val="24"/>
                <w:szCs w:val="24"/>
                <w:highlight w:val="none"/>
              </w:rPr>
            </w:pPr>
          </w:p>
          <w:p w14:paraId="15B0C47E">
            <w:pPr>
              <w:pStyle w:val="39"/>
              <w:spacing w:before="78" w:line="360" w:lineRule="auto"/>
              <w:ind w:left="398"/>
              <w:rPr>
                <w:sz w:val="24"/>
                <w:szCs w:val="24"/>
                <w:highlight w:val="none"/>
              </w:rPr>
            </w:pPr>
            <w:r>
              <w:rPr>
                <w:rFonts w:hint="eastAsia"/>
                <w:spacing w:val="-5"/>
                <w:sz w:val="24"/>
                <w:szCs w:val="24"/>
                <w:highlight w:val="none"/>
                <w:lang w:val="en-US" w:eastAsia="zh-CN"/>
              </w:rPr>
              <w:t>18</w:t>
            </w:r>
            <w:r>
              <w:rPr>
                <w:spacing w:val="-5"/>
                <w:sz w:val="24"/>
                <w:szCs w:val="24"/>
                <w:highlight w:val="none"/>
              </w:rPr>
              <w:t>.</w:t>
            </w:r>
          </w:p>
        </w:tc>
        <w:tc>
          <w:tcPr>
            <w:tcW w:w="2125" w:type="dxa"/>
            <w:vAlign w:val="top"/>
          </w:tcPr>
          <w:p w14:paraId="6E1E880F">
            <w:pPr>
              <w:spacing w:line="360" w:lineRule="auto"/>
              <w:rPr>
                <w:rFonts w:ascii="Arial"/>
                <w:sz w:val="24"/>
                <w:szCs w:val="24"/>
                <w:highlight w:val="none"/>
              </w:rPr>
            </w:pPr>
          </w:p>
          <w:p w14:paraId="0BB38619">
            <w:pPr>
              <w:pStyle w:val="39"/>
              <w:spacing w:before="78" w:line="360" w:lineRule="auto"/>
              <w:ind w:left="361"/>
              <w:rPr>
                <w:sz w:val="24"/>
                <w:szCs w:val="24"/>
                <w:highlight w:val="none"/>
              </w:rPr>
            </w:pPr>
            <w:r>
              <w:rPr>
                <w:spacing w:val="-4"/>
                <w:sz w:val="24"/>
                <w:szCs w:val="24"/>
                <w:highlight w:val="none"/>
              </w:rPr>
              <w:t>响应文件份数</w:t>
            </w:r>
          </w:p>
        </w:tc>
        <w:tc>
          <w:tcPr>
            <w:tcW w:w="6393" w:type="dxa"/>
            <w:gridSpan w:val="2"/>
            <w:vAlign w:val="top"/>
          </w:tcPr>
          <w:p w14:paraId="4A473127">
            <w:pPr>
              <w:pStyle w:val="39"/>
              <w:spacing w:before="117" w:line="360" w:lineRule="auto"/>
              <w:ind w:left="115" w:right="114" w:firstLine="28"/>
              <w:jc w:val="both"/>
              <w:rPr>
                <w:sz w:val="24"/>
                <w:szCs w:val="24"/>
                <w:highlight w:val="none"/>
              </w:rPr>
            </w:pPr>
            <w:r>
              <w:rPr>
                <w:sz w:val="24"/>
                <w:szCs w:val="24"/>
                <w:highlight w:val="none"/>
              </w:rPr>
              <w:t>电子文件（*.SXSTF）一份。（若供应商为中标单位，需在</w:t>
            </w:r>
            <w:r>
              <w:rPr>
                <w:spacing w:val="-3"/>
                <w:sz w:val="24"/>
                <w:szCs w:val="24"/>
                <w:highlight w:val="none"/>
              </w:rPr>
              <w:t>领取成交通知书时提供纸质版响应文件一正贰副</w:t>
            </w:r>
            <w:r>
              <w:rPr>
                <w:spacing w:val="-4"/>
                <w:sz w:val="24"/>
                <w:szCs w:val="24"/>
                <w:highlight w:val="none"/>
              </w:rPr>
              <w:t>，并按要求</w:t>
            </w:r>
            <w:r>
              <w:rPr>
                <w:sz w:val="24"/>
                <w:szCs w:val="24"/>
                <w:highlight w:val="none"/>
              </w:rPr>
              <w:t xml:space="preserve"> </w:t>
            </w:r>
            <w:r>
              <w:rPr>
                <w:spacing w:val="-1"/>
                <w:sz w:val="24"/>
                <w:szCs w:val="24"/>
                <w:highlight w:val="none"/>
              </w:rPr>
              <w:t>签字盖章，以备留存）</w:t>
            </w:r>
          </w:p>
        </w:tc>
      </w:tr>
      <w:tr w14:paraId="089A0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3" w:type="dxa"/>
            <w:vAlign w:val="top"/>
          </w:tcPr>
          <w:p w14:paraId="022BE93B">
            <w:pPr>
              <w:pStyle w:val="39"/>
              <w:spacing w:before="227" w:line="360" w:lineRule="auto"/>
              <w:ind w:left="398"/>
              <w:rPr>
                <w:sz w:val="24"/>
                <w:szCs w:val="24"/>
                <w:highlight w:val="none"/>
              </w:rPr>
            </w:pPr>
            <w:r>
              <w:rPr>
                <w:rFonts w:hint="eastAsia"/>
                <w:spacing w:val="-5"/>
                <w:sz w:val="24"/>
                <w:szCs w:val="24"/>
                <w:highlight w:val="none"/>
                <w:lang w:val="en-US" w:eastAsia="zh-CN"/>
              </w:rPr>
              <w:t>19</w:t>
            </w:r>
            <w:r>
              <w:rPr>
                <w:spacing w:val="-5"/>
                <w:sz w:val="24"/>
                <w:szCs w:val="24"/>
                <w:highlight w:val="none"/>
              </w:rPr>
              <w:t>.</w:t>
            </w:r>
          </w:p>
        </w:tc>
        <w:tc>
          <w:tcPr>
            <w:tcW w:w="2125" w:type="dxa"/>
            <w:vAlign w:val="top"/>
          </w:tcPr>
          <w:p w14:paraId="017B373A">
            <w:pPr>
              <w:pStyle w:val="39"/>
              <w:spacing w:before="228" w:line="360" w:lineRule="auto"/>
              <w:ind w:left="228"/>
              <w:rPr>
                <w:sz w:val="24"/>
                <w:szCs w:val="24"/>
                <w:highlight w:val="none"/>
              </w:rPr>
            </w:pPr>
            <w:r>
              <w:rPr>
                <w:spacing w:val="-2"/>
                <w:sz w:val="24"/>
                <w:szCs w:val="24"/>
                <w:highlight w:val="none"/>
              </w:rPr>
              <w:t>评标办法及标准</w:t>
            </w:r>
          </w:p>
        </w:tc>
        <w:tc>
          <w:tcPr>
            <w:tcW w:w="6393" w:type="dxa"/>
            <w:gridSpan w:val="2"/>
            <w:vAlign w:val="top"/>
          </w:tcPr>
          <w:p w14:paraId="66DB912A">
            <w:pPr>
              <w:pStyle w:val="39"/>
              <w:spacing w:before="227" w:line="360" w:lineRule="auto"/>
              <w:ind w:left="118"/>
              <w:rPr>
                <w:sz w:val="24"/>
                <w:szCs w:val="24"/>
                <w:highlight w:val="none"/>
              </w:rPr>
            </w:pPr>
            <w:r>
              <w:rPr>
                <w:spacing w:val="-1"/>
                <w:sz w:val="24"/>
                <w:szCs w:val="24"/>
                <w:highlight w:val="none"/>
              </w:rPr>
              <w:t>详见竞争性磋商文件第三章。</w:t>
            </w:r>
          </w:p>
        </w:tc>
      </w:tr>
      <w:tr w14:paraId="5070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03" w:type="dxa"/>
            <w:vAlign w:val="top"/>
          </w:tcPr>
          <w:p w14:paraId="6D34A8ED">
            <w:pPr>
              <w:spacing w:line="360" w:lineRule="auto"/>
              <w:rPr>
                <w:rFonts w:ascii="Arial"/>
                <w:sz w:val="24"/>
                <w:szCs w:val="24"/>
                <w:highlight w:val="none"/>
              </w:rPr>
            </w:pPr>
          </w:p>
          <w:p w14:paraId="78FB7192">
            <w:pPr>
              <w:pStyle w:val="39"/>
              <w:spacing w:before="78" w:line="360" w:lineRule="auto"/>
              <w:ind w:left="398"/>
              <w:rPr>
                <w:sz w:val="24"/>
                <w:szCs w:val="24"/>
                <w:highlight w:val="none"/>
              </w:rPr>
            </w:pPr>
            <w:r>
              <w:rPr>
                <w:spacing w:val="-5"/>
                <w:sz w:val="24"/>
                <w:szCs w:val="24"/>
                <w:highlight w:val="none"/>
              </w:rPr>
              <w:t>2</w:t>
            </w:r>
            <w:r>
              <w:rPr>
                <w:rFonts w:hint="eastAsia"/>
                <w:spacing w:val="-5"/>
                <w:sz w:val="24"/>
                <w:szCs w:val="24"/>
                <w:highlight w:val="none"/>
                <w:lang w:val="en-US" w:eastAsia="zh-CN"/>
              </w:rPr>
              <w:t>0</w:t>
            </w:r>
            <w:r>
              <w:rPr>
                <w:spacing w:val="-5"/>
                <w:sz w:val="24"/>
                <w:szCs w:val="24"/>
                <w:highlight w:val="none"/>
              </w:rPr>
              <w:t>.</w:t>
            </w:r>
          </w:p>
        </w:tc>
        <w:tc>
          <w:tcPr>
            <w:tcW w:w="2125" w:type="dxa"/>
            <w:vAlign w:val="top"/>
          </w:tcPr>
          <w:p w14:paraId="36DF317B">
            <w:pPr>
              <w:pStyle w:val="39"/>
              <w:spacing w:before="317" w:line="360" w:lineRule="auto"/>
              <w:ind w:left="348"/>
              <w:rPr>
                <w:sz w:val="24"/>
                <w:szCs w:val="24"/>
                <w:highlight w:val="none"/>
              </w:rPr>
            </w:pPr>
            <w:r>
              <w:rPr>
                <w:spacing w:val="-2"/>
                <w:sz w:val="24"/>
                <w:szCs w:val="24"/>
                <w:highlight w:val="none"/>
              </w:rPr>
              <w:t>磋商小组构成</w:t>
            </w:r>
          </w:p>
        </w:tc>
        <w:tc>
          <w:tcPr>
            <w:tcW w:w="6393" w:type="dxa"/>
            <w:gridSpan w:val="2"/>
            <w:vAlign w:val="top"/>
          </w:tcPr>
          <w:p w14:paraId="1841FCF1">
            <w:pPr>
              <w:pStyle w:val="39"/>
              <w:spacing w:before="118" w:line="360" w:lineRule="auto"/>
              <w:ind w:left="116" w:right="114" w:hanging="2"/>
              <w:rPr>
                <w:sz w:val="24"/>
                <w:szCs w:val="24"/>
                <w:highlight w:val="none"/>
              </w:rPr>
            </w:pPr>
            <w:r>
              <w:rPr>
                <w:spacing w:val="-4"/>
                <w:sz w:val="24"/>
                <w:szCs w:val="24"/>
                <w:highlight w:val="none"/>
              </w:rPr>
              <w:t>磋商小组由采购人代表及磋商小组组成，成员人数为</w:t>
            </w:r>
            <w:r>
              <w:rPr>
                <w:spacing w:val="-46"/>
                <w:sz w:val="24"/>
                <w:szCs w:val="24"/>
                <w:highlight w:val="none"/>
              </w:rPr>
              <w:t xml:space="preserve"> </w:t>
            </w:r>
            <w:r>
              <w:rPr>
                <w:spacing w:val="-5"/>
                <w:sz w:val="24"/>
                <w:szCs w:val="24"/>
                <w:highlight w:val="none"/>
              </w:rPr>
              <w:t>3</w:t>
            </w:r>
            <w:r>
              <w:rPr>
                <w:spacing w:val="-49"/>
                <w:sz w:val="24"/>
                <w:szCs w:val="24"/>
                <w:highlight w:val="none"/>
              </w:rPr>
              <w:t xml:space="preserve"> </w:t>
            </w:r>
            <w:r>
              <w:rPr>
                <w:spacing w:val="-5"/>
                <w:sz w:val="24"/>
                <w:szCs w:val="24"/>
                <w:highlight w:val="none"/>
              </w:rPr>
              <w:t>人以</w:t>
            </w:r>
            <w:r>
              <w:rPr>
                <w:sz w:val="24"/>
                <w:szCs w:val="24"/>
                <w:highlight w:val="none"/>
              </w:rPr>
              <w:t xml:space="preserve"> </w:t>
            </w:r>
            <w:r>
              <w:rPr>
                <w:spacing w:val="-3"/>
                <w:sz w:val="24"/>
                <w:szCs w:val="24"/>
                <w:highlight w:val="none"/>
              </w:rPr>
              <w:t>上单数（至少</w:t>
            </w:r>
            <w:r>
              <w:rPr>
                <w:spacing w:val="-45"/>
                <w:sz w:val="24"/>
                <w:szCs w:val="24"/>
                <w:highlight w:val="none"/>
              </w:rPr>
              <w:t xml:space="preserve"> </w:t>
            </w:r>
            <w:r>
              <w:rPr>
                <w:spacing w:val="-3"/>
                <w:sz w:val="24"/>
                <w:szCs w:val="24"/>
                <w:highlight w:val="none"/>
              </w:rPr>
              <w:t>3</w:t>
            </w:r>
            <w:r>
              <w:rPr>
                <w:spacing w:val="-49"/>
                <w:sz w:val="24"/>
                <w:szCs w:val="24"/>
                <w:highlight w:val="none"/>
              </w:rPr>
              <w:t xml:space="preserve"> </w:t>
            </w:r>
            <w:r>
              <w:rPr>
                <w:spacing w:val="-3"/>
                <w:sz w:val="24"/>
                <w:szCs w:val="24"/>
                <w:highlight w:val="none"/>
              </w:rPr>
              <w:t>人</w:t>
            </w:r>
            <w:r>
              <w:rPr>
                <w:spacing w:val="9"/>
                <w:sz w:val="24"/>
                <w:szCs w:val="24"/>
                <w:highlight w:val="none"/>
              </w:rPr>
              <w:t>），</w:t>
            </w:r>
            <w:r>
              <w:rPr>
                <w:spacing w:val="-3"/>
                <w:sz w:val="24"/>
                <w:szCs w:val="24"/>
                <w:highlight w:val="none"/>
              </w:rPr>
              <w:t>从采购专家库随机抽取。</w:t>
            </w:r>
          </w:p>
        </w:tc>
      </w:tr>
      <w:tr w14:paraId="028E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03" w:type="dxa"/>
            <w:vAlign w:val="top"/>
          </w:tcPr>
          <w:p w14:paraId="574EBD68">
            <w:pPr>
              <w:spacing w:line="360" w:lineRule="auto"/>
              <w:rPr>
                <w:rFonts w:ascii="Arial"/>
                <w:sz w:val="24"/>
                <w:szCs w:val="24"/>
                <w:highlight w:val="none"/>
              </w:rPr>
            </w:pPr>
          </w:p>
          <w:p w14:paraId="2A9837F6">
            <w:pPr>
              <w:spacing w:line="360" w:lineRule="auto"/>
              <w:rPr>
                <w:rFonts w:ascii="Arial"/>
                <w:sz w:val="24"/>
                <w:szCs w:val="24"/>
                <w:highlight w:val="none"/>
              </w:rPr>
            </w:pPr>
          </w:p>
          <w:p w14:paraId="324E87D4">
            <w:pPr>
              <w:spacing w:line="360" w:lineRule="auto"/>
              <w:rPr>
                <w:rFonts w:ascii="Arial"/>
                <w:sz w:val="24"/>
                <w:szCs w:val="24"/>
                <w:highlight w:val="none"/>
              </w:rPr>
            </w:pPr>
          </w:p>
          <w:p w14:paraId="7BD0945F">
            <w:pPr>
              <w:spacing w:line="360" w:lineRule="auto"/>
              <w:rPr>
                <w:rFonts w:ascii="Arial"/>
                <w:sz w:val="24"/>
                <w:szCs w:val="24"/>
                <w:highlight w:val="none"/>
              </w:rPr>
            </w:pPr>
          </w:p>
          <w:p w14:paraId="76898B0C">
            <w:pPr>
              <w:spacing w:line="360" w:lineRule="auto"/>
              <w:rPr>
                <w:rFonts w:ascii="Arial"/>
                <w:sz w:val="24"/>
                <w:szCs w:val="24"/>
                <w:highlight w:val="none"/>
              </w:rPr>
            </w:pPr>
          </w:p>
          <w:p w14:paraId="7C2D66DC">
            <w:pPr>
              <w:pStyle w:val="39"/>
              <w:spacing w:before="78" w:line="360" w:lineRule="auto"/>
              <w:ind w:left="398"/>
              <w:rPr>
                <w:sz w:val="24"/>
                <w:szCs w:val="24"/>
                <w:highlight w:val="none"/>
              </w:rPr>
            </w:pPr>
            <w:r>
              <w:rPr>
                <w:spacing w:val="-5"/>
                <w:sz w:val="24"/>
                <w:szCs w:val="24"/>
                <w:highlight w:val="none"/>
              </w:rPr>
              <w:t>2</w:t>
            </w:r>
            <w:r>
              <w:rPr>
                <w:rFonts w:hint="eastAsia"/>
                <w:spacing w:val="-5"/>
                <w:sz w:val="24"/>
                <w:szCs w:val="24"/>
                <w:highlight w:val="none"/>
                <w:lang w:val="en-US" w:eastAsia="zh-CN"/>
              </w:rPr>
              <w:t>1</w:t>
            </w:r>
            <w:r>
              <w:rPr>
                <w:spacing w:val="-5"/>
                <w:sz w:val="24"/>
                <w:szCs w:val="24"/>
                <w:highlight w:val="none"/>
              </w:rPr>
              <w:t>.</w:t>
            </w:r>
          </w:p>
        </w:tc>
        <w:tc>
          <w:tcPr>
            <w:tcW w:w="2125" w:type="dxa"/>
            <w:vAlign w:val="top"/>
          </w:tcPr>
          <w:p w14:paraId="5A46E669">
            <w:pPr>
              <w:spacing w:line="360" w:lineRule="auto"/>
              <w:rPr>
                <w:rFonts w:ascii="Arial"/>
                <w:sz w:val="24"/>
                <w:szCs w:val="24"/>
                <w:highlight w:val="none"/>
              </w:rPr>
            </w:pPr>
          </w:p>
          <w:p w14:paraId="1B284C5A">
            <w:pPr>
              <w:spacing w:line="360" w:lineRule="auto"/>
              <w:rPr>
                <w:rFonts w:ascii="Arial"/>
                <w:sz w:val="24"/>
                <w:szCs w:val="24"/>
                <w:highlight w:val="none"/>
              </w:rPr>
            </w:pPr>
          </w:p>
          <w:p w14:paraId="7A2F11F3">
            <w:pPr>
              <w:spacing w:line="360" w:lineRule="auto"/>
              <w:rPr>
                <w:rFonts w:ascii="Arial"/>
                <w:sz w:val="24"/>
                <w:szCs w:val="24"/>
                <w:highlight w:val="none"/>
              </w:rPr>
            </w:pPr>
          </w:p>
          <w:p w14:paraId="36DC3118">
            <w:pPr>
              <w:spacing w:line="360" w:lineRule="auto"/>
              <w:rPr>
                <w:rFonts w:ascii="Arial"/>
                <w:sz w:val="24"/>
                <w:szCs w:val="24"/>
                <w:highlight w:val="none"/>
              </w:rPr>
            </w:pPr>
          </w:p>
          <w:p w14:paraId="336252F6">
            <w:pPr>
              <w:pStyle w:val="39"/>
              <w:spacing w:before="78" w:line="360" w:lineRule="auto"/>
              <w:ind w:left="949" w:right="220" w:hanging="692"/>
              <w:rPr>
                <w:sz w:val="24"/>
                <w:szCs w:val="24"/>
                <w:highlight w:val="none"/>
              </w:rPr>
            </w:pPr>
            <w:r>
              <w:rPr>
                <w:spacing w:val="-6"/>
                <w:sz w:val="24"/>
                <w:szCs w:val="24"/>
                <w:highlight w:val="none"/>
              </w:rPr>
              <w:t>电子投标文件编</w:t>
            </w:r>
            <w:r>
              <w:rPr>
                <w:spacing w:val="3"/>
                <w:sz w:val="24"/>
                <w:szCs w:val="24"/>
                <w:highlight w:val="none"/>
              </w:rPr>
              <w:t xml:space="preserve"> </w:t>
            </w:r>
            <w:r>
              <w:rPr>
                <w:sz w:val="24"/>
                <w:szCs w:val="24"/>
                <w:highlight w:val="none"/>
              </w:rPr>
              <w:t>制</w:t>
            </w:r>
          </w:p>
        </w:tc>
        <w:tc>
          <w:tcPr>
            <w:tcW w:w="6393" w:type="dxa"/>
            <w:gridSpan w:val="2"/>
            <w:vAlign w:val="top"/>
          </w:tcPr>
          <w:p w14:paraId="6AAE4A20">
            <w:pPr>
              <w:pStyle w:val="39"/>
              <w:spacing w:before="117" w:line="360" w:lineRule="auto"/>
              <w:ind w:left="117" w:right="114" w:hanging="1"/>
              <w:rPr>
                <w:sz w:val="24"/>
                <w:szCs w:val="24"/>
                <w:highlight w:val="none"/>
              </w:rPr>
            </w:pPr>
            <w:r>
              <w:rPr>
                <w:spacing w:val="6"/>
                <w:sz w:val="24"/>
                <w:szCs w:val="24"/>
                <w:highlight w:val="none"/>
              </w:rPr>
              <w:t xml:space="preserve">本项目的竞争性磋商响应文件必须使用电子标书专用工具 </w:t>
            </w:r>
            <w:r>
              <w:rPr>
                <w:spacing w:val="-15"/>
                <w:sz w:val="24"/>
                <w:szCs w:val="24"/>
                <w:highlight w:val="none"/>
              </w:rPr>
              <w:t>软</w:t>
            </w:r>
            <w:r>
              <w:rPr>
                <w:spacing w:val="-40"/>
                <w:sz w:val="24"/>
                <w:szCs w:val="24"/>
                <w:highlight w:val="none"/>
              </w:rPr>
              <w:t xml:space="preserve"> </w:t>
            </w:r>
            <w:r>
              <w:rPr>
                <w:spacing w:val="-15"/>
                <w:sz w:val="24"/>
                <w:szCs w:val="24"/>
                <w:highlight w:val="none"/>
              </w:rPr>
              <w:t>件</w:t>
            </w:r>
            <w:r>
              <w:rPr>
                <w:spacing w:val="-36"/>
                <w:sz w:val="24"/>
                <w:szCs w:val="24"/>
                <w:highlight w:val="none"/>
              </w:rPr>
              <w:t xml:space="preserve"> </w:t>
            </w:r>
            <w:r>
              <w:rPr>
                <w:spacing w:val="-15"/>
                <w:sz w:val="24"/>
                <w:szCs w:val="24"/>
                <w:highlight w:val="none"/>
              </w:rPr>
              <w:t>编</w:t>
            </w:r>
            <w:r>
              <w:rPr>
                <w:spacing w:val="-38"/>
                <w:sz w:val="24"/>
                <w:szCs w:val="24"/>
                <w:highlight w:val="none"/>
              </w:rPr>
              <w:t xml:space="preserve"> </w:t>
            </w:r>
            <w:r>
              <w:rPr>
                <w:spacing w:val="-15"/>
                <w:sz w:val="24"/>
                <w:szCs w:val="24"/>
                <w:highlight w:val="none"/>
              </w:rPr>
              <w:t>制 ，</w:t>
            </w:r>
            <w:r>
              <w:rPr>
                <w:spacing w:val="-33"/>
                <w:sz w:val="24"/>
                <w:szCs w:val="24"/>
                <w:highlight w:val="none"/>
              </w:rPr>
              <w:t xml:space="preserve"> </w:t>
            </w:r>
            <w:r>
              <w:rPr>
                <w:spacing w:val="-15"/>
                <w:sz w:val="24"/>
                <w:szCs w:val="24"/>
                <w:highlight w:val="none"/>
              </w:rPr>
              <w:t>并</w:t>
            </w:r>
            <w:r>
              <w:rPr>
                <w:spacing w:val="-39"/>
                <w:sz w:val="24"/>
                <w:szCs w:val="24"/>
                <w:highlight w:val="none"/>
              </w:rPr>
              <w:t xml:space="preserve"> </w:t>
            </w:r>
            <w:r>
              <w:rPr>
                <w:spacing w:val="-15"/>
                <w:sz w:val="24"/>
                <w:szCs w:val="24"/>
                <w:highlight w:val="none"/>
              </w:rPr>
              <w:t>通</w:t>
            </w:r>
            <w:r>
              <w:rPr>
                <w:spacing w:val="-37"/>
                <w:sz w:val="24"/>
                <w:szCs w:val="24"/>
                <w:highlight w:val="none"/>
              </w:rPr>
              <w:t xml:space="preserve"> </w:t>
            </w:r>
            <w:r>
              <w:rPr>
                <w:spacing w:val="-15"/>
                <w:sz w:val="24"/>
                <w:szCs w:val="24"/>
                <w:highlight w:val="none"/>
              </w:rPr>
              <w:t>过</w:t>
            </w:r>
            <w:r>
              <w:rPr>
                <w:spacing w:val="-48"/>
                <w:sz w:val="24"/>
                <w:szCs w:val="24"/>
                <w:highlight w:val="none"/>
              </w:rPr>
              <w:t xml:space="preserve"> </w:t>
            </w:r>
            <w:r>
              <w:rPr>
                <w:spacing w:val="-15"/>
                <w:sz w:val="24"/>
                <w:szCs w:val="24"/>
                <w:highlight w:val="none"/>
              </w:rPr>
              <w:t>“ 陕</w:t>
            </w:r>
            <w:r>
              <w:rPr>
                <w:spacing w:val="-33"/>
                <w:sz w:val="24"/>
                <w:szCs w:val="24"/>
                <w:highlight w:val="none"/>
              </w:rPr>
              <w:t xml:space="preserve"> </w:t>
            </w:r>
            <w:r>
              <w:rPr>
                <w:spacing w:val="-15"/>
                <w:sz w:val="24"/>
                <w:szCs w:val="24"/>
                <w:highlight w:val="none"/>
              </w:rPr>
              <w:t>西</w:t>
            </w:r>
            <w:r>
              <w:rPr>
                <w:spacing w:val="-35"/>
                <w:sz w:val="24"/>
                <w:szCs w:val="24"/>
                <w:highlight w:val="none"/>
              </w:rPr>
              <w:t xml:space="preserve"> </w:t>
            </w:r>
            <w:r>
              <w:rPr>
                <w:spacing w:val="-15"/>
                <w:sz w:val="24"/>
                <w:szCs w:val="24"/>
                <w:highlight w:val="none"/>
              </w:rPr>
              <w:t>省</w:t>
            </w:r>
            <w:r>
              <w:rPr>
                <w:spacing w:val="-31"/>
                <w:sz w:val="24"/>
                <w:szCs w:val="24"/>
                <w:highlight w:val="none"/>
              </w:rPr>
              <w:t xml:space="preserve"> </w:t>
            </w:r>
            <w:r>
              <w:rPr>
                <w:spacing w:val="-15"/>
                <w:sz w:val="24"/>
                <w:szCs w:val="24"/>
                <w:highlight w:val="none"/>
              </w:rPr>
              <w:t>公</w:t>
            </w:r>
            <w:r>
              <w:rPr>
                <w:spacing w:val="-40"/>
                <w:sz w:val="24"/>
                <w:szCs w:val="24"/>
                <w:highlight w:val="none"/>
              </w:rPr>
              <w:t xml:space="preserve"> </w:t>
            </w:r>
            <w:r>
              <w:rPr>
                <w:spacing w:val="-15"/>
                <w:sz w:val="24"/>
                <w:szCs w:val="24"/>
                <w:highlight w:val="none"/>
              </w:rPr>
              <w:t>共</w:t>
            </w:r>
            <w:r>
              <w:rPr>
                <w:spacing w:val="-28"/>
                <w:sz w:val="24"/>
                <w:szCs w:val="24"/>
                <w:highlight w:val="none"/>
              </w:rPr>
              <w:t xml:space="preserve"> </w:t>
            </w:r>
            <w:r>
              <w:rPr>
                <w:spacing w:val="-15"/>
                <w:sz w:val="24"/>
                <w:szCs w:val="24"/>
                <w:highlight w:val="none"/>
              </w:rPr>
              <w:t>资</w:t>
            </w:r>
            <w:r>
              <w:rPr>
                <w:spacing w:val="-40"/>
                <w:sz w:val="24"/>
                <w:szCs w:val="24"/>
                <w:highlight w:val="none"/>
              </w:rPr>
              <w:t xml:space="preserve"> </w:t>
            </w:r>
            <w:r>
              <w:rPr>
                <w:spacing w:val="-15"/>
                <w:sz w:val="24"/>
                <w:szCs w:val="24"/>
                <w:highlight w:val="none"/>
              </w:rPr>
              <w:t>源</w:t>
            </w:r>
            <w:r>
              <w:rPr>
                <w:spacing w:val="-33"/>
                <w:sz w:val="24"/>
                <w:szCs w:val="24"/>
                <w:highlight w:val="none"/>
              </w:rPr>
              <w:t xml:space="preserve"> </w:t>
            </w:r>
            <w:r>
              <w:rPr>
                <w:spacing w:val="-15"/>
                <w:sz w:val="24"/>
                <w:szCs w:val="24"/>
                <w:highlight w:val="none"/>
              </w:rPr>
              <w:t>交</w:t>
            </w:r>
            <w:r>
              <w:rPr>
                <w:spacing w:val="-23"/>
                <w:sz w:val="24"/>
                <w:szCs w:val="24"/>
                <w:highlight w:val="none"/>
              </w:rPr>
              <w:t xml:space="preserve"> </w:t>
            </w:r>
            <w:r>
              <w:rPr>
                <w:spacing w:val="-15"/>
                <w:sz w:val="24"/>
                <w:szCs w:val="24"/>
                <w:highlight w:val="none"/>
              </w:rPr>
              <w:t>易</w:t>
            </w:r>
            <w:r>
              <w:rPr>
                <w:spacing w:val="-40"/>
                <w:sz w:val="24"/>
                <w:szCs w:val="24"/>
                <w:highlight w:val="none"/>
              </w:rPr>
              <w:t xml:space="preserve"> </w:t>
            </w:r>
            <w:r>
              <w:rPr>
                <w:spacing w:val="-16"/>
                <w:sz w:val="24"/>
                <w:szCs w:val="24"/>
                <w:highlight w:val="none"/>
              </w:rPr>
              <w:t>平</w:t>
            </w:r>
            <w:r>
              <w:rPr>
                <w:spacing w:val="-20"/>
                <w:sz w:val="24"/>
                <w:szCs w:val="24"/>
                <w:highlight w:val="none"/>
              </w:rPr>
              <w:t xml:space="preserve"> </w:t>
            </w:r>
            <w:r>
              <w:rPr>
                <w:spacing w:val="-16"/>
                <w:sz w:val="24"/>
                <w:szCs w:val="24"/>
                <w:highlight w:val="none"/>
              </w:rPr>
              <w:t>台</w:t>
            </w:r>
          </w:p>
          <w:p w14:paraId="3A671C36">
            <w:pPr>
              <w:pStyle w:val="39"/>
              <w:spacing w:before="6" w:line="360" w:lineRule="auto"/>
              <w:ind w:left="117" w:right="114" w:firstLine="9"/>
              <w:jc w:val="both"/>
              <w:rPr>
                <w:sz w:val="24"/>
                <w:szCs w:val="24"/>
                <w:highlight w:val="none"/>
              </w:rPr>
            </w:pPr>
            <w:r>
              <w:rPr>
                <w:sz w:val="24"/>
                <w:szCs w:val="24"/>
                <w:highlight w:val="none"/>
              </w:rPr>
              <w:t>（</w:t>
            </w:r>
            <w:r>
              <w:rPr>
                <w:sz w:val="24"/>
                <w:szCs w:val="24"/>
                <w:highlight w:val="none"/>
              </w:rPr>
              <w:fldChar w:fldCharType="begin"/>
            </w:r>
            <w:r>
              <w:rPr>
                <w:sz w:val="24"/>
                <w:szCs w:val="24"/>
                <w:highlight w:val="none"/>
              </w:rPr>
              <w:instrText xml:space="preserve"> HYPERLINK "http://www.sxggzyjy.cn/" </w:instrText>
            </w:r>
            <w:r>
              <w:rPr>
                <w:sz w:val="24"/>
                <w:szCs w:val="24"/>
                <w:highlight w:val="none"/>
              </w:rPr>
              <w:fldChar w:fldCharType="separate"/>
            </w:r>
            <w:r>
              <w:rPr>
                <w:sz w:val="24"/>
                <w:szCs w:val="24"/>
                <w:highlight w:val="none"/>
              </w:rPr>
              <w:t>http://www.sxggzyjy.cn</w:t>
            </w:r>
            <w:r>
              <w:rPr>
                <w:spacing w:val="-1"/>
                <w:sz w:val="24"/>
                <w:szCs w:val="24"/>
                <w:highlight w:val="none"/>
              </w:rPr>
              <w:t>/</w:t>
            </w:r>
            <w:r>
              <w:rPr>
                <w:spacing w:val="-1"/>
                <w:sz w:val="24"/>
                <w:szCs w:val="24"/>
                <w:highlight w:val="none"/>
              </w:rPr>
              <w:fldChar w:fldCharType="end"/>
            </w:r>
            <w:r>
              <w:rPr>
                <w:spacing w:val="-1"/>
                <w:sz w:val="24"/>
                <w:szCs w:val="24"/>
                <w:highlight w:val="none"/>
              </w:rPr>
              <w:t>）</w:t>
            </w:r>
            <w:r>
              <w:rPr>
                <w:spacing w:val="-80"/>
                <w:sz w:val="24"/>
                <w:szCs w:val="24"/>
                <w:highlight w:val="none"/>
              </w:rPr>
              <w:t xml:space="preserve"> </w:t>
            </w:r>
            <w:r>
              <w:rPr>
                <w:spacing w:val="-1"/>
                <w:sz w:val="24"/>
                <w:szCs w:val="24"/>
                <w:highlight w:val="none"/>
              </w:rPr>
              <w:t>”完成磋商响应过程，竞争</w:t>
            </w:r>
            <w:r>
              <w:rPr>
                <w:sz w:val="24"/>
                <w:szCs w:val="24"/>
                <w:highlight w:val="none"/>
              </w:rPr>
              <w:t xml:space="preserve"> </w:t>
            </w:r>
            <w:r>
              <w:rPr>
                <w:spacing w:val="-3"/>
                <w:sz w:val="24"/>
                <w:szCs w:val="24"/>
                <w:highlight w:val="none"/>
              </w:rPr>
              <w:t>性磋商响应文件的编制和递交，应按照竞争</w:t>
            </w:r>
            <w:r>
              <w:rPr>
                <w:spacing w:val="-4"/>
                <w:sz w:val="24"/>
                <w:szCs w:val="24"/>
                <w:highlight w:val="none"/>
              </w:rPr>
              <w:t>性磋商文件的规</w:t>
            </w:r>
            <w:r>
              <w:rPr>
                <w:sz w:val="24"/>
                <w:szCs w:val="24"/>
                <w:highlight w:val="none"/>
              </w:rPr>
              <w:t xml:space="preserve"> </w:t>
            </w:r>
            <w:r>
              <w:rPr>
                <w:spacing w:val="-3"/>
                <w:sz w:val="24"/>
                <w:szCs w:val="24"/>
                <w:highlight w:val="none"/>
              </w:rPr>
              <w:t>定进行。如未按照竞争性磋商文件要求编制</w:t>
            </w:r>
            <w:r>
              <w:rPr>
                <w:spacing w:val="-4"/>
                <w:sz w:val="24"/>
                <w:szCs w:val="24"/>
                <w:highlight w:val="none"/>
              </w:rPr>
              <w:t>、递交电子响应</w:t>
            </w:r>
            <w:r>
              <w:rPr>
                <w:sz w:val="24"/>
                <w:szCs w:val="24"/>
                <w:highlight w:val="none"/>
              </w:rPr>
              <w:t xml:space="preserve"> </w:t>
            </w:r>
            <w:r>
              <w:rPr>
                <w:spacing w:val="-3"/>
                <w:sz w:val="24"/>
                <w:szCs w:val="24"/>
                <w:highlight w:val="none"/>
              </w:rPr>
              <w:t>文件及纸质文件，将可能导致磋商无效，其</w:t>
            </w:r>
            <w:r>
              <w:rPr>
                <w:spacing w:val="-4"/>
                <w:sz w:val="24"/>
                <w:szCs w:val="24"/>
                <w:highlight w:val="none"/>
              </w:rPr>
              <w:t>后果由供应商自</w:t>
            </w:r>
            <w:r>
              <w:rPr>
                <w:sz w:val="24"/>
                <w:szCs w:val="24"/>
                <w:highlight w:val="none"/>
              </w:rPr>
              <w:t xml:space="preserve"> </w:t>
            </w:r>
            <w:r>
              <w:rPr>
                <w:spacing w:val="-6"/>
                <w:sz w:val="24"/>
                <w:szCs w:val="24"/>
                <w:highlight w:val="none"/>
              </w:rPr>
              <w:t>负。</w:t>
            </w:r>
          </w:p>
        </w:tc>
      </w:tr>
      <w:tr w14:paraId="7DCD3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803" w:type="dxa"/>
            <w:vAlign w:val="top"/>
          </w:tcPr>
          <w:p w14:paraId="21CDE104">
            <w:pPr>
              <w:spacing w:line="360" w:lineRule="auto"/>
              <w:rPr>
                <w:rFonts w:ascii="Arial"/>
                <w:sz w:val="24"/>
                <w:szCs w:val="24"/>
                <w:highlight w:val="none"/>
              </w:rPr>
            </w:pPr>
          </w:p>
          <w:p w14:paraId="1A194711">
            <w:pPr>
              <w:spacing w:line="360" w:lineRule="auto"/>
              <w:rPr>
                <w:rFonts w:ascii="Arial"/>
                <w:sz w:val="24"/>
                <w:szCs w:val="24"/>
                <w:highlight w:val="none"/>
              </w:rPr>
            </w:pPr>
          </w:p>
          <w:p w14:paraId="168B1683">
            <w:pPr>
              <w:spacing w:line="360" w:lineRule="auto"/>
              <w:rPr>
                <w:rFonts w:ascii="Arial"/>
                <w:sz w:val="24"/>
                <w:szCs w:val="24"/>
                <w:highlight w:val="none"/>
              </w:rPr>
            </w:pPr>
          </w:p>
          <w:p w14:paraId="20C041A4">
            <w:pPr>
              <w:spacing w:line="360" w:lineRule="auto"/>
              <w:rPr>
                <w:rFonts w:ascii="Arial"/>
                <w:sz w:val="24"/>
                <w:szCs w:val="24"/>
                <w:highlight w:val="none"/>
              </w:rPr>
            </w:pPr>
          </w:p>
          <w:p w14:paraId="7C16492D">
            <w:pPr>
              <w:spacing w:line="360" w:lineRule="auto"/>
              <w:rPr>
                <w:rFonts w:ascii="Arial"/>
                <w:sz w:val="24"/>
                <w:szCs w:val="24"/>
                <w:highlight w:val="none"/>
              </w:rPr>
            </w:pPr>
          </w:p>
          <w:p w14:paraId="7396DB1E">
            <w:pPr>
              <w:spacing w:line="360" w:lineRule="auto"/>
              <w:rPr>
                <w:rFonts w:ascii="Arial"/>
                <w:sz w:val="24"/>
                <w:szCs w:val="24"/>
                <w:highlight w:val="none"/>
              </w:rPr>
            </w:pPr>
          </w:p>
          <w:p w14:paraId="708452F4">
            <w:pPr>
              <w:spacing w:line="360" w:lineRule="auto"/>
              <w:rPr>
                <w:rFonts w:ascii="Arial"/>
                <w:sz w:val="24"/>
                <w:szCs w:val="24"/>
                <w:highlight w:val="none"/>
              </w:rPr>
            </w:pPr>
          </w:p>
          <w:p w14:paraId="2AF1B114">
            <w:pPr>
              <w:spacing w:line="360" w:lineRule="auto"/>
              <w:rPr>
                <w:rFonts w:ascii="Arial"/>
                <w:sz w:val="24"/>
                <w:szCs w:val="24"/>
                <w:highlight w:val="none"/>
              </w:rPr>
            </w:pPr>
          </w:p>
          <w:p w14:paraId="1A3CADCC">
            <w:pPr>
              <w:spacing w:line="360" w:lineRule="auto"/>
              <w:rPr>
                <w:rFonts w:ascii="Arial"/>
                <w:sz w:val="24"/>
                <w:szCs w:val="24"/>
                <w:highlight w:val="none"/>
              </w:rPr>
            </w:pPr>
          </w:p>
          <w:p w14:paraId="6B831346">
            <w:pPr>
              <w:spacing w:line="360" w:lineRule="auto"/>
              <w:rPr>
                <w:rFonts w:ascii="Arial"/>
                <w:sz w:val="24"/>
                <w:szCs w:val="24"/>
                <w:highlight w:val="none"/>
              </w:rPr>
            </w:pPr>
          </w:p>
          <w:p w14:paraId="4184F754">
            <w:pPr>
              <w:spacing w:line="360" w:lineRule="auto"/>
              <w:rPr>
                <w:rFonts w:ascii="Arial"/>
                <w:sz w:val="24"/>
                <w:szCs w:val="24"/>
                <w:highlight w:val="none"/>
              </w:rPr>
            </w:pPr>
          </w:p>
          <w:p w14:paraId="7C6ADE25">
            <w:pPr>
              <w:spacing w:line="360" w:lineRule="auto"/>
              <w:rPr>
                <w:rFonts w:ascii="Arial"/>
                <w:sz w:val="24"/>
                <w:szCs w:val="24"/>
                <w:highlight w:val="none"/>
              </w:rPr>
            </w:pPr>
          </w:p>
          <w:p w14:paraId="20633700">
            <w:pPr>
              <w:spacing w:line="360" w:lineRule="auto"/>
              <w:rPr>
                <w:rFonts w:ascii="Arial"/>
                <w:sz w:val="24"/>
                <w:szCs w:val="24"/>
                <w:highlight w:val="none"/>
              </w:rPr>
            </w:pPr>
          </w:p>
          <w:p w14:paraId="1BE77D9A">
            <w:pPr>
              <w:spacing w:line="360" w:lineRule="auto"/>
              <w:rPr>
                <w:rFonts w:ascii="Arial"/>
                <w:sz w:val="24"/>
                <w:szCs w:val="24"/>
                <w:highlight w:val="none"/>
              </w:rPr>
            </w:pPr>
          </w:p>
          <w:p w14:paraId="7AB8A100">
            <w:pPr>
              <w:spacing w:line="360" w:lineRule="auto"/>
              <w:rPr>
                <w:rFonts w:ascii="Arial"/>
                <w:sz w:val="24"/>
                <w:szCs w:val="24"/>
                <w:highlight w:val="none"/>
              </w:rPr>
            </w:pPr>
          </w:p>
          <w:p w14:paraId="697F15C6">
            <w:pPr>
              <w:pStyle w:val="39"/>
              <w:spacing w:before="78" w:line="360" w:lineRule="auto"/>
              <w:ind w:left="398"/>
              <w:rPr>
                <w:sz w:val="24"/>
                <w:szCs w:val="24"/>
                <w:highlight w:val="none"/>
              </w:rPr>
            </w:pPr>
            <w:r>
              <w:rPr>
                <w:spacing w:val="-5"/>
                <w:sz w:val="24"/>
                <w:szCs w:val="24"/>
                <w:highlight w:val="none"/>
              </w:rPr>
              <w:t>2</w:t>
            </w:r>
            <w:r>
              <w:rPr>
                <w:rFonts w:hint="eastAsia"/>
                <w:spacing w:val="-5"/>
                <w:sz w:val="24"/>
                <w:szCs w:val="24"/>
                <w:highlight w:val="none"/>
                <w:lang w:val="en-US" w:eastAsia="zh-CN"/>
              </w:rPr>
              <w:t>2</w:t>
            </w:r>
            <w:r>
              <w:rPr>
                <w:spacing w:val="-5"/>
                <w:sz w:val="24"/>
                <w:szCs w:val="24"/>
                <w:highlight w:val="none"/>
              </w:rPr>
              <w:t>.</w:t>
            </w:r>
          </w:p>
        </w:tc>
        <w:tc>
          <w:tcPr>
            <w:tcW w:w="2125" w:type="dxa"/>
            <w:vAlign w:val="top"/>
          </w:tcPr>
          <w:p w14:paraId="7962616F">
            <w:pPr>
              <w:spacing w:line="360" w:lineRule="auto"/>
              <w:rPr>
                <w:rFonts w:ascii="Arial"/>
                <w:sz w:val="24"/>
                <w:szCs w:val="24"/>
                <w:highlight w:val="none"/>
              </w:rPr>
            </w:pPr>
          </w:p>
          <w:p w14:paraId="3ED08B83">
            <w:pPr>
              <w:spacing w:line="360" w:lineRule="auto"/>
              <w:rPr>
                <w:rFonts w:ascii="Arial"/>
                <w:sz w:val="24"/>
                <w:szCs w:val="24"/>
                <w:highlight w:val="none"/>
              </w:rPr>
            </w:pPr>
          </w:p>
          <w:p w14:paraId="679086B5">
            <w:pPr>
              <w:spacing w:line="360" w:lineRule="auto"/>
              <w:rPr>
                <w:rFonts w:ascii="Arial"/>
                <w:sz w:val="24"/>
                <w:szCs w:val="24"/>
                <w:highlight w:val="none"/>
              </w:rPr>
            </w:pPr>
          </w:p>
          <w:p w14:paraId="6017C0AC">
            <w:pPr>
              <w:spacing w:line="360" w:lineRule="auto"/>
              <w:rPr>
                <w:rFonts w:ascii="Arial"/>
                <w:sz w:val="24"/>
                <w:szCs w:val="24"/>
                <w:highlight w:val="none"/>
              </w:rPr>
            </w:pPr>
          </w:p>
          <w:p w14:paraId="4A505102">
            <w:pPr>
              <w:spacing w:line="360" w:lineRule="auto"/>
              <w:rPr>
                <w:rFonts w:ascii="Arial"/>
                <w:sz w:val="24"/>
                <w:szCs w:val="24"/>
                <w:highlight w:val="none"/>
              </w:rPr>
            </w:pPr>
          </w:p>
          <w:p w14:paraId="3168C89D">
            <w:pPr>
              <w:spacing w:line="360" w:lineRule="auto"/>
              <w:rPr>
                <w:rFonts w:ascii="Arial"/>
                <w:sz w:val="24"/>
                <w:szCs w:val="24"/>
                <w:highlight w:val="none"/>
              </w:rPr>
            </w:pPr>
          </w:p>
          <w:p w14:paraId="60FCA497">
            <w:pPr>
              <w:spacing w:line="360" w:lineRule="auto"/>
              <w:rPr>
                <w:rFonts w:ascii="Arial"/>
                <w:sz w:val="24"/>
                <w:szCs w:val="24"/>
                <w:highlight w:val="none"/>
              </w:rPr>
            </w:pPr>
          </w:p>
          <w:p w14:paraId="7B4C29A9">
            <w:pPr>
              <w:spacing w:line="360" w:lineRule="auto"/>
              <w:rPr>
                <w:rFonts w:ascii="Arial"/>
                <w:sz w:val="24"/>
                <w:szCs w:val="24"/>
                <w:highlight w:val="none"/>
              </w:rPr>
            </w:pPr>
          </w:p>
          <w:p w14:paraId="7561632D">
            <w:pPr>
              <w:spacing w:line="360" w:lineRule="auto"/>
              <w:rPr>
                <w:rFonts w:ascii="Arial"/>
                <w:sz w:val="24"/>
                <w:szCs w:val="24"/>
                <w:highlight w:val="none"/>
              </w:rPr>
            </w:pPr>
          </w:p>
          <w:p w14:paraId="18719AFC">
            <w:pPr>
              <w:spacing w:line="360" w:lineRule="auto"/>
              <w:rPr>
                <w:rFonts w:ascii="Arial"/>
                <w:sz w:val="24"/>
                <w:szCs w:val="24"/>
                <w:highlight w:val="none"/>
              </w:rPr>
            </w:pPr>
          </w:p>
          <w:p w14:paraId="7790EB62">
            <w:pPr>
              <w:spacing w:line="360" w:lineRule="auto"/>
              <w:rPr>
                <w:rFonts w:ascii="Arial"/>
                <w:sz w:val="24"/>
                <w:szCs w:val="24"/>
                <w:highlight w:val="none"/>
              </w:rPr>
            </w:pPr>
          </w:p>
          <w:p w14:paraId="6321C13B">
            <w:pPr>
              <w:spacing w:line="360" w:lineRule="auto"/>
              <w:rPr>
                <w:rFonts w:ascii="Arial"/>
                <w:sz w:val="24"/>
                <w:szCs w:val="24"/>
                <w:highlight w:val="none"/>
              </w:rPr>
            </w:pPr>
          </w:p>
          <w:p w14:paraId="5F8000C6">
            <w:pPr>
              <w:spacing w:line="360" w:lineRule="auto"/>
              <w:rPr>
                <w:rFonts w:ascii="Arial"/>
                <w:sz w:val="24"/>
                <w:szCs w:val="24"/>
                <w:highlight w:val="none"/>
              </w:rPr>
            </w:pPr>
          </w:p>
          <w:p w14:paraId="19DC2369">
            <w:pPr>
              <w:spacing w:line="360" w:lineRule="auto"/>
              <w:rPr>
                <w:rFonts w:ascii="Arial"/>
                <w:sz w:val="24"/>
                <w:szCs w:val="24"/>
                <w:highlight w:val="none"/>
              </w:rPr>
            </w:pPr>
          </w:p>
          <w:p w14:paraId="6ED1C61F">
            <w:pPr>
              <w:pStyle w:val="39"/>
              <w:spacing w:before="78" w:line="360" w:lineRule="auto"/>
              <w:ind w:left="952" w:right="220" w:hanging="695"/>
              <w:rPr>
                <w:sz w:val="24"/>
                <w:szCs w:val="24"/>
                <w:highlight w:val="none"/>
              </w:rPr>
            </w:pPr>
            <w:r>
              <w:rPr>
                <w:spacing w:val="-6"/>
                <w:sz w:val="24"/>
                <w:szCs w:val="24"/>
                <w:highlight w:val="none"/>
              </w:rPr>
              <w:t>电子投标注意事</w:t>
            </w:r>
            <w:r>
              <w:rPr>
                <w:spacing w:val="3"/>
                <w:sz w:val="24"/>
                <w:szCs w:val="24"/>
                <w:highlight w:val="none"/>
              </w:rPr>
              <w:t xml:space="preserve"> </w:t>
            </w:r>
            <w:r>
              <w:rPr>
                <w:sz w:val="24"/>
                <w:szCs w:val="24"/>
                <w:highlight w:val="none"/>
              </w:rPr>
              <w:t>项</w:t>
            </w:r>
          </w:p>
        </w:tc>
        <w:tc>
          <w:tcPr>
            <w:tcW w:w="6393" w:type="dxa"/>
            <w:gridSpan w:val="2"/>
            <w:vAlign w:val="top"/>
          </w:tcPr>
          <w:p w14:paraId="547C610D">
            <w:pPr>
              <w:pStyle w:val="39"/>
              <w:spacing w:before="134" w:line="360" w:lineRule="auto"/>
              <w:ind w:left="114" w:firstLine="18"/>
              <w:rPr>
                <w:sz w:val="24"/>
                <w:szCs w:val="24"/>
                <w:highlight w:val="none"/>
              </w:rPr>
            </w:pPr>
            <w:r>
              <w:rPr>
                <w:spacing w:val="-4"/>
                <w:sz w:val="24"/>
                <w:szCs w:val="24"/>
                <w:highlight w:val="none"/>
              </w:rPr>
              <w:t>1、供应商应及时下载竞争性磋商文件、澄清和修改文件以</w:t>
            </w:r>
            <w:r>
              <w:rPr>
                <w:spacing w:val="2"/>
                <w:sz w:val="24"/>
                <w:szCs w:val="24"/>
                <w:highlight w:val="none"/>
              </w:rPr>
              <w:t xml:space="preserve">   </w:t>
            </w:r>
            <w:r>
              <w:rPr>
                <w:spacing w:val="-8"/>
                <w:sz w:val="24"/>
                <w:szCs w:val="24"/>
                <w:highlight w:val="none"/>
              </w:rPr>
              <w:t>及答疑纪要等相关文件，在响应文件递交截止时间前必须登</w:t>
            </w:r>
            <w:r>
              <w:rPr>
                <w:spacing w:val="3"/>
                <w:sz w:val="24"/>
                <w:szCs w:val="24"/>
                <w:highlight w:val="none"/>
              </w:rPr>
              <w:t xml:space="preserve">   </w:t>
            </w:r>
            <w:r>
              <w:rPr>
                <w:spacing w:val="-8"/>
                <w:sz w:val="24"/>
                <w:szCs w:val="24"/>
                <w:highlight w:val="none"/>
              </w:rPr>
              <w:t>录“陕西省公共资源交易平台（</w:t>
            </w:r>
            <w:r>
              <w:rPr>
                <w:sz w:val="24"/>
                <w:szCs w:val="24"/>
                <w:highlight w:val="none"/>
              </w:rPr>
              <w:fldChar w:fldCharType="begin"/>
            </w:r>
            <w:r>
              <w:rPr>
                <w:sz w:val="24"/>
                <w:szCs w:val="24"/>
                <w:highlight w:val="none"/>
              </w:rPr>
              <w:instrText xml:space="preserve"> HYPERLINK "http://www.sxggzyjy.cn/" </w:instrText>
            </w:r>
            <w:r>
              <w:rPr>
                <w:sz w:val="24"/>
                <w:szCs w:val="24"/>
                <w:highlight w:val="none"/>
              </w:rPr>
              <w:fldChar w:fldCharType="separate"/>
            </w:r>
            <w:r>
              <w:rPr>
                <w:spacing w:val="-8"/>
                <w:sz w:val="24"/>
                <w:szCs w:val="24"/>
                <w:highlight w:val="none"/>
              </w:rPr>
              <w:t>http://ww</w:t>
            </w:r>
            <w:r>
              <w:rPr>
                <w:spacing w:val="-9"/>
                <w:sz w:val="24"/>
                <w:szCs w:val="24"/>
                <w:highlight w:val="none"/>
              </w:rPr>
              <w:t>w.sxggzyjy.cn/</w:t>
            </w:r>
            <w:r>
              <w:rPr>
                <w:spacing w:val="-9"/>
                <w:sz w:val="24"/>
                <w:szCs w:val="24"/>
                <w:highlight w:val="none"/>
              </w:rPr>
              <w:fldChar w:fldCharType="end"/>
            </w:r>
            <w:r>
              <w:rPr>
                <w:spacing w:val="-9"/>
                <w:sz w:val="24"/>
                <w:szCs w:val="24"/>
                <w:highlight w:val="none"/>
              </w:rPr>
              <w:t>）”</w:t>
            </w:r>
            <w:r>
              <w:rPr>
                <w:sz w:val="24"/>
                <w:szCs w:val="24"/>
                <w:highlight w:val="none"/>
              </w:rPr>
              <w:t xml:space="preserve"> </w:t>
            </w:r>
            <w:r>
              <w:rPr>
                <w:spacing w:val="-5"/>
                <w:sz w:val="24"/>
                <w:szCs w:val="24"/>
                <w:highlight w:val="none"/>
              </w:rPr>
              <w:t>上传竞争性磋商响应文件电子文件；</w:t>
            </w:r>
          </w:p>
          <w:p w14:paraId="25622747">
            <w:pPr>
              <w:pStyle w:val="39"/>
              <w:spacing w:before="134" w:line="360" w:lineRule="auto"/>
              <w:ind w:left="116" w:right="114" w:firstLine="1"/>
              <w:rPr>
                <w:sz w:val="24"/>
                <w:szCs w:val="24"/>
                <w:highlight w:val="none"/>
              </w:rPr>
            </w:pPr>
            <w:r>
              <w:rPr>
                <w:spacing w:val="1"/>
                <w:sz w:val="24"/>
                <w:szCs w:val="24"/>
                <w:highlight w:val="none"/>
              </w:rPr>
              <w:t>2、供应商应随时留意可能发布的变更公告，当澄清或修改</w:t>
            </w:r>
            <w:r>
              <w:rPr>
                <w:spacing w:val="8"/>
                <w:sz w:val="24"/>
                <w:szCs w:val="24"/>
                <w:highlight w:val="none"/>
              </w:rPr>
              <w:t xml:space="preserve"> </w:t>
            </w:r>
            <w:r>
              <w:rPr>
                <w:spacing w:val="-3"/>
                <w:sz w:val="24"/>
                <w:szCs w:val="24"/>
                <w:highlight w:val="none"/>
              </w:rPr>
              <w:t>的内容影响响应文件编制时，将在交易平台上</w:t>
            </w:r>
            <w:r>
              <w:rPr>
                <w:spacing w:val="-4"/>
                <w:sz w:val="24"/>
                <w:szCs w:val="24"/>
                <w:highlight w:val="none"/>
              </w:rPr>
              <w:t>同步发布答疑</w:t>
            </w:r>
            <w:r>
              <w:rPr>
                <w:sz w:val="24"/>
                <w:szCs w:val="24"/>
                <w:highlight w:val="none"/>
              </w:rPr>
              <w:t xml:space="preserve"> </w:t>
            </w:r>
            <w:r>
              <w:rPr>
                <w:spacing w:val="-5"/>
                <w:sz w:val="24"/>
                <w:szCs w:val="24"/>
                <w:highlight w:val="none"/>
              </w:rPr>
              <w:t>文件，此时供应商应从“项目流程〉答疑文件下载</w:t>
            </w:r>
            <w:r>
              <w:rPr>
                <w:spacing w:val="-74"/>
                <w:sz w:val="24"/>
                <w:szCs w:val="24"/>
                <w:highlight w:val="none"/>
              </w:rPr>
              <w:t xml:space="preserve"> </w:t>
            </w:r>
            <w:r>
              <w:rPr>
                <w:spacing w:val="-5"/>
                <w:sz w:val="24"/>
                <w:szCs w:val="24"/>
                <w:highlight w:val="none"/>
              </w:rPr>
              <w:t>”下载最</w:t>
            </w:r>
            <w:r>
              <w:rPr>
                <w:sz w:val="24"/>
                <w:szCs w:val="24"/>
                <w:highlight w:val="none"/>
              </w:rPr>
              <w:t xml:space="preserve"> </w:t>
            </w:r>
            <w:r>
              <w:rPr>
                <w:spacing w:val="-2"/>
                <w:sz w:val="24"/>
                <w:szCs w:val="24"/>
                <w:highlight w:val="none"/>
              </w:rPr>
              <w:t>新发布的答疑文件（*.SXSCF</w:t>
            </w:r>
            <w:r>
              <w:rPr>
                <w:spacing w:val="-50"/>
                <w:sz w:val="24"/>
                <w:szCs w:val="24"/>
                <w:highlight w:val="none"/>
              </w:rPr>
              <w:t xml:space="preserve"> </w:t>
            </w:r>
            <w:r>
              <w:rPr>
                <w:spacing w:val="-2"/>
                <w:sz w:val="24"/>
                <w:szCs w:val="24"/>
                <w:highlight w:val="none"/>
              </w:rPr>
              <w:t>格式</w:t>
            </w:r>
            <w:r>
              <w:rPr>
                <w:spacing w:val="10"/>
                <w:sz w:val="24"/>
                <w:szCs w:val="24"/>
                <w:highlight w:val="none"/>
              </w:rPr>
              <w:t>），</w:t>
            </w:r>
            <w:r>
              <w:rPr>
                <w:spacing w:val="-2"/>
                <w:sz w:val="24"/>
                <w:szCs w:val="24"/>
                <w:highlight w:val="none"/>
              </w:rPr>
              <w:t>并使用该文件重新编</w:t>
            </w:r>
            <w:r>
              <w:rPr>
                <w:sz w:val="24"/>
                <w:szCs w:val="24"/>
                <w:highlight w:val="none"/>
              </w:rPr>
              <w:t xml:space="preserve"> </w:t>
            </w:r>
            <w:r>
              <w:rPr>
                <w:spacing w:val="-2"/>
                <w:sz w:val="24"/>
                <w:szCs w:val="24"/>
                <w:highlight w:val="none"/>
              </w:rPr>
              <w:t>制电子响应文件（*.SXSTF</w:t>
            </w:r>
            <w:r>
              <w:rPr>
                <w:spacing w:val="-50"/>
                <w:sz w:val="24"/>
                <w:szCs w:val="24"/>
                <w:highlight w:val="none"/>
              </w:rPr>
              <w:t xml:space="preserve"> </w:t>
            </w:r>
            <w:r>
              <w:rPr>
                <w:spacing w:val="-2"/>
                <w:sz w:val="24"/>
                <w:szCs w:val="24"/>
                <w:highlight w:val="none"/>
              </w:rPr>
              <w:t>格式</w:t>
            </w:r>
            <w:r>
              <w:rPr>
                <w:spacing w:val="10"/>
                <w:sz w:val="24"/>
                <w:szCs w:val="24"/>
                <w:highlight w:val="none"/>
              </w:rPr>
              <w:t>），</w:t>
            </w:r>
            <w:r>
              <w:rPr>
                <w:spacing w:val="-2"/>
                <w:sz w:val="24"/>
                <w:szCs w:val="24"/>
                <w:highlight w:val="none"/>
              </w:rPr>
              <w:t>使用旧版电子磋商文件</w:t>
            </w:r>
            <w:r>
              <w:rPr>
                <w:sz w:val="24"/>
                <w:szCs w:val="24"/>
                <w:highlight w:val="none"/>
              </w:rPr>
              <w:t xml:space="preserve"> </w:t>
            </w:r>
            <w:r>
              <w:rPr>
                <w:spacing w:val="-1"/>
                <w:sz w:val="24"/>
                <w:szCs w:val="24"/>
                <w:highlight w:val="none"/>
              </w:rPr>
              <w:t>或旧版答疑文件制作的电子响应文件，系统将拒绝接收。</w:t>
            </w:r>
          </w:p>
          <w:p w14:paraId="7B826778">
            <w:pPr>
              <w:pStyle w:val="39"/>
              <w:spacing w:before="135" w:line="360" w:lineRule="auto"/>
              <w:ind w:left="114" w:right="26" w:firstLine="12"/>
              <w:jc w:val="left"/>
              <w:rPr>
                <w:sz w:val="24"/>
                <w:szCs w:val="24"/>
                <w:highlight w:val="none"/>
              </w:rPr>
            </w:pPr>
            <w:r>
              <w:rPr>
                <w:spacing w:val="1"/>
                <w:sz w:val="24"/>
                <w:szCs w:val="24"/>
                <w:highlight w:val="none"/>
              </w:rPr>
              <w:t>3、供应商应及时下载磋商文件等相关文件，在截止时间之</w:t>
            </w:r>
            <w:r>
              <w:rPr>
                <w:spacing w:val="6"/>
                <w:sz w:val="24"/>
                <w:szCs w:val="24"/>
                <w:highlight w:val="none"/>
              </w:rPr>
              <w:t xml:space="preserve"> </w:t>
            </w:r>
            <w:r>
              <w:rPr>
                <w:spacing w:val="-10"/>
                <w:sz w:val="24"/>
                <w:szCs w:val="24"/>
                <w:highlight w:val="none"/>
              </w:rPr>
              <w:t>前必须上传电子响应文件；本项目采用“不</w:t>
            </w:r>
            <w:r>
              <w:rPr>
                <w:spacing w:val="-11"/>
                <w:sz w:val="24"/>
                <w:szCs w:val="24"/>
                <w:highlight w:val="none"/>
              </w:rPr>
              <w:t>见面开标</w:t>
            </w:r>
            <w:r>
              <w:rPr>
                <w:spacing w:val="-88"/>
                <w:sz w:val="24"/>
                <w:szCs w:val="24"/>
                <w:highlight w:val="none"/>
              </w:rPr>
              <w:t xml:space="preserve"> </w:t>
            </w:r>
            <w:r>
              <w:rPr>
                <w:spacing w:val="-11"/>
                <w:sz w:val="24"/>
                <w:szCs w:val="24"/>
                <w:highlight w:val="none"/>
              </w:rPr>
              <w:t>”方式，</w:t>
            </w:r>
            <w:r>
              <w:rPr>
                <w:sz w:val="24"/>
                <w:szCs w:val="24"/>
                <w:highlight w:val="none"/>
              </w:rPr>
              <w:t xml:space="preserve"> 供应商无须到达开标现场，即可在网上直接参</w:t>
            </w:r>
            <w:r>
              <w:rPr>
                <w:spacing w:val="-1"/>
                <w:sz w:val="24"/>
                <w:szCs w:val="24"/>
                <w:highlight w:val="none"/>
              </w:rPr>
              <w:t>与开标活动，</w:t>
            </w:r>
            <w:r>
              <w:rPr>
                <w:sz w:val="24"/>
                <w:szCs w:val="24"/>
                <w:highlight w:val="none"/>
              </w:rPr>
              <w:t xml:space="preserve"> </w:t>
            </w:r>
            <w:r>
              <w:rPr>
                <w:spacing w:val="-3"/>
                <w:sz w:val="24"/>
                <w:szCs w:val="24"/>
                <w:highlight w:val="none"/>
              </w:rPr>
              <w:t>不见面开标大厅登录方式为：全国公共资源交易平</w:t>
            </w:r>
            <w:r>
              <w:rPr>
                <w:spacing w:val="-4"/>
                <w:sz w:val="24"/>
                <w:szCs w:val="24"/>
                <w:highlight w:val="none"/>
              </w:rPr>
              <w:t>台（陕西</w:t>
            </w:r>
            <w:r>
              <w:rPr>
                <w:sz w:val="24"/>
                <w:szCs w:val="24"/>
                <w:highlight w:val="none"/>
              </w:rPr>
              <w:t xml:space="preserve"> </w:t>
            </w:r>
            <w:r>
              <w:rPr>
                <w:spacing w:val="-2"/>
                <w:sz w:val="24"/>
                <w:szCs w:val="24"/>
                <w:highlight w:val="none"/>
              </w:rPr>
              <w:t>省</w:t>
            </w:r>
            <w:r>
              <w:rPr>
                <w:spacing w:val="-28"/>
                <w:sz w:val="24"/>
                <w:szCs w:val="24"/>
                <w:highlight w:val="none"/>
              </w:rPr>
              <w:t xml:space="preserve"> </w:t>
            </w:r>
            <w:r>
              <w:rPr>
                <w:spacing w:val="-2"/>
                <w:sz w:val="24"/>
                <w:szCs w:val="24"/>
                <w:highlight w:val="none"/>
              </w:rPr>
              <w:t>·宝鸡 市）→不见面开标系统（新）相关操作流程</w:t>
            </w:r>
            <w:r>
              <w:rPr>
                <w:spacing w:val="-3"/>
                <w:sz w:val="24"/>
                <w:szCs w:val="24"/>
                <w:highlight w:val="none"/>
              </w:rPr>
              <w:t>详见</w:t>
            </w:r>
            <w:r>
              <w:rPr>
                <w:sz w:val="24"/>
                <w:szCs w:val="24"/>
                <w:highlight w:val="none"/>
              </w:rPr>
              <w:t xml:space="preserve"> </w:t>
            </w:r>
            <w:r>
              <w:rPr>
                <w:spacing w:val="-24"/>
                <w:sz w:val="24"/>
                <w:szCs w:val="24"/>
                <w:highlight w:val="none"/>
              </w:rPr>
              <w:t>全国公共资源交易平台（宝鸡市）网站〖首页 ·〉服务指南</w:t>
            </w:r>
            <w:r>
              <w:rPr>
                <w:spacing w:val="-28"/>
                <w:sz w:val="24"/>
                <w:szCs w:val="24"/>
                <w:highlight w:val="none"/>
              </w:rPr>
              <w:t xml:space="preserve"> </w:t>
            </w:r>
            <w:r>
              <w:rPr>
                <w:spacing w:val="-25"/>
                <w:sz w:val="24"/>
                <w:szCs w:val="24"/>
                <w:highlight w:val="none"/>
              </w:rPr>
              <w:t>·〉</w:t>
            </w:r>
            <w:r>
              <w:rPr>
                <w:sz w:val="24"/>
                <w:szCs w:val="24"/>
                <w:highlight w:val="none"/>
              </w:rPr>
              <w:t xml:space="preserve"> </w:t>
            </w:r>
            <w:r>
              <w:rPr>
                <w:spacing w:val="-3"/>
                <w:sz w:val="24"/>
                <w:szCs w:val="24"/>
                <w:highlight w:val="none"/>
              </w:rPr>
              <w:t>下载专区〗中的《宝鸡公共资源交易不见面开标大</w:t>
            </w:r>
            <w:r>
              <w:rPr>
                <w:spacing w:val="-4"/>
                <w:sz w:val="24"/>
                <w:szCs w:val="24"/>
                <w:highlight w:val="none"/>
              </w:rPr>
              <w:t>厅投标人</w:t>
            </w:r>
            <w:r>
              <w:rPr>
                <w:sz w:val="24"/>
                <w:szCs w:val="24"/>
                <w:highlight w:val="none"/>
              </w:rPr>
              <w:t xml:space="preserve"> </w:t>
            </w:r>
            <w:r>
              <w:rPr>
                <w:spacing w:val="-10"/>
                <w:sz w:val="24"/>
                <w:szCs w:val="24"/>
                <w:highlight w:val="none"/>
              </w:rPr>
              <w:t>操</w:t>
            </w:r>
            <w:r>
              <w:rPr>
                <w:spacing w:val="2"/>
                <w:sz w:val="24"/>
                <w:szCs w:val="24"/>
                <w:highlight w:val="none"/>
              </w:rPr>
              <w:t xml:space="preserve">        </w:t>
            </w:r>
            <w:r>
              <w:rPr>
                <w:spacing w:val="-10"/>
                <w:sz w:val="24"/>
                <w:szCs w:val="24"/>
                <w:highlight w:val="none"/>
              </w:rPr>
              <w:t>作</w:t>
            </w:r>
            <w:r>
              <w:rPr>
                <w:spacing w:val="2"/>
                <w:sz w:val="24"/>
                <w:szCs w:val="24"/>
                <w:highlight w:val="none"/>
              </w:rPr>
              <w:t xml:space="preserve">        </w:t>
            </w:r>
            <w:r>
              <w:rPr>
                <w:spacing w:val="-10"/>
                <w:sz w:val="24"/>
                <w:szCs w:val="24"/>
                <w:highlight w:val="none"/>
              </w:rPr>
              <w:t>手</w:t>
            </w:r>
            <w:r>
              <w:rPr>
                <w:spacing w:val="3"/>
                <w:sz w:val="24"/>
                <w:szCs w:val="24"/>
                <w:highlight w:val="none"/>
              </w:rPr>
              <w:t xml:space="preserve">        </w:t>
            </w:r>
            <w:r>
              <w:rPr>
                <w:spacing w:val="-10"/>
                <w:sz w:val="24"/>
                <w:szCs w:val="24"/>
                <w:highlight w:val="none"/>
              </w:rPr>
              <w:t>册</w:t>
            </w:r>
            <w:r>
              <w:rPr>
                <w:spacing w:val="4"/>
                <w:sz w:val="24"/>
                <w:szCs w:val="24"/>
                <w:highlight w:val="none"/>
              </w:rPr>
              <w:t xml:space="preserve">        </w:t>
            </w:r>
            <w:r>
              <w:rPr>
                <w:spacing w:val="-10"/>
                <w:sz w:val="24"/>
                <w:szCs w:val="24"/>
                <w:highlight w:val="none"/>
              </w:rPr>
              <w:t>》</w:t>
            </w:r>
            <w:r>
              <w:rPr>
                <w:spacing w:val="2"/>
                <w:sz w:val="24"/>
                <w:szCs w:val="24"/>
                <w:highlight w:val="none"/>
              </w:rPr>
              <w:t xml:space="preserve"> </w:t>
            </w:r>
            <w:r>
              <w:rPr>
                <w:spacing w:val="-10"/>
                <w:sz w:val="24"/>
                <w:szCs w:val="24"/>
                <w:highlight w:val="none"/>
              </w:rPr>
              <w:t>-</w:t>
            </w:r>
            <w:r>
              <w:rPr>
                <w:sz w:val="24"/>
                <w:szCs w:val="24"/>
                <w:highlight w:val="none"/>
              </w:rPr>
              <w:t>（</w:t>
            </w:r>
            <w:r>
              <w:rPr>
                <w:spacing w:val="-65"/>
                <w:sz w:val="24"/>
                <w:szCs w:val="24"/>
                <w:highlight w:val="none"/>
              </w:rPr>
              <w:t xml:space="preserve"> </w:t>
            </w:r>
            <w:r>
              <w:rPr>
                <w:sz w:val="24"/>
                <w:szCs w:val="24"/>
                <w:highlight w:val="none"/>
              </w:rPr>
              <w:fldChar w:fldCharType="begin"/>
            </w:r>
            <w:r>
              <w:rPr>
                <w:sz w:val="24"/>
                <w:szCs w:val="24"/>
                <w:highlight w:val="none"/>
              </w:rPr>
              <w:instrText xml:space="preserve"> HYPERLINK "http://ggzy.baoji.gov.cn/fwzn/004003/20231123/d2048104-5dd1-4825-97f0-186cb8450ee5.html" </w:instrText>
            </w:r>
            <w:r>
              <w:rPr>
                <w:sz w:val="24"/>
                <w:szCs w:val="24"/>
                <w:highlight w:val="none"/>
              </w:rPr>
              <w:fldChar w:fldCharType="separate"/>
            </w:r>
            <w:r>
              <w:rPr>
                <w:sz w:val="24"/>
                <w:szCs w:val="24"/>
                <w:highlight w:val="none"/>
              </w:rPr>
              <w:t>http://ggzy.baoji.go</w:t>
            </w:r>
            <w:r>
              <w:rPr>
                <w:spacing w:val="-1"/>
                <w:sz w:val="24"/>
                <w:szCs w:val="24"/>
                <w:highlight w:val="none"/>
              </w:rPr>
              <w:t>v.cn/fwzn/004003/20231123/d20</w:t>
            </w:r>
            <w:r>
              <w:rPr>
                <w:spacing w:val="-1"/>
                <w:sz w:val="24"/>
                <w:szCs w:val="24"/>
                <w:highlight w:val="none"/>
              </w:rPr>
              <w:fldChar w:fldCharType="end"/>
            </w:r>
            <w:r>
              <w:rPr>
                <w:sz w:val="24"/>
                <w:szCs w:val="24"/>
                <w:highlight w:val="none"/>
              </w:rPr>
              <w:t xml:space="preserve"> </w:t>
            </w:r>
            <w:r>
              <w:rPr>
                <w:sz w:val="24"/>
                <w:szCs w:val="24"/>
                <w:highlight w:val="none"/>
              </w:rPr>
              <w:fldChar w:fldCharType="begin"/>
            </w:r>
            <w:r>
              <w:rPr>
                <w:sz w:val="24"/>
                <w:szCs w:val="24"/>
                <w:highlight w:val="none"/>
              </w:rPr>
              <w:instrText xml:space="preserve"> HYPERLINK "http://ggzy.baoji.gov.cn/fwzn/004003/20231123/d2048104-5dd1-4825-97f0-186cb8450ee5.html" </w:instrText>
            </w:r>
            <w:r>
              <w:rPr>
                <w:sz w:val="24"/>
                <w:szCs w:val="24"/>
                <w:highlight w:val="none"/>
              </w:rPr>
              <w:fldChar w:fldCharType="separate"/>
            </w:r>
            <w:r>
              <w:rPr>
                <w:sz w:val="24"/>
                <w:szCs w:val="24"/>
                <w:highlight w:val="none"/>
              </w:rPr>
              <w:t>48</w:t>
            </w:r>
            <w:r>
              <w:rPr>
                <w:spacing w:val="32"/>
                <w:sz w:val="24"/>
                <w:szCs w:val="24"/>
                <w:highlight w:val="none"/>
              </w:rPr>
              <w:t xml:space="preserve"> </w:t>
            </w:r>
            <w:r>
              <w:rPr>
                <w:sz w:val="24"/>
                <w:szCs w:val="24"/>
                <w:highlight w:val="none"/>
              </w:rPr>
              <w:t>104-5dd1-4825-97f0-186cb8450ee5.html</w:t>
            </w:r>
            <w:r>
              <w:rPr>
                <w:sz w:val="24"/>
                <w:szCs w:val="24"/>
                <w:highlight w:val="none"/>
              </w:rPr>
              <w:fldChar w:fldCharType="end"/>
            </w:r>
            <w:r>
              <w:rPr>
                <w:sz w:val="24"/>
                <w:szCs w:val="24"/>
                <w:highlight w:val="none"/>
              </w:rPr>
              <w:t>。</w:t>
            </w:r>
            <w:r>
              <w:rPr>
                <w:spacing w:val="3"/>
                <w:sz w:val="24"/>
                <w:szCs w:val="24"/>
                <w:highlight w:val="none"/>
              </w:rPr>
              <w:t>），</w:t>
            </w:r>
            <w:r>
              <w:rPr>
                <w:sz w:val="24"/>
                <w:szCs w:val="24"/>
                <w:highlight w:val="none"/>
              </w:rPr>
              <w:t xml:space="preserve">开标时 </w:t>
            </w:r>
            <w:r>
              <w:rPr>
                <w:spacing w:val="-3"/>
                <w:sz w:val="24"/>
                <w:szCs w:val="24"/>
                <w:highlight w:val="none"/>
              </w:rPr>
              <w:t>需使用企业加密锁（CA</w:t>
            </w:r>
            <w:r>
              <w:rPr>
                <w:spacing w:val="-51"/>
                <w:sz w:val="24"/>
                <w:szCs w:val="24"/>
                <w:highlight w:val="none"/>
              </w:rPr>
              <w:t xml:space="preserve"> </w:t>
            </w:r>
            <w:r>
              <w:rPr>
                <w:spacing w:val="-3"/>
                <w:sz w:val="24"/>
                <w:szCs w:val="24"/>
                <w:highlight w:val="none"/>
              </w:rPr>
              <w:t>锁</w:t>
            </w:r>
            <w:r>
              <w:rPr>
                <w:spacing w:val="2"/>
                <w:sz w:val="24"/>
                <w:szCs w:val="24"/>
                <w:highlight w:val="none"/>
              </w:rPr>
              <w:t>），</w:t>
            </w:r>
            <w:r>
              <w:rPr>
                <w:spacing w:val="-3"/>
                <w:sz w:val="24"/>
                <w:szCs w:val="24"/>
                <w:highlight w:val="none"/>
              </w:rPr>
              <w:t>在规定时间内进行在线签到、</w:t>
            </w:r>
            <w:r>
              <w:rPr>
                <w:sz w:val="24"/>
                <w:szCs w:val="24"/>
                <w:highlight w:val="none"/>
              </w:rPr>
              <w:t xml:space="preserve"> 解密、磋商或二次报价等，因供应商原因造成其无法签</w:t>
            </w:r>
            <w:r>
              <w:rPr>
                <w:spacing w:val="-1"/>
                <w:sz w:val="24"/>
                <w:szCs w:val="24"/>
                <w:highlight w:val="none"/>
              </w:rPr>
              <w:t>到、</w:t>
            </w:r>
            <w:r>
              <w:rPr>
                <w:sz w:val="24"/>
                <w:szCs w:val="24"/>
                <w:highlight w:val="none"/>
              </w:rPr>
              <w:t xml:space="preserve"> </w:t>
            </w:r>
            <w:r>
              <w:rPr>
                <w:spacing w:val="-1"/>
                <w:sz w:val="24"/>
                <w:szCs w:val="24"/>
                <w:highlight w:val="none"/>
              </w:rPr>
              <w:t>解密、磋商或二次报价等，按无效投标处理。</w:t>
            </w:r>
          </w:p>
          <w:p w14:paraId="59EFFCA5">
            <w:pPr>
              <w:pStyle w:val="39"/>
              <w:spacing w:line="360" w:lineRule="auto"/>
              <w:ind w:left="114" w:right="45"/>
              <w:jc w:val="both"/>
              <w:rPr>
                <w:sz w:val="24"/>
                <w:szCs w:val="24"/>
                <w:highlight w:val="none"/>
              </w:rPr>
            </w:pPr>
            <w:r>
              <w:rPr>
                <w:spacing w:val="1"/>
                <w:sz w:val="24"/>
                <w:szCs w:val="24"/>
                <w:highlight w:val="none"/>
              </w:rPr>
              <w:t>4、供应商未按规定时间完成解密或因供应商原因造成电子</w:t>
            </w:r>
            <w:r>
              <w:rPr>
                <w:spacing w:val="12"/>
                <w:sz w:val="24"/>
                <w:szCs w:val="24"/>
                <w:highlight w:val="none"/>
              </w:rPr>
              <w:t xml:space="preserve"> </w:t>
            </w:r>
            <w:r>
              <w:rPr>
                <w:spacing w:val="-10"/>
                <w:sz w:val="24"/>
                <w:szCs w:val="24"/>
                <w:highlight w:val="none"/>
              </w:rPr>
              <w:t>响应文件无法解密、导入失败的，视为其撤销电子响应文件，</w:t>
            </w:r>
            <w:r>
              <w:rPr>
                <w:spacing w:val="9"/>
                <w:sz w:val="24"/>
                <w:szCs w:val="24"/>
                <w:highlight w:val="none"/>
              </w:rPr>
              <w:t xml:space="preserve"> </w:t>
            </w:r>
            <w:r>
              <w:rPr>
                <w:spacing w:val="-3"/>
                <w:sz w:val="24"/>
                <w:szCs w:val="24"/>
                <w:highlight w:val="none"/>
              </w:rPr>
              <w:t>供应商自行承担相应责任。因供应商之外的原因</w:t>
            </w:r>
            <w:r>
              <w:rPr>
                <w:spacing w:val="-4"/>
                <w:sz w:val="24"/>
                <w:szCs w:val="24"/>
                <w:highlight w:val="none"/>
              </w:rPr>
              <w:t>造成电子响</w:t>
            </w:r>
            <w:r>
              <w:rPr>
                <w:sz w:val="24"/>
                <w:szCs w:val="24"/>
                <w:highlight w:val="none"/>
              </w:rPr>
              <w:t xml:space="preserve"> </w:t>
            </w:r>
            <w:r>
              <w:rPr>
                <w:spacing w:val="-3"/>
                <w:sz w:val="24"/>
                <w:szCs w:val="24"/>
                <w:highlight w:val="none"/>
              </w:rPr>
              <w:t>应文件未解密的，视为撤回其电子响应文件，供</w:t>
            </w:r>
            <w:r>
              <w:rPr>
                <w:spacing w:val="-4"/>
                <w:sz w:val="24"/>
                <w:szCs w:val="24"/>
                <w:highlight w:val="none"/>
              </w:rPr>
              <w:t>应商有权要</w:t>
            </w:r>
            <w:r>
              <w:rPr>
                <w:sz w:val="24"/>
                <w:szCs w:val="24"/>
                <w:highlight w:val="none"/>
              </w:rPr>
              <w:t xml:space="preserve"> </w:t>
            </w:r>
            <w:r>
              <w:rPr>
                <w:spacing w:val="-3"/>
                <w:sz w:val="24"/>
                <w:szCs w:val="24"/>
                <w:highlight w:val="none"/>
              </w:rPr>
              <w:t>求责任方赔偿因此遭受的直接损失。部分电子响</w:t>
            </w:r>
            <w:r>
              <w:rPr>
                <w:spacing w:val="-4"/>
                <w:sz w:val="24"/>
                <w:szCs w:val="24"/>
                <w:highlight w:val="none"/>
              </w:rPr>
              <w:t>应文件未解</w:t>
            </w:r>
            <w:r>
              <w:rPr>
                <w:sz w:val="24"/>
                <w:szCs w:val="24"/>
                <w:highlight w:val="none"/>
              </w:rPr>
              <w:t xml:space="preserve"> </w:t>
            </w:r>
            <w:r>
              <w:rPr>
                <w:spacing w:val="-1"/>
                <w:sz w:val="24"/>
                <w:szCs w:val="24"/>
                <w:highlight w:val="none"/>
              </w:rPr>
              <w:t>密的，其他电子响应文件的磋商可以继续进行。</w:t>
            </w:r>
          </w:p>
          <w:p w14:paraId="2C07744F">
            <w:pPr>
              <w:pStyle w:val="39"/>
              <w:spacing w:before="131" w:line="360" w:lineRule="auto"/>
              <w:ind w:left="114" w:right="38" w:firstLine="5"/>
              <w:rPr>
                <w:spacing w:val="-3"/>
                <w:sz w:val="24"/>
                <w:szCs w:val="24"/>
                <w:highlight w:val="none"/>
              </w:rPr>
            </w:pPr>
            <w:r>
              <w:rPr>
                <w:spacing w:val="-3"/>
                <w:sz w:val="24"/>
                <w:szCs w:val="24"/>
                <w:highlight w:val="none"/>
              </w:rPr>
              <w:t>注：1.为了保证远程不见面开标顺利进行，供应商需使</w:t>
            </w:r>
            <w:r>
              <w:rPr>
                <w:spacing w:val="-4"/>
                <w:sz w:val="24"/>
                <w:szCs w:val="24"/>
                <w:highlight w:val="none"/>
              </w:rPr>
              <w:t>用配</w:t>
            </w:r>
            <w:r>
              <w:rPr>
                <w:spacing w:val="-3"/>
                <w:sz w:val="24"/>
                <w:szCs w:val="24"/>
                <w:highlight w:val="none"/>
              </w:rPr>
              <w:t>备相关设备的电脑提前一小时登录网络开标大厅</w:t>
            </w:r>
            <w:r>
              <w:rPr>
                <w:spacing w:val="-4"/>
                <w:sz w:val="24"/>
                <w:szCs w:val="24"/>
                <w:highlight w:val="none"/>
              </w:rPr>
              <w:t>，建议使用</w:t>
            </w:r>
            <w:r>
              <w:rPr>
                <w:sz w:val="24"/>
                <w:szCs w:val="24"/>
                <w:highlight w:val="none"/>
              </w:rPr>
              <w:t>IE</w:t>
            </w:r>
            <w:r>
              <w:rPr>
                <w:spacing w:val="-45"/>
                <w:sz w:val="24"/>
                <w:szCs w:val="24"/>
                <w:highlight w:val="none"/>
              </w:rPr>
              <w:t xml:space="preserve"> </w:t>
            </w:r>
            <w:r>
              <w:rPr>
                <w:spacing w:val="2"/>
                <w:sz w:val="24"/>
                <w:szCs w:val="24"/>
                <w:highlight w:val="none"/>
              </w:rPr>
              <w:t>浏览器或</w:t>
            </w:r>
            <w:r>
              <w:rPr>
                <w:spacing w:val="-41"/>
                <w:sz w:val="24"/>
                <w:szCs w:val="24"/>
                <w:highlight w:val="none"/>
              </w:rPr>
              <w:t xml:space="preserve"> </w:t>
            </w:r>
            <w:r>
              <w:rPr>
                <w:spacing w:val="2"/>
                <w:sz w:val="24"/>
                <w:szCs w:val="24"/>
                <w:highlight w:val="none"/>
              </w:rPr>
              <w:t>360</w:t>
            </w:r>
            <w:r>
              <w:rPr>
                <w:spacing w:val="-43"/>
                <w:sz w:val="24"/>
                <w:szCs w:val="24"/>
                <w:highlight w:val="none"/>
              </w:rPr>
              <w:t xml:space="preserve"> </w:t>
            </w:r>
            <w:r>
              <w:rPr>
                <w:spacing w:val="2"/>
                <w:sz w:val="24"/>
                <w:szCs w:val="24"/>
                <w:highlight w:val="none"/>
              </w:rPr>
              <w:t>极速浏览器兼容模式，供应商电</w:t>
            </w:r>
            <w:r>
              <w:rPr>
                <w:spacing w:val="1"/>
                <w:sz w:val="24"/>
                <w:szCs w:val="24"/>
                <w:highlight w:val="none"/>
              </w:rPr>
              <w:t>脑需配备</w:t>
            </w:r>
            <w:r>
              <w:rPr>
                <w:spacing w:val="6"/>
                <w:sz w:val="24"/>
                <w:szCs w:val="24"/>
                <w:highlight w:val="none"/>
              </w:rPr>
              <w:t>耳麦，因供应商自身设施故障或自身原因导致无法完成签</w:t>
            </w:r>
            <w:r>
              <w:rPr>
                <w:spacing w:val="7"/>
                <w:sz w:val="24"/>
                <w:szCs w:val="24"/>
                <w:highlight w:val="none"/>
              </w:rPr>
              <w:t xml:space="preserve"> </w:t>
            </w:r>
            <w:r>
              <w:rPr>
                <w:spacing w:val="-3"/>
                <w:sz w:val="24"/>
                <w:szCs w:val="24"/>
                <w:highlight w:val="none"/>
              </w:rPr>
              <w:t>到、解密、磋商或二次报价的，由供应商自行承担后果。</w:t>
            </w:r>
          </w:p>
          <w:p w14:paraId="7DC54687">
            <w:pPr>
              <w:pStyle w:val="39"/>
              <w:spacing w:before="131" w:line="360" w:lineRule="auto"/>
              <w:ind w:left="114" w:right="38" w:firstLine="5"/>
              <w:rPr>
                <w:sz w:val="24"/>
                <w:szCs w:val="24"/>
                <w:highlight w:val="none"/>
              </w:rPr>
            </w:pPr>
            <w:r>
              <w:rPr>
                <w:spacing w:val="-4"/>
                <w:sz w:val="24"/>
                <w:szCs w:val="24"/>
                <w:highlight w:val="none"/>
              </w:rPr>
              <w:t>2.</w:t>
            </w:r>
            <w:r>
              <w:rPr>
                <w:sz w:val="24"/>
                <w:szCs w:val="24"/>
                <w:highlight w:val="none"/>
              </w:rPr>
              <w:t xml:space="preserve"> </w:t>
            </w:r>
            <w:r>
              <w:rPr>
                <w:spacing w:val="6"/>
                <w:sz w:val="24"/>
                <w:szCs w:val="24"/>
                <w:highlight w:val="none"/>
              </w:rPr>
              <w:t>加密竞争性磋商响应文件和开标时解密投标文件应当使用</w:t>
            </w:r>
            <w:r>
              <w:rPr>
                <w:spacing w:val="-2"/>
                <w:sz w:val="24"/>
                <w:szCs w:val="24"/>
                <w:highlight w:val="none"/>
              </w:rPr>
              <w:t>同一</w:t>
            </w:r>
            <w:r>
              <w:rPr>
                <w:spacing w:val="-39"/>
                <w:sz w:val="24"/>
                <w:szCs w:val="24"/>
                <w:highlight w:val="none"/>
              </w:rPr>
              <w:t xml:space="preserve"> </w:t>
            </w:r>
            <w:r>
              <w:rPr>
                <w:spacing w:val="-2"/>
                <w:sz w:val="24"/>
                <w:szCs w:val="24"/>
                <w:highlight w:val="none"/>
              </w:rPr>
              <w:t>CA，否则将会导致解密失败。</w:t>
            </w:r>
          </w:p>
        </w:tc>
      </w:tr>
      <w:tr w14:paraId="51713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944" w:hRule="atLeast"/>
        </w:trPr>
        <w:tc>
          <w:tcPr>
            <w:tcW w:w="803" w:type="dxa"/>
            <w:vAlign w:val="top"/>
          </w:tcPr>
          <w:p w14:paraId="65D1BB39">
            <w:pPr>
              <w:spacing w:line="360" w:lineRule="auto"/>
              <w:rPr>
                <w:rFonts w:ascii="Arial"/>
                <w:sz w:val="24"/>
                <w:szCs w:val="24"/>
                <w:highlight w:val="none"/>
              </w:rPr>
            </w:pPr>
          </w:p>
          <w:p w14:paraId="0433FF80">
            <w:pPr>
              <w:spacing w:line="360" w:lineRule="auto"/>
              <w:rPr>
                <w:rFonts w:ascii="Arial"/>
                <w:sz w:val="24"/>
                <w:szCs w:val="24"/>
                <w:highlight w:val="none"/>
              </w:rPr>
            </w:pPr>
          </w:p>
          <w:p w14:paraId="7EC8151A">
            <w:pPr>
              <w:spacing w:line="360" w:lineRule="auto"/>
              <w:rPr>
                <w:rFonts w:ascii="Arial"/>
                <w:sz w:val="24"/>
                <w:szCs w:val="24"/>
                <w:highlight w:val="none"/>
              </w:rPr>
            </w:pPr>
          </w:p>
          <w:p w14:paraId="2B1A7117">
            <w:pPr>
              <w:spacing w:line="360" w:lineRule="auto"/>
              <w:rPr>
                <w:rFonts w:ascii="Arial"/>
                <w:sz w:val="24"/>
                <w:szCs w:val="24"/>
                <w:highlight w:val="none"/>
              </w:rPr>
            </w:pPr>
          </w:p>
          <w:p w14:paraId="5913BD8C">
            <w:pPr>
              <w:spacing w:line="360" w:lineRule="auto"/>
              <w:rPr>
                <w:rFonts w:ascii="Arial"/>
                <w:sz w:val="24"/>
                <w:szCs w:val="24"/>
                <w:highlight w:val="none"/>
              </w:rPr>
            </w:pPr>
          </w:p>
          <w:p w14:paraId="29D11E15">
            <w:pPr>
              <w:pStyle w:val="39"/>
              <w:spacing w:before="78" w:line="360" w:lineRule="auto"/>
              <w:ind w:left="398"/>
              <w:rPr>
                <w:sz w:val="24"/>
                <w:szCs w:val="24"/>
                <w:highlight w:val="none"/>
              </w:rPr>
            </w:pPr>
            <w:r>
              <w:rPr>
                <w:rFonts w:hint="eastAsia"/>
                <w:spacing w:val="-5"/>
                <w:sz w:val="24"/>
                <w:szCs w:val="24"/>
                <w:highlight w:val="none"/>
                <w:lang w:val="en-US" w:eastAsia="zh-CN"/>
              </w:rPr>
              <w:t>23</w:t>
            </w:r>
            <w:r>
              <w:rPr>
                <w:spacing w:val="-5"/>
                <w:sz w:val="24"/>
                <w:szCs w:val="24"/>
                <w:highlight w:val="none"/>
              </w:rPr>
              <w:t>.</w:t>
            </w:r>
          </w:p>
        </w:tc>
        <w:tc>
          <w:tcPr>
            <w:tcW w:w="2125" w:type="dxa"/>
            <w:vAlign w:val="top"/>
          </w:tcPr>
          <w:p w14:paraId="1250DF4D">
            <w:pPr>
              <w:spacing w:line="360" w:lineRule="auto"/>
              <w:rPr>
                <w:rFonts w:ascii="Arial"/>
                <w:sz w:val="24"/>
                <w:szCs w:val="24"/>
                <w:highlight w:val="none"/>
              </w:rPr>
            </w:pPr>
          </w:p>
          <w:p w14:paraId="525A914F">
            <w:pPr>
              <w:spacing w:line="360" w:lineRule="auto"/>
              <w:rPr>
                <w:rFonts w:ascii="Arial"/>
                <w:sz w:val="24"/>
                <w:szCs w:val="24"/>
                <w:highlight w:val="none"/>
              </w:rPr>
            </w:pPr>
          </w:p>
          <w:p w14:paraId="46E50612">
            <w:pPr>
              <w:spacing w:line="360" w:lineRule="auto"/>
              <w:rPr>
                <w:rFonts w:ascii="Arial"/>
                <w:sz w:val="24"/>
                <w:szCs w:val="24"/>
                <w:highlight w:val="none"/>
              </w:rPr>
            </w:pPr>
          </w:p>
          <w:p w14:paraId="116FF8D5">
            <w:pPr>
              <w:spacing w:line="360" w:lineRule="auto"/>
              <w:rPr>
                <w:rFonts w:ascii="Arial"/>
                <w:sz w:val="24"/>
                <w:szCs w:val="24"/>
                <w:highlight w:val="none"/>
              </w:rPr>
            </w:pPr>
          </w:p>
          <w:p w14:paraId="77B8F478">
            <w:pPr>
              <w:spacing w:line="360" w:lineRule="auto"/>
              <w:rPr>
                <w:rFonts w:ascii="Arial"/>
                <w:sz w:val="24"/>
                <w:szCs w:val="24"/>
                <w:highlight w:val="none"/>
              </w:rPr>
            </w:pPr>
          </w:p>
          <w:p w14:paraId="3CB11FBC">
            <w:pPr>
              <w:pStyle w:val="39"/>
              <w:spacing w:before="78" w:line="360" w:lineRule="auto"/>
              <w:ind w:left="707"/>
              <w:rPr>
                <w:sz w:val="24"/>
                <w:szCs w:val="24"/>
                <w:highlight w:val="none"/>
              </w:rPr>
            </w:pPr>
            <w:r>
              <w:rPr>
                <w:spacing w:val="-3"/>
                <w:sz w:val="24"/>
                <w:szCs w:val="24"/>
                <w:highlight w:val="none"/>
              </w:rPr>
              <w:t>解释权</w:t>
            </w:r>
          </w:p>
        </w:tc>
        <w:tc>
          <w:tcPr>
            <w:tcW w:w="6386" w:type="dxa"/>
            <w:vAlign w:val="top"/>
          </w:tcPr>
          <w:p w14:paraId="2F824675">
            <w:pPr>
              <w:pStyle w:val="39"/>
              <w:spacing w:before="131" w:line="360" w:lineRule="auto"/>
              <w:ind w:left="115" w:right="107" w:firstLine="2"/>
              <w:jc w:val="both"/>
              <w:rPr>
                <w:sz w:val="24"/>
                <w:szCs w:val="24"/>
                <w:highlight w:val="none"/>
              </w:rPr>
            </w:pPr>
            <w:r>
              <w:rPr>
                <w:spacing w:val="-4"/>
                <w:sz w:val="24"/>
                <w:szCs w:val="24"/>
                <w:highlight w:val="none"/>
              </w:rPr>
              <w:t>构成本磋商文件的各个组成文件应互为解释，互为说明；如</w:t>
            </w:r>
            <w:r>
              <w:rPr>
                <w:spacing w:val="18"/>
                <w:sz w:val="24"/>
                <w:szCs w:val="24"/>
                <w:highlight w:val="none"/>
              </w:rPr>
              <w:t xml:space="preserve"> </w:t>
            </w:r>
            <w:r>
              <w:rPr>
                <w:spacing w:val="-3"/>
                <w:sz w:val="24"/>
                <w:szCs w:val="24"/>
                <w:highlight w:val="none"/>
              </w:rPr>
              <w:t>有不明确或不一致，构成合同文件组成内容，以</w:t>
            </w:r>
            <w:r>
              <w:rPr>
                <w:spacing w:val="-4"/>
                <w:sz w:val="24"/>
                <w:szCs w:val="24"/>
                <w:highlight w:val="none"/>
              </w:rPr>
              <w:t>合同文件约</w:t>
            </w:r>
            <w:r>
              <w:rPr>
                <w:sz w:val="24"/>
                <w:szCs w:val="24"/>
                <w:highlight w:val="none"/>
              </w:rPr>
              <w:t xml:space="preserve"> </w:t>
            </w:r>
            <w:r>
              <w:rPr>
                <w:spacing w:val="-3"/>
                <w:sz w:val="24"/>
                <w:szCs w:val="24"/>
                <w:highlight w:val="none"/>
              </w:rPr>
              <w:t>定内容为准；除磋商文件中有特别规定外，仅适</w:t>
            </w:r>
            <w:r>
              <w:rPr>
                <w:spacing w:val="-4"/>
                <w:sz w:val="24"/>
                <w:szCs w:val="24"/>
                <w:highlight w:val="none"/>
              </w:rPr>
              <w:t>用于招标阶</w:t>
            </w:r>
            <w:r>
              <w:rPr>
                <w:sz w:val="24"/>
                <w:szCs w:val="24"/>
                <w:highlight w:val="none"/>
              </w:rPr>
              <w:t xml:space="preserve"> </w:t>
            </w:r>
            <w:r>
              <w:rPr>
                <w:spacing w:val="-3"/>
                <w:sz w:val="24"/>
                <w:szCs w:val="24"/>
                <w:highlight w:val="none"/>
              </w:rPr>
              <w:t>段的规定，按磋商公告、供应商须知、评标办法</w:t>
            </w:r>
            <w:r>
              <w:rPr>
                <w:spacing w:val="-4"/>
                <w:sz w:val="24"/>
                <w:szCs w:val="24"/>
                <w:highlight w:val="none"/>
              </w:rPr>
              <w:t>、响应文件</w:t>
            </w:r>
            <w:r>
              <w:rPr>
                <w:sz w:val="24"/>
                <w:szCs w:val="24"/>
                <w:highlight w:val="none"/>
              </w:rPr>
              <w:t xml:space="preserve"> </w:t>
            </w:r>
            <w:r>
              <w:rPr>
                <w:spacing w:val="-3"/>
                <w:sz w:val="24"/>
                <w:szCs w:val="24"/>
                <w:highlight w:val="none"/>
              </w:rPr>
              <w:t>格式的先后顺序解释；同一组成文件不同版本之</w:t>
            </w:r>
            <w:r>
              <w:rPr>
                <w:spacing w:val="-4"/>
                <w:sz w:val="24"/>
                <w:szCs w:val="24"/>
                <w:highlight w:val="none"/>
              </w:rPr>
              <w:t>间有不一致</w:t>
            </w:r>
            <w:r>
              <w:rPr>
                <w:sz w:val="24"/>
                <w:szCs w:val="24"/>
                <w:highlight w:val="none"/>
              </w:rPr>
              <w:t xml:space="preserve"> </w:t>
            </w:r>
            <w:r>
              <w:rPr>
                <w:spacing w:val="-3"/>
                <w:sz w:val="24"/>
                <w:szCs w:val="24"/>
                <w:highlight w:val="none"/>
              </w:rPr>
              <w:t>的，以形成时间在后者为准。按本款前述规定仍</w:t>
            </w:r>
            <w:r>
              <w:rPr>
                <w:spacing w:val="-4"/>
                <w:sz w:val="24"/>
                <w:szCs w:val="24"/>
                <w:highlight w:val="none"/>
              </w:rPr>
              <w:t>不能形成结</w:t>
            </w:r>
            <w:r>
              <w:rPr>
                <w:sz w:val="24"/>
                <w:szCs w:val="24"/>
                <w:highlight w:val="none"/>
              </w:rPr>
              <w:t xml:space="preserve"> </w:t>
            </w:r>
            <w:r>
              <w:rPr>
                <w:spacing w:val="-1"/>
                <w:sz w:val="24"/>
                <w:szCs w:val="24"/>
                <w:highlight w:val="none"/>
              </w:rPr>
              <w:t>论的，由招标代理负责解释。</w:t>
            </w:r>
          </w:p>
        </w:tc>
      </w:tr>
      <w:tr w14:paraId="1FB98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33" w:hRule="atLeast"/>
        </w:trPr>
        <w:tc>
          <w:tcPr>
            <w:tcW w:w="803" w:type="dxa"/>
            <w:vAlign w:val="top"/>
          </w:tcPr>
          <w:p w14:paraId="6006A621">
            <w:pPr>
              <w:pStyle w:val="39"/>
              <w:spacing w:before="244" w:line="360" w:lineRule="auto"/>
              <w:ind w:left="398"/>
              <w:rPr>
                <w:sz w:val="24"/>
                <w:szCs w:val="24"/>
                <w:highlight w:val="none"/>
              </w:rPr>
            </w:pPr>
            <w:r>
              <w:rPr>
                <w:rFonts w:hint="eastAsia"/>
                <w:spacing w:val="-5"/>
                <w:sz w:val="24"/>
                <w:szCs w:val="24"/>
                <w:highlight w:val="none"/>
                <w:lang w:val="en-US" w:eastAsia="zh-CN"/>
              </w:rPr>
              <w:t>24</w:t>
            </w:r>
            <w:r>
              <w:rPr>
                <w:spacing w:val="-5"/>
                <w:sz w:val="24"/>
                <w:szCs w:val="24"/>
                <w:highlight w:val="none"/>
              </w:rPr>
              <w:t>.</w:t>
            </w:r>
          </w:p>
        </w:tc>
        <w:tc>
          <w:tcPr>
            <w:tcW w:w="2125" w:type="dxa"/>
            <w:vAlign w:val="top"/>
          </w:tcPr>
          <w:p w14:paraId="496F533E">
            <w:pPr>
              <w:pStyle w:val="39"/>
              <w:spacing w:before="40" w:line="360" w:lineRule="auto"/>
              <w:ind w:left="588" w:right="220" w:hanging="359"/>
              <w:rPr>
                <w:sz w:val="24"/>
                <w:szCs w:val="24"/>
                <w:highlight w:val="none"/>
              </w:rPr>
            </w:pPr>
            <w:r>
              <w:rPr>
                <w:spacing w:val="-2"/>
                <w:sz w:val="24"/>
                <w:szCs w:val="24"/>
                <w:highlight w:val="none"/>
              </w:rPr>
              <w:t>本项目采购标的</w:t>
            </w:r>
            <w:r>
              <w:rPr>
                <w:spacing w:val="2"/>
                <w:sz w:val="24"/>
                <w:szCs w:val="24"/>
                <w:highlight w:val="none"/>
              </w:rPr>
              <w:t xml:space="preserve"> </w:t>
            </w:r>
            <w:r>
              <w:rPr>
                <w:spacing w:val="-3"/>
                <w:sz w:val="24"/>
                <w:szCs w:val="24"/>
                <w:highlight w:val="none"/>
              </w:rPr>
              <w:t>所属行业</w:t>
            </w:r>
          </w:p>
        </w:tc>
        <w:tc>
          <w:tcPr>
            <w:tcW w:w="6386" w:type="dxa"/>
            <w:vAlign w:val="top"/>
          </w:tcPr>
          <w:p w14:paraId="482361EF">
            <w:pPr>
              <w:pStyle w:val="39"/>
              <w:spacing w:before="238" w:line="360" w:lineRule="auto"/>
              <w:ind w:left="115"/>
              <w:rPr>
                <w:sz w:val="24"/>
                <w:szCs w:val="24"/>
                <w:highlight w:val="none"/>
              </w:rPr>
            </w:pPr>
            <w:r>
              <w:rPr>
                <w:rFonts w:hint="eastAsia"/>
                <w:spacing w:val="-2"/>
                <w:sz w:val="24"/>
                <w:szCs w:val="24"/>
                <w:highlight w:val="none"/>
                <w:lang w:val="en-US" w:eastAsia="zh-CN"/>
              </w:rPr>
              <w:t>建筑</w:t>
            </w:r>
            <w:r>
              <w:rPr>
                <w:spacing w:val="-2"/>
                <w:sz w:val="24"/>
                <w:szCs w:val="24"/>
                <w:highlight w:val="none"/>
              </w:rPr>
              <w:t>业</w:t>
            </w:r>
          </w:p>
        </w:tc>
      </w:tr>
    </w:tbl>
    <w:p w14:paraId="365D7BAF">
      <w:pPr>
        <w:pStyle w:val="10"/>
        <w:rPr>
          <w:highlight w:val="none"/>
        </w:rPr>
      </w:pPr>
    </w:p>
    <w:p w14:paraId="42E742AD">
      <w:pPr>
        <w:rPr>
          <w:highlight w:val="none"/>
        </w:rPr>
        <w:sectPr>
          <w:footerReference r:id="rId10" w:type="default"/>
          <w:pgSz w:w="11906" w:h="16839"/>
          <w:pgMar w:top="1431" w:right="1293" w:bottom="1156" w:left="1293" w:header="0" w:footer="994" w:gutter="0"/>
          <w:pgNumType w:fmt="decimal" w:start="1"/>
          <w:cols w:space="720" w:num="1"/>
        </w:sectPr>
      </w:pPr>
    </w:p>
    <w:p w14:paraId="5FACB553">
      <w:pPr>
        <w:spacing w:before="204" w:line="220" w:lineRule="auto"/>
        <w:ind w:left="2"/>
        <w:outlineLvl w:val="9"/>
        <w:rPr>
          <w:rFonts w:ascii="宋体" w:hAnsi="宋体" w:eastAsia="宋体" w:cs="宋体"/>
          <w:sz w:val="24"/>
          <w:szCs w:val="24"/>
          <w:highlight w:val="none"/>
        </w:rPr>
      </w:pPr>
      <w:r>
        <w:rPr>
          <w:rFonts w:ascii="宋体" w:hAnsi="宋体" w:eastAsia="宋体" w:cs="宋体"/>
          <w:b/>
          <w:bCs/>
          <w:spacing w:val="-4"/>
          <w:sz w:val="24"/>
          <w:szCs w:val="24"/>
          <w:highlight w:val="none"/>
        </w:rPr>
        <w:t>二、磋商须知</w:t>
      </w:r>
    </w:p>
    <w:p w14:paraId="53403F21">
      <w:pPr>
        <w:spacing w:before="212" w:line="219" w:lineRule="auto"/>
        <w:ind w:left="478"/>
        <w:rPr>
          <w:rFonts w:ascii="宋体" w:hAnsi="宋体" w:eastAsia="宋体" w:cs="宋体"/>
          <w:sz w:val="24"/>
          <w:szCs w:val="24"/>
          <w:highlight w:val="none"/>
        </w:rPr>
      </w:pPr>
      <w:r>
        <w:rPr>
          <w:rFonts w:ascii="宋体" w:hAnsi="宋体" w:eastAsia="宋体" w:cs="宋体"/>
          <w:spacing w:val="-1"/>
          <w:sz w:val="24"/>
          <w:szCs w:val="24"/>
          <w:highlight w:val="none"/>
        </w:rPr>
        <w:t>采购人：</w:t>
      </w:r>
      <w:r>
        <w:rPr>
          <w:rFonts w:hint="eastAsia" w:ascii="宋体" w:hAnsi="宋体" w:eastAsia="宋体" w:cs="宋体"/>
          <w:spacing w:val="-1"/>
          <w:sz w:val="24"/>
          <w:szCs w:val="24"/>
          <w:highlight w:val="none"/>
          <w:lang w:eastAsia="zh-CN"/>
        </w:rPr>
        <w:t>扶风县国有野河林场</w:t>
      </w:r>
      <w:r>
        <w:rPr>
          <w:rFonts w:ascii="宋体" w:hAnsi="宋体" w:eastAsia="宋体" w:cs="宋体"/>
          <w:spacing w:val="-1"/>
          <w:sz w:val="24"/>
          <w:szCs w:val="24"/>
          <w:highlight w:val="none"/>
        </w:rPr>
        <w:t>；</w:t>
      </w:r>
    </w:p>
    <w:p w14:paraId="2FB2C753">
      <w:pPr>
        <w:spacing w:before="214" w:line="219" w:lineRule="auto"/>
        <w:ind w:left="478"/>
        <w:rPr>
          <w:rFonts w:ascii="宋体" w:hAnsi="宋体" w:eastAsia="宋体" w:cs="宋体"/>
          <w:sz w:val="24"/>
          <w:szCs w:val="24"/>
          <w:highlight w:val="none"/>
        </w:rPr>
      </w:pPr>
      <w:r>
        <w:rPr>
          <w:rFonts w:ascii="宋体" w:hAnsi="宋体" w:eastAsia="宋体" w:cs="宋体"/>
          <w:spacing w:val="-1"/>
          <w:sz w:val="24"/>
          <w:szCs w:val="24"/>
          <w:highlight w:val="none"/>
        </w:rPr>
        <w:t>采购代理机构：</w:t>
      </w:r>
      <w:r>
        <w:rPr>
          <w:rFonts w:hint="eastAsia" w:hAnsi="宋体" w:cs="宋体"/>
          <w:spacing w:val="-1"/>
          <w:sz w:val="24"/>
          <w:szCs w:val="24"/>
          <w:highlight w:val="none"/>
          <w:lang w:eastAsia="zh-CN"/>
        </w:rPr>
        <w:t>陕西银正项目管理有限公司</w:t>
      </w:r>
      <w:r>
        <w:rPr>
          <w:rFonts w:ascii="宋体" w:hAnsi="宋体" w:eastAsia="宋体" w:cs="宋体"/>
          <w:spacing w:val="-1"/>
          <w:sz w:val="24"/>
          <w:szCs w:val="24"/>
          <w:highlight w:val="none"/>
        </w:rPr>
        <w:t>；</w:t>
      </w:r>
    </w:p>
    <w:p w14:paraId="11113A1D">
      <w:pPr>
        <w:spacing w:before="216"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供应商：满足本次磋商要求有完成项目能力的供应商；</w:t>
      </w:r>
    </w:p>
    <w:p w14:paraId="132ADA08">
      <w:pPr>
        <w:spacing w:before="215"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成交供应商：由磋商小组推荐经采购人确认的供应商。</w:t>
      </w:r>
    </w:p>
    <w:p w14:paraId="5027B57D">
      <w:pPr>
        <w:spacing w:before="214" w:line="219" w:lineRule="auto"/>
        <w:ind w:left="496"/>
        <w:rPr>
          <w:rFonts w:ascii="宋体" w:hAnsi="宋体" w:eastAsia="宋体" w:cs="宋体"/>
          <w:sz w:val="24"/>
          <w:szCs w:val="24"/>
          <w:highlight w:val="none"/>
        </w:rPr>
      </w:pPr>
      <w:r>
        <w:rPr>
          <w:rFonts w:ascii="宋体" w:hAnsi="宋体" w:eastAsia="宋体" w:cs="宋体"/>
          <w:b/>
          <w:bCs/>
          <w:spacing w:val="-8"/>
          <w:sz w:val="24"/>
          <w:szCs w:val="24"/>
          <w:highlight w:val="none"/>
        </w:rPr>
        <w:t>1、供应商</w:t>
      </w:r>
    </w:p>
    <w:p w14:paraId="200108D2">
      <w:pPr>
        <w:spacing w:before="217" w:line="219" w:lineRule="auto"/>
        <w:ind w:left="496"/>
        <w:rPr>
          <w:rFonts w:ascii="宋体" w:hAnsi="宋体" w:eastAsia="宋体" w:cs="宋体"/>
          <w:sz w:val="24"/>
          <w:szCs w:val="24"/>
          <w:highlight w:val="none"/>
        </w:rPr>
      </w:pPr>
      <w:r>
        <w:rPr>
          <w:rFonts w:ascii="宋体" w:hAnsi="宋体" w:eastAsia="宋体" w:cs="宋体"/>
          <w:spacing w:val="-5"/>
          <w:sz w:val="24"/>
          <w:szCs w:val="24"/>
          <w:highlight w:val="none"/>
        </w:rPr>
        <w:t>1.1</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合格供应商</w:t>
      </w:r>
    </w:p>
    <w:p w14:paraId="1C0933EF">
      <w:pPr>
        <w:pStyle w:val="39"/>
        <w:spacing w:before="183" w:line="360" w:lineRule="auto"/>
        <w:ind w:left="116" w:right="107" w:firstLine="10"/>
        <w:jc w:val="both"/>
        <w:rPr>
          <w:rFonts w:hint="eastAsia"/>
          <w:sz w:val="24"/>
          <w:szCs w:val="24"/>
          <w:highlight w:val="none"/>
        </w:rPr>
      </w:pPr>
      <w:r>
        <w:rPr>
          <w:rFonts w:hint="eastAsia"/>
          <w:sz w:val="24"/>
          <w:szCs w:val="24"/>
          <w:highlight w:val="none"/>
        </w:rPr>
        <w:t>（1）提供合格有效的法人或者其他组织的营业执照等证明文件，自然人的身份证明；</w:t>
      </w:r>
    </w:p>
    <w:p w14:paraId="5ECC411B">
      <w:pPr>
        <w:pStyle w:val="39"/>
        <w:spacing w:before="183" w:line="360" w:lineRule="auto"/>
        <w:ind w:left="116" w:right="107" w:firstLine="10"/>
        <w:jc w:val="both"/>
        <w:rPr>
          <w:rFonts w:hint="eastAsia"/>
          <w:sz w:val="24"/>
          <w:szCs w:val="24"/>
          <w:highlight w:val="none"/>
        </w:rPr>
      </w:pPr>
      <w:r>
        <w:rPr>
          <w:rFonts w:hint="eastAsia"/>
          <w:sz w:val="24"/>
          <w:szCs w:val="24"/>
          <w:highlight w:val="none"/>
        </w:rPr>
        <w:t>（2）提供法定代表人授权书（附法定代表人、被授权人身份证复印件)，法定代表人直接参加投标，须提供法定代表人身份证明及身份证复印件）；</w:t>
      </w:r>
    </w:p>
    <w:p w14:paraId="5A03B9D3">
      <w:pPr>
        <w:pStyle w:val="39"/>
        <w:spacing w:before="183" w:line="360" w:lineRule="auto"/>
        <w:ind w:left="116" w:right="107" w:firstLine="10"/>
        <w:jc w:val="both"/>
        <w:rPr>
          <w:rFonts w:hint="eastAsia" w:eastAsia="宋体"/>
          <w:sz w:val="24"/>
          <w:szCs w:val="24"/>
          <w:highlight w:val="none"/>
          <w:lang w:eastAsia="zh-CN"/>
        </w:rPr>
      </w:pPr>
      <w:r>
        <w:rPr>
          <w:rFonts w:hint="eastAsia"/>
          <w:sz w:val="24"/>
          <w:szCs w:val="24"/>
          <w:highlight w:val="none"/>
        </w:rPr>
        <w:t>（3）财务状况报告：</w:t>
      </w:r>
      <w:r>
        <w:rPr>
          <w:rFonts w:hint="eastAsia" w:ascii="宋体" w:hAnsi="宋体" w:eastAsia="宋体" w:cs="宋体"/>
          <w:sz w:val="24"/>
          <w:szCs w:val="24"/>
          <w:highlight w:val="none"/>
        </w:rPr>
        <w:t>提供2024年度的财务审计报告（成立时间至提交响应文件截止时间不足一年的可提供成立后任意时段的资产负债表）或开标时间前六个月内银行出具的资信证明；</w:t>
      </w:r>
      <w:r>
        <w:rPr>
          <w:rFonts w:hint="eastAsia" w:ascii="宋体" w:hAnsi="宋体" w:eastAsia="宋体" w:cs="宋体"/>
          <w:sz w:val="24"/>
          <w:szCs w:val="24"/>
          <w:highlight w:val="none"/>
        </w:rPr>
        <w:br w:type="textWrapping"/>
      </w:r>
      <w:r>
        <w:rPr>
          <w:rFonts w:hint="eastAsia"/>
          <w:sz w:val="24"/>
          <w:szCs w:val="24"/>
          <w:highlight w:val="none"/>
        </w:rPr>
        <w:t>（4）税收缴纳证明：提供响应文件截止日前一年内已缴纳的至少一个月的纳税证明或完税证明（任意税种），依法免税的单位应提供相关证明材料</w:t>
      </w:r>
      <w:r>
        <w:rPr>
          <w:rFonts w:hint="eastAsia"/>
          <w:sz w:val="24"/>
          <w:szCs w:val="24"/>
          <w:highlight w:val="none"/>
          <w:lang w:eastAsia="zh-CN"/>
        </w:rPr>
        <w:t>；</w:t>
      </w:r>
    </w:p>
    <w:p w14:paraId="370F1088">
      <w:pPr>
        <w:pStyle w:val="39"/>
        <w:spacing w:before="183" w:line="360" w:lineRule="auto"/>
        <w:ind w:left="116" w:right="107" w:firstLine="10"/>
        <w:jc w:val="both"/>
        <w:rPr>
          <w:rFonts w:hint="eastAsia"/>
          <w:sz w:val="24"/>
          <w:szCs w:val="24"/>
          <w:highlight w:val="none"/>
        </w:rPr>
      </w:pPr>
      <w:r>
        <w:rPr>
          <w:rFonts w:hint="eastAsia"/>
          <w:sz w:val="24"/>
          <w:szCs w:val="24"/>
          <w:highlight w:val="none"/>
        </w:rPr>
        <w:t>（5）社会保障资金缴纳证明：提供响应文件截止日前一年内已缴存的至少一个月的社会保障资金缴存单据或社保机构开具的社会保险参保缴费情况证明，依法不需要缴纳社会保障资金的单位应提供相关证明材料；</w:t>
      </w:r>
    </w:p>
    <w:p w14:paraId="2989F87D">
      <w:pPr>
        <w:pStyle w:val="39"/>
        <w:spacing w:before="183" w:line="360" w:lineRule="auto"/>
        <w:ind w:left="116" w:right="107" w:firstLine="10"/>
        <w:jc w:val="both"/>
        <w:rPr>
          <w:rFonts w:hint="eastAsia"/>
          <w:sz w:val="24"/>
          <w:szCs w:val="24"/>
          <w:highlight w:val="none"/>
        </w:rPr>
      </w:pPr>
      <w:r>
        <w:rPr>
          <w:rFonts w:hint="eastAsia"/>
          <w:sz w:val="24"/>
          <w:szCs w:val="24"/>
          <w:highlight w:val="none"/>
        </w:rPr>
        <w:t>（6）供应商应通过“信用中国”网站(www.creditchina.gov.cn)、中国政府采购网(www.ccgp.gov.cn)查询相关主体信用记录；</w:t>
      </w:r>
    </w:p>
    <w:p w14:paraId="2A67B9FD">
      <w:pPr>
        <w:pStyle w:val="39"/>
        <w:spacing w:before="183" w:line="360" w:lineRule="auto"/>
        <w:ind w:left="116" w:right="107" w:firstLine="10"/>
        <w:jc w:val="both"/>
        <w:rPr>
          <w:rFonts w:hint="eastAsia"/>
          <w:sz w:val="24"/>
          <w:szCs w:val="24"/>
          <w:highlight w:val="none"/>
        </w:rPr>
      </w:pPr>
      <w:r>
        <w:rPr>
          <w:rFonts w:hint="eastAsia"/>
          <w:sz w:val="24"/>
          <w:szCs w:val="24"/>
          <w:highlight w:val="none"/>
        </w:rPr>
        <w:t>（7）参加政府采购活动前3年内，在经营活动中没有重大违法记录的书面声明；</w:t>
      </w:r>
    </w:p>
    <w:p w14:paraId="5C0C1ADA">
      <w:pPr>
        <w:pStyle w:val="39"/>
        <w:spacing w:before="183" w:line="360" w:lineRule="auto"/>
        <w:ind w:left="116" w:right="107" w:firstLine="10"/>
        <w:jc w:val="both"/>
        <w:rPr>
          <w:rFonts w:hint="eastAsia"/>
          <w:sz w:val="24"/>
          <w:szCs w:val="24"/>
          <w:highlight w:val="none"/>
        </w:rPr>
      </w:pPr>
      <w:r>
        <w:rPr>
          <w:rFonts w:hint="eastAsia"/>
          <w:sz w:val="24"/>
          <w:szCs w:val="24"/>
          <w:highlight w:val="none"/>
        </w:rPr>
        <w:t>（8）提供具有履行合同所必需的设备和专业技术能力的承诺函；</w:t>
      </w:r>
    </w:p>
    <w:p w14:paraId="4FC3FD4D">
      <w:pPr>
        <w:pStyle w:val="39"/>
        <w:spacing w:before="183" w:line="360" w:lineRule="auto"/>
        <w:ind w:left="116" w:right="107" w:firstLine="10"/>
        <w:jc w:val="both"/>
        <w:rPr>
          <w:rFonts w:hint="eastAsia"/>
          <w:sz w:val="24"/>
          <w:szCs w:val="24"/>
          <w:highlight w:val="none"/>
          <w:lang w:val="en-US" w:eastAsia="zh-CN"/>
        </w:rPr>
      </w:pPr>
      <w:r>
        <w:rPr>
          <w:rFonts w:hint="eastAsia"/>
          <w:sz w:val="24"/>
          <w:szCs w:val="24"/>
          <w:highlight w:val="none"/>
        </w:rPr>
        <w:t>（9）供应商具有建设行政主管部门颁发的建筑工程施工总承包三级或以上资质；有效的安全生产许可证；</w:t>
      </w:r>
    </w:p>
    <w:p w14:paraId="1C89A1C0">
      <w:pPr>
        <w:pStyle w:val="39"/>
        <w:spacing w:before="183" w:line="360" w:lineRule="auto"/>
        <w:ind w:left="116" w:right="107" w:firstLine="10"/>
        <w:jc w:val="both"/>
        <w:rPr>
          <w:rFonts w:hint="eastAsia" w:eastAsia="宋体"/>
          <w:sz w:val="24"/>
          <w:szCs w:val="24"/>
          <w:highlight w:val="none"/>
          <w:lang w:eastAsia="zh-CN"/>
        </w:rPr>
      </w:pPr>
      <w:r>
        <w:rPr>
          <w:rFonts w:hint="eastAsia"/>
          <w:sz w:val="24"/>
          <w:szCs w:val="24"/>
          <w:highlight w:val="none"/>
          <w:lang w:val="en-US" w:eastAsia="zh-CN"/>
        </w:rPr>
        <w:t>（10）</w:t>
      </w:r>
      <w:r>
        <w:rPr>
          <w:rFonts w:hint="eastAsia"/>
          <w:sz w:val="24"/>
          <w:szCs w:val="24"/>
          <w:highlight w:val="none"/>
        </w:rPr>
        <w:t>拟派项目经理须具备建设行政主管部门颁发的建筑工程专业二级注册建造师或以上执业资格以及有效的安全生产考核合格B证，在本单位注册，且未担任其他在建工程项目的项目经理（提供无在建承诺函）</w:t>
      </w:r>
      <w:r>
        <w:rPr>
          <w:rFonts w:hint="eastAsia"/>
          <w:sz w:val="24"/>
          <w:szCs w:val="24"/>
          <w:highlight w:val="none"/>
          <w:lang w:eastAsia="zh-CN"/>
        </w:rPr>
        <w:t>；</w:t>
      </w:r>
    </w:p>
    <w:p w14:paraId="7EA2CCEA">
      <w:pPr>
        <w:pStyle w:val="39"/>
        <w:spacing w:before="183" w:line="360" w:lineRule="auto"/>
        <w:ind w:left="116" w:right="107" w:firstLine="10"/>
        <w:jc w:val="both"/>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供应商须提供中小企业声明函；</w:t>
      </w:r>
    </w:p>
    <w:p w14:paraId="2F43E70A">
      <w:pPr>
        <w:pStyle w:val="39"/>
        <w:spacing w:before="183" w:line="360" w:lineRule="auto"/>
        <w:ind w:left="116" w:right="107" w:firstLine="10"/>
        <w:jc w:val="both"/>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）本项目不接受联合体磋商（需提供承诺书）。</w:t>
      </w:r>
    </w:p>
    <w:p w14:paraId="5B66F909">
      <w:pPr>
        <w:spacing w:before="213" w:line="360" w:lineRule="auto"/>
        <w:ind w:firstLine="232" w:firstLineChars="100"/>
        <w:rPr>
          <w:rFonts w:ascii="宋体" w:hAnsi="宋体" w:eastAsia="宋体" w:cs="宋体"/>
          <w:sz w:val="24"/>
          <w:szCs w:val="24"/>
          <w:highlight w:val="none"/>
        </w:rPr>
      </w:pPr>
      <w:r>
        <w:rPr>
          <w:rFonts w:ascii="宋体" w:hAnsi="宋体" w:eastAsia="宋体" w:cs="宋体"/>
          <w:spacing w:val="-4"/>
          <w:sz w:val="24"/>
          <w:szCs w:val="24"/>
          <w:highlight w:val="none"/>
        </w:rPr>
        <w:t>1.2</w:t>
      </w:r>
      <w:r>
        <w:rPr>
          <w:rFonts w:ascii="宋体" w:hAnsi="宋体" w:eastAsia="宋体" w:cs="宋体"/>
          <w:spacing w:val="-41"/>
          <w:sz w:val="24"/>
          <w:szCs w:val="24"/>
          <w:highlight w:val="none"/>
        </w:rPr>
        <w:t xml:space="preserve"> </w:t>
      </w:r>
      <w:r>
        <w:rPr>
          <w:rFonts w:ascii="宋体" w:hAnsi="宋体" w:eastAsia="宋体" w:cs="宋体"/>
          <w:spacing w:val="-4"/>
          <w:sz w:val="24"/>
          <w:szCs w:val="24"/>
          <w:highlight w:val="none"/>
        </w:rPr>
        <w:t>供应商信用记录查询</w:t>
      </w:r>
    </w:p>
    <w:p w14:paraId="2EEABE20">
      <w:pPr>
        <w:spacing w:line="360" w:lineRule="auto"/>
        <w:ind w:left="496"/>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供应商应通过“信用中国”网站(www.creditchina.gov.cn)、中国政府采购网(www.ccgp.gov.cn)查询相关主体信用记录；</w:t>
      </w:r>
    </w:p>
    <w:p w14:paraId="6FDAF137">
      <w:pPr>
        <w:spacing w:line="360" w:lineRule="auto"/>
        <w:ind w:left="496"/>
        <w:rPr>
          <w:rFonts w:ascii="宋体" w:hAnsi="宋体" w:eastAsia="宋体" w:cs="宋体"/>
          <w:sz w:val="24"/>
          <w:szCs w:val="24"/>
          <w:highlight w:val="none"/>
        </w:rPr>
      </w:pPr>
      <w:r>
        <w:rPr>
          <w:rFonts w:ascii="宋体" w:hAnsi="宋体" w:eastAsia="宋体" w:cs="宋体"/>
          <w:spacing w:val="-6"/>
          <w:sz w:val="24"/>
          <w:szCs w:val="24"/>
          <w:highlight w:val="none"/>
        </w:rPr>
        <w:t>1.3</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磋商委托</w:t>
      </w:r>
    </w:p>
    <w:p w14:paraId="4C69C266">
      <w:pPr>
        <w:spacing w:before="215" w:line="360" w:lineRule="auto"/>
        <w:ind w:left="3" w:firstLine="475"/>
        <w:rPr>
          <w:rFonts w:ascii="宋体" w:hAnsi="宋体" w:eastAsia="宋体" w:cs="宋体"/>
          <w:sz w:val="24"/>
          <w:szCs w:val="24"/>
          <w:highlight w:val="none"/>
        </w:rPr>
      </w:pPr>
      <w:r>
        <w:rPr>
          <w:rFonts w:ascii="宋体" w:hAnsi="宋体" w:eastAsia="宋体" w:cs="宋体"/>
          <w:spacing w:val="-2"/>
          <w:sz w:val="24"/>
          <w:szCs w:val="24"/>
          <w:highlight w:val="none"/>
        </w:rPr>
        <w:t>供应商提供法定代表人授权委托书及被授权人身份证</w:t>
      </w:r>
      <w:r>
        <w:rPr>
          <w:rFonts w:hint="eastAsia" w:ascii="宋体" w:hAnsi="宋体" w:eastAsia="宋体" w:cs="宋体"/>
          <w:spacing w:val="-2"/>
          <w:sz w:val="24"/>
          <w:szCs w:val="24"/>
          <w:highlight w:val="none"/>
          <w:lang w:val="en-US" w:eastAsia="zh-CN"/>
        </w:rPr>
        <w:t>复印件</w:t>
      </w:r>
      <w:r>
        <w:rPr>
          <w:rFonts w:ascii="宋体" w:hAnsi="宋体" w:eastAsia="宋体" w:cs="宋体"/>
          <w:spacing w:val="-2"/>
          <w:sz w:val="24"/>
          <w:szCs w:val="24"/>
          <w:highlight w:val="none"/>
        </w:rPr>
        <w:t>，法定代表人直接投标只须提</w:t>
      </w:r>
      <w:r>
        <w:rPr>
          <w:rFonts w:ascii="宋体" w:hAnsi="宋体" w:eastAsia="宋体" w:cs="宋体"/>
          <w:spacing w:val="-3"/>
          <w:sz w:val="24"/>
          <w:szCs w:val="24"/>
          <w:highlight w:val="none"/>
        </w:rPr>
        <w:t>交其身份证明。</w:t>
      </w:r>
    </w:p>
    <w:p w14:paraId="1724C02E">
      <w:pPr>
        <w:spacing w:line="220" w:lineRule="auto"/>
        <w:ind w:left="496"/>
        <w:rPr>
          <w:rFonts w:ascii="宋体" w:hAnsi="宋体" w:eastAsia="宋体" w:cs="宋体"/>
          <w:sz w:val="24"/>
          <w:szCs w:val="24"/>
          <w:highlight w:val="none"/>
        </w:rPr>
      </w:pPr>
      <w:r>
        <w:rPr>
          <w:rFonts w:ascii="宋体" w:hAnsi="宋体" w:eastAsia="宋体" w:cs="宋体"/>
          <w:spacing w:val="-6"/>
          <w:sz w:val="24"/>
          <w:szCs w:val="24"/>
          <w:highlight w:val="none"/>
        </w:rPr>
        <w:t>1.4</w:t>
      </w:r>
      <w:r>
        <w:rPr>
          <w:rFonts w:ascii="宋体" w:hAnsi="宋体" w:eastAsia="宋体" w:cs="宋体"/>
          <w:spacing w:val="-47"/>
          <w:sz w:val="24"/>
          <w:szCs w:val="24"/>
          <w:highlight w:val="none"/>
        </w:rPr>
        <w:t xml:space="preserve"> </w:t>
      </w:r>
      <w:r>
        <w:rPr>
          <w:rFonts w:ascii="宋体" w:hAnsi="宋体" w:eastAsia="宋体" w:cs="宋体"/>
          <w:spacing w:val="-6"/>
          <w:sz w:val="24"/>
          <w:szCs w:val="24"/>
          <w:highlight w:val="none"/>
        </w:rPr>
        <w:t>磋商费用</w:t>
      </w:r>
    </w:p>
    <w:p w14:paraId="1DBD830E">
      <w:pPr>
        <w:spacing w:before="215"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无论磋商结果如何，供应商自行承担参加磋商相关的全部费用。</w:t>
      </w:r>
    </w:p>
    <w:p w14:paraId="024B69BA">
      <w:pPr>
        <w:spacing w:before="216" w:line="219" w:lineRule="auto"/>
        <w:ind w:left="481"/>
        <w:rPr>
          <w:rFonts w:ascii="宋体" w:hAnsi="宋体" w:eastAsia="宋体" w:cs="宋体"/>
          <w:sz w:val="24"/>
          <w:szCs w:val="24"/>
          <w:highlight w:val="none"/>
        </w:rPr>
      </w:pPr>
      <w:r>
        <w:rPr>
          <w:rFonts w:ascii="宋体" w:hAnsi="宋体" w:eastAsia="宋体" w:cs="宋体"/>
          <w:b/>
          <w:bCs/>
          <w:spacing w:val="-4"/>
          <w:sz w:val="24"/>
          <w:szCs w:val="24"/>
          <w:highlight w:val="none"/>
        </w:rPr>
        <w:t>2、磋商及磋商文件</w:t>
      </w:r>
    </w:p>
    <w:p w14:paraId="1671E6CF">
      <w:pPr>
        <w:spacing w:before="214"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2.1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磋商文件以中文编制。</w:t>
      </w:r>
    </w:p>
    <w:p w14:paraId="2D96B348">
      <w:pPr>
        <w:spacing w:before="217" w:line="219" w:lineRule="auto"/>
        <w:ind w:left="481"/>
        <w:rPr>
          <w:rFonts w:ascii="宋体" w:hAnsi="宋体" w:eastAsia="宋体" w:cs="宋体"/>
          <w:sz w:val="24"/>
          <w:szCs w:val="24"/>
          <w:highlight w:val="none"/>
        </w:rPr>
      </w:pPr>
      <w:r>
        <w:rPr>
          <w:rFonts w:ascii="宋体" w:hAnsi="宋体" w:eastAsia="宋体" w:cs="宋体"/>
          <w:spacing w:val="-2"/>
          <w:sz w:val="24"/>
          <w:szCs w:val="24"/>
          <w:highlight w:val="none"/>
        </w:rPr>
        <w:t>2.2</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磋商文件一经售出，一律不退。</w:t>
      </w:r>
    </w:p>
    <w:p w14:paraId="12F50C88">
      <w:pPr>
        <w:spacing w:before="214"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2.3</w:t>
      </w:r>
      <w:r>
        <w:rPr>
          <w:rFonts w:ascii="宋体" w:hAnsi="宋体" w:eastAsia="宋体" w:cs="宋体"/>
          <w:spacing w:val="-44"/>
          <w:sz w:val="24"/>
          <w:szCs w:val="24"/>
          <w:highlight w:val="none"/>
        </w:rPr>
        <w:t xml:space="preserve"> </w:t>
      </w:r>
      <w:r>
        <w:rPr>
          <w:rFonts w:ascii="宋体" w:hAnsi="宋体" w:eastAsia="宋体" w:cs="宋体"/>
          <w:spacing w:val="-1"/>
          <w:sz w:val="24"/>
          <w:szCs w:val="24"/>
          <w:highlight w:val="none"/>
        </w:rPr>
        <w:t>磋商文件仅作为本磋商项目的磋商、提交磋商响应文件使用。</w:t>
      </w:r>
    </w:p>
    <w:p w14:paraId="439278CF">
      <w:pPr>
        <w:spacing w:before="214" w:line="219"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2.4</w:t>
      </w:r>
      <w:r>
        <w:rPr>
          <w:rFonts w:ascii="宋体" w:hAnsi="宋体" w:eastAsia="宋体" w:cs="宋体"/>
          <w:spacing w:val="-51"/>
          <w:sz w:val="24"/>
          <w:szCs w:val="24"/>
          <w:highlight w:val="none"/>
        </w:rPr>
        <w:t xml:space="preserve"> </w:t>
      </w:r>
      <w:r>
        <w:rPr>
          <w:rFonts w:ascii="宋体" w:hAnsi="宋体" w:eastAsia="宋体" w:cs="宋体"/>
          <w:sz w:val="24"/>
          <w:szCs w:val="24"/>
          <w:highlight w:val="none"/>
        </w:rPr>
        <w:t>供应商获取磋商文件后，应仔细检查磋商文件的所有</w:t>
      </w:r>
      <w:r>
        <w:rPr>
          <w:rFonts w:ascii="宋体" w:hAnsi="宋体" w:eastAsia="宋体" w:cs="宋体"/>
          <w:spacing w:val="-1"/>
          <w:sz w:val="24"/>
          <w:szCs w:val="24"/>
          <w:highlight w:val="none"/>
        </w:rPr>
        <w:t>内容，如有残缺等问题应</w:t>
      </w:r>
    </w:p>
    <w:p w14:paraId="1348F0F4">
      <w:pPr>
        <w:spacing w:before="204" w:line="384" w:lineRule="auto"/>
        <w:ind w:left="5" w:right="80" w:hanging="5"/>
        <w:rPr>
          <w:rFonts w:ascii="宋体" w:hAnsi="宋体" w:eastAsia="宋体" w:cs="宋体"/>
          <w:sz w:val="24"/>
          <w:szCs w:val="24"/>
          <w:highlight w:val="none"/>
        </w:rPr>
      </w:pPr>
      <w:r>
        <w:rPr>
          <w:rFonts w:ascii="宋体" w:hAnsi="宋体" w:eastAsia="宋体" w:cs="宋体"/>
          <w:spacing w:val="-2"/>
          <w:sz w:val="24"/>
          <w:szCs w:val="24"/>
          <w:highlight w:val="none"/>
        </w:rPr>
        <w:t>在获得磋商文件当日内向代理机构当面提出，及时解决，否则，由此引起的损失由供应</w:t>
      </w:r>
      <w:r>
        <w:rPr>
          <w:rFonts w:ascii="宋体" w:hAnsi="宋体" w:eastAsia="宋体" w:cs="宋体"/>
          <w:spacing w:val="18"/>
          <w:sz w:val="24"/>
          <w:szCs w:val="24"/>
          <w:highlight w:val="none"/>
        </w:rPr>
        <w:t xml:space="preserve"> </w:t>
      </w:r>
      <w:r>
        <w:rPr>
          <w:rFonts w:ascii="宋体" w:hAnsi="宋体" w:eastAsia="宋体" w:cs="宋体"/>
          <w:spacing w:val="-3"/>
          <w:sz w:val="24"/>
          <w:szCs w:val="24"/>
          <w:highlight w:val="none"/>
        </w:rPr>
        <w:t>商自己承担。</w:t>
      </w:r>
    </w:p>
    <w:p w14:paraId="3FADA0F5">
      <w:pPr>
        <w:spacing w:line="218"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2.5</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磋商文件的解释权归采购代理机构。</w:t>
      </w:r>
    </w:p>
    <w:p w14:paraId="6BC878C5">
      <w:pPr>
        <w:spacing w:before="216"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2.6</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竞争性磋商供应商资格要求详见磋商须知前附表。</w:t>
      </w:r>
    </w:p>
    <w:p w14:paraId="461E68B4">
      <w:pPr>
        <w:spacing w:before="214"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2.7</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供应商投送响应文件后，视作对本磋商文件的认同。</w:t>
      </w:r>
    </w:p>
    <w:p w14:paraId="2E2D2657">
      <w:pPr>
        <w:spacing w:before="215"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2.8</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磋商语言：中文。</w:t>
      </w:r>
    </w:p>
    <w:p w14:paraId="49EBCEF1">
      <w:pPr>
        <w:spacing w:before="215"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2.9</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磋商货币：人民币。</w:t>
      </w:r>
    </w:p>
    <w:p w14:paraId="48B20162">
      <w:pPr>
        <w:spacing w:before="215"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2.10</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度量衡单位：采用中华人民共和国法定计量单位。</w:t>
      </w:r>
    </w:p>
    <w:p w14:paraId="64CE53AE">
      <w:pPr>
        <w:spacing w:before="216" w:line="343" w:lineRule="auto"/>
        <w:ind w:firstLine="483"/>
        <w:rPr>
          <w:rFonts w:ascii="宋体" w:hAnsi="宋体" w:eastAsia="宋体" w:cs="宋体"/>
          <w:sz w:val="24"/>
          <w:szCs w:val="24"/>
          <w:highlight w:val="none"/>
        </w:rPr>
      </w:pPr>
      <w:r>
        <w:rPr>
          <w:rFonts w:ascii="宋体" w:hAnsi="宋体" w:eastAsia="宋体" w:cs="宋体"/>
          <w:spacing w:val="-2"/>
          <w:sz w:val="24"/>
          <w:szCs w:val="24"/>
          <w:highlight w:val="none"/>
        </w:rPr>
        <w:t>2.11供应商获取磋商文件后，应认真阅读文件的所有事项、格式、条款和规范要求</w:t>
      </w:r>
      <w:r>
        <w:rPr>
          <w:rFonts w:ascii="宋体" w:hAnsi="宋体" w:eastAsia="宋体" w:cs="宋体"/>
          <w:spacing w:val="14"/>
          <w:sz w:val="24"/>
          <w:szCs w:val="24"/>
          <w:highlight w:val="none"/>
        </w:rPr>
        <w:t xml:space="preserve"> </w:t>
      </w:r>
      <w:r>
        <w:rPr>
          <w:rFonts w:ascii="宋体" w:hAnsi="宋体" w:eastAsia="宋体" w:cs="宋体"/>
          <w:spacing w:val="-2"/>
          <w:sz w:val="24"/>
          <w:szCs w:val="24"/>
          <w:highlight w:val="none"/>
        </w:rPr>
        <w:t>等，并充分考虑磋商文件的各项条款和本项目的实际条件，根据自身情况，按照磋商文件所给定的磋商文件格式提交磋商响应文件；若供应商的磋商响应文件没有按磋商文件</w:t>
      </w:r>
      <w:r>
        <w:rPr>
          <w:rFonts w:ascii="宋体" w:hAnsi="宋体" w:eastAsia="宋体" w:cs="宋体"/>
          <w:spacing w:val="18"/>
          <w:sz w:val="24"/>
          <w:szCs w:val="24"/>
          <w:highlight w:val="none"/>
        </w:rPr>
        <w:t xml:space="preserve"> </w:t>
      </w:r>
      <w:r>
        <w:rPr>
          <w:rFonts w:ascii="宋体" w:hAnsi="宋体" w:eastAsia="宋体" w:cs="宋体"/>
          <w:spacing w:val="-6"/>
          <w:sz w:val="24"/>
          <w:szCs w:val="24"/>
          <w:highlight w:val="none"/>
        </w:rPr>
        <w:t>要求提交全部资料，或磋商响应文件没有对磋商文件做出实质性响应，该磋商将被拒绝。</w:t>
      </w:r>
    </w:p>
    <w:p w14:paraId="0A2A7100">
      <w:pPr>
        <w:spacing w:before="216"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2.12</w:t>
      </w:r>
      <w:r>
        <w:rPr>
          <w:rFonts w:ascii="宋体" w:hAnsi="宋体" w:eastAsia="宋体" w:cs="宋体"/>
          <w:spacing w:val="-40"/>
          <w:sz w:val="24"/>
          <w:szCs w:val="24"/>
          <w:highlight w:val="none"/>
        </w:rPr>
        <w:t xml:space="preserve"> </w:t>
      </w:r>
      <w:r>
        <w:rPr>
          <w:rFonts w:ascii="宋体" w:hAnsi="宋体" w:eastAsia="宋体" w:cs="宋体"/>
          <w:spacing w:val="-1"/>
          <w:sz w:val="24"/>
          <w:szCs w:val="24"/>
          <w:highlight w:val="none"/>
        </w:rPr>
        <w:t>磋商响应文件应用不褪色的黑色墨水书写或打印，文字须清晰可辨。</w:t>
      </w:r>
    </w:p>
    <w:p w14:paraId="23A459EF">
      <w:pPr>
        <w:spacing w:before="214" w:line="302" w:lineRule="auto"/>
        <w:ind w:left="2" w:right="80" w:firstLine="481"/>
        <w:rPr>
          <w:rFonts w:ascii="宋体" w:hAnsi="宋体" w:eastAsia="宋体" w:cs="宋体"/>
          <w:sz w:val="24"/>
          <w:szCs w:val="24"/>
          <w:highlight w:val="none"/>
        </w:rPr>
      </w:pPr>
      <w:r>
        <w:rPr>
          <w:rFonts w:ascii="宋体" w:hAnsi="宋体" w:eastAsia="宋体" w:cs="宋体"/>
          <w:spacing w:val="-3"/>
          <w:sz w:val="24"/>
          <w:szCs w:val="24"/>
          <w:highlight w:val="none"/>
        </w:rPr>
        <w:t>2.13</w:t>
      </w:r>
      <w:r>
        <w:rPr>
          <w:rFonts w:ascii="宋体" w:hAnsi="宋体" w:eastAsia="宋体" w:cs="宋体"/>
          <w:spacing w:val="-52"/>
          <w:sz w:val="24"/>
          <w:szCs w:val="24"/>
          <w:highlight w:val="none"/>
        </w:rPr>
        <w:t xml:space="preserve"> </w:t>
      </w:r>
      <w:r>
        <w:rPr>
          <w:rFonts w:ascii="宋体" w:hAnsi="宋体" w:eastAsia="宋体" w:cs="宋体"/>
          <w:spacing w:val="-3"/>
          <w:sz w:val="24"/>
          <w:szCs w:val="24"/>
          <w:highlight w:val="none"/>
        </w:rPr>
        <w:t>磋商响应文件不允许有涂改，</w:t>
      </w:r>
      <w:r>
        <w:rPr>
          <w:rFonts w:hint="eastAsia" w:hAnsi="宋体" w:cs="宋体"/>
          <w:spacing w:val="-3"/>
          <w:sz w:val="24"/>
          <w:szCs w:val="24"/>
          <w:highlight w:val="none"/>
          <w:lang w:eastAsia="zh-CN"/>
        </w:rPr>
        <w:t>确需</w:t>
      </w:r>
      <w:r>
        <w:rPr>
          <w:rFonts w:ascii="宋体" w:hAnsi="宋体" w:eastAsia="宋体" w:cs="宋体"/>
          <w:spacing w:val="-3"/>
          <w:sz w:val="24"/>
          <w:szCs w:val="24"/>
          <w:highlight w:val="none"/>
        </w:rPr>
        <w:t>涂改时</w:t>
      </w:r>
      <w:r>
        <w:rPr>
          <w:rFonts w:ascii="宋体" w:hAnsi="宋体" w:eastAsia="宋体" w:cs="宋体"/>
          <w:spacing w:val="-4"/>
          <w:sz w:val="24"/>
          <w:szCs w:val="24"/>
          <w:highlight w:val="none"/>
        </w:rPr>
        <w:t>，涂改处应加盖供应商法定代表人或</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其委托人的印鉴。</w:t>
      </w:r>
    </w:p>
    <w:p w14:paraId="0F098559">
      <w:pPr>
        <w:spacing w:before="216"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2.14</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成交供应商的磋商响应文件将是合同的组成部分。</w:t>
      </w:r>
    </w:p>
    <w:p w14:paraId="52D95FF5">
      <w:pPr>
        <w:spacing w:before="214" w:line="361" w:lineRule="auto"/>
        <w:ind w:left="1" w:right="80" w:firstLine="482"/>
        <w:rPr>
          <w:rFonts w:ascii="宋体" w:hAnsi="宋体" w:eastAsia="宋体" w:cs="宋体"/>
          <w:sz w:val="24"/>
          <w:szCs w:val="24"/>
          <w:highlight w:val="none"/>
        </w:rPr>
      </w:pPr>
      <w:r>
        <w:rPr>
          <w:rFonts w:ascii="宋体" w:hAnsi="宋体" w:eastAsia="宋体" w:cs="宋体"/>
          <w:sz w:val="24"/>
          <w:szCs w:val="24"/>
          <w:highlight w:val="none"/>
        </w:rPr>
        <w:t>2.15</w:t>
      </w:r>
      <w:r>
        <w:rPr>
          <w:rFonts w:ascii="宋体" w:hAnsi="宋体" w:eastAsia="宋体" w:cs="宋体"/>
          <w:spacing w:val="-52"/>
          <w:sz w:val="24"/>
          <w:szCs w:val="24"/>
          <w:highlight w:val="none"/>
        </w:rPr>
        <w:t xml:space="preserve"> </w:t>
      </w:r>
      <w:r>
        <w:rPr>
          <w:rFonts w:ascii="宋体" w:hAnsi="宋体" w:eastAsia="宋体" w:cs="宋体"/>
          <w:sz w:val="24"/>
          <w:szCs w:val="24"/>
          <w:highlight w:val="none"/>
        </w:rPr>
        <w:t>磋商响应文件的份数电子文件（*.SXSTF）一份。响应</w:t>
      </w:r>
      <w:r>
        <w:rPr>
          <w:rFonts w:ascii="宋体" w:hAnsi="宋体" w:eastAsia="宋体" w:cs="宋体"/>
          <w:spacing w:val="-1"/>
          <w:sz w:val="24"/>
          <w:szCs w:val="24"/>
          <w:highlight w:val="none"/>
        </w:rPr>
        <w:t>文件须按照磋商文件要</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求签字或盖章，要求签字处由供应商法定代表人或经法定代表人正式授权的</w:t>
      </w:r>
      <w:r>
        <w:rPr>
          <w:rFonts w:ascii="宋体" w:hAnsi="宋体" w:eastAsia="宋体" w:cs="宋体"/>
          <w:spacing w:val="4"/>
          <w:sz w:val="24"/>
          <w:szCs w:val="24"/>
          <w:highlight w:val="none"/>
        </w:rPr>
        <w:t>代表签字</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（磋商文件要求响应文件中法定代表人签字处由法定代表人签署，要求授权代表签字处</w:t>
      </w:r>
      <w:r>
        <w:rPr>
          <w:rFonts w:ascii="宋体" w:hAnsi="宋体" w:eastAsia="宋体" w:cs="宋体"/>
          <w:spacing w:val="17"/>
          <w:sz w:val="24"/>
          <w:szCs w:val="24"/>
          <w:highlight w:val="none"/>
        </w:rPr>
        <w:t xml:space="preserve"> </w:t>
      </w:r>
      <w:r>
        <w:rPr>
          <w:rFonts w:ascii="宋体" w:hAnsi="宋体" w:eastAsia="宋体" w:cs="宋体"/>
          <w:spacing w:val="-1"/>
          <w:sz w:val="24"/>
          <w:szCs w:val="24"/>
          <w:highlight w:val="none"/>
        </w:rPr>
        <w:t>由授权代表签署</w:t>
      </w:r>
      <w:r>
        <w:rPr>
          <w:rFonts w:ascii="宋体" w:hAnsi="宋体" w:eastAsia="宋体" w:cs="宋体"/>
          <w:spacing w:val="-7"/>
          <w:sz w:val="24"/>
          <w:szCs w:val="24"/>
          <w:highlight w:val="none"/>
        </w:rPr>
        <w:t>），</w:t>
      </w:r>
      <w:r>
        <w:rPr>
          <w:rFonts w:ascii="宋体" w:hAnsi="宋体" w:eastAsia="宋体" w:cs="宋体"/>
          <w:spacing w:val="-1"/>
          <w:sz w:val="24"/>
          <w:szCs w:val="24"/>
          <w:highlight w:val="none"/>
        </w:rPr>
        <w:t>若由授权代表签署，须将按磋商文件规定的格</w:t>
      </w:r>
      <w:r>
        <w:rPr>
          <w:rFonts w:ascii="宋体" w:hAnsi="宋体" w:eastAsia="宋体" w:cs="宋体"/>
          <w:spacing w:val="-2"/>
          <w:sz w:val="24"/>
          <w:szCs w:val="24"/>
          <w:highlight w:val="none"/>
        </w:rPr>
        <w:t>式出具的“法定代表人授权书</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”附在响应文件中，所有要求签字（名）处</w:t>
      </w:r>
      <w:r>
        <w:rPr>
          <w:rFonts w:ascii="宋体" w:hAnsi="宋体" w:eastAsia="宋体" w:cs="宋体"/>
          <w:spacing w:val="-3"/>
          <w:sz w:val="24"/>
          <w:szCs w:val="24"/>
          <w:highlight w:val="none"/>
        </w:rPr>
        <w:t>，均须由签字（名）者本人用不褪</w:t>
      </w:r>
      <w:r>
        <w:rPr>
          <w:rFonts w:ascii="宋体" w:hAnsi="宋体" w:eastAsia="宋体" w:cs="宋体"/>
          <w:spacing w:val="-1"/>
          <w:sz w:val="24"/>
          <w:szCs w:val="24"/>
          <w:highlight w:val="none"/>
        </w:rPr>
        <w:t>色的蓝(黑)色墨水(汁)书写，不得用任何形</w:t>
      </w:r>
      <w:r>
        <w:rPr>
          <w:rFonts w:ascii="宋体" w:hAnsi="宋体" w:eastAsia="宋体" w:cs="宋体"/>
          <w:spacing w:val="-2"/>
          <w:sz w:val="24"/>
          <w:szCs w:val="24"/>
          <w:highlight w:val="none"/>
        </w:rPr>
        <w:t>式的图章代替；要求盖章处加盖供应商单位</w:t>
      </w:r>
      <w:r>
        <w:rPr>
          <w:rFonts w:ascii="宋体" w:hAnsi="宋体" w:eastAsia="宋体" w:cs="宋体"/>
          <w:sz w:val="24"/>
          <w:szCs w:val="24"/>
          <w:highlight w:val="none"/>
        </w:rPr>
        <w:t>鲜章。因字迹潦草、表述不清或未按以上要求编制的响应</w:t>
      </w:r>
      <w:r>
        <w:rPr>
          <w:rFonts w:ascii="宋体" w:hAnsi="宋体" w:eastAsia="宋体" w:cs="宋体"/>
          <w:spacing w:val="-1"/>
          <w:sz w:val="24"/>
          <w:szCs w:val="24"/>
          <w:highlight w:val="none"/>
        </w:rPr>
        <w:t>文件，按无效响应处理。</w:t>
      </w:r>
    </w:p>
    <w:p w14:paraId="0BB5D5C8">
      <w:pPr>
        <w:spacing w:before="216" w:line="303" w:lineRule="auto"/>
        <w:ind w:right="77" w:firstLine="484"/>
        <w:rPr>
          <w:rFonts w:ascii="宋体" w:hAnsi="宋体" w:eastAsia="宋体" w:cs="宋体"/>
          <w:sz w:val="24"/>
          <w:szCs w:val="24"/>
          <w:highlight w:val="none"/>
        </w:rPr>
      </w:pPr>
      <w:r>
        <w:rPr>
          <w:rFonts w:ascii="宋体" w:hAnsi="宋体" w:eastAsia="宋体" w:cs="宋体"/>
          <w:sz w:val="24"/>
          <w:szCs w:val="24"/>
          <w:highlight w:val="none"/>
        </w:rPr>
        <w:t>2.16</w:t>
      </w:r>
      <w:r>
        <w:rPr>
          <w:rFonts w:ascii="宋体" w:hAnsi="宋体" w:eastAsia="宋体" w:cs="宋体"/>
          <w:spacing w:val="-50"/>
          <w:sz w:val="24"/>
          <w:szCs w:val="24"/>
          <w:highlight w:val="none"/>
        </w:rPr>
        <w:t xml:space="preserve"> </w:t>
      </w:r>
      <w:r>
        <w:rPr>
          <w:rFonts w:ascii="宋体" w:hAnsi="宋体" w:eastAsia="宋体" w:cs="宋体"/>
          <w:sz w:val="24"/>
          <w:szCs w:val="24"/>
          <w:highlight w:val="none"/>
        </w:rPr>
        <w:t>磋商响应文件（电子文件（*.SX</w:t>
      </w:r>
      <w:r>
        <w:rPr>
          <w:rFonts w:ascii="宋体" w:hAnsi="宋体" w:eastAsia="宋体" w:cs="宋体"/>
          <w:spacing w:val="-1"/>
          <w:sz w:val="24"/>
          <w:szCs w:val="24"/>
          <w:highlight w:val="none"/>
        </w:rPr>
        <w:t>STF</w:t>
      </w:r>
      <w:r>
        <w:rPr>
          <w:rFonts w:ascii="宋体" w:hAnsi="宋体" w:eastAsia="宋体" w:cs="宋体"/>
          <w:spacing w:val="5"/>
          <w:sz w:val="24"/>
          <w:szCs w:val="24"/>
          <w:highlight w:val="none"/>
        </w:rPr>
        <w:t>））</w:t>
      </w:r>
      <w:r>
        <w:rPr>
          <w:rFonts w:ascii="宋体" w:hAnsi="宋体" w:eastAsia="宋体" w:cs="宋体"/>
          <w:spacing w:val="-1"/>
          <w:sz w:val="24"/>
          <w:szCs w:val="24"/>
          <w:highlight w:val="none"/>
        </w:rPr>
        <w:t>在磋商截止时间前上传，邮寄或逾期</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送达恕不接受。</w:t>
      </w:r>
    </w:p>
    <w:p w14:paraId="13DE91F8">
      <w:pPr>
        <w:spacing w:before="212"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2.17</w:t>
      </w:r>
      <w:r>
        <w:rPr>
          <w:rFonts w:ascii="宋体" w:hAnsi="宋体" w:eastAsia="宋体" w:cs="宋体"/>
          <w:spacing w:val="-37"/>
          <w:sz w:val="24"/>
          <w:szCs w:val="24"/>
          <w:highlight w:val="none"/>
        </w:rPr>
        <w:t xml:space="preserve"> </w:t>
      </w:r>
      <w:r>
        <w:rPr>
          <w:rFonts w:ascii="宋体" w:hAnsi="宋体" w:eastAsia="宋体" w:cs="宋体"/>
          <w:spacing w:val="-1"/>
          <w:sz w:val="24"/>
          <w:szCs w:val="24"/>
          <w:highlight w:val="none"/>
        </w:rPr>
        <w:t>磋商响应文件一经提交，无论供应商是否成交，其磋商响应文件均不返还。</w:t>
      </w:r>
    </w:p>
    <w:p w14:paraId="210DEA2C">
      <w:pPr>
        <w:spacing w:before="215" w:line="219" w:lineRule="auto"/>
        <w:ind w:left="568"/>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3、电子响应文件的编制与签名</w:t>
      </w:r>
    </w:p>
    <w:p w14:paraId="205CB3E9">
      <w:pPr>
        <w:spacing w:before="215" w:line="219"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3.1</w:t>
      </w:r>
      <w:r>
        <w:rPr>
          <w:rFonts w:ascii="宋体" w:hAnsi="宋体" w:eastAsia="宋体" w:cs="宋体"/>
          <w:spacing w:val="-41"/>
          <w:sz w:val="24"/>
          <w:szCs w:val="24"/>
          <w:highlight w:val="none"/>
        </w:rPr>
        <w:t xml:space="preserve"> </w:t>
      </w:r>
      <w:r>
        <w:rPr>
          <w:rFonts w:ascii="宋体" w:hAnsi="宋体" w:eastAsia="宋体" w:cs="宋体"/>
          <w:spacing w:val="-1"/>
          <w:sz w:val="24"/>
          <w:szCs w:val="24"/>
          <w:highlight w:val="none"/>
        </w:rPr>
        <w:t>本项目采用电子投标文件的方式，投标人在投标时须提供电子投标文件。</w:t>
      </w:r>
    </w:p>
    <w:p w14:paraId="161F5D98">
      <w:pPr>
        <w:spacing w:before="216" w:line="357" w:lineRule="auto"/>
        <w:ind w:right="12" w:firstLine="486"/>
        <w:rPr>
          <w:rFonts w:ascii="宋体" w:hAnsi="宋体" w:eastAsia="宋体" w:cs="宋体"/>
          <w:sz w:val="24"/>
          <w:szCs w:val="24"/>
          <w:highlight w:val="none"/>
        </w:rPr>
      </w:pPr>
      <w:r>
        <w:rPr>
          <w:rFonts w:ascii="宋体" w:hAnsi="宋体" w:eastAsia="宋体" w:cs="宋体"/>
          <w:sz w:val="24"/>
          <w:szCs w:val="24"/>
          <w:highlight w:val="none"/>
        </w:rPr>
        <w:t>3.2</w:t>
      </w:r>
      <w:r>
        <w:rPr>
          <w:rFonts w:ascii="宋体" w:hAnsi="宋体" w:eastAsia="宋体" w:cs="宋体"/>
          <w:spacing w:val="-49"/>
          <w:sz w:val="24"/>
          <w:szCs w:val="24"/>
          <w:highlight w:val="none"/>
        </w:rPr>
        <w:t xml:space="preserve"> </w:t>
      </w:r>
      <w:r>
        <w:rPr>
          <w:rFonts w:ascii="宋体" w:hAnsi="宋体" w:eastAsia="宋体" w:cs="宋体"/>
          <w:sz w:val="24"/>
          <w:szCs w:val="24"/>
          <w:highlight w:val="none"/>
        </w:rPr>
        <w:t>编制电子投标文件时，应使用最新发布的电</w:t>
      </w:r>
      <w:r>
        <w:rPr>
          <w:rFonts w:ascii="宋体" w:hAnsi="宋体" w:eastAsia="宋体" w:cs="宋体"/>
          <w:spacing w:val="-1"/>
          <w:sz w:val="24"/>
          <w:szCs w:val="24"/>
          <w:highlight w:val="none"/>
        </w:rPr>
        <w:t>子招标文件及专用制作工具进行编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制。并使用数字认证证书（CA）对电子投标文</w:t>
      </w:r>
      <w:r>
        <w:rPr>
          <w:rFonts w:ascii="宋体" w:hAnsi="宋体" w:eastAsia="宋体" w:cs="宋体"/>
          <w:spacing w:val="-2"/>
          <w:sz w:val="24"/>
          <w:szCs w:val="24"/>
          <w:highlight w:val="none"/>
        </w:rPr>
        <w:t>件进行签署、加密、递交及开标时解密等</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相关操作。投标文件中需要加盖法定代表人私章的地方，请使用“法人</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CA</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”进行签章；</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 xml:space="preserve">需要加盖供应商公章的地方，请使用“企业 </w:t>
      </w:r>
      <w:r>
        <w:rPr>
          <w:rFonts w:ascii="宋体" w:hAnsi="宋体" w:eastAsia="宋体" w:cs="宋体"/>
          <w:sz w:val="24"/>
          <w:szCs w:val="24"/>
          <w:highlight w:val="none"/>
        </w:rPr>
        <w:t>CA</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”进行盖章。加密和</w:t>
      </w:r>
      <w:r>
        <w:rPr>
          <w:rFonts w:ascii="宋体" w:hAnsi="宋体" w:eastAsia="宋体" w:cs="宋体"/>
          <w:sz w:val="24"/>
          <w:szCs w:val="24"/>
          <w:highlight w:val="none"/>
        </w:rPr>
        <w:t xml:space="preserve">解密应当使用同一 </w:t>
      </w:r>
      <w:r>
        <w:rPr>
          <w:rFonts w:ascii="宋体" w:hAnsi="宋体" w:eastAsia="宋体" w:cs="宋体"/>
          <w:spacing w:val="-1"/>
          <w:sz w:val="24"/>
          <w:szCs w:val="24"/>
          <w:highlight w:val="none"/>
        </w:rPr>
        <w:t>CA，否则将会导致解密失败，在编制过程中，</w:t>
      </w:r>
      <w:r>
        <w:rPr>
          <w:rFonts w:ascii="宋体" w:hAnsi="宋体" w:eastAsia="宋体" w:cs="宋体"/>
          <w:spacing w:val="-2"/>
          <w:sz w:val="24"/>
          <w:szCs w:val="24"/>
          <w:highlight w:val="none"/>
        </w:rPr>
        <w:t>如有技术性问题，请先翻阅操作手册或致</w:t>
      </w:r>
      <w:r>
        <w:rPr>
          <w:rFonts w:ascii="宋体" w:hAnsi="宋体" w:eastAsia="宋体" w:cs="宋体"/>
          <w:sz w:val="24"/>
          <w:szCs w:val="24"/>
          <w:highlight w:val="none"/>
        </w:rPr>
        <w:t xml:space="preserve"> 电软件开发商，技术支持热线：4009280095、40</w:t>
      </w:r>
      <w:r>
        <w:rPr>
          <w:rFonts w:ascii="宋体" w:hAnsi="宋体" w:eastAsia="宋体" w:cs="宋体"/>
          <w:spacing w:val="-1"/>
          <w:sz w:val="24"/>
          <w:szCs w:val="24"/>
          <w:highlight w:val="none"/>
        </w:rPr>
        <w:t>09980000。</w:t>
      </w:r>
    </w:p>
    <w:p w14:paraId="7856D1D8">
      <w:pPr>
        <w:spacing w:before="214" w:line="219" w:lineRule="auto"/>
        <w:ind w:left="254"/>
        <w:rPr>
          <w:rFonts w:ascii="宋体" w:hAnsi="宋体" w:eastAsia="宋体" w:cs="宋体"/>
          <w:sz w:val="24"/>
          <w:szCs w:val="24"/>
          <w:highlight w:val="none"/>
        </w:rPr>
      </w:pPr>
      <w:r>
        <w:rPr>
          <w:rFonts w:ascii="宋体" w:hAnsi="宋体" w:eastAsia="宋体" w:cs="宋体"/>
          <w:spacing w:val="-2"/>
          <w:sz w:val="24"/>
          <w:szCs w:val="24"/>
          <w:highlight w:val="none"/>
        </w:rPr>
        <w:t>（1）电子招标文件下载</w:t>
      </w:r>
    </w:p>
    <w:p w14:paraId="2C62BCA2">
      <w:pPr>
        <w:pStyle w:val="10"/>
        <w:spacing w:before="213" w:line="385" w:lineRule="auto"/>
        <w:ind w:left="3" w:firstLine="481"/>
        <w:rPr>
          <w:rFonts w:ascii="宋体" w:hAnsi="宋体" w:eastAsia="宋体" w:cs="宋体"/>
          <w:sz w:val="24"/>
          <w:szCs w:val="24"/>
          <w:highlight w:val="none"/>
        </w:rPr>
      </w:pPr>
      <w:r>
        <w:rPr>
          <w:rFonts w:ascii="宋体" w:hAnsi="宋体" w:eastAsia="宋体" w:cs="宋体"/>
          <w:spacing w:val="3"/>
          <w:sz w:val="24"/>
          <w:szCs w:val="24"/>
          <w:highlight w:val="none"/>
        </w:rPr>
        <w:t xml:space="preserve">投标人登录全国公共资源交易平台（陕西省 </w:t>
      </w:r>
      <w:r>
        <w:rPr>
          <w:spacing w:val="2"/>
          <w:sz w:val="24"/>
          <w:szCs w:val="24"/>
          <w:highlight w:val="none"/>
        </w:rPr>
        <w:t xml:space="preserve">.  </w:t>
      </w:r>
      <w:r>
        <w:rPr>
          <w:rFonts w:ascii="宋体" w:hAnsi="宋体" w:eastAsia="宋体" w:cs="宋体"/>
          <w:spacing w:val="2"/>
          <w:sz w:val="24"/>
          <w:szCs w:val="24"/>
          <w:highlight w:val="none"/>
        </w:rPr>
        <w:t>宝鸡市）网站[电子交易平台-企业</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端]后，在[我的项目]中点击“项目流程-交易文件下载</w:t>
      </w:r>
      <w:r>
        <w:rPr>
          <w:rFonts w:ascii="宋体" w:hAnsi="宋体" w:eastAsia="宋体" w:cs="宋体"/>
          <w:spacing w:val="-84"/>
          <w:sz w:val="24"/>
          <w:szCs w:val="24"/>
          <w:highlight w:val="none"/>
        </w:rPr>
        <w:t xml:space="preserve"> </w:t>
      </w:r>
      <w:r>
        <w:rPr>
          <w:rFonts w:ascii="宋体" w:hAnsi="宋体" w:eastAsia="宋体" w:cs="宋体"/>
          <w:spacing w:val="-5"/>
          <w:sz w:val="24"/>
          <w:szCs w:val="24"/>
          <w:highlight w:val="none"/>
        </w:rPr>
        <w:t>”下载电子招标文件（*.SXSZF</w:t>
      </w:r>
      <w:r>
        <w:rPr>
          <w:rFonts w:ascii="宋体" w:hAnsi="宋体" w:eastAsia="宋体" w:cs="宋体"/>
          <w:spacing w:val="-55"/>
          <w:w w:val="85"/>
          <w:sz w:val="24"/>
          <w:szCs w:val="24"/>
          <w:highlight w:val="none"/>
        </w:rPr>
        <w:t>）；</w:t>
      </w:r>
    </w:p>
    <w:p w14:paraId="1665FAE8">
      <w:pPr>
        <w:spacing w:before="3" w:line="384" w:lineRule="auto"/>
        <w:ind w:left="1" w:right="58" w:firstLine="480"/>
        <w:jc w:val="both"/>
        <w:rPr>
          <w:rFonts w:ascii="宋体" w:hAnsi="宋体" w:eastAsia="宋体" w:cs="宋体"/>
          <w:sz w:val="24"/>
          <w:szCs w:val="24"/>
          <w:highlight w:val="none"/>
        </w:rPr>
      </w:pPr>
      <w:r>
        <w:rPr>
          <w:rFonts w:ascii="宋体" w:hAnsi="宋体" w:eastAsia="宋体" w:cs="宋体"/>
          <w:spacing w:val="1"/>
          <w:sz w:val="24"/>
          <w:szCs w:val="24"/>
          <w:highlight w:val="none"/>
        </w:rPr>
        <w:t>注意：该项目如有变更文件，则应点击“项目流程&gt;答疑文件</w:t>
      </w:r>
      <w:r>
        <w:rPr>
          <w:rFonts w:ascii="宋体" w:hAnsi="宋体" w:eastAsia="宋体" w:cs="宋体"/>
          <w:sz w:val="24"/>
          <w:szCs w:val="24"/>
          <w:highlight w:val="none"/>
        </w:rPr>
        <w:t>下载</w:t>
      </w:r>
      <w:r>
        <w:rPr>
          <w:rFonts w:ascii="宋体" w:hAnsi="宋体" w:eastAsia="宋体" w:cs="宋体"/>
          <w:spacing w:val="-86"/>
          <w:sz w:val="24"/>
          <w:szCs w:val="24"/>
          <w:highlight w:val="none"/>
        </w:rPr>
        <w:t xml:space="preserve"> </w:t>
      </w:r>
      <w:r>
        <w:rPr>
          <w:rFonts w:ascii="宋体" w:hAnsi="宋体" w:eastAsia="宋体" w:cs="宋体"/>
          <w:sz w:val="24"/>
          <w:szCs w:val="24"/>
          <w:highlight w:val="none"/>
        </w:rPr>
        <w:t xml:space="preserve">”下载更新后的 </w:t>
      </w:r>
      <w:r>
        <w:rPr>
          <w:rFonts w:ascii="宋体" w:hAnsi="宋体" w:eastAsia="宋体" w:cs="宋体"/>
          <w:spacing w:val="1"/>
          <w:sz w:val="24"/>
          <w:szCs w:val="24"/>
          <w:highlight w:val="none"/>
        </w:rPr>
        <w:t>电子招标文件（*.</w:t>
      </w:r>
      <w:r>
        <w:rPr>
          <w:rFonts w:ascii="宋体" w:hAnsi="宋体" w:eastAsia="宋体" w:cs="宋体"/>
          <w:sz w:val="24"/>
          <w:szCs w:val="24"/>
          <w:highlight w:val="none"/>
        </w:rPr>
        <w:t>SXSCF</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使用旧版电子招标文件制作的电子磋商响应文件，系统将</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拒绝接收。</w:t>
      </w:r>
    </w:p>
    <w:p w14:paraId="383F1589">
      <w:pPr>
        <w:pStyle w:val="10"/>
        <w:spacing w:before="2" w:line="384" w:lineRule="auto"/>
        <w:ind w:left="7" w:right="56" w:firstLine="246"/>
        <w:jc w:val="both"/>
        <w:rPr>
          <w:rFonts w:ascii="宋体" w:hAnsi="宋体" w:eastAsia="宋体" w:cs="宋体"/>
          <w:sz w:val="24"/>
          <w:szCs w:val="24"/>
          <w:highlight w:val="none"/>
        </w:rPr>
      </w:pPr>
      <w:r>
        <w:rPr>
          <w:rFonts w:ascii="宋体" w:hAnsi="宋体" w:eastAsia="宋体" w:cs="宋体"/>
          <w:spacing w:val="1"/>
          <w:sz w:val="24"/>
          <w:szCs w:val="24"/>
          <w:highlight w:val="none"/>
        </w:rPr>
        <w:t>（2）电子招标文件需要使用专用软件打开、浏览供应商登录全国公共资源交易平台</w:t>
      </w:r>
      <w:r>
        <w:rPr>
          <w:rFonts w:ascii="宋体" w:hAnsi="宋体" w:eastAsia="宋体" w:cs="宋体"/>
          <w:spacing w:val="13"/>
          <w:sz w:val="24"/>
          <w:szCs w:val="24"/>
          <w:highlight w:val="none"/>
        </w:rPr>
        <w:t xml:space="preserve"> </w:t>
      </w:r>
      <w:r>
        <w:rPr>
          <w:rFonts w:ascii="宋体" w:hAnsi="宋体" w:eastAsia="宋体" w:cs="宋体"/>
          <w:spacing w:val="5"/>
          <w:sz w:val="24"/>
          <w:szCs w:val="24"/>
          <w:highlight w:val="none"/>
        </w:rPr>
        <w:t>（陕西省</w:t>
      </w:r>
      <w:r>
        <w:rPr>
          <w:spacing w:val="5"/>
          <w:sz w:val="24"/>
          <w:szCs w:val="24"/>
          <w:highlight w:val="none"/>
        </w:rPr>
        <w:t>.</w:t>
      </w:r>
      <w:r>
        <w:rPr>
          <w:rFonts w:ascii="宋体" w:hAnsi="宋体" w:eastAsia="宋体" w:cs="宋体"/>
          <w:spacing w:val="5"/>
          <w:sz w:val="24"/>
          <w:szCs w:val="24"/>
          <w:highlight w:val="none"/>
        </w:rPr>
        <w:t>宝鸡市）网站[服务指南-下载专区]免费下载《政府采购电子标书制作工</w:t>
      </w:r>
      <w:r>
        <w:rPr>
          <w:rFonts w:ascii="宋体" w:hAnsi="宋体" w:eastAsia="宋体" w:cs="宋体"/>
          <w:spacing w:val="-11"/>
          <w:sz w:val="24"/>
          <w:szCs w:val="24"/>
          <w:highlight w:val="none"/>
        </w:rPr>
        <w:t>具》，下载网址：</w:t>
      </w:r>
    </w:p>
    <w:p w14:paraId="32312B01">
      <w:pPr>
        <w:pStyle w:val="10"/>
        <w:spacing w:before="2" w:line="384" w:lineRule="auto"/>
        <w:ind w:right="58"/>
        <w:jc w:val="both"/>
        <w:rPr>
          <w:rFonts w:ascii="宋体" w:hAnsi="宋体" w:eastAsia="宋体" w:cs="宋体"/>
          <w:sz w:val="24"/>
          <w:szCs w:val="24"/>
          <w:highlight w:val="none"/>
        </w:rPr>
      </w:pPr>
      <w:r>
        <w:rPr>
          <w:highlight w:val="none"/>
        </w:rPr>
        <w:fldChar w:fldCharType="begin"/>
      </w:r>
      <w:r>
        <w:rPr>
          <w:highlight w:val="none"/>
        </w:rPr>
        <w:instrText xml:space="preserve"> HYPERLINK "http://ggzy.baoji.gov.cn/fwzn/004003/20210603/0214cb83-88bf-4cac-a383-881c0900606d.html" </w:instrText>
      </w:r>
      <w:r>
        <w:rPr>
          <w:highlight w:val="none"/>
        </w:rPr>
        <w:fldChar w:fldCharType="separate"/>
      </w:r>
      <w:r>
        <w:rPr>
          <w:rFonts w:ascii="宋体" w:hAnsi="宋体" w:eastAsia="宋体" w:cs="宋体"/>
          <w:sz w:val="24"/>
          <w:szCs w:val="24"/>
          <w:highlight w:val="none"/>
        </w:rPr>
        <w:t>http://ggzy.baoji.gov.cn/fwzn/004003/20210603/0214cb83-88bf-4cac-a3</w:t>
      </w:r>
      <w:r>
        <w:rPr>
          <w:rFonts w:ascii="宋体" w:hAnsi="宋体" w:eastAsia="宋体" w:cs="宋体"/>
          <w:spacing w:val="-1"/>
          <w:sz w:val="24"/>
          <w:szCs w:val="24"/>
          <w:highlight w:val="none"/>
        </w:rPr>
        <w:t>83-881c0</w:t>
      </w:r>
      <w:r>
        <w:rPr>
          <w:rFonts w:ascii="宋体" w:hAnsi="宋体" w:eastAsia="宋体" w:cs="宋体"/>
          <w:spacing w:val="-1"/>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"http://ggzy.baoji.gov.cn/fwzn/004003/20210603/0214cb83-88bf-4cac-a383-881c0900606d.html" </w:instrText>
      </w:r>
      <w:r>
        <w:rPr>
          <w:highlight w:val="none"/>
        </w:rPr>
        <w:fldChar w:fldCharType="separate"/>
      </w:r>
      <w:r>
        <w:rPr>
          <w:rFonts w:ascii="宋体" w:hAnsi="宋体" w:eastAsia="宋体" w:cs="宋体"/>
          <w:spacing w:val="-1"/>
          <w:sz w:val="24"/>
          <w:szCs w:val="24"/>
          <w:highlight w:val="none"/>
        </w:rPr>
        <w:t>900606d.html</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，使用该客户端可以打开电子招标文件。</w:t>
      </w:r>
      <w:r>
        <w:rPr>
          <w:rFonts w:ascii="宋体" w:hAnsi="宋体" w:eastAsia="宋体" w:cs="宋体"/>
          <w:spacing w:val="-2"/>
          <w:sz w:val="24"/>
          <w:szCs w:val="24"/>
          <w:highlight w:val="none"/>
        </w:rPr>
        <w:t>软件操作手册详见全国公共资源</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 xml:space="preserve">交易平台（陕西省 </w:t>
      </w:r>
      <w:r>
        <w:rPr>
          <w:spacing w:val="-6"/>
          <w:sz w:val="24"/>
          <w:szCs w:val="24"/>
          <w:highlight w:val="none"/>
        </w:rPr>
        <w:t xml:space="preserve">.  </w:t>
      </w:r>
      <w:r>
        <w:rPr>
          <w:rFonts w:ascii="宋体" w:hAnsi="宋体" w:eastAsia="宋体" w:cs="宋体"/>
          <w:spacing w:val="-6"/>
          <w:sz w:val="24"/>
          <w:szCs w:val="24"/>
          <w:highlight w:val="none"/>
        </w:rPr>
        <w:t>宝鸡市）网站[服务指南-下载专区]中的《陕西省公共资源交易（政</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府采购类）磋商响应文件制作软件操作手册》,下载网址：</w:t>
      </w:r>
    </w:p>
    <w:p w14:paraId="0986E7E8">
      <w:pPr>
        <w:spacing w:before="3" w:line="384" w:lineRule="auto"/>
        <w:ind w:left="5" w:right="130" w:firstLine="234"/>
        <w:rPr>
          <w:rFonts w:ascii="宋体" w:hAnsi="宋体" w:eastAsia="宋体" w:cs="宋体"/>
          <w:sz w:val="24"/>
          <w:szCs w:val="24"/>
          <w:highlight w:val="none"/>
        </w:rPr>
      </w:pPr>
      <w:r>
        <w:rPr>
          <w:highlight w:val="none"/>
        </w:rPr>
        <w:fldChar w:fldCharType="begin"/>
      </w:r>
      <w:r>
        <w:rPr>
          <w:highlight w:val="none"/>
        </w:rPr>
        <w:instrText xml:space="preserve"> HYPERLINK "http://ggzy.baoji.gov.cn/fwzn/004003/20210603/0214cb83-88bf-4cac-a383-881c0900606d.html" </w:instrText>
      </w:r>
      <w:r>
        <w:rPr>
          <w:highlight w:val="none"/>
        </w:rPr>
        <w:fldChar w:fldCharType="separate"/>
      </w:r>
      <w:r>
        <w:rPr>
          <w:rFonts w:ascii="宋体" w:hAnsi="宋体" w:eastAsia="宋体" w:cs="宋体"/>
          <w:sz w:val="24"/>
          <w:szCs w:val="24"/>
          <w:highlight w:val="none"/>
        </w:rPr>
        <w:t>http://ggzy.baoji.gov.cn/fwzn/004003/20211013/188342c7-84a9-4c17-</w:t>
      </w:r>
      <w:r>
        <w:rPr>
          <w:rFonts w:ascii="宋体" w:hAnsi="宋体" w:eastAsia="宋体" w:cs="宋体"/>
          <w:spacing w:val="-1"/>
          <w:sz w:val="24"/>
          <w:szCs w:val="24"/>
          <w:highlight w:val="none"/>
        </w:rPr>
        <w:t>91d8-eb2</w:t>
      </w:r>
      <w:r>
        <w:rPr>
          <w:rFonts w:ascii="宋体" w:hAnsi="宋体" w:eastAsia="宋体" w:cs="宋体"/>
          <w:spacing w:val="-1"/>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"http://ggzy.baoji.gov.cn/fwzn/004003/20210603/0214cb83-88bf-4cac-a383-881c0900606d.html" </w:instrText>
      </w:r>
      <w:r>
        <w:rPr>
          <w:highlight w:val="none"/>
        </w:rPr>
        <w:fldChar w:fldCharType="separate"/>
      </w:r>
      <w:r>
        <w:rPr>
          <w:rFonts w:ascii="宋体" w:hAnsi="宋体" w:eastAsia="宋体" w:cs="宋体"/>
          <w:spacing w:val="-1"/>
          <w:sz w:val="24"/>
          <w:szCs w:val="24"/>
          <w:highlight w:val="none"/>
        </w:rPr>
        <w:t>22e7ae4db.html</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w:t>
      </w:r>
    </w:p>
    <w:p w14:paraId="2083D932">
      <w:pPr>
        <w:pStyle w:val="10"/>
        <w:spacing w:before="2" w:line="385" w:lineRule="auto"/>
        <w:ind w:right="58" w:firstLine="253"/>
        <w:jc w:val="both"/>
        <w:rPr>
          <w:rFonts w:ascii="宋体" w:hAnsi="宋体" w:eastAsia="宋体" w:cs="宋体"/>
          <w:sz w:val="24"/>
          <w:szCs w:val="24"/>
          <w:highlight w:val="none"/>
        </w:rPr>
      </w:pPr>
      <w:r>
        <w:rPr>
          <w:rFonts w:ascii="宋体" w:hAnsi="宋体" w:eastAsia="宋体" w:cs="宋体"/>
          <w:spacing w:val="-1"/>
          <w:sz w:val="24"/>
          <w:szCs w:val="24"/>
          <w:highlight w:val="none"/>
        </w:rPr>
        <w:t>（3）递交电子磋商响应文件：登录全国公共资源交易中心平台（陕西省</w:t>
      </w:r>
      <w:r>
        <w:rPr>
          <w:spacing w:val="-1"/>
          <w:sz w:val="24"/>
          <w:szCs w:val="24"/>
          <w:highlight w:val="none"/>
        </w:rPr>
        <w:t xml:space="preserve">. </w:t>
      </w:r>
      <w:r>
        <w:rPr>
          <w:rFonts w:ascii="宋体" w:hAnsi="宋体" w:eastAsia="宋体" w:cs="宋体"/>
          <w:spacing w:val="-1"/>
          <w:sz w:val="24"/>
          <w:szCs w:val="24"/>
          <w:highlight w:val="none"/>
        </w:rPr>
        <w:t>宝鸡市）</w:t>
      </w:r>
      <w:r>
        <w:rPr>
          <w:rFonts w:ascii="宋体" w:hAnsi="宋体" w:eastAsia="宋体" w:cs="宋体"/>
          <w:spacing w:val="8"/>
          <w:sz w:val="24"/>
          <w:szCs w:val="24"/>
          <w:highlight w:val="none"/>
        </w:rPr>
        <w:t xml:space="preserve"> </w:t>
      </w:r>
      <w:r>
        <w:rPr>
          <w:rFonts w:ascii="宋体" w:hAnsi="宋体" w:eastAsia="宋体" w:cs="宋体"/>
          <w:spacing w:val="-1"/>
          <w:sz w:val="24"/>
          <w:szCs w:val="24"/>
          <w:highlight w:val="none"/>
        </w:rPr>
        <w:t>（</w:t>
      </w:r>
      <w:r>
        <w:rPr>
          <w:highlight w:val="none"/>
        </w:rPr>
        <w:fldChar w:fldCharType="begin"/>
      </w:r>
      <w:r>
        <w:rPr>
          <w:highlight w:val="none"/>
        </w:rPr>
        <w:instrText xml:space="preserve"> HYPERLINK "http://ggzy.baoji.gov.cn" </w:instrText>
      </w:r>
      <w:r>
        <w:rPr>
          <w:highlight w:val="none"/>
        </w:rPr>
        <w:fldChar w:fldCharType="separate"/>
      </w:r>
      <w:r>
        <w:rPr>
          <w:rFonts w:ascii="宋体" w:hAnsi="宋体" w:eastAsia="宋体" w:cs="宋体"/>
          <w:spacing w:val="-1"/>
          <w:sz w:val="24"/>
          <w:szCs w:val="24"/>
          <w:highlight w:val="none"/>
        </w:rPr>
        <w:t>http://ggzy.baoji.gov.cn</w:t>
      </w:r>
      <w:r>
        <w:rPr>
          <w:rFonts w:ascii="宋体" w:hAnsi="宋体" w:eastAsia="宋体" w:cs="宋体"/>
          <w:spacing w:val="-1"/>
          <w:sz w:val="24"/>
          <w:szCs w:val="24"/>
          <w:highlight w:val="none"/>
        </w:rPr>
        <w:fldChar w:fldCharType="end"/>
      </w:r>
      <w:r>
        <w:rPr>
          <w:rFonts w:ascii="宋体" w:hAnsi="宋体" w:eastAsia="宋体" w:cs="宋体"/>
          <w:spacing w:val="-5"/>
          <w:sz w:val="24"/>
          <w:szCs w:val="24"/>
          <w:highlight w:val="none"/>
        </w:rPr>
        <w:t>），</w:t>
      </w:r>
      <w:r>
        <w:rPr>
          <w:rFonts w:ascii="宋体" w:hAnsi="宋体" w:eastAsia="宋体" w:cs="宋体"/>
          <w:spacing w:val="-1"/>
          <w:sz w:val="24"/>
          <w:szCs w:val="24"/>
          <w:highlight w:val="none"/>
        </w:rPr>
        <w:t>选择“电子交易平台—陕西政府采购交易系统—企业</w:t>
      </w:r>
      <w:r>
        <w:rPr>
          <w:rFonts w:ascii="宋体" w:hAnsi="宋体" w:eastAsia="宋体" w:cs="宋体"/>
          <w:spacing w:val="1"/>
          <w:sz w:val="24"/>
          <w:szCs w:val="24"/>
          <w:highlight w:val="none"/>
        </w:rPr>
        <w:t xml:space="preserve"> </w:t>
      </w:r>
      <w:r>
        <w:rPr>
          <w:rFonts w:ascii="宋体" w:hAnsi="宋体" w:eastAsia="宋体" w:cs="宋体"/>
          <w:spacing w:val="-3"/>
          <w:sz w:val="24"/>
          <w:szCs w:val="24"/>
          <w:highlight w:val="none"/>
        </w:rPr>
        <w:t>端</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”进行登录，登录后选择“交易乙方</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”身份进入，进入菜单“采购业</w:t>
      </w:r>
      <w:r>
        <w:rPr>
          <w:rFonts w:ascii="宋体" w:hAnsi="宋体" w:eastAsia="宋体" w:cs="宋体"/>
          <w:spacing w:val="-4"/>
          <w:sz w:val="24"/>
          <w:szCs w:val="24"/>
          <w:highlight w:val="none"/>
        </w:rPr>
        <w:t>务—我的项目—</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—项目流程——上传响应文件</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”，上传加密的电子磋商响</w:t>
      </w:r>
      <w:r>
        <w:rPr>
          <w:rFonts w:ascii="宋体" w:hAnsi="宋体" w:eastAsia="宋体" w:cs="宋体"/>
          <w:spacing w:val="-3"/>
          <w:sz w:val="24"/>
          <w:szCs w:val="24"/>
          <w:highlight w:val="none"/>
        </w:rPr>
        <w:t>应文件。上传成功后，电子化</w:t>
      </w:r>
      <w:r>
        <w:rPr>
          <w:rFonts w:ascii="宋体" w:hAnsi="宋体" w:eastAsia="宋体" w:cs="宋体"/>
          <w:spacing w:val="-1"/>
          <w:sz w:val="24"/>
          <w:szCs w:val="24"/>
          <w:highlight w:val="none"/>
        </w:rPr>
        <w:t>平台将予以记录。</w:t>
      </w:r>
    </w:p>
    <w:p w14:paraId="21955981">
      <w:pPr>
        <w:spacing w:before="204" w:line="219" w:lineRule="auto"/>
        <w:ind w:left="480"/>
        <w:rPr>
          <w:rFonts w:ascii="宋体" w:hAnsi="宋体" w:eastAsia="宋体" w:cs="宋体"/>
          <w:sz w:val="24"/>
          <w:szCs w:val="24"/>
          <w:highlight w:val="none"/>
        </w:rPr>
      </w:pPr>
      <w:r>
        <w:rPr>
          <w:rFonts w:ascii="宋体" w:hAnsi="宋体" w:eastAsia="宋体" w:cs="宋体"/>
          <w:b/>
          <w:bCs/>
          <w:spacing w:val="-3"/>
          <w:sz w:val="24"/>
          <w:szCs w:val="24"/>
          <w:highlight w:val="none"/>
        </w:rPr>
        <w:t>4、竞争性磋商文件的澄清和修改</w:t>
      </w:r>
    </w:p>
    <w:p w14:paraId="48106A5A">
      <w:pPr>
        <w:spacing w:before="215" w:line="329" w:lineRule="auto"/>
        <w:ind w:firstLine="479"/>
        <w:rPr>
          <w:rFonts w:ascii="宋体" w:hAnsi="宋体" w:eastAsia="宋体" w:cs="宋体"/>
          <w:sz w:val="24"/>
          <w:szCs w:val="24"/>
          <w:highlight w:val="none"/>
        </w:rPr>
      </w:pPr>
      <w:r>
        <w:rPr>
          <w:rFonts w:ascii="宋体" w:hAnsi="宋体" w:eastAsia="宋体" w:cs="宋体"/>
          <w:spacing w:val="-1"/>
          <w:sz w:val="24"/>
          <w:szCs w:val="24"/>
          <w:highlight w:val="none"/>
        </w:rPr>
        <w:t>4.1</w:t>
      </w:r>
      <w:r>
        <w:rPr>
          <w:rFonts w:ascii="宋体" w:hAnsi="宋体" w:eastAsia="宋体" w:cs="宋体"/>
          <w:spacing w:val="-37"/>
          <w:sz w:val="24"/>
          <w:szCs w:val="24"/>
          <w:highlight w:val="none"/>
        </w:rPr>
        <w:t xml:space="preserve"> </w:t>
      </w:r>
      <w:r>
        <w:rPr>
          <w:rFonts w:ascii="宋体" w:hAnsi="宋体" w:eastAsia="宋体" w:cs="宋体"/>
          <w:spacing w:val="-1"/>
          <w:sz w:val="24"/>
          <w:szCs w:val="24"/>
          <w:highlight w:val="none"/>
        </w:rPr>
        <w:t>提交首次响应文件截止之日前，采购代理机构可以用更正公告（或变更公告）</w:t>
      </w:r>
      <w:r>
        <w:rPr>
          <w:rFonts w:ascii="宋体" w:hAnsi="宋体" w:eastAsia="宋体" w:cs="宋体"/>
          <w:spacing w:val="-2"/>
          <w:sz w:val="24"/>
          <w:szCs w:val="24"/>
          <w:highlight w:val="none"/>
        </w:rPr>
        <w:t>的方式对已发出的磋商文件进行必要的澄清或者修改，并将在指定的信息发布媒体上发</w:t>
      </w:r>
      <w:r>
        <w:rPr>
          <w:rFonts w:ascii="宋体" w:hAnsi="宋体" w:eastAsia="宋体" w:cs="宋体"/>
          <w:spacing w:val="17"/>
          <w:sz w:val="24"/>
          <w:szCs w:val="24"/>
          <w:highlight w:val="none"/>
        </w:rPr>
        <w:t xml:space="preserve"> </w:t>
      </w:r>
      <w:r>
        <w:rPr>
          <w:rFonts w:ascii="宋体" w:hAnsi="宋体" w:eastAsia="宋体" w:cs="宋体"/>
          <w:spacing w:val="-5"/>
          <w:sz w:val="24"/>
          <w:szCs w:val="24"/>
          <w:highlight w:val="none"/>
        </w:rPr>
        <w:t>布。</w:t>
      </w:r>
    </w:p>
    <w:p w14:paraId="0EE22A3C">
      <w:pPr>
        <w:spacing w:before="214" w:line="343"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4.2</w:t>
      </w:r>
      <w:r>
        <w:rPr>
          <w:rFonts w:ascii="宋体" w:hAnsi="宋体" w:eastAsia="宋体" w:cs="宋体"/>
          <w:spacing w:val="-50"/>
          <w:sz w:val="24"/>
          <w:szCs w:val="24"/>
          <w:highlight w:val="none"/>
        </w:rPr>
        <w:t xml:space="preserve"> </w:t>
      </w:r>
      <w:r>
        <w:rPr>
          <w:rFonts w:ascii="宋体" w:hAnsi="宋体" w:eastAsia="宋体" w:cs="宋体"/>
          <w:spacing w:val="-2"/>
          <w:sz w:val="24"/>
          <w:szCs w:val="24"/>
          <w:highlight w:val="none"/>
        </w:rPr>
        <w:t>供应商对磋商文件有质疑的，应在提交首次响应文件截止时间</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2 日前</w:t>
      </w:r>
      <w:r>
        <w:rPr>
          <w:rFonts w:ascii="宋体" w:hAnsi="宋体" w:eastAsia="宋体" w:cs="宋体"/>
          <w:spacing w:val="-3"/>
          <w:sz w:val="24"/>
          <w:szCs w:val="24"/>
          <w:highlight w:val="none"/>
        </w:rPr>
        <w:t>以线上形</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式提出，采购代理机构或采购人以线上形式予以答复；供应商在规定的时间内未要求对</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磋商文件澄清或提出疑问的，将视为无效质疑。答复的内容可能影响响应文件编制的，</w:t>
      </w:r>
      <w:r>
        <w:rPr>
          <w:rFonts w:ascii="宋体" w:hAnsi="宋体" w:eastAsia="宋体" w:cs="宋体"/>
          <w:spacing w:val="-1"/>
          <w:sz w:val="24"/>
          <w:szCs w:val="24"/>
          <w:highlight w:val="none"/>
        </w:rPr>
        <w:t>在财政部门指定的政府采购信息发布媒体上发布更正公告。</w:t>
      </w:r>
    </w:p>
    <w:p w14:paraId="41AF78C9">
      <w:pPr>
        <w:spacing w:before="218" w:line="329" w:lineRule="auto"/>
        <w:ind w:left="1" w:firstLine="478"/>
        <w:rPr>
          <w:rFonts w:ascii="宋体" w:hAnsi="宋体" w:eastAsia="宋体" w:cs="宋体"/>
          <w:sz w:val="24"/>
          <w:szCs w:val="24"/>
          <w:highlight w:val="none"/>
        </w:rPr>
      </w:pPr>
      <w:r>
        <w:rPr>
          <w:rFonts w:ascii="宋体" w:hAnsi="宋体" w:eastAsia="宋体" w:cs="宋体"/>
          <w:sz w:val="24"/>
          <w:szCs w:val="24"/>
          <w:highlight w:val="none"/>
        </w:rPr>
        <w:t>4.3</w:t>
      </w:r>
      <w:r>
        <w:rPr>
          <w:rFonts w:ascii="宋体" w:hAnsi="宋体" w:eastAsia="宋体" w:cs="宋体"/>
          <w:spacing w:val="-48"/>
          <w:sz w:val="24"/>
          <w:szCs w:val="24"/>
          <w:highlight w:val="none"/>
        </w:rPr>
        <w:t xml:space="preserve"> </w:t>
      </w:r>
      <w:r>
        <w:rPr>
          <w:rFonts w:ascii="宋体" w:hAnsi="宋体" w:eastAsia="宋体" w:cs="宋体"/>
          <w:sz w:val="24"/>
          <w:szCs w:val="24"/>
          <w:highlight w:val="none"/>
        </w:rPr>
        <w:t>更正公告（或变更公告）的内容可能影响响应文件编制</w:t>
      </w:r>
      <w:r>
        <w:rPr>
          <w:rFonts w:ascii="宋体" w:hAnsi="宋体" w:eastAsia="宋体" w:cs="宋体"/>
          <w:spacing w:val="-1"/>
          <w:sz w:val="24"/>
          <w:szCs w:val="24"/>
          <w:highlight w:val="none"/>
        </w:rPr>
        <w:t>的，采购代理机构将在</w:t>
      </w:r>
      <w:r>
        <w:rPr>
          <w:rFonts w:ascii="宋体" w:hAnsi="宋体" w:eastAsia="宋体" w:cs="宋体"/>
          <w:spacing w:val="-3"/>
          <w:sz w:val="24"/>
          <w:szCs w:val="24"/>
          <w:highlight w:val="none"/>
        </w:rPr>
        <w:t>提交首次响应文件截止之日</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5 日前发布更正公告</w:t>
      </w:r>
      <w:r>
        <w:rPr>
          <w:rFonts w:ascii="宋体" w:hAnsi="宋体" w:eastAsia="宋体" w:cs="宋体"/>
          <w:spacing w:val="-4"/>
          <w:sz w:val="24"/>
          <w:szCs w:val="24"/>
          <w:highlight w:val="none"/>
        </w:rPr>
        <w:t>（或变更公告）或补充通知，并通知所</w:t>
      </w:r>
      <w:r>
        <w:rPr>
          <w:rFonts w:ascii="宋体" w:hAnsi="宋体" w:eastAsia="宋体" w:cs="宋体"/>
          <w:spacing w:val="-2"/>
          <w:sz w:val="24"/>
          <w:szCs w:val="24"/>
          <w:highlight w:val="none"/>
        </w:rPr>
        <w:t>有下载磋商文件的供应商，不足</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5 日的，</w:t>
      </w:r>
      <w:r>
        <w:rPr>
          <w:rFonts w:ascii="宋体" w:hAnsi="宋体" w:eastAsia="宋体" w:cs="宋体"/>
          <w:spacing w:val="-3"/>
          <w:sz w:val="24"/>
          <w:szCs w:val="24"/>
          <w:highlight w:val="none"/>
        </w:rPr>
        <w:t>将顺延提交首次响应文件截止之日。</w:t>
      </w:r>
    </w:p>
    <w:p w14:paraId="37BC198E">
      <w:pPr>
        <w:spacing w:before="214" w:line="303" w:lineRule="auto"/>
        <w:ind w:left="1" w:firstLine="478"/>
        <w:rPr>
          <w:rFonts w:ascii="宋体" w:hAnsi="宋体" w:eastAsia="宋体" w:cs="宋体"/>
          <w:sz w:val="24"/>
          <w:szCs w:val="24"/>
          <w:highlight w:val="none"/>
        </w:rPr>
      </w:pPr>
      <w:r>
        <w:rPr>
          <w:rFonts w:ascii="宋体" w:hAnsi="宋体" w:eastAsia="宋体" w:cs="宋体"/>
          <w:sz w:val="24"/>
          <w:szCs w:val="24"/>
          <w:highlight w:val="none"/>
        </w:rPr>
        <w:t>4.4</w:t>
      </w:r>
      <w:r>
        <w:rPr>
          <w:rFonts w:ascii="宋体" w:hAnsi="宋体" w:eastAsia="宋体" w:cs="宋体"/>
          <w:spacing w:val="-48"/>
          <w:sz w:val="24"/>
          <w:szCs w:val="24"/>
          <w:highlight w:val="none"/>
        </w:rPr>
        <w:t xml:space="preserve"> </w:t>
      </w:r>
      <w:r>
        <w:rPr>
          <w:rFonts w:ascii="宋体" w:hAnsi="宋体" w:eastAsia="宋体" w:cs="宋体"/>
          <w:sz w:val="24"/>
          <w:szCs w:val="24"/>
          <w:highlight w:val="none"/>
        </w:rPr>
        <w:t>更正公告（或变更公告）作为竞争性磋商文件的组成部</w:t>
      </w:r>
      <w:r>
        <w:rPr>
          <w:rFonts w:ascii="宋体" w:hAnsi="宋体" w:eastAsia="宋体" w:cs="宋体"/>
          <w:spacing w:val="-1"/>
          <w:sz w:val="24"/>
          <w:szCs w:val="24"/>
          <w:highlight w:val="none"/>
        </w:rPr>
        <w:t>分，对所有供应商均具</w:t>
      </w:r>
      <w:r>
        <w:rPr>
          <w:rFonts w:ascii="宋体" w:hAnsi="宋体" w:eastAsia="宋体" w:cs="宋体"/>
          <w:spacing w:val="-3"/>
          <w:sz w:val="24"/>
          <w:szCs w:val="24"/>
          <w:highlight w:val="none"/>
        </w:rPr>
        <w:t>有约束力。</w:t>
      </w:r>
    </w:p>
    <w:p w14:paraId="78846A48">
      <w:pPr>
        <w:spacing w:before="214" w:line="218" w:lineRule="auto"/>
        <w:ind w:left="567"/>
        <w:rPr>
          <w:rFonts w:ascii="宋体" w:hAnsi="宋体" w:eastAsia="宋体" w:cs="宋体"/>
          <w:sz w:val="24"/>
          <w:szCs w:val="24"/>
          <w:highlight w:val="none"/>
        </w:rPr>
      </w:pPr>
      <w:r>
        <w:rPr>
          <w:rFonts w:ascii="宋体" w:hAnsi="宋体" w:eastAsia="宋体" w:cs="宋体"/>
          <w:b/>
          <w:bCs/>
          <w:spacing w:val="-3"/>
          <w:sz w:val="24"/>
          <w:szCs w:val="24"/>
          <w:highlight w:val="none"/>
        </w:rPr>
        <w:t>5、磋商响应文件报价说明</w:t>
      </w:r>
    </w:p>
    <w:p w14:paraId="19CFFC1C">
      <w:pPr>
        <w:spacing w:before="215" w:line="330" w:lineRule="auto"/>
        <w:ind w:firstLine="485"/>
        <w:rPr>
          <w:rFonts w:ascii="宋体" w:hAnsi="宋体" w:eastAsia="宋体" w:cs="宋体"/>
          <w:sz w:val="24"/>
          <w:szCs w:val="24"/>
          <w:highlight w:val="none"/>
        </w:rPr>
      </w:pPr>
      <w:r>
        <w:rPr>
          <w:rFonts w:ascii="宋体" w:hAnsi="宋体" w:eastAsia="宋体" w:cs="宋体"/>
          <w:sz w:val="24"/>
          <w:szCs w:val="24"/>
          <w:highlight w:val="none"/>
        </w:rPr>
        <w:t>5.1</w:t>
      </w:r>
      <w:r>
        <w:rPr>
          <w:rFonts w:ascii="宋体" w:hAnsi="宋体" w:eastAsia="宋体" w:cs="宋体"/>
          <w:spacing w:val="-51"/>
          <w:sz w:val="24"/>
          <w:szCs w:val="24"/>
          <w:highlight w:val="none"/>
        </w:rPr>
        <w:t xml:space="preserve"> </w:t>
      </w:r>
      <w:r>
        <w:rPr>
          <w:rFonts w:ascii="宋体" w:hAnsi="宋体" w:eastAsia="宋体" w:cs="宋体"/>
          <w:sz w:val="24"/>
          <w:szCs w:val="24"/>
          <w:highlight w:val="none"/>
        </w:rPr>
        <w:t>供应商磋商报价中的价格均包括为本工程所发生</w:t>
      </w:r>
      <w:r>
        <w:rPr>
          <w:rFonts w:ascii="宋体" w:hAnsi="宋体" w:eastAsia="宋体" w:cs="宋体"/>
          <w:spacing w:val="-1"/>
          <w:sz w:val="24"/>
          <w:szCs w:val="24"/>
          <w:highlight w:val="none"/>
        </w:rPr>
        <w:t>的人工费、运输费、</w:t>
      </w:r>
      <w:r>
        <w:rPr>
          <w:rFonts w:ascii="宋体" w:hAnsi="宋体" w:eastAsia="宋体" w:cs="宋体"/>
          <w:spacing w:val="-2"/>
          <w:sz w:val="24"/>
          <w:szCs w:val="24"/>
          <w:highlight w:val="none"/>
        </w:rPr>
        <w:t>机械费、设备费、设备租赁费、临时工程费、临时占地租金、各种管理费、税金、保险</w:t>
      </w:r>
      <w:r>
        <w:rPr>
          <w:rFonts w:ascii="宋体" w:hAnsi="宋体" w:eastAsia="宋体" w:cs="宋体"/>
          <w:spacing w:val="-1"/>
          <w:sz w:val="24"/>
          <w:szCs w:val="24"/>
          <w:highlight w:val="none"/>
        </w:rPr>
        <w:t>费、利润以及合同中明示的一切风险等所有费用。</w:t>
      </w:r>
    </w:p>
    <w:p w14:paraId="09B66525">
      <w:pPr>
        <w:spacing w:before="213" w:line="385" w:lineRule="auto"/>
        <w:ind w:right="2" w:firstLine="480"/>
        <w:rPr>
          <w:rFonts w:ascii="宋体" w:hAnsi="宋体" w:eastAsia="宋体" w:cs="宋体"/>
          <w:sz w:val="24"/>
          <w:szCs w:val="24"/>
          <w:highlight w:val="none"/>
        </w:rPr>
      </w:pPr>
      <w:r>
        <w:rPr>
          <w:rFonts w:ascii="宋体" w:hAnsi="宋体" w:eastAsia="宋体" w:cs="宋体"/>
          <w:b/>
          <w:bCs/>
          <w:spacing w:val="-4"/>
          <w:sz w:val="24"/>
          <w:szCs w:val="24"/>
          <w:highlight w:val="none"/>
        </w:rPr>
        <w:t>注：磋商报价（首轮）超过最高限价的，响应无效，按废标处理</w:t>
      </w:r>
      <w:r>
        <w:rPr>
          <w:rFonts w:ascii="宋体" w:hAnsi="宋体" w:eastAsia="宋体" w:cs="宋体"/>
          <w:b/>
          <w:bCs/>
          <w:spacing w:val="-5"/>
          <w:sz w:val="24"/>
          <w:szCs w:val="24"/>
          <w:highlight w:val="none"/>
        </w:rPr>
        <w:t>；二轮报价超过首</w:t>
      </w:r>
      <w:r>
        <w:rPr>
          <w:rFonts w:ascii="宋体" w:hAnsi="宋体" w:eastAsia="宋体" w:cs="宋体"/>
          <w:b/>
          <w:bCs/>
          <w:spacing w:val="-3"/>
          <w:sz w:val="24"/>
          <w:szCs w:val="24"/>
          <w:highlight w:val="none"/>
        </w:rPr>
        <w:t>轮报价的，响应无效，按废标处理。</w:t>
      </w:r>
    </w:p>
    <w:p w14:paraId="0F244378">
      <w:pPr>
        <w:spacing w:before="8" w:line="360" w:lineRule="auto"/>
        <w:ind w:firstLine="485"/>
        <w:rPr>
          <w:rFonts w:ascii="宋体" w:hAnsi="宋体" w:eastAsia="宋体" w:cs="宋体"/>
          <w:sz w:val="24"/>
          <w:szCs w:val="24"/>
          <w:highlight w:val="none"/>
        </w:rPr>
      </w:pPr>
      <w:r>
        <w:rPr>
          <w:rFonts w:ascii="宋体" w:hAnsi="宋体" w:eastAsia="宋体" w:cs="宋体"/>
          <w:sz w:val="24"/>
          <w:szCs w:val="24"/>
          <w:highlight w:val="none"/>
        </w:rPr>
        <w:t>5.2</w:t>
      </w:r>
      <w:r>
        <w:rPr>
          <w:rFonts w:ascii="宋体" w:hAnsi="宋体" w:eastAsia="宋体" w:cs="宋体"/>
          <w:spacing w:val="-51"/>
          <w:sz w:val="24"/>
          <w:szCs w:val="24"/>
          <w:highlight w:val="none"/>
        </w:rPr>
        <w:t xml:space="preserve"> </w:t>
      </w:r>
      <w:r>
        <w:rPr>
          <w:rFonts w:ascii="宋体" w:hAnsi="宋体" w:eastAsia="宋体" w:cs="宋体"/>
          <w:sz w:val="24"/>
          <w:szCs w:val="24"/>
          <w:highlight w:val="none"/>
        </w:rPr>
        <w:t>供应商可先到工地踏勘以充分了解工地位置、情</w:t>
      </w:r>
      <w:r>
        <w:rPr>
          <w:rFonts w:ascii="宋体" w:hAnsi="宋体" w:eastAsia="宋体" w:cs="宋体"/>
          <w:spacing w:val="-1"/>
          <w:sz w:val="24"/>
          <w:szCs w:val="24"/>
          <w:highlight w:val="none"/>
        </w:rPr>
        <w:t>况、道路、储存空间、装卸限</w:t>
      </w:r>
      <w:r>
        <w:rPr>
          <w:rFonts w:ascii="宋体" w:hAnsi="宋体" w:eastAsia="宋体" w:cs="宋体"/>
          <w:spacing w:val="-2"/>
          <w:sz w:val="24"/>
          <w:szCs w:val="24"/>
          <w:highlight w:val="none"/>
        </w:rPr>
        <w:t>制及任何其他足以影响磋商报价的情况，供应商因忽视或误解工地情况而导致的其提出</w:t>
      </w:r>
      <w:r>
        <w:rPr>
          <w:rFonts w:ascii="宋体" w:hAnsi="宋体" w:eastAsia="宋体" w:cs="宋体"/>
          <w:spacing w:val="18"/>
          <w:sz w:val="24"/>
          <w:szCs w:val="24"/>
          <w:highlight w:val="none"/>
        </w:rPr>
        <w:t xml:space="preserve"> </w:t>
      </w:r>
      <w:r>
        <w:rPr>
          <w:rFonts w:ascii="宋体" w:hAnsi="宋体" w:eastAsia="宋体" w:cs="宋体"/>
          <w:spacing w:val="5"/>
          <w:sz w:val="24"/>
          <w:szCs w:val="24"/>
          <w:highlight w:val="none"/>
        </w:rPr>
        <w:t>的任何索赔或工期延长申请将不被批准。凡因供应商对竞争性磋商文件阅读疏</w:t>
      </w:r>
      <w:r>
        <w:rPr>
          <w:rFonts w:ascii="宋体" w:hAnsi="宋体" w:eastAsia="宋体" w:cs="宋体"/>
          <w:spacing w:val="4"/>
          <w:sz w:val="24"/>
          <w:szCs w:val="24"/>
          <w:highlight w:val="none"/>
        </w:rPr>
        <w:t>忽或误</w:t>
      </w:r>
      <w:r>
        <w:rPr>
          <w:rFonts w:ascii="宋体" w:hAnsi="宋体" w:eastAsia="宋体" w:cs="宋体"/>
          <w:spacing w:val="-2"/>
          <w:sz w:val="24"/>
          <w:szCs w:val="24"/>
          <w:highlight w:val="none"/>
        </w:rPr>
        <w:t>解，或因对施工现场、施工环境、市场行情等了解不清而造成的后果和风险，由供应商自行负责。在施工期间，供应商自行协调施工现场周边社会关系，不得以协调不力而影</w:t>
      </w:r>
      <w:r>
        <w:rPr>
          <w:rFonts w:ascii="宋体" w:hAnsi="宋体" w:eastAsia="宋体" w:cs="宋体"/>
          <w:spacing w:val="-1"/>
          <w:sz w:val="24"/>
          <w:szCs w:val="24"/>
          <w:highlight w:val="none"/>
        </w:rPr>
        <w:t>响工程进度，所发生的一切费用应在报价时加以考虑。</w:t>
      </w:r>
    </w:p>
    <w:p w14:paraId="53BBAF13">
      <w:pPr>
        <w:spacing w:before="204" w:line="360" w:lineRule="auto"/>
        <w:ind w:right="138" w:firstLine="485"/>
        <w:rPr>
          <w:rFonts w:ascii="宋体" w:hAnsi="宋体" w:eastAsia="宋体" w:cs="宋体"/>
          <w:spacing w:val="-2"/>
          <w:sz w:val="24"/>
          <w:szCs w:val="24"/>
          <w:highlight w:val="none"/>
        </w:rPr>
      </w:pPr>
      <w:r>
        <w:rPr>
          <w:rFonts w:ascii="宋体" w:hAnsi="宋体" w:eastAsia="宋体" w:cs="宋体"/>
          <w:spacing w:val="-3"/>
          <w:sz w:val="24"/>
          <w:szCs w:val="24"/>
          <w:highlight w:val="none"/>
        </w:rPr>
        <w:t>5.3</w:t>
      </w:r>
      <w:r>
        <w:rPr>
          <w:rFonts w:ascii="宋体" w:hAnsi="宋体" w:eastAsia="宋体" w:cs="宋体"/>
          <w:spacing w:val="-25"/>
          <w:sz w:val="24"/>
          <w:szCs w:val="24"/>
          <w:highlight w:val="none"/>
        </w:rPr>
        <w:t xml:space="preserve"> </w:t>
      </w:r>
      <w:r>
        <w:rPr>
          <w:rFonts w:ascii="宋体" w:hAnsi="宋体" w:eastAsia="宋体" w:cs="宋体"/>
          <w:spacing w:val="-3"/>
          <w:sz w:val="24"/>
          <w:szCs w:val="24"/>
          <w:highlight w:val="none"/>
        </w:rPr>
        <w:t>除非磋商文件另有规定，只允许有一个最终报价，任何有选择的报价或替代方</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案将导致投标无效。</w:t>
      </w:r>
    </w:p>
    <w:p w14:paraId="4B9E1BE5">
      <w:pPr>
        <w:spacing w:before="204" w:line="360" w:lineRule="auto"/>
        <w:ind w:right="138" w:firstLine="485"/>
        <w:rPr>
          <w:rFonts w:ascii="宋体" w:hAnsi="宋体" w:eastAsia="宋体" w:cs="宋体"/>
          <w:sz w:val="24"/>
          <w:szCs w:val="24"/>
          <w:highlight w:val="none"/>
        </w:rPr>
      </w:pPr>
      <w:r>
        <w:rPr>
          <w:rFonts w:ascii="宋体" w:hAnsi="宋体" w:eastAsia="宋体" w:cs="宋体"/>
          <w:spacing w:val="-2"/>
          <w:sz w:val="24"/>
          <w:szCs w:val="24"/>
          <w:highlight w:val="none"/>
        </w:rPr>
        <w:t>5.4</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凡磋商文件要求或允许磋商中进行报价的各项费用项目，若磋商报价时未</w:t>
      </w:r>
      <w:r>
        <w:rPr>
          <w:rFonts w:ascii="宋体" w:hAnsi="宋体" w:eastAsia="宋体" w:cs="宋体"/>
          <w:spacing w:val="-3"/>
          <w:sz w:val="24"/>
          <w:szCs w:val="24"/>
          <w:highlight w:val="none"/>
        </w:rPr>
        <w:t>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采购人将按这些费用已包含在磋商报价中对待。</w:t>
      </w:r>
    </w:p>
    <w:p w14:paraId="650FEFE8">
      <w:pPr>
        <w:spacing w:before="215" w:line="360" w:lineRule="auto"/>
        <w:ind w:right="80" w:firstLine="484"/>
        <w:rPr>
          <w:rFonts w:ascii="宋体" w:hAnsi="宋体" w:eastAsia="宋体" w:cs="宋体"/>
          <w:sz w:val="24"/>
          <w:szCs w:val="24"/>
          <w:highlight w:val="none"/>
        </w:rPr>
      </w:pPr>
      <w:r>
        <w:rPr>
          <w:rFonts w:ascii="宋体" w:hAnsi="宋体" w:eastAsia="宋体" w:cs="宋体"/>
          <w:sz w:val="24"/>
          <w:szCs w:val="24"/>
          <w:highlight w:val="none"/>
        </w:rPr>
        <w:t>5.5</w:t>
      </w:r>
      <w:r>
        <w:rPr>
          <w:rFonts w:ascii="宋体" w:hAnsi="宋体" w:eastAsia="宋体" w:cs="宋体"/>
          <w:spacing w:val="-51"/>
          <w:sz w:val="24"/>
          <w:szCs w:val="24"/>
          <w:highlight w:val="none"/>
        </w:rPr>
        <w:t xml:space="preserve"> </w:t>
      </w:r>
      <w:r>
        <w:rPr>
          <w:rFonts w:ascii="宋体" w:hAnsi="宋体" w:eastAsia="宋体" w:cs="宋体"/>
          <w:sz w:val="24"/>
          <w:szCs w:val="24"/>
          <w:highlight w:val="none"/>
        </w:rPr>
        <w:t>供应商所报的磋商报价在合同执行过程中是固定</w:t>
      </w:r>
      <w:r>
        <w:rPr>
          <w:rFonts w:ascii="宋体" w:hAnsi="宋体" w:eastAsia="宋体" w:cs="宋体"/>
          <w:spacing w:val="-1"/>
          <w:sz w:val="24"/>
          <w:szCs w:val="24"/>
          <w:highlight w:val="none"/>
        </w:rPr>
        <w:t>不变的，不得以任何理由予以</w:t>
      </w:r>
      <w:r>
        <w:rPr>
          <w:rFonts w:ascii="宋体" w:hAnsi="宋体" w:eastAsia="宋体" w:cs="宋体"/>
          <w:sz w:val="24"/>
          <w:szCs w:val="24"/>
          <w:highlight w:val="none"/>
        </w:rPr>
        <w:t xml:space="preserve"> 变更。任何包含价格调整要求的投标，将被认为是非</w:t>
      </w:r>
      <w:r>
        <w:rPr>
          <w:rFonts w:ascii="宋体" w:hAnsi="宋体" w:eastAsia="宋体" w:cs="宋体"/>
          <w:spacing w:val="-1"/>
          <w:sz w:val="24"/>
          <w:szCs w:val="24"/>
          <w:highlight w:val="none"/>
        </w:rPr>
        <w:t>响应性投标而予以拒绝。</w:t>
      </w:r>
    </w:p>
    <w:p w14:paraId="0D1584E0">
      <w:pPr>
        <w:spacing w:before="215" w:line="36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5.6</w:t>
      </w:r>
      <w:r>
        <w:rPr>
          <w:rFonts w:ascii="宋体" w:hAnsi="宋体" w:eastAsia="宋体" w:cs="宋体"/>
          <w:spacing w:val="-42"/>
          <w:sz w:val="24"/>
          <w:szCs w:val="24"/>
          <w:highlight w:val="none"/>
        </w:rPr>
        <w:t xml:space="preserve"> </w:t>
      </w:r>
      <w:r>
        <w:rPr>
          <w:rFonts w:ascii="宋体" w:hAnsi="宋体" w:eastAsia="宋体" w:cs="宋体"/>
          <w:spacing w:val="-2"/>
          <w:sz w:val="24"/>
          <w:szCs w:val="24"/>
          <w:highlight w:val="none"/>
        </w:rPr>
        <w:t>最低报价不是成交的唯一依据。</w:t>
      </w:r>
    </w:p>
    <w:p w14:paraId="371F4D90">
      <w:pPr>
        <w:spacing w:before="215" w:line="360" w:lineRule="auto"/>
        <w:ind w:left="3" w:right="80" w:firstLine="481"/>
        <w:rPr>
          <w:rFonts w:ascii="宋体" w:hAnsi="宋体" w:eastAsia="宋体" w:cs="宋体"/>
          <w:sz w:val="24"/>
          <w:szCs w:val="24"/>
          <w:highlight w:val="none"/>
        </w:rPr>
      </w:pPr>
      <w:r>
        <w:rPr>
          <w:rFonts w:ascii="宋体" w:hAnsi="宋体" w:eastAsia="宋体" w:cs="宋体"/>
          <w:sz w:val="24"/>
          <w:szCs w:val="24"/>
          <w:highlight w:val="none"/>
        </w:rPr>
        <w:t>5.7</w:t>
      </w:r>
      <w:r>
        <w:rPr>
          <w:rFonts w:ascii="宋体" w:hAnsi="宋体" w:eastAsia="宋体" w:cs="宋体"/>
          <w:spacing w:val="-51"/>
          <w:sz w:val="24"/>
          <w:szCs w:val="24"/>
          <w:highlight w:val="none"/>
        </w:rPr>
        <w:t xml:space="preserve"> </w:t>
      </w:r>
      <w:r>
        <w:rPr>
          <w:rFonts w:ascii="宋体" w:hAnsi="宋体" w:eastAsia="宋体" w:cs="宋体"/>
          <w:sz w:val="24"/>
          <w:szCs w:val="24"/>
          <w:highlight w:val="none"/>
        </w:rPr>
        <w:t>供应商不得以低于成本的报价参加投标。当磋商</w:t>
      </w:r>
      <w:r>
        <w:rPr>
          <w:rFonts w:ascii="宋体" w:hAnsi="宋体" w:eastAsia="宋体" w:cs="宋体"/>
          <w:spacing w:val="-1"/>
          <w:sz w:val="24"/>
          <w:szCs w:val="24"/>
          <w:highlight w:val="none"/>
        </w:rPr>
        <w:t>小组认为某个供应商的磋商</w:t>
      </w:r>
      <w:r>
        <w:rPr>
          <w:rFonts w:hint="eastAsia" w:hAnsi="宋体" w:cs="宋体"/>
          <w:spacing w:val="-1"/>
          <w:sz w:val="24"/>
          <w:szCs w:val="24"/>
          <w:highlight w:val="none"/>
          <w:lang w:val="en-US" w:eastAsia="zh-CN"/>
        </w:rPr>
        <w:t>报</w:t>
      </w:r>
      <w:r>
        <w:rPr>
          <w:rFonts w:ascii="宋体" w:hAnsi="宋体" w:eastAsia="宋体" w:cs="宋体"/>
          <w:spacing w:val="-1"/>
          <w:sz w:val="24"/>
          <w:szCs w:val="24"/>
          <w:highlight w:val="none"/>
        </w:rPr>
        <w:t>价</w:t>
      </w:r>
      <w:r>
        <w:rPr>
          <w:rFonts w:ascii="宋体" w:hAnsi="宋体" w:eastAsia="宋体" w:cs="宋体"/>
          <w:spacing w:val="-2"/>
          <w:sz w:val="24"/>
          <w:szCs w:val="24"/>
          <w:highlight w:val="none"/>
        </w:rPr>
        <w:t>或者某些分项报价明显不合理或者低于成本，有可能影响成果及服务质量或者不能诚信履约的，经磋商小组质询后不能在规定的时间内说明理由，或说明理由经磋商小组认为</w:t>
      </w:r>
      <w:r>
        <w:rPr>
          <w:rFonts w:ascii="宋体" w:hAnsi="宋体" w:eastAsia="宋体" w:cs="宋体"/>
          <w:spacing w:val="-1"/>
          <w:sz w:val="24"/>
          <w:szCs w:val="24"/>
          <w:highlight w:val="none"/>
        </w:rPr>
        <w:t>不能证明其报价合理性的，则按无效投标处理。</w:t>
      </w:r>
    </w:p>
    <w:p w14:paraId="63599EC2">
      <w:pPr>
        <w:spacing w:before="219" w:line="219" w:lineRule="auto"/>
        <w:ind w:left="482"/>
        <w:rPr>
          <w:rFonts w:ascii="宋体" w:hAnsi="宋体" w:eastAsia="宋体" w:cs="宋体"/>
          <w:sz w:val="24"/>
          <w:szCs w:val="24"/>
          <w:highlight w:val="none"/>
        </w:rPr>
      </w:pPr>
      <w:r>
        <w:rPr>
          <w:rFonts w:ascii="宋体" w:hAnsi="宋体" w:eastAsia="宋体" w:cs="宋体"/>
          <w:b/>
          <w:bCs/>
          <w:spacing w:val="-3"/>
          <w:sz w:val="24"/>
          <w:szCs w:val="24"/>
          <w:highlight w:val="none"/>
        </w:rPr>
        <w:t>6、磋商响应文件内容格式及要求</w:t>
      </w:r>
    </w:p>
    <w:p w14:paraId="18DE0412">
      <w:pPr>
        <w:spacing w:before="216" w:line="220" w:lineRule="auto"/>
        <w:ind w:left="486"/>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详见第六章</w:t>
      </w:r>
    </w:p>
    <w:p w14:paraId="452770CF">
      <w:pPr>
        <w:spacing w:before="216" w:line="220" w:lineRule="auto"/>
        <w:ind w:left="486"/>
        <w:rPr>
          <w:rFonts w:ascii="宋体" w:hAnsi="宋体" w:eastAsia="宋体" w:cs="宋体"/>
          <w:sz w:val="24"/>
          <w:szCs w:val="24"/>
          <w:highlight w:val="none"/>
        </w:rPr>
      </w:pPr>
      <w:r>
        <w:rPr>
          <w:rFonts w:ascii="宋体" w:hAnsi="宋体" w:eastAsia="宋体" w:cs="宋体"/>
          <w:b/>
          <w:bCs/>
          <w:spacing w:val="-4"/>
          <w:sz w:val="24"/>
          <w:szCs w:val="24"/>
          <w:highlight w:val="none"/>
        </w:rPr>
        <w:t>7、开标（磋商）</w:t>
      </w:r>
    </w:p>
    <w:p w14:paraId="6AE0B1F5">
      <w:pPr>
        <w:spacing w:before="290" w:line="462" w:lineRule="auto"/>
        <w:ind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开标工作由采购代理机构组织实施，整个过程受同级政府采购监管机构的监督、管</w:t>
      </w:r>
      <w:r>
        <w:rPr>
          <w:rFonts w:ascii="宋体" w:hAnsi="宋体" w:eastAsia="宋体" w:cs="宋体"/>
          <w:spacing w:val="12"/>
          <w:sz w:val="24"/>
          <w:szCs w:val="24"/>
          <w:highlight w:val="none"/>
        </w:rPr>
        <w:t xml:space="preserve"> </w:t>
      </w:r>
      <w:r>
        <w:rPr>
          <w:rFonts w:ascii="宋体" w:hAnsi="宋体" w:eastAsia="宋体" w:cs="宋体"/>
          <w:spacing w:val="-6"/>
          <w:sz w:val="24"/>
          <w:szCs w:val="24"/>
          <w:highlight w:val="none"/>
        </w:rPr>
        <w:t>理。“不见面开标</w:t>
      </w:r>
      <w:r>
        <w:rPr>
          <w:rFonts w:ascii="宋体" w:hAnsi="宋体" w:eastAsia="宋体" w:cs="宋体"/>
          <w:spacing w:val="-88"/>
          <w:sz w:val="24"/>
          <w:szCs w:val="24"/>
          <w:highlight w:val="none"/>
        </w:rPr>
        <w:t xml:space="preserve"> </w:t>
      </w:r>
      <w:r>
        <w:rPr>
          <w:rFonts w:ascii="宋体" w:hAnsi="宋体" w:eastAsia="宋体" w:cs="宋体"/>
          <w:spacing w:val="-6"/>
          <w:sz w:val="24"/>
          <w:szCs w:val="24"/>
          <w:highlight w:val="none"/>
        </w:rPr>
        <w:t>”是依托政府采购云平台实现的供</w:t>
      </w:r>
      <w:r>
        <w:rPr>
          <w:rFonts w:ascii="宋体" w:hAnsi="宋体" w:eastAsia="宋体" w:cs="宋体"/>
          <w:spacing w:val="-7"/>
          <w:sz w:val="24"/>
          <w:szCs w:val="24"/>
          <w:highlight w:val="none"/>
        </w:rPr>
        <w:t>应商在线参与开标的一种组织形式。</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供应商无需抵达开标现场，即可在线实现开标、签到、解密、澄清、磋商、二次报价等</w:t>
      </w:r>
      <w:r>
        <w:rPr>
          <w:rFonts w:ascii="宋体" w:hAnsi="宋体" w:eastAsia="宋体" w:cs="宋体"/>
          <w:spacing w:val="-3"/>
          <w:sz w:val="24"/>
          <w:szCs w:val="24"/>
          <w:highlight w:val="none"/>
        </w:rPr>
        <w:t>操作。</w:t>
      </w:r>
    </w:p>
    <w:p w14:paraId="05AF7310">
      <w:pPr>
        <w:spacing w:before="1" w:line="340" w:lineRule="auto"/>
        <w:ind w:left="19" w:right="80" w:firstLine="479"/>
        <w:rPr>
          <w:rFonts w:ascii="宋体" w:hAnsi="宋体" w:eastAsia="宋体" w:cs="宋体"/>
          <w:sz w:val="24"/>
          <w:szCs w:val="24"/>
          <w:highlight w:val="none"/>
        </w:rPr>
      </w:pPr>
      <w:r>
        <w:rPr>
          <w:rFonts w:ascii="宋体" w:hAnsi="宋体" w:eastAsia="宋体" w:cs="宋体"/>
          <w:sz w:val="24"/>
          <w:szCs w:val="24"/>
          <w:highlight w:val="none"/>
        </w:rPr>
        <w:t>1）供应商登录：开标前，请各供应商至少提前</w:t>
      </w:r>
      <w:r>
        <w:rPr>
          <w:rFonts w:ascii="宋体" w:hAnsi="宋体" w:eastAsia="宋体" w:cs="宋体"/>
          <w:spacing w:val="-30"/>
          <w:sz w:val="24"/>
          <w:szCs w:val="24"/>
          <w:highlight w:val="none"/>
        </w:rPr>
        <w:t xml:space="preserve"> </w:t>
      </w:r>
      <w:r>
        <w:rPr>
          <w:rFonts w:ascii="宋体" w:hAnsi="宋体" w:eastAsia="宋体" w:cs="宋体"/>
          <w:sz w:val="24"/>
          <w:szCs w:val="24"/>
          <w:highlight w:val="none"/>
        </w:rPr>
        <w:t>1</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小时登录宝鸡市公共</w:t>
      </w:r>
      <w:r>
        <w:rPr>
          <w:rFonts w:ascii="宋体" w:hAnsi="宋体" w:eastAsia="宋体" w:cs="宋体"/>
          <w:spacing w:val="-1"/>
          <w:sz w:val="24"/>
          <w:szCs w:val="24"/>
          <w:highlight w:val="none"/>
        </w:rPr>
        <w:t>资源交易平</w:t>
      </w:r>
      <w:r>
        <w:rPr>
          <w:rFonts w:ascii="宋体" w:hAnsi="宋体" w:eastAsia="宋体" w:cs="宋体"/>
          <w:spacing w:val="-10"/>
          <w:sz w:val="24"/>
          <w:szCs w:val="24"/>
          <w:highlight w:val="none"/>
        </w:rPr>
        <w:t>台〖首页</w:t>
      </w:r>
      <w:r>
        <w:rPr>
          <w:rFonts w:ascii="宋体" w:hAnsi="宋体" w:eastAsia="宋体" w:cs="宋体"/>
          <w:spacing w:val="-26"/>
          <w:sz w:val="24"/>
          <w:szCs w:val="24"/>
          <w:highlight w:val="none"/>
        </w:rPr>
        <w:t xml:space="preserve"> </w:t>
      </w:r>
      <w:r>
        <w:rPr>
          <w:rFonts w:ascii="宋体" w:hAnsi="宋体" w:eastAsia="宋体" w:cs="宋体"/>
          <w:spacing w:val="-10"/>
          <w:sz w:val="24"/>
          <w:szCs w:val="24"/>
          <w:highlight w:val="none"/>
        </w:rPr>
        <w:t>·</w:t>
      </w:r>
      <w:r>
        <w:rPr>
          <w:rFonts w:ascii="宋体" w:hAnsi="宋体" w:eastAsia="宋体" w:cs="宋体"/>
          <w:spacing w:val="-94"/>
          <w:sz w:val="24"/>
          <w:szCs w:val="24"/>
          <w:highlight w:val="none"/>
        </w:rPr>
        <w:t xml:space="preserve"> </w:t>
      </w:r>
      <w:r>
        <w:rPr>
          <w:rFonts w:ascii="宋体" w:hAnsi="宋体" w:eastAsia="宋体" w:cs="宋体"/>
          <w:spacing w:val="-10"/>
          <w:sz w:val="24"/>
          <w:szCs w:val="24"/>
          <w:highlight w:val="none"/>
        </w:rPr>
        <w:t>〉不见面开标〗系统。</w:t>
      </w:r>
    </w:p>
    <w:p w14:paraId="7B04931C">
      <w:pPr>
        <w:spacing w:before="315" w:line="340" w:lineRule="auto"/>
        <w:ind w:left="4" w:right="80" w:firstLine="479"/>
        <w:rPr>
          <w:rFonts w:ascii="宋体" w:hAnsi="宋体" w:eastAsia="宋体" w:cs="宋体"/>
          <w:sz w:val="24"/>
          <w:szCs w:val="24"/>
          <w:highlight w:val="none"/>
        </w:rPr>
      </w:pPr>
      <w:r>
        <w:rPr>
          <w:rFonts w:ascii="宋体" w:hAnsi="宋体" w:eastAsia="宋体" w:cs="宋体"/>
          <w:spacing w:val="2"/>
          <w:sz w:val="24"/>
          <w:szCs w:val="24"/>
          <w:highlight w:val="none"/>
        </w:rPr>
        <w:t>2）主持人宣布开标：提交竞争性磋商响应文件截</w:t>
      </w:r>
      <w:r>
        <w:rPr>
          <w:rFonts w:ascii="宋体" w:hAnsi="宋体" w:eastAsia="宋体" w:cs="宋体"/>
          <w:spacing w:val="1"/>
          <w:sz w:val="24"/>
          <w:szCs w:val="24"/>
          <w:highlight w:val="none"/>
        </w:rPr>
        <w:t>止时间过后，系统将不再接收任</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何竞争性磋商响应文件上传。</w:t>
      </w:r>
    </w:p>
    <w:p w14:paraId="12989238">
      <w:pPr>
        <w:spacing w:before="316"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3）解密竞争性磋商响应文件：供应商在收到主持人“</w:t>
      </w:r>
      <w:r>
        <w:rPr>
          <w:rFonts w:ascii="宋体" w:hAnsi="宋体" w:eastAsia="宋体" w:cs="宋体"/>
          <w:sz w:val="24"/>
          <w:szCs w:val="24"/>
          <w:highlight w:val="none"/>
        </w:rPr>
        <w:t>开始解密</w:t>
      </w:r>
      <w:r>
        <w:rPr>
          <w:rFonts w:ascii="宋体" w:hAnsi="宋体" w:eastAsia="宋体" w:cs="宋体"/>
          <w:spacing w:val="-88"/>
          <w:sz w:val="24"/>
          <w:szCs w:val="24"/>
          <w:highlight w:val="none"/>
        </w:rPr>
        <w:t xml:space="preserve"> </w:t>
      </w:r>
      <w:r>
        <w:rPr>
          <w:rFonts w:ascii="宋体" w:hAnsi="宋体" w:eastAsia="宋体" w:cs="宋体"/>
          <w:sz w:val="24"/>
          <w:szCs w:val="24"/>
          <w:highlight w:val="none"/>
        </w:rPr>
        <w:t>”指令后，应使用</w:t>
      </w:r>
    </w:p>
    <w:p w14:paraId="3006176E">
      <w:pPr>
        <w:spacing w:before="281" w:line="462" w:lineRule="auto"/>
        <w:ind w:left="12" w:right="3" w:hanging="12"/>
        <w:jc w:val="both"/>
        <w:rPr>
          <w:rFonts w:ascii="宋体" w:hAnsi="宋体" w:eastAsia="宋体" w:cs="宋体"/>
          <w:sz w:val="24"/>
          <w:szCs w:val="24"/>
          <w:highlight w:val="none"/>
        </w:rPr>
      </w:pPr>
      <w:r>
        <w:rPr>
          <w:rFonts w:ascii="宋体" w:hAnsi="宋体" w:eastAsia="宋体" w:cs="宋体"/>
          <w:spacing w:val="-1"/>
          <w:sz w:val="24"/>
          <w:szCs w:val="24"/>
          <w:highlight w:val="none"/>
        </w:rPr>
        <w:t>“加密该竞争性磋商响应文件的 CA 锁（必须是同一把锁）”在线完成</w:t>
      </w:r>
      <w:r>
        <w:rPr>
          <w:rFonts w:ascii="宋体" w:hAnsi="宋体" w:eastAsia="宋体" w:cs="宋体"/>
          <w:spacing w:val="-2"/>
          <w:sz w:val="24"/>
          <w:szCs w:val="24"/>
          <w:highlight w:val="none"/>
        </w:rPr>
        <w:t>竞争性磋商响应</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文件解密。除因【宝鸡市公共资源交易中心】断电、断网、系统故障及其他不可抗力等因素，导致“不见面开标</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”系统无法正常运行外，</w:t>
      </w:r>
      <w:r>
        <w:rPr>
          <w:rFonts w:ascii="宋体" w:hAnsi="宋体" w:eastAsia="宋体" w:cs="宋体"/>
          <w:spacing w:val="-3"/>
          <w:sz w:val="24"/>
          <w:szCs w:val="24"/>
          <w:highlight w:val="none"/>
        </w:rPr>
        <w:t>供应商应在规定的解密时间内完成解</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密。</w:t>
      </w:r>
    </w:p>
    <w:p w14:paraId="40CC2202">
      <w:pPr>
        <w:spacing w:before="1" w:line="217" w:lineRule="auto"/>
        <w:ind w:left="490"/>
        <w:rPr>
          <w:rFonts w:ascii="宋体" w:hAnsi="宋体" w:eastAsia="宋体" w:cs="宋体"/>
          <w:sz w:val="24"/>
          <w:szCs w:val="24"/>
          <w:highlight w:val="none"/>
        </w:rPr>
      </w:pPr>
      <w:r>
        <w:rPr>
          <w:rFonts w:ascii="宋体" w:hAnsi="宋体" w:eastAsia="宋体" w:cs="宋体"/>
          <w:spacing w:val="-1"/>
          <w:sz w:val="24"/>
          <w:szCs w:val="24"/>
          <w:highlight w:val="none"/>
        </w:rPr>
        <w:t>4）唱标：对于竞争性磋商项目，“不见面开标</w:t>
      </w:r>
      <w:r>
        <w:rPr>
          <w:rFonts w:ascii="宋体" w:hAnsi="宋体" w:eastAsia="宋体" w:cs="宋体"/>
          <w:spacing w:val="-88"/>
          <w:sz w:val="24"/>
          <w:szCs w:val="24"/>
          <w:highlight w:val="none"/>
        </w:rPr>
        <w:t xml:space="preserve"> </w:t>
      </w:r>
      <w:r>
        <w:rPr>
          <w:rFonts w:ascii="宋体" w:hAnsi="宋体" w:eastAsia="宋体" w:cs="宋体"/>
          <w:spacing w:val="-1"/>
          <w:sz w:val="24"/>
          <w:szCs w:val="24"/>
          <w:highlight w:val="none"/>
        </w:rPr>
        <w:t>”系统将不展示</w:t>
      </w:r>
      <w:r>
        <w:rPr>
          <w:rFonts w:ascii="宋体" w:hAnsi="宋体" w:eastAsia="宋体" w:cs="宋体"/>
          <w:spacing w:val="-2"/>
          <w:sz w:val="24"/>
          <w:szCs w:val="24"/>
          <w:highlight w:val="none"/>
        </w:rPr>
        <w:t>磋商一次报价。</w:t>
      </w:r>
    </w:p>
    <w:p w14:paraId="411C0EF9">
      <w:pPr>
        <w:spacing w:before="317" w:line="219" w:lineRule="auto"/>
        <w:ind w:left="496"/>
        <w:rPr>
          <w:rFonts w:ascii="宋体" w:hAnsi="宋体" w:eastAsia="宋体" w:cs="宋体"/>
          <w:sz w:val="24"/>
          <w:szCs w:val="24"/>
          <w:highlight w:val="none"/>
        </w:rPr>
      </w:pPr>
      <w:r>
        <w:rPr>
          <w:rFonts w:ascii="宋体" w:hAnsi="宋体" w:eastAsia="宋体" w:cs="宋体"/>
          <w:spacing w:val="-2"/>
          <w:sz w:val="24"/>
          <w:szCs w:val="24"/>
          <w:highlight w:val="none"/>
        </w:rPr>
        <w:t>5）开标结束：进入评审环节。</w:t>
      </w:r>
    </w:p>
    <w:p w14:paraId="25EDEF4D">
      <w:pPr>
        <w:spacing w:before="314" w:line="219"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6）资格审查和符合性审查通过后，对有效供应商在线分别进行磋商；</w:t>
      </w:r>
    </w:p>
    <w:p w14:paraId="1635E378">
      <w:pPr>
        <w:spacing w:before="315" w:line="340" w:lineRule="auto"/>
        <w:ind w:left="12" w:right="3" w:firstLine="484"/>
        <w:rPr>
          <w:rFonts w:ascii="宋体" w:hAnsi="宋体" w:eastAsia="宋体" w:cs="宋体"/>
          <w:sz w:val="24"/>
          <w:szCs w:val="24"/>
          <w:highlight w:val="none"/>
        </w:rPr>
      </w:pPr>
      <w:r>
        <w:rPr>
          <w:rFonts w:ascii="宋体" w:hAnsi="宋体" w:eastAsia="宋体" w:cs="宋体"/>
          <w:spacing w:val="2"/>
          <w:sz w:val="24"/>
          <w:szCs w:val="24"/>
          <w:highlight w:val="none"/>
        </w:rPr>
        <w:t>7）对有效供应商要求在线提交第二次商务</w:t>
      </w:r>
      <w:r>
        <w:rPr>
          <w:rFonts w:ascii="宋体" w:hAnsi="宋体" w:eastAsia="宋体" w:cs="宋体"/>
          <w:spacing w:val="1"/>
          <w:sz w:val="24"/>
          <w:szCs w:val="24"/>
          <w:highlight w:val="none"/>
        </w:rPr>
        <w:t>报价，在磋商小组未对磋商文件进行实</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质性修改的情况下，第二次报价不得超过一次报价；</w:t>
      </w:r>
    </w:p>
    <w:p w14:paraId="3ED7DF54">
      <w:pPr>
        <w:spacing w:before="316"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8）磋商小组评审、推荐成交候选人。</w:t>
      </w:r>
    </w:p>
    <w:p w14:paraId="0C92216C">
      <w:pPr>
        <w:spacing w:before="312" w:line="462" w:lineRule="auto"/>
        <w:ind w:left="11" w:right="3"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注：①在整体项目结束前供应商请保持在线，评审期间磋商小组可能会要求供应商</w:t>
      </w:r>
      <w:r>
        <w:rPr>
          <w:rFonts w:ascii="宋体" w:hAnsi="宋体" w:eastAsia="宋体" w:cs="宋体"/>
          <w:spacing w:val="13"/>
          <w:sz w:val="24"/>
          <w:szCs w:val="24"/>
          <w:highlight w:val="none"/>
        </w:rPr>
        <w:t xml:space="preserve"> </w:t>
      </w:r>
      <w:r>
        <w:rPr>
          <w:rFonts w:ascii="宋体" w:hAnsi="宋体" w:eastAsia="宋体" w:cs="宋体"/>
          <w:spacing w:val="-2"/>
          <w:sz w:val="24"/>
          <w:szCs w:val="24"/>
          <w:highlight w:val="none"/>
        </w:rPr>
        <w:t>做相应的澄清，因供应商擅自离席造成的不利后果，由供应商自行承担；②在磋商过程</w:t>
      </w:r>
      <w:r>
        <w:rPr>
          <w:rFonts w:ascii="宋体" w:hAnsi="宋体" w:eastAsia="宋体" w:cs="宋体"/>
          <w:spacing w:val="17"/>
          <w:sz w:val="24"/>
          <w:szCs w:val="24"/>
          <w:highlight w:val="none"/>
        </w:rPr>
        <w:t xml:space="preserve"> </w:t>
      </w:r>
      <w:r>
        <w:rPr>
          <w:rFonts w:ascii="宋体" w:hAnsi="宋体" w:eastAsia="宋体" w:cs="宋体"/>
          <w:spacing w:val="-2"/>
          <w:sz w:val="24"/>
          <w:szCs w:val="24"/>
          <w:highlight w:val="none"/>
        </w:rPr>
        <w:t>中，磋商小组可以根据竞争性磋商文件和磋商情况实质性变动采购需求中的技术、服务</w:t>
      </w:r>
      <w:r>
        <w:rPr>
          <w:rFonts w:ascii="宋体" w:hAnsi="宋体" w:eastAsia="宋体" w:cs="宋体"/>
          <w:spacing w:val="17"/>
          <w:sz w:val="24"/>
          <w:szCs w:val="24"/>
          <w:highlight w:val="none"/>
        </w:rPr>
        <w:t xml:space="preserve"> </w:t>
      </w:r>
      <w:r>
        <w:rPr>
          <w:rFonts w:ascii="宋体" w:hAnsi="宋体" w:eastAsia="宋体" w:cs="宋体"/>
          <w:spacing w:val="-2"/>
          <w:sz w:val="24"/>
          <w:szCs w:val="24"/>
          <w:highlight w:val="none"/>
        </w:rPr>
        <w:t>要求以及合同草案条款，第二次商务报价为本磋商活动最终报价；③根据政府采购的相</w:t>
      </w:r>
      <w:r>
        <w:rPr>
          <w:rFonts w:ascii="宋体" w:hAnsi="宋体" w:eastAsia="宋体" w:cs="宋体"/>
          <w:spacing w:val="17"/>
          <w:sz w:val="24"/>
          <w:szCs w:val="24"/>
          <w:highlight w:val="none"/>
        </w:rPr>
        <w:t xml:space="preserve"> </w:t>
      </w:r>
      <w:r>
        <w:rPr>
          <w:rFonts w:ascii="宋体" w:hAnsi="宋体" w:eastAsia="宋体" w:cs="宋体"/>
          <w:spacing w:val="-1"/>
          <w:sz w:val="24"/>
          <w:szCs w:val="24"/>
          <w:highlight w:val="none"/>
        </w:rPr>
        <w:t>关规定，所有报价在公示前均不公开宣布。</w:t>
      </w:r>
      <w:r>
        <w:rPr>
          <w:rFonts w:ascii="宋体" w:hAnsi="宋体" w:eastAsia="宋体" w:cs="宋体"/>
          <w:spacing w:val="-7"/>
          <w:sz w:val="24"/>
          <w:szCs w:val="24"/>
          <w:highlight w:val="none"/>
        </w:rPr>
        <w:t>相关操作流程详见全国公共资源交易平台（宝鸡市）</w:t>
      </w:r>
      <w:r>
        <w:rPr>
          <w:rFonts w:ascii="宋体" w:hAnsi="宋体" w:eastAsia="宋体" w:cs="宋体"/>
          <w:spacing w:val="-8"/>
          <w:sz w:val="24"/>
          <w:szCs w:val="24"/>
          <w:highlight w:val="none"/>
        </w:rPr>
        <w:t>网站〖首页</w:t>
      </w:r>
      <w:r>
        <w:rPr>
          <w:rFonts w:ascii="宋体" w:hAnsi="宋体" w:eastAsia="宋体" w:cs="宋体"/>
          <w:spacing w:val="-2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94"/>
          <w:sz w:val="24"/>
          <w:szCs w:val="24"/>
          <w:highlight w:val="none"/>
        </w:rPr>
        <w:t xml:space="preserve"> </w:t>
      </w:r>
      <w:r>
        <w:rPr>
          <w:rFonts w:ascii="宋体" w:hAnsi="宋体" w:eastAsia="宋体" w:cs="宋体"/>
          <w:spacing w:val="-8"/>
          <w:sz w:val="24"/>
          <w:szCs w:val="24"/>
          <w:highlight w:val="none"/>
        </w:rPr>
        <w:t>〉服务指南</w:t>
      </w:r>
      <w:r>
        <w:rPr>
          <w:rFonts w:ascii="宋体" w:hAnsi="宋体" w:eastAsia="宋体" w:cs="宋体"/>
          <w:spacing w:val="-28"/>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4"/>
          <w:sz w:val="24"/>
          <w:szCs w:val="24"/>
          <w:highlight w:val="none"/>
        </w:rPr>
        <w:t>下载专区</w:t>
      </w:r>
      <w:r>
        <w:rPr>
          <w:rFonts w:ascii="宋体" w:hAnsi="宋体" w:eastAsia="宋体" w:cs="宋体"/>
          <w:spacing w:val="-46"/>
          <w:sz w:val="24"/>
          <w:szCs w:val="24"/>
          <w:highlight w:val="none"/>
        </w:rPr>
        <w:t xml:space="preserve"> </w:t>
      </w:r>
      <w:r>
        <w:rPr>
          <w:rFonts w:ascii="宋体" w:hAnsi="宋体" w:eastAsia="宋体" w:cs="宋体"/>
          <w:spacing w:val="34"/>
          <w:sz w:val="24"/>
          <w:szCs w:val="24"/>
          <w:highlight w:val="none"/>
        </w:rPr>
        <w:t>〗</w:t>
      </w:r>
      <w:r>
        <w:rPr>
          <w:rFonts w:ascii="宋体" w:hAnsi="宋体" w:eastAsia="宋体" w:cs="宋体"/>
          <w:spacing w:val="-37"/>
          <w:sz w:val="24"/>
          <w:szCs w:val="24"/>
          <w:highlight w:val="none"/>
        </w:rPr>
        <w:t xml:space="preserve"> </w:t>
      </w:r>
      <w:r>
        <w:rPr>
          <w:rFonts w:ascii="宋体" w:hAnsi="宋体" w:eastAsia="宋体" w:cs="宋体"/>
          <w:spacing w:val="34"/>
          <w:sz w:val="24"/>
          <w:szCs w:val="24"/>
          <w:highlight w:val="none"/>
        </w:rPr>
        <w:t>中的</w:t>
      </w:r>
      <w:r>
        <w:rPr>
          <w:rFonts w:ascii="宋体" w:hAnsi="宋体" w:eastAsia="宋体" w:cs="宋体"/>
          <w:spacing w:val="-72"/>
          <w:sz w:val="24"/>
          <w:szCs w:val="24"/>
          <w:highlight w:val="none"/>
        </w:rPr>
        <w:t xml:space="preserve"> </w:t>
      </w:r>
      <w:r>
        <w:rPr>
          <w:rFonts w:ascii="宋体" w:hAnsi="宋体" w:eastAsia="宋体" w:cs="宋体"/>
          <w:spacing w:val="34"/>
          <w:sz w:val="24"/>
          <w:szCs w:val="24"/>
          <w:highlight w:val="none"/>
        </w:rPr>
        <w:t>《</w:t>
      </w:r>
      <w:r>
        <w:rPr>
          <w:rFonts w:ascii="宋体" w:hAnsi="宋体" w:eastAsia="宋体" w:cs="宋体"/>
          <w:spacing w:val="-34"/>
          <w:sz w:val="24"/>
          <w:szCs w:val="24"/>
          <w:highlight w:val="none"/>
        </w:rPr>
        <w:t xml:space="preserve"> </w:t>
      </w:r>
      <w:r>
        <w:rPr>
          <w:rFonts w:ascii="宋体" w:hAnsi="宋体" w:eastAsia="宋体" w:cs="宋体"/>
          <w:spacing w:val="34"/>
          <w:sz w:val="24"/>
          <w:szCs w:val="24"/>
          <w:highlight w:val="none"/>
        </w:rPr>
        <w:t>宝鸡公共资源交易不见面开标大厅投</w:t>
      </w:r>
      <w:r>
        <w:rPr>
          <w:rFonts w:ascii="宋体" w:hAnsi="宋体" w:eastAsia="宋体" w:cs="宋体"/>
          <w:spacing w:val="33"/>
          <w:sz w:val="24"/>
          <w:szCs w:val="24"/>
          <w:highlight w:val="none"/>
        </w:rPr>
        <w:t>标人操作手册</w:t>
      </w:r>
      <w:r>
        <w:rPr>
          <w:rFonts w:ascii="宋体" w:hAnsi="宋体" w:eastAsia="宋体" w:cs="宋体"/>
          <w:spacing w:val="-47"/>
          <w:sz w:val="24"/>
          <w:szCs w:val="24"/>
          <w:highlight w:val="none"/>
        </w:rPr>
        <w:t xml:space="preserve"> </w:t>
      </w:r>
      <w:r>
        <w:rPr>
          <w:rFonts w:ascii="宋体" w:hAnsi="宋体" w:eastAsia="宋体" w:cs="宋体"/>
          <w:spacing w:val="33"/>
          <w:sz w:val="24"/>
          <w:szCs w:val="24"/>
          <w:highlight w:val="none"/>
        </w:rPr>
        <w:t>》</w:t>
      </w:r>
      <w:r>
        <w:rPr>
          <w:rFonts w:ascii="宋体" w:hAnsi="宋体" w:eastAsia="宋体" w:cs="宋体"/>
          <w:spacing w:val="-65"/>
          <w:sz w:val="24"/>
          <w:szCs w:val="24"/>
          <w:highlight w:val="none"/>
        </w:rPr>
        <w:t xml:space="preserve"> </w:t>
      </w:r>
      <w:r>
        <w:rPr>
          <w:rFonts w:ascii="宋体" w:hAnsi="宋体" w:eastAsia="宋体" w:cs="宋体"/>
          <w:spacing w:val="33"/>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78"/>
          <w:sz w:val="24"/>
          <w:szCs w:val="24"/>
          <w:highlight w:val="none"/>
        </w:rPr>
        <w:t xml:space="preserve"> </w:t>
      </w:r>
      <w:r>
        <w:rPr>
          <w:highlight w:val="none"/>
        </w:rPr>
        <w:fldChar w:fldCharType="begin"/>
      </w:r>
      <w:r>
        <w:rPr>
          <w:highlight w:val="none"/>
        </w:rPr>
        <w:instrText xml:space="preserve"> HYPERLINK "http://ggzy.baoji.gov.cn/fwzn/004003/20231123/d2048104-5dd1-4825-97f0-186cb8450ee5.html" </w:instrText>
      </w:r>
      <w:r>
        <w:rPr>
          <w:highlight w:val="none"/>
        </w:rPr>
        <w:fldChar w:fldCharType="separate"/>
      </w:r>
      <w:r>
        <w:rPr>
          <w:rFonts w:ascii="宋体" w:hAnsi="宋体" w:eastAsia="宋体" w:cs="宋体"/>
          <w:sz w:val="24"/>
          <w:szCs w:val="24"/>
          <w:highlight w:val="none"/>
        </w:rPr>
        <w:t>http://ggzy.baoji.gov.cn/fwzn/004003/20231123/d204810</w:t>
      </w:r>
      <w:r>
        <w:rPr>
          <w:rFonts w:ascii="宋体" w:hAnsi="宋体" w:eastAsia="宋体" w:cs="宋体"/>
          <w:spacing w:val="-1"/>
          <w:sz w:val="24"/>
          <w:szCs w:val="24"/>
          <w:highlight w:val="none"/>
        </w:rPr>
        <w:t>4-5dd1-4825-97f0-18</w:t>
      </w:r>
      <w:r>
        <w:rPr>
          <w:rFonts w:ascii="宋体" w:hAnsi="宋体" w:eastAsia="宋体" w:cs="宋体"/>
          <w:spacing w:val="-1"/>
          <w:sz w:val="24"/>
          <w:szCs w:val="24"/>
          <w:highlight w:val="none"/>
        </w:rPr>
        <w:fldChar w:fldCharType="end"/>
      </w:r>
      <w:r>
        <w:rPr>
          <w:rFonts w:ascii="宋体" w:hAnsi="宋体" w:eastAsia="宋体" w:cs="宋体"/>
          <w:sz w:val="24"/>
          <w:szCs w:val="24"/>
          <w:highlight w:val="none"/>
        </w:rPr>
        <w:t xml:space="preserve"> </w:t>
      </w:r>
      <w:r>
        <w:rPr>
          <w:highlight w:val="none"/>
        </w:rPr>
        <w:fldChar w:fldCharType="begin"/>
      </w:r>
      <w:r>
        <w:rPr>
          <w:highlight w:val="none"/>
        </w:rPr>
        <w:instrText xml:space="preserve"> HYPERLINK "http://ggzy.baoji.gov.cn/fwzn/004003/20231123/d2048104-5dd1-4825-97f0-186cb8450ee5.html" </w:instrText>
      </w:r>
      <w:r>
        <w:rPr>
          <w:highlight w:val="none"/>
        </w:rPr>
        <w:fldChar w:fldCharType="separate"/>
      </w:r>
      <w:r>
        <w:rPr>
          <w:rFonts w:ascii="宋体" w:hAnsi="宋体" w:eastAsia="宋体" w:cs="宋体"/>
          <w:spacing w:val="-1"/>
          <w:sz w:val="24"/>
          <w:szCs w:val="24"/>
          <w:highlight w:val="none"/>
        </w:rPr>
        <w:t>6cb8450ee5.html</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w:t>
      </w:r>
    </w:p>
    <w:p w14:paraId="3EDDC5FF">
      <w:pPr>
        <w:spacing w:before="1" w:line="219" w:lineRule="auto"/>
        <w:ind w:left="509"/>
        <w:rPr>
          <w:rFonts w:ascii="宋体" w:hAnsi="宋体" w:eastAsia="宋体" w:cs="宋体"/>
          <w:sz w:val="24"/>
          <w:szCs w:val="24"/>
          <w:highlight w:val="none"/>
        </w:rPr>
      </w:pPr>
      <w:r>
        <w:rPr>
          <w:rFonts w:ascii="宋体" w:hAnsi="宋体" w:eastAsia="宋体" w:cs="宋体"/>
          <w:b/>
          <w:bCs/>
          <w:sz w:val="24"/>
          <w:szCs w:val="24"/>
          <w:highlight w:val="none"/>
        </w:rPr>
        <w:t>8、磋商响应文件的有效性</w:t>
      </w:r>
    </w:p>
    <w:p w14:paraId="1E9218D9">
      <w:pPr>
        <w:spacing w:before="213" w:line="385" w:lineRule="auto"/>
        <w:ind w:left="9" w:right="13" w:firstLine="499"/>
        <w:rPr>
          <w:rFonts w:ascii="宋体" w:hAnsi="宋体" w:eastAsia="宋体" w:cs="宋体"/>
          <w:sz w:val="24"/>
          <w:szCs w:val="24"/>
          <w:highlight w:val="none"/>
        </w:rPr>
      </w:pPr>
      <w:r>
        <w:rPr>
          <w:rFonts w:ascii="宋体" w:hAnsi="宋体" w:eastAsia="宋体" w:cs="宋体"/>
          <w:spacing w:val="4"/>
          <w:sz w:val="24"/>
          <w:szCs w:val="24"/>
          <w:highlight w:val="none"/>
        </w:rPr>
        <w:t>开标时，磋商响应文件出现下列情形之一的，应当作为无效磋商响应文件，不得</w:t>
      </w:r>
      <w:r>
        <w:rPr>
          <w:rFonts w:ascii="宋体" w:hAnsi="宋体" w:eastAsia="宋体" w:cs="宋体"/>
          <w:spacing w:val="14"/>
          <w:sz w:val="24"/>
          <w:szCs w:val="24"/>
          <w:highlight w:val="none"/>
        </w:rPr>
        <w:t xml:space="preserve"> </w:t>
      </w:r>
      <w:r>
        <w:rPr>
          <w:rFonts w:ascii="宋体" w:hAnsi="宋体" w:eastAsia="宋体" w:cs="宋体"/>
          <w:spacing w:val="3"/>
          <w:sz w:val="24"/>
          <w:szCs w:val="24"/>
          <w:highlight w:val="none"/>
        </w:rPr>
        <w:t>进入评标：</w:t>
      </w:r>
    </w:p>
    <w:p w14:paraId="715FC6DC">
      <w:pPr>
        <w:spacing w:before="1" w:line="219" w:lineRule="auto"/>
        <w:ind w:left="509"/>
        <w:rPr>
          <w:rFonts w:ascii="宋体" w:hAnsi="宋体" w:eastAsia="宋体" w:cs="宋体"/>
          <w:sz w:val="24"/>
          <w:szCs w:val="24"/>
          <w:highlight w:val="none"/>
        </w:rPr>
      </w:pPr>
      <w:r>
        <w:rPr>
          <w:rFonts w:ascii="宋体" w:hAnsi="宋体" w:eastAsia="宋体" w:cs="宋体"/>
          <w:spacing w:val="2"/>
          <w:sz w:val="24"/>
          <w:szCs w:val="24"/>
          <w:highlight w:val="none"/>
        </w:rPr>
        <w:t>8.1 电子竞争性磋商响应文件（</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z w:val="24"/>
          <w:szCs w:val="24"/>
          <w:highlight w:val="none"/>
        </w:rPr>
        <w:t>SXSTF</w:t>
      </w:r>
      <w:r>
        <w:rPr>
          <w:rFonts w:ascii="宋体" w:hAnsi="宋体" w:eastAsia="宋体" w:cs="宋体"/>
          <w:spacing w:val="2"/>
          <w:sz w:val="24"/>
          <w:szCs w:val="24"/>
          <w:highlight w:val="none"/>
        </w:rPr>
        <w:t>）无法正常打开的；</w:t>
      </w:r>
    </w:p>
    <w:p w14:paraId="01C90DFA">
      <w:pPr>
        <w:spacing w:before="213" w:line="360" w:lineRule="auto"/>
        <w:ind w:right="10" w:firstLine="492" w:firstLineChars="200"/>
        <w:jc w:val="left"/>
        <w:rPr>
          <w:rFonts w:ascii="宋体" w:hAnsi="宋体" w:eastAsia="宋体" w:cs="宋体"/>
          <w:sz w:val="24"/>
          <w:szCs w:val="24"/>
          <w:highlight w:val="none"/>
        </w:rPr>
      </w:pPr>
      <w:r>
        <w:rPr>
          <w:rFonts w:ascii="宋体" w:hAnsi="宋体" w:eastAsia="宋体" w:cs="宋体"/>
          <w:spacing w:val="3"/>
          <w:sz w:val="24"/>
          <w:szCs w:val="24"/>
          <w:highlight w:val="none"/>
        </w:rPr>
        <w:t>8.2</w:t>
      </w:r>
      <w:r>
        <w:rPr>
          <w:rFonts w:ascii="宋体" w:hAnsi="宋体" w:eastAsia="宋体" w:cs="宋体"/>
          <w:spacing w:val="-10"/>
          <w:sz w:val="24"/>
          <w:szCs w:val="24"/>
          <w:highlight w:val="none"/>
        </w:rPr>
        <w:t xml:space="preserve"> </w:t>
      </w:r>
      <w:r>
        <w:rPr>
          <w:rFonts w:ascii="宋体" w:hAnsi="宋体" w:eastAsia="宋体" w:cs="宋体"/>
          <w:spacing w:val="3"/>
          <w:sz w:val="24"/>
          <w:szCs w:val="24"/>
          <w:highlight w:val="none"/>
        </w:rPr>
        <w:t>因供应商自身原因（如未带</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44"/>
          <w:sz w:val="24"/>
          <w:szCs w:val="24"/>
          <w:highlight w:val="none"/>
        </w:rPr>
        <w:t xml:space="preserve"> </w:t>
      </w:r>
      <w:r>
        <w:rPr>
          <w:rFonts w:ascii="宋体" w:hAnsi="宋体" w:eastAsia="宋体" w:cs="宋体"/>
          <w:spacing w:val="3"/>
          <w:sz w:val="24"/>
          <w:szCs w:val="24"/>
          <w:highlight w:val="none"/>
        </w:rPr>
        <w:t>锁、或所带</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锁与制作电子磋商响应文件使</w:t>
      </w:r>
      <w:r>
        <w:rPr>
          <w:rFonts w:ascii="宋体" w:hAnsi="宋体" w:eastAsia="宋体" w:cs="宋体"/>
          <w:spacing w:val="6"/>
          <w:sz w:val="24"/>
          <w:szCs w:val="24"/>
          <w:highlight w:val="none"/>
        </w:rPr>
        <w:t>用的</w:t>
      </w:r>
      <w:r>
        <w:rPr>
          <w:rFonts w:ascii="宋体" w:hAnsi="宋体" w:eastAsia="宋体" w:cs="宋体"/>
          <w:spacing w:val="-43"/>
          <w:sz w:val="24"/>
          <w:szCs w:val="24"/>
          <w:highlight w:val="none"/>
        </w:rPr>
        <w:t xml:space="preserve"> </w:t>
      </w:r>
      <w:r>
        <w:rPr>
          <w:rFonts w:ascii="宋体" w:hAnsi="宋体" w:eastAsia="宋体" w:cs="宋体"/>
          <w:sz w:val="24"/>
          <w:szCs w:val="24"/>
          <w:highlight w:val="none"/>
        </w:rPr>
        <w:t>CA</w:t>
      </w:r>
      <w:r>
        <w:rPr>
          <w:rFonts w:ascii="宋体" w:hAnsi="宋体" w:eastAsia="宋体" w:cs="宋体"/>
          <w:spacing w:val="-44"/>
          <w:sz w:val="24"/>
          <w:szCs w:val="24"/>
          <w:highlight w:val="none"/>
        </w:rPr>
        <w:t xml:space="preserve"> </w:t>
      </w:r>
      <w:r>
        <w:rPr>
          <w:rFonts w:ascii="宋体" w:hAnsi="宋体" w:eastAsia="宋体" w:cs="宋体"/>
          <w:spacing w:val="6"/>
          <w:sz w:val="24"/>
          <w:szCs w:val="24"/>
          <w:highlight w:val="none"/>
        </w:rPr>
        <w:t>锁不一致、或沿用旧版磋商文件编制磋商响应文件等情形</w:t>
      </w:r>
      <w:r>
        <w:rPr>
          <w:rFonts w:ascii="宋体" w:hAnsi="宋体" w:eastAsia="宋体" w:cs="宋体"/>
          <w:spacing w:val="29"/>
          <w:sz w:val="24"/>
          <w:szCs w:val="24"/>
          <w:highlight w:val="none"/>
        </w:rPr>
        <w:t>），</w:t>
      </w:r>
      <w:r>
        <w:rPr>
          <w:rFonts w:ascii="宋体" w:hAnsi="宋体" w:eastAsia="宋体" w:cs="宋体"/>
          <w:spacing w:val="6"/>
          <w:sz w:val="24"/>
          <w:szCs w:val="24"/>
          <w:highlight w:val="none"/>
        </w:rPr>
        <w:t>导致在规定时</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间内无法解密磋商响应文件的；</w:t>
      </w:r>
    </w:p>
    <w:p w14:paraId="116F70EB">
      <w:pPr>
        <w:spacing w:line="218"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8.3</w:t>
      </w:r>
      <w:r>
        <w:rPr>
          <w:rFonts w:ascii="宋体" w:hAnsi="宋体" w:eastAsia="宋体" w:cs="宋体"/>
          <w:spacing w:val="-29"/>
          <w:sz w:val="24"/>
          <w:szCs w:val="24"/>
          <w:highlight w:val="none"/>
        </w:rPr>
        <w:t xml:space="preserve"> </w:t>
      </w:r>
      <w:r>
        <w:rPr>
          <w:rFonts w:ascii="宋体" w:hAnsi="宋体" w:eastAsia="宋体" w:cs="宋体"/>
          <w:spacing w:val="5"/>
          <w:sz w:val="24"/>
          <w:szCs w:val="24"/>
          <w:highlight w:val="none"/>
        </w:rPr>
        <w:t>供应商拒绝对电子磋商响应文件进行解密的；</w:t>
      </w:r>
    </w:p>
    <w:p w14:paraId="4479F255">
      <w:pPr>
        <w:spacing w:before="217"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8.4</w:t>
      </w:r>
      <w:r>
        <w:rPr>
          <w:rFonts w:ascii="宋体" w:hAnsi="宋体" w:eastAsia="宋体" w:cs="宋体"/>
          <w:spacing w:val="-33"/>
          <w:sz w:val="24"/>
          <w:szCs w:val="24"/>
          <w:highlight w:val="none"/>
        </w:rPr>
        <w:t xml:space="preserve"> </w:t>
      </w:r>
      <w:r>
        <w:rPr>
          <w:rFonts w:ascii="宋体" w:hAnsi="宋体" w:eastAsia="宋体" w:cs="宋体"/>
          <w:spacing w:val="4"/>
          <w:sz w:val="24"/>
          <w:szCs w:val="24"/>
          <w:highlight w:val="none"/>
        </w:rPr>
        <w:t>磋商响应文件逾期未提交的；</w:t>
      </w:r>
    </w:p>
    <w:p w14:paraId="5DA79168">
      <w:pPr>
        <w:spacing w:before="214" w:line="301" w:lineRule="auto"/>
        <w:ind w:left="1" w:right="9" w:firstLine="496"/>
        <w:rPr>
          <w:rFonts w:ascii="宋体" w:hAnsi="宋体" w:eastAsia="宋体" w:cs="宋体"/>
          <w:sz w:val="24"/>
          <w:szCs w:val="24"/>
          <w:highlight w:val="none"/>
        </w:rPr>
      </w:pPr>
      <w:r>
        <w:rPr>
          <w:rFonts w:ascii="宋体" w:hAnsi="宋体" w:eastAsia="宋体" w:cs="宋体"/>
          <w:spacing w:val="12"/>
          <w:sz w:val="24"/>
          <w:szCs w:val="24"/>
          <w:highlight w:val="none"/>
        </w:rPr>
        <w:t>8.5</w:t>
      </w:r>
      <w:r>
        <w:rPr>
          <w:rFonts w:ascii="宋体" w:hAnsi="宋体" w:eastAsia="宋体" w:cs="宋体"/>
          <w:spacing w:val="-26"/>
          <w:sz w:val="24"/>
          <w:szCs w:val="24"/>
          <w:highlight w:val="none"/>
        </w:rPr>
        <w:t xml:space="preserve"> </w:t>
      </w:r>
      <w:r>
        <w:rPr>
          <w:rFonts w:ascii="宋体" w:hAnsi="宋体" w:eastAsia="宋体" w:cs="宋体"/>
          <w:spacing w:val="12"/>
          <w:sz w:val="24"/>
          <w:szCs w:val="24"/>
          <w:highlight w:val="none"/>
        </w:rPr>
        <w:t>磋商响应文件未加盖供应商印章或未经法定代表人或其委托代理人签字或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盖章的；</w:t>
      </w:r>
    </w:p>
    <w:p w14:paraId="49FEF830">
      <w:pPr>
        <w:spacing w:before="218" w:line="219"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8.6</w:t>
      </w:r>
      <w:r>
        <w:rPr>
          <w:rFonts w:ascii="宋体" w:hAnsi="宋体" w:eastAsia="宋体" w:cs="宋体"/>
          <w:spacing w:val="-45"/>
          <w:sz w:val="24"/>
          <w:szCs w:val="24"/>
          <w:highlight w:val="none"/>
        </w:rPr>
        <w:t xml:space="preserve"> </w:t>
      </w:r>
      <w:r>
        <w:rPr>
          <w:rFonts w:ascii="宋体" w:hAnsi="宋体" w:eastAsia="宋体" w:cs="宋体"/>
          <w:spacing w:val="6"/>
          <w:sz w:val="24"/>
          <w:szCs w:val="24"/>
          <w:highlight w:val="none"/>
        </w:rPr>
        <w:t>磋商响应文件的关键内容字迹模糊、无法辨认</w:t>
      </w:r>
      <w:r>
        <w:rPr>
          <w:rFonts w:ascii="宋体" w:hAnsi="宋体" w:eastAsia="宋体" w:cs="宋体"/>
          <w:spacing w:val="5"/>
          <w:sz w:val="24"/>
          <w:szCs w:val="24"/>
          <w:highlight w:val="none"/>
        </w:rPr>
        <w:t>的；</w:t>
      </w:r>
    </w:p>
    <w:p w14:paraId="2E3C68A0">
      <w:pPr>
        <w:spacing w:before="214" w:line="219"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8.7</w:t>
      </w:r>
      <w:r>
        <w:rPr>
          <w:rFonts w:ascii="宋体" w:hAnsi="宋体" w:eastAsia="宋体" w:cs="宋体"/>
          <w:spacing w:val="-44"/>
          <w:sz w:val="24"/>
          <w:szCs w:val="24"/>
          <w:highlight w:val="none"/>
        </w:rPr>
        <w:t xml:space="preserve"> </w:t>
      </w:r>
      <w:r>
        <w:rPr>
          <w:rFonts w:ascii="宋体" w:hAnsi="宋体" w:eastAsia="宋体" w:cs="宋体"/>
          <w:spacing w:val="6"/>
          <w:sz w:val="24"/>
          <w:szCs w:val="24"/>
          <w:highlight w:val="none"/>
        </w:rPr>
        <w:t>供应商未按照磋商文件的要求提供磋商保证</w:t>
      </w:r>
      <w:r>
        <w:rPr>
          <w:rFonts w:ascii="宋体" w:hAnsi="宋体" w:eastAsia="宋体" w:cs="宋体"/>
          <w:spacing w:val="5"/>
          <w:sz w:val="24"/>
          <w:szCs w:val="24"/>
          <w:highlight w:val="none"/>
        </w:rPr>
        <w:t>金的；</w:t>
      </w:r>
    </w:p>
    <w:p w14:paraId="061D5D0D">
      <w:pPr>
        <w:spacing w:before="214"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8.8</w:t>
      </w:r>
      <w:r>
        <w:rPr>
          <w:rFonts w:ascii="宋体" w:hAnsi="宋体" w:eastAsia="宋体" w:cs="宋体"/>
          <w:spacing w:val="-26"/>
          <w:sz w:val="24"/>
          <w:szCs w:val="24"/>
          <w:highlight w:val="none"/>
        </w:rPr>
        <w:t xml:space="preserve"> </w:t>
      </w:r>
      <w:r>
        <w:rPr>
          <w:rFonts w:ascii="宋体" w:hAnsi="宋体" w:eastAsia="宋体" w:cs="宋体"/>
          <w:spacing w:val="5"/>
          <w:sz w:val="24"/>
          <w:szCs w:val="24"/>
          <w:highlight w:val="none"/>
        </w:rPr>
        <w:t>供应商的名称组织机构与购买标书时不一致的；</w:t>
      </w:r>
    </w:p>
    <w:p w14:paraId="75556515">
      <w:pPr>
        <w:spacing w:before="218"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8.9</w:t>
      </w:r>
      <w:r>
        <w:rPr>
          <w:rFonts w:ascii="宋体" w:hAnsi="宋体" w:eastAsia="宋体" w:cs="宋体"/>
          <w:spacing w:val="-26"/>
          <w:sz w:val="24"/>
          <w:szCs w:val="24"/>
          <w:highlight w:val="none"/>
        </w:rPr>
        <w:t xml:space="preserve"> </w:t>
      </w:r>
      <w:r>
        <w:rPr>
          <w:rFonts w:ascii="宋体" w:hAnsi="宋体" w:eastAsia="宋体" w:cs="宋体"/>
          <w:spacing w:val="5"/>
          <w:sz w:val="24"/>
          <w:szCs w:val="24"/>
          <w:highlight w:val="none"/>
        </w:rPr>
        <w:t>磋商响应文件修改处未加盖法定代表人印鉴的；</w:t>
      </w:r>
    </w:p>
    <w:p w14:paraId="5E8ACE87">
      <w:pPr>
        <w:spacing w:before="214" w:line="218"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8.10</w:t>
      </w:r>
      <w:r>
        <w:rPr>
          <w:rFonts w:ascii="宋体" w:hAnsi="宋体" w:eastAsia="宋体" w:cs="宋体"/>
          <w:spacing w:val="-33"/>
          <w:sz w:val="24"/>
          <w:szCs w:val="24"/>
          <w:highlight w:val="none"/>
        </w:rPr>
        <w:t xml:space="preserve"> </w:t>
      </w:r>
      <w:r>
        <w:rPr>
          <w:rFonts w:ascii="宋体" w:hAnsi="宋体" w:eastAsia="宋体" w:cs="宋体"/>
          <w:spacing w:val="5"/>
          <w:sz w:val="24"/>
          <w:szCs w:val="24"/>
          <w:highlight w:val="none"/>
        </w:rPr>
        <w:t>供应商的投标报价大于本项目最高限价的；</w:t>
      </w:r>
    </w:p>
    <w:p w14:paraId="571F504E">
      <w:pPr>
        <w:spacing w:before="216"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8.11</w:t>
      </w:r>
      <w:r>
        <w:rPr>
          <w:rFonts w:ascii="宋体" w:hAnsi="宋体" w:eastAsia="宋体" w:cs="宋体"/>
          <w:spacing w:val="-29"/>
          <w:sz w:val="24"/>
          <w:szCs w:val="24"/>
          <w:highlight w:val="none"/>
        </w:rPr>
        <w:t xml:space="preserve"> </w:t>
      </w:r>
      <w:r>
        <w:rPr>
          <w:rFonts w:ascii="宋体" w:hAnsi="宋体" w:eastAsia="宋体" w:cs="宋体"/>
          <w:spacing w:val="5"/>
          <w:sz w:val="24"/>
          <w:szCs w:val="24"/>
          <w:highlight w:val="none"/>
        </w:rPr>
        <w:t>磋商响应文件未实质性响应磋商文件要求的；</w:t>
      </w:r>
    </w:p>
    <w:p w14:paraId="244914C7">
      <w:pPr>
        <w:spacing w:before="217" w:line="219" w:lineRule="auto"/>
        <w:ind w:left="498"/>
        <w:rPr>
          <w:rFonts w:ascii="宋体" w:hAnsi="宋体" w:eastAsia="宋体" w:cs="宋体"/>
          <w:sz w:val="24"/>
          <w:szCs w:val="24"/>
          <w:highlight w:val="none"/>
        </w:rPr>
      </w:pPr>
      <w:r>
        <w:rPr>
          <w:rFonts w:ascii="宋体" w:hAnsi="宋体" w:eastAsia="宋体" w:cs="宋体"/>
          <w:spacing w:val="5"/>
          <w:sz w:val="24"/>
          <w:szCs w:val="24"/>
          <w:highlight w:val="none"/>
        </w:rPr>
        <w:t>8.12</w:t>
      </w:r>
      <w:r>
        <w:rPr>
          <w:rFonts w:ascii="宋体" w:hAnsi="宋体" w:eastAsia="宋体" w:cs="宋体"/>
          <w:spacing w:val="-31"/>
          <w:sz w:val="24"/>
          <w:szCs w:val="24"/>
          <w:highlight w:val="none"/>
        </w:rPr>
        <w:t xml:space="preserve"> </w:t>
      </w:r>
      <w:r>
        <w:rPr>
          <w:rFonts w:ascii="宋体" w:hAnsi="宋体" w:eastAsia="宋体" w:cs="宋体"/>
          <w:spacing w:val="5"/>
          <w:sz w:val="24"/>
          <w:szCs w:val="24"/>
          <w:highlight w:val="none"/>
        </w:rPr>
        <w:t>有两家以上磋商响应文件响应内容雷同的；</w:t>
      </w:r>
    </w:p>
    <w:p w14:paraId="675C3792">
      <w:pPr>
        <w:spacing w:before="214" w:line="219"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8.13</w:t>
      </w:r>
      <w:r>
        <w:rPr>
          <w:rFonts w:ascii="宋体" w:hAnsi="宋体" w:eastAsia="宋体" w:cs="宋体"/>
          <w:spacing w:val="-43"/>
          <w:sz w:val="24"/>
          <w:szCs w:val="24"/>
          <w:highlight w:val="none"/>
        </w:rPr>
        <w:t xml:space="preserve"> </w:t>
      </w:r>
      <w:r>
        <w:rPr>
          <w:rFonts w:ascii="宋体" w:hAnsi="宋体" w:eastAsia="宋体" w:cs="宋体"/>
          <w:spacing w:val="6"/>
          <w:sz w:val="24"/>
          <w:szCs w:val="24"/>
          <w:highlight w:val="none"/>
        </w:rPr>
        <w:t>供应商在本次招投标过程中存在欺诈欺</w:t>
      </w:r>
      <w:r>
        <w:rPr>
          <w:rFonts w:ascii="宋体" w:hAnsi="宋体" w:eastAsia="宋体" w:cs="宋体"/>
          <w:spacing w:val="5"/>
          <w:sz w:val="24"/>
          <w:szCs w:val="24"/>
          <w:highlight w:val="none"/>
        </w:rPr>
        <w:t>骗行为的；</w:t>
      </w:r>
    </w:p>
    <w:p w14:paraId="4524D079">
      <w:pPr>
        <w:spacing w:before="215" w:line="219" w:lineRule="auto"/>
        <w:ind w:left="498"/>
        <w:rPr>
          <w:rFonts w:ascii="宋体" w:hAnsi="宋体" w:eastAsia="宋体" w:cs="宋体"/>
          <w:sz w:val="24"/>
          <w:szCs w:val="24"/>
          <w:highlight w:val="none"/>
        </w:rPr>
      </w:pPr>
      <w:r>
        <w:rPr>
          <w:rFonts w:ascii="宋体" w:hAnsi="宋体" w:eastAsia="宋体" w:cs="宋体"/>
          <w:spacing w:val="6"/>
          <w:sz w:val="24"/>
          <w:szCs w:val="24"/>
          <w:highlight w:val="none"/>
        </w:rPr>
        <w:t>8.14</w:t>
      </w:r>
      <w:r>
        <w:rPr>
          <w:rFonts w:ascii="宋体" w:hAnsi="宋体" w:eastAsia="宋体" w:cs="宋体"/>
          <w:spacing w:val="-35"/>
          <w:sz w:val="24"/>
          <w:szCs w:val="24"/>
          <w:highlight w:val="none"/>
        </w:rPr>
        <w:t xml:space="preserve"> </w:t>
      </w:r>
      <w:r>
        <w:rPr>
          <w:rFonts w:ascii="宋体" w:hAnsi="宋体" w:eastAsia="宋体" w:cs="宋体"/>
          <w:spacing w:val="6"/>
          <w:sz w:val="24"/>
          <w:szCs w:val="24"/>
          <w:highlight w:val="none"/>
        </w:rPr>
        <w:t>不符合现行法律法规和竞争性磋商文件规定的其他实质性要求的。</w:t>
      </w:r>
    </w:p>
    <w:p w14:paraId="00411420">
      <w:pPr>
        <w:spacing w:before="217" w:line="219" w:lineRule="auto"/>
        <w:ind w:left="481"/>
        <w:rPr>
          <w:rFonts w:ascii="宋体" w:hAnsi="宋体" w:eastAsia="宋体" w:cs="宋体"/>
          <w:sz w:val="24"/>
          <w:szCs w:val="24"/>
          <w:highlight w:val="none"/>
        </w:rPr>
      </w:pPr>
      <w:r>
        <w:rPr>
          <w:rFonts w:ascii="宋体" w:hAnsi="宋体" w:eastAsia="宋体" w:cs="宋体"/>
          <w:b/>
          <w:bCs/>
          <w:spacing w:val="-3"/>
          <w:sz w:val="24"/>
          <w:szCs w:val="24"/>
          <w:highlight w:val="none"/>
        </w:rPr>
        <w:t>9、磋商响应文件的审查注意事项</w:t>
      </w:r>
    </w:p>
    <w:p w14:paraId="2657DD1B">
      <w:pPr>
        <w:spacing w:before="215"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9.1</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磋商响应文件必须按给定的磋商文件格式及要求编制。</w:t>
      </w:r>
    </w:p>
    <w:p w14:paraId="39E48A3F">
      <w:pPr>
        <w:spacing w:before="214"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9.2</w:t>
      </w:r>
      <w:r>
        <w:rPr>
          <w:rFonts w:ascii="宋体" w:hAnsi="宋体" w:eastAsia="宋体" w:cs="宋体"/>
          <w:spacing w:val="-40"/>
          <w:sz w:val="24"/>
          <w:szCs w:val="24"/>
          <w:highlight w:val="none"/>
        </w:rPr>
        <w:t xml:space="preserve"> </w:t>
      </w:r>
      <w:r>
        <w:rPr>
          <w:rFonts w:ascii="宋体" w:hAnsi="宋体" w:eastAsia="宋体" w:cs="宋体"/>
          <w:spacing w:val="-1"/>
          <w:sz w:val="24"/>
          <w:szCs w:val="24"/>
          <w:highlight w:val="none"/>
        </w:rPr>
        <w:t>磋商响应文件必须响应磋商文件实质性的要求，否则按废标处理。</w:t>
      </w:r>
    </w:p>
    <w:p w14:paraId="1191D4AE">
      <w:pPr>
        <w:spacing w:before="216" w:line="302" w:lineRule="auto"/>
        <w:ind w:firstLine="481"/>
        <w:rPr>
          <w:rFonts w:ascii="宋体" w:hAnsi="宋体" w:eastAsia="宋体" w:cs="宋体"/>
          <w:sz w:val="24"/>
          <w:szCs w:val="24"/>
          <w:highlight w:val="none"/>
        </w:rPr>
      </w:pPr>
      <w:r>
        <w:rPr>
          <w:rFonts w:ascii="宋体" w:hAnsi="宋体" w:eastAsia="宋体" w:cs="宋体"/>
          <w:sz w:val="24"/>
          <w:szCs w:val="24"/>
          <w:highlight w:val="none"/>
        </w:rPr>
        <w:t>9.3</w:t>
      </w:r>
      <w:r>
        <w:rPr>
          <w:rFonts w:ascii="宋体" w:hAnsi="宋体" w:eastAsia="宋体" w:cs="宋体"/>
          <w:spacing w:val="-46"/>
          <w:sz w:val="24"/>
          <w:szCs w:val="24"/>
          <w:highlight w:val="none"/>
        </w:rPr>
        <w:t xml:space="preserve"> </w:t>
      </w:r>
      <w:r>
        <w:rPr>
          <w:rFonts w:ascii="宋体" w:hAnsi="宋体" w:eastAsia="宋体" w:cs="宋体"/>
          <w:sz w:val="24"/>
          <w:szCs w:val="24"/>
          <w:highlight w:val="none"/>
        </w:rPr>
        <w:t>凡未通过资格性和符合性评审的磋商响应文件</w:t>
      </w:r>
      <w:r>
        <w:rPr>
          <w:rFonts w:ascii="宋体" w:hAnsi="宋体" w:eastAsia="宋体" w:cs="宋体"/>
          <w:spacing w:val="-1"/>
          <w:sz w:val="24"/>
          <w:szCs w:val="24"/>
          <w:highlight w:val="none"/>
        </w:rPr>
        <w:t>即作为废标处理，不得进入后续</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评审工作，内容如下（但不限于</w:t>
      </w:r>
      <w:r>
        <w:rPr>
          <w:rFonts w:ascii="宋体" w:hAnsi="宋体" w:eastAsia="宋体" w:cs="宋体"/>
          <w:spacing w:val="2"/>
          <w:sz w:val="24"/>
          <w:szCs w:val="24"/>
          <w:highlight w:val="none"/>
        </w:rPr>
        <w:t>）：</w:t>
      </w:r>
    </w:p>
    <w:p w14:paraId="0F96B1EE">
      <w:pPr>
        <w:spacing w:before="213"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a、供应商不满足竞争性磋商文件必备资质要求；</w:t>
      </w:r>
    </w:p>
    <w:p w14:paraId="35755040">
      <w:pPr>
        <w:spacing w:before="219" w:line="301" w:lineRule="auto"/>
        <w:ind w:left="1" w:firstLine="475"/>
        <w:rPr>
          <w:rFonts w:ascii="宋体" w:hAnsi="宋体" w:eastAsia="宋体" w:cs="宋体"/>
          <w:sz w:val="24"/>
          <w:szCs w:val="24"/>
          <w:highlight w:val="none"/>
        </w:rPr>
      </w:pPr>
      <w:r>
        <w:rPr>
          <w:rFonts w:ascii="宋体" w:hAnsi="宋体" w:eastAsia="宋体" w:cs="宋体"/>
          <w:spacing w:val="2"/>
          <w:sz w:val="24"/>
          <w:szCs w:val="24"/>
          <w:highlight w:val="none"/>
        </w:rPr>
        <w:t>b、未按竞争性磋商文件的要求提供投标担保或所提供的磋商担保</w:t>
      </w:r>
      <w:r>
        <w:rPr>
          <w:rFonts w:ascii="宋体" w:hAnsi="宋体" w:eastAsia="宋体" w:cs="宋体"/>
          <w:spacing w:val="1"/>
          <w:sz w:val="24"/>
          <w:szCs w:val="24"/>
          <w:highlight w:val="none"/>
        </w:rPr>
        <w:t>有瑕疵的，磋商</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保证金未从基本户转出的；</w:t>
      </w:r>
    </w:p>
    <w:p w14:paraId="1A89C4F6">
      <w:pPr>
        <w:spacing w:before="215" w:line="220"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c、磋商有效期不足的；</w:t>
      </w:r>
    </w:p>
    <w:p w14:paraId="4B38AE58">
      <w:pPr>
        <w:spacing w:before="216" w:line="216"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d、竞争性磋商响应文件出现漏项或数量与要求不符,存在重大负偏离的；</w:t>
      </w:r>
    </w:p>
    <w:p w14:paraId="7AC18C07">
      <w:pPr>
        <w:spacing w:before="217" w:line="218"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e、磋商报价与市场价偏差较大，低于成本，存在不正当竞争；</w:t>
      </w:r>
    </w:p>
    <w:p w14:paraId="390B3D80">
      <w:pPr>
        <w:spacing w:before="205" w:line="351" w:lineRule="auto"/>
        <w:ind w:right="80"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f、提供虚假资料；</w:t>
      </w:r>
    </w:p>
    <w:p w14:paraId="5EAC9899">
      <w:pPr>
        <w:spacing w:before="205" w:line="351" w:lineRule="auto"/>
        <w:ind w:right="80" w:firstLine="484"/>
        <w:rPr>
          <w:rFonts w:ascii="宋体" w:hAnsi="宋体" w:eastAsia="宋体" w:cs="宋体"/>
          <w:sz w:val="24"/>
          <w:szCs w:val="24"/>
          <w:highlight w:val="none"/>
        </w:rPr>
      </w:pPr>
      <w:r>
        <w:rPr>
          <w:rFonts w:ascii="宋体" w:hAnsi="宋体" w:eastAsia="宋体" w:cs="宋体"/>
          <w:spacing w:val="2"/>
          <w:sz w:val="24"/>
          <w:szCs w:val="24"/>
          <w:highlight w:val="none"/>
        </w:rPr>
        <w:t>g、供应商有围标、串标现象，经查证属实的（</w:t>
      </w:r>
      <w:r>
        <w:rPr>
          <w:rFonts w:ascii="宋体" w:hAnsi="宋体" w:eastAsia="宋体" w:cs="宋体"/>
          <w:spacing w:val="1"/>
          <w:sz w:val="24"/>
          <w:szCs w:val="24"/>
          <w:highlight w:val="none"/>
        </w:rPr>
        <w:t>例如不同供应商磋商响应文件相互</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混装、不同供应商保证金从同一个单位或个人账户转出的、不同供应商委托同一单位或</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者个人办理采购事宜、不同供应商投标响应文件由同一单位或者个人编制的、不同供应</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商投标响应文件载明的项目管理人员或者联系人员为同一人的、不同供应商投标响应文</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件异常一致或者响应报价呈现规律性差异的</w:t>
      </w:r>
      <w:r>
        <w:rPr>
          <w:rFonts w:ascii="宋体" w:hAnsi="宋体" w:eastAsia="宋体" w:cs="宋体"/>
          <w:spacing w:val="4"/>
          <w:sz w:val="24"/>
          <w:szCs w:val="24"/>
          <w:highlight w:val="none"/>
        </w:rPr>
        <w:t>）；</w:t>
      </w:r>
    </w:p>
    <w:p w14:paraId="00215814">
      <w:pPr>
        <w:spacing w:before="215"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h、竞争性磋商响应文件附有采购人不能接受的条件的；</w:t>
      </w:r>
    </w:p>
    <w:p w14:paraId="210BA462">
      <w:pPr>
        <w:spacing w:before="218" w:line="301" w:lineRule="auto"/>
        <w:ind w:left="8" w:right="80" w:firstLine="474"/>
        <w:rPr>
          <w:rFonts w:ascii="宋体" w:hAnsi="宋体" w:eastAsia="宋体" w:cs="宋体"/>
          <w:sz w:val="24"/>
          <w:szCs w:val="24"/>
          <w:highlight w:val="none"/>
        </w:rPr>
      </w:pPr>
      <w:r>
        <w:rPr>
          <w:rFonts w:ascii="宋体" w:hAnsi="宋体" w:eastAsia="宋体" w:cs="宋体"/>
          <w:sz w:val="24"/>
          <w:szCs w:val="24"/>
          <w:highlight w:val="none"/>
        </w:rPr>
        <w:t>9.4</w:t>
      </w:r>
      <w:r>
        <w:rPr>
          <w:rFonts w:ascii="宋体" w:hAnsi="宋体" w:eastAsia="宋体" w:cs="宋体"/>
          <w:spacing w:val="-52"/>
          <w:sz w:val="24"/>
          <w:szCs w:val="24"/>
          <w:highlight w:val="none"/>
        </w:rPr>
        <w:t xml:space="preserve"> </w:t>
      </w:r>
      <w:r>
        <w:rPr>
          <w:rFonts w:ascii="宋体" w:hAnsi="宋体" w:eastAsia="宋体" w:cs="宋体"/>
          <w:sz w:val="24"/>
          <w:szCs w:val="24"/>
          <w:highlight w:val="none"/>
        </w:rPr>
        <w:t>在竞争性磋商响应文件的评审和比较、成交单位的确定过程</w:t>
      </w:r>
      <w:r>
        <w:rPr>
          <w:rFonts w:ascii="宋体" w:hAnsi="宋体" w:eastAsia="宋体" w:cs="宋体"/>
          <w:spacing w:val="-1"/>
          <w:sz w:val="24"/>
          <w:szCs w:val="24"/>
          <w:highlight w:val="none"/>
        </w:rPr>
        <w:t>中，供应商向磋商</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小组施加压力的任何行为，都将会导致其投标被拒绝。</w:t>
      </w:r>
    </w:p>
    <w:p w14:paraId="1F68FC35">
      <w:pPr>
        <w:spacing w:before="216" w:line="357" w:lineRule="auto"/>
        <w:ind w:firstLine="482"/>
        <w:rPr>
          <w:rFonts w:ascii="宋体" w:hAnsi="宋体" w:eastAsia="宋体" w:cs="宋体"/>
          <w:sz w:val="24"/>
          <w:szCs w:val="24"/>
          <w:highlight w:val="none"/>
        </w:rPr>
      </w:pPr>
      <w:r>
        <w:rPr>
          <w:rFonts w:ascii="宋体" w:hAnsi="宋体" w:eastAsia="宋体" w:cs="宋体"/>
          <w:sz w:val="24"/>
          <w:szCs w:val="24"/>
          <w:highlight w:val="none"/>
        </w:rPr>
        <w:t>9.5</w:t>
      </w:r>
      <w:r>
        <w:rPr>
          <w:rFonts w:ascii="宋体" w:hAnsi="宋体" w:eastAsia="宋体" w:cs="宋体"/>
          <w:spacing w:val="-52"/>
          <w:sz w:val="24"/>
          <w:szCs w:val="24"/>
          <w:highlight w:val="none"/>
        </w:rPr>
        <w:t xml:space="preserve"> </w:t>
      </w:r>
      <w:r>
        <w:rPr>
          <w:rFonts w:ascii="宋体" w:hAnsi="宋体" w:eastAsia="宋体" w:cs="宋体"/>
          <w:sz w:val="24"/>
          <w:szCs w:val="24"/>
          <w:highlight w:val="none"/>
        </w:rPr>
        <w:t>磋商小组对竞争性磋商响应文件的有效性、完整性和响应程</w:t>
      </w:r>
      <w:r>
        <w:rPr>
          <w:rFonts w:ascii="宋体" w:hAnsi="宋体" w:eastAsia="宋体" w:cs="宋体"/>
          <w:spacing w:val="-1"/>
          <w:sz w:val="24"/>
          <w:szCs w:val="24"/>
          <w:highlight w:val="none"/>
        </w:rPr>
        <w:t>度或其他内容有疑</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问的，磋商小组可要求供应商对竞争性磋商响应文件含义不明确、同类问题表述不一致、</w:t>
      </w:r>
      <w:r>
        <w:rPr>
          <w:rFonts w:ascii="宋体" w:hAnsi="宋体" w:eastAsia="宋体" w:cs="宋体"/>
          <w:spacing w:val="17"/>
          <w:sz w:val="24"/>
          <w:szCs w:val="24"/>
          <w:highlight w:val="none"/>
        </w:rPr>
        <w:t xml:space="preserve"> </w:t>
      </w:r>
      <w:r>
        <w:rPr>
          <w:rFonts w:ascii="宋体" w:hAnsi="宋体" w:eastAsia="宋体" w:cs="宋体"/>
          <w:spacing w:val="-1"/>
          <w:sz w:val="24"/>
          <w:szCs w:val="24"/>
          <w:highlight w:val="none"/>
        </w:rPr>
        <w:t>有明显文字和计算错误其他内容作必要的澄</w:t>
      </w:r>
      <w:r>
        <w:rPr>
          <w:rFonts w:ascii="宋体" w:hAnsi="宋体" w:eastAsia="宋体" w:cs="宋体"/>
          <w:spacing w:val="-2"/>
          <w:sz w:val="24"/>
          <w:szCs w:val="24"/>
          <w:highlight w:val="none"/>
        </w:rPr>
        <w:t>清、说明或者更正。供应商应采用书面形式</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进行澄清、说明或者更正，并由法定代表人</w:t>
      </w:r>
      <w:r>
        <w:rPr>
          <w:rFonts w:ascii="宋体" w:hAnsi="宋体" w:eastAsia="宋体" w:cs="宋体"/>
          <w:spacing w:val="-2"/>
          <w:sz w:val="24"/>
          <w:szCs w:val="24"/>
          <w:highlight w:val="none"/>
        </w:rPr>
        <w:t>或授权代表签字或盖章。澄清、说明或者更</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正的内容不得超出竞争性磋商响应文件的范围或改变竞争性磋商响应文件的实质</w:t>
      </w:r>
      <w:r>
        <w:rPr>
          <w:rFonts w:ascii="宋体" w:hAnsi="宋体" w:eastAsia="宋体" w:cs="宋体"/>
          <w:spacing w:val="4"/>
          <w:sz w:val="24"/>
          <w:szCs w:val="24"/>
          <w:highlight w:val="none"/>
        </w:rPr>
        <w:t>性内</w:t>
      </w:r>
      <w:r>
        <w:rPr>
          <w:rFonts w:ascii="宋体" w:hAnsi="宋体" w:eastAsia="宋体" w:cs="宋体"/>
          <w:sz w:val="24"/>
          <w:szCs w:val="24"/>
          <w:highlight w:val="none"/>
        </w:rPr>
        <w:t xml:space="preserve"> 容。磋商小组不得寻求或建议对竞争性磋商响应文</w:t>
      </w:r>
      <w:r>
        <w:rPr>
          <w:rFonts w:ascii="宋体" w:hAnsi="宋体" w:eastAsia="宋体" w:cs="宋体"/>
          <w:spacing w:val="-1"/>
          <w:sz w:val="24"/>
          <w:szCs w:val="24"/>
          <w:highlight w:val="none"/>
        </w:rPr>
        <w:t>件的实质进行变更。</w:t>
      </w:r>
    </w:p>
    <w:p w14:paraId="432A7E2C">
      <w:pPr>
        <w:spacing w:before="212" w:line="385" w:lineRule="auto"/>
        <w:ind w:right="80"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质询工作应当由全体磋商小组成员参加。对于实质性不符合竞争性磋商文件的，磋</w:t>
      </w:r>
      <w:r>
        <w:rPr>
          <w:rFonts w:ascii="宋体" w:hAnsi="宋体" w:eastAsia="宋体" w:cs="宋体"/>
          <w:spacing w:val="12"/>
          <w:sz w:val="24"/>
          <w:szCs w:val="24"/>
          <w:highlight w:val="none"/>
        </w:rPr>
        <w:t xml:space="preserve"> </w:t>
      </w:r>
      <w:r>
        <w:rPr>
          <w:rFonts w:ascii="宋体" w:hAnsi="宋体" w:eastAsia="宋体" w:cs="宋体"/>
          <w:spacing w:val="-2"/>
          <w:sz w:val="24"/>
          <w:szCs w:val="24"/>
          <w:highlight w:val="none"/>
        </w:rPr>
        <w:t>商小组有权予以拒绝。质询工作应做书面记录，采购人代表、磋商小组成员及供应商应</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在记录上签字确认。</w:t>
      </w:r>
    </w:p>
    <w:p w14:paraId="1B1A8A3D">
      <w:pPr>
        <w:spacing w:line="220" w:lineRule="auto"/>
        <w:ind w:left="516"/>
        <w:rPr>
          <w:rFonts w:ascii="宋体" w:hAnsi="宋体" w:eastAsia="宋体" w:cs="宋体"/>
          <w:sz w:val="24"/>
          <w:szCs w:val="24"/>
          <w:highlight w:val="none"/>
        </w:rPr>
      </w:pPr>
      <w:r>
        <w:rPr>
          <w:rFonts w:ascii="宋体" w:hAnsi="宋体" w:eastAsia="宋体" w:cs="宋体"/>
          <w:b/>
          <w:bCs/>
          <w:sz w:val="24"/>
          <w:szCs w:val="24"/>
          <w:highlight w:val="none"/>
        </w:rPr>
        <w:t>10、磋商有效期</w:t>
      </w:r>
    </w:p>
    <w:p w14:paraId="09C09406">
      <w:pPr>
        <w:spacing w:before="217" w:line="343" w:lineRule="auto"/>
        <w:ind w:right="42" w:firstLine="515"/>
        <w:rPr>
          <w:rFonts w:ascii="宋体" w:hAnsi="宋体" w:eastAsia="宋体" w:cs="宋体"/>
          <w:sz w:val="24"/>
          <w:szCs w:val="24"/>
          <w:highlight w:val="none"/>
        </w:rPr>
      </w:pPr>
      <w:r>
        <w:rPr>
          <w:rFonts w:ascii="宋体" w:hAnsi="宋体" w:eastAsia="宋体" w:cs="宋体"/>
          <w:spacing w:val="8"/>
          <w:sz w:val="24"/>
          <w:szCs w:val="24"/>
          <w:highlight w:val="none"/>
        </w:rPr>
        <w:t>10.1</w:t>
      </w:r>
      <w:r>
        <w:rPr>
          <w:rFonts w:ascii="宋体" w:hAnsi="宋体" w:eastAsia="宋体" w:cs="宋体"/>
          <w:spacing w:val="-31"/>
          <w:sz w:val="24"/>
          <w:szCs w:val="24"/>
          <w:highlight w:val="none"/>
        </w:rPr>
        <w:t xml:space="preserve"> </w:t>
      </w:r>
      <w:r>
        <w:rPr>
          <w:rFonts w:ascii="宋体" w:hAnsi="宋体" w:eastAsia="宋体" w:cs="宋体"/>
          <w:spacing w:val="8"/>
          <w:sz w:val="24"/>
          <w:szCs w:val="24"/>
          <w:highlight w:val="none"/>
        </w:rPr>
        <w:t>磋商有效期见本须知前附表所规定的期限，在此期限内，凡符合本磋商文</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件要求的磋商响应文件均保持有效。在有效期内响应文件对供应商具有法律约束</w:t>
      </w:r>
      <w:r>
        <w:rPr>
          <w:rFonts w:ascii="宋体" w:hAnsi="宋体" w:eastAsia="宋体" w:cs="宋体"/>
          <w:spacing w:val="5"/>
          <w:sz w:val="24"/>
          <w:szCs w:val="24"/>
          <w:highlight w:val="none"/>
        </w:rPr>
        <w:t>力，</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以保证采购人完成评审、确定成交供应商以及合同签订事项。</w:t>
      </w:r>
      <w:r>
        <w:rPr>
          <w:rFonts w:ascii="宋体" w:hAnsi="宋体" w:eastAsia="宋体" w:cs="宋体"/>
          <w:spacing w:val="4"/>
          <w:sz w:val="24"/>
          <w:szCs w:val="24"/>
          <w:highlight w:val="none"/>
        </w:rPr>
        <w:t>成交供应商的响应文件</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有效期自动延长至合同执行完毕。</w:t>
      </w:r>
    </w:p>
    <w:p w14:paraId="56A3A575">
      <w:pPr>
        <w:spacing w:before="215" w:line="343" w:lineRule="auto"/>
        <w:ind w:left="1" w:right="87" w:firstLine="514"/>
        <w:rPr>
          <w:rFonts w:ascii="宋体" w:hAnsi="宋体" w:eastAsia="宋体" w:cs="宋体"/>
          <w:sz w:val="24"/>
          <w:szCs w:val="24"/>
          <w:highlight w:val="none"/>
        </w:rPr>
      </w:pPr>
      <w:r>
        <w:rPr>
          <w:rFonts w:ascii="宋体" w:hAnsi="宋体" w:eastAsia="宋体" w:cs="宋体"/>
          <w:spacing w:val="8"/>
          <w:sz w:val="24"/>
          <w:szCs w:val="24"/>
          <w:highlight w:val="none"/>
        </w:rPr>
        <w:t>10.2</w:t>
      </w:r>
      <w:r>
        <w:rPr>
          <w:rFonts w:ascii="宋体" w:hAnsi="宋体" w:eastAsia="宋体" w:cs="宋体"/>
          <w:spacing w:val="-31"/>
          <w:sz w:val="24"/>
          <w:szCs w:val="24"/>
          <w:highlight w:val="none"/>
        </w:rPr>
        <w:t xml:space="preserve"> </w:t>
      </w:r>
      <w:r>
        <w:rPr>
          <w:rFonts w:ascii="宋体" w:hAnsi="宋体" w:eastAsia="宋体" w:cs="宋体"/>
          <w:spacing w:val="8"/>
          <w:sz w:val="24"/>
          <w:szCs w:val="24"/>
          <w:highlight w:val="none"/>
        </w:rPr>
        <w:t>特殊情况需延长有效期的，采购代理机构可于有效期届满之前，要求供应</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商同意延长有效期，采购代理机构的要求与供应商的答复均</w:t>
      </w:r>
      <w:r>
        <w:rPr>
          <w:rFonts w:ascii="宋体" w:hAnsi="宋体" w:eastAsia="宋体" w:cs="宋体"/>
          <w:spacing w:val="4"/>
          <w:sz w:val="24"/>
          <w:szCs w:val="24"/>
          <w:highlight w:val="none"/>
        </w:rPr>
        <w:t>应为书面形式。供应商拒</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绝延长的，其磋商响应文件在原有效期届满后将不再有效，</w:t>
      </w:r>
      <w:r>
        <w:rPr>
          <w:rFonts w:ascii="宋体" w:hAnsi="宋体" w:eastAsia="宋体" w:cs="宋体"/>
          <w:spacing w:val="4"/>
          <w:sz w:val="24"/>
          <w:szCs w:val="24"/>
          <w:highlight w:val="none"/>
        </w:rPr>
        <w:t>但有权收回其保证金；供</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应商同意延长的，应相应延长其保证金的有效期，但不允许修改或撤回响应文件。</w:t>
      </w:r>
    </w:p>
    <w:p w14:paraId="4B9DC651">
      <w:pPr>
        <w:spacing w:before="203" w:line="302" w:lineRule="auto"/>
        <w:ind w:left="5" w:right="68" w:firstLine="492"/>
        <w:rPr>
          <w:rFonts w:hint="eastAsia" w:ascii="宋体" w:hAnsi="宋体" w:eastAsia="宋体" w:cs="宋体"/>
          <w:b/>
          <w:bCs/>
          <w:spacing w:val="2"/>
          <w:sz w:val="24"/>
          <w:szCs w:val="24"/>
          <w:highlight w:val="none"/>
          <w:lang w:val="en-US" w:eastAsia="zh-CN"/>
        </w:rPr>
      </w:pPr>
      <w:r>
        <w:rPr>
          <w:rFonts w:ascii="宋体" w:hAnsi="宋体" w:eastAsia="宋体" w:cs="宋体"/>
          <w:b/>
          <w:bCs/>
          <w:spacing w:val="2"/>
          <w:sz w:val="24"/>
          <w:szCs w:val="24"/>
          <w:highlight w:val="none"/>
        </w:rPr>
        <w:t>11、磋商保证金交纳及退还</w:t>
      </w:r>
      <w:r>
        <w:rPr>
          <w:rFonts w:hint="eastAsia" w:ascii="宋体" w:hAnsi="宋体" w:eastAsia="宋体" w:cs="宋体"/>
          <w:b/>
          <w:bCs/>
          <w:spacing w:val="2"/>
          <w:sz w:val="24"/>
          <w:szCs w:val="24"/>
          <w:highlight w:val="none"/>
          <w:lang w:eastAsia="zh-CN"/>
        </w:rPr>
        <w:t>（</w:t>
      </w:r>
      <w:r>
        <w:rPr>
          <w:rFonts w:hint="eastAsia" w:ascii="宋体" w:hAnsi="宋体" w:eastAsia="宋体" w:cs="宋体"/>
          <w:b/>
          <w:bCs/>
          <w:spacing w:val="2"/>
          <w:sz w:val="24"/>
          <w:szCs w:val="24"/>
          <w:highlight w:val="none"/>
          <w:lang w:val="en-US" w:eastAsia="zh-CN"/>
        </w:rPr>
        <w:t>本项目不收取保证金）</w:t>
      </w:r>
    </w:p>
    <w:p w14:paraId="7EFBBBE5">
      <w:pPr>
        <w:spacing w:before="203" w:line="302" w:lineRule="auto"/>
        <w:ind w:left="5" w:right="68" w:firstLine="492"/>
        <w:rPr>
          <w:rFonts w:ascii="宋体" w:hAnsi="宋体" w:eastAsia="宋体" w:cs="宋体"/>
          <w:sz w:val="24"/>
          <w:szCs w:val="24"/>
          <w:highlight w:val="none"/>
        </w:rPr>
      </w:pPr>
      <w:r>
        <w:rPr>
          <w:rFonts w:ascii="宋体" w:hAnsi="宋体" w:eastAsia="宋体" w:cs="宋体"/>
          <w:spacing w:val="9"/>
          <w:sz w:val="24"/>
          <w:szCs w:val="24"/>
          <w:highlight w:val="none"/>
        </w:rPr>
        <w:t>11.1</w:t>
      </w:r>
      <w:r>
        <w:rPr>
          <w:rFonts w:ascii="宋体" w:hAnsi="宋体" w:eastAsia="宋体" w:cs="宋体"/>
          <w:spacing w:val="-39"/>
          <w:sz w:val="24"/>
          <w:szCs w:val="24"/>
          <w:highlight w:val="none"/>
        </w:rPr>
        <w:t xml:space="preserve"> </w:t>
      </w:r>
      <w:r>
        <w:rPr>
          <w:rFonts w:ascii="宋体" w:hAnsi="宋体" w:eastAsia="宋体" w:cs="宋体"/>
          <w:spacing w:val="9"/>
          <w:sz w:val="24"/>
          <w:szCs w:val="24"/>
          <w:highlight w:val="none"/>
        </w:rPr>
        <w:t>供应商应在开标前，按本须知前附表规定数额向宝鸡</w:t>
      </w:r>
      <w:r>
        <w:rPr>
          <w:rFonts w:ascii="宋体" w:hAnsi="宋体" w:eastAsia="宋体" w:cs="宋体"/>
          <w:spacing w:val="8"/>
          <w:sz w:val="24"/>
          <w:szCs w:val="24"/>
          <w:highlight w:val="none"/>
        </w:rPr>
        <w:t>市公共资源交易中心</w:t>
      </w:r>
      <w:r>
        <w:rPr>
          <w:rFonts w:ascii="宋体" w:hAnsi="宋体" w:eastAsia="宋体" w:cs="宋体"/>
          <w:spacing w:val="6"/>
          <w:sz w:val="24"/>
          <w:szCs w:val="24"/>
          <w:highlight w:val="none"/>
        </w:rPr>
        <w:t>交纳磋商保证金，并作为其磋商响应文件的一部分。</w:t>
      </w:r>
    </w:p>
    <w:p w14:paraId="00D1CA00">
      <w:pPr>
        <w:spacing w:before="215" w:line="305" w:lineRule="auto"/>
        <w:ind w:left="2" w:right="68" w:firstLine="512"/>
        <w:rPr>
          <w:rFonts w:ascii="宋体" w:hAnsi="宋体" w:eastAsia="宋体" w:cs="宋体"/>
          <w:sz w:val="24"/>
          <w:szCs w:val="24"/>
          <w:highlight w:val="none"/>
        </w:rPr>
      </w:pPr>
      <w:r>
        <w:rPr>
          <w:rFonts w:ascii="宋体" w:hAnsi="宋体" w:eastAsia="宋体" w:cs="宋体"/>
          <w:spacing w:val="8"/>
          <w:sz w:val="24"/>
          <w:szCs w:val="24"/>
          <w:highlight w:val="none"/>
        </w:rPr>
        <w:t>11.2</w:t>
      </w:r>
      <w:r>
        <w:rPr>
          <w:rFonts w:ascii="宋体" w:hAnsi="宋体" w:eastAsia="宋体" w:cs="宋体"/>
          <w:spacing w:val="-29"/>
          <w:sz w:val="24"/>
          <w:szCs w:val="24"/>
          <w:highlight w:val="none"/>
        </w:rPr>
        <w:t xml:space="preserve"> </w:t>
      </w:r>
      <w:r>
        <w:rPr>
          <w:rFonts w:ascii="宋体" w:hAnsi="宋体" w:eastAsia="宋体" w:cs="宋体"/>
          <w:spacing w:val="8"/>
          <w:sz w:val="24"/>
          <w:szCs w:val="24"/>
          <w:highlight w:val="none"/>
        </w:rPr>
        <w:t>对于未能按要求提交磋商保证金，采购人将视为不响应磋商文件而予以拒</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绝。</w:t>
      </w:r>
    </w:p>
    <w:p w14:paraId="73FA3B08">
      <w:pPr>
        <w:spacing w:before="207" w:line="301" w:lineRule="auto"/>
        <w:ind w:left="1" w:right="61" w:firstLine="496"/>
        <w:rPr>
          <w:rFonts w:ascii="宋体" w:hAnsi="宋体" w:eastAsia="宋体" w:cs="宋体"/>
          <w:sz w:val="24"/>
          <w:szCs w:val="24"/>
          <w:highlight w:val="none"/>
        </w:rPr>
      </w:pPr>
      <w:r>
        <w:rPr>
          <w:rFonts w:ascii="宋体" w:hAnsi="宋体" w:eastAsia="宋体" w:cs="宋体"/>
          <w:spacing w:val="-4"/>
          <w:sz w:val="24"/>
          <w:szCs w:val="24"/>
          <w:highlight w:val="none"/>
        </w:rPr>
        <w:t>11.3</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提交保证金后，各供应商须将其交纳保证金转账凭证（银行回单）复印件（加</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盖供应商印章）附在磋商响应文件中，否则视为无效文件。</w:t>
      </w:r>
    </w:p>
    <w:p w14:paraId="573A264E">
      <w:pPr>
        <w:spacing w:before="218" w:line="343" w:lineRule="auto"/>
        <w:ind w:right="1" w:firstLine="497"/>
        <w:rPr>
          <w:rFonts w:ascii="宋体" w:hAnsi="宋体" w:eastAsia="宋体" w:cs="宋体"/>
          <w:sz w:val="24"/>
          <w:szCs w:val="24"/>
          <w:highlight w:val="none"/>
        </w:rPr>
      </w:pPr>
      <w:r>
        <w:rPr>
          <w:rFonts w:ascii="宋体" w:hAnsi="宋体" w:eastAsia="宋体" w:cs="宋体"/>
          <w:spacing w:val="2"/>
          <w:sz w:val="24"/>
          <w:szCs w:val="24"/>
          <w:highlight w:val="none"/>
        </w:rPr>
        <w:t>11.4</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在成交通知书发出后五个工作日内向宝鸡市公共资源交易中心提交未成交供</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应商的保证金退还申请；成交供应商在采购合同签订后</w:t>
      </w:r>
      <w:r>
        <w:rPr>
          <w:highlight w:val="none"/>
        </w:rPr>
        <w:fldChar w:fldCharType="begin"/>
      </w:r>
      <w:r>
        <w:rPr>
          <w:highlight w:val="none"/>
        </w:rPr>
        <w:instrText xml:space="preserve"> HYPERLINK "mailto:2909766913@qq.com)，在收到采购合同后五个工作日内向宝鸡市公共资源交易中心提交成交供应商的保证金退还申请。" </w:instrText>
      </w:r>
      <w:r>
        <w:rPr>
          <w:highlight w:val="none"/>
        </w:rPr>
        <w:fldChar w:fldCharType="separate"/>
      </w:r>
      <w:r>
        <w:rPr>
          <w:rFonts w:ascii="宋体" w:hAnsi="宋体" w:eastAsia="宋体" w:cs="宋体"/>
          <w:spacing w:val="-1"/>
          <w:sz w:val="24"/>
          <w:szCs w:val="24"/>
          <w:highlight w:val="none"/>
        </w:rPr>
        <w:t>成交供应商的保证金退还申请。</w:t>
      </w:r>
      <w:r>
        <w:rPr>
          <w:rFonts w:ascii="宋体" w:hAnsi="宋体" w:eastAsia="宋体" w:cs="宋体"/>
          <w:spacing w:val="-1"/>
          <w:sz w:val="24"/>
          <w:szCs w:val="24"/>
          <w:highlight w:val="none"/>
        </w:rPr>
        <w:fldChar w:fldCharType="end"/>
      </w:r>
    </w:p>
    <w:p w14:paraId="0B354281">
      <w:pPr>
        <w:spacing w:before="216" w:line="329" w:lineRule="auto"/>
        <w:ind w:firstLine="498"/>
        <w:rPr>
          <w:rFonts w:ascii="宋体" w:hAnsi="宋体" w:eastAsia="宋体" w:cs="宋体"/>
          <w:sz w:val="24"/>
          <w:szCs w:val="24"/>
          <w:highlight w:val="none"/>
        </w:rPr>
      </w:pPr>
      <w:r>
        <w:rPr>
          <w:rFonts w:ascii="宋体" w:hAnsi="宋体" w:eastAsia="宋体" w:cs="宋体"/>
          <w:spacing w:val="-4"/>
          <w:sz w:val="24"/>
          <w:szCs w:val="24"/>
          <w:highlight w:val="none"/>
        </w:rPr>
        <w:t>11.5</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成交供应商有下列情形之一的，采购代理机构不予退还其交纳的保证金，并在</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项目财政主管部门备案；情节严重的，由财政部门将其列入不良行为纪录名单予以通</w:t>
      </w:r>
      <w:r>
        <w:rPr>
          <w:rFonts w:ascii="宋体" w:hAnsi="宋体" w:eastAsia="宋体" w:cs="宋体"/>
          <w:spacing w:val="-7"/>
          <w:sz w:val="24"/>
          <w:szCs w:val="24"/>
          <w:highlight w:val="none"/>
        </w:rPr>
        <w:t>报，</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在一至三年内禁止参加政府采购活动：</w:t>
      </w:r>
    </w:p>
    <w:p w14:paraId="2CE8EB7C">
      <w:pPr>
        <w:spacing w:before="214"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11.5.1</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供应商在提交响应文件截止时间</w:t>
      </w:r>
      <w:r>
        <w:rPr>
          <w:rFonts w:ascii="宋体" w:hAnsi="宋体" w:eastAsia="宋体" w:cs="宋体"/>
          <w:spacing w:val="-2"/>
          <w:sz w:val="24"/>
          <w:szCs w:val="24"/>
          <w:highlight w:val="none"/>
        </w:rPr>
        <w:t>后撤回响应文件的；</w:t>
      </w:r>
    </w:p>
    <w:p w14:paraId="050A5BE6">
      <w:pPr>
        <w:spacing w:before="215"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11.5.2</w:t>
      </w:r>
      <w:r>
        <w:rPr>
          <w:rFonts w:ascii="宋体" w:hAnsi="宋体" w:eastAsia="宋体" w:cs="宋体"/>
          <w:spacing w:val="-43"/>
          <w:sz w:val="24"/>
          <w:szCs w:val="24"/>
          <w:highlight w:val="none"/>
        </w:rPr>
        <w:t xml:space="preserve"> </w:t>
      </w:r>
      <w:r>
        <w:rPr>
          <w:rFonts w:ascii="宋体" w:hAnsi="宋体" w:eastAsia="宋体" w:cs="宋体"/>
          <w:spacing w:val="-2"/>
          <w:sz w:val="24"/>
          <w:szCs w:val="24"/>
          <w:highlight w:val="none"/>
        </w:rPr>
        <w:t>供应商在响应文件中提供虚假材料的；</w:t>
      </w:r>
    </w:p>
    <w:p w14:paraId="0D71BB08">
      <w:pPr>
        <w:spacing w:before="216" w:line="303" w:lineRule="auto"/>
        <w:ind w:left="20" w:right="61" w:firstLine="478"/>
        <w:rPr>
          <w:rFonts w:ascii="宋体" w:hAnsi="宋体" w:eastAsia="宋体" w:cs="宋体"/>
          <w:sz w:val="24"/>
          <w:szCs w:val="24"/>
          <w:highlight w:val="none"/>
        </w:rPr>
      </w:pPr>
      <w:r>
        <w:rPr>
          <w:rFonts w:ascii="宋体" w:hAnsi="宋体" w:eastAsia="宋体" w:cs="宋体"/>
          <w:spacing w:val="-4"/>
          <w:sz w:val="24"/>
          <w:szCs w:val="24"/>
          <w:highlight w:val="none"/>
        </w:rPr>
        <w:t>11.5.3</w:t>
      </w:r>
      <w:r>
        <w:rPr>
          <w:rFonts w:ascii="宋体" w:hAnsi="宋体" w:eastAsia="宋体" w:cs="宋体"/>
          <w:spacing w:val="-37"/>
          <w:sz w:val="24"/>
          <w:szCs w:val="24"/>
          <w:highlight w:val="none"/>
        </w:rPr>
        <w:t xml:space="preserve"> </w:t>
      </w:r>
      <w:r>
        <w:rPr>
          <w:rFonts w:ascii="宋体" w:hAnsi="宋体" w:eastAsia="宋体" w:cs="宋体"/>
          <w:spacing w:val="-4"/>
          <w:sz w:val="24"/>
          <w:szCs w:val="24"/>
          <w:highlight w:val="none"/>
        </w:rPr>
        <w:t>除因不可抗力或磋商文件认可的情形以外，成交供应商不与采购人</w:t>
      </w:r>
      <w:r>
        <w:rPr>
          <w:rFonts w:ascii="宋体" w:hAnsi="宋体" w:eastAsia="宋体" w:cs="宋体"/>
          <w:spacing w:val="-5"/>
          <w:sz w:val="24"/>
          <w:szCs w:val="24"/>
          <w:highlight w:val="none"/>
        </w:rPr>
        <w:t>签订合同</w:t>
      </w:r>
      <w:r>
        <w:rPr>
          <w:rFonts w:ascii="宋体" w:hAnsi="宋体" w:eastAsia="宋体" w:cs="宋体"/>
          <w:sz w:val="24"/>
          <w:szCs w:val="24"/>
          <w:highlight w:val="none"/>
        </w:rPr>
        <w:t xml:space="preserve"> </w:t>
      </w:r>
      <w:r>
        <w:rPr>
          <w:rFonts w:ascii="宋体" w:hAnsi="宋体" w:eastAsia="宋体" w:cs="宋体"/>
          <w:spacing w:val="-15"/>
          <w:sz w:val="24"/>
          <w:szCs w:val="24"/>
          <w:highlight w:val="none"/>
        </w:rPr>
        <w:t>的；</w:t>
      </w:r>
    </w:p>
    <w:p w14:paraId="5E0AB565">
      <w:pPr>
        <w:spacing w:before="211"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11.5.4</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供应商与采购人、其他供应商或者采购代理机构恶</w:t>
      </w:r>
      <w:r>
        <w:rPr>
          <w:rFonts w:ascii="宋体" w:hAnsi="宋体" w:eastAsia="宋体" w:cs="宋体"/>
          <w:spacing w:val="-2"/>
          <w:sz w:val="24"/>
          <w:szCs w:val="24"/>
          <w:highlight w:val="none"/>
        </w:rPr>
        <w:t>意串通的；</w:t>
      </w:r>
    </w:p>
    <w:p w14:paraId="45D1B78B">
      <w:pPr>
        <w:spacing w:before="218" w:line="301" w:lineRule="auto"/>
        <w:ind w:right="61" w:firstLine="498"/>
        <w:rPr>
          <w:rFonts w:ascii="宋体" w:hAnsi="宋体" w:eastAsia="宋体" w:cs="宋体"/>
          <w:sz w:val="24"/>
          <w:szCs w:val="24"/>
          <w:highlight w:val="none"/>
        </w:rPr>
      </w:pPr>
      <w:r>
        <w:rPr>
          <w:rFonts w:ascii="宋体" w:hAnsi="宋体" w:eastAsia="宋体" w:cs="宋体"/>
          <w:spacing w:val="-4"/>
          <w:sz w:val="24"/>
          <w:szCs w:val="24"/>
          <w:highlight w:val="none"/>
        </w:rPr>
        <w:t>11.5.5</w:t>
      </w:r>
      <w:r>
        <w:rPr>
          <w:rFonts w:ascii="宋体" w:hAnsi="宋体" w:eastAsia="宋体" w:cs="宋体"/>
          <w:spacing w:val="-41"/>
          <w:sz w:val="24"/>
          <w:szCs w:val="24"/>
          <w:highlight w:val="none"/>
        </w:rPr>
        <w:t xml:space="preserve"> </w:t>
      </w:r>
      <w:r>
        <w:rPr>
          <w:rFonts w:ascii="宋体" w:hAnsi="宋体" w:eastAsia="宋体" w:cs="宋体"/>
          <w:spacing w:val="-4"/>
          <w:sz w:val="24"/>
          <w:szCs w:val="24"/>
          <w:highlight w:val="none"/>
        </w:rPr>
        <w:t>成交供应商将成交项目转让给他人，或者在磋商响应文件中未说明，且未经</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采购人同意，将成交项目分包给他人的。</w:t>
      </w:r>
    </w:p>
    <w:p w14:paraId="66B63B79">
      <w:pPr>
        <w:spacing w:before="216" w:line="221" w:lineRule="auto"/>
        <w:ind w:left="515"/>
        <w:rPr>
          <w:rFonts w:ascii="宋体" w:hAnsi="宋体" w:eastAsia="宋体" w:cs="宋体"/>
          <w:sz w:val="24"/>
          <w:szCs w:val="24"/>
          <w:highlight w:val="none"/>
        </w:rPr>
      </w:pPr>
      <w:r>
        <w:rPr>
          <w:rFonts w:ascii="宋体" w:hAnsi="宋体" w:eastAsia="宋体" w:cs="宋体"/>
          <w:b/>
          <w:bCs/>
          <w:sz w:val="24"/>
          <w:szCs w:val="24"/>
          <w:highlight w:val="none"/>
        </w:rPr>
        <w:t>12、合同签订</w:t>
      </w:r>
    </w:p>
    <w:p w14:paraId="6A22FC99">
      <w:pPr>
        <w:spacing w:before="214" w:line="360" w:lineRule="auto"/>
        <w:ind w:right="12" w:firstLine="498"/>
        <w:rPr>
          <w:rFonts w:ascii="宋体" w:hAnsi="宋体" w:eastAsia="宋体" w:cs="宋体"/>
          <w:sz w:val="24"/>
          <w:szCs w:val="24"/>
          <w:highlight w:val="none"/>
        </w:rPr>
      </w:pPr>
      <w:r>
        <w:rPr>
          <w:rFonts w:ascii="宋体" w:hAnsi="宋体" w:eastAsia="宋体" w:cs="宋体"/>
          <w:spacing w:val="-4"/>
          <w:sz w:val="24"/>
          <w:szCs w:val="24"/>
          <w:highlight w:val="none"/>
        </w:rPr>
        <w:t>12.1 自成交通知书发出后</w:t>
      </w:r>
      <w:r>
        <w:rPr>
          <w:rFonts w:hint="eastAsia" w:hAnsi="宋体" w:cs="宋体"/>
          <w:spacing w:val="-4"/>
          <w:sz w:val="24"/>
          <w:szCs w:val="24"/>
          <w:highlight w:val="none"/>
          <w:lang w:val="en-US" w:eastAsia="zh-CN"/>
        </w:rPr>
        <w:t>三十</w:t>
      </w:r>
      <w:r>
        <w:rPr>
          <w:rFonts w:ascii="宋体" w:hAnsi="宋体" w:eastAsia="宋体" w:cs="宋体"/>
          <w:spacing w:val="-4"/>
          <w:sz w:val="24"/>
          <w:szCs w:val="24"/>
          <w:highlight w:val="none"/>
        </w:rPr>
        <w:t>日内，按照磋商文件和成交供应商响应文件的约定，</w:t>
      </w:r>
      <w:r>
        <w:rPr>
          <w:rFonts w:ascii="宋体" w:hAnsi="宋体" w:eastAsia="宋体" w:cs="宋体"/>
          <w:spacing w:val="9"/>
          <w:sz w:val="24"/>
          <w:szCs w:val="24"/>
          <w:highlight w:val="none"/>
        </w:rPr>
        <w:t xml:space="preserve"> </w:t>
      </w:r>
      <w:r>
        <w:rPr>
          <w:rFonts w:ascii="宋体" w:hAnsi="宋体" w:eastAsia="宋体" w:cs="宋体"/>
          <w:spacing w:val="-2"/>
          <w:sz w:val="24"/>
          <w:szCs w:val="24"/>
          <w:highlight w:val="none"/>
        </w:rPr>
        <w:t>采购人与成交供应商洽谈合同条款，并签订合同。磋商文件及成交供应商的响应文件均</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作为合同的组成部分。</w:t>
      </w:r>
    </w:p>
    <w:p w14:paraId="4C249886">
      <w:pPr>
        <w:spacing w:before="204" w:line="360" w:lineRule="auto"/>
        <w:ind w:firstLine="464" w:firstLineChars="200"/>
        <w:rPr>
          <w:rFonts w:ascii="宋体" w:hAnsi="宋体" w:eastAsia="宋体" w:cs="宋体"/>
          <w:spacing w:val="-1"/>
          <w:sz w:val="24"/>
          <w:szCs w:val="24"/>
          <w:highlight w:val="none"/>
        </w:rPr>
      </w:pPr>
      <w:r>
        <w:rPr>
          <w:rFonts w:ascii="宋体" w:hAnsi="宋体" w:eastAsia="宋体" w:cs="宋体"/>
          <w:spacing w:val="-4"/>
          <w:sz w:val="24"/>
          <w:szCs w:val="24"/>
          <w:highlight w:val="none"/>
        </w:rPr>
        <w:t>12.2</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确定成交单位后，成交供应商因自身原因未按程序签订合同，采购人将取消其</w:t>
      </w:r>
      <w:r>
        <w:rPr>
          <w:rFonts w:ascii="宋体" w:hAnsi="宋体" w:eastAsia="宋体" w:cs="宋体"/>
          <w:spacing w:val="-2"/>
          <w:sz w:val="24"/>
          <w:szCs w:val="24"/>
          <w:highlight w:val="none"/>
        </w:rPr>
        <w:t>成交资格，同时报请监督机构备案，没收其保证金。在此情况下，采购人可按评审结果</w:t>
      </w:r>
      <w:r>
        <w:rPr>
          <w:rFonts w:ascii="宋体" w:hAnsi="宋体" w:eastAsia="宋体" w:cs="宋体"/>
          <w:spacing w:val="-1"/>
          <w:sz w:val="24"/>
          <w:szCs w:val="24"/>
          <w:highlight w:val="none"/>
        </w:rPr>
        <w:t>顺序将合同授予下一成交候选人或重新采购。</w:t>
      </w:r>
    </w:p>
    <w:p w14:paraId="1BE5B5F8">
      <w:pPr>
        <w:spacing w:before="204" w:line="219" w:lineRule="auto"/>
        <w:ind w:left="515"/>
        <w:rPr>
          <w:rFonts w:ascii="宋体" w:hAnsi="宋体" w:eastAsia="宋体" w:cs="宋体"/>
          <w:sz w:val="24"/>
          <w:szCs w:val="24"/>
          <w:highlight w:val="none"/>
        </w:rPr>
      </w:pPr>
      <w:r>
        <w:rPr>
          <w:rFonts w:ascii="宋体" w:hAnsi="宋体" w:eastAsia="宋体" w:cs="宋体"/>
          <w:b/>
          <w:bCs/>
          <w:spacing w:val="1"/>
          <w:sz w:val="24"/>
          <w:szCs w:val="24"/>
          <w:highlight w:val="none"/>
        </w:rPr>
        <w:t>13、特殊情况的处理</w:t>
      </w:r>
    </w:p>
    <w:p w14:paraId="72F429B5">
      <w:pPr>
        <w:spacing w:before="264" w:line="360" w:lineRule="auto"/>
        <w:ind w:firstLine="498"/>
        <w:rPr>
          <w:rFonts w:ascii="宋体" w:hAnsi="宋体" w:eastAsia="宋体" w:cs="宋体"/>
          <w:sz w:val="24"/>
          <w:szCs w:val="24"/>
          <w:highlight w:val="none"/>
        </w:rPr>
      </w:pPr>
      <w:r>
        <w:rPr>
          <w:rFonts w:ascii="宋体" w:hAnsi="宋体" w:eastAsia="宋体" w:cs="宋体"/>
          <w:spacing w:val="-4"/>
          <w:sz w:val="24"/>
          <w:szCs w:val="24"/>
          <w:highlight w:val="none"/>
        </w:rPr>
        <w:t>13.1</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若出现综合得分相同的，磋商报价得分高者为第一成交候选人；若综合得分和</w:t>
      </w:r>
      <w:r>
        <w:rPr>
          <w:rFonts w:ascii="宋体" w:hAnsi="宋体" w:eastAsia="宋体" w:cs="宋体"/>
          <w:spacing w:val="-2"/>
          <w:sz w:val="24"/>
          <w:szCs w:val="24"/>
          <w:highlight w:val="none"/>
        </w:rPr>
        <w:t>磋商报价得分相同，以技术方案得分高者为第一成交候选人；若上述两种情况得分均相</w:t>
      </w:r>
      <w:r>
        <w:rPr>
          <w:rFonts w:ascii="宋体" w:hAnsi="宋体" w:eastAsia="宋体" w:cs="宋体"/>
          <w:sz w:val="24"/>
          <w:szCs w:val="24"/>
          <w:highlight w:val="none"/>
        </w:rPr>
        <w:t>同，则由全体磋商小组成员无记名投票，得票高</w:t>
      </w:r>
      <w:r>
        <w:rPr>
          <w:rFonts w:ascii="宋体" w:hAnsi="宋体" w:eastAsia="宋体" w:cs="宋体"/>
          <w:spacing w:val="-1"/>
          <w:sz w:val="24"/>
          <w:szCs w:val="24"/>
          <w:highlight w:val="none"/>
        </w:rPr>
        <w:t>者为第一成交候选人。</w:t>
      </w:r>
    </w:p>
    <w:p w14:paraId="438B30EE">
      <w:pPr>
        <w:spacing w:before="273" w:line="218"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13.2</w:t>
      </w:r>
      <w:r>
        <w:rPr>
          <w:rFonts w:ascii="宋体" w:hAnsi="宋体" w:eastAsia="宋体" w:cs="宋体"/>
          <w:spacing w:val="-25"/>
          <w:sz w:val="24"/>
          <w:szCs w:val="24"/>
          <w:highlight w:val="none"/>
        </w:rPr>
        <w:t xml:space="preserve"> </w:t>
      </w:r>
      <w:r>
        <w:rPr>
          <w:rFonts w:ascii="宋体" w:hAnsi="宋体" w:eastAsia="宋体" w:cs="宋体"/>
          <w:spacing w:val="-2"/>
          <w:sz w:val="24"/>
          <w:szCs w:val="24"/>
          <w:highlight w:val="none"/>
        </w:rPr>
        <w:t>当供应商某评分项出现未报、漏报或零报价时，该分项得零分。</w:t>
      </w:r>
    </w:p>
    <w:p w14:paraId="6D1E32AC">
      <w:pPr>
        <w:spacing w:before="276" w:line="325" w:lineRule="auto"/>
        <w:ind w:left="5" w:firstLine="492"/>
        <w:rPr>
          <w:rFonts w:ascii="宋体" w:hAnsi="宋体" w:eastAsia="宋体" w:cs="宋体"/>
          <w:sz w:val="24"/>
          <w:szCs w:val="24"/>
          <w:highlight w:val="none"/>
        </w:rPr>
      </w:pPr>
      <w:r>
        <w:rPr>
          <w:rFonts w:ascii="宋体" w:hAnsi="宋体" w:eastAsia="宋体" w:cs="宋体"/>
          <w:spacing w:val="-4"/>
          <w:sz w:val="24"/>
          <w:szCs w:val="24"/>
          <w:highlight w:val="none"/>
        </w:rPr>
        <w:t>13.3</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评议过程中，若出现本评分方法以外的特殊情况时，将暂停评审，待磋商小组</w:t>
      </w:r>
      <w:r>
        <w:rPr>
          <w:rFonts w:ascii="宋体" w:hAnsi="宋体" w:eastAsia="宋体" w:cs="宋体"/>
          <w:spacing w:val="-2"/>
          <w:sz w:val="24"/>
          <w:szCs w:val="24"/>
          <w:highlight w:val="none"/>
        </w:rPr>
        <w:t>商榷后再进行复会。</w:t>
      </w:r>
    </w:p>
    <w:p w14:paraId="43B0F4E7">
      <w:pPr>
        <w:spacing w:before="275" w:line="219" w:lineRule="auto"/>
        <w:ind w:left="498"/>
        <w:rPr>
          <w:rFonts w:ascii="宋体" w:hAnsi="宋体" w:eastAsia="宋体" w:cs="宋体"/>
          <w:sz w:val="24"/>
          <w:szCs w:val="24"/>
          <w:highlight w:val="none"/>
        </w:rPr>
      </w:pPr>
      <w:r>
        <w:rPr>
          <w:rFonts w:ascii="宋体" w:hAnsi="宋体" w:eastAsia="宋体" w:cs="宋体"/>
          <w:spacing w:val="-2"/>
          <w:sz w:val="24"/>
          <w:szCs w:val="24"/>
          <w:highlight w:val="none"/>
        </w:rPr>
        <w:t>13.4</w:t>
      </w:r>
      <w:r>
        <w:rPr>
          <w:rFonts w:ascii="宋体" w:hAnsi="宋体" w:eastAsia="宋体" w:cs="宋体"/>
          <w:spacing w:val="-41"/>
          <w:sz w:val="24"/>
          <w:szCs w:val="24"/>
          <w:highlight w:val="none"/>
        </w:rPr>
        <w:t xml:space="preserve"> </w:t>
      </w:r>
      <w:r>
        <w:rPr>
          <w:rFonts w:ascii="宋体" w:hAnsi="宋体" w:eastAsia="宋体" w:cs="宋体"/>
          <w:spacing w:val="-2"/>
          <w:sz w:val="24"/>
          <w:szCs w:val="24"/>
          <w:highlight w:val="none"/>
        </w:rPr>
        <w:t>如果出现计算错误，可按以下原则进行修正：</w:t>
      </w:r>
    </w:p>
    <w:p w14:paraId="21D76A8A">
      <w:pPr>
        <w:spacing w:before="226" w:line="302" w:lineRule="auto"/>
        <w:ind w:firstLine="481"/>
        <w:rPr>
          <w:rFonts w:ascii="宋体" w:hAnsi="宋体" w:eastAsia="宋体" w:cs="宋体"/>
          <w:sz w:val="24"/>
          <w:szCs w:val="24"/>
          <w:highlight w:val="none"/>
        </w:rPr>
      </w:pPr>
      <w:r>
        <w:rPr>
          <w:rFonts w:ascii="宋体" w:hAnsi="宋体" w:eastAsia="宋体" w:cs="宋体"/>
          <w:spacing w:val="-2"/>
          <w:sz w:val="24"/>
          <w:szCs w:val="24"/>
          <w:highlight w:val="none"/>
        </w:rPr>
        <w:t>a.磋商响应文件中竞争性磋商报价表内容与磋商响应文件中相应内容不一致的，以</w:t>
      </w:r>
      <w:r>
        <w:rPr>
          <w:rFonts w:ascii="宋体" w:hAnsi="宋体" w:eastAsia="宋体" w:cs="宋体"/>
          <w:spacing w:val="14"/>
          <w:sz w:val="24"/>
          <w:szCs w:val="24"/>
          <w:highlight w:val="none"/>
        </w:rPr>
        <w:t xml:space="preserve"> </w:t>
      </w:r>
      <w:r>
        <w:rPr>
          <w:rFonts w:ascii="宋体" w:hAnsi="宋体" w:eastAsia="宋体" w:cs="宋体"/>
          <w:spacing w:val="-2"/>
          <w:sz w:val="24"/>
          <w:szCs w:val="24"/>
          <w:highlight w:val="none"/>
        </w:rPr>
        <w:t>磋商报价表为准；</w:t>
      </w:r>
    </w:p>
    <w:p w14:paraId="26F58EE2">
      <w:pPr>
        <w:spacing w:before="217" w:line="219" w:lineRule="auto"/>
        <w:ind w:left="477"/>
        <w:rPr>
          <w:rFonts w:ascii="宋体" w:hAnsi="宋体" w:eastAsia="宋体" w:cs="宋体"/>
          <w:sz w:val="24"/>
          <w:szCs w:val="24"/>
          <w:highlight w:val="none"/>
        </w:rPr>
      </w:pPr>
      <w:r>
        <w:rPr>
          <w:rFonts w:ascii="宋体" w:hAnsi="宋体" w:eastAsia="宋体" w:cs="宋体"/>
          <w:spacing w:val="-1"/>
          <w:sz w:val="24"/>
          <w:szCs w:val="24"/>
          <w:highlight w:val="none"/>
        </w:rPr>
        <w:t>b、大写金额与小写金额不一致的，以大写金额为准；</w:t>
      </w:r>
    </w:p>
    <w:p w14:paraId="4952C24A">
      <w:pPr>
        <w:spacing w:before="213" w:line="302" w:lineRule="auto"/>
        <w:ind w:firstLine="484"/>
        <w:rPr>
          <w:rFonts w:ascii="宋体" w:hAnsi="宋体" w:eastAsia="宋体" w:cs="宋体"/>
          <w:sz w:val="24"/>
          <w:szCs w:val="24"/>
          <w:highlight w:val="none"/>
        </w:rPr>
      </w:pPr>
      <w:r>
        <w:rPr>
          <w:rFonts w:ascii="宋体" w:hAnsi="宋体" w:eastAsia="宋体" w:cs="宋体"/>
          <w:spacing w:val="1"/>
          <w:sz w:val="24"/>
          <w:szCs w:val="24"/>
          <w:highlight w:val="none"/>
        </w:rPr>
        <w:t>c、单价金额小数点或者百分比有明显错位的，以</w:t>
      </w:r>
      <w:r>
        <w:rPr>
          <w:rFonts w:ascii="宋体" w:hAnsi="宋体" w:eastAsia="宋体" w:cs="宋体"/>
          <w:sz w:val="24"/>
          <w:szCs w:val="24"/>
          <w:highlight w:val="none"/>
        </w:rPr>
        <w:t>“磋商报价表</w:t>
      </w:r>
      <w:r>
        <w:rPr>
          <w:rFonts w:ascii="宋体" w:hAnsi="宋体" w:eastAsia="宋体" w:cs="宋体"/>
          <w:spacing w:val="-86"/>
          <w:sz w:val="24"/>
          <w:szCs w:val="24"/>
          <w:highlight w:val="none"/>
        </w:rPr>
        <w:t xml:space="preserve"> </w:t>
      </w:r>
      <w:r>
        <w:rPr>
          <w:rFonts w:ascii="宋体" w:hAnsi="宋体" w:eastAsia="宋体" w:cs="宋体"/>
          <w:sz w:val="24"/>
          <w:szCs w:val="24"/>
          <w:highlight w:val="none"/>
        </w:rPr>
        <w:t>”的总价为准，并</w:t>
      </w:r>
      <w:r>
        <w:rPr>
          <w:rFonts w:ascii="宋体" w:hAnsi="宋体" w:eastAsia="宋体" w:cs="宋体"/>
          <w:spacing w:val="-2"/>
          <w:sz w:val="24"/>
          <w:szCs w:val="24"/>
          <w:highlight w:val="none"/>
        </w:rPr>
        <w:t>修改单价；</w:t>
      </w:r>
    </w:p>
    <w:p w14:paraId="628C8CBD">
      <w:pPr>
        <w:spacing w:before="217" w:line="219" w:lineRule="auto"/>
        <w:ind w:left="485"/>
        <w:rPr>
          <w:rFonts w:ascii="宋体" w:hAnsi="宋体" w:eastAsia="宋体" w:cs="宋体"/>
          <w:sz w:val="24"/>
          <w:szCs w:val="24"/>
          <w:highlight w:val="none"/>
        </w:rPr>
      </w:pPr>
      <w:r>
        <w:rPr>
          <w:rFonts w:ascii="宋体" w:hAnsi="宋体" w:eastAsia="宋体" w:cs="宋体"/>
          <w:spacing w:val="-1"/>
          <w:sz w:val="24"/>
          <w:szCs w:val="24"/>
          <w:highlight w:val="none"/>
        </w:rPr>
        <w:t>d、磋商响应文件图表与文字不符时，以文字为准。</w:t>
      </w:r>
    </w:p>
    <w:p w14:paraId="0429B7D1">
      <w:pPr>
        <w:spacing w:before="213"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e、磋商响应文件正本与副本不符时，以正本为准；</w:t>
      </w:r>
    </w:p>
    <w:p w14:paraId="3B4C117B">
      <w:pPr>
        <w:spacing w:before="218"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f、多处内容交叉不符时，以磋商小组评审结果为准。</w:t>
      </w:r>
    </w:p>
    <w:p w14:paraId="70EEF5D6">
      <w:pPr>
        <w:spacing w:before="213" w:line="386" w:lineRule="auto"/>
        <w:ind w:firstLine="503"/>
        <w:rPr>
          <w:rFonts w:ascii="宋体" w:hAnsi="宋体" w:eastAsia="宋体" w:cs="宋体"/>
          <w:sz w:val="24"/>
          <w:szCs w:val="24"/>
          <w:highlight w:val="none"/>
        </w:rPr>
      </w:pPr>
      <w:r>
        <w:rPr>
          <w:rFonts w:ascii="宋体" w:hAnsi="宋体" w:eastAsia="宋体" w:cs="宋体"/>
          <w:spacing w:val="-2"/>
          <w:sz w:val="24"/>
          <w:szCs w:val="24"/>
          <w:highlight w:val="none"/>
        </w:rPr>
        <w:t>同时出现两种以上不一致的，按照以上规定的顺序修正。修</w:t>
      </w:r>
      <w:r>
        <w:rPr>
          <w:rFonts w:ascii="宋体" w:hAnsi="宋体" w:eastAsia="宋体" w:cs="宋体"/>
          <w:spacing w:val="-3"/>
          <w:sz w:val="24"/>
          <w:szCs w:val="24"/>
          <w:highlight w:val="none"/>
        </w:rPr>
        <w:t>正后的报价经供应商确</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认后产生约束力，供应商不确认的，其投标无效。</w:t>
      </w:r>
    </w:p>
    <w:p w14:paraId="7F0859A1">
      <w:pPr>
        <w:spacing w:before="30" w:line="220" w:lineRule="auto"/>
        <w:ind w:left="498"/>
        <w:rPr>
          <w:rFonts w:ascii="宋体" w:hAnsi="宋体" w:eastAsia="宋体" w:cs="宋体"/>
          <w:sz w:val="24"/>
          <w:szCs w:val="24"/>
          <w:highlight w:val="none"/>
        </w:rPr>
      </w:pPr>
      <w:bookmarkStart w:id="32" w:name="bookmark3"/>
      <w:bookmarkEnd w:id="32"/>
      <w:r>
        <w:rPr>
          <w:rFonts w:ascii="宋体" w:hAnsi="宋体" w:eastAsia="宋体" w:cs="宋体"/>
          <w:b/>
          <w:bCs/>
          <w:spacing w:val="-7"/>
          <w:sz w:val="24"/>
          <w:szCs w:val="24"/>
          <w:highlight w:val="none"/>
        </w:rPr>
        <w:t>14、其他</w:t>
      </w:r>
    </w:p>
    <w:p w14:paraId="2F787028">
      <w:pPr>
        <w:spacing w:before="253" w:line="417" w:lineRule="auto"/>
        <w:ind w:firstLine="498"/>
        <w:jc w:val="both"/>
        <w:rPr>
          <w:rFonts w:ascii="宋体" w:hAnsi="宋体" w:eastAsia="宋体" w:cs="宋体"/>
          <w:sz w:val="24"/>
          <w:szCs w:val="24"/>
          <w:highlight w:val="none"/>
        </w:rPr>
      </w:pPr>
      <w:r>
        <w:rPr>
          <w:rFonts w:ascii="宋体" w:hAnsi="宋体" w:eastAsia="宋体" w:cs="宋体"/>
          <w:spacing w:val="-2"/>
          <w:sz w:val="24"/>
          <w:szCs w:val="24"/>
          <w:highlight w:val="none"/>
        </w:rPr>
        <w:t>14.1、拒绝商业贿赂。遵照陕西省财政厅的规定，采购人、采购代理机构、供应商和磋商小组在磋商活动中，都要签订相应的《拒绝政府采购领域商业贿赂承诺书》，并</w:t>
      </w:r>
      <w:r>
        <w:rPr>
          <w:rFonts w:ascii="宋体" w:hAnsi="宋体" w:eastAsia="宋体" w:cs="宋体"/>
          <w:spacing w:val="-1"/>
          <w:sz w:val="24"/>
          <w:szCs w:val="24"/>
          <w:highlight w:val="none"/>
        </w:rPr>
        <w:t>对违反承诺的行为承担全部责任。</w:t>
      </w:r>
    </w:p>
    <w:p w14:paraId="0393ECB2">
      <w:pPr>
        <w:spacing w:line="417" w:lineRule="auto"/>
        <w:rPr>
          <w:rFonts w:ascii="宋体" w:hAnsi="宋体" w:eastAsia="宋体" w:cs="宋体"/>
          <w:sz w:val="24"/>
          <w:szCs w:val="24"/>
          <w:highlight w:val="none"/>
        </w:rPr>
        <w:sectPr>
          <w:footerReference r:id="rId11" w:type="default"/>
          <w:pgSz w:w="11906" w:h="16839"/>
          <w:pgMar w:top="1431" w:right="1417" w:bottom="1156" w:left="1424" w:header="0" w:footer="994" w:gutter="0"/>
          <w:pgNumType w:fmt="decimal"/>
          <w:cols w:space="720" w:num="1"/>
        </w:sectPr>
      </w:pPr>
    </w:p>
    <w:bookmarkEnd w:id="25"/>
    <w:bookmarkEnd w:id="26"/>
    <w:bookmarkEnd w:id="27"/>
    <w:bookmarkEnd w:id="28"/>
    <w:bookmarkEnd w:id="29"/>
    <w:bookmarkEnd w:id="30"/>
    <w:bookmarkEnd w:id="31"/>
    <w:p w14:paraId="30529E10">
      <w:pPr>
        <w:spacing w:before="167" w:line="224" w:lineRule="auto"/>
        <w:ind w:left="2773"/>
        <w:outlineLvl w:val="9"/>
        <w:rPr>
          <w:rFonts w:ascii="宋体" w:hAnsi="宋体" w:eastAsia="宋体" w:cs="宋体"/>
          <w:sz w:val="31"/>
          <w:szCs w:val="31"/>
          <w:highlight w:val="none"/>
        </w:rPr>
      </w:pPr>
      <w:bookmarkStart w:id="33" w:name="_Toc22973"/>
      <w:bookmarkStart w:id="34" w:name="_Toc25783"/>
      <w:bookmarkStart w:id="35" w:name="_Toc403077645"/>
      <w:bookmarkStart w:id="36" w:name="_Toc423973074"/>
      <w:bookmarkStart w:id="37" w:name="_Toc363474023"/>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 xml:space="preserve"> </w:t>
      </w:r>
      <w:bookmarkEnd w:id="33"/>
      <w:r>
        <w:rPr>
          <w:rFonts w:ascii="宋体" w:hAnsi="宋体" w:eastAsia="宋体" w:cs="宋体"/>
          <w:b/>
          <w:bCs/>
          <w:spacing w:val="6"/>
          <w:sz w:val="31"/>
          <w:szCs w:val="31"/>
          <w:highlight w:val="none"/>
        </w:rPr>
        <w:t>第三章</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磋商原则和办法</w:t>
      </w:r>
    </w:p>
    <w:p w14:paraId="4EBA1F22">
      <w:pPr>
        <w:spacing w:before="167" w:line="220" w:lineRule="auto"/>
        <w:ind w:left="4"/>
        <w:rPr>
          <w:rFonts w:ascii="宋体" w:hAnsi="宋体" w:eastAsia="宋体" w:cs="宋体"/>
          <w:sz w:val="24"/>
          <w:szCs w:val="24"/>
          <w:highlight w:val="none"/>
        </w:rPr>
      </w:pPr>
      <w:r>
        <w:rPr>
          <w:rFonts w:ascii="宋体" w:hAnsi="宋体" w:eastAsia="宋体" w:cs="宋体"/>
          <w:b/>
          <w:bCs/>
          <w:spacing w:val="-4"/>
          <w:sz w:val="24"/>
          <w:szCs w:val="24"/>
          <w:highlight w:val="none"/>
        </w:rPr>
        <w:t>一、评审原则</w:t>
      </w:r>
    </w:p>
    <w:p w14:paraId="422C1342">
      <w:pPr>
        <w:spacing w:before="250" w:line="421" w:lineRule="auto"/>
        <w:ind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依据《中华人民共和国政府采购法》、《政府采购竞争性磋商采购方式管理暂行办法》及有关法律、法规，坚持公平、公正、科学、择优，禁止不正当竞争，进行竞争性</w:t>
      </w:r>
      <w:r>
        <w:rPr>
          <w:rFonts w:ascii="宋体" w:hAnsi="宋体" w:eastAsia="宋体" w:cs="宋体"/>
          <w:spacing w:val="-1"/>
          <w:sz w:val="24"/>
          <w:szCs w:val="24"/>
          <w:highlight w:val="none"/>
        </w:rPr>
        <w:t>磋商，依法组建评审小组成员，磋商小组成员在陕西省政府</w:t>
      </w:r>
      <w:r>
        <w:rPr>
          <w:rFonts w:ascii="宋体" w:hAnsi="宋体" w:eastAsia="宋体" w:cs="宋体"/>
          <w:spacing w:val="-2"/>
          <w:sz w:val="24"/>
          <w:szCs w:val="24"/>
          <w:highlight w:val="none"/>
        </w:rPr>
        <w:t>采购网专家库中随机抽取。</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磋商小组由采购人代表和评审专家共</w:t>
      </w:r>
      <w:r>
        <w:rPr>
          <w:rFonts w:ascii="宋体" w:hAnsi="宋体" w:eastAsia="宋体" w:cs="宋体"/>
          <w:spacing w:val="-41"/>
          <w:sz w:val="24"/>
          <w:szCs w:val="24"/>
          <w:highlight w:val="none"/>
        </w:rPr>
        <w:t xml:space="preserve"> </w:t>
      </w:r>
      <w:r>
        <w:rPr>
          <w:rFonts w:ascii="宋体" w:hAnsi="宋体" w:eastAsia="宋体" w:cs="宋体"/>
          <w:spacing w:val="-3"/>
          <w:sz w:val="24"/>
          <w:szCs w:val="24"/>
          <w:highlight w:val="none"/>
        </w:rPr>
        <w:t>3</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人以上单数组成（至少</w:t>
      </w:r>
      <w:r>
        <w:rPr>
          <w:rFonts w:ascii="宋体" w:hAnsi="宋体" w:eastAsia="宋体" w:cs="宋体"/>
          <w:spacing w:val="-46"/>
          <w:sz w:val="24"/>
          <w:szCs w:val="24"/>
          <w:highlight w:val="none"/>
        </w:rPr>
        <w:t xml:space="preserve"> </w:t>
      </w:r>
      <w:r>
        <w:rPr>
          <w:rFonts w:ascii="宋体" w:hAnsi="宋体" w:eastAsia="宋体" w:cs="宋体"/>
          <w:spacing w:val="-3"/>
          <w:sz w:val="24"/>
          <w:szCs w:val="24"/>
          <w:highlight w:val="none"/>
        </w:rPr>
        <w:t>3</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人）。在满足《竞争性</w:t>
      </w:r>
      <w:r>
        <w:rPr>
          <w:rFonts w:ascii="宋体" w:hAnsi="宋体" w:eastAsia="宋体" w:cs="宋体"/>
          <w:spacing w:val="-2"/>
          <w:sz w:val="24"/>
          <w:szCs w:val="24"/>
          <w:highlight w:val="none"/>
        </w:rPr>
        <w:t>磋商文件》要求的前提下，对供应商磋商响应文件能否最大限度地满足磋商文件中规定</w:t>
      </w:r>
      <w:r>
        <w:rPr>
          <w:rFonts w:ascii="宋体" w:hAnsi="宋体" w:eastAsia="宋体" w:cs="宋体"/>
          <w:sz w:val="24"/>
          <w:szCs w:val="24"/>
          <w:highlight w:val="none"/>
        </w:rPr>
        <w:t>的各项要求和评价标准进行评审、比较、评分，总分由高</w:t>
      </w:r>
      <w:r>
        <w:rPr>
          <w:rFonts w:ascii="宋体" w:hAnsi="宋体" w:eastAsia="宋体" w:cs="宋体"/>
          <w:spacing w:val="-1"/>
          <w:sz w:val="24"/>
          <w:szCs w:val="24"/>
          <w:highlight w:val="none"/>
        </w:rPr>
        <w:t>到低确定成交候选人。</w:t>
      </w:r>
    </w:p>
    <w:p w14:paraId="53626967">
      <w:pPr>
        <w:spacing w:line="220" w:lineRule="auto"/>
        <w:ind w:left="4"/>
        <w:rPr>
          <w:rFonts w:ascii="宋体" w:hAnsi="宋体" w:eastAsia="宋体" w:cs="宋体"/>
          <w:sz w:val="24"/>
          <w:szCs w:val="24"/>
          <w:highlight w:val="none"/>
        </w:rPr>
      </w:pPr>
      <w:r>
        <w:rPr>
          <w:rFonts w:ascii="宋体" w:hAnsi="宋体" w:eastAsia="宋体" w:cs="宋体"/>
          <w:b/>
          <w:bCs/>
          <w:spacing w:val="-4"/>
          <w:sz w:val="24"/>
          <w:szCs w:val="24"/>
          <w:highlight w:val="none"/>
        </w:rPr>
        <w:t>二、磋商程序</w:t>
      </w:r>
    </w:p>
    <w:p w14:paraId="66E1A08B">
      <w:pPr>
        <w:spacing w:before="254" w:line="360" w:lineRule="auto"/>
        <w:ind w:left="3" w:right="8" w:firstLine="476"/>
        <w:rPr>
          <w:rFonts w:ascii="宋体" w:hAnsi="宋体" w:eastAsia="宋体" w:cs="宋体"/>
          <w:sz w:val="24"/>
          <w:szCs w:val="24"/>
          <w:highlight w:val="none"/>
        </w:rPr>
      </w:pPr>
      <w:r>
        <w:rPr>
          <w:rFonts w:ascii="宋体" w:hAnsi="宋体" w:eastAsia="宋体" w:cs="宋体"/>
          <w:spacing w:val="-2"/>
          <w:sz w:val="24"/>
          <w:szCs w:val="24"/>
          <w:highlight w:val="none"/>
        </w:rPr>
        <w:t>磋商的全过程分为第一次磋商报价，供应商资格审查，对响应文件的有效性、完整</w:t>
      </w:r>
      <w:r>
        <w:rPr>
          <w:rFonts w:ascii="宋体" w:hAnsi="宋体" w:eastAsia="宋体" w:cs="宋体"/>
          <w:spacing w:val="-1"/>
          <w:sz w:val="24"/>
          <w:szCs w:val="24"/>
          <w:highlight w:val="none"/>
        </w:rPr>
        <w:t>性和响应程度等进行审查，第二次报价，综合评审及打分等阶段。</w:t>
      </w:r>
    </w:p>
    <w:p w14:paraId="224AB116">
      <w:pPr>
        <w:spacing w:line="360" w:lineRule="auto"/>
        <w:ind w:firstLine="472" w:firstLineChars="200"/>
        <w:rPr>
          <w:rFonts w:ascii="Arial"/>
          <w:sz w:val="2"/>
          <w:highlight w:val="none"/>
        </w:rPr>
      </w:pPr>
      <w:r>
        <w:rPr>
          <w:rFonts w:ascii="宋体" w:hAnsi="宋体" w:eastAsia="宋体" w:cs="宋体"/>
          <w:spacing w:val="-2"/>
          <w:sz w:val="24"/>
          <w:szCs w:val="24"/>
          <w:highlight w:val="none"/>
        </w:rPr>
        <w:t>1.供应商资格审查：依据法律法规和磋商文件的规定，由磋商小组对响应文</w:t>
      </w:r>
      <w:r>
        <w:rPr>
          <w:rFonts w:ascii="宋体" w:hAnsi="宋体" w:eastAsia="宋体" w:cs="宋体"/>
          <w:spacing w:val="-3"/>
          <w:sz w:val="24"/>
          <w:szCs w:val="24"/>
          <w:highlight w:val="none"/>
        </w:rPr>
        <w:t>件中的</w:t>
      </w:r>
      <w:r>
        <w:rPr>
          <w:rFonts w:ascii="宋体" w:hAnsi="宋体" w:eastAsia="宋体" w:cs="宋体"/>
          <w:spacing w:val="-2"/>
          <w:sz w:val="24"/>
          <w:szCs w:val="24"/>
          <w:highlight w:val="none"/>
        </w:rPr>
        <w:t>资格证明文件进行审查，以确定供应商是否具备磋商资格，若供应商不具备磋商资格，不在进行下一步评审。</w:t>
      </w:r>
    </w:p>
    <w:tbl>
      <w:tblPr>
        <w:tblStyle w:val="22"/>
        <w:tblW w:w="940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2410"/>
        <w:gridCol w:w="5390"/>
        <w:gridCol w:w="745"/>
      </w:tblGrid>
      <w:tr w14:paraId="11D8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DB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4A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资格要求</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22D4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评审标准</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4E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1B91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BD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7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营业执照等证明文件</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E0E7F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提供合格有效的法人或者其他组织的营业执照等证明文件，自然人的身份证明；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9F43">
            <w:pPr>
              <w:spacing w:line="360" w:lineRule="auto"/>
              <w:jc w:val="center"/>
              <w:rPr>
                <w:rFonts w:hint="eastAsia" w:ascii="宋体" w:hAnsi="宋体" w:eastAsia="宋体" w:cs="宋体"/>
                <w:i w:val="0"/>
                <w:iCs w:val="0"/>
                <w:color w:val="000000"/>
                <w:sz w:val="24"/>
                <w:szCs w:val="24"/>
                <w:highlight w:val="none"/>
                <w:u w:val="none"/>
              </w:rPr>
            </w:pPr>
          </w:p>
        </w:tc>
      </w:tr>
      <w:tr w14:paraId="7D85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1E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03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法定代表人授权书</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115EE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提供法定代表人授权书（附法定代表人、被授权人身份证复印件)，法定代表人直接参加投标，须提供法定代表人身份证明及身份证复印件）；</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E752">
            <w:pPr>
              <w:spacing w:line="360" w:lineRule="auto"/>
              <w:jc w:val="center"/>
              <w:rPr>
                <w:rFonts w:hint="eastAsia" w:ascii="宋体" w:hAnsi="宋体" w:eastAsia="宋体" w:cs="宋体"/>
                <w:i w:val="0"/>
                <w:iCs w:val="0"/>
                <w:color w:val="000000"/>
                <w:sz w:val="24"/>
                <w:szCs w:val="24"/>
                <w:highlight w:val="none"/>
                <w:u w:val="none"/>
              </w:rPr>
            </w:pPr>
          </w:p>
        </w:tc>
      </w:tr>
      <w:tr w14:paraId="71F1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DF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D4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财务状况报告</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424D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提供2024年度的财务审计报告（成立时间至提交响应文件截止时间不足一年的可提供成立后任意时段的资产负债表）或开标时间前六个月内银行出具的资信证明；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7FE8">
            <w:pPr>
              <w:spacing w:line="360" w:lineRule="auto"/>
              <w:jc w:val="center"/>
              <w:rPr>
                <w:rFonts w:hint="eastAsia" w:ascii="宋体" w:hAnsi="宋体" w:eastAsia="宋体" w:cs="宋体"/>
                <w:i w:val="0"/>
                <w:iCs w:val="0"/>
                <w:color w:val="000000"/>
                <w:sz w:val="24"/>
                <w:szCs w:val="24"/>
                <w:highlight w:val="none"/>
                <w:u w:val="none"/>
              </w:rPr>
            </w:pPr>
          </w:p>
        </w:tc>
      </w:tr>
      <w:tr w14:paraId="16FD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E7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13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税收缴纳证明</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C2D95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提供响应文件截止日前一年内已缴纳的至少一个月的纳税证明或完税证明（任意税种），依法免税的单位应提供相关证明材料;</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1ABE">
            <w:pPr>
              <w:spacing w:line="360" w:lineRule="auto"/>
              <w:jc w:val="center"/>
              <w:rPr>
                <w:rFonts w:hint="eastAsia" w:ascii="宋体" w:hAnsi="宋体" w:eastAsia="宋体" w:cs="宋体"/>
                <w:i w:val="0"/>
                <w:iCs w:val="0"/>
                <w:color w:val="000000"/>
                <w:sz w:val="24"/>
                <w:szCs w:val="24"/>
                <w:highlight w:val="none"/>
                <w:u w:val="none"/>
              </w:rPr>
            </w:pPr>
          </w:p>
        </w:tc>
      </w:tr>
      <w:tr w14:paraId="74AD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5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3D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社会保障资金缴纳证明</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9C94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提供响应文件截止日前一年内已缴存的至少一个月的社会保障资金缴存单据或社保机构开具的社会保险参保缴费情况证明，依法不需要缴纳社会保障资金的单位应提供相关证明材料；</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E90E">
            <w:pPr>
              <w:spacing w:line="360" w:lineRule="auto"/>
              <w:jc w:val="center"/>
              <w:rPr>
                <w:rFonts w:hint="eastAsia" w:ascii="宋体" w:hAnsi="宋体" w:eastAsia="宋体" w:cs="宋体"/>
                <w:i w:val="0"/>
                <w:iCs w:val="0"/>
                <w:color w:val="000000"/>
                <w:sz w:val="24"/>
                <w:szCs w:val="24"/>
                <w:highlight w:val="none"/>
                <w:u w:val="none"/>
              </w:rPr>
            </w:pPr>
          </w:p>
        </w:tc>
      </w:tr>
      <w:tr w14:paraId="0B02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9A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7A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信用截图</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6B808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供应商应通过“信用中国”网站(www.creditchina.gov.cn)、中国政府采购网(www.ccgp.gov.cn)查询相关主体信用记录；</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F898">
            <w:pPr>
              <w:spacing w:line="360" w:lineRule="auto"/>
              <w:jc w:val="center"/>
              <w:rPr>
                <w:rFonts w:hint="eastAsia" w:ascii="宋体" w:hAnsi="宋体" w:eastAsia="宋体" w:cs="宋体"/>
                <w:i w:val="0"/>
                <w:iCs w:val="0"/>
                <w:color w:val="000000"/>
                <w:sz w:val="24"/>
                <w:szCs w:val="24"/>
                <w:highlight w:val="none"/>
                <w:u w:val="none"/>
              </w:rPr>
            </w:pPr>
          </w:p>
        </w:tc>
      </w:tr>
      <w:tr w14:paraId="069D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AA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2D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书面声明</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5450B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参加政府采购活动前3年内，在经营活动中没有重大违法记录的书面声明；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AB4B">
            <w:pPr>
              <w:spacing w:line="360" w:lineRule="auto"/>
              <w:jc w:val="center"/>
              <w:rPr>
                <w:rFonts w:hint="eastAsia" w:ascii="宋体" w:hAnsi="宋体" w:eastAsia="宋体" w:cs="宋体"/>
                <w:i w:val="0"/>
                <w:iCs w:val="0"/>
                <w:color w:val="000000"/>
                <w:sz w:val="24"/>
                <w:szCs w:val="24"/>
                <w:highlight w:val="none"/>
                <w:u w:val="none"/>
              </w:rPr>
            </w:pPr>
          </w:p>
        </w:tc>
      </w:tr>
      <w:tr w14:paraId="75A2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F5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E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承诺函</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300D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提供具有履行合同所必需的设备和专业技术能力的承诺函；</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5BC5">
            <w:pPr>
              <w:spacing w:line="360" w:lineRule="auto"/>
              <w:jc w:val="center"/>
              <w:rPr>
                <w:rFonts w:hint="eastAsia" w:ascii="宋体" w:hAnsi="宋体" w:eastAsia="宋体" w:cs="宋体"/>
                <w:i w:val="0"/>
                <w:iCs w:val="0"/>
                <w:color w:val="000000"/>
                <w:sz w:val="24"/>
                <w:szCs w:val="24"/>
                <w:highlight w:val="none"/>
                <w:u w:val="none"/>
              </w:rPr>
            </w:pPr>
          </w:p>
        </w:tc>
      </w:tr>
      <w:tr w14:paraId="3036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DD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FE2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hAnsi="宋体" w:cs="宋体"/>
                <w:i w:val="0"/>
                <w:iCs w:val="0"/>
                <w:color w:val="000000"/>
                <w:kern w:val="0"/>
                <w:sz w:val="24"/>
                <w:szCs w:val="24"/>
                <w:highlight w:val="none"/>
                <w:u w:val="none"/>
                <w:lang w:val="en-US" w:eastAsia="zh-CN" w:bidi="ar"/>
              </w:rPr>
              <w:t>资质证书</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56C052">
            <w:pPr>
              <w:pStyle w:val="39"/>
              <w:spacing w:before="183" w:line="360" w:lineRule="auto"/>
              <w:ind w:left="116" w:right="107" w:firstLine="10"/>
              <w:jc w:val="both"/>
              <w:rPr>
                <w:rFonts w:hint="eastAsia" w:ascii="宋体" w:hAnsi="宋体" w:eastAsia="宋体" w:cs="宋体"/>
                <w:i w:val="0"/>
                <w:iCs w:val="0"/>
                <w:color w:val="000000"/>
                <w:sz w:val="24"/>
                <w:szCs w:val="24"/>
                <w:highlight w:val="none"/>
                <w:u w:val="none"/>
              </w:rPr>
            </w:pPr>
            <w:r>
              <w:rPr>
                <w:rFonts w:hint="eastAsia"/>
                <w:sz w:val="24"/>
                <w:szCs w:val="24"/>
                <w:highlight w:val="none"/>
              </w:rPr>
              <w:t>供应商具有建设行政主管部门颁发的建筑工程施工总承包三级或以上资质；有效的安全生产许可证；</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A6C5">
            <w:pPr>
              <w:spacing w:line="360" w:lineRule="auto"/>
              <w:jc w:val="center"/>
              <w:rPr>
                <w:rFonts w:hint="eastAsia" w:ascii="宋体" w:hAnsi="宋体" w:eastAsia="宋体" w:cs="宋体"/>
                <w:i w:val="0"/>
                <w:iCs w:val="0"/>
                <w:color w:val="000000"/>
                <w:sz w:val="24"/>
                <w:szCs w:val="24"/>
                <w:highlight w:val="none"/>
                <w:u w:val="none"/>
              </w:rPr>
            </w:pPr>
          </w:p>
        </w:tc>
      </w:tr>
      <w:tr w14:paraId="2D4F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37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C7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hAnsi="宋体" w:cs="宋体"/>
                <w:i w:val="0"/>
                <w:iCs w:val="0"/>
                <w:color w:val="000000"/>
                <w:kern w:val="0"/>
                <w:sz w:val="24"/>
                <w:szCs w:val="24"/>
                <w:highlight w:val="none"/>
                <w:u w:val="none"/>
                <w:lang w:val="en-US" w:eastAsia="zh-CN" w:bidi="ar"/>
              </w:rPr>
              <w:t>项目经理</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CE23DC">
            <w:pPr>
              <w:pStyle w:val="39"/>
              <w:spacing w:before="183" w:line="360" w:lineRule="auto"/>
              <w:ind w:left="116" w:right="107" w:firstLine="10"/>
              <w:jc w:val="both"/>
              <w:rPr>
                <w:rFonts w:hint="eastAsia" w:ascii="宋体" w:hAnsi="宋体" w:eastAsia="宋体" w:cs="宋体"/>
                <w:i w:val="0"/>
                <w:iCs w:val="0"/>
                <w:color w:val="000000"/>
                <w:sz w:val="24"/>
                <w:szCs w:val="24"/>
                <w:highlight w:val="none"/>
                <w:u w:val="none"/>
              </w:rPr>
            </w:pPr>
            <w:r>
              <w:rPr>
                <w:rFonts w:hint="eastAsia"/>
                <w:sz w:val="24"/>
                <w:szCs w:val="24"/>
                <w:highlight w:val="none"/>
              </w:rPr>
              <w:t>拟派项目经理须具备建设行政主管部门颁发的建筑工程专业二级注册建造师或以上执业资格以及有效的安全生产考核合格B证，在本单位注册，且未担任其他在建工程项目的项目经理（提供无在建承诺函）</w:t>
            </w:r>
            <w:r>
              <w:rPr>
                <w:rFonts w:hint="eastAsia"/>
                <w:sz w:val="24"/>
                <w:szCs w:val="24"/>
                <w:highlight w:val="none"/>
                <w:lang w:eastAsia="zh-CN"/>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7534">
            <w:pPr>
              <w:spacing w:line="360" w:lineRule="auto"/>
              <w:jc w:val="center"/>
              <w:rPr>
                <w:rFonts w:hint="eastAsia" w:ascii="宋体" w:hAnsi="宋体" w:eastAsia="宋体" w:cs="宋体"/>
                <w:i w:val="0"/>
                <w:iCs w:val="0"/>
                <w:color w:val="000000"/>
                <w:sz w:val="24"/>
                <w:szCs w:val="24"/>
                <w:highlight w:val="none"/>
                <w:u w:val="none"/>
              </w:rPr>
            </w:pPr>
          </w:p>
        </w:tc>
      </w:tr>
      <w:tr w14:paraId="5AB7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924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hAnsi="宋体" w:cs="宋体"/>
                <w:i w:val="0"/>
                <w:iCs w:val="0"/>
                <w:color w:val="000000"/>
                <w:kern w:val="0"/>
                <w:sz w:val="24"/>
                <w:szCs w:val="24"/>
                <w:highlight w:val="none"/>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9988">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hAnsi="宋体" w:cs="宋体"/>
                <w:i w:val="0"/>
                <w:iCs w:val="0"/>
                <w:color w:val="000000"/>
                <w:kern w:val="0"/>
                <w:sz w:val="24"/>
                <w:szCs w:val="24"/>
                <w:highlight w:val="none"/>
                <w:u w:val="none"/>
                <w:lang w:val="en-US" w:eastAsia="zh-CN" w:bidi="ar"/>
              </w:rPr>
              <w:t>中小企业声明函</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C89C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sz w:val="24"/>
                <w:szCs w:val="24"/>
                <w:highlight w:val="none"/>
              </w:rPr>
              <w:t>供应商须提供中小企业声明函；</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1429">
            <w:pPr>
              <w:spacing w:line="360" w:lineRule="auto"/>
              <w:jc w:val="center"/>
              <w:rPr>
                <w:rFonts w:hint="eastAsia" w:ascii="宋体" w:hAnsi="宋体" w:eastAsia="宋体" w:cs="宋体"/>
                <w:i w:val="0"/>
                <w:iCs w:val="0"/>
                <w:color w:val="000000"/>
                <w:sz w:val="24"/>
                <w:szCs w:val="24"/>
                <w:highlight w:val="none"/>
                <w:u w:val="none"/>
              </w:rPr>
            </w:pPr>
          </w:p>
        </w:tc>
      </w:tr>
      <w:tr w14:paraId="1290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FA8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hAnsi="宋体" w:cs="宋体"/>
                <w:i w:val="0"/>
                <w:iCs w:val="0"/>
                <w:color w:val="000000"/>
                <w:kern w:val="0"/>
                <w:sz w:val="24"/>
                <w:szCs w:val="24"/>
                <w:highlight w:val="none"/>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33D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hAnsi="宋体" w:cs="宋体"/>
                <w:i w:val="0"/>
                <w:iCs w:val="0"/>
                <w:color w:val="000000"/>
                <w:kern w:val="0"/>
                <w:sz w:val="24"/>
                <w:szCs w:val="24"/>
                <w:highlight w:val="none"/>
                <w:u w:val="none"/>
                <w:lang w:val="en-US" w:eastAsia="zh-CN" w:bidi="ar"/>
              </w:rPr>
              <w:t>非联合体磋商</w:t>
            </w:r>
          </w:p>
        </w:tc>
        <w:tc>
          <w:tcPr>
            <w:tcW w:w="53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85E7E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sz w:val="24"/>
                <w:szCs w:val="24"/>
                <w:highlight w:val="none"/>
              </w:rPr>
              <w:t>本项目不接受联合体磋商（需提供承诺书）。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FF3D">
            <w:pPr>
              <w:spacing w:line="360" w:lineRule="auto"/>
              <w:jc w:val="center"/>
              <w:rPr>
                <w:rFonts w:hint="eastAsia" w:ascii="宋体" w:hAnsi="宋体" w:eastAsia="宋体" w:cs="宋体"/>
                <w:i w:val="0"/>
                <w:iCs w:val="0"/>
                <w:color w:val="000000"/>
                <w:sz w:val="24"/>
                <w:szCs w:val="24"/>
                <w:highlight w:val="none"/>
                <w:u w:val="none"/>
              </w:rPr>
            </w:pPr>
          </w:p>
        </w:tc>
      </w:tr>
    </w:tbl>
    <w:p w14:paraId="686BD0AB">
      <w:pPr>
        <w:spacing w:before="195" w:line="360" w:lineRule="auto"/>
        <w:ind w:left="556"/>
        <w:outlineLvl w:val="9"/>
        <w:rPr>
          <w:rFonts w:ascii="宋体" w:hAnsi="宋体" w:eastAsia="宋体" w:cs="宋体"/>
          <w:sz w:val="24"/>
          <w:szCs w:val="24"/>
          <w:highlight w:val="none"/>
        </w:rPr>
      </w:pPr>
      <w:r>
        <w:rPr>
          <w:rFonts w:ascii="宋体" w:hAnsi="宋体" w:eastAsia="宋体" w:cs="宋体"/>
          <w:b/>
          <w:bCs/>
          <w:spacing w:val="-4"/>
          <w:sz w:val="24"/>
          <w:szCs w:val="24"/>
          <w:highlight w:val="none"/>
        </w:rPr>
        <w:t>2、符合性审查</w:t>
      </w:r>
    </w:p>
    <w:p w14:paraId="0B78852A">
      <w:pPr>
        <w:spacing w:before="123" w:line="360" w:lineRule="auto"/>
        <w:ind w:firstLine="472" w:firstLineChars="200"/>
        <w:rPr>
          <w:rFonts w:ascii="宋体" w:hAnsi="宋体" w:eastAsia="宋体" w:cs="宋体"/>
          <w:spacing w:val="-1"/>
          <w:sz w:val="24"/>
          <w:szCs w:val="24"/>
          <w:highlight w:val="none"/>
        </w:rPr>
      </w:pPr>
      <w:r>
        <w:rPr>
          <w:rFonts w:ascii="宋体" w:hAnsi="宋体" w:eastAsia="宋体" w:cs="宋体"/>
          <w:spacing w:val="-2"/>
          <w:sz w:val="24"/>
          <w:szCs w:val="24"/>
          <w:highlight w:val="none"/>
        </w:rPr>
        <w:t>符合性审查（对磋商响应文件的有效性、完整性和对竞争性磋商文件的响应程度进</w:t>
      </w:r>
      <w:r>
        <w:rPr>
          <w:rFonts w:ascii="宋体" w:hAnsi="宋体" w:eastAsia="宋体" w:cs="宋体"/>
          <w:spacing w:val="11"/>
          <w:sz w:val="24"/>
          <w:szCs w:val="24"/>
          <w:highlight w:val="none"/>
        </w:rPr>
        <w:t xml:space="preserve"> </w:t>
      </w:r>
      <w:r>
        <w:rPr>
          <w:rFonts w:ascii="宋体" w:hAnsi="宋体" w:eastAsia="宋体" w:cs="宋体"/>
          <w:spacing w:val="-2"/>
          <w:sz w:val="24"/>
          <w:szCs w:val="24"/>
          <w:highlight w:val="none"/>
        </w:rPr>
        <w:t>行审查，包括商务报价符合性和技术符合性审查。响应文件满足竞争性磋商文件的实质</w:t>
      </w:r>
      <w:r>
        <w:rPr>
          <w:rFonts w:ascii="宋体" w:hAnsi="宋体" w:eastAsia="宋体" w:cs="宋体"/>
          <w:spacing w:val="14"/>
          <w:sz w:val="24"/>
          <w:szCs w:val="24"/>
          <w:highlight w:val="none"/>
        </w:rPr>
        <w:t xml:space="preserve"> </w:t>
      </w:r>
      <w:r>
        <w:rPr>
          <w:rFonts w:ascii="宋体" w:hAnsi="宋体" w:eastAsia="宋体" w:cs="宋体"/>
          <w:spacing w:val="-1"/>
          <w:sz w:val="24"/>
          <w:szCs w:val="24"/>
          <w:highlight w:val="none"/>
        </w:rPr>
        <w:t>性要求，无显著的差异或保留）。</w:t>
      </w:r>
    </w:p>
    <w:p w14:paraId="49C602F5">
      <w:pPr>
        <w:spacing w:before="123" w:line="360" w:lineRule="auto"/>
        <w:ind w:firstLine="466" w:firstLineChars="200"/>
        <w:rPr>
          <w:rFonts w:ascii="宋体" w:hAnsi="宋体" w:eastAsia="宋体" w:cs="宋体"/>
          <w:sz w:val="24"/>
          <w:szCs w:val="24"/>
          <w:highlight w:val="none"/>
        </w:rPr>
      </w:pPr>
      <w:r>
        <w:rPr>
          <w:rFonts w:ascii="宋体" w:hAnsi="宋体" w:eastAsia="宋体" w:cs="宋体"/>
          <w:b/>
          <w:bCs/>
          <w:spacing w:val="-4"/>
          <w:sz w:val="24"/>
          <w:szCs w:val="24"/>
          <w:highlight w:val="none"/>
        </w:rPr>
        <w:t>符合性审查表</w:t>
      </w:r>
    </w:p>
    <w:p w14:paraId="5938946B">
      <w:pPr>
        <w:spacing w:line="229" w:lineRule="exact"/>
        <w:rPr>
          <w:highlight w:val="none"/>
        </w:rPr>
      </w:pPr>
    </w:p>
    <w:tbl>
      <w:tblPr>
        <w:tblStyle w:val="40"/>
        <w:tblW w:w="9179"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2727"/>
        <w:gridCol w:w="4887"/>
      </w:tblGrid>
      <w:tr w14:paraId="7A7E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565" w:type="dxa"/>
            <w:tcBorders>
              <w:top w:val="single" w:color="000000" w:sz="10" w:space="0"/>
              <w:left w:val="single" w:color="000000" w:sz="10" w:space="0"/>
            </w:tcBorders>
            <w:vAlign w:val="center"/>
          </w:tcPr>
          <w:p w14:paraId="0F52C424">
            <w:pPr>
              <w:pStyle w:val="39"/>
              <w:spacing w:before="163" w:line="360" w:lineRule="auto"/>
              <w:ind w:left="305"/>
              <w:jc w:val="center"/>
              <w:rPr>
                <w:sz w:val="24"/>
                <w:szCs w:val="24"/>
                <w:highlight w:val="none"/>
              </w:rPr>
            </w:pPr>
            <w:r>
              <w:rPr>
                <w:b/>
                <w:bCs/>
                <w:spacing w:val="-8"/>
                <w:sz w:val="24"/>
                <w:szCs w:val="24"/>
                <w:highlight w:val="none"/>
              </w:rPr>
              <w:t>审查项目</w:t>
            </w:r>
          </w:p>
        </w:tc>
        <w:tc>
          <w:tcPr>
            <w:tcW w:w="2727" w:type="dxa"/>
            <w:tcBorders>
              <w:top w:val="single" w:color="000000" w:sz="10" w:space="0"/>
            </w:tcBorders>
            <w:vAlign w:val="center"/>
          </w:tcPr>
          <w:p w14:paraId="052B5931">
            <w:pPr>
              <w:pStyle w:val="39"/>
              <w:spacing w:before="163" w:line="360" w:lineRule="auto"/>
              <w:ind w:left="720"/>
              <w:jc w:val="center"/>
              <w:rPr>
                <w:sz w:val="24"/>
                <w:szCs w:val="24"/>
                <w:highlight w:val="none"/>
              </w:rPr>
            </w:pPr>
            <w:r>
              <w:rPr>
                <w:b/>
                <w:bCs/>
                <w:spacing w:val="-8"/>
                <w:sz w:val="24"/>
                <w:szCs w:val="24"/>
                <w:highlight w:val="none"/>
              </w:rPr>
              <w:t>审查内容</w:t>
            </w:r>
          </w:p>
        </w:tc>
        <w:tc>
          <w:tcPr>
            <w:tcW w:w="4887" w:type="dxa"/>
            <w:tcBorders>
              <w:top w:val="single" w:color="000000" w:sz="10" w:space="0"/>
              <w:right w:val="single" w:color="000000" w:sz="10" w:space="0"/>
            </w:tcBorders>
            <w:vAlign w:val="center"/>
          </w:tcPr>
          <w:p w14:paraId="38BD2944">
            <w:pPr>
              <w:pStyle w:val="39"/>
              <w:spacing w:before="163" w:line="360" w:lineRule="auto"/>
              <w:jc w:val="center"/>
              <w:rPr>
                <w:sz w:val="24"/>
                <w:szCs w:val="24"/>
                <w:highlight w:val="none"/>
              </w:rPr>
            </w:pPr>
            <w:r>
              <w:rPr>
                <w:b/>
                <w:bCs/>
                <w:spacing w:val="-8"/>
                <w:sz w:val="24"/>
                <w:szCs w:val="24"/>
                <w:highlight w:val="none"/>
              </w:rPr>
              <w:t>审查要求</w:t>
            </w:r>
          </w:p>
        </w:tc>
      </w:tr>
      <w:tr w14:paraId="1B93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565" w:type="dxa"/>
            <w:vMerge w:val="restart"/>
            <w:tcBorders>
              <w:left w:val="single" w:color="000000" w:sz="10" w:space="0"/>
              <w:bottom w:val="nil"/>
            </w:tcBorders>
            <w:vAlign w:val="center"/>
          </w:tcPr>
          <w:p w14:paraId="0CBD0ABA">
            <w:pPr>
              <w:spacing w:line="360" w:lineRule="auto"/>
              <w:jc w:val="center"/>
              <w:rPr>
                <w:rFonts w:ascii="Arial"/>
                <w:sz w:val="24"/>
                <w:szCs w:val="24"/>
                <w:highlight w:val="none"/>
              </w:rPr>
            </w:pPr>
          </w:p>
          <w:p w14:paraId="6311D464">
            <w:pPr>
              <w:spacing w:line="360" w:lineRule="auto"/>
              <w:jc w:val="center"/>
              <w:rPr>
                <w:rFonts w:ascii="Arial"/>
                <w:sz w:val="24"/>
                <w:szCs w:val="24"/>
                <w:highlight w:val="none"/>
              </w:rPr>
            </w:pPr>
          </w:p>
          <w:p w14:paraId="266C3923">
            <w:pPr>
              <w:spacing w:line="360" w:lineRule="auto"/>
              <w:jc w:val="center"/>
              <w:rPr>
                <w:rFonts w:ascii="Arial"/>
                <w:sz w:val="24"/>
                <w:szCs w:val="24"/>
                <w:highlight w:val="none"/>
              </w:rPr>
            </w:pPr>
          </w:p>
          <w:p w14:paraId="006E9367">
            <w:pPr>
              <w:pStyle w:val="39"/>
              <w:spacing w:before="65" w:line="360" w:lineRule="auto"/>
              <w:ind w:left="249"/>
              <w:jc w:val="center"/>
              <w:rPr>
                <w:sz w:val="24"/>
                <w:szCs w:val="24"/>
                <w:highlight w:val="none"/>
              </w:rPr>
            </w:pPr>
            <w:r>
              <w:rPr>
                <w:spacing w:val="7"/>
                <w:sz w:val="24"/>
                <w:szCs w:val="24"/>
                <w:highlight w:val="none"/>
              </w:rPr>
              <w:t>有效性审查</w:t>
            </w:r>
          </w:p>
        </w:tc>
        <w:tc>
          <w:tcPr>
            <w:tcW w:w="2727" w:type="dxa"/>
            <w:vAlign w:val="center"/>
          </w:tcPr>
          <w:p w14:paraId="5B89B0E7">
            <w:pPr>
              <w:pStyle w:val="39"/>
              <w:spacing w:before="231" w:line="360" w:lineRule="auto"/>
              <w:jc w:val="center"/>
              <w:rPr>
                <w:sz w:val="24"/>
                <w:szCs w:val="24"/>
                <w:highlight w:val="none"/>
              </w:rPr>
            </w:pPr>
            <w:r>
              <w:rPr>
                <w:spacing w:val="7"/>
                <w:sz w:val="24"/>
                <w:szCs w:val="24"/>
                <w:highlight w:val="none"/>
              </w:rPr>
              <w:t>响应文件的签署盖章</w:t>
            </w:r>
          </w:p>
        </w:tc>
        <w:tc>
          <w:tcPr>
            <w:tcW w:w="4887" w:type="dxa"/>
            <w:tcBorders>
              <w:right w:val="single" w:color="000000" w:sz="10" w:space="0"/>
            </w:tcBorders>
            <w:vAlign w:val="center"/>
          </w:tcPr>
          <w:p w14:paraId="7733D68B">
            <w:pPr>
              <w:pStyle w:val="39"/>
              <w:spacing w:before="75" w:line="360" w:lineRule="auto"/>
              <w:ind w:left="113" w:right="285" w:firstLine="9"/>
              <w:jc w:val="center"/>
              <w:rPr>
                <w:sz w:val="24"/>
                <w:szCs w:val="24"/>
                <w:highlight w:val="none"/>
              </w:rPr>
            </w:pPr>
            <w:r>
              <w:rPr>
                <w:spacing w:val="9"/>
                <w:sz w:val="24"/>
                <w:szCs w:val="24"/>
                <w:highlight w:val="none"/>
              </w:rPr>
              <w:t>响应文件上法定代表人或其委托代理人的签字按规定</w:t>
            </w:r>
            <w:r>
              <w:rPr>
                <w:spacing w:val="2"/>
                <w:sz w:val="24"/>
                <w:szCs w:val="24"/>
                <w:highlight w:val="none"/>
              </w:rPr>
              <w:t xml:space="preserve"> </w:t>
            </w:r>
            <w:r>
              <w:rPr>
                <w:spacing w:val="8"/>
                <w:sz w:val="24"/>
                <w:szCs w:val="24"/>
                <w:highlight w:val="none"/>
              </w:rPr>
              <w:t>要求齐全，并加盖公章</w:t>
            </w:r>
          </w:p>
        </w:tc>
      </w:tr>
      <w:tr w14:paraId="556F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565" w:type="dxa"/>
            <w:vMerge w:val="continue"/>
            <w:tcBorders>
              <w:top w:val="nil"/>
              <w:left w:val="single" w:color="000000" w:sz="10" w:space="0"/>
              <w:bottom w:val="nil"/>
            </w:tcBorders>
            <w:vAlign w:val="center"/>
          </w:tcPr>
          <w:p w14:paraId="4946EBFC">
            <w:pPr>
              <w:spacing w:line="360" w:lineRule="auto"/>
              <w:jc w:val="center"/>
              <w:rPr>
                <w:rFonts w:ascii="Arial"/>
                <w:sz w:val="24"/>
                <w:szCs w:val="24"/>
                <w:highlight w:val="none"/>
              </w:rPr>
            </w:pPr>
          </w:p>
        </w:tc>
        <w:tc>
          <w:tcPr>
            <w:tcW w:w="2727" w:type="dxa"/>
            <w:vAlign w:val="center"/>
          </w:tcPr>
          <w:p w14:paraId="791399E0">
            <w:pPr>
              <w:pStyle w:val="39"/>
              <w:spacing w:before="188" w:line="360" w:lineRule="auto"/>
              <w:jc w:val="center"/>
              <w:rPr>
                <w:sz w:val="24"/>
                <w:szCs w:val="24"/>
                <w:highlight w:val="none"/>
              </w:rPr>
            </w:pPr>
            <w:r>
              <w:rPr>
                <w:spacing w:val="6"/>
                <w:sz w:val="24"/>
                <w:szCs w:val="24"/>
                <w:highlight w:val="none"/>
              </w:rPr>
              <w:t>响应文件格式</w:t>
            </w:r>
          </w:p>
        </w:tc>
        <w:tc>
          <w:tcPr>
            <w:tcW w:w="4887" w:type="dxa"/>
            <w:tcBorders>
              <w:right w:val="single" w:color="000000" w:sz="10" w:space="0"/>
            </w:tcBorders>
            <w:vAlign w:val="center"/>
          </w:tcPr>
          <w:p w14:paraId="10DE89D0">
            <w:pPr>
              <w:pStyle w:val="39"/>
              <w:spacing w:before="188" w:line="360" w:lineRule="auto"/>
              <w:ind w:left="112"/>
              <w:jc w:val="center"/>
              <w:rPr>
                <w:sz w:val="24"/>
                <w:szCs w:val="24"/>
                <w:highlight w:val="none"/>
              </w:rPr>
            </w:pPr>
            <w:r>
              <w:rPr>
                <w:spacing w:val="7"/>
                <w:sz w:val="24"/>
                <w:szCs w:val="24"/>
                <w:highlight w:val="none"/>
              </w:rPr>
              <w:t>应符合“竞争性磋商响应文件格式</w:t>
            </w:r>
            <w:r>
              <w:rPr>
                <w:spacing w:val="-58"/>
                <w:sz w:val="24"/>
                <w:szCs w:val="24"/>
                <w:highlight w:val="none"/>
              </w:rPr>
              <w:t xml:space="preserve"> </w:t>
            </w:r>
            <w:r>
              <w:rPr>
                <w:spacing w:val="7"/>
                <w:sz w:val="24"/>
                <w:szCs w:val="24"/>
                <w:highlight w:val="none"/>
              </w:rPr>
              <w:t>”要求</w:t>
            </w:r>
          </w:p>
        </w:tc>
      </w:tr>
      <w:tr w14:paraId="79C8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565" w:type="dxa"/>
            <w:vMerge w:val="continue"/>
            <w:tcBorders>
              <w:top w:val="nil"/>
              <w:left w:val="single" w:color="000000" w:sz="10" w:space="0"/>
            </w:tcBorders>
            <w:vAlign w:val="center"/>
          </w:tcPr>
          <w:p w14:paraId="69CCD177">
            <w:pPr>
              <w:spacing w:line="360" w:lineRule="auto"/>
              <w:jc w:val="center"/>
              <w:rPr>
                <w:rFonts w:ascii="Arial"/>
                <w:sz w:val="24"/>
                <w:szCs w:val="24"/>
                <w:highlight w:val="none"/>
              </w:rPr>
            </w:pPr>
          </w:p>
        </w:tc>
        <w:tc>
          <w:tcPr>
            <w:tcW w:w="2727" w:type="dxa"/>
            <w:vAlign w:val="center"/>
          </w:tcPr>
          <w:p w14:paraId="4B60ABFC">
            <w:pPr>
              <w:pStyle w:val="39"/>
              <w:spacing w:before="272" w:line="360" w:lineRule="auto"/>
              <w:jc w:val="center"/>
              <w:rPr>
                <w:sz w:val="24"/>
                <w:szCs w:val="24"/>
                <w:highlight w:val="none"/>
              </w:rPr>
            </w:pPr>
            <w:r>
              <w:rPr>
                <w:spacing w:val="8"/>
                <w:sz w:val="24"/>
                <w:szCs w:val="24"/>
                <w:highlight w:val="none"/>
              </w:rPr>
              <w:t>报价唯一</w:t>
            </w:r>
          </w:p>
        </w:tc>
        <w:tc>
          <w:tcPr>
            <w:tcW w:w="4887" w:type="dxa"/>
            <w:tcBorders>
              <w:right w:val="single" w:color="000000" w:sz="10" w:space="0"/>
            </w:tcBorders>
            <w:vAlign w:val="center"/>
          </w:tcPr>
          <w:p w14:paraId="47A95ED2">
            <w:pPr>
              <w:pStyle w:val="39"/>
              <w:spacing w:before="117" w:line="360" w:lineRule="auto"/>
              <w:ind w:left="112" w:right="98" w:firstLine="13"/>
              <w:jc w:val="center"/>
              <w:rPr>
                <w:sz w:val="24"/>
                <w:szCs w:val="24"/>
                <w:highlight w:val="none"/>
              </w:rPr>
            </w:pPr>
            <w:r>
              <w:rPr>
                <w:spacing w:val="8"/>
                <w:sz w:val="24"/>
                <w:szCs w:val="24"/>
                <w:highlight w:val="none"/>
              </w:rPr>
              <w:t>只能有一个有效报价，不得提交选择性报价，且报价不超过最高限价</w:t>
            </w:r>
          </w:p>
        </w:tc>
      </w:tr>
      <w:tr w14:paraId="26A8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565" w:type="dxa"/>
            <w:tcBorders>
              <w:left w:val="single" w:color="000000" w:sz="10" w:space="0"/>
            </w:tcBorders>
            <w:vAlign w:val="center"/>
          </w:tcPr>
          <w:p w14:paraId="3928C39E">
            <w:pPr>
              <w:pStyle w:val="39"/>
              <w:spacing w:before="65" w:line="360" w:lineRule="auto"/>
              <w:ind w:left="249"/>
              <w:jc w:val="center"/>
              <w:rPr>
                <w:sz w:val="24"/>
                <w:szCs w:val="24"/>
                <w:highlight w:val="none"/>
              </w:rPr>
            </w:pPr>
            <w:r>
              <w:rPr>
                <w:rFonts w:ascii="宋体" w:hAnsi="宋体" w:eastAsia="宋体" w:cs="宋体"/>
                <w:spacing w:val="7"/>
                <w:sz w:val="24"/>
                <w:szCs w:val="24"/>
                <w:highlight w:val="none"/>
              </w:rPr>
              <w:t>完整性审查</w:t>
            </w:r>
          </w:p>
        </w:tc>
        <w:tc>
          <w:tcPr>
            <w:tcW w:w="2727" w:type="dxa"/>
            <w:vAlign w:val="center"/>
          </w:tcPr>
          <w:p w14:paraId="5F2853D5">
            <w:pPr>
              <w:pStyle w:val="39"/>
              <w:spacing w:before="273" w:line="360" w:lineRule="auto"/>
              <w:jc w:val="center"/>
              <w:rPr>
                <w:sz w:val="24"/>
                <w:szCs w:val="24"/>
                <w:highlight w:val="none"/>
              </w:rPr>
            </w:pPr>
            <w:r>
              <w:rPr>
                <w:spacing w:val="8"/>
                <w:sz w:val="24"/>
                <w:szCs w:val="24"/>
                <w:highlight w:val="none"/>
              </w:rPr>
              <w:t>磋商响应文件内容</w:t>
            </w:r>
          </w:p>
        </w:tc>
        <w:tc>
          <w:tcPr>
            <w:tcW w:w="4887" w:type="dxa"/>
            <w:tcBorders>
              <w:right w:val="single" w:color="000000" w:sz="10" w:space="0"/>
            </w:tcBorders>
            <w:vAlign w:val="center"/>
          </w:tcPr>
          <w:p w14:paraId="029689E2">
            <w:pPr>
              <w:pStyle w:val="39"/>
              <w:spacing w:before="273" w:line="360" w:lineRule="auto"/>
              <w:ind w:left="115"/>
              <w:jc w:val="center"/>
              <w:rPr>
                <w:sz w:val="24"/>
                <w:szCs w:val="24"/>
                <w:highlight w:val="none"/>
              </w:rPr>
            </w:pPr>
            <w:r>
              <w:rPr>
                <w:spacing w:val="9"/>
                <w:sz w:val="24"/>
                <w:szCs w:val="24"/>
                <w:highlight w:val="none"/>
              </w:rPr>
              <w:t>竞争性磋商响应文件内容齐全、完整、无遗漏</w:t>
            </w:r>
          </w:p>
        </w:tc>
      </w:tr>
      <w:tr w14:paraId="3FC2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65" w:type="dxa"/>
            <w:vMerge w:val="restart"/>
            <w:tcBorders>
              <w:top w:val="nil"/>
              <w:left w:val="single" w:color="000000" w:sz="10" w:space="0"/>
            </w:tcBorders>
            <w:vAlign w:val="center"/>
          </w:tcPr>
          <w:p w14:paraId="365EF390">
            <w:pPr>
              <w:spacing w:line="360" w:lineRule="auto"/>
              <w:jc w:val="center"/>
              <w:rPr>
                <w:rFonts w:hint="default" w:ascii="Arial" w:eastAsia="宋体"/>
                <w:sz w:val="24"/>
                <w:szCs w:val="24"/>
                <w:highlight w:val="none"/>
                <w:lang w:val="en-US" w:eastAsia="zh-CN"/>
              </w:rPr>
            </w:pPr>
            <w:r>
              <w:rPr>
                <w:rFonts w:hint="eastAsia" w:ascii="Arial"/>
                <w:sz w:val="24"/>
                <w:szCs w:val="24"/>
                <w:highlight w:val="none"/>
                <w:lang w:val="en-US" w:eastAsia="zh-CN"/>
              </w:rPr>
              <w:t>响应性</w:t>
            </w:r>
          </w:p>
        </w:tc>
        <w:tc>
          <w:tcPr>
            <w:tcW w:w="2727" w:type="dxa"/>
            <w:vAlign w:val="center"/>
          </w:tcPr>
          <w:p w14:paraId="389B98BA">
            <w:pPr>
              <w:pStyle w:val="39"/>
              <w:spacing w:before="73" w:line="360" w:lineRule="auto"/>
              <w:ind w:left="457" w:right="144" w:hanging="314"/>
              <w:jc w:val="center"/>
              <w:rPr>
                <w:rFonts w:hint="eastAsia" w:eastAsia="宋体"/>
                <w:sz w:val="24"/>
                <w:szCs w:val="24"/>
                <w:highlight w:val="none"/>
                <w:lang w:eastAsia="zh-CN"/>
              </w:rPr>
            </w:pPr>
            <w:r>
              <w:rPr>
                <w:rFonts w:hint="eastAsia"/>
                <w:spacing w:val="8"/>
                <w:sz w:val="24"/>
                <w:szCs w:val="24"/>
                <w:highlight w:val="none"/>
                <w:lang w:val="en-US" w:eastAsia="zh-CN"/>
              </w:rPr>
              <w:t>工期</w:t>
            </w:r>
          </w:p>
        </w:tc>
        <w:tc>
          <w:tcPr>
            <w:tcW w:w="4887" w:type="dxa"/>
            <w:tcBorders>
              <w:right w:val="single" w:color="000000" w:sz="10" w:space="0"/>
            </w:tcBorders>
            <w:vAlign w:val="center"/>
          </w:tcPr>
          <w:p w14:paraId="4BF64F3B">
            <w:pPr>
              <w:pStyle w:val="39"/>
              <w:spacing w:before="73" w:line="360" w:lineRule="auto"/>
              <w:ind w:left="113" w:right="98" w:hanging="1"/>
              <w:jc w:val="center"/>
              <w:rPr>
                <w:rFonts w:hint="default" w:eastAsia="宋体"/>
                <w:sz w:val="24"/>
                <w:szCs w:val="24"/>
                <w:highlight w:val="none"/>
                <w:lang w:val="en-US" w:eastAsia="zh-CN"/>
              </w:rPr>
            </w:pPr>
            <w:r>
              <w:rPr>
                <w:spacing w:val="9"/>
                <w:sz w:val="24"/>
                <w:szCs w:val="24"/>
                <w:highlight w:val="none"/>
              </w:rPr>
              <w:t>应满足磋商文件</w:t>
            </w:r>
            <w:r>
              <w:rPr>
                <w:spacing w:val="8"/>
                <w:sz w:val="24"/>
                <w:szCs w:val="24"/>
                <w:highlight w:val="none"/>
              </w:rPr>
              <w:t>中的规定</w:t>
            </w:r>
          </w:p>
        </w:tc>
      </w:tr>
      <w:tr w14:paraId="21CF7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565" w:type="dxa"/>
            <w:vMerge w:val="continue"/>
            <w:tcBorders>
              <w:top w:val="nil"/>
              <w:left w:val="single" w:color="000000" w:sz="10" w:space="0"/>
              <w:bottom w:val="nil"/>
            </w:tcBorders>
            <w:vAlign w:val="center"/>
          </w:tcPr>
          <w:p w14:paraId="126B0E86">
            <w:pPr>
              <w:spacing w:line="360" w:lineRule="auto"/>
              <w:jc w:val="center"/>
              <w:rPr>
                <w:rFonts w:ascii="Arial"/>
                <w:sz w:val="24"/>
                <w:szCs w:val="24"/>
                <w:highlight w:val="none"/>
              </w:rPr>
            </w:pPr>
          </w:p>
        </w:tc>
        <w:tc>
          <w:tcPr>
            <w:tcW w:w="2727" w:type="dxa"/>
            <w:vAlign w:val="center"/>
          </w:tcPr>
          <w:p w14:paraId="3CF6A715">
            <w:pPr>
              <w:pStyle w:val="39"/>
              <w:spacing w:before="225" w:line="360" w:lineRule="auto"/>
              <w:jc w:val="center"/>
              <w:rPr>
                <w:sz w:val="24"/>
                <w:szCs w:val="24"/>
                <w:highlight w:val="none"/>
              </w:rPr>
            </w:pPr>
            <w:r>
              <w:rPr>
                <w:spacing w:val="8"/>
                <w:sz w:val="24"/>
                <w:szCs w:val="24"/>
                <w:highlight w:val="none"/>
              </w:rPr>
              <w:t>磋商有效期</w:t>
            </w:r>
          </w:p>
        </w:tc>
        <w:tc>
          <w:tcPr>
            <w:tcW w:w="4887" w:type="dxa"/>
            <w:tcBorders>
              <w:right w:val="single" w:color="000000" w:sz="10" w:space="0"/>
            </w:tcBorders>
            <w:vAlign w:val="center"/>
          </w:tcPr>
          <w:p w14:paraId="0BCB57DD">
            <w:pPr>
              <w:pStyle w:val="39"/>
              <w:spacing w:before="224" w:line="360" w:lineRule="auto"/>
              <w:ind w:left="112"/>
              <w:jc w:val="center"/>
              <w:rPr>
                <w:sz w:val="24"/>
                <w:szCs w:val="24"/>
                <w:highlight w:val="none"/>
              </w:rPr>
            </w:pPr>
            <w:r>
              <w:rPr>
                <w:spacing w:val="8"/>
                <w:sz w:val="24"/>
                <w:szCs w:val="24"/>
                <w:highlight w:val="none"/>
              </w:rPr>
              <w:t>满足磋商文件中的规定</w:t>
            </w:r>
          </w:p>
        </w:tc>
      </w:tr>
      <w:tr w14:paraId="3EC0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565" w:type="dxa"/>
            <w:vMerge w:val="continue"/>
            <w:tcBorders>
              <w:top w:val="nil"/>
              <w:left w:val="single" w:color="000000" w:sz="10" w:space="0"/>
              <w:bottom w:val="single" w:color="000000" w:sz="10" w:space="0"/>
            </w:tcBorders>
            <w:vAlign w:val="center"/>
          </w:tcPr>
          <w:p w14:paraId="31AD5B5F">
            <w:pPr>
              <w:spacing w:line="360" w:lineRule="auto"/>
              <w:jc w:val="center"/>
              <w:rPr>
                <w:rFonts w:ascii="Arial"/>
                <w:sz w:val="24"/>
                <w:szCs w:val="24"/>
                <w:highlight w:val="none"/>
              </w:rPr>
            </w:pPr>
          </w:p>
        </w:tc>
        <w:tc>
          <w:tcPr>
            <w:tcW w:w="2727" w:type="dxa"/>
            <w:tcBorders>
              <w:bottom w:val="single" w:color="000000" w:sz="10" w:space="0"/>
            </w:tcBorders>
            <w:vAlign w:val="center"/>
          </w:tcPr>
          <w:p w14:paraId="2D13B619">
            <w:pPr>
              <w:pStyle w:val="39"/>
              <w:spacing w:before="210" w:line="360" w:lineRule="auto"/>
              <w:jc w:val="center"/>
              <w:rPr>
                <w:sz w:val="24"/>
                <w:szCs w:val="24"/>
                <w:highlight w:val="none"/>
              </w:rPr>
            </w:pPr>
            <w:r>
              <w:rPr>
                <w:spacing w:val="7"/>
                <w:sz w:val="24"/>
                <w:szCs w:val="24"/>
                <w:highlight w:val="none"/>
              </w:rPr>
              <w:t>质量要求</w:t>
            </w:r>
          </w:p>
        </w:tc>
        <w:tc>
          <w:tcPr>
            <w:tcW w:w="4887" w:type="dxa"/>
            <w:tcBorders>
              <w:bottom w:val="single" w:color="000000" w:sz="10" w:space="0"/>
              <w:right w:val="single" w:color="000000" w:sz="10" w:space="0"/>
            </w:tcBorders>
            <w:vAlign w:val="center"/>
          </w:tcPr>
          <w:p w14:paraId="480BA595">
            <w:pPr>
              <w:pStyle w:val="39"/>
              <w:spacing w:before="210" w:line="360" w:lineRule="auto"/>
              <w:ind w:left="112"/>
              <w:jc w:val="center"/>
              <w:rPr>
                <w:sz w:val="24"/>
                <w:szCs w:val="24"/>
                <w:highlight w:val="none"/>
              </w:rPr>
            </w:pPr>
            <w:r>
              <w:rPr>
                <w:spacing w:val="9"/>
                <w:sz w:val="24"/>
                <w:szCs w:val="24"/>
                <w:highlight w:val="none"/>
              </w:rPr>
              <w:t>满足磋商文件中质量的要求</w:t>
            </w:r>
          </w:p>
        </w:tc>
      </w:tr>
    </w:tbl>
    <w:p w14:paraId="5C9ED332">
      <w:pPr>
        <w:spacing w:before="39" w:line="360" w:lineRule="auto"/>
        <w:ind w:left="27"/>
        <w:outlineLvl w:val="9"/>
        <w:rPr>
          <w:highlight w:val="none"/>
        </w:rPr>
      </w:pPr>
      <w:r>
        <w:rPr>
          <w:rFonts w:ascii="宋体" w:hAnsi="宋体" w:eastAsia="宋体" w:cs="宋体"/>
          <w:b/>
          <w:bCs/>
          <w:spacing w:val="-3"/>
          <w:sz w:val="24"/>
          <w:szCs w:val="24"/>
          <w:highlight w:val="none"/>
        </w:rPr>
        <w:t>以上各项若有一项不符合视为符合性审查不合格，不再进入下一评审环节。</w:t>
      </w:r>
    </w:p>
    <w:p w14:paraId="52EB0FB8">
      <w:pPr>
        <w:spacing w:before="78" w:line="360" w:lineRule="auto"/>
        <w:ind w:right="162" w:firstLine="1"/>
        <w:rPr>
          <w:rFonts w:ascii="宋体" w:hAnsi="宋体" w:eastAsia="宋体" w:cs="宋体"/>
          <w:sz w:val="24"/>
          <w:szCs w:val="24"/>
          <w:highlight w:val="none"/>
        </w:rPr>
      </w:pPr>
      <w:r>
        <w:rPr>
          <w:rFonts w:ascii="宋体" w:hAnsi="宋体" w:eastAsia="宋体" w:cs="宋体"/>
          <w:spacing w:val="2"/>
          <w:sz w:val="24"/>
          <w:szCs w:val="24"/>
          <w:highlight w:val="none"/>
        </w:rPr>
        <w:t>2、供应商进行二次报价，磋商小组根据二次</w:t>
      </w:r>
      <w:r>
        <w:rPr>
          <w:rFonts w:ascii="宋体" w:hAnsi="宋体" w:eastAsia="宋体" w:cs="宋体"/>
          <w:spacing w:val="1"/>
          <w:sz w:val="24"/>
          <w:szCs w:val="24"/>
          <w:highlight w:val="none"/>
        </w:rPr>
        <w:t>报价、承诺及响应文件进行最后的评审工</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作。</w:t>
      </w:r>
    </w:p>
    <w:p w14:paraId="149E05A7">
      <w:pPr>
        <w:spacing w:line="360" w:lineRule="auto"/>
        <w:rPr>
          <w:rFonts w:ascii="宋体" w:hAnsi="宋体" w:eastAsia="宋体" w:cs="宋体"/>
          <w:sz w:val="24"/>
          <w:szCs w:val="24"/>
          <w:highlight w:val="none"/>
        </w:rPr>
      </w:pPr>
      <w:r>
        <w:rPr>
          <w:rFonts w:ascii="宋体" w:hAnsi="宋体" w:eastAsia="宋体" w:cs="宋体"/>
          <w:b/>
          <w:bCs/>
          <w:spacing w:val="-2"/>
          <w:sz w:val="24"/>
          <w:szCs w:val="24"/>
          <w:highlight w:val="none"/>
        </w:rPr>
        <w:t>三、评审方法</w:t>
      </w:r>
      <w:r>
        <w:rPr>
          <w:rFonts w:ascii="宋体" w:hAnsi="宋体" w:eastAsia="宋体" w:cs="宋体"/>
          <w:spacing w:val="-2"/>
          <w:sz w:val="24"/>
          <w:szCs w:val="24"/>
          <w:highlight w:val="none"/>
        </w:rPr>
        <w:t>：采用综合评分法。</w:t>
      </w:r>
    </w:p>
    <w:p w14:paraId="4F1D10F6">
      <w:pPr>
        <w:spacing w:line="360" w:lineRule="auto"/>
        <w:rPr>
          <w:highlight w:val="none"/>
        </w:rPr>
      </w:pPr>
      <w:r>
        <w:rPr>
          <w:rFonts w:ascii="宋体" w:hAnsi="宋体" w:eastAsia="宋体" w:cs="宋体"/>
          <w:b/>
          <w:bCs/>
          <w:spacing w:val="-5"/>
          <w:sz w:val="24"/>
          <w:szCs w:val="24"/>
          <w:highlight w:val="none"/>
        </w:rPr>
        <w:t>四、具体评审细则</w:t>
      </w:r>
      <w:r>
        <w:rPr>
          <w:rFonts w:ascii="宋体" w:hAnsi="宋体" w:eastAsia="宋体" w:cs="宋体"/>
          <w:spacing w:val="-5"/>
          <w:sz w:val="24"/>
          <w:szCs w:val="24"/>
          <w:highlight w:val="none"/>
        </w:rPr>
        <w:t>：</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9"/>
        <w:gridCol w:w="1032"/>
        <w:gridCol w:w="4465"/>
        <w:gridCol w:w="1030"/>
        <w:gridCol w:w="1034"/>
      </w:tblGrid>
      <w:tr w14:paraId="3642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FB07F4">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评审因素</w:t>
            </w:r>
          </w:p>
        </w:tc>
        <w:tc>
          <w:tcPr>
            <w:tcW w:w="32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5C2CDB">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评审标准</w:t>
            </w:r>
          </w:p>
        </w:tc>
      </w:tr>
      <w:tr w14:paraId="5165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3FE483">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分值构成</w:t>
            </w:r>
          </w:p>
        </w:tc>
        <w:tc>
          <w:tcPr>
            <w:tcW w:w="32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DAF5D4">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详细评审70.00分</w:t>
            </w:r>
          </w:p>
        </w:tc>
      </w:tr>
      <w:tr w14:paraId="2A8F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C8A48D">
            <w:pPr>
              <w:spacing w:line="360" w:lineRule="auto"/>
              <w:jc w:val="center"/>
              <w:rPr>
                <w:rFonts w:hint="eastAsia" w:ascii="宋体" w:hAnsi="宋体" w:eastAsia="宋体" w:cs="宋体"/>
                <w:i w:val="0"/>
                <w:iCs w:val="0"/>
                <w:color w:val="000000"/>
                <w:sz w:val="24"/>
                <w:szCs w:val="24"/>
                <w:highlight w:val="none"/>
                <w:u w:val="none"/>
              </w:rPr>
            </w:pPr>
          </w:p>
        </w:tc>
        <w:tc>
          <w:tcPr>
            <w:tcW w:w="32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F6B5DB">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报价得分30.00分</w:t>
            </w:r>
          </w:p>
        </w:tc>
      </w:tr>
      <w:tr w14:paraId="7F01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4" w:type="pct"/>
            <w:tcBorders>
              <w:top w:val="single" w:color="000000" w:sz="4" w:space="0"/>
              <w:left w:val="single" w:color="000000" w:sz="4" w:space="0"/>
              <w:bottom w:val="single" w:color="000000" w:sz="4" w:space="0"/>
              <w:right w:val="single" w:color="000000" w:sz="4" w:space="0"/>
            </w:tcBorders>
            <w:shd w:val="clear" w:color="auto" w:fill="auto"/>
            <w:vAlign w:val="top"/>
          </w:tcPr>
          <w:p w14:paraId="4D342BF5">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评审因素分类</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39862606">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评审项</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66A776BD">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详细描述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36722576">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Style w:val="41"/>
                <w:rFonts w:hint="eastAsia" w:ascii="宋体" w:hAnsi="宋体" w:eastAsia="宋体" w:cs="宋体"/>
                <w:sz w:val="24"/>
                <w:szCs w:val="24"/>
                <w:highlight w:val="none"/>
                <w:lang w:val="en-US" w:eastAsia="zh-CN" w:bidi="ar"/>
              </w:rPr>
              <w:t>分值</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4E4D5E05">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0E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120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23BE64">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详细评审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32A56E8B">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施工部署</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3C2D4AA5">
            <w:pPr>
              <w:keepNext w:val="0"/>
              <w:keepLines w:val="0"/>
              <w:widowControl/>
              <w:numPr>
                <w:ilvl w:val="0"/>
                <w:numId w:val="1"/>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715FDA81">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供应商针对本项目编制完善的施工部署，内容包含：①施工目标:成本目标、工期目标、质量目标②施工准备：技术准备、材料准备③施工平面布置与安排：现场围挡及收入口管理、交通组织安排、消防及道路安排。 </w:t>
            </w:r>
          </w:p>
          <w:p w14:paraId="056B0E3A">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二、评审标准 </w:t>
            </w:r>
          </w:p>
          <w:p w14:paraId="76B1E69C">
            <w:pPr>
              <w:keepNext w:val="0"/>
              <w:keepLines w:val="0"/>
              <w:widowControl/>
              <w:numPr>
                <w:ilvl w:val="0"/>
                <w:numId w:val="2"/>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完整性：方案必须全面，对评审内容中的各项要求有详细描述； </w:t>
            </w:r>
          </w:p>
          <w:p w14:paraId="7E320704">
            <w:pPr>
              <w:keepNext w:val="0"/>
              <w:keepLines w:val="0"/>
              <w:widowControl/>
              <w:numPr>
                <w:ilvl w:val="0"/>
                <w:numId w:val="2"/>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可实施性：切合本项目实际情况，提出步骤清晰、合理的方案； </w:t>
            </w:r>
          </w:p>
          <w:p w14:paraId="718BF309">
            <w:pPr>
              <w:keepNext w:val="0"/>
              <w:keepLines w:val="0"/>
              <w:widowControl/>
              <w:numPr>
                <w:ilvl w:val="0"/>
                <w:numId w:val="2"/>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针对性：方案能够紧扣项目实际情况，内容科学合理。 </w:t>
            </w:r>
          </w:p>
          <w:p w14:paraId="5299F34E">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三、赋分标准（满分9分）</w:t>
            </w:r>
          </w:p>
          <w:p w14:paraId="5B7401F3">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①施工目标：每完全满足一个评审标准得1分，满分3分； </w:t>
            </w:r>
          </w:p>
          <w:p w14:paraId="36FCC561">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②施工准备：每完全满足一个评审标准得1分，满分3分； </w:t>
            </w:r>
          </w:p>
          <w:p w14:paraId="04FCF443">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③施工平面布置与安排：每完全满足一个评审标准得1分，满分3分。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1502A566">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9</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790D07FD">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379E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9095F9">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1E381E6B">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施工进度计划</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4CD5608B">
            <w:pPr>
              <w:keepNext w:val="0"/>
              <w:keepLines w:val="0"/>
              <w:widowControl/>
              <w:numPr>
                <w:ilvl w:val="0"/>
                <w:numId w:val="3"/>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2E8CC078">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供应商针对本项目编制完善的施工进度计划，内容包含：①施工进度计划横道图②进度计划保证措施③工期保证措施。 </w:t>
            </w:r>
          </w:p>
          <w:p w14:paraId="36815446">
            <w:pPr>
              <w:keepNext w:val="0"/>
              <w:keepLines w:val="0"/>
              <w:widowControl/>
              <w:numPr>
                <w:ilvl w:val="0"/>
                <w:numId w:val="3"/>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评审标准 </w:t>
            </w:r>
          </w:p>
          <w:p w14:paraId="647544CF">
            <w:pPr>
              <w:keepNext w:val="0"/>
              <w:keepLines w:val="0"/>
              <w:widowControl/>
              <w:numPr>
                <w:ilvl w:val="0"/>
                <w:numId w:val="4"/>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完整性：方案必须全面，对评审内容中的各项要求有详细描述； </w:t>
            </w:r>
          </w:p>
          <w:p w14:paraId="022AD992">
            <w:pPr>
              <w:keepNext w:val="0"/>
              <w:keepLines w:val="0"/>
              <w:widowControl/>
              <w:numPr>
                <w:ilvl w:val="0"/>
                <w:numId w:val="4"/>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可实施性：切合本项目实际情况，提出步骤清晰、合理的方案； </w:t>
            </w:r>
          </w:p>
          <w:p w14:paraId="21CA10CC">
            <w:pPr>
              <w:keepNext w:val="0"/>
              <w:keepLines w:val="0"/>
              <w:widowControl/>
              <w:numPr>
                <w:ilvl w:val="0"/>
                <w:numId w:val="4"/>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针对性：方案能够紧扣项目实际情况，内容科学合理。 </w:t>
            </w:r>
          </w:p>
          <w:p w14:paraId="3ECA5878">
            <w:pPr>
              <w:keepNext w:val="0"/>
              <w:keepLines w:val="0"/>
              <w:widowControl/>
              <w:numPr>
                <w:ilvl w:val="0"/>
                <w:numId w:val="3"/>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赋分标准（满分9分） </w:t>
            </w:r>
          </w:p>
          <w:p w14:paraId="566859E3">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①施工进度计划图：每完全满足一个评审标准得1分，满分3分； </w:t>
            </w:r>
          </w:p>
          <w:p w14:paraId="22AFA2EA">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②进度计划保证措施：每完全满足一个评审标准得1分，满分3分； </w:t>
            </w:r>
          </w:p>
          <w:p w14:paraId="1158519B">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③工期保证措施：每完全满足一个评审标准得1分，满分3分。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72C8ED7C">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9</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23D91831">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31BC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6E2885">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5C1A555A">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施工方案</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5C2A2D95">
            <w:pPr>
              <w:keepNext w:val="0"/>
              <w:keepLines w:val="0"/>
              <w:widowControl/>
              <w:numPr>
                <w:ilvl w:val="0"/>
                <w:numId w:val="5"/>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39C6A206">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供应商针对本项目编制完善的施工方案内容包含：①工程重难点及解决措施②工程施工方法③施工质量通病防治措施。 </w:t>
            </w:r>
          </w:p>
          <w:p w14:paraId="6F8481AC">
            <w:pPr>
              <w:keepNext w:val="0"/>
              <w:keepLines w:val="0"/>
              <w:widowControl/>
              <w:numPr>
                <w:ilvl w:val="0"/>
                <w:numId w:val="5"/>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评审标准 </w:t>
            </w:r>
          </w:p>
          <w:p w14:paraId="5898BFDA">
            <w:pPr>
              <w:keepNext w:val="0"/>
              <w:keepLines w:val="0"/>
              <w:widowControl/>
              <w:numPr>
                <w:ilvl w:val="0"/>
                <w:numId w:val="6"/>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完整性：方案必须全面，对评审内容中的各项要求有详细描述； </w:t>
            </w:r>
          </w:p>
          <w:p w14:paraId="1AD46CAE">
            <w:pPr>
              <w:keepNext w:val="0"/>
              <w:keepLines w:val="0"/>
              <w:widowControl/>
              <w:numPr>
                <w:ilvl w:val="0"/>
                <w:numId w:val="6"/>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可实施性：切合本项目实际情况，提出步骤清晰、合理的方案；</w:t>
            </w:r>
          </w:p>
          <w:p w14:paraId="2FA6029F">
            <w:pPr>
              <w:keepNext w:val="0"/>
              <w:keepLines w:val="0"/>
              <w:widowControl/>
              <w:numPr>
                <w:ilvl w:val="0"/>
                <w:numId w:val="6"/>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针对性：方案能够紧扣项目实际情况，内容科学合理。 </w:t>
            </w:r>
          </w:p>
          <w:p w14:paraId="320B2758">
            <w:pPr>
              <w:keepNext w:val="0"/>
              <w:keepLines w:val="0"/>
              <w:widowControl/>
              <w:numPr>
                <w:ilvl w:val="0"/>
                <w:numId w:val="5"/>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赋分标准（15分） </w:t>
            </w:r>
          </w:p>
          <w:p w14:paraId="1D46A8EE">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①工程重难点及解决措施：每完全满足一个评审标准得2分，满分6分； </w:t>
            </w:r>
          </w:p>
          <w:p w14:paraId="58DFF1FD">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②工程施工方法：每完全满足一个评审标准得2分，满分6分； </w:t>
            </w:r>
          </w:p>
          <w:p w14:paraId="6218AFEA">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③施工质量通病防治措施：每完全满足一个评审标准得1分，满分3分。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2A2F5583">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696AAF3A">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7CBE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5A2652">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7DE8A343">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质量保证措施</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00B7F0E1">
            <w:pPr>
              <w:keepNext w:val="0"/>
              <w:keepLines w:val="0"/>
              <w:widowControl/>
              <w:numPr>
                <w:ilvl w:val="0"/>
                <w:numId w:val="7"/>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0FBEB98C">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供应商针对本项目编制完善的质量保证措施，内容包含：①质量目标管理体系②施工质量的检验制度③确保质量的技术组织措施④施工质量控制措施。 二、评审标准 </w:t>
            </w:r>
          </w:p>
          <w:p w14:paraId="6E3F6AD3">
            <w:pPr>
              <w:keepNext w:val="0"/>
              <w:keepLines w:val="0"/>
              <w:widowControl/>
              <w:numPr>
                <w:ilvl w:val="0"/>
                <w:numId w:val="8"/>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完整性：方案必须全面，对评审内容中的各项要求有详细描述； </w:t>
            </w:r>
          </w:p>
          <w:p w14:paraId="15B300B2">
            <w:pPr>
              <w:keepNext w:val="0"/>
              <w:keepLines w:val="0"/>
              <w:widowControl/>
              <w:numPr>
                <w:ilvl w:val="0"/>
                <w:numId w:val="8"/>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可实施性：切合本项目实际情况，提出步骤清晰、合理的方案； </w:t>
            </w:r>
          </w:p>
          <w:p w14:paraId="455D1E43">
            <w:pPr>
              <w:keepNext w:val="0"/>
              <w:keepLines w:val="0"/>
              <w:widowControl/>
              <w:numPr>
                <w:ilvl w:val="0"/>
                <w:numId w:val="8"/>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针对性：方案能够紧扣项目实际情况，内容科学合理。 </w:t>
            </w:r>
          </w:p>
          <w:p w14:paraId="14851DBF">
            <w:pPr>
              <w:keepNext w:val="0"/>
              <w:keepLines w:val="0"/>
              <w:widowControl/>
              <w:numPr>
                <w:ilvl w:val="0"/>
                <w:numId w:val="7"/>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赋分标准（满分6分） </w:t>
            </w:r>
          </w:p>
          <w:p w14:paraId="4A1A832F">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①质量目标管理体系：每完全满足一个评审标准得0.5分，满分1.5分； </w:t>
            </w:r>
          </w:p>
          <w:p w14:paraId="4974609C">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②施工质量检验制度：每完全满足一个评审标准得0.5分，满分1.5分； </w:t>
            </w:r>
          </w:p>
          <w:p w14:paraId="0CE1C868">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③确保质量的技术组织措施：每完全满足一个评审标准得0.5分，满分1.5分； ④施工质量控制措施：每完全满足一个评审标准得0.5分，满分1.5分。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5756AEF6">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232419EB">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1F5B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096CE7">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371EE86E">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安全文明施工措施</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7D35C55A">
            <w:pPr>
              <w:keepNext w:val="0"/>
              <w:keepLines w:val="0"/>
              <w:widowControl/>
              <w:numPr>
                <w:ilvl w:val="0"/>
                <w:numId w:val="9"/>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12323FD6">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供应商针对本项目编制完整的安全文明施工措施，内容包含：</w:t>
            </w:r>
          </w:p>
          <w:p w14:paraId="798F9E9E">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①安全生产管理制度②安全文明施工措施③安全应急预案④安全生产教育。 二、评审标准 </w:t>
            </w:r>
          </w:p>
          <w:p w14:paraId="66CCAF8E">
            <w:pPr>
              <w:keepNext w:val="0"/>
              <w:keepLines w:val="0"/>
              <w:widowControl/>
              <w:numPr>
                <w:ilvl w:val="0"/>
                <w:numId w:val="1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完整性：方案必须全面，对评审内容中的各项要求有详细描述； </w:t>
            </w:r>
          </w:p>
          <w:p w14:paraId="7A573B09">
            <w:pPr>
              <w:keepNext w:val="0"/>
              <w:keepLines w:val="0"/>
              <w:widowControl/>
              <w:numPr>
                <w:ilvl w:val="0"/>
                <w:numId w:val="10"/>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可实施性：切合本项目实际情况，提出步骤清晰、合理的方案； </w:t>
            </w:r>
          </w:p>
          <w:p w14:paraId="1817CFBF">
            <w:pPr>
              <w:keepNext w:val="0"/>
              <w:keepLines w:val="0"/>
              <w:widowControl/>
              <w:numPr>
                <w:ilvl w:val="0"/>
                <w:numId w:val="10"/>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针对性：方案能够紧扣项目实际情况，内容科学合理。 </w:t>
            </w:r>
          </w:p>
          <w:p w14:paraId="5D7020A0">
            <w:pPr>
              <w:keepNext w:val="0"/>
              <w:keepLines w:val="0"/>
              <w:widowControl/>
              <w:numPr>
                <w:ilvl w:val="0"/>
                <w:numId w:val="9"/>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赋分标准（满分6分） </w:t>
            </w:r>
          </w:p>
          <w:p w14:paraId="41C859D6">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①安全生产管理制度：每完全满足一个评审标准得0.5分，满分1.5分； </w:t>
            </w:r>
          </w:p>
          <w:p w14:paraId="2C876DCA">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②安全文明施工措施：每完全满足一个评审标准得0.5分，满分1.5分； </w:t>
            </w:r>
          </w:p>
          <w:p w14:paraId="629B6F7A">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③安全应急预案：每完全满足一个评审标准得0.5分，满分1.5分； </w:t>
            </w:r>
          </w:p>
          <w:p w14:paraId="2CBC81AE">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④安全生产教育：每完全满足一个评审标准得0.5分，满分1.5分。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052430BC">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76C676B9">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1CEF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42C538">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B9C95E">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项目管理机构</w:t>
            </w:r>
          </w:p>
        </w:tc>
        <w:tc>
          <w:tcPr>
            <w:tcW w:w="22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79E660">
            <w:pPr>
              <w:keepNext w:val="0"/>
              <w:keepLines w:val="0"/>
              <w:widowControl/>
              <w:numPr>
                <w:ilvl w:val="0"/>
                <w:numId w:val="11"/>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1F1D4768">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供应商针对本项目编制科学的项目管理机构，内容包含：①管理机构的配备计划及管理人员证书②组织机构的岗位职责。 </w:t>
            </w:r>
          </w:p>
          <w:p w14:paraId="1DE3026C">
            <w:pPr>
              <w:keepNext w:val="0"/>
              <w:keepLines w:val="0"/>
              <w:widowControl/>
              <w:numPr>
                <w:ilvl w:val="0"/>
                <w:numId w:val="11"/>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评审标准 </w:t>
            </w:r>
          </w:p>
          <w:p w14:paraId="45D02002">
            <w:pPr>
              <w:keepNext w:val="0"/>
              <w:keepLines w:val="0"/>
              <w:widowControl/>
              <w:numPr>
                <w:ilvl w:val="0"/>
                <w:numId w:val="12"/>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完整性：方案必须全面，对评审内容中的各项要求有详细描述； </w:t>
            </w:r>
          </w:p>
          <w:p w14:paraId="27FD21D9">
            <w:pPr>
              <w:keepNext w:val="0"/>
              <w:keepLines w:val="0"/>
              <w:widowControl/>
              <w:numPr>
                <w:ilvl w:val="0"/>
                <w:numId w:val="12"/>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可实施性：切合本项目实际情况，提出步骤清晰、合理的方案； </w:t>
            </w:r>
          </w:p>
          <w:p w14:paraId="680EC5BA">
            <w:pPr>
              <w:keepNext w:val="0"/>
              <w:keepLines w:val="0"/>
              <w:widowControl/>
              <w:numPr>
                <w:ilvl w:val="0"/>
                <w:numId w:val="12"/>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针对性：方案能够紧扣项目实际情况，内容科学合理。 </w:t>
            </w:r>
          </w:p>
          <w:p w14:paraId="2CF6695A">
            <w:pPr>
              <w:keepNext w:val="0"/>
              <w:keepLines w:val="0"/>
              <w:widowControl/>
              <w:numPr>
                <w:ilvl w:val="0"/>
                <w:numId w:val="11"/>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赋分标准（满分12分） </w:t>
            </w:r>
          </w:p>
          <w:p w14:paraId="710FEF41">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①管理机构的配备计划：每完全满足一个评审标准得2分，满分6分； </w:t>
            </w:r>
          </w:p>
          <w:p w14:paraId="5199315D">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②组织机构的岗位职责：每完全满足一个评审标准得2分，满分6分。</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BC68E1">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hAnsi="宋体" w:cs="宋体"/>
                <w:i w:val="0"/>
                <w:iCs w:val="0"/>
                <w:color w:val="000000"/>
                <w:kern w:val="0"/>
                <w:sz w:val="24"/>
                <w:szCs w:val="24"/>
                <w:highlight w:val="none"/>
                <w:u w:val="none"/>
                <w:lang w:val="en-US" w:eastAsia="zh-CN" w:bidi="ar"/>
              </w:rPr>
              <w:t>.00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24A9E1">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50AF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5D91B7">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DE2945">
            <w:pPr>
              <w:spacing w:line="360" w:lineRule="auto"/>
              <w:jc w:val="center"/>
              <w:rPr>
                <w:rFonts w:hint="eastAsia" w:ascii="宋体" w:hAnsi="宋体" w:eastAsia="宋体" w:cs="宋体"/>
                <w:i w:val="0"/>
                <w:iCs w:val="0"/>
                <w:color w:val="000000"/>
                <w:sz w:val="24"/>
                <w:szCs w:val="24"/>
                <w:highlight w:val="none"/>
                <w:u w:val="none"/>
              </w:rPr>
            </w:pPr>
          </w:p>
        </w:tc>
        <w:tc>
          <w:tcPr>
            <w:tcW w:w="22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05862C">
            <w:pPr>
              <w:spacing w:line="360" w:lineRule="auto"/>
              <w:jc w:val="left"/>
              <w:rPr>
                <w:rFonts w:hint="eastAsia" w:ascii="宋体" w:hAnsi="宋体" w:eastAsia="宋体" w:cs="宋体"/>
                <w:i w:val="0"/>
                <w:iCs w:val="0"/>
                <w:color w:val="000000"/>
                <w:sz w:val="24"/>
                <w:szCs w:val="24"/>
                <w:highlight w:val="none"/>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6F8736">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A94F55">
            <w:pPr>
              <w:spacing w:line="360" w:lineRule="auto"/>
              <w:jc w:val="center"/>
              <w:rPr>
                <w:rFonts w:hint="eastAsia" w:ascii="宋体" w:hAnsi="宋体" w:eastAsia="宋体" w:cs="宋体"/>
                <w:i w:val="0"/>
                <w:iCs w:val="0"/>
                <w:color w:val="000000"/>
                <w:sz w:val="24"/>
                <w:szCs w:val="24"/>
                <w:highlight w:val="none"/>
                <w:u w:val="none"/>
              </w:rPr>
            </w:pPr>
          </w:p>
        </w:tc>
      </w:tr>
      <w:tr w14:paraId="5120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218298">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B1A001">
            <w:pPr>
              <w:spacing w:line="360" w:lineRule="auto"/>
              <w:jc w:val="center"/>
              <w:rPr>
                <w:rFonts w:hint="eastAsia" w:ascii="宋体" w:hAnsi="宋体" w:eastAsia="宋体" w:cs="宋体"/>
                <w:i w:val="0"/>
                <w:iCs w:val="0"/>
                <w:color w:val="000000"/>
                <w:sz w:val="24"/>
                <w:szCs w:val="24"/>
                <w:highlight w:val="none"/>
                <w:u w:val="none"/>
              </w:rPr>
            </w:pPr>
          </w:p>
        </w:tc>
        <w:tc>
          <w:tcPr>
            <w:tcW w:w="22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D94874">
            <w:pPr>
              <w:spacing w:line="360" w:lineRule="auto"/>
              <w:jc w:val="left"/>
              <w:rPr>
                <w:rFonts w:hint="eastAsia" w:ascii="宋体" w:hAnsi="宋体" w:eastAsia="宋体" w:cs="宋体"/>
                <w:i w:val="0"/>
                <w:iCs w:val="0"/>
                <w:color w:val="000000"/>
                <w:sz w:val="24"/>
                <w:szCs w:val="24"/>
                <w:highlight w:val="none"/>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C30610">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CCA857">
            <w:pPr>
              <w:spacing w:line="360" w:lineRule="auto"/>
              <w:jc w:val="center"/>
              <w:rPr>
                <w:rFonts w:hint="eastAsia" w:ascii="宋体" w:hAnsi="宋体" w:eastAsia="宋体" w:cs="宋体"/>
                <w:i w:val="0"/>
                <w:iCs w:val="0"/>
                <w:color w:val="000000"/>
                <w:sz w:val="24"/>
                <w:szCs w:val="24"/>
                <w:highlight w:val="none"/>
                <w:u w:val="none"/>
              </w:rPr>
            </w:pPr>
          </w:p>
        </w:tc>
      </w:tr>
      <w:tr w14:paraId="168F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914301">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78D47885">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新材料新工艺</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0559F80B">
            <w:pPr>
              <w:keepNext w:val="0"/>
              <w:keepLines w:val="0"/>
              <w:widowControl/>
              <w:numPr>
                <w:ilvl w:val="0"/>
                <w:numId w:val="13"/>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评审内容 </w:t>
            </w:r>
          </w:p>
          <w:p w14:paraId="34E3349E">
            <w:pPr>
              <w:keepNext w:val="0"/>
              <w:keepLines w:val="0"/>
              <w:widowControl/>
              <w:numPr>
                <w:ilvl w:val="0"/>
                <w:numId w:val="0"/>
              </w:numPr>
              <w:suppressLineNumbers w:val="0"/>
              <w:spacing w:line="360" w:lineRule="auto"/>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针对本项目具有①新材料②新技术和新工艺的应用情况。 </w:t>
            </w:r>
          </w:p>
          <w:p w14:paraId="177EF9B5">
            <w:pPr>
              <w:keepNext w:val="0"/>
              <w:keepLines w:val="0"/>
              <w:widowControl/>
              <w:numPr>
                <w:ilvl w:val="0"/>
                <w:numId w:val="13"/>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评审标准 1、完整性：方案必须全面，对评审内容中的各项要求有详细描述； 2、可实施性：切合本项目实际情况，提出步骤清晰、合理的方案； 3、针对性：方案能够紧扣项目实际情况，内容科学合理。 </w:t>
            </w:r>
          </w:p>
          <w:p w14:paraId="5974E5FC">
            <w:pPr>
              <w:keepNext w:val="0"/>
              <w:keepLines w:val="0"/>
              <w:widowControl/>
              <w:numPr>
                <w:ilvl w:val="0"/>
                <w:numId w:val="13"/>
              </w:numPr>
              <w:suppressLineNumbers w:val="0"/>
              <w:spacing w:line="36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赋分标准（满分3分） </w:t>
            </w:r>
          </w:p>
          <w:p w14:paraId="55FDD251">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①新材料：每完全满足一个评审标准得0.5分，满分1.5分； </w:t>
            </w:r>
          </w:p>
          <w:p w14:paraId="64B6261C">
            <w:pPr>
              <w:keepNext w:val="0"/>
              <w:keepLines w:val="0"/>
              <w:widowControl/>
              <w:numPr>
                <w:ilvl w:val="0"/>
                <w:numId w:val="0"/>
              </w:numPr>
              <w:suppressLineNumbers w:val="0"/>
              <w:spacing w:line="360" w:lineRule="auto"/>
              <w:ind w:leftChars="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②新技术和新工艺：每完全满足一个评审标准得0.5分，满分1.5分。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4FBB6997">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105D0D67">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73DD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647FF9">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09D16D5E">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施工承诺</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4CDE9F2B">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针对本项目作出合理有效的工程施工承诺（主要体现不得拖欠施工人员工资、给施工人员缴纳保险、降低工程造价等），每提供1条得2分，满分4分；不提供不得分。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2CCBEF6B">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3E45FF18">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3AC3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E8DF60">
            <w:pPr>
              <w:spacing w:line="360" w:lineRule="auto"/>
              <w:jc w:val="center"/>
              <w:rPr>
                <w:rFonts w:hint="eastAsia" w:ascii="宋体" w:hAnsi="宋体" w:eastAsia="宋体" w:cs="宋体"/>
                <w:i w:val="0"/>
                <w:iCs w:val="0"/>
                <w:color w:val="000000"/>
                <w:sz w:val="24"/>
                <w:szCs w:val="24"/>
                <w:highlight w:val="none"/>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4A93EE0D">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业绩</w:t>
            </w:r>
          </w:p>
        </w:tc>
        <w:tc>
          <w:tcPr>
            <w:tcW w:w="2241" w:type="pct"/>
            <w:tcBorders>
              <w:top w:val="single" w:color="000000" w:sz="4" w:space="0"/>
              <w:left w:val="single" w:color="000000" w:sz="4" w:space="0"/>
              <w:bottom w:val="single" w:color="000000" w:sz="4" w:space="0"/>
              <w:right w:val="single" w:color="000000" w:sz="4" w:space="0"/>
            </w:tcBorders>
            <w:shd w:val="clear" w:color="auto" w:fill="auto"/>
            <w:vAlign w:val="top"/>
          </w:tcPr>
          <w:p w14:paraId="7B481641">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供应商提供2022年1月起至今的类似业绩证明材料，时间以合同签订日期为准，（文件中附合同复印件），每提供一项上述业绩的得2分，最高得6分。不提供或缺项不得分。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top"/>
          </w:tcPr>
          <w:p w14:paraId="784E036E">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w:t>
            </w:r>
            <w:r>
              <w:rPr>
                <w:rFonts w:hint="eastAsia" w:hAnsi="宋体" w:cs="宋体"/>
                <w:i w:val="0"/>
                <w:iCs w:val="0"/>
                <w:color w:val="000000"/>
                <w:kern w:val="0"/>
                <w:sz w:val="24"/>
                <w:szCs w:val="24"/>
                <w:highlight w:val="none"/>
                <w:u w:val="none"/>
                <w:lang w:val="en-US" w:eastAsia="zh-CN" w:bidi="ar"/>
              </w:rPr>
              <w:t>.00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top"/>
          </w:tcPr>
          <w:p w14:paraId="450CB9E6">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53C2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A90E0F">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4155D5">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w:t>
            </w:r>
          </w:p>
        </w:tc>
        <w:tc>
          <w:tcPr>
            <w:tcW w:w="22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792AC3">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价格分统一采用低价优先法计算，即满足磋商文件要求且最后磋商报价最低的供应商的价格为磋商基准价，其价格分为满分。其他供应商的价格分统一按照下列公式计算： 磋商报价得分=(磋商基准价／最后磋商报价)×价格分值 计算分数时四舍五入取小数点后两位。 注：磋商小组三分之二以上人员认为某最后磋商报价有低于成本价嫌疑的，该报价为无效报价。</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B706E6">
            <w:pPr>
              <w:keepNext w:val="0"/>
              <w:keepLines w:val="0"/>
              <w:widowControl/>
              <w:suppressLineNumbers w:val="0"/>
              <w:spacing w:line="360" w:lineRule="auto"/>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30</w:t>
            </w:r>
            <w:r>
              <w:rPr>
                <w:rFonts w:hint="eastAsia" w:hAnsi="宋体" w:cs="宋体"/>
                <w:i w:val="0"/>
                <w:iCs w:val="0"/>
                <w:color w:val="000000"/>
                <w:kern w:val="0"/>
                <w:sz w:val="24"/>
                <w:szCs w:val="24"/>
                <w:highlight w:val="none"/>
                <w:u w:val="none"/>
                <w:lang w:val="en-US" w:eastAsia="zh-CN" w:bidi="ar"/>
              </w:rPr>
              <w:t>.00</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E09C5F">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highlight w:val="none"/>
                <w:u w:val="none"/>
              </w:rPr>
            </w:pPr>
          </w:p>
        </w:tc>
      </w:tr>
      <w:tr w14:paraId="3DFF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E112E2">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FB234A">
            <w:pPr>
              <w:spacing w:line="360" w:lineRule="auto"/>
              <w:jc w:val="center"/>
              <w:rPr>
                <w:rFonts w:hint="eastAsia" w:ascii="宋体" w:hAnsi="宋体" w:eastAsia="宋体" w:cs="宋体"/>
                <w:i w:val="0"/>
                <w:iCs w:val="0"/>
                <w:color w:val="000000"/>
                <w:sz w:val="24"/>
                <w:szCs w:val="24"/>
                <w:highlight w:val="none"/>
                <w:u w:val="none"/>
              </w:rPr>
            </w:pPr>
          </w:p>
        </w:tc>
        <w:tc>
          <w:tcPr>
            <w:tcW w:w="22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48318C">
            <w:pPr>
              <w:spacing w:line="360" w:lineRule="auto"/>
              <w:jc w:val="left"/>
              <w:rPr>
                <w:rFonts w:hint="eastAsia" w:ascii="宋体" w:hAnsi="宋体" w:eastAsia="宋体" w:cs="宋体"/>
                <w:i w:val="0"/>
                <w:iCs w:val="0"/>
                <w:color w:val="000000"/>
                <w:sz w:val="24"/>
                <w:szCs w:val="24"/>
                <w:highlight w:val="none"/>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B097AC">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EF6F0E">
            <w:pPr>
              <w:spacing w:line="360" w:lineRule="auto"/>
              <w:jc w:val="center"/>
              <w:rPr>
                <w:rFonts w:hint="eastAsia" w:ascii="宋体" w:hAnsi="宋体" w:eastAsia="宋体" w:cs="宋体"/>
                <w:i w:val="0"/>
                <w:iCs w:val="0"/>
                <w:color w:val="000000"/>
                <w:sz w:val="24"/>
                <w:szCs w:val="24"/>
                <w:highlight w:val="none"/>
                <w:u w:val="none"/>
              </w:rPr>
            </w:pPr>
          </w:p>
        </w:tc>
      </w:tr>
      <w:tr w14:paraId="43FE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0C792E">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7CD1A0">
            <w:pPr>
              <w:spacing w:line="360" w:lineRule="auto"/>
              <w:jc w:val="center"/>
              <w:rPr>
                <w:rFonts w:hint="eastAsia" w:ascii="宋体" w:hAnsi="宋体" w:eastAsia="宋体" w:cs="宋体"/>
                <w:i w:val="0"/>
                <w:iCs w:val="0"/>
                <w:color w:val="000000"/>
                <w:sz w:val="24"/>
                <w:szCs w:val="24"/>
                <w:highlight w:val="none"/>
                <w:u w:val="none"/>
              </w:rPr>
            </w:pPr>
          </w:p>
        </w:tc>
        <w:tc>
          <w:tcPr>
            <w:tcW w:w="22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1316B8">
            <w:pPr>
              <w:spacing w:line="360" w:lineRule="auto"/>
              <w:jc w:val="left"/>
              <w:rPr>
                <w:rFonts w:hint="eastAsia" w:ascii="宋体" w:hAnsi="宋体" w:eastAsia="宋体" w:cs="宋体"/>
                <w:i w:val="0"/>
                <w:iCs w:val="0"/>
                <w:color w:val="000000"/>
                <w:sz w:val="24"/>
                <w:szCs w:val="24"/>
                <w:highlight w:val="none"/>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7356EE">
            <w:pPr>
              <w:spacing w:line="360" w:lineRule="auto"/>
              <w:jc w:val="center"/>
              <w:rPr>
                <w:rFonts w:hint="eastAsia" w:ascii="宋体" w:hAnsi="宋体" w:eastAsia="宋体" w:cs="宋体"/>
                <w:i w:val="0"/>
                <w:iCs w:val="0"/>
                <w:color w:val="000000"/>
                <w:sz w:val="24"/>
                <w:szCs w:val="24"/>
                <w:highlight w:val="none"/>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13EA0D">
            <w:pPr>
              <w:spacing w:line="360" w:lineRule="auto"/>
              <w:jc w:val="center"/>
              <w:rPr>
                <w:rFonts w:hint="eastAsia" w:ascii="宋体" w:hAnsi="宋体" w:eastAsia="宋体" w:cs="宋体"/>
                <w:i w:val="0"/>
                <w:iCs w:val="0"/>
                <w:color w:val="000000"/>
                <w:sz w:val="24"/>
                <w:szCs w:val="24"/>
                <w:highlight w:val="none"/>
                <w:u w:val="none"/>
              </w:rPr>
            </w:pPr>
          </w:p>
        </w:tc>
      </w:tr>
    </w:tbl>
    <w:p w14:paraId="10B68E73">
      <w:pPr>
        <w:spacing w:line="91" w:lineRule="auto"/>
        <w:rPr>
          <w:rFonts w:ascii="Arial"/>
          <w:sz w:val="2"/>
          <w:highlight w:val="none"/>
        </w:rPr>
      </w:pPr>
    </w:p>
    <w:p w14:paraId="036B8033">
      <w:pPr>
        <w:spacing w:before="196" w:line="384" w:lineRule="auto"/>
        <w:ind w:left="44" w:right="71" w:firstLine="479"/>
        <w:rPr>
          <w:rFonts w:ascii="宋体" w:hAnsi="宋体" w:eastAsia="宋体" w:cs="宋体"/>
          <w:sz w:val="24"/>
          <w:szCs w:val="24"/>
          <w:highlight w:val="none"/>
        </w:rPr>
      </w:pPr>
      <w:r>
        <w:rPr>
          <w:rFonts w:ascii="宋体" w:hAnsi="宋体" w:eastAsia="宋体" w:cs="宋体"/>
          <w:spacing w:val="-2"/>
          <w:sz w:val="24"/>
          <w:szCs w:val="24"/>
          <w:highlight w:val="none"/>
        </w:rPr>
        <w:t>供应商的竞争性磋商响应文件中须提供与以上评分因素相关的证明材料。如果发现</w:t>
      </w:r>
      <w:r>
        <w:rPr>
          <w:rFonts w:ascii="宋体" w:hAnsi="宋体" w:eastAsia="宋体" w:cs="宋体"/>
          <w:spacing w:val="13"/>
          <w:sz w:val="24"/>
          <w:szCs w:val="24"/>
          <w:highlight w:val="none"/>
        </w:rPr>
        <w:t xml:space="preserve"> </w:t>
      </w:r>
      <w:r>
        <w:rPr>
          <w:rFonts w:ascii="宋体" w:hAnsi="宋体" w:eastAsia="宋体" w:cs="宋体"/>
          <w:spacing w:val="-1"/>
          <w:sz w:val="24"/>
          <w:szCs w:val="24"/>
          <w:highlight w:val="none"/>
        </w:rPr>
        <w:t>有弄虚作假的，磋商小组将取消其投标资格。</w:t>
      </w:r>
    </w:p>
    <w:p w14:paraId="5A6222C6">
      <w:pPr>
        <w:spacing w:line="220" w:lineRule="auto"/>
        <w:ind w:left="527"/>
        <w:rPr>
          <w:rFonts w:ascii="宋体" w:hAnsi="宋体" w:eastAsia="宋体" w:cs="宋体"/>
          <w:sz w:val="24"/>
          <w:szCs w:val="24"/>
          <w:highlight w:val="none"/>
        </w:rPr>
      </w:pPr>
      <w:r>
        <w:rPr>
          <w:rFonts w:ascii="宋体" w:hAnsi="宋体" w:eastAsia="宋体" w:cs="宋体"/>
          <w:b/>
          <w:bCs/>
          <w:spacing w:val="-6"/>
          <w:sz w:val="24"/>
          <w:szCs w:val="24"/>
          <w:highlight w:val="none"/>
        </w:rPr>
        <w:t>五、定标</w:t>
      </w:r>
    </w:p>
    <w:p w14:paraId="40F859CC">
      <w:pPr>
        <w:spacing w:before="215" w:line="220" w:lineRule="auto"/>
        <w:ind w:left="527"/>
        <w:rPr>
          <w:rFonts w:ascii="宋体" w:hAnsi="宋体" w:eastAsia="宋体" w:cs="宋体"/>
          <w:sz w:val="24"/>
          <w:szCs w:val="24"/>
          <w:highlight w:val="none"/>
        </w:rPr>
      </w:pPr>
      <w:r>
        <w:rPr>
          <w:rFonts w:ascii="宋体" w:hAnsi="宋体" w:eastAsia="宋体" w:cs="宋体"/>
          <w:spacing w:val="-2"/>
          <w:sz w:val="24"/>
          <w:szCs w:val="24"/>
          <w:highlight w:val="none"/>
        </w:rPr>
        <w:t>5.1、定标程序</w:t>
      </w:r>
    </w:p>
    <w:p w14:paraId="0BF5506C">
      <w:pPr>
        <w:spacing w:before="214" w:line="329" w:lineRule="auto"/>
        <w:ind w:left="42" w:right="71" w:firstLine="492"/>
        <w:rPr>
          <w:rFonts w:ascii="宋体" w:hAnsi="宋体" w:eastAsia="宋体" w:cs="宋体"/>
          <w:sz w:val="24"/>
          <w:szCs w:val="24"/>
          <w:highlight w:val="none"/>
        </w:rPr>
      </w:pPr>
      <w:r>
        <w:rPr>
          <w:rFonts w:ascii="宋体" w:hAnsi="宋体" w:eastAsia="宋体" w:cs="宋体"/>
          <w:spacing w:val="1"/>
          <w:sz w:val="24"/>
          <w:szCs w:val="24"/>
          <w:highlight w:val="none"/>
        </w:rPr>
        <w:t>（1）磋商小组依据磋商文件的要求，对供应商进行认真评审。经过评审、澄清、</w:t>
      </w:r>
      <w:r>
        <w:rPr>
          <w:rFonts w:ascii="宋体" w:hAnsi="宋体" w:eastAsia="宋体" w:cs="宋体"/>
          <w:spacing w:val="14"/>
          <w:sz w:val="24"/>
          <w:szCs w:val="24"/>
          <w:highlight w:val="none"/>
        </w:rPr>
        <w:t xml:space="preserve"> </w:t>
      </w:r>
      <w:r>
        <w:rPr>
          <w:rFonts w:ascii="宋体" w:hAnsi="宋体" w:eastAsia="宋体" w:cs="宋体"/>
          <w:spacing w:val="-2"/>
          <w:sz w:val="24"/>
          <w:szCs w:val="24"/>
          <w:highlight w:val="none"/>
        </w:rPr>
        <w:t>磋商、最后报价等程序后，从响应文件满足磋商文件全部实质性要求的供应商中，按照</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评审得分由高到低的顺序推荐</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3</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名以上成交候选人，并编写</w:t>
      </w:r>
      <w:r>
        <w:rPr>
          <w:rFonts w:ascii="宋体" w:hAnsi="宋体" w:eastAsia="宋体" w:cs="宋体"/>
          <w:spacing w:val="-2"/>
          <w:sz w:val="24"/>
          <w:szCs w:val="24"/>
          <w:highlight w:val="none"/>
        </w:rPr>
        <w:t>评审报告。</w:t>
      </w:r>
    </w:p>
    <w:p w14:paraId="571E4FE6">
      <w:pPr>
        <w:spacing w:before="215" w:line="301" w:lineRule="auto"/>
        <w:ind w:left="47" w:right="72" w:firstLine="486"/>
        <w:rPr>
          <w:rFonts w:ascii="宋体" w:hAnsi="宋体" w:eastAsia="宋体" w:cs="宋体"/>
          <w:sz w:val="24"/>
          <w:szCs w:val="24"/>
          <w:highlight w:val="none"/>
        </w:rPr>
      </w:pPr>
      <w:r>
        <w:rPr>
          <w:rFonts w:ascii="宋体" w:hAnsi="宋体" w:eastAsia="宋体" w:cs="宋体"/>
          <w:spacing w:val="1"/>
          <w:sz w:val="24"/>
          <w:szCs w:val="24"/>
          <w:highlight w:val="none"/>
        </w:rPr>
        <w:t>（2）磋商小组成员应当在评审报告上签字，对自己的评审意见承担法律责任。磋</w:t>
      </w:r>
      <w:r>
        <w:rPr>
          <w:rFonts w:ascii="宋体" w:hAnsi="宋体" w:eastAsia="宋体" w:cs="宋体"/>
          <w:spacing w:val="-2"/>
          <w:sz w:val="24"/>
          <w:szCs w:val="24"/>
          <w:highlight w:val="none"/>
        </w:rPr>
        <w:t>商小组成员对评审报告有异议的，磋商小组按照少数服从多数的原则推荐成交候选人，</w:t>
      </w:r>
    </w:p>
    <w:p w14:paraId="41DB892C">
      <w:pPr>
        <w:spacing w:before="204" w:line="384" w:lineRule="auto"/>
        <w:ind w:left="3" w:right="2" w:hanging="2"/>
        <w:rPr>
          <w:rFonts w:ascii="宋体" w:hAnsi="宋体" w:eastAsia="宋体" w:cs="宋体"/>
          <w:sz w:val="24"/>
          <w:szCs w:val="24"/>
          <w:highlight w:val="none"/>
        </w:rPr>
      </w:pPr>
      <w:r>
        <w:rPr>
          <w:rFonts w:ascii="宋体" w:hAnsi="宋体" w:eastAsia="宋体" w:cs="宋体"/>
          <w:spacing w:val="-2"/>
          <w:sz w:val="24"/>
          <w:szCs w:val="24"/>
          <w:highlight w:val="none"/>
        </w:rPr>
        <w:t>招标程序继续进行。对评审报告有异议的磋商小组成员，应当在评审报告上签署不同意</w:t>
      </w:r>
      <w:r>
        <w:rPr>
          <w:rFonts w:ascii="宋体" w:hAnsi="宋体" w:eastAsia="宋体" w:cs="宋体"/>
          <w:spacing w:val="-1"/>
          <w:sz w:val="24"/>
          <w:szCs w:val="24"/>
          <w:highlight w:val="none"/>
        </w:rPr>
        <w:t>见并说明理由，否则视为同意评审报告。</w:t>
      </w:r>
    </w:p>
    <w:p w14:paraId="674D42A0">
      <w:pPr>
        <w:spacing w:before="4" w:line="351" w:lineRule="auto"/>
        <w:ind w:right="2" w:firstLine="492"/>
        <w:rPr>
          <w:rFonts w:ascii="宋体" w:hAnsi="宋体" w:eastAsia="宋体" w:cs="宋体"/>
          <w:sz w:val="24"/>
          <w:szCs w:val="24"/>
          <w:highlight w:val="none"/>
        </w:rPr>
      </w:pPr>
      <w:r>
        <w:rPr>
          <w:rFonts w:ascii="宋体" w:hAnsi="宋体" w:eastAsia="宋体" w:cs="宋体"/>
          <w:spacing w:val="1"/>
          <w:sz w:val="24"/>
          <w:szCs w:val="24"/>
          <w:highlight w:val="none"/>
        </w:rPr>
        <w:t>（3）采购代理机构应当自评审结束之日起</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个工作日内将</w:t>
      </w:r>
      <w:r>
        <w:rPr>
          <w:rFonts w:ascii="宋体" w:hAnsi="宋体" w:eastAsia="宋体" w:cs="宋体"/>
          <w:sz w:val="24"/>
          <w:szCs w:val="24"/>
          <w:highlight w:val="none"/>
        </w:rPr>
        <w:t xml:space="preserve">评审报告送交采购人。 </w:t>
      </w:r>
      <w:r>
        <w:rPr>
          <w:rFonts w:ascii="宋体" w:hAnsi="宋体" w:eastAsia="宋体" w:cs="宋体"/>
          <w:spacing w:val="-2"/>
          <w:sz w:val="24"/>
          <w:szCs w:val="24"/>
          <w:highlight w:val="none"/>
        </w:rPr>
        <w:t>采购人在收到评审报告</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5</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个工作日内，根据磋商小组提交的评审报告和推荐</w:t>
      </w:r>
      <w:r>
        <w:rPr>
          <w:rFonts w:ascii="宋体" w:hAnsi="宋体" w:eastAsia="宋体" w:cs="宋体"/>
          <w:spacing w:val="-3"/>
          <w:sz w:val="24"/>
          <w:szCs w:val="24"/>
          <w:highlight w:val="none"/>
        </w:rPr>
        <w:t>的成交候选</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人，按照排序由高到低的原则确定成交供应商。确定结果后，采购人向采购代理机构出</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具《成交复函》。采购人逾期未确定成交供应商且不提出异议的，视为确定评审报告推</w:t>
      </w:r>
      <w:r>
        <w:rPr>
          <w:rFonts w:ascii="宋体" w:hAnsi="宋体" w:eastAsia="宋体" w:cs="宋体"/>
          <w:spacing w:val="-1"/>
          <w:sz w:val="24"/>
          <w:szCs w:val="24"/>
          <w:highlight w:val="none"/>
        </w:rPr>
        <w:t>荐的排名第一的供应商为成交供应商。</w:t>
      </w:r>
    </w:p>
    <w:p w14:paraId="30A901F5">
      <w:pPr>
        <w:spacing w:before="214" w:line="301" w:lineRule="auto"/>
        <w:ind w:firstLine="492"/>
        <w:rPr>
          <w:rFonts w:ascii="宋体" w:hAnsi="宋体" w:eastAsia="宋体" w:cs="宋体"/>
          <w:sz w:val="24"/>
          <w:szCs w:val="24"/>
          <w:highlight w:val="none"/>
        </w:rPr>
      </w:pPr>
      <w:r>
        <w:rPr>
          <w:rFonts w:ascii="宋体" w:hAnsi="宋体" w:eastAsia="宋体" w:cs="宋体"/>
          <w:spacing w:val="1"/>
          <w:sz w:val="24"/>
          <w:szCs w:val="24"/>
          <w:highlight w:val="none"/>
        </w:rPr>
        <w:t>（4）采购代理机构接到采购人的《成交复函》后，在</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48"/>
          <w:sz w:val="24"/>
          <w:szCs w:val="24"/>
          <w:highlight w:val="none"/>
        </w:rPr>
        <w:t xml:space="preserve"> </w:t>
      </w:r>
      <w:r>
        <w:rPr>
          <w:rFonts w:ascii="宋体" w:hAnsi="宋体" w:eastAsia="宋体" w:cs="宋体"/>
          <w:spacing w:val="1"/>
          <w:sz w:val="24"/>
          <w:szCs w:val="24"/>
          <w:highlight w:val="none"/>
        </w:rPr>
        <w:t>个</w:t>
      </w:r>
      <w:r>
        <w:rPr>
          <w:rFonts w:ascii="宋体" w:hAnsi="宋体" w:eastAsia="宋体" w:cs="宋体"/>
          <w:sz w:val="24"/>
          <w:szCs w:val="24"/>
          <w:highlight w:val="none"/>
        </w:rPr>
        <w:t>工作日内，将成交结果</w:t>
      </w:r>
      <w:r>
        <w:rPr>
          <w:rFonts w:ascii="宋体" w:hAnsi="宋体" w:eastAsia="宋体" w:cs="宋体"/>
          <w:spacing w:val="-1"/>
          <w:sz w:val="24"/>
          <w:szCs w:val="24"/>
          <w:highlight w:val="none"/>
        </w:rPr>
        <w:t>在陕西省政府采购网及陕西省公共资源交易中心网发布公告，公</w:t>
      </w:r>
      <w:r>
        <w:rPr>
          <w:rFonts w:ascii="宋体" w:hAnsi="宋体" w:eastAsia="宋体" w:cs="宋体"/>
          <w:spacing w:val="-2"/>
          <w:sz w:val="24"/>
          <w:szCs w:val="24"/>
          <w:highlight w:val="none"/>
        </w:rPr>
        <w:t>告发布</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个工作日。</w:t>
      </w:r>
    </w:p>
    <w:p w14:paraId="057B2FE5">
      <w:pPr>
        <w:spacing w:before="218" w:line="384" w:lineRule="auto"/>
        <w:ind w:left="5" w:right="2" w:firstLine="480"/>
        <w:rPr>
          <w:rFonts w:ascii="宋体" w:hAnsi="宋体" w:eastAsia="宋体" w:cs="宋体"/>
          <w:sz w:val="24"/>
          <w:szCs w:val="24"/>
          <w:highlight w:val="none"/>
        </w:rPr>
      </w:pPr>
      <w:r>
        <w:rPr>
          <w:rFonts w:ascii="宋体" w:hAnsi="宋体" w:eastAsia="宋体" w:cs="宋体"/>
          <w:spacing w:val="2"/>
          <w:sz w:val="24"/>
          <w:szCs w:val="24"/>
          <w:highlight w:val="none"/>
        </w:rPr>
        <w:t>5.2、成交供应商确定后，采购人和采购</w:t>
      </w:r>
      <w:r>
        <w:rPr>
          <w:rFonts w:ascii="宋体" w:hAnsi="宋体" w:eastAsia="宋体" w:cs="宋体"/>
          <w:spacing w:val="1"/>
          <w:sz w:val="24"/>
          <w:szCs w:val="24"/>
          <w:highlight w:val="none"/>
        </w:rPr>
        <w:t>代理机构对未成交原因不作任何解释，竞</w:t>
      </w:r>
      <w:r>
        <w:rPr>
          <w:rFonts w:ascii="宋体" w:hAnsi="宋体" w:eastAsia="宋体" w:cs="宋体"/>
          <w:spacing w:val="-2"/>
          <w:sz w:val="24"/>
          <w:szCs w:val="24"/>
          <w:highlight w:val="none"/>
        </w:rPr>
        <w:t>争性磋商响应文件不予退还。</w:t>
      </w:r>
    </w:p>
    <w:p w14:paraId="377DD18D">
      <w:pPr>
        <w:spacing w:line="220" w:lineRule="auto"/>
        <w:ind w:left="482"/>
        <w:rPr>
          <w:rFonts w:ascii="宋体" w:hAnsi="宋体" w:eastAsia="宋体" w:cs="宋体"/>
          <w:sz w:val="24"/>
          <w:szCs w:val="24"/>
          <w:highlight w:val="none"/>
        </w:rPr>
      </w:pPr>
      <w:r>
        <w:rPr>
          <w:rFonts w:ascii="宋体" w:hAnsi="宋体" w:eastAsia="宋体" w:cs="宋体"/>
          <w:b/>
          <w:bCs/>
          <w:spacing w:val="-3"/>
          <w:sz w:val="24"/>
          <w:szCs w:val="24"/>
          <w:highlight w:val="none"/>
        </w:rPr>
        <w:t>六、磋商无效的情形</w:t>
      </w:r>
    </w:p>
    <w:p w14:paraId="650512F8">
      <w:pPr>
        <w:spacing w:before="215"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6.1、未按照磋商文件的规定提交磋商保证金的；</w:t>
      </w:r>
    </w:p>
    <w:p w14:paraId="4638ECF3">
      <w:pPr>
        <w:spacing w:before="214"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6.2、磋商响应文件未按磋商文件要求签署、盖章的；</w:t>
      </w:r>
    </w:p>
    <w:p w14:paraId="2EB26BBF">
      <w:pPr>
        <w:spacing w:before="215"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6.3、不具备磋商文件中规定的资格要求的；</w:t>
      </w:r>
    </w:p>
    <w:p w14:paraId="67EDCC83">
      <w:pPr>
        <w:spacing w:before="216"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6.4、磋商响应文件含有采购人不能接受的附加条件的；</w:t>
      </w:r>
    </w:p>
    <w:p w14:paraId="53EA8AD2">
      <w:pPr>
        <w:spacing w:before="215"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6.5、提供虚假材料谋取成交的；</w:t>
      </w:r>
    </w:p>
    <w:p w14:paraId="0A4E663C">
      <w:pPr>
        <w:spacing w:before="214"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6.6、采取不正当手段诋毁、排挤其他供应商的；</w:t>
      </w:r>
    </w:p>
    <w:p w14:paraId="731754E1">
      <w:pPr>
        <w:spacing w:before="218"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6.7、法律、法规和磋商文件规定的其他无效情形。</w:t>
      </w:r>
    </w:p>
    <w:p w14:paraId="6806326F">
      <w:pPr>
        <w:spacing w:before="214" w:line="219" w:lineRule="auto"/>
        <w:ind w:left="480"/>
        <w:rPr>
          <w:rFonts w:ascii="宋体" w:hAnsi="宋体" w:eastAsia="宋体" w:cs="宋体"/>
          <w:sz w:val="24"/>
          <w:szCs w:val="24"/>
          <w:highlight w:val="none"/>
        </w:rPr>
      </w:pPr>
      <w:r>
        <w:rPr>
          <w:rFonts w:ascii="宋体" w:hAnsi="宋体" w:eastAsia="宋体" w:cs="宋体"/>
          <w:b/>
          <w:bCs/>
          <w:spacing w:val="-3"/>
          <w:sz w:val="24"/>
          <w:szCs w:val="24"/>
          <w:highlight w:val="none"/>
        </w:rPr>
        <w:t>七、成交通知书</w:t>
      </w:r>
    </w:p>
    <w:p w14:paraId="335C27E2">
      <w:pPr>
        <w:spacing w:before="215" w:line="343" w:lineRule="auto"/>
        <w:ind w:right="2" w:firstLine="486"/>
        <w:rPr>
          <w:rFonts w:ascii="宋体" w:hAnsi="宋体" w:eastAsia="宋体" w:cs="宋体"/>
          <w:sz w:val="24"/>
          <w:szCs w:val="24"/>
          <w:highlight w:val="none"/>
        </w:rPr>
      </w:pPr>
      <w:r>
        <w:rPr>
          <w:rFonts w:ascii="宋体" w:hAnsi="宋体" w:eastAsia="宋体" w:cs="宋体"/>
          <w:spacing w:val="1"/>
          <w:sz w:val="24"/>
          <w:szCs w:val="24"/>
          <w:highlight w:val="none"/>
        </w:rPr>
        <w:t>7.1、成交通知书将在成交公告发布的同时由采购代理机构向成交供应商发出，成</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交供应商应在接到采购代理机构通知之日起七日内领取成交通知书。未在规定时间内领</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取成交通知书的，磋商保证金不予退还。提供磋商担保的供应商将由专业担保机构先行</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偿付采购人损失。</w:t>
      </w:r>
    </w:p>
    <w:p w14:paraId="70CF26DA">
      <w:pPr>
        <w:spacing w:before="217" w:line="302" w:lineRule="auto"/>
        <w:ind w:left="4" w:firstLine="481"/>
        <w:rPr>
          <w:rFonts w:ascii="宋体" w:hAnsi="宋体" w:eastAsia="宋体" w:cs="宋体"/>
          <w:sz w:val="24"/>
          <w:szCs w:val="24"/>
          <w:highlight w:val="none"/>
        </w:rPr>
      </w:pPr>
      <w:r>
        <w:rPr>
          <w:rFonts w:ascii="宋体" w:hAnsi="宋体" w:eastAsia="宋体" w:cs="宋体"/>
          <w:spacing w:val="2"/>
          <w:sz w:val="24"/>
          <w:szCs w:val="24"/>
          <w:highlight w:val="none"/>
        </w:rPr>
        <w:t>7.2、成交通知书发出后，采购人不得违法改</w:t>
      </w:r>
      <w:r>
        <w:rPr>
          <w:rFonts w:ascii="宋体" w:hAnsi="宋体" w:eastAsia="宋体" w:cs="宋体"/>
          <w:spacing w:val="1"/>
          <w:sz w:val="24"/>
          <w:szCs w:val="24"/>
          <w:highlight w:val="none"/>
        </w:rPr>
        <w:t>变成交结果，成交供应商无正当理由</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不得放弃成交。</w:t>
      </w:r>
    </w:p>
    <w:p w14:paraId="2BCC7EC5">
      <w:pPr>
        <w:spacing w:before="214" w:line="220" w:lineRule="auto"/>
        <w:ind w:left="484"/>
        <w:outlineLvl w:val="9"/>
        <w:rPr>
          <w:rFonts w:ascii="宋体" w:hAnsi="宋体" w:eastAsia="宋体" w:cs="宋体"/>
          <w:sz w:val="24"/>
          <w:szCs w:val="24"/>
          <w:highlight w:val="none"/>
        </w:rPr>
      </w:pPr>
      <w:r>
        <w:rPr>
          <w:rFonts w:ascii="宋体" w:hAnsi="宋体" w:eastAsia="宋体" w:cs="宋体"/>
          <w:b/>
          <w:bCs/>
          <w:spacing w:val="-4"/>
          <w:sz w:val="24"/>
          <w:szCs w:val="24"/>
          <w:highlight w:val="none"/>
        </w:rPr>
        <w:t>八、签订合同</w:t>
      </w:r>
    </w:p>
    <w:p w14:paraId="5F585BBE">
      <w:pPr>
        <w:spacing w:before="205" w:line="343" w:lineRule="auto"/>
        <w:ind w:right="80" w:firstLine="481"/>
        <w:rPr>
          <w:rFonts w:ascii="宋体" w:hAnsi="宋体" w:eastAsia="宋体" w:cs="宋体"/>
          <w:sz w:val="24"/>
          <w:szCs w:val="24"/>
          <w:highlight w:val="none"/>
        </w:rPr>
      </w:pPr>
      <w:r>
        <w:rPr>
          <w:rFonts w:ascii="宋体" w:hAnsi="宋体" w:eastAsia="宋体" w:cs="宋体"/>
          <w:spacing w:val="2"/>
          <w:sz w:val="24"/>
          <w:szCs w:val="24"/>
          <w:highlight w:val="none"/>
        </w:rPr>
        <w:t>8.1、成交供应商在收到成交通知书后</w:t>
      </w:r>
      <w:r>
        <w:rPr>
          <w:rFonts w:hint="eastAsia" w:hAnsi="宋体" w:cs="宋体"/>
          <w:spacing w:val="2"/>
          <w:sz w:val="24"/>
          <w:szCs w:val="24"/>
          <w:highlight w:val="none"/>
          <w:lang w:val="en-US" w:eastAsia="zh-CN"/>
        </w:rPr>
        <w:t>三十</w:t>
      </w:r>
      <w:r>
        <w:rPr>
          <w:rFonts w:ascii="宋体" w:hAnsi="宋体" w:eastAsia="宋体" w:cs="宋体"/>
          <w:spacing w:val="1"/>
          <w:sz w:val="24"/>
          <w:szCs w:val="24"/>
          <w:highlight w:val="none"/>
        </w:rPr>
        <w:t>个日历日内，应按竞争性磋商文</w:t>
      </w:r>
      <w:r>
        <w:rPr>
          <w:rFonts w:ascii="宋体" w:hAnsi="宋体" w:eastAsia="宋体" w:cs="宋体"/>
          <w:spacing w:val="-2"/>
          <w:sz w:val="24"/>
          <w:szCs w:val="24"/>
          <w:highlight w:val="none"/>
        </w:rPr>
        <w:t>件的要求与采购人签订合同。成交供应商因自身原因不按规定与采购人签订服务合同，则采购人将废除</w:t>
      </w:r>
      <w:r>
        <w:rPr>
          <w:rFonts w:hint="eastAsia" w:hAnsi="宋体" w:cs="宋体"/>
          <w:spacing w:val="-2"/>
          <w:sz w:val="24"/>
          <w:szCs w:val="24"/>
          <w:highlight w:val="none"/>
          <w:lang w:val="en-US" w:eastAsia="zh-CN"/>
        </w:rPr>
        <w:t>中</w:t>
      </w:r>
      <w:r>
        <w:rPr>
          <w:rFonts w:ascii="宋体" w:hAnsi="宋体" w:eastAsia="宋体" w:cs="宋体"/>
          <w:spacing w:val="-2"/>
          <w:sz w:val="24"/>
          <w:szCs w:val="24"/>
          <w:highlight w:val="none"/>
        </w:rPr>
        <w:t>标，磋商保证金不予退还。给采购人造成损失超过磋商保证金额的，</w:t>
      </w:r>
      <w:r>
        <w:rPr>
          <w:rFonts w:ascii="宋体" w:hAnsi="宋体" w:eastAsia="宋体" w:cs="宋体"/>
          <w:spacing w:val="-1"/>
          <w:sz w:val="24"/>
          <w:szCs w:val="24"/>
          <w:highlight w:val="none"/>
        </w:rPr>
        <w:t>还应当对超过部分予以赔偿，并依法承担相应法律责任；</w:t>
      </w:r>
    </w:p>
    <w:p w14:paraId="1875AE1F">
      <w:pPr>
        <w:spacing w:before="217" w:line="343" w:lineRule="auto"/>
        <w:ind w:left="2" w:right="72" w:firstLine="479"/>
        <w:rPr>
          <w:rFonts w:ascii="宋体" w:hAnsi="宋体" w:eastAsia="宋体" w:cs="宋体"/>
          <w:sz w:val="24"/>
          <w:szCs w:val="24"/>
          <w:highlight w:val="none"/>
        </w:rPr>
      </w:pPr>
      <w:r>
        <w:rPr>
          <w:rFonts w:ascii="宋体" w:hAnsi="宋体" w:eastAsia="宋体" w:cs="宋体"/>
          <w:spacing w:val="2"/>
          <w:sz w:val="24"/>
          <w:szCs w:val="24"/>
          <w:highlight w:val="none"/>
        </w:rPr>
        <w:t>8.2、成交供应商因不可抗力或者自身原因不能履</w:t>
      </w:r>
      <w:r>
        <w:rPr>
          <w:rFonts w:ascii="宋体" w:hAnsi="宋体" w:eastAsia="宋体" w:cs="宋体"/>
          <w:spacing w:val="1"/>
          <w:sz w:val="24"/>
          <w:szCs w:val="24"/>
          <w:highlight w:val="none"/>
        </w:rPr>
        <w:t>行合同的，采购人可以与排位在</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成交供应商之后第一位的成交候选人签订合同，以此</w:t>
      </w:r>
      <w:r>
        <w:rPr>
          <w:rFonts w:ascii="宋体" w:hAnsi="宋体" w:eastAsia="宋体" w:cs="宋体"/>
          <w:spacing w:val="-2"/>
          <w:sz w:val="24"/>
          <w:szCs w:val="24"/>
          <w:highlight w:val="none"/>
        </w:rPr>
        <w:t>类推，也可以重新开展招标活动。</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因自身原因拒绝签订合同的或者未按合同约定进行履约的，成交供应商不得参加对该项目重新开展的招标活动。</w:t>
      </w:r>
    </w:p>
    <w:p w14:paraId="34F7F59A">
      <w:pPr>
        <w:spacing w:before="213" w:line="302" w:lineRule="auto"/>
        <w:ind w:left="3" w:right="80" w:firstLine="478"/>
        <w:rPr>
          <w:rFonts w:ascii="宋体" w:hAnsi="宋体" w:eastAsia="宋体" w:cs="宋体"/>
          <w:sz w:val="24"/>
          <w:szCs w:val="24"/>
          <w:highlight w:val="none"/>
        </w:rPr>
      </w:pPr>
      <w:r>
        <w:rPr>
          <w:rFonts w:ascii="宋体" w:hAnsi="宋体" w:eastAsia="宋体" w:cs="宋体"/>
          <w:spacing w:val="2"/>
          <w:sz w:val="24"/>
          <w:szCs w:val="24"/>
          <w:highlight w:val="none"/>
        </w:rPr>
        <w:t>8.3、成交通知书将是合同的重要组成部分。竞争</w:t>
      </w:r>
      <w:r>
        <w:rPr>
          <w:rFonts w:ascii="宋体" w:hAnsi="宋体" w:eastAsia="宋体" w:cs="宋体"/>
          <w:spacing w:val="1"/>
          <w:sz w:val="24"/>
          <w:szCs w:val="24"/>
          <w:highlight w:val="none"/>
        </w:rPr>
        <w:t>性磋商文件、成交供应商的竞争</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性磋商响应文件及评议过程中有关的澄清文件均作为合同附件。</w:t>
      </w:r>
    </w:p>
    <w:p w14:paraId="1795BAC2">
      <w:pPr>
        <w:spacing w:before="216" w:line="357"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8.4、成交后，成交供应商应按照合同约定履行义</w:t>
      </w:r>
      <w:r>
        <w:rPr>
          <w:rFonts w:ascii="宋体" w:hAnsi="宋体" w:eastAsia="宋体" w:cs="宋体"/>
          <w:spacing w:val="1"/>
          <w:sz w:val="24"/>
          <w:szCs w:val="24"/>
          <w:highlight w:val="none"/>
        </w:rPr>
        <w:t>务，完成招标项目的服务。成交</w:t>
      </w:r>
      <w:r>
        <w:rPr>
          <w:rFonts w:ascii="宋体" w:hAnsi="宋体" w:eastAsia="宋体" w:cs="宋体"/>
          <w:spacing w:val="-2"/>
          <w:sz w:val="24"/>
          <w:szCs w:val="24"/>
          <w:highlight w:val="none"/>
        </w:rPr>
        <w:t>供应商不得向他人转让成交项目，也不得将成交项目肢解后分别向他人转让。成交供应商按照合同约定或者经采购人同意，成交供应商可以将成交项目的部分非主体、非关键</w:t>
      </w:r>
      <w:r>
        <w:rPr>
          <w:rFonts w:ascii="宋体" w:hAnsi="宋体" w:eastAsia="宋体" w:cs="宋体"/>
          <w:spacing w:val="-6"/>
          <w:sz w:val="24"/>
          <w:szCs w:val="24"/>
          <w:highlight w:val="none"/>
        </w:rPr>
        <w:t>性工作分包给他人完成。接受分包的供应商应当具备相应的资格条件，并不得再次分包。</w:t>
      </w:r>
      <w:r>
        <w:rPr>
          <w:rFonts w:ascii="宋体" w:hAnsi="宋体" w:eastAsia="宋体" w:cs="宋体"/>
          <w:spacing w:val="15"/>
          <w:sz w:val="24"/>
          <w:szCs w:val="24"/>
          <w:highlight w:val="none"/>
        </w:rPr>
        <w:t xml:space="preserve"> </w:t>
      </w:r>
      <w:r>
        <w:rPr>
          <w:rFonts w:ascii="宋体" w:hAnsi="宋体" w:eastAsia="宋体" w:cs="宋体"/>
          <w:spacing w:val="-2"/>
          <w:sz w:val="24"/>
          <w:szCs w:val="24"/>
          <w:highlight w:val="none"/>
        </w:rPr>
        <w:t>分包履行的，成交供应商就招标项目和分包项目向采购人负责，分包供应商就分包项目承担责任。</w:t>
      </w:r>
    </w:p>
    <w:p w14:paraId="215908E5">
      <w:pPr>
        <w:spacing w:before="213" w:line="302" w:lineRule="auto"/>
        <w:ind w:left="3" w:right="80" w:firstLine="478"/>
        <w:rPr>
          <w:rFonts w:ascii="宋体" w:hAnsi="宋体" w:eastAsia="宋体" w:cs="宋体"/>
          <w:sz w:val="24"/>
          <w:szCs w:val="24"/>
          <w:highlight w:val="none"/>
        </w:rPr>
      </w:pPr>
      <w:r>
        <w:rPr>
          <w:rFonts w:ascii="宋体" w:hAnsi="宋体" w:eastAsia="宋体" w:cs="宋体"/>
          <w:spacing w:val="2"/>
          <w:sz w:val="24"/>
          <w:szCs w:val="24"/>
          <w:highlight w:val="none"/>
        </w:rPr>
        <w:t>8.5、所签订的合同不得对磋商文件确定的事项和</w:t>
      </w:r>
      <w:r>
        <w:rPr>
          <w:rFonts w:ascii="宋体" w:hAnsi="宋体" w:eastAsia="宋体" w:cs="宋体"/>
          <w:spacing w:val="1"/>
          <w:sz w:val="24"/>
          <w:szCs w:val="24"/>
          <w:highlight w:val="none"/>
        </w:rPr>
        <w:t>成交供应商磋商响应文件作实质</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性修改。</w:t>
      </w:r>
    </w:p>
    <w:p w14:paraId="28A5843B">
      <w:pPr>
        <w:spacing w:before="215" w:line="219" w:lineRule="auto"/>
        <w:ind w:left="481"/>
        <w:outlineLvl w:val="9"/>
        <w:rPr>
          <w:rFonts w:ascii="宋体" w:hAnsi="宋体" w:eastAsia="宋体" w:cs="宋体"/>
          <w:sz w:val="24"/>
          <w:szCs w:val="24"/>
          <w:highlight w:val="none"/>
        </w:rPr>
      </w:pPr>
      <w:r>
        <w:rPr>
          <w:rFonts w:ascii="宋体" w:hAnsi="宋体" w:eastAsia="宋体" w:cs="宋体"/>
          <w:spacing w:val="2"/>
          <w:sz w:val="24"/>
          <w:szCs w:val="24"/>
          <w:highlight w:val="none"/>
        </w:rPr>
        <w:t>8.6、采购人需追加与合同标的相同的服务，在不改变合同其他条款的前提</w:t>
      </w:r>
      <w:r>
        <w:rPr>
          <w:rFonts w:ascii="宋体" w:hAnsi="宋体" w:eastAsia="宋体" w:cs="宋体"/>
          <w:spacing w:val="1"/>
          <w:sz w:val="24"/>
          <w:szCs w:val="24"/>
          <w:highlight w:val="none"/>
        </w:rPr>
        <w:t>下，可</w:t>
      </w:r>
    </w:p>
    <w:p w14:paraId="2C48D3C7">
      <w:pPr>
        <w:spacing w:before="215" w:line="385" w:lineRule="auto"/>
        <w:ind w:left="9" w:right="80" w:firstLine="18"/>
        <w:rPr>
          <w:rFonts w:ascii="宋体" w:hAnsi="宋体" w:eastAsia="宋体" w:cs="宋体"/>
          <w:sz w:val="24"/>
          <w:szCs w:val="24"/>
          <w:highlight w:val="none"/>
        </w:rPr>
      </w:pPr>
      <w:r>
        <w:rPr>
          <w:rFonts w:ascii="宋体" w:hAnsi="宋体" w:eastAsia="宋体" w:cs="宋体"/>
          <w:spacing w:val="-2"/>
          <w:sz w:val="24"/>
          <w:szCs w:val="24"/>
          <w:highlight w:val="none"/>
        </w:rPr>
        <w:t>以与供应商协商签订补充合同，但所有补充合同的招标金额不得</w:t>
      </w:r>
      <w:r>
        <w:rPr>
          <w:rFonts w:ascii="宋体" w:hAnsi="宋体" w:eastAsia="宋体" w:cs="宋体"/>
          <w:spacing w:val="-3"/>
          <w:sz w:val="24"/>
          <w:szCs w:val="24"/>
          <w:highlight w:val="none"/>
        </w:rPr>
        <w:t>超过原合同招标金额的</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百分之十。</w:t>
      </w:r>
    </w:p>
    <w:p w14:paraId="18E2B218">
      <w:pPr>
        <w:spacing w:before="1" w:line="218" w:lineRule="auto"/>
        <w:ind w:left="486"/>
        <w:rPr>
          <w:rFonts w:ascii="宋体" w:hAnsi="宋体" w:eastAsia="宋体" w:cs="宋体"/>
          <w:sz w:val="24"/>
          <w:szCs w:val="24"/>
          <w:highlight w:val="none"/>
        </w:rPr>
      </w:pPr>
      <w:r>
        <w:rPr>
          <w:rFonts w:ascii="宋体" w:hAnsi="宋体" w:eastAsia="宋体" w:cs="宋体"/>
          <w:b/>
          <w:bCs/>
          <w:spacing w:val="-3"/>
          <w:sz w:val="24"/>
          <w:szCs w:val="24"/>
          <w:highlight w:val="none"/>
        </w:rPr>
        <w:t>九、本项目需要落实的政府采购政策</w:t>
      </w:r>
    </w:p>
    <w:p w14:paraId="10460178">
      <w:pPr>
        <w:spacing w:before="214" w:line="360"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9.1.中小企业落实政府采购政策</w:t>
      </w:r>
    </w:p>
    <w:p w14:paraId="2F862B54">
      <w:pPr>
        <w:spacing w:before="215" w:line="360" w:lineRule="auto"/>
        <w:ind w:left="1" w:right="136" w:firstLine="572"/>
        <w:rPr>
          <w:rFonts w:ascii="宋体" w:hAnsi="宋体" w:eastAsia="宋体" w:cs="宋体"/>
          <w:sz w:val="24"/>
          <w:szCs w:val="24"/>
          <w:highlight w:val="none"/>
        </w:rPr>
      </w:pPr>
      <w:r>
        <w:rPr>
          <w:rFonts w:ascii="宋体" w:hAnsi="宋体" w:eastAsia="宋体" w:cs="宋体"/>
          <w:spacing w:val="-1"/>
          <w:sz w:val="24"/>
          <w:szCs w:val="24"/>
          <w:highlight w:val="none"/>
        </w:rPr>
        <w:t>（1）对小型、微型企业产品的价格给予</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1</w:t>
      </w:r>
      <w:r>
        <w:rPr>
          <w:rFonts w:ascii="宋体" w:hAnsi="宋体" w:eastAsia="宋体" w:cs="宋体"/>
          <w:spacing w:val="-2"/>
          <w:sz w:val="24"/>
          <w:szCs w:val="24"/>
          <w:highlight w:val="none"/>
        </w:rPr>
        <w:t>0%的扣除，用扣除后的价格参与评审，</w:t>
      </w:r>
      <w:r>
        <w:rPr>
          <w:rFonts w:ascii="宋体" w:hAnsi="宋体" w:eastAsia="宋体" w:cs="宋体"/>
          <w:spacing w:val="-1"/>
          <w:sz w:val="24"/>
          <w:szCs w:val="24"/>
          <w:highlight w:val="none"/>
        </w:rPr>
        <w:t>其评审价=磋商报价*（1-10%）。</w:t>
      </w:r>
    </w:p>
    <w:p w14:paraId="606035DE">
      <w:pPr>
        <w:spacing w:before="204" w:line="360" w:lineRule="auto"/>
        <w:ind w:left="20"/>
        <w:rPr>
          <w:rFonts w:ascii="宋体" w:hAnsi="宋体" w:eastAsia="宋体" w:cs="宋体"/>
          <w:sz w:val="24"/>
          <w:szCs w:val="24"/>
          <w:highlight w:val="none"/>
        </w:rPr>
      </w:pPr>
      <w:r>
        <w:rPr>
          <w:rFonts w:ascii="宋体" w:hAnsi="宋体" w:eastAsia="宋体" w:cs="宋体"/>
          <w:spacing w:val="-1"/>
          <w:sz w:val="24"/>
          <w:szCs w:val="24"/>
          <w:highlight w:val="none"/>
        </w:rPr>
        <w:t>（2）联合体共同参加非专门面向中小企业的政府采购活动，联合协议中约定，小</w:t>
      </w:r>
      <w:r>
        <w:rPr>
          <w:rFonts w:ascii="宋体" w:hAnsi="宋体" w:eastAsia="宋体" w:cs="宋体"/>
          <w:spacing w:val="4"/>
          <w:sz w:val="24"/>
          <w:szCs w:val="24"/>
          <w:highlight w:val="none"/>
        </w:rPr>
        <w:t xml:space="preserve"> </w:t>
      </w:r>
      <w:r>
        <w:rPr>
          <w:rFonts w:ascii="宋体" w:hAnsi="宋体" w:eastAsia="宋体" w:cs="宋体"/>
          <w:spacing w:val="-2"/>
          <w:sz w:val="24"/>
          <w:szCs w:val="24"/>
          <w:highlight w:val="none"/>
        </w:rPr>
        <w:t>型和微型企业的协议合同金额占到联合体协议合同金额的</w:t>
      </w:r>
      <w:r>
        <w:rPr>
          <w:rFonts w:ascii="宋体" w:hAnsi="宋体" w:eastAsia="宋体" w:cs="宋体"/>
          <w:spacing w:val="-46"/>
          <w:sz w:val="24"/>
          <w:szCs w:val="24"/>
          <w:highlight w:val="none"/>
        </w:rPr>
        <w:t xml:space="preserve"> </w:t>
      </w:r>
      <w:r>
        <w:rPr>
          <w:rFonts w:ascii="宋体" w:hAnsi="宋体" w:eastAsia="宋体" w:cs="宋体"/>
          <w:spacing w:val="-2"/>
          <w:sz w:val="24"/>
          <w:szCs w:val="24"/>
          <w:highlight w:val="none"/>
        </w:rPr>
        <w:t>30</w:t>
      </w:r>
      <w:r>
        <w:rPr>
          <w:rFonts w:ascii="宋体" w:hAnsi="宋体" w:eastAsia="宋体" w:cs="宋体"/>
          <w:spacing w:val="-3"/>
          <w:sz w:val="24"/>
          <w:szCs w:val="24"/>
          <w:highlight w:val="none"/>
        </w:rPr>
        <w:t>%以上的，可给予联合体</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2%</w:t>
      </w:r>
      <w:r>
        <w:rPr>
          <w:rFonts w:ascii="宋体" w:hAnsi="宋体" w:eastAsia="宋体" w:cs="宋体"/>
          <w:spacing w:val="-1"/>
          <w:sz w:val="24"/>
          <w:szCs w:val="24"/>
          <w:highlight w:val="none"/>
        </w:rPr>
        <w:t>的价格扣除，用扣除后的价格参与评审，其评审价=磋商报价*（1-2%）。</w:t>
      </w:r>
    </w:p>
    <w:p w14:paraId="6BC86BE8">
      <w:pPr>
        <w:spacing w:before="216" w:line="360" w:lineRule="auto"/>
        <w:ind w:left="1" w:right="80" w:firstLine="572"/>
        <w:rPr>
          <w:rFonts w:ascii="宋体" w:hAnsi="宋体" w:eastAsia="宋体" w:cs="宋体"/>
          <w:sz w:val="24"/>
          <w:szCs w:val="24"/>
          <w:highlight w:val="none"/>
        </w:rPr>
      </w:pPr>
      <w:r>
        <w:rPr>
          <w:rFonts w:ascii="宋体" w:hAnsi="宋体" w:eastAsia="宋体" w:cs="宋体"/>
          <w:spacing w:val="-1"/>
          <w:sz w:val="24"/>
          <w:szCs w:val="24"/>
          <w:highlight w:val="none"/>
        </w:rPr>
        <w:t>（3）参加本项目的小微企业须提供《中小企业声明函》</w:t>
      </w:r>
      <w:r>
        <w:rPr>
          <w:rFonts w:ascii="宋体" w:hAnsi="宋体" w:eastAsia="宋体" w:cs="宋体"/>
          <w:spacing w:val="-2"/>
          <w:sz w:val="24"/>
          <w:szCs w:val="24"/>
          <w:highlight w:val="none"/>
        </w:rPr>
        <w:t>（附件</w:t>
      </w:r>
      <w:r>
        <w:rPr>
          <w:rFonts w:ascii="宋体" w:hAnsi="宋体" w:eastAsia="宋体" w:cs="宋体"/>
          <w:spacing w:val="5"/>
          <w:sz w:val="24"/>
          <w:szCs w:val="24"/>
          <w:highlight w:val="none"/>
        </w:rPr>
        <w:t>），</w:t>
      </w:r>
      <w:r>
        <w:rPr>
          <w:rFonts w:ascii="宋体" w:hAnsi="宋体" w:eastAsia="宋体" w:cs="宋体"/>
          <w:spacing w:val="-2"/>
          <w:sz w:val="24"/>
          <w:szCs w:val="24"/>
          <w:highlight w:val="none"/>
        </w:rPr>
        <w:t>未提供的不视为小微企业。本项目提供的货物不包括使用大型企业注册商标的货物，小型、微型企业</w:t>
      </w:r>
      <w:r>
        <w:rPr>
          <w:rFonts w:ascii="宋体" w:hAnsi="宋体" w:eastAsia="宋体" w:cs="宋体"/>
          <w:spacing w:val="16"/>
          <w:sz w:val="24"/>
          <w:szCs w:val="24"/>
          <w:highlight w:val="none"/>
        </w:rPr>
        <w:t xml:space="preserve"> </w:t>
      </w:r>
      <w:r>
        <w:rPr>
          <w:rFonts w:ascii="宋体" w:hAnsi="宋体" w:eastAsia="宋体" w:cs="宋体"/>
          <w:spacing w:val="-2"/>
          <w:sz w:val="24"/>
          <w:szCs w:val="24"/>
          <w:highlight w:val="none"/>
        </w:rPr>
        <w:t>提供中型企业制造的货物的，视同为中型企业。供应商须作出承诺，保证真实性，如有</w:t>
      </w:r>
      <w:r>
        <w:rPr>
          <w:rFonts w:ascii="宋体" w:hAnsi="宋体" w:eastAsia="宋体" w:cs="宋体"/>
          <w:spacing w:val="-1"/>
          <w:sz w:val="24"/>
          <w:szCs w:val="24"/>
          <w:highlight w:val="none"/>
        </w:rPr>
        <w:t>虚假，将依法承担相应责任。</w:t>
      </w:r>
    </w:p>
    <w:p w14:paraId="331F070D">
      <w:pPr>
        <w:spacing w:before="213" w:line="360" w:lineRule="auto"/>
        <w:ind w:right="31" w:firstLine="574"/>
        <w:rPr>
          <w:rFonts w:ascii="宋体" w:hAnsi="宋体" w:eastAsia="宋体" w:cs="宋体"/>
          <w:sz w:val="24"/>
          <w:szCs w:val="24"/>
          <w:highlight w:val="none"/>
        </w:rPr>
      </w:pPr>
      <w:r>
        <w:rPr>
          <w:rFonts w:ascii="宋体" w:hAnsi="宋体" w:eastAsia="宋体" w:cs="宋体"/>
          <w:spacing w:val="-1"/>
          <w:sz w:val="24"/>
          <w:szCs w:val="24"/>
          <w:highlight w:val="none"/>
        </w:rPr>
        <w:t>（4）小微企业按《政府采购促进中小企业发</w:t>
      </w:r>
      <w:r>
        <w:rPr>
          <w:rFonts w:ascii="宋体" w:hAnsi="宋体" w:eastAsia="宋体" w:cs="宋体"/>
          <w:spacing w:val="-2"/>
          <w:sz w:val="24"/>
          <w:szCs w:val="24"/>
          <w:highlight w:val="none"/>
        </w:rPr>
        <w:t>展管理办法》（财库【2020】46</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和《工业和信息化部、国家统计局、国家发展和改革委员会</w:t>
      </w:r>
      <w:r>
        <w:rPr>
          <w:rFonts w:ascii="宋体" w:hAnsi="宋体" w:eastAsia="宋体" w:cs="宋体"/>
          <w:spacing w:val="1"/>
          <w:sz w:val="24"/>
          <w:szCs w:val="24"/>
          <w:highlight w:val="none"/>
        </w:rPr>
        <w:t>、财政部关于印发&lt;中小企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业划型标准规定&gt;的通知》（工信部联企业【2011】300</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号）文件规定标准确认。</w:t>
      </w:r>
    </w:p>
    <w:p w14:paraId="1F758B8A">
      <w:pPr>
        <w:spacing w:before="213" w:line="302" w:lineRule="auto"/>
        <w:ind w:left="721" w:right="1070" w:hanging="147"/>
        <w:rPr>
          <w:rFonts w:ascii="宋体" w:hAnsi="宋体" w:eastAsia="宋体" w:cs="宋体"/>
          <w:spacing w:val="2"/>
          <w:sz w:val="24"/>
          <w:szCs w:val="24"/>
          <w:highlight w:val="none"/>
        </w:rPr>
      </w:pPr>
      <w:r>
        <w:rPr>
          <w:rFonts w:ascii="宋体" w:hAnsi="宋体" w:eastAsia="宋体" w:cs="宋体"/>
          <w:spacing w:val="-2"/>
          <w:sz w:val="24"/>
          <w:szCs w:val="24"/>
          <w:highlight w:val="none"/>
        </w:rPr>
        <w:t>（5）供应商提供《小微企业声明函》，以此为依据享受政府采购政策。</w:t>
      </w:r>
      <w:r>
        <w:rPr>
          <w:rFonts w:ascii="宋体" w:hAnsi="宋体" w:eastAsia="宋体" w:cs="宋体"/>
          <w:spacing w:val="2"/>
          <w:sz w:val="24"/>
          <w:szCs w:val="24"/>
          <w:highlight w:val="none"/>
        </w:rPr>
        <w:t xml:space="preserve"> </w:t>
      </w:r>
    </w:p>
    <w:p w14:paraId="435D7CCF">
      <w:pPr>
        <w:spacing w:before="213" w:line="302" w:lineRule="auto"/>
        <w:ind w:left="721" w:right="1070" w:hanging="147"/>
        <w:rPr>
          <w:rFonts w:ascii="宋体" w:hAnsi="宋体" w:eastAsia="宋体" w:cs="宋体"/>
          <w:sz w:val="24"/>
          <w:szCs w:val="24"/>
          <w:highlight w:val="none"/>
        </w:rPr>
      </w:pPr>
      <w:r>
        <w:rPr>
          <w:rFonts w:ascii="宋体" w:hAnsi="宋体" w:eastAsia="宋体" w:cs="宋体"/>
          <w:b/>
          <w:bCs/>
          <w:spacing w:val="-3"/>
          <w:sz w:val="24"/>
          <w:szCs w:val="24"/>
          <w:highlight w:val="none"/>
        </w:rPr>
        <w:t>若项目专门面向中小企业采购，则不进行价格扣除。</w:t>
      </w:r>
    </w:p>
    <w:p w14:paraId="167B0671">
      <w:pPr>
        <w:spacing w:before="216" w:line="218" w:lineRule="auto"/>
        <w:ind w:left="563"/>
        <w:rPr>
          <w:rFonts w:ascii="宋体" w:hAnsi="宋体" w:eastAsia="宋体" w:cs="宋体"/>
          <w:sz w:val="24"/>
          <w:szCs w:val="24"/>
          <w:highlight w:val="none"/>
        </w:rPr>
      </w:pPr>
      <w:r>
        <w:rPr>
          <w:rFonts w:ascii="宋体" w:hAnsi="宋体" w:eastAsia="宋体" w:cs="宋体"/>
          <w:spacing w:val="-1"/>
          <w:sz w:val="24"/>
          <w:szCs w:val="24"/>
          <w:highlight w:val="none"/>
        </w:rPr>
        <w:t>9.2、监狱企业的价格评分标准</w:t>
      </w:r>
    </w:p>
    <w:p w14:paraId="2C64EAE0">
      <w:pPr>
        <w:spacing w:before="217" w:line="329" w:lineRule="auto"/>
        <w:ind w:left="1" w:right="80" w:firstLine="572"/>
        <w:rPr>
          <w:rFonts w:ascii="宋体" w:hAnsi="宋体" w:eastAsia="宋体" w:cs="宋体"/>
          <w:sz w:val="24"/>
          <w:szCs w:val="24"/>
          <w:highlight w:val="none"/>
        </w:rPr>
      </w:pPr>
      <w:r>
        <w:rPr>
          <w:rFonts w:ascii="宋体" w:hAnsi="宋体" w:eastAsia="宋体" w:cs="宋体"/>
          <w:spacing w:val="-1"/>
          <w:sz w:val="24"/>
          <w:szCs w:val="24"/>
          <w:highlight w:val="none"/>
        </w:rPr>
        <w:t>（1）在政府采购活动中，监狱企业视同小型、微型企业，享受预留份额、评审中</w:t>
      </w:r>
      <w:r>
        <w:rPr>
          <w:rFonts w:ascii="宋体" w:hAnsi="宋体" w:eastAsia="宋体" w:cs="宋体"/>
          <w:spacing w:val="5"/>
          <w:sz w:val="24"/>
          <w:szCs w:val="24"/>
          <w:highlight w:val="none"/>
        </w:rPr>
        <w:t>价格扣除等政府采购促进中小企业发展的政府采购政策。对监狱企业产品</w:t>
      </w:r>
      <w:r>
        <w:rPr>
          <w:rFonts w:ascii="宋体" w:hAnsi="宋体" w:eastAsia="宋体" w:cs="宋体"/>
          <w:spacing w:val="4"/>
          <w:sz w:val="24"/>
          <w:szCs w:val="24"/>
          <w:highlight w:val="none"/>
        </w:rPr>
        <w:t>的价格给予</w:t>
      </w:r>
      <w:r>
        <w:rPr>
          <w:rFonts w:ascii="宋体" w:hAnsi="宋体" w:eastAsia="宋体" w:cs="宋体"/>
          <w:sz w:val="24"/>
          <w:szCs w:val="24"/>
          <w:highlight w:val="none"/>
        </w:rPr>
        <w:t xml:space="preserve"> 10%的扣除，用扣除后的价格参与评审，其评审价=</w:t>
      </w:r>
      <w:r>
        <w:rPr>
          <w:rFonts w:ascii="宋体" w:hAnsi="宋体" w:eastAsia="宋体" w:cs="宋体"/>
          <w:spacing w:val="-1"/>
          <w:sz w:val="24"/>
          <w:szCs w:val="24"/>
          <w:highlight w:val="none"/>
        </w:rPr>
        <w:t>磋商报价*（1-10%）</w:t>
      </w:r>
    </w:p>
    <w:p w14:paraId="24C7CFC9">
      <w:pPr>
        <w:spacing w:before="216" w:line="360" w:lineRule="auto"/>
        <w:ind w:left="574"/>
        <w:rPr>
          <w:rFonts w:ascii="宋体" w:hAnsi="宋体" w:eastAsia="宋体" w:cs="宋体"/>
          <w:sz w:val="24"/>
          <w:szCs w:val="24"/>
          <w:highlight w:val="none"/>
        </w:rPr>
      </w:pPr>
      <w:r>
        <w:rPr>
          <w:rFonts w:ascii="宋体" w:hAnsi="宋体" w:eastAsia="宋体" w:cs="宋体"/>
          <w:spacing w:val="-1"/>
          <w:sz w:val="24"/>
          <w:szCs w:val="24"/>
          <w:highlight w:val="none"/>
        </w:rPr>
        <w:t>（2）监狱企业属于小型、微型企业的，不重复享受政策。</w:t>
      </w:r>
    </w:p>
    <w:p w14:paraId="09203F51">
      <w:pPr>
        <w:spacing w:before="216" w:line="360" w:lineRule="auto"/>
        <w:ind w:left="3" w:right="80" w:firstLine="570"/>
        <w:rPr>
          <w:rFonts w:ascii="宋体" w:hAnsi="宋体" w:eastAsia="宋体" w:cs="宋体"/>
          <w:sz w:val="24"/>
          <w:szCs w:val="24"/>
          <w:highlight w:val="none"/>
        </w:rPr>
      </w:pPr>
      <w:r>
        <w:rPr>
          <w:rFonts w:ascii="宋体" w:hAnsi="宋体" w:eastAsia="宋体" w:cs="宋体"/>
          <w:spacing w:val="-1"/>
          <w:sz w:val="24"/>
          <w:szCs w:val="24"/>
          <w:highlight w:val="none"/>
        </w:rPr>
        <w:t>（3）监狱企业参加政府采购活动时，应当提供由省级以上监狱管理局、戒毒管理局（含新疆生产建设兵团）出具的属于监狱企业的证明文件。</w:t>
      </w:r>
    </w:p>
    <w:p w14:paraId="7856E29B">
      <w:pPr>
        <w:spacing w:before="213" w:line="360" w:lineRule="auto"/>
        <w:ind w:left="5" w:right="80" w:firstLine="568"/>
        <w:rPr>
          <w:rFonts w:ascii="宋体" w:hAnsi="宋体" w:eastAsia="宋体" w:cs="宋体"/>
          <w:sz w:val="24"/>
          <w:szCs w:val="24"/>
          <w:highlight w:val="none"/>
        </w:rPr>
      </w:pPr>
      <w:r>
        <w:rPr>
          <w:rFonts w:ascii="宋体" w:hAnsi="宋体" w:eastAsia="宋体" w:cs="宋体"/>
          <w:spacing w:val="2"/>
          <w:sz w:val="24"/>
          <w:szCs w:val="24"/>
          <w:highlight w:val="none"/>
        </w:rPr>
        <w:t>（4）监狱企业按《财政部 司法部关于政府采购支持监狱企业发展有关问题的通</w:t>
      </w:r>
      <w:r>
        <w:rPr>
          <w:rFonts w:ascii="宋体" w:hAnsi="宋体" w:eastAsia="宋体" w:cs="宋体"/>
          <w:spacing w:val="-2"/>
          <w:sz w:val="24"/>
          <w:szCs w:val="24"/>
          <w:highlight w:val="none"/>
        </w:rPr>
        <w:t>知》（财库〔2014〕68</w:t>
      </w:r>
      <w:r>
        <w:rPr>
          <w:rFonts w:ascii="宋体" w:hAnsi="宋体" w:eastAsia="宋体" w:cs="宋体"/>
          <w:spacing w:val="-28"/>
          <w:sz w:val="24"/>
          <w:szCs w:val="24"/>
          <w:highlight w:val="none"/>
        </w:rPr>
        <w:t xml:space="preserve"> </w:t>
      </w:r>
      <w:r>
        <w:rPr>
          <w:rFonts w:ascii="宋体" w:hAnsi="宋体" w:eastAsia="宋体" w:cs="宋体"/>
          <w:spacing w:val="-2"/>
          <w:sz w:val="24"/>
          <w:szCs w:val="24"/>
          <w:highlight w:val="none"/>
        </w:rPr>
        <w:t>号）文件规定标准执行。</w:t>
      </w:r>
    </w:p>
    <w:p w14:paraId="481CF4BF">
      <w:pPr>
        <w:spacing w:before="214" w:line="360" w:lineRule="auto"/>
        <w:ind w:left="563"/>
        <w:rPr>
          <w:rFonts w:ascii="宋体" w:hAnsi="宋体" w:eastAsia="宋体" w:cs="宋体"/>
          <w:sz w:val="24"/>
          <w:szCs w:val="24"/>
          <w:highlight w:val="none"/>
        </w:rPr>
      </w:pPr>
      <w:r>
        <w:rPr>
          <w:rFonts w:ascii="宋体" w:hAnsi="宋体" w:eastAsia="宋体" w:cs="宋体"/>
          <w:spacing w:val="-1"/>
          <w:sz w:val="24"/>
          <w:szCs w:val="24"/>
          <w:highlight w:val="none"/>
        </w:rPr>
        <w:t>9.3、残疾人福利性单位的价格评分标准</w:t>
      </w:r>
    </w:p>
    <w:p w14:paraId="708DCBC2">
      <w:pPr>
        <w:spacing w:before="216" w:line="360" w:lineRule="auto"/>
        <w:ind w:firstLine="574"/>
        <w:rPr>
          <w:rFonts w:ascii="宋体" w:hAnsi="宋体" w:eastAsia="宋体" w:cs="宋体"/>
          <w:sz w:val="24"/>
          <w:szCs w:val="24"/>
          <w:highlight w:val="none"/>
        </w:rPr>
      </w:pPr>
      <w:r>
        <w:rPr>
          <w:rFonts w:ascii="宋体" w:hAnsi="宋体" w:eastAsia="宋体" w:cs="宋体"/>
          <w:spacing w:val="-5"/>
          <w:sz w:val="24"/>
          <w:szCs w:val="24"/>
          <w:highlight w:val="none"/>
        </w:rPr>
        <w:t>（1）在政府采购活动中，残疾人福利性单位视同小型、微型企业，</w:t>
      </w:r>
      <w:r>
        <w:rPr>
          <w:rFonts w:ascii="宋体" w:hAnsi="宋体" w:eastAsia="宋体" w:cs="宋体"/>
          <w:spacing w:val="-6"/>
          <w:sz w:val="24"/>
          <w:szCs w:val="24"/>
          <w:highlight w:val="none"/>
        </w:rPr>
        <w:t>享受预留份额、</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评审中价格扣除等政府采购促进中小企业发展的政府采购政策。对残疾人福利性单位产品的价格给予</w:t>
      </w:r>
      <w:r>
        <w:rPr>
          <w:rFonts w:ascii="宋体" w:hAnsi="宋体" w:eastAsia="宋体" w:cs="宋体"/>
          <w:spacing w:val="-19"/>
          <w:sz w:val="24"/>
          <w:szCs w:val="24"/>
          <w:highlight w:val="none"/>
        </w:rPr>
        <w:t xml:space="preserve"> </w:t>
      </w:r>
      <w:r>
        <w:rPr>
          <w:rFonts w:ascii="宋体" w:hAnsi="宋体" w:eastAsia="宋体" w:cs="宋体"/>
          <w:spacing w:val="-2"/>
          <w:sz w:val="24"/>
          <w:szCs w:val="24"/>
          <w:highlight w:val="none"/>
        </w:rPr>
        <w:t>10%的扣除，用扣除后的价格参与评审，其评审价=磋商报价*（1-10%）。</w:t>
      </w:r>
    </w:p>
    <w:p w14:paraId="1946E030">
      <w:pPr>
        <w:spacing w:before="217" w:line="360" w:lineRule="auto"/>
        <w:ind w:left="574"/>
        <w:rPr>
          <w:rFonts w:ascii="宋体" w:hAnsi="宋体" w:eastAsia="宋体" w:cs="宋体"/>
          <w:sz w:val="24"/>
          <w:szCs w:val="24"/>
          <w:highlight w:val="none"/>
        </w:rPr>
      </w:pPr>
      <w:r>
        <w:rPr>
          <w:rFonts w:ascii="宋体" w:hAnsi="宋体" w:eastAsia="宋体" w:cs="宋体"/>
          <w:spacing w:val="-1"/>
          <w:sz w:val="24"/>
          <w:szCs w:val="24"/>
          <w:highlight w:val="none"/>
        </w:rPr>
        <w:t>（2）残疾人福利性单位属于小型、微型企业的，不重复享受政策。</w:t>
      </w:r>
    </w:p>
    <w:p w14:paraId="2C6919A3">
      <w:pPr>
        <w:spacing w:before="218" w:line="360" w:lineRule="auto"/>
        <w:ind w:right="80" w:firstLine="573"/>
        <w:rPr>
          <w:rFonts w:ascii="宋体" w:hAnsi="宋体" w:eastAsia="宋体" w:cs="宋体"/>
          <w:sz w:val="24"/>
          <w:szCs w:val="24"/>
          <w:highlight w:val="none"/>
        </w:rPr>
      </w:pPr>
      <w:r>
        <w:rPr>
          <w:rFonts w:ascii="宋体" w:hAnsi="宋体" w:eastAsia="宋体" w:cs="宋体"/>
          <w:spacing w:val="-1"/>
          <w:sz w:val="24"/>
          <w:szCs w:val="24"/>
          <w:highlight w:val="none"/>
        </w:rPr>
        <w:t>（3）符合条件的残疾人福利性单位在参加政府采购活动时，应当提供本通知规定</w:t>
      </w:r>
      <w:r>
        <w:rPr>
          <w:rFonts w:ascii="宋体" w:hAnsi="宋体" w:eastAsia="宋体" w:cs="宋体"/>
          <w:spacing w:val="4"/>
          <w:sz w:val="24"/>
          <w:szCs w:val="24"/>
          <w:highlight w:val="none"/>
        </w:rPr>
        <w:t xml:space="preserve"> </w:t>
      </w:r>
      <w:r>
        <w:rPr>
          <w:rFonts w:ascii="宋体" w:hAnsi="宋体" w:eastAsia="宋体" w:cs="宋体"/>
          <w:spacing w:val="-2"/>
          <w:sz w:val="24"/>
          <w:szCs w:val="24"/>
          <w:highlight w:val="none"/>
        </w:rPr>
        <w:t>的《残疾人福利性单位声明函》（见附件</w:t>
      </w:r>
      <w:r>
        <w:rPr>
          <w:rFonts w:ascii="宋体" w:hAnsi="宋体" w:eastAsia="宋体" w:cs="宋体"/>
          <w:spacing w:val="6"/>
          <w:sz w:val="24"/>
          <w:szCs w:val="24"/>
          <w:highlight w:val="none"/>
        </w:rPr>
        <w:t>），</w:t>
      </w:r>
      <w:r>
        <w:rPr>
          <w:rFonts w:ascii="宋体" w:hAnsi="宋体" w:eastAsia="宋体" w:cs="宋体"/>
          <w:spacing w:val="-2"/>
          <w:sz w:val="24"/>
          <w:szCs w:val="24"/>
          <w:highlight w:val="none"/>
        </w:rPr>
        <w:t>并对声明的真实性负责，未提供的不视为残疾人福利性单位。</w:t>
      </w:r>
    </w:p>
    <w:p w14:paraId="27A4C181">
      <w:pPr>
        <w:spacing w:before="204" w:line="360" w:lineRule="auto"/>
        <w:ind w:left="564"/>
        <w:rPr>
          <w:rFonts w:ascii="宋体" w:hAnsi="宋体" w:eastAsia="宋体" w:cs="宋体"/>
          <w:sz w:val="24"/>
          <w:szCs w:val="24"/>
          <w:highlight w:val="none"/>
        </w:rPr>
      </w:pPr>
      <w:r>
        <w:rPr>
          <w:rFonts w:ascii="宋体" w:hAnsi="宋体" w:eastAsia="宋体" w:cs="宋体"/>
          <w:spacing w:val="-1"/>
          <w:sz w:val="24"/>
          <w:szCs w:val="24"/>
          <w:highlight w:val="none"/>
        </w:rPr>
        <w:t>9.4、节能产品、环境标志产品政策</w:t>
      </w:r>
    </w:p>
    <w:p w14:paraId="332296A9">
      <w:pPr>
        <w:spacing w:before="214" w:line="360" w:lineRule="auto"/>
        <w:ind w:right="80" w:firstLine="575"/>
        <w:rPr>
          <w:rFonts w:ascii="宋体" w:hAnsi="宋体" w:eastAsia="宋体" w:cs="宋体"/>
          <w:sz w:val="24"/>
          <w:szCs w:val="24"/>
          <w:highlight w:val="none"/>
        </w:rPr>
      </w:pPr>
      <w:r>
        <w:rPr>
          <w:rFonts w:ascii="宋体" w:hAnsi="宋体" w:eastAsia="宋体" w:cs="宋体"/>
          <w:spacing w:val="2"/>
          <w:sz w:val="24"/>
          <w:szCs w:val="24"/>
          <w:highlight w:val="none"/>
        </w:rPr>
        <w:t>（1）节能产品根据《财政部、国家发展和改革委员会关于印发&lt;节能产品政府采</w:t>
      </w:r>
      <w:r>
        <w:rPr>
          <w:rFonts w:ascii="宋体" w:hAnsi="宋体" w:eastAsia="宋体" w:cs="宋体"/>
          <w:spacing w:val="-3"/>
          <w:sz w:val="24"/>
          <w:szCs w:val="24"/>
          <w:highlight w:val="none"/>
        </w:rPr>
        <w:t>购实施意见&gt;的通知》（财库【2004】185</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号）、《国务院办公厅关于建立</w:t>
      </w:r>
      <w:r>
        <w:rPr>
          <w:rFonts w:ascii="宋体" w:hAnsi="宋体" w:eastAsia="宋体" w:cs="宋体"/>
          <w:spacing w:val="-4"/>
          <w:sz w:val="24"/>
          <w:szCs w:val="24"/>
          <w:highlight w:val="none"/>
        </w:rPr>
        <w:t>政府强制采购</w:t>
      </w:r>
      <w:r>
        <w:rPr>
          <w:rFonts w:ascii="宋体" w:hAnsi="宋体" w:eastAsia="宋体" w:cs="宋体"/>
          <w:spacing w:val="8"/>
          <w:sz w:val="24"/>
          <w:szCs w:val="24"/>
          <w:highlight w:val="none"/>
        </w:rPr>
        <w:t>节能产品制度的通知》</w:t>
      </w:r>
      <w:r>
        <w:rPr>
          <w:rFonts w:ascii="宋体" w:hAnsi="宋体" w:eastAsia="宋体" w:cs="宋体"/>
          <w:spacing w:val="-75"/>
          <w:sz w:val="24"/>
          <w:szCs w:val="24"/>
          <w:highlight w:val="none"/>
        </w:rPr>
        <w:t xml:space="preserve"> </w:t>
      </w:r>
      <w:r>
        <w:rPr>
          <w:rFonts w:ascii="宋体" w:hAnsi="宋体" w:eastAsia="宋体" w:cs="宋体"/>
          <w:spacing w:val="8"/>
          <w:sz w:val="24"/>
          <w:szCs w:val="24"/>
          <w:highlight w:val="none"/>
        </w:rPr>
        <w:t>（国办发〔2007〕</w:t>
      </w:r>
      <w:r>
        <w:rPr>
          <w:rFonts w:ascii="宋体" w:hAnsi="宋体" w:eastAsia="宋体" w:cs="宋体"/>
          <w:spacing w:val="-67"/>
          <w:sz w:val="24"/>
          <w:szCs w:val="24"/>
          <w:highlight w:val="none"/>
        </w:rPr>
        <w:t xml:space="preserve"> </w:t>
      </w:r>
      <w:r>
        <w:rPr>
          <w:rFonts w:ascii="宋体" w:hAnsi="宋体" w:eastAsia="宋体" w:cs="宋体"/>
          <w:spacing w:val="8"/>
          <w:sz w:val="24"/>
          <w:szCs w:val="24"/>
          <w:highlight w:val="none"/>
        </w:rPr>
        <w:t>51</w:t>
      </w:r>
      <w:r>
        <w:rPr>
          <w:rFonts w:ascii="宋体" w:hAnsi="宋体" w:eastAsia="宋体" w:cs="宋体"/>
          <w:spacing w:val="-28"/>
          <w:sz w:val="24"/>
          <w:szCs w:val="24"/>
          <w:highlight w:val="none"/>
        </w:rPr>
        <w:t xml:space="preserve"> </w:t>
      </w:r>
      <w:r>
        <w:rPr>
          <w:rFonts w:ascii="宋体" w:hAnsi="宋体" w:eastAsia="宋体" w:cs="宋体"/>
          <w:spacing w:val="8"/>
          <w:sz w:val="24"/>
          <w:szCs w:val="24"/>
          <w:highlight w:val="none"/>
        </w:rPr>
        <w:t>号）</w:t>
      </w:r>
      <w:r>
        <w:rPr>
          <w:rFonts w:ascii="宋体" w:hAnsi="宋体" w:eastAsia="宋体" w:cs="宋体"/>
          <w:spacing w:val="-55"/>
          <w:sz w:val="24"/>
          <w:szCs w:val="24"/>
          <w:highlight w:val="none"/>
        </w:rPr>
        <w:t xml:space="preserve"> </w:t>
      </w:r>
      <w:r>
        <w:rPr>
          <w:rFonts w:ascii="宋体" w:hAnsi="宋体" w:eastAsia="宋体" w:cs="宋体"/>
          <w:spacing w:val="8"/>
          <w:sz w:val="24"/>
          <w:szCs w:val="24"/>
          <w:highlight w:val="none"/>
        </w:rPr>
        <w:t>的有关规定</w:t>
      </w:r>
      <w:r>
        <w:rPr>
          <w:rFonts w:ascii="宋体" w:hAnsi="宋体" w:eastAsia="宋体" w:cs="宋体"/>
          <w:spacing w:val="-72"/>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64"/>
          <w:sz w:val="24"/>
          <w:szCs w:val="24"/>
          <w:highlight w:val="none"/>
        </w:rPr>
        <w:t xml:space="preserve"> </w:t>
      </w:r>
      <w:r>
        <w:rPr>
          <w:rFonts w:ascii="宋体" w:hAnsi="宋体" w:eastAsia="宋体" w:cs="宋体"/>
          <w:spacing w:val="8"/>
          <w:sz w:val="24"/>
          <w:szCs w:val="24"/>
          <w:highlight w:val="none"/>
        </w:rPr>
        <w:t>以中国政府采购网</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z w:val="24"/>
          <w:szCs w:val="24"/>
          <w:highlight w:val="none"/>
        </w:rPr>
        <w:t>http</w:t>
      </w:r>
      <w:r>
        <w:rPr>
          <w:rFonts w:ascii="宋体" w:hAnsi="宋体" w:eastAsia="宋体" w:cs="宋体"/>
          <w:spacing w:val="2"/>
          <w:sz w:val="24"/>
          <w:szCs w:val="24"/>
          <w:highlight w:val="none"/>
        </w:rPr>
        <w:t>://</w:t>
      </w:r>
      <w:r>
        <w:rPr>
          <w:rFonts w:ascii="宋体" w:hAnsi="宋体" w:eastAsia="宋体" w:cs="宋体"/>
          <w:sz w:val="24"/>
          <w:szCs w:val="24"/>
          <w:highlight w:val="none"/>
        </w:rPr>
        <w:t>www</w:t>
      </w:r>
      <w:r>
        <w:rPr>
          <w:rFonts w:ascii="宋体" w:hAnsi="宋体" w:eastAsia="宋体" w:cs="宋体"/>
          <w:spacing w:val="2"/>
          <w:sz w:val="24"/>
          <w:szCs w:val="24"/>
          <w:highlight w:val="none"/>
        </w:rPr>
        <w:t>.</w:t>
      </w:r>
      <w:r>
        <w:rPr>
          <w:rFonts w:ascii="宋体" w:hAnsi="宋体" w:eastAsia="宋体" w:cs="宋体"/>
          <w:sz w:val="24"/>
          <w:szCs w:val="24"/>
          <w:highlight w:val="none"/>
        </w:rPr>
        <w:t>ccgp</w:t>
      </w:r>
      <w:r>
        <w:rPr>
          <w:rFonts w:ascii="宋体" w:hAnsi="宋体" w:eastAsia="宋体" w:cs="宋体"/>
          <w:spacing w:val="2"/>
          <w:sz w:val="24"/>
          <w:szCs w:val="24"/>
          <w:highlight w:val="none"/>
        </w:rPr>
        <w:t>.</w:t>
      </w:r>
      <w:r>
        <w:rPr>
          <w:rFonts w:ascii="宋体" w:hAnsi="宋体" w:eastAsia="宋体" w:cs="宋体"/>
          <w:sz w:val="24"/>
          <w:szCs w:val="24"/>
          <w:highlight w:val="none"/>
        </w:rPr>
        <w:t>gov</w:t>
      </w:r>
      <w:r>
        <w:rPr>
          <w:rFonts w:ascii="宋体" w:hAnsi="宋体" w:eastAsia="宋体" w:cs="宋体"/>
          <w:spacing w:val="2"/>
          <w:sz w:val="24"/>
          <w:szCs w:val="24"/>
          <w:highlight w:val="none"/>
        </w:rPr>
        <w:t>.</w:t>
      </w:r>
      <w:r>
        <w:rPr>
          <w:rFonts w:ascii="宋体" w:hAnsi="宋体" w:eastAsia="宋体" w:cs="宋体"/>
          <w:sz w:val="24"/>
          <w:szCs w:val="24"/>
          <w:highlight w:val="none"/>
        </w:rPr>
        <w:t>cn</w:t>
      </w:r>
      <w:r>
        <w:rPr>
          <w:rFonts w:ascii="宋体" w:hAnsi="宋体" w:eastAsia="宋体" w:cs="宋体"/>
          <w:spacing w:val="2"/>
          <w:sz w:val="24"/>
          <w:szCs w:val="24"/>
          <w:highlight w:val="none"/>
        </w:rPr>
        <w:t>/</w:t>
      </w:r>
      <w:r>
        <w:rPr>
          <w:rFonts w:ascii="宋体" w:hAnsi="宋体" w:eastAsia="宋体" w:cs="宋体"/>
          <w:spacing w:val="2"/>
          <w:sz w:val="24"/>
          <w:szCs w:val="24"/>
          <w:highlight w:val="none"/>
        </w:rPr>
        <w:fldChar w:fldCharType="end"/>
      </w:r>
      <w:r>
        <w:rPr>
          <w:rFonts w:ascii="宋体" w:hAnsi="宋体" w:eastAsia="宋体" w:cs="宋体"/>
          <w:spacing w:val="2"/>
          <w:sz w:val="24"/>
          <w:szCs w:val="24"/>
          <w:highlight w:val="none"/>
        </w:rPr>
        <w:t>）公布的最新一期节能产品政府采购清单为准。节</w:t>
      </w:r>
      <w:r>
        <w:rPr>
          <w:rFonts w:ascii="宋体" w:hAnsi="宋体" w:eastAsia="宋体" w:cs="宋体"/>
          <w:spacing w:val="1"/>
          <w:sz w:val="24"/>
          <w:szCs w:val="24"/>
          <w:highlight w:val="none"/>
        </w:rPr>
        <w:t>能清单</w:t>
      </w:r>
      <w:r>
        <w:rPr>
          <w:rFonts w:ascii="宋体" w:hAnsi="宋体" w:eastAsia="宋体" w:cs="宋体"/>
          <w:spacing w:val="-2"/>
          <w:sz w:val="24"/>
          <w:szCs w:val="24"/>
          <w:highlight w:val="none"/>
        </w:rPr>
        <w:t>所列产品包括政府强制采购和优先采购的节能产品，标注</w:t>
      </w:r>
      <w:r>
        <w:rPr>
          <w:rFonts w:ascii="宋体" w:hAnsi="宋体" w:eastAsia="宋体" w:cs="宋体"/>
          <w:spacing w:val="-3"/>
          <w:sz w:val="24"/>
          <w:szCs w:val="24"/>
          <w:highlight w:val="none"/>
        </w:rPr>
        <w:t>“★</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”的品目为政府强制采购</w:t>
      </w:r>
      <w:r>
        <w:rPr>
          <w:rFonts w:ascii="宋体" w:hAnsi="宋体" w:eastAsia="宋体" w:cs="宋体"/>
          <w:spacing w:val="-1"/>
          <w:sz w:val="24"/>
          <w:szCs w:val="24"/>
          <w:highlight w:val="none"/>
        </w:rPr>
        <w:t>的节能产品，其他品目为政府优先采购的节能产品。</w:t>
      </w:r>
    </w:p>
    <w:p w14:paraId="3BE228B3">
      <w:pPr>
        <w:spacing w:before="215" w:line="360" w:lineRule="auto"/>
        <w:ind w:right="80" w:firstLine="492"/>
        <w:rPr>
          <w:rFonts w:ascii="宋体" w:hAnsi="宋体" w:eastAsia="宋体" w:cs="宋体"/>
          <w:sz w:val="24"/>
          <w:szCs w:val="24"/>
          <w:highlight w:val="none"/>
        </w:rPr>
      </w:pPr>
      <w:r>
        <w:rPr>
          <w:rFonts w:ascii="宋体" w:hAnsi="宋体" w:eastAsia="宋体" w:cs="宋体"/>
          <w:spacing w:val="-2"/>
          <w:sz w:val="24"/>
          <w:szCs w:val="24"/>
          <w:highlight w:val="none"/>
        </w:rPr>
        <w:t>（2）环境标志产品根据《财政部、国家环保总局联合印发&lt;关于环境标志产品政府</w:t>
      </w:r>
      <w:r>
        <w:rPr>
          <w:rFonts w:ascii="宋体" w:hAnsi="宋体" w:eastAsia="宋体" w:cs="宋体"/>
          <w:spacing w:val="-17"/>
          <w:sz w:val="24"/>
          <w:szCs w:val="24"/>
          <w:highlight w:val="none"/>
        </w:rPr>
        <w:t>采</w:t>
      </w:r>
      <w:r>
        <w:rPr>
          <w:rFonts w:ascii="宋体" w:hAnsi="宋体" w:eastAsia="宋体" w:cs="宋体"/>
          <w:spacing w:val="-41"/>
          <w:sz w:val="24"/>
          <w:szCs w:val="24"/>
          <w:highlight w:val="none"/>
        </w:rPr>
        <w:t xml:space="preserve"> </w:t>
      </w:r>
      <w:r>
        <w:rPr>
          <w:rFonts w:ascii="宋体" w:hAnsi="宋体" w:eastAsia="宋体" w:cs="宋体"/>
          <w:spacing w:val="-17"/>
          <w:sz w:val="24"/>
          <w:szCs w:val="24"/>
          <w:highlight w:val="none"/>
        </w:rPr>
        <w:t>购</w:t>
      </w:r>
      <w:r>
        <w:rPr>
          <w:rFonts w:ascii="宋体" w:hAnsi="宋体" w:eastAsia="宋体" w:cs="宋体"/>
          <w:spacing w:val="-45"/>
          <w:sz w:val="24"/>
          <w:szCs w:val="24"/>
          <w:highlight w:val="none"/>
        </w:rPr>
        <w:t xml:space="preserve"> </w:t>
      </w:r>
      <w:r>
        <w:rPr>
          <w:rFonts w:ascii="宋体" w:hAnsi="宋体" w:eastAsia="宋体" w:cs="宋体"/>
          <w:spacing w:val="-17"/>
          <w:sz w:val="24"/>
          <w:szCs w:val="24"/>
          <w:highlight w:val="none"/>
        </w:rPr>
        <w:t>实</w:t>
      </w:r>
      <w:r>
        <w:rPr>
          <w:rFonts w:ascii="宋体" w:hAnsi="宋体" w:eastAsia="宋体" w:cs="宋体"/>
          <w:spacing w:val="-54"/>
          <w:sz w:val="24"/>
          <w:szCs w:val="24"/>
          <w:highlight w:val="none"/>
        </w:rPr>
        <w:t xml:space="preserve"> </w:t>
      </w:r>
      <w:r>
        <w:rPr>
          <w:rFonts w:ascii="宋体" w:hAnsi="宋体" w:eastAsia="宋体" w:cs="宋体"/>
          <w:spacing w:val="-17"/>
          <w:sz w:val="24"/>
          <w:szCs w:val="24"/>
          <w:highlight w:val="none"/>
        </w:rPr>
        <w:t>施</w:t>
      </w:r>
      <w:r>
        <w:rPr>
          <w:rFonts w:ascii="宋体" w:hAnsi="宋体" w:eastAsia="宋体" w:cs="宋体"/>
          <w:spacing w:val="-34"/>
          <w:sz w:val="24"/>
          <w:szCs w:val="24"/>
          <w:highlight w:val="none"/>
        </w:rPr>
        <w:t xml:space="preserve"> </w:t>
      </w:r>
      <w:r>
        <w:rPr>
          <w:rFonts w:ascii="宋体" w:hAnsi="宋体" w:eastAsia="宋体" w:cs="宋体"/>
          <w:spacing w:val="-17"/>
          <w:sz w:val="24"/>
          <w:szCs w:val="24"/>
          <w:highlight w:val="none"/>
        </w:rPr>
        <w:t>的</w:t>
      </w:r>
      <w:r>
        <w:rPr>
          <w:rFonts w:ascii="宋体" w:hAnsi="宋体" w:eastAsia="宋体" w:cs="宋体"/>
          <w:spacing w:val="-44"/>
          <w:sz w:val="24"/>
          <w:szCs w:val="24"/>
          <w:highlight w:val="none"/>
        </w:rPr>
        <w:t xml:space="preserve"> </w:t>
      </w:r>
      <w:r>
        <w:rPr>
          <w:rFonts w:ascii="宋体" w:hAnsi="宋体" w:eastAsia="宋体" w:cs="宋体"/>
          <w:spacing w:val="-17"/>
          <w:sz w:val="24"/>
          <w:szCs w:val="24"/>
          <w:highlight w:val="none"/>
        </w:rPr>
        <w:t>意</w:t>
      </w:r>
      <w:r>
        <w:rPr>
          <w:rFonts w:ascii="宋体" w:hAnsi="宋体" w:eastAsia="宋体" w:cs="宋体"/>
          <w:spacing w:val="-49"/>
          <w:sz w:val="24"/>
          <w:szCs w:val="24"/>
          <w:highlight w:val="none"/>
        </w:rPr>
        <w:t xml:space="preserve"> </w:t>
      </w:r>
      <w:r>
        <w:rPr>
          <w:rFonts w:ascii="宋体" w:hAnsi="宋体" w:eastAsia="宋体" w:cs="宋体"/>
          <w:spacing w:val="-17"/>
          <w:sz w:val="24"/>
          <w:szCs w:val="24"/>
          <w:highlight w:val="none"/>
        </w:rPr>
        <w:t>见</w:t>
      </w:r>
      <w:r>
        <w:rPr>
          <w:rFonts w:ascii="宋体" w:hAnsi="宋体" w:eastAsia="宋体" w:cs="宋体"/>
          <w:spacing w:val="-46"/>
          <w:sz w:val="24"/>
          <w:szCs w:val="24"/>
          <w:highlight w:val="none"/>
        </w:rPr>
        <w:t xml:space="preserve"> </w:t>
      </w:r>
      <w:r>
        <w:rPr>
          <w:rFonts w:ascii="宋体" w:hAnsi="宋体" w:eastAsia="宋体" w:cs="宋体"/>
          <w:spacing w:val="-17"/>
          <w:sz w:val="24"/>
          <w:szCs w:val="24"/>
          <w:highlight w:val="none"/>
        </w:rPr>
        <w:t>&gt;</w:t>
      </w:r>
      <w:r>
        <w:rPr>
          <w:rFonts w:ascii="宋体" w:hAnsi="宋体" w:eastAsia="宋体" w:cs="宋体"/>
          <w:spacing w:val="-38"/>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62"/>
          <w:sz w:val="24"/>
          <w:szCs w:val="24"/>
          <w:highlight w:val="none"/>
        </w:rPr>
        <w:t xml:space="preserve"> </w:t>
      </w:r>
      <w:r>
        <w:rPr>
          <w:rFonts w:ascii="宋体" w:hAnsi="宋体" w:eastAsia="宋体" w:cs="宋体"/>
          <w:spacing w:val="-17"/>
          <w:sz w:val="24"/>
          <w:szCs w:val="24"/>
          <w:highlight w:val="none"/>
        </w:rPr>
        <w:t>（ 财</w:t>
      </w:r>
      <w:r>
        <w:rPr>
          <w:rFonts w:ascii="宋体" w:hAnsi="宋体" w:eastAsia="宋体" w:cs="宋体"/>
          <w:spacing w:val="-52"/>
          <w:sz w:val="24"/>
          <w:szCs w:val="24"/>
          <w:highlight w:val="none"/>
        </w:rPr>
        <w:t xml:space="preserve"> </w:t>
      </w:r>
      <w:r>
        <w:rPr>
          <w:rFonts w:ascii="宋体" w:hAnsi="宋体" w:eastAsia="宋体" w:cs="宋体"/>
          <w:spacing w:val="-17"/>
          <w:sz w:val="24"/>
          <w:szCs w:val="24"/>
          <w:highlight w:val="none"/>
        </w:rPr>
        <w:t>库</w:t>
      </w:r>
      <w:r>
        <w:rPr>
          <w:rFonts w:ascii="宋体" w:hAnsi="宋体" w:eastAsia="宋体" w:cs="宋体"/>
          <w:spacing w:val="-63"/>
          <w:sz w:val="24"/>
          <w:szCs w:val="24"/>
          <w:highlight w:val="none"/>
        </w:rPr>
        <w:t xml:space="preserve"> </w:t>
      </w:r>
      <w:r>
        <w:rPr>
          <w:rFonts w:ascii="宋体" w:hAnsi="宋体" w:eastAsia="宋体" w:cs="宋体"/>
          <w:spacing w:val="-17"/>
          <w:sz w:val="24"/>
          <w:szCs w:val="24"/>
          <w:highlight w:val="none"/>
        </w:rPr>
        <w:t>【 2006</w:t>
      </w:r>
      <w:r>
        <w:rPr>
          <w:rFonts w:ascii="宋体" w:hAnsi="宋体" w:eastAsia="宋体" w:cs="宋体"/>
          <w:spacing w:val="-29"/>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50"/>
          <w:sz w:val="24"/>
          <w:szCs w:val="24"/>
          <w:highlight w:val="none"/>
        </w:rPr>
        <w:t xml:space="preserve"> </w:t>
      </w:r>
      <w:r>
        <w:rPr>
          <w:rFonts w:ascii="宋体" w:hAnsi="宋体" w:eastAsia="宋体" w:cs="宋体"/>
          <w:spacing w:val="-17"/>
          <w:sz w:val="24"/>
          <w:szCs w:val="24"/>
          <w:highlight w:val="none"/>
        </w:rPr>
        <w:t>90 号 ）</w:t>
      </w:r>
      <w:r>
        <w:rPr>
          <w:rFonts w:ascii="宋体" w:hAnsi="宋体" w:eastAsia="宋体" w:cs="宋体"/>
          <w:spacing w:val="-31"/>
          <w:sz w:val="24"/>
          <w:szCs w:val="24"/>
          <w:highlight w:val="none"/>
        </w:rPr>
        <w:t xml:space="preserve"> </w:t>
      </w:r>
      <w:r>
        <w:rPr>
          <w:rFonts w:ascii="宋体" w:hAnsi="宋体" w:eastAsia="宋体" w:cs="宋体"/>
          <w:spacing w:val="-17"/>
          <w:sz w:val="24"/>
          <w:szCs w:val="24"/>
          <w:highlight w:val="none"/>
        </w:rPr>
        <w:t>的</w:t>
      </w:r>
      <w:r>
        <w:rPr>
          <w:rFonts w:ascii="宋体" w:hAnsi="宋体" w:eastAsia="宋体" w:cs="宋体"/>
          <w:spacing w:val="-52"/>
          <w:sz w:val="24"/>
          <w:szCs w:val="24"/>
          <w:highlight w:val="none"/>
        </w:rPr>
        <w:t xml:space="preserve"> </w:t>
      </w:r>
      <w:r>
        <w:rPr>
          <w:rFonts w:ascii="宋体" w:hAnsi="宋体" w:eastAsia="宋体" w:cs="宋体"/>
          <w:spacing w:val="-17"/>
          <w:sz w:val="24"/>
          <w:szCs w:val="24"/>
          <w:highlight w:val="none"/>
        </w:rPr>
        <w:t>规</w:t>
      </w:r>
      <w:r>
        <w:rPr>
          <w:rFonts w:ascii="宋体" w:hAnsi="宋体" w:eastAsia="宋体" w:cs="宋体"/>
          <w:spacing w:val="-47"/>
          <w:sz w:val="24"/>
          <w:szCs w:val="24"/>
          <w:highlight w:val="none"/>
        </w:rPr>
        <w:t xml:space="preserve"> </w:t>
      </w:r>
      <w:r>
        <w:rPr>
          <w:rFonts w:ascii="宋体" w:hAnsi="宋体" w:eastAsia="宋体" w:cs="宋体"/>
          <w:spacing w:val="-17"/>
          <w:sz w:val="24"/>
          <w:szCs w:val="24"/>
          <w:highlight w:val="none"/>
        </w:rPr>
        <w:t>定</w:t>
      </w:r>
      <w:r>
        <w:rPr>
          <w:rFonts w:ascii="宋体" w:hAnsi="宋体" w:eastAsia="宋体" w:cs="宋体"/>
          <w:spacing w:val="-31"/>
          <w:sz w:val="24"/>
          <w:szCs w:val="24"/>
          <w:highlight w:val="none"/>
        </w:rPr>
        <w:t xml:space="preserve"> </w:t>
      </w:r>
      <w:r>
        <w:rPr>
          <w:rFonts w:ascii="宋体" w:hAnsi="宋体" w:eastAsia="宋体" w:cs="宋体"/>
          <w:spacing w:val="-17"/>
          <w:sz w:val="24"/>
          <w:szCs w:val="24"/>
          <w:highlight w:val="none"/>
        </w:rPr>
        <w:t>， 以</w:t>
      </w:r>
      <w:r>
        <w:rPr>
          <w:rFonts w:ascii="宋体" w:hAnsi="宋体" w:eastAsia="宋体" w:cs="宋体"/>
          <w:spacing w:val="-31"/>
          <w:sz w:val="24"/>
          <w:szCs w:val="24"/>
          <w:highlight w:val="none"/>
        </w:rPr>
        <w:t xml:space="preserve"> </w:t>
      </w:r>
      <w:r>
        <w:rPr>
          <w:rFonts w:ascii="宋体" w:hAnsi="宋体" w:eastAsia="宋体" w:cs="宋体"/>
          <w:spacing w:val="-17"/>
          <w:sz w:val="24"/>
          <w:szCs w:val="24"/>
          <w:highlight w:val="none"/>
        </w:rPr>
        <w:t>中</w:t>
      </w:r>
      <w:r>
        <w:rPr>
          <w:rFonts w:ascii="宋体" w:hAnsi="宋体" w:eastAsia="宋体" w:cs="宋体"/>
          <w:spacing w:val="-29"/>
          <w:sz w:val="24"/>
          <w:szCs w:val="24"/>
          <w:highlight w:val="none"/>
        </w:rPr>
        <w:t xml:space="preserve"> </w:t>
      </w:r>
      <w:r>
        <w:rPr>
          <w:rFonts w:ascii="宋体" w:hAnsi="宋体" w:eastAsia="宋体" w:cs="宋体"/>
          <w:spacing w:val="-17"/>
          <w:sz w:val="24"/>
          <w:szCs w:val="24"/>
          <w:highlight w:val="none"/>
        </w:rPr>
        <w:t>国</w:t>
      </w:r>
      <w:r>
        <w:rPr>
          <w:rFonts w:ascii="宋体" w:hAnsi="宋体" w:eastAsia="宋体" w:cs="宋体"/>
          <w:spacing w:val="-52"/>
          <w:sz w:val="24"/>
          <w:szCs w:val="24"/>
          <w:highlight w:val="none"/>
        </w:rPr>
        <w:t xml:space="preserve"> </w:t>
      </w:r>
      <w:r>
        <w:rPr>
          <w:rFonts w:ascii="宋体" w:hAnsi="宋体" w:eastAsia="宋体" w:cs="宋体"/>
          <w:spacing w:val="-17"/>
          <w:sz w:val="24"/>
          <w:szCs w:val="24"/>
          <w:highlight w:val="none"/>
        </w:rPr>
        <w:t>政</w:t>
      </w:r>
      <w:r>
        <w:rPr>
          <w:rFonts w:ascii="宋体" w:hAnsi="宋体" w:eastAsia="宋体" w:cs="宋体"/>
          <w:spacing w:val="-54"/>
          <w:sz w:val="24"/>
          <w:szCs w:val="24"/>
          <w:highlight w:val="none"/>
        </w:rPr>
        <w:t xml:space="preserve"> </w:t>
      </w:r>
      <w:r>
        <w:rPr>
          <w:rFonts w:ascii="宋体" w:hAnsi="宋体" w:eastAsia="宋体" w:cs="宋体"/>
          <w:spacing w:val="-17"/>
          <w:sz w:val="24"/>
          <w:szCs w:val="24"/>
          <w:highlight w:val="none"/>
        </w:rPr>
        <w:t>府</w:t>
      </w:r>
      <w:r>
        <w:rPr>
          <w:rFonts w:ascii="宋体" w:hAnsi="宋体" w:eastAsia="宋体" w:cs="宋体"/>
          <w:spacing w:val="-54"/>
          <w:sz w:val="24"/>
          <w:szCs w:val="24"/>
          <w:highlight w:val="none"/>
        </w:rPr>
        <w:t xml:space="preserve"> </w:t>
      </w:r>
      <w:r>
        <w:rPr>
          <w:rFonts w:ascii="宋体" w:hAnsi="宋体" w:eastAsia="宋体" w:cs="宋体"/>
          <w:spacing w:val="-17"/>
          <w:sz w:val="24"/>
          <w:szCs w:val="24"/>
          <w:highlight w:val="none"/>
        </w:rPr>
        <w:t>采</w:t>
      </w:r>
      <w:r>
        <w:rPr>
          <w:rFonts w:ascii="宋体" w:hAnsi="宋体" w:eastAsia="宋体" w:cs="宋体"/>
          <w:spacing w:val="-53"/>
          <w:sz w:val="24"/>
          <w:szCs w:val="24"/>
          <w:highlight w:val="none"/>
        </w:rPr>
        <w:t xml:space="preserve"> </w:t>
      </w:r>
      <w:r>
        <w:rPr>
          <w:rFonts w:ascii="宋体" w:hAnsi="宋体" w:eastAsia="宋体" w:cs="宋体"/>
          <w:spacing w:val="-17"/>
          <w:sz w:val="24"/>
          <w:szCs w:val="24"/>
          <w:highlight w:val="none"/>
        </w:rPr>
        <w:t>购</w:t>
      </w:r>
      <w:r>
        <w:rPr>
          <w:rFonts w:ascii="宋体" w:hAnsi="宋体" w:eastAsia="宋体" w:cs="宋体"/>
          <w:spacing w:val="-34"/>
          <w:sz w:val="24"/>
          <w:szCs w:val="24"/>
          <w:highlight w:val="none"/>
        </w:rPr>
        <w:t xml:space="preserve"> </w:t>
      </w:r>
      <w:r>
        <w:rPr>
          <w:rFonts w:ascii="宋体" w:hAnsi="宋体" w:eastAsia="宋体" w:cs="宋体"/>
          <w:spacing w:val="-17"/>
          <w:sz w:val="24"/>
          <w:szCs w:val="24"/>
          <w:highlight w:val="none"/>
        </w:rPr>
        <w:t>网</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z w:val="24"/>
          <w:szCs w:val="24"/>
          <w:highlight w:val="none"/>
        </w:rPr>
        <w:t>http</w:t>
      </w:r>
      <w:r>
        <w:rPr>
          <w:rFonts w:ascii="宋体" w:hAnsi="宋体" w:eastAsia="宋体" w:cs="宋体"/>
          <w:spacing w:val="2"/>
          <w:sz w:val="24"/>
          <w:szCs w:val="24"/>
          <w:highlight w:val="none"/>
        </w:rPr>
        <w:t>://</w:t>
      </w:r>
      <w:r>
        <w:rPr>
          <w:rFonts w:ascii="宋体" w:hAnsi="宋体" w:eastAsia="宋体" w:cs="宋体"/>
          <w:sz w:val="24"/>
          <w:szCs w:val="24"/>
          <w:highlight w:val="none"/>
        </w:rPr>
        <w:t>www</w:t>
      </w:r>
      <w:r>
        <w:rPr>
          <w:rFonts w:ascii="宋体" w:hAnsi="宋体" w:eastAsia="宋体" w:cs="宋体"/>
          <w:spacing w:val="2"/>
          <w:sz w:val="24"/>
          <w:szCs w:val="24"/>
          <w:highlight w:val="none"/>
        </w:rPr>
        <w:t>.</w:t>
      </w:r>
      <w:r>
        <w:rPr>
          <w:rFonts w:ascii="宋体" w:hAnsi="宋体" w:eastAsia="宋体" w:cs="宋体"/>
          <w:sz w:val="24"/>
          <w:szCs w:val="24"/>
          <w:highlight w:val="none"/>
        </w:rPr>
        <w:t>ccgp</w:t>
      </w:r>
      <w:r>
        <w:rPr>
          <w:rFonts w:ascii="宋体" w:hAnsi="宋体" w:eastAsia="宋体" w:cs="宋体"/>
          <w:spacing w:val="2"/>
          <w:sz w:val="24"/>
          <w:szCs w:val="24"/>
          <w:highlight w:val="none"/>
        </w:rPr>
        <w:t>.</w:t>
      </w:r>
      <w:r>
        <w:rPr>
          <w:rFonts w:ascii="宋体" w:hAnsi="宋体" w:eastAsia="宋体" w:cs="宋体"/>
          <w:sz w:val="24"/>
          <w:szCs w:val="24"/>
          <w:highlight w:val="none"/>
        </w:rPr>
        <w:t>gov</w:t>
      </w:r>
      <w:r>
        <w:rPr>
          <w:rFonts w:ascii="宋体" w:hAnsi="宋体" w:eastAsia="宋体" w:cs="宋体"/>
          <w:spacing w:val="2"/>
          <w:sz w:val="24"/>
          <w:szCs w:val="24"/>
          <w:highlight w:val="none"/>
        </w:rPr>
        <w:t>.</w:t>
      </w:r>
      <w:r>
        <w:rPr>
          <w:rFonts w:ascii="宋体" w:hAnsi="宋体" w:eastAsia="宋体" w:cs="宋体"/>
          <w:sz w:val="24"/>
          <w:szCs w:val="24"/>
          <w:highlight w:val="none"/>
        </w:rPr>
        <w:t>cn</w:t>
      </w:r>
      <w:r>
        <w:rPr>
          <w:rFonts w:ascii="宋体" w:hAnsi="宋体" w:eastAsia="宋体" w:cs="宋体"/>
          <w:spacing w:val="2"/>
          <w:sz w:val="24"/>
          <w:szCs w:val="24"/>
          <w:highlight w:val="none"/>
        </w:rPr>
        <w:t>/</w:t>
      </w:r>
      <w:r>
        <w:rPr>
          <w:rFonts w:ascii="宋体" w:hAnsi="宋体" w:eastAsia="宋体" w:cs="宋体"/>
          <w:spacing w:val="2"/>
          <w:sz w:val="24"/>
          <w:szCs w:val="24"/>
          <w:highlight w:val="none"/>
        </w:rPr>
        <w:fldChar w:fldCharType="end"/>
      </w:r>
      <w:r>
        <w:rPr>
          <w:rFonts w:ascii="宋体" w:hAnsi="宋体" w:eastAsia="宋体" w:cs="宋体"/>
          <w:spacing w:val="2"/>
          <w:sz w:val="24"/>
          <w:szCs w:val="24"/>
          <w:highlight w:val="none"/>
        </w:rPr>
        <w:t>）公布的最新一期环境标志产品政府采购清单为</w:t>
      </w:r>
      <w:r>
        <w:rPr>
          <w:rFonts w:ascii="宋体" w:hAnsi="宋体" w:eastAsia="宋体" w:cs="宋体"/>
          <w:spacing w:val="1"/>
          <w:sz w:val="24"/>
          <w:szCs w:val="24"/>
          <w:highlight w:val="none"/>
        </w:rPr>
        <w:t>准。环保</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清单所列产品为政府优先采购产品。</w:t>
      </w:r>
    </w:p>
    <w:p w14:paraId="3553BBC5">
      <w:pPr>
        <w:spacing w:before="215" w:line="360" w:lineRule="auto"/>
        <w:ind w:left="482"/>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十、招标代理服务费</w:t>
      </w:r>
    </w:p>
    <w:p w14:paraId="35B5AF08">
      <w:pPr>
        <w:spacing w:before="219" w:line="360" w:lineRule="auto"/>
        <w:ind w:left="1" w:firstLine="481"/>
        <w:jc w:val="both"/>
        <w:rPr>
          <w:rFonts w:ascii="宋体" w:hAnsi="宋体" w:eastAsia="宋体" w:cs="宋体"/>
          <w:spacing w:val="-1"/>
          <w:sz w:val="24"/>
          <w:szCs w:val="24"/>
          <w:highlight w:val="none"/>
        </w:rPr>
      </w:pPr>
      <w:r>
        <w:rPr>
          <w:rFonts w:ascii="宋体" w:hAnsi="宋体" w:eastAsia="宋体" w:cs="宋体"/>
          <w:sz w:val="24"/>
          <w:szCs w:val="24"/>
          <w:highlight w:val="none"/>
        </w:rPr>
        <w:t>按照国家发展改革委《关于进一步放开建设项目专业服务价格的通知》</w:t>
      </w:r>
      <w:r>
        <w:rPr>
          <w:rFonts w:ascii="宋体" w:hAnsi="宋体" w:eastAsia="宋体" w:cs="宋体"/>
          <w:spacing w:val="-61"/>
          <w:sz w:val="24"/>
          <w:szCs w:val="24"/>
          <w:highlight w:val="none"/>
        </w:rPr>
        <w:t xml:space="preserve"> </w:t>
      </w:r>
      <w:r>
        <w:rPr>
          <w:rFonts w:ascii="宋体" w:hAnsi="宋体" w:eastAsia="宋体" w:cs="宋体"/>
          <w:sz w:val="24"/>
          <w:szCs w:val="24"/>
          <w:highlight w:val="none"/>
        </w:rPr>
        <w:t xml:space="preserve">(发改价格 </w:t>
      </w:r>
      <w:r>
        <w:rPr>
          <w:rFonts w:ascii="宋体" w:hAnsi="宋体" w:eastAsia="宋体" w:cs="宋体"/>
          <w:spacing w:val="-4"/>
          <w:sz w:val="24"/>
          <w:szCs w:val="24"/>
          <w:highlight w:val="none"/>
        </w:rPr>
        <w:t>[2015]299</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号文)</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”及“</w:t>
      </w:r>
      <w:r>
        <w:rPr>
          <w:rFonts w:ascii="宋体" w:hAnsi="宋体" w:eastAsia="宋体" w:cs="宋体"/>
          <w:spacing w:val="-93"/>
          <w:sz w:val="24"/>
          <w:szCs w:val="24"/>
          <w:highlight w:val="none"/>
        </w:rPr>
        <w:t xml:space="preserve"> </w:t>
      </w:r>
      <w:r>
        <w:rPr>
          <w:rFonts w:ascii="宋体" w:hAnsi="宋体" w:eastAsia="宋体" w:cs="宋体"/>
          <w:spacing w:val="-4"/>
          <w:sz w:val="24"/>
          <w:szCs w:val="24"/>
          <w:highlight w:val="none"/>
        </w:rPr>
        <w:t>陕西省物价局、</w:t>
      </w:r>
      <w:r>
        <w:rPr>
          <w:rFonts w:ascii="宋体" w:hAnsi="宋体" w:eastAsia="宋体" w:cs="宋体"/>
          <w:spacing w:val="-5"/>
          <w:sz w:val="24"/>
          <w:szCs w:val="24"/>
          <w:highlight w:val="none"/>
        </w:rPr>
        <w:t>陕西省住房和城乡建设厅《关于我省工程造价咨</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询服务收费标准有关问题的通知》(陕价行[2014]88</w:t>
      </w:r>
      <w:r>
        <w:rPr>
          <w:rFonts w:ascii="宋体" w:hAnsi="宋体" w:eastAsia="宋体" w:cs="宋体"/>
          <w:spacing w:val="-29"/>
          <w:sz w:val="24"/>
          <w:szCs w:val="24"/>
          <w:highlight w:val="none"/>
        </w:rPr>
        <w:t xml:space="preserve"> </w:t>
      </w:r>
      <w:r>
        <w:rPr>
          <w:rFonts w:ascii="宋体" w:hAnsi="宋体" w:eastAsia="宋体" w:cs="宋体"/>
          <w:spacing w:val="-5"/>
          <w:sz w:val="24"/>
          <w:szCs w:val="24"/>
          <w:highlight w:val="none"/>
        </w:rPr>
        <w:t>号文)</w:t>
      </w:r>
      <w:r>
        <w:rPr>
          <w:rFonts w:ascii="宋体" w:hAnsi="宋体" w:eastAsia="宋体" w:cs="宋体"/>
          <w:spacing w:val="-88"/>
          <w:sz w:val="24"/>
          <w:szCs w:val="24"/>
          <w:highlight w:val="none"/>
        </w:rPr>
        <w:t xml:space="preserve"> </w:t>
      </w:r>
      <w:r>
        <w:rPr>
          <w:rFonts w:ascii="宋体" w:hAnsi="宋体" w:eastAsia="宋体" w:cs="宋体"/>
          <w:spacing w:val="-5"/>
          <w:sz w:val="24"/>
          <w:szCs w:val="24"/>
          <w:highlight w:val="none"/>
        </w:rPr>
        <w:t>”，参照原“</w:t>
      </w:r>
      <w:r>
        <w:rPr>
          <w:rFonts w:ascii="宋体" w:hAnsi="宋体" w:eastAsia="宋体" w:cs="宋体"/>
          <w:spacing w:val="-87"/>
          <w:sz w:val="24"/>
          <w:szCs w:val="24"/>
          <w:highlight w:val="none"/>
        </w:rPr>
        <w:t xml:space="preserve"> </w:t>
      </w:r>
      <w:r>
        <w:rPr>
          <w:rFonts w:ascii="宋体" w:hAnsi="宋体" w:eastAsia="宋体" w:cs="宋体"/>
          <w:spacing w:val="-5"/>
          <w:sz w:val="24"/>
          <w:szCs w:val="24"/>
          <w:highlight w:val="none"/>
        </w:rPr>
        <w:t>国家计委关于印</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发《招标代理服务费管理暂行办法的通知》(计价格[2002]1980</w:t>
      </w:r>
      <w:r>
        <w:rPr>
          <w:rFonts w:ascii="宋体" w:hAnsi="宋体" w:eastAsia="宋体" w:cs="宋体"/>
          <w:spacing w:val="-45"/>
          <w:sz w:val="24"/>
          <w:szCs w:val="24"/>
          <w:highlight w:val="none"/>
        </w:rPr>
        <w:t xml:space="preserve"> </w:t>
      </w:r>
      <w:r>
        <w:rPr>
          <w:rFonts w:ascii="宋体" w:hAnsi="宋体" w:eastAsia="宋体" w:cs="宋体"/>
          <w:spacing w:val="-7"/>
          <w:sz w:val="24"/>
          <w:szCs w:val="24"/>
          <w:highlight w:val="none"/>
        </w:rPr>
        <w:t>号</w:t>
      </w:r>
      <w:r>
        <w:rPr>
          <w:rFonts w:ascii="宋体" w:hAnsi="宋体" w:eastAsia="宋体" w:cs="宋体"/>
          <w:spacing w:val="-8"/>
          <w:sz w:val="24"/>
          <w:szCs w:val="24"/>
          <w:highlight w:val="none"/>
        </w:rPr>
        <w:t>)</w:t>
      </w:r>
      <w:r>
        <w:rPr>
          <w:rFonts w:ascii="宋体" w:hAnsi="宋体" w:eastAsia="宋体" w:cs="宋体"/>
          <w:spacing w:val="-88"/>
          <w:sz w:val="24"/>
          <w:szCs w:val="24"/>
          <w:highlight w:val="none"/>
        </w:rPr>
        <w:t xml:space="preserve"> </w:t>
      </w:r>
      <w:r>
        <w:rPr>
          <w:rFonts w:ascii="宋体" w:hAnsi="宋体" w:eastAsia="宋体" w:cs="宋体"/>
          <w:spacing w:val="-8"/>
          <w:sz w:val="24"/>
          <w:szCs w:val="24"/>
          <w:highlight w:val="none"/>
        </w:rPr>
        <w:t>”规定收费标准收取。</w:t>
      </w:r>
      <w:r>
        <w:rPr>
          <w:rFonts w:ascii="宋体" w:hAnsi="宋体" w:eastAsia="宋体" w:cs="宋体"/>
          <w:sz w:val="24"/>
          <w:szCs w:val="24"/>
          <w:highlight w:val="none"/>
        </w:rPr>
        <w:t xml:space="preserve"> 结算时以项目中标价为基数，按照上述文件规</w:t>
      </w:r>
      <w:r>
        <w:rPr>
          <w:rFonts w:ascii="宋体" w:hAnsi="宋体" w:eastAsia="宋体" w:cs="宋体"/>
          <w:spacing w:val="-1"/>
          <w:sz w:val="24"/>
          <w:szCs w:val="24"/>
          <w:highlight w:val="none"/>
        </w:rPr>
        <w:t>定计算招标代理服务费。</w:t>
      </w:r>
    </w:p>
    <w:p w14:paraId="0ED86E14">
      <w:pPr>
        <w:numPr>
          <w:ilvl w:val="0"/>
          <w:numId w:val="14"/>
        </w:numPr>
        <w:spacing w:line="360" w:lineRule="auto"/>
        <w:ind w:firstLine="482" w:firstLineChars="200"/>
        <w:rPr>
          <w:rFonts w:hint="eastAsia" w:hAnsi="宋体" w:cs="宋体"/>
          <w:b/>
          <w:bCs/>
          <w:color w:val="auto"/>
          <w:szCs w:val="24"/>
          <w:highlight w:val="none"/>
          <w:lang w:eastAsia="zh-CN"/>
        </w:rPr>
      </w:pPr>
      <w:r>
        <w:rPr>
          <w:rFonts w:hint="eastAsia" w:ascii="宋体" w:hAnsi="宋体" w:eastAsia="宋体" w:cs="宋体"/>
          <w:b/>
          <w:bCs/>
          <w:color w:val="auto"/>
          <w:szCs w:val="24"/>
          <w:highlight w:val="none"/>
        </w:rPr>
        <w:t xml:space="preserve">采购代理机构开户名称: </w:t>
      </w:r>
      <w:r>
        <w:rPr>
          <w:rFonts w:hint="eastAsia" w:hAnsi="宋体" w:cs="宋体"/>
          <w:b/>
          <w:bCs/>
          <w:color w:val="auto"/>
          <w:szCs w:val="24"/>
          <w:highlight w:val="none"/>
          <w:lang w:eastAsia="zh-CN"/>
        </w:rPr>
        <w:t>陕西银正项目管理有限公司</w:t>
      </w:r>
    </w:p>
    <w:p w14:paraId="0B2F9C7A">
      <w:pPr>
        <w:numPr>
          <w:ilvl w:val="0"/>
          <w:numId w:val="0"/>
        </w:num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2、开户行名称：</w:t>
      </w:r>
      <w:r>
        <w:rPr>
          <w:rFonts w:hint="eastAsia" w:hAnsi="宋体" w:cs="宋体"/>
          <w:b/>
          <w:bCs/>
          <w:color w:val="auto"/>
          <w:szCs w:val="24"/>
          <w:highlight w:val="none"/>
          <w:lang w:eastAsia="zh-CN"/>
        </w:rPr>
        <w:t>中国工商银行股份有限公司西安凤城七路支行</w:t>
      </w:r>
    </w:p>
    <w:p w14:paraId="6907D763">
      <w:pPr>
        <w:pStyle w:val="10"/>
        <w:spacing w:line="360" w:lineRule="auto"/>
        <w:ind w:firstLine="482" w:firstLineChars="200"/>
        <w:rPr>
          <w:rFonts w:hint="eastAsia" w:ascii="宋体" w:hAnsi="宋体" w:eastAsia="宋体" w:cs="宋体"/>
          <w:spacing w:val="-1"/>
          <w:sz w:val="24"/>
          <w:szCs w:val="24"/>
          <w:highlight w:val="none"/>
          <w:lang w:eastAsia="zh-CN"/>
        </w:rPr>
      </w:pPr>
      <w:r>
        <w:rPr>
          <w:rFonts w:hint="eastAsia" w:ascii="宋体" w:hAnsi="宋体" w:eastAsia="宋体" w:cs="宋体"/>
          <w:b/>
          <w:bCs/>
          <w:color w:val="auto"/>
          <w:sz w:val="24"/>
          <w:szCs w:val="24"/>
          <w:highlight w:val="none"/>
        </w:rPr>
        <w:t>3、账号：3700085109100068236</w:t>
      </w:r>
    </w:p>
    <w:p w14:paraId="20A0F2BD">
      <w:pPr>
        <w:spacing w:line="360" w:lineRule="auto"/>
        <w:ind w:left="482"/>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十一、重新开展招标活动</w:t>
      </w:r>
    </w:p>
    <w:p w14:paraId="437D2E7C">
      <w:pPr>
        <w:spacing w:before="215" w:line="360" w:lineRule="auto"/>
        <w:ind w:left="2" w:right="80" w:firstLine="482"/>
        <w:rPr>
          <w:rFonts w:ascii="宋体" w:hAnsi="宋体" w:eastAsia="宋体" w:cs="宋体"/>
          <w:sz w:val="24"/>
          <w:szCs w:val="24"/>
          <w:highlight w:val="none"/>
        </w:rPr>
      </w:pPr>
      <w:r>
        <w:rPr>
          <w:rFonts w:ascii="宋体" w:hAnsi="宋体" w:eastAsia="宋体" w:cs="宋体"/>
          <w:spacing w:val="-2"/>
          <w:sz w:val="24"/>
          <w:szCs w:val="24"/>
          <w:highlight w:val="none"/>
        </w:rPr>
        <w:t>如果发生下列情况之一的，采购人或采购代理机构将按有关规定终止竞争性磋商活</w:t>
      </w:r>
      <w:r>
        <w:rPr>
          <w:rFonts w:ascii="宋体" w:hAnsi="宋体" w:eastAsia="宋体" w:cs="宋体"/>
          <w:spacing w:val="-1"/>
          <w:sz w:val="24"/>
          <w:szCs w:val="24"/>
          <w:highlight w:val="none"/>
        </w:rPr>
        <w:t>动，发布项目终止公告并说明原因，重新开展招标活动：</w:t>
      </w:r>
    </w:p>
    <w:p w14:paraId="174F9CCF">
      <w:pPr>
        <w:spacing w:before="1" w:line="360" w:lineRule="auto"/>
        <w:ind w:left="253"/>
        <w:rPr>
          <w:rFonts w:ascii="宋体" w:hAnsi="宋体" w:eastAsia="宋体" w:cs="宋体"/>
          <w:sz w:val="24"/>
          <w:szCs w:val="24"/>
          <w:highlight w:val="none"/>
        </w:rPr>
      </w:pPr>
      <w:r>
        <w:rPr>
          <w:rFonts w:ascii="宋体" w:hAnsi="宋体" w:eastAsia="宋体" w:cs="宋体"/>
          <w:spacing w:val="-1"/>
          <w:sz w:val="24"/>
          <w:szCs w:val="24"/>
          <w:highlight w:val="none"/>
        </w:rPr>
        <w:t>（1）因情况变化，不再符合规定的竞争性磋商方式适用情形的；</w:t>
      </w:r>
    </w:p>
    <w:p w14:paraId="28563099">
      <w:pPr>
        <w:spacing w:before="216" w:line="360" w:lineRule="auto"/>
        <w:ind w:left="253"/>
        <w:rPr>
          <w:rFonts w:ascii="宋体" w:hAnsi="宋体" w:eastAsia="宋体" w:cs="宋体"/>
          <w:sz w:val="24"/>
          <w:szCs w:val="24"/>
          <w:highlight w:val="none"/>
        </w:rPr>
      </w:pPr>
      <w:r>
        <w:rPr>
          <w:rFonts w:ascii="宋体" w:hAnsi="宋体" w:eastAsia="宋体" w:cs="宋体"/>
          <w:spacing w:val="-1"/>
          <w:sz w:val="24"/>
          <w:szCs w:val="24"/>
          <w:highlight w:val="none"/>
        </w:rPr>
        <w:t>（2）出现影响招标公正的违法、违规行为的；</w:t>
      </w:r>
    </w:p>
    <w:p w14:paraId="5C827E33">
      <w:pPr>
        <w:spacing w:before="213" w:line="360" w:lineRule="auto"/>
        <w:ind w:left="253"/>
        <w:rPr>
          <w:rFonts w:ascii="宋体" w:hAnsi="宋体" w:eastAsia="宋体" w:cs="宋体"/>
          <w:sz w:val="24"/>
          <w:szCs w:val="24"/>
          <w:highlight w:val="none"/>
        </w:rPr>
      </w:pPr>
      <w:r>
        <w:rPr>
          <w:rFonts w:ascii="宋体" w:hAnsi="宋体" w:eastAsia="宋体" w:cs="宋体"/>
          <w:spacing w:val="-1"/>
          <w:sz w:val="24"/>
          <w:szCs w:val="24"/>
          <w:highlight w:val="none"/>
        </w:rPr>
        <w:t>（3）磋商小组三分之二以上的专家认定所有磋商报价存在价格不实的现象；</w:t>
      </w:r>
    </w:p>
    <w:p w14:paraId="0F098C42">
      <w:pPr>
        <w:spacing w:before="216" w:line="360" w:lineRule="auto"/>
        <w:ind w:left="482"/>
        <w:outlineLvl w:val="9"/>
        <w:rPr>
          <w:rFonts w:ascii="宋体" w:hAnsi="宋体" w:eastAsia="宋体" w:cs="宋体"/>
          <w:sz w:val="24"/>
          <w:szCs w:val="24"/>
          <w:highlight w:val="none"/>
        </w:rPr>
      </w:pPr>
      <w:r>
        <w:rPr>
          <w:rFonts w:ascii="宋体" w:hAnsi="宋体" w:eastAsia="宋体" w:cs="宋体"/>
          <w:b/>
          <w:bCs/>
          <w:spacing w:val="-3"/>
          <w:sz w:val="24"/>
          <w:szCs w:val="24"/>
          <w:highlight w:val="none"/>
        </w:rPr>
        <w:t>十二、质疑与投诉</w:t>
      </w:r>
    </w:p>
    <w:p w14:paraId="26C6AAA3">
      <w:pPr>
        <w:spacing w:before="216" w:line="360" w:lineRule="auto"/>
        <w:ind w:left="499"/>
        <w:rPr>
          <w:rFonts w:ascii="宋体" w:hAnsi="宋体" w:eastAsia="宋体" w:cs="宋体"/>
          <w:sz w:val="24"/>
          <w:szCs w:val="24"/>
          <w:highlight w:val="none"/>
        </w:rPr>
      </w:pPr>
      <w:r>
        <w:rPr>
          <w:rFonts w:ascii="宋体" w:hAnsi="宋体" w:eastAsia="宋体" w:cs="宋体"/>
          <w:spacing w:val="-7"/>
          <w:sz w:val="24"/>
          <w:szCs w:val="24"/>
          <w:highlight w:val="none"/>
        </w:rPr>
        <w:t>1.质疑</w:t>
      </w:r>
    </w:p>
    <w:p w14:paraId="44AD9371">
      <w:pPr>
        <w:spacing w:before="204" w:line="360" w:lineRule="auto"/>
        <w:ind w:left="1" w:right="60" w:firstLine="496"/>
        <w:rPr>
          <w:rFonts w:ascii="宋体" w:hAnsi="宋体" w:eastAsia="宋体" w:cs="宋体"/>
          <w:spacing w:val="-3"/>
          <w:sz w:val="24"/>
          <w:szCs w:val="24"/>
          <w:highlight w:val="none"/>
        </w:rPr>
      </w:pPr>
      <w:r>
        <w:rPr>
          <w:rFonts w:ascii="宋体" w:hAnsi="宋体" w:eastAsia="宋体" w:cs="宋体"/>
          <w:spacing w:val="-1"/>
          <w:sz w:val="24"/>
          <w:szCs w:val="24"/>
          <w:highlight w:val="none"/>
        </w:rPr>
        <w:t>1.1</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供应商对本次磋商采购活动有疑问的，按照《</w:t>
      </w:r>
      <w:r>
        <w:rPr>
          <w:rFonts w:hint="eastAsia" w:hAnsi="宋体" w:cs="宋体"/>
          <w:spacing w:val="-1"/>
          <w:sz w:val="24"/>
          <w:szCs w:val="24"/>
          <w:highlight w:val="none"/>
          <w:lang w:eastAsia="zh-CN"/>
        </w:rPr>
        <w:t>中华人民共和国政府采购法</w:t>
      </w:r>
      <w:r>
        <w:rPr>
          <w:rFonts w:ascii="宋体" w:hAnsi="宋体" w:eastAsia="宋体" w:cs="宋体"/>
          <w:spacing w:val="-1"/>
          <w:sz w:val="24"/>
          <w:szCs w:val="24"/>
          <w:highlight w:val="none"/>
        </w:rPr>
        <w:t>》《</w:t>
      </w:r>
      <w:r>
        <w:rPr>
          <w:rFonts w:hint="eastAsia" w:hAnsi="宋体" w:cs="宋体"/>
          <w:spacing w:val="-1"/>
          <w:sz w:val="24"/>
          <w:szCs w:val="24"/>
          <w:highlight w:val="none"/>
          <w:lang w:eastAsia="zh-CN"/>
        </w:rPr>
        <w:t>中华人民共和国政府采购法实施条例</w:t>
      </w:r>
      <w:r>
        <w:rPr>
          <w:rFonts w:ascii="宋体" w:hAnsi="宋体" w:eastAsia="宋体" w:cs="宋体"/>
          <w:spacing w:val="-3"/>
          <w:sz w:val="24"/>
          <w:szCs w:val="24"/>
          <w:highlight w:val="none"/>
        </w:rPr>
        <w:t>》和《政府采购质疑和投诉办法》</w:t>
      </w:r>
      <w:r>
        <w:rPr>
          <w:rFonts w:ascii="宋体" w:hAnsi="宋体" w:eastAsia="宋体" w:cs="宋体"/>
          <w:spacing w:val="-62"/>
          <w:sz w:val="24"/>
          <w:szCs w:val="24"/>
          <w:highlight w:val="none"/>
        </w:rPr>
        <w:t xml:space="preserve"> </w:t>
      </w:r>
      <w:r>
        <w:rPr>
          <w:rFonts w:ascii="宋体" w:hAnsi="宋体" w:eastAsia="宋体" w:cs="宋体"/>
          <w:spacing w:val="-3"/>
          <w:sz w:val="24"/>
          <w:szCs w:val="24"/>
          <w:highlight w:val="none"/>
        </w:rPr>
        <w:t>(财政部</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94</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号令)的规定办理。</w:t>
      </w:r>
    </w:p>
    <w:p w14:paraId="27171C03">
      <w:pPr>
        <w:spacing w:before="204" w:line="360" w:lineRule="auto"/>
        <w:ind w:left="1" w:right="60" w:firstLine="496"/>
        <w:rPr>
          <w:rFonts w:ascii="宋体" w:hAnsi="宋体" w:eastAsia="宋体" w:cs="宋体"/>
          <w:sz w:val="24"/>
          <w:szCs w:val="24"/>
          <w:highlight w:val="none"/>
        </w:rPr>
      </w:pPr>
      <w:r>
        <w:rPr>
          <w:rFonts w:ascii="宋体" w:hAnsi="宋体" w:eastAsia="宋体" w:cs="宋体"/>
          <w:spacing w:val="-1"/>
          <w:sz w:val="24"/>
          <w:szCs w:val="24"/>
          <w:highlight w:val="none"/>
        </w:rPr>
        <w:t>1.2</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供应商对磋商文件、采购过程或成交结果使自身的合法权益受到损害，应当在法定期限内，按照质疑函范本格式要求以书面形式向采</w:t>
      </w:r>
      <w:r>
        <w:rPr>
          <w:rFonts w:ascii="宋体" w:hAnsi="宋体" w:eastAsia="宋体" w:cs="宋体"/>
          <w:spacing w:val="-2"/>
          <w:sz w:val="24"/>
          <w:szCs w:val="24"/>
          <w:highlight w:val="none"/>
        </w:rPr>
        <w:t>购代理机构或采购人提出质疑。</w:t>
      </w:r>
    </w:p>
    <w:p w14:paraId="45762212">
      <w:pPr>
        <w:spacing w:before="2" w:line="360" w:lineRule="auto"/>
        <w:ind w:left="7" w:right="68" w:firstLine="491"/>
        <w:rPr>
          <w:rFonts w:ascii="宋体" w:hAnsi="宋体" w:eastAsia="宋体" w:cs="宋体"/>
          <w:sz w:val="24"/>
          <w:szCs w:val="24"/>
          <w:highlight w:val="none"/>
        </w:rPr>
      </w:pPr>
      <w:r>
        <w:rPr>
          <w:rFonts w:ascii="宋体" w:hAnsi="宋体" w:eastAsia="宋体" w:cs="宋体"/>
          <w:spacing w:val="-1"/>
          <w:sz w:val="24"/>
          <w:szCs w:val="24"/>
          <w:highlight w:val="none"/>
        </w:rPr>
        <w:t>1.2.1</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质疑书应当包括以下主要内容：被质疑项目名称、项目编号、磋商文件获取</w:t>
      </w:r>
      <w:r>
        <w:rPr>
          <w:rFonts w:ascii="宋体" w:hAnsi="宋体" w:eastAsia="宋体" w:cs="宋体"/>
          <w:spacing w:val="-2"/>
          <w:sz w:val="24"/>
          <w:szCs w:val="24"/>
          <w:highlight w:val="none"/>
        </w:rPr>
        <w:t>日期、质疑事项、证据及来源线索、法律依据(具体条款)、政府采购活动中自己权益受</w:t>
      </w:r>
      <w:r>
        <w:rPr>
          <w:rFonts w:ascii="宋体" w:hAnsi="宋体" w:eastAsia="宋体" w:cs="宋体"/>
          <w:spacing w:val="-1"/>
          <w:sz w:val="24"/>
          <w:szCs w:val="24"/>
          <w:highlight w:val="none"/>
        </w:rPr>
        <w:t>到侵害的实质内容、质疑人有效联系方式等。</w:t>
      </w:r>
    </w:p>
    <w:p w14:paraId="0C2F3FE6">
      <w:pPr>
        <w:spacing w:before="214" w:line="360" w:lineRule="auto"/>
        <w:ind w:left="1" w:right="80" w:firstLine="496"/>
        <w:rPr>
          <w:rFonts w:ascii="宋体" w:hAnsi="宋体" w:eastAsia="宋体" w:cs="宋体"/>
          <w:sz w:val="24"/>
          <w:szCs w:val="24"/>
          <w:highlight w:val="none"/>
        </w:rPr>
      </w:pPr>
      <w:r>
        <w:rPr>
          <w:rFonts w:ascii="宋体" w:hAnsi="宋体" w:eastAsia="宋体" w:cs="宋体"/>
          <w:spacing w:val="-1"/>
          <w:sz w:val="24"/>
          <w:szCs w:val="24"/>
          <w:highlight w:val="none"/>
        </w:rPr>
        <w:t>1.2.2</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质疑书应当由法定代表人或授权代表签字或盖章，并加盖单位公章，公章不得以合同章或其他印章代替，并附法人身份证明。</w:t>
      </w:r>
    </w:p>
    <w:p w14:paraId="50974557">
      <w:pPr>
        <w:spacing w:before="213" w:line="360" w:lineRule="auto"/>
        <w:ind w:right="68" w:firstLine="498"/>
        <w:rPr>
          <w:rFonts w:ascii="宋体" w:hAnsi="宋体" w:eastAsia="宋体" w:cs="宋体"/>
          <w:sz w:val="24"/>
          <w:szCs w:val="24"/>
          <w:highlight w:val="none"/>
        </w:rPr>
      </w:pPr>
      <w:r>
        <w:rPr>
          <w:rFonts w:ascii="宋体" w:hAnsi="宋体" w:eastAsia="宋体" w:cs="宋体"/>
          <w:spacing w:val="-1"/>
          <w:sz w:val="24"/>
          <w:szCs w:val="24"/>
          <w:highlight w:val="none"/>
        </w:rPr>
        <w:t>1.2.3</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质疑人可以委托代理人办理质疑事项，代理人办理质疑事项时，除提交质疑</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书外，还应当提交质疑人的授权委托书及代理人的有效身份证明，授权委托书应当载明</w:t>
      </w:r>
      <w:r>
        <w:rPr>
          <w:rFonts w:ascii="宋体" w:hAnsi="宋体" w:eastAsia="宋体" w:cs="宋体"/>
          <w:spacing w:val="18"/>
          <w:sz w:val="24"/>
          <w:szCs w:val="24"/>
          <w:highlight w:val="none"/>
        </w:rPr>
        <w:t xml:space="preserve"> </w:t>
      </w:r>
      <w:r>
        <w:rPr>
          <w:rFonts w:ascii="宋体" w:hAnsi="宋体" w:eastAsia="宋体" w:cs="宋体"/>
          <w:spacing w:val="-1"/>
          <w:sz w:val="24"/>
          <w:szCs w:val="24"/>
          <w:highlight w:val="none"/>
        </w:rPr>
        <w:t>委托代理的具体权限和事项。</w:t>
      </w:r>
    </w:p>
    <w:p w14:paraId="363BBBD7">
      <w:pPr>
        <w:spacing w:before="214" w:line="360"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1.2.4</w:t>
      </w:r>
      <w:r>
        <w:rPr>
          <w:rFonts w:ascii="宋体" w:hAnsi="宋体" w:eastAsia="宋体" w:cs="宋体"/>
          <w:spacing w:val="-49"/>
          <w:sz w:val="24"/>
          <w:szCs w:val="24"/>
          <w:highlight w:val="none"/>
        </w:rPr>
        <w:t xml:space="preserve"> </w:t>
      </w:r>
      <w:r>
        <w:rPr>
          <w:rFonts w:ascii="宋体" w:hAnsi="宋体" w:eastAsia="宋体" w:cs="宋体"/>
          <w:spacing w:val="-1"/>
          <w:sz w:val="24"/>
          <w:szCs w:val="24"/>
          <w:highlight w:val="none"/>
        </w:rPr>
        <w:t>质疑函范本格式在中国政府采购网站(</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pacing w:val="-1"/>
          <w:sz w:val="24"/>
          <w:szCs w:val="24"/>
          <w:highlight w:val="none"/>
        </w:rPr>
        <w:t>h</w:t>
      </w:r>
      <w:r>
        <w:rPr>
          <w:rFonts w:ascii="宋体" w:hAnsi="宋体" w:eastAsia="宋体" w:cs="宋体"/>
          <w:spacing w:val="-2"/>
          <w:sz w:val="24"/>
          <w:szCs w:val="24"/>
          <w:highlight w:val="none"/>
        </w:rPr>
        <w:t>ttp://www.ccgp.gov.cn/</w:t>
      </w:r>
      <w:r>
        <w:rPr>
          <w:rFonts w:ascii="宋体" w:hAnsi="宋体" w:eastAsia="宋体" w:cs="宋体"/>
          <w:spacing w:val="-2"/>
          <w:sz w:val="24"/>
          <w:szCs w:val="24"/>
          <w:highlight w:val="none"/>
        </w:rPr>
        <w:fldChar w:fldCharType="end"/>
      </w:r>
      <w:r>
        <w:rPr>
          <w:rFonts w:ascii="宋体" w:hAnsi="宋体" w:eastAsia="宋体" w:cs="宋体"/>
          <w:spacing w:val="-2"/>
          <w:sz w:val="24"/>
          <w:szCs w:val="24"/>
          <w:highlight w:val="none"/>
        </w:rPr>
        <w:t>)自行下载。</w:t>
      </w:r>
    </w:p>
    <w:p w14:paraId="10E8C513">
      <w:pPr>
        <w:spacing w:before="221" w:line="360"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1.2.5</w:t>
      </w:r>
      <w:r>
        <w:rPr>
          <w:rFonts w:ascii="宋体" w:hAnsi="宋体" w:eastAsia="宋体" w:cs="宋体"/>
          <w:spacing w:val="-52"/>
          <w:sz w:val="24"/>
          <w:szCs w:val="24"/>
          <w:highlight w:val="none"/>
        </w:rPr>
        <w:t xml:space="preserve"> </w:t>
      </w:r>
      <w:r>
        <w:rPr>
          <w:rFonts w:ascii="宋体" w:hAnsi="宋体" w:eastAsia="宋体" w:cs="宋体"/>
          <w:spacing w:val="-1"/>
          <w:sz w:val="24"/>
          <w:szCs w:val="24"/>
          <w:highlight w:val="none"/>
        </w:rPr>
        <w:t>接收质疑函的联系部门、联系电话和通讯地址</w:t>
      </w:r>
      <w:r>
        <w:rPr>
          <w:rFonts w:ascii="宋体" w:hAnsi="宋体" w:eastAsia="宋体" w:cs="宋体"/>
          <w:spacing w:val="-2"/>
          <w:sz w:val="24"/>
          <w:szCs w:val="24"/>
          <w:highlight w:val="none"/>
        </w:rPr>
        <w:t>同采购公告。</w:t>
      </w:r>
    </w:p>
    <w:p w14:paraId="15AB64E7">
      <w:pPr>
        <w:spacing w:before="218" w:line="219" w:lineRule="auto"/>
        <w:ind w:left="498"/>
        <w:rPr>
          <w:rFonts w:ascii="宋体" w:hAnsi="宋体" w:eastAsia="宋体" w:cs="宋体"/>
          <w:sz w:val="24"/>
          <w:szCs w:val="24"/>
          <w:highlight w:val="none"/>
        </w:rPr>
      </w:pPr>
      <w:r>
        <w:rPr>
          <w:rFonts w:ascii="宋体" w:hAnsi="宋体" w:eastAsia="宋体" w:cs="宋体"/>
          <w:spacing w:val="-1"/>
          <w:sz w:val="24"/>
          <w:szCs w:val="24"/>
          <w:highlight w:val="none"/>
        </w:rPr>
        <w:t>1.2.6</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有下列情形之一的，属于无效质疑，采购代理机构和采购人不予</w:t>
      </w:r>
      <w:r>
        <w:rPr>
          <w:rFonts w:ascii="宋体" w:hAnsi="宋体" w:eastAsia="宋体" w:cs="宋体"/>
          <w:spacing w:val="-2"/>
          <w:sz w:val="24"/>
          <w:szCs w:val="24"/>
          <w:highlight w:val="none"/>
        </w:rPr>
        <w:t>受理：</w:t>
      </w:r>
    </w:p>
    <w:p w14:paraId="7255E083">
      <w:pPr>
        <w:spacing w:before="215" w:line="219" w:lineRule="auto"/>
        <w:ind w:left="523"/>
        <w:rPr>
          <w:rFonts w:ascii="宋体" w:hAnsi="宋体" w:eastAsia="宋体" w:cs="宋体"/>
          <w:sz w:val="24"/>
          <w:szCs w:val="24"/>
          <w:highlight w:val="none"/>
        </w:rPr>
      </w:pPr>
      <w:r>
        <w:rPr>
          <w:rFonts w:ascii="宋体" w:hAnsi="宋体" w:eastAsia="宋体" w:cs="宋体"/>
          <w:spacing w:val="-3"/>
          <w:sz w:val="24"/>
          <w:szCs w:val="24"/>
          <w:highlight w:val="none"/>
        </w:rPr>
        <w:t>(1)质疑人不是参与本次政府采购项目的供应商；</w:t>
      </w:r>
    </w:p>
    <w:p w14:paraId="75E1C697">
      <w:pPr>
        <w:spacing w:before="215" w:line="219" w:lineRule="auto"/>
        <w:ind w:left="523"/>
        <w:rPr>
          <w:rFonts w:ascii="宋体" w:hAnsi="宋体" w:eastAsia="宋体" w:cs="宋体"/>
          <w:sz w:val="24"/>
          <w:szCs w:val="24"/>
          <w:highlight w:val="none"/>
        </w:rPr>
      </w:pPr>
      <w:r>
        <w:rPr>
          <w:rFonts w:ascii="宋体" w:hAnsi="宋体" w:eastAsia="宋体" w:cs="宋体"/>
          <w:spacing w:val="-3"/>
          <w:sz w:val="24"/>
          <w:szCs w:val="24"/>
          <w:highlight w:val="none"/>
        </w:rPr>
        <w:t>(2)质疑人与质疑事项不存在利害关系的；</w:t>
      </w:r>
    </w:p>
    <w:p w14:paraId="19844C32">
      <w:pPr>
        <w:spacing w:before="217" w:line="219" w:lineRule="auto"/>
        <w:ind w:left="523"/>
        <w:rPr>
          <w:rFonts w:ascii="宋体" w:hAnsi="宋体" w:eastAsia="宋体" w:cs="宋体"/>
          <w:sz w:val="24"/>
          <w:szCs w:val="24"/>
          <w:highlight w:val="none"/>
        </w:rPr>
      </w:pPr>
      <w:r>
        <w:rPr>
          <w:rFonts w:ascii="宋体" w:hAnsi="宋体" w:eastAsia="宋体" w:cs="宋体"/>
          <w:spacing w:val="-4"/>
          <w:sz w:val="24"/>
          <w:szCs w:val="24"/>
          <w:highlight w:val="none"/>
        </w:rPr>
        <w:t>(3)未在法定期限内提出质疑的；</w:t>
      </w:r>
    </w:p>
    <w:p w14:paraId="513D3903">
      <w:pPr>
        <w:spacing w:before="215" w:line="301" w:lineRule="auto"/>
        <w:ind w:left="1" w:right="140" w:firstLine="521"/>
        <w:rPr>
          <w:rFonts w:ascii="宋体" w:hAnsi="宋体" w:eastAsia="宋体" w:cs="宋体"/>
          <w:sz w:val="24"/>
          <w:szCs w:val="24"/>
          <w:highlight w:val="none"/>
        </w:rPr>
      </w:pPr>
      <w:r>
        <w:rPr>
          <w:rFonts w:ascii="宋体" w:hAnsi="宋体" w:eastAsia="宋体" w:cs="宋体"/>
          <w:spacing w:val="-1"/>
          <w:sz w:val="24"/>
          <w:szCs w:val="24"/>
          <w:highlight w:val="none"/>
        </w:rPr>
        <w:t>(4)质疑未以书面形式提出，以传真、电子邮</w:t>
      </w:r>
      <w:r>
        <w:rPr>
          <w:rFonts w:ascii="宋体" w:hAnsi="宋体" w:eastAsia="宋体" w:cs="宋体"/>
          <w:spacing w:val="-2"/>
          <w:sz w:val="24"/>
          <w:szCs w:val="24"/>
          <w:highlight w:val="none"/>
        </w:rPr>
        <w:t>件、移动通信等形式即时收悉提交的</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质疑材料；</w:t>
      </w:r>
    </w:p>
    <w:p w14:paraId="062C71EF">
      <w:pPr>
        <w:spacing w:before="217" w:line="219" w:lineRule="auto"/>
        <w:ind w:left="523"/>
        <w:rPr>
          <w:rFonts w:ascii="宋体" w:hAnsi="宋体" w:eastAsia="宋体" w:cs="宋体"/>
          <w:sz w:val="24"/>
          <w:szCs w:val="24"/>
          <w:highlight w:val="none"/>
        </w:rPr>
      </w:pPr>
      <w:r>
        <w:rPr>
          <w:rFonts w:ascii="宋体" w:hAnsi="宋体" w:eastAsia="宋体" w:cs="宋体"/>
          <w:spacing w:val="-3"/>
          <w:sz w:val="24"/>
          <w:szCs w:val="24"/>
          <w:highlight w:val="none"/>
        </w:rPr>
        <w:t>(5)质疑未按质疑函范本格式提出的；</w:t>
      </w:r>
    </w:p>
    <w:p w14:paraId="2CB4E34B">
      <w:pPr>
        <w:spacing w:before="214" w:line="219" w:lineRule="auto"/>
        <w:ind w:left="523"/>
        <w:rPr>
          <w:rFonts w:ascii="宋体" w:hAnsi="宋体" w:eastAsia="宋体" w:cs="宋体"/>
          <w:sz w:val="24"/>
          <w:szCs w:val="24"/>
          <w:highlight w:val="none"/>
        </w:rPr>
      </w:pPr>
      <w:r>
        <w:rPr>
          <w:rFonts w:ascii="宋体" w:hAnsi="宋体" w:eastAsia="宋体" w:cs="宋体"/>
          <w:spacing w:val="-4"/>
          <w:sz w:val="24"/>
          <w:szCs w:val="24"/>
          <w:highlight w:val="none"/>
        </w:rPr>
        <w:t>(6)质疑书主要内容构成不完整的；</w:t>
      </w:r>
    </w:p>
    <w:p w14:paraId="5E6D8E0A">
      <w:pPr>
        <w:spacing w:before="215" w:line="219" w:lineRule="auto"/>
        <w:ind w:left="523"/>
        <w:rPr>
          <w:rFonts w:ascii="宋体" w:hAnsi="宋体" w:eastAsia="宋体" w:cs="宋体"/>
          <w:sz w:val="24"/>
          <w:szCs w:val="24"/>
          <w:highlight w:val="none"/>
        </w:rPr>
      </w:pPr>
      <w:r>
        <w:rPr>
          <w:rFonts w:ascii="宋体" w:hAnsi="宋体" w:eastAsia="宋体" w:cs="宋体"/>
          <w:spacing w:val="-3"/>
          <w:sz w:val="24"/>
          <w:szCs w:val="24"/>
          <w:highlight w:val="none"/>
        </w:rPr>
        <w:t>(7)质疑书没有合法有效的签字、盖章或授权的；</w:t>
      </w:r>
    </w:p>
    <w:p w14:paraId="5E9FAF68">
      <w:pPr>
        <w:spacing w:before="217" w:line="219" w:lineRule="auto"/>
        <w:ind w:left="523"/>
        <w:rPr>
          <w:rFonts w:ascii="宋体" w:hAnsi="宋体" w:eastAsia="宋体" w:cs="宋体"/>
          <w:sz w:val="24"/>
          <w:szCs w:val="24"/>
          <w:highlight w:val="none"/>
        </w:rPr>
      </w:pPr>
      <w:r>
        <w:rPr>
          <w:rFonts w:ascii="宋体" w:hAnsi="宋体" w:eastAsia="宋体" w:cs="宋体"/>
          <w:spacing w:val="-4"/>
          <w:sz w:val="24"/>
          <w:szCs w:val="24"/>
          <w:highlight w:val="none"/>
        </w:rPr>
        <w:t>(8)以非法手段取得证据、材料的；</w:t>
      </w:r>
    </w:p>
    <w:p w14:paraId="566F0D76">
      <w:pPr>
        <w:spacing w:before="215" w:line="219" w:lineRule="auto"/>
        <w:ind w:left="523"/>
        <w:rPr>
          <w:rFonts w:ascii="宋体" w:hAnsi="宋体" w:eastAsia="宋体" w:cs="宋体"/>
          <w:sz w:val="24"/>
          <w:szCs w:val="24"/>
          <w:highlight w:val="none"/>
        </w:rPr>
      </w:pPr>
      <w:r>
        <w:rPr>
          <w:rFonts w:ascii="宋体" w:hAnsi="宋体" w:eastAsia="宋体" w:cs="宋体"/>
          <w:spacing w:val="-2"/>
          <w:sz w:val="24"/>
          <w:szCs w:val="24"/>
          <w:highlight w:val="none"/>
        </w:rPr>
        <w:t>(9)质疑答复后，同一质疑人就同一事项再次提出质疑的；</w:t>
      </w:r>
    </w:p>
    <w:p w14:paraId="020871F9">
      <w:pPr>
        <w:spacing w:before="214" w:line="219" w:lineRule="auto"/>
        <w:ind w:left="523"/>
        <w:rPr>
          <w:rFonts w:ascii="宋体" w:hAnsi="宋体" w:eastAsia="宋体" w:cs="宋体"/>
          <w:sz w:val="24"/>
          <w:szCs w:val="24"/>
          <w:highlight w:val="none"/>
        </w:rPr>
      </w:pPr>
      <w:r>
        <w:rPr>
          <w:rFonts w:ascii="宋体" w:hAnsi="宋体" w:eastAsia="宋体" w:cs="宋体"/>
          <w:spacing w:val="-2"/>
          <w:sz w:val="24"/>
          <w:szCs w:val="24"/>
          <w:highlight w:val="none"/>
        </w:rPr>
        <w:t>(10)不符合法律、法规、规章和政府采购监管机构规定的其他条件的。</w:t>
      </w:r>
    </w:p>
    <w:p w14:paraId="131063F1">
      <w:pPr>
        <w:spacing w:before="217" w:line="384" w:lineRule="auto"/>
        <w:ind w:left="1" w:right="80" w:firstLine="496"/>
        <w:rPr>
          <w:rFonts w:ascii="宋体" w:hAnsi="宋体" w:eastAsia="宋体" w:cs="宋体"/>
          <w:sz w:val="24"/>
          <w:szCs w:val="24"/>
          <w:highlight w:val="none"/>
        </w:rPr>
      </w:pPr>
      <w:r>
        <w:rPr>
          <w:rFonts w:ascii="宋体" w:hAnsi="宋体" w:eastAsia="宋体" w:cs="宋体"/>
          <w:spacing w:val="-2"/>
          <w:sz w:val="24"/>
          <w:szCs w:val="24"/>
          <w:highlight w:val="none"/>
        </w:rPr>
        <w:t>1.2.7</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采购代理机构或采购人将在收到书面质疑后</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7</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个工作日内做出答复，并以书</w:t>
      </w:r>
      <w:r>
        <w:rPr>
          <w:rFonts w:ascii="宋体" w:hAnsi="宋体" w:eastAsia="宋体" w:cs="宋体"/>
          <w:spacing w:val="-1"/>
          <w:sz w:val="24"/>
          <w:szCs w:val="24"/>
          <w:highlight w:val="none"/>
        </w:rPr>
        <w:t>面形式通知质疑人和其他有关投标供应商。</w:t>
      </w:r>
    </w:p>
    <w:p w14:paraId="327F65F6">
      <w:pPr>
        <w:spacing w:line="360" w:lineRule="auto"/>
        <w:ind w:left="483"/>
        <w:rPr>
          <w:rFonts w:ascii="宋体" w:hAnsi="宋体" w:eastAsia="宋体" w:cs="宋体"/>
          <w:spacing w:val="-4"/>
          <w:sz w:val="24"/>
          <w:szCs w:val="24"/>
          <w:highlight w:val="none"/>
        </w:rPr>
      </w:pPr>
      <w:r>
        <w:rPr>
          <w:rFonts w:ascii="宋体" w:hAnsi="宋体" w:eastAsia="宋体" w:cs="宋体"/>
          <w:spacing w:val="-4"/>
          <w:sz w:val="24"/>
          <w:szCs w:val="24"/>
          <w:highlight w:val="none"/>
        </w:rPr>
        <w:t>2.投诉</w:t>
      </w:r>
    </w:p>
    <w:p w14:paraId="420D32ED">
      <w:pPr>
        <w:spacing w:line="360"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供应商和其他</w:t>
      </w:r>
      <w:r>
        <w:rPr>
          <w:rFonts w:hint="eastAsia" w:hAnsi="宋体" w:cs="宋体"/>
          <w:spacing w:val="-2"/>
          <w:sz w:val="24"/>
          <w:szCs w:val="24"/>
          <w:highlight w:val="none"/>
          <w:lang w:eastAsia="zh-CN"/>
        </w:rPr>
        <w:t>利害</w:t>
      </w:r>
      <w:r>
        <w:rPr>
          <w:rFonts w:ascii="宋体" w:hAnsi="宋体" w:eastAsia="宋体" w:cs="宋体"/>
          <w:spacing w:val="-2"/>
          <w:sz w:val="24"/>
          <w:szCs w:val="24"/>
          <w:highlight w:val="none"/>
        </w:rPr>
        <w:t>关系人认为本次磋商采购活动违反法律、法规和规章规定的，有</w:t>
      </w:r>
      <w:r>
        <w:rPr>
          <w:rFonts w:ascii="宋体" w:hAnsi="宋体" w:eastAsia="宋体" w:cs="宋体"/>
          <w:spacing w:val="-1"/>
          <w:sz w:val="24"/>
          <w:szCs w:val="24"/>
          <w:highlight w:val="none"/>
        </w:rPr>
        <w:t>权向有关行政监督机构投诉。</w:t>
      </w:r>
    </w:p>
    <w:p w14:paraId="26BFE7A8">
      <w:pPr>
        <w:spacing w:before="3" w:line="329" w:lineRule="auto"/>
        <w:ind w:right="80" w:firstLine="483"/>
        <w:rPr>
          <w:rFonts w:ascii="宋体" w:hAnsi="宋体" w:eastAsia="宋体" w:cs="宋体"/>
          <w:sz w:val="24"/>
          <w:szCs w:val="24"/>
          <w:highlight w:val="none"/>
        </w:rPr>
      </w:pPr>
      <w:r>
        <w:rPr>
          <w:rFonts w:ascii="宋体" w:hAnsi="宋体" w:eastAsia="宋体" w:cs="宋体"/>
          <w:spacing w:val="-1"/>
          <w:sz w:val="24"/>
          <w:szCs w:val="24"/>
          <w:highlight w:val="none"/>
        </w:rPr>
        <w:t>2.1</w:t>
      </w:r>
      <w:r>
        <w:rPr>
          <w:rFonts w:ascii="宋体" w:hAnsi="宋体" w:eastAsia="宋体" w:cs="宋体"/>
          <w:spacing w:val="-37"/>
          <w:sz w:val="24"/>
          <w:szCs w:val="24"/>
          <w:highlight w:val="none"/>
        </w:rPr>
        <w:t xml:space="preserve"> </w:t>
      </w:r>
      <w:r>
        <w:rPr>
          <w:rFonts w:ascii="宋体" w:hAnsi="宋体" w:eastAsia="宋体" w:cs="宋体"/>
          <w:spacing w:val="-1"/>
          <w:sz w:val="24"/>
          <w:szCs w:val="24"/>
          <w:highlight w:val="none"/>
        </w:rPr>
        <w:t>质疑人对采购代理机构或采购人的答复不满意，以及采购代理机构或采购人未在规定时间内做出答复的，可以在答复期满后</w:t>
      </w:r>
      <w:r>
        <w:rPr>
          <w:rFonts w:ascii="宋体" w:hAnsi="宋体" w:eastAsia="宋体" w:cs="宋体"/>
          <w:spacing w:val="-33"/>
          <w:sz w:val="24"/>
          <w:szCs w:val="24"/>
          <w:highlight w:val="none"/>
        </w:rPr>
        <w:t xml:space="preserve"> </w:t>
      </w:r>
      <w:r>
        <w:rPr>
          <w:rFonts w:ascii="宋体" w:hAnsi="宋体" w:eastAsia="宋体" w:cs="宋体"/>
          <w:spacing w:val="-1"/>
          <w:sz w:val="24"/>
          <w:szCs w:val="24"/>
          <w:highlight w:val="none"/>
        </w:rPr>
        <w:t>15</w:t>
      </w:r>
      <w:r>
        <w:rPr>
          <w:rFonts w:ascii="宋体" w:hAnsi="宋体" w:eastAsia="宋体" w:cs="宋体"/>
          <w:spacing w:val="-51"/>
          <w:sz w:val="24"/>
          <w:szCs w:val="24"/>
          <w:highlight w:val="none"/>
        </w:rPr>
        <w:t xml:space="preserve"> </w:t>
      </w:r>
      <w:r>
        <w:rPr>
          <w:rFonts w:ascii="宋体" w:hAnsi="宋体" w:eastAsia="宋体" w:cs="宋体"/>
          <w:spacing w:val="-1"/>
          <w:sz w:val="24"/>
          <w:szCs w:val="24"/>
          <w:highlight w:val="none"/>
        </w:rPr>
        <w:t>个工作日内向政府</w:t>
      </w:r>
      <w:r>
        <w:rPr>
          <w:rFonts w:ascii="宋体" w:hAnsi="宋体" w:eastAsia="宋体" w:cs="宋体"/>
          <w:spacing w:val="-2"/>
          <w:sz w:val="24"/>
          <w:szCs w:val="24"/>
          <w:highlight w:val="none"/>
        </w:rPr>
        <w:t>采购监管机构提出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投诉。</w:t>
      </w:r>
    </w:p>
    <w:p w14:paraId="3596CD45">
      <w:pPr>
        <w:spacing w:before="212"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2.2</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供应商投诉的事项不得超出已质疑事项的范围。</w:t>
      </w:r>
    </w:p>
    <w:p w14:paraId="49B9A580">
      <w:pPr>
        <w:spacing w:before="216" w:line="214" w:lineRule="auto"/>
        <w:ind w:firstLine="472" w:firstLineChars="200"/>
        <w:jc w:val="both"/>
        <w:rPr>
          <w:rFonts w:ascii="宋体" w:hAnsi="宋体" w:eastAsia="宋体" w:cs="宋体"/>
          <w:sz w:val="24"/>
          <w:szCs w:val="24"/>
          <w:highlight w:val="none"/>
        </w:rPr>
      </w:pPr>
      <w:r>
        <w:rPr>
          <w:rFonts w:ascii="宋体" w:hAnsi="宋体" w:eastAsia="宋体" w:cs="宋体"/>
          <w:spacing w:val="-2"/>
          <w:sz w:val="24"/>
          <w:szCs w:val="24"/>
          <w:highlight w:val="none"/>
        </w:rPr>
        <w:t>2.3</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投诉书范本格式在中国政府采购网站（</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pacing w:val="-2"/>
          <w:sz w:val="24"/>
          <w:szCs w:val="24"/>
          <w:highlight w:val="none"/>
        </w:rPr>
        <w:t>http://www.cc</w:t>
      </w:r>
      <w:r>
        <w:rPr>
          <w:rFonts w:ascii="宋体" w:hAnsi="宋体" w:eastAsia="宋体" w:cs="宋体"/>
          <w:spacing w:val="-3"/>
          <w:sz w:val="24"/>
          <w:szCs w:val="24"/>
          <w:highlight w:val="none"/>
        </w:rPr>
        <w:t>gp.gov.cn/</w:t>
      </w:r>
      <w:r>
        <w:rPr>
          <w:rFonts w:ascii="宋体" w:hAnsi="宋体" w:eastAsia="宋体" w:cs="宋体"/>
          <w:spacing w:val="-3"/>
          <w:sz w:val="24"/>
          <w:szCs w:val="24"/>
          <w:highlight w:val="none"/>
        </w:rPr>
        <w:fldChar w:fldCharType="end"/>
      </w:r>
      <w:r>
        <w:rPr>
          <w:rFonts w:ascii="宋体" w:hAnsi="宋体" w:eastAsia="宋体" w:cs="宋体"/>
          <w:spacing w:val="-3"/>
          <w:sz w:val="24"/>
          <w:szCs w:val="24"/>
          <w:highlight w:val="none"/>
        </w:rPr>
        <w:t>）</w:t>
      </w:r>
      <w:r>
        <w:rPr>
          <w:rFonts w:ascii="宋体" w:hAnsi="宋体" w:eastAsia="宋体" w:cs="宋体"/>
          <w:spacing w:val="-72"/>
          <w:sz w:val="24"/>
          <w:szCs w:val="24"/>
          <w:highlight w:val="none"/>
        </w:rPr>
        <w:t xml:space="preserve"> </w:t>
      </w:r>
      <w:r>
        <w:rPr>
          <w:rFonts w:ascii="宋体" w:hAnsi="宋体" w:eastAsia="宋体" w:cs="宋体"/>
          <w:spacing w:val="-3"/>
          <w:sz w:val="24"/>
          <w:szCs w:val="24"/>
          <w:highlight w:val="none"/>
        </w:rPr>
        <w:t>自行下载。</w:t>
      </w:r>
    </w:p>
    <w:p w14:paraId="327F632E">
      <w:pPr>
        <w:spacing w:before="221" w:line="219" w:lineRule="auto"/>
        <w:ind w:left="483"/>
        <w:rPr>
          <w:rFonts w:ascii="宋体" w:hAnsi="宋体" w:eastAsia="宋体" w:cs="宋体"/>
          <w:sz w:val="24"/>
          <w:szCs w:val="24"/>
          <w:highlight w:val="none"/>
        </w:rPr>
      </w:pPr>
      <w:r>
        <w:rPr>
          <w:rFonts w:ascii="宋体" w:hAnsi="宋体" w:eastAsia="宋体" w:cs="宋体"/>
          <w:sz w:val="24"/>
          <w:szCs w:val="24"/>
          <w:highlight w:val="none"/>
        </w:rPr>
        <w:t>2.4 对捏造事实、提供虚假材料进行质</w:t>
      </w:r>
      <w:r>
        <w:rPr>
          <w:rFonts w:ascii="宋体" w:hAnsi="宋体" w:eastAsia="宋体" w:cs="宋体"/>
          <w:spacing w:val="-1"/>
          <w:sz w:val="24"/>
          <w:szCs w:val="24"/>
          <w:highlight w:val="none"/>
        </w:rPr>
        <w:t>疑、投诉的行为予以严肃处理：</w:t>
      </w:r>
    </w:p>
    <w:p w14:paraId="6C88EC3E">
      <w:pPr>
        <w:spacing w:before="212" w:line="385" w:lineRule="auto"/>
        <w:ind w:right="68" w:firstLine="482"/>
        <w:jc w:val="both"/>
        <w:rPr>
          <w:rFonts w:ascii="宋体" w:hAnsi="宋体" w:eastAsia="宋体" w:cs="宋体"/>
          <w:sz w:val="24"/>
          <w:szCs w:val="24"/>
          <w:highlight w:val="none"/>
        </w:rPr>
      </w:pPr>
      <w:r>
        <w:rPr>
          <w:rFonts w:ascii="宋体" w:hAnsi="宋体" w:eastAsia="宋体" w:cs="宋体"/>
          <w:spacing w:val="-1"/>
          <w:sz w:val="24"/>
          <w:szCs w:val="24"/>
          <w:highlight w:val="none"/>
        </w:rPr>
        <w:t>依据《政府采购质疑和投诉办法》（财政部</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94</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号令）有关规定，投诉人在全</w:t>
      </w:r>
      <w:r>
        <w:rPr>
          <w:rFonts w:ascii="宋体" w:hAnsi="宋体" w:eastAsia="宋体" w:cs="宋体"/>
          <w:spacing w:val="-2"/>
          <w:sz w:val="24"/>
          <w:szCs w:val="24"/>
          <w:highlight w:val="none"/>
        </w:rPr>
        <w:t>国范</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围内十二个月内三次以上投诉查无实据的，由财政部门列入不良行为记录名单。对于捏造事实、或提供虚假材料、或以非法手段取得证明材料（证据来源的合法性存在明显疑</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问，投诉人无法证明其取得方式合法的，视为以非法手段取得证明材料）进行投诉的，属于虚假、恶意投诉，由财政部门列入不良行为记录名单，并禁止其一至三年内参加政</w:t>
      </w:r>
      <w:r>
        <w:rPr>
          <w:rFonts w:ascii="宋体" w:hAnsi="宋体" w:eastAsia="宋体" w:cs="宋体"/>
          <w:spacing w:val="18"/>
          <w:sz w:val="24"/>
          <w:szCs w:val="24"/>
          <w:highlight w:val="none"/>
        </w:rPr>
        <w:t xml:space="preserve"> </w:t>
      </w:r>
      <w:r>
        <w:rPr>
          <w:rFonts w:ascii="宋体" w:hAnsi="宋体" w:eastAsia="宋体" w:cs="宋体"/>
          <w:spacing w:val="-2"/>
          <w:sz w:val="24"/>
          <w:szCs w:val="24"/>
          <w:highlight w:val="none"/>
        </w:rPr>
        <w:t>府采购活动。</w:t>
      </w:r>
    </w:p>
    <w:p w14:paraId="1AA699ED">
      <w:pPr>
        <w:spacing w:before="1" w:line="217"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2.5 对捏造事实诬告陷害他人、诽谤他人的法律适用：</w:t>
      </w:r>
    </w:p>
    <w:p w14:paraId="65C179EB">
      <w:pPr>
        <w:spacing w:before="217" w:line="385" w:lineRule="auto"/>
        <w:ind w:right="6" w:firstLine="485"/>
        <w:jc w:val="both"/>
        <w:rPr>
          <w:rFonts w:ascii="宋体" w:hAnsi="宋体" w:eastAsia="宋体" w:cs="宋体"/>
          <w:sz w:val="24"/>
          <w:szCs w:val="24"/>
          <w:highlight w:val="none"/>
        </w:rPr>
      </w:pPr>
      <w:r>
        <w:rPr>
          <w:rFonts w:ascii="宋体" w:hAnsi="宋体" w:eastAsia="宋体" w:cs="宋体"/>
          <w:spacing w:val="-2"/>
          <w:sz w:val="24"/>
          <w:szCs w:val="24"/>
          <w:highlight w:val="none"/>
        </w:rPr>
        <w:t>《中华人民共和国刑法》第</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243</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条【诬告陷害罪】</w:t>
      </w:r>
      <w:r>
        <w:rPr>
          <w:rFonts w:ascii="宋体" w:hAnsi="宋体" w:eastAsia="宋体" w:cs="宋体"/>
          <w:spacing w:val="-3"/>
          <w:sz w:val="24"/>
          <w:szCs w:val="24"/>
          <w:highlight w:val="none"/>
        </w:rPr>
        <w:t>捏造事实诬告陷害他人，意图使</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他人受刑事追究，情节严重的，处三年以下有期徒刑、拘役或者管制；造成严重后</w:t>
      </w:r>
      <w:r>
        <w:rPr>
          <w:rFonts w:ascii="宋体" w:hAnsi="宋体" w:eastAsia="宋体" w:cs="宋体"/>
          <w:spacing w:val="-7"/>
          <w:sz w:val="24"/>
          <w:szCs w:val="24"/>
          <w:highlight w:val="none"/>
        </w:rPr>
        <w:t>果的，</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处三年以上十年以下有期徒刑。</w:t>
      </w:r>
    </w:p>
    <w:p w14:paraId="56022EF6">
      <w:pPr>
        <w:spacing w:before="2" w:line="385" w:lineRule="auto"/>
        <w:ind w:right="68" w:firstLine="485"/>
        <w:jc w:val="both"/>
        <w:rPr>
          <w:rFonts w:ascii="宋体" w:hAnsi="宋体" w:eastAsia="宋体" w:cs="宋体"/>
          <w:sz w:val="24"/>
          <w:szCs w:val="24"/>
          <w:highlight w:val="none"/>
        </w:rPr>
      </w:pPr>
      <w:r>
        <w:rPr>
          <w:rFonts w:ascii="宋体" w:hAnsi="宋体" w:eastAsia="宋体" w:cs="宋体"/>
          <w:spacing w:val="-2"/>
          <w:sz w:val="24"/>
          <w:szCs w:val="24"/>
          <w:highlight w:val="none"/>
        </w:rPr>
        <w:t>《中华人民共和国刑法》第</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246</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条【侮辱罪、诽谤</w:t>
      </w:r>
      <w:r>
        <w:rPr>
          <w:rFonts w:ascii="宋体" w:hAnsi="宋体" w:eastAsia="宋体" w:cs="宋体"/>
          <w:spacing w:val="-3"/>
          <w:sz w:val="24"/>
          <w:szCs w:val="24"/>
          <w:highlight w:val="none"/>
        </w:rPr>
        <w:t>罪】以暴力或者其他方法公然侮</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辱他人或者捏造事实诽谤他人，情节严重的，处三年以下有期徒刑、拘役、管制或者剥</w:t>
      </w:r>
      <w:r>
        <w:rPr>
          <w:rFonts w:ascii="宋体" w:hAnsi="宋体" w:eastAsia="宋体" w:cs="宋体"/>
          <w:spacing w:val="17"/>
          <w:sz w:val="24"/>
          <w:szCs w:val="24"/>
          <w:highlight w:val="none"/>
        </w:rPr>
        <w:t xml:space="preserve"> </w:t>
      </w:r>
      <w:bookmarkStart w:id="38" w:name="bookmark4"/>
      <w:bookmarkEnd w:id="38"/>
      <w:r>
        <w:rPr>
          <w:rFonts w:ascii="宋体" w:hAnsi="宋体" w:eastAsia="宋体" w:cs="宋体"/>
          <w:spacing w:val="-2"/>
          <w:sz w:val="24"/>
          <w:szCs w:val="24"/>
          <w:highlight w:val="none"/>
        </w:rPr>
        <w:t>夺政治权利。</w:t>
      </w:r>
    </w:p>
    <w:p w14:paraId="4CF61346">
      <w:pPr>
        <w:spacing w:line="460" w:lineRule="exact"/>
        <w:ind w:firstLine="496" w:firstLineChars="200"/>
        <w:rPr>
          <w:rFonts w:hint="eastAsia" w:ascii="宋体" w:hAnsi="宋体" w:eastAsia="宋体" w:cs="宋体"/>
          <w:color w:val="auto"/>
          <w:spacing w:val="4"/>
          <w:szCs w:val="24"/>
          <w:highlight w:val="none"/>
        </w:rPr>
      </w:pPr>
    </w:p>
    <w:p w14:paraId="5DDCB5AA">
      <w:pPr>
        <w:rPr>
          <w:rFonts w:hint="eastAsia" w:ascii="宋体" w:hAnsi="宋体" w:eastAsia="宋体" w:cs="宋体"/>
          <w:color w:val="auto"/>
          <w:highlight w:val="none"/>
        </w:rPr>
      </w:pPr>
    </w:p>
    <w:p w14:paraId="6EA05BF5">
      <w:pPr>
        <w:pStyle w:val="18"/>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7F51FE4">
      <w:pPr>
        <w:pStyle w:val="2"/>
        <w:jc w:val="center"/>
        <w:outlineLvl w:val="0"/>
        <w:rPr>
          <w:rFonts w:hint="eastAsia" w:ascii="宋体" w:hAnsi="宋体" w:eastAsia="宋体" w:cs="宋体"/>
          <w:bCs/>
          <w:color w:val="auto"/>
          <w:sz w:val="36"/>
          <w:szCs w:val="36"/>
          <w:highlight w:val="none"/>
        </w:rPr>
      </w:pPr>
      <w:bookmarkStart w:id="39" w:name="_Toc7294"/>
      <w:bookmarkStart w:id="40" w:name="_Toc10029"/>
      <w:bookmarkStart w:id="41" w:name="_Toc18480"/>
      <w:bookmarkStart w:id="42" w:name="_Toc12314"/>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34"/>
      <w:bookmarkEnd w:id="35"/>
      <w:bookmarkEnd w:id="36"/>
      <w:bookmarkEnd w:id="39"/>
      <w:bookmarkEnd w:id="40"/>
      <w:bookmarkEnd w:id="41"/>
      <w:bookmarkEnd w:id="42"/>
    </w:p>
    <w:p w14:paraId="02582554">
      <w:pPr>
        <w:tabs>
          <w:tab w:val="left" w:pos="210"/>
          <w:tab w:val="left" w:pos="525"/>
        </w:tabs>
        <w:spacing w:line="360" w:lineRule="auto"/>
        <w:jc w:val="center"/>
        <w:outlineLvl w:val="9"/>
        <w:rPr>
          <w:rFonts w:hint="eastAsia" w:ascii="宋体" w:hAnsi="宋体" w:eastAsia="宋体" w:cs="宋体"/>
          <w:color w:val="auto"/>
          <w:sz w:val="32"/>
          <w:szCs w:val="32"/>
          <w:highlight w:val="none"/>
        </w:rPr>
      </w:pPr>
      <w:bookmarkStart w:id="43" w:name="_Toc32476"/>
      <w:bookmarkStart w:id="44" w:name="_Toc31473"/>
      <w:bookmarkStart w:id="45" w:name="_Toc3424"/>
      <w:bookmarkStart w:id="46" w:name="_Toc23705"/>
      <w:bookmarkStart w:id="47" w:name="_Toc29607"/>
      <w:r>
        <w:rPr>
          <w:rFonts w:hint="eastAsia" w:ascii="宋体" w:hAnsi="宋体" w:eastAsia="宋体" w:cs="宋体"/>
          <w:b/>
          <w:bCs/>
          <w:color w:val="auto"/>
          <w:sz w:val="32"/>
          <w:szCs w:val="32"/>
          <w:highlight w:val="none"/>
        </w:rPr>
        <w:t>合同前附表</w:t>
      </w:r>
      <w:bookmarkEnd w:id="43"/>
      <w:bookmarkEnd w:id="44"/>
      <w:bookmarkEnd w:id="45"/>
      <w:bookmarkEnd w:id="46"/>
      <w:bookmarkEnd w:id="47"/>
    </w:p>
    <w:p w14:paraId="52676E6D">
      <w:pPr>
        <w:rPr>
          <w:rFonts w:hint="eastAsia" w:ascii="宋体" w:hAnsi="宋体" w:eastAsia="宋体" w:cs="宋体"/>
          <w:color w:val="auto"/>
          <w:highlight w:val="none"/>
        </w:rPr>
      </w:pPr>
    </w:p>
    <w:p w14:paraId="6C59DAA8">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4696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118BE4C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8181" w:type="dxa"/>
            <w:noWrap w:val="0"/>
            <w:vAlign w:val="center"/>
          </w:tcPr>
          <w:p w14:paraId="15D58CD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14:paraId="2B318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7243F93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8181" w:type="dxa"/>
            <w:noWrap w:val="0"/>
            <w:vAlign w:val="center"/>
          </w:tcPr>
          <w:p w14:paraId="4937F2CA">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采购人名称：</w:t>
            </w:r>
            <w:r>
              <w:rPr>
                <w:rFonts w:hint="eastAsia" w:hAnsi="宋体"/>
                <w:color w:val="auto"/>
                <w:szCs w:val="24"/>
                <w:highlight w:val="none"/>
                <w:lang w:eastAsia="zh-CN"/>
              </w:rPr>
              <w:t>扶风县国有野河林场</w:t>
            </w:r>
          </w:p>
          <w:p w14:paraId="78762415">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址：法门镇观光路029号</w:t>
            </w:r>
          </w:p>
          <w:p w14:paraId="2E9C479E">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hAnsi="宋体" w:cs="宋体"/>
                <w:color w:val="auto"/>
                <w:szCs w:val="24"/>
                <w:highlight w:val="none"/>
                <w:lang w:eastAsia="zh-CN"/>
              </w:rPr>
              <w:t>扶风县国有野河林场2025年管护用房建设项目</w:t>
            </w:r>
          </w:p>
          <w:p w14:paraId="35FD9097">
            <w:pPr>
              <w:tabs>
                <w:tab w:val="left" w:pos="1440"/>
                <w:tab w:val="left" w:pos="168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资金来源：</w:t>
            </w:r>
            <w:r>
              <w:rPr>
                <w:rFonts w:hint="eastAsia" w:hAnsi="宋体" w:cs="宋体"/>
                <w:color w:val="auto"/>
                <w:szCs w:val="24"/>
                <w:highlight w:val="none"/>
                <w:lang w:val="en-US" w:eastAsia="zh-CN"/>
              </w:rPr>
              <w:t>财政</w:t>
            </w:r>
            <w:r>
              <w:rPr>
                <w:rFonts w:hint="eastAsia" w:ascii="宋体" w:hAnsi="宋体" w:eastAsia="宋体" w:cs="宋体"/>
                <w:color w:val="auto"/>
                <w:szCs w:val="24"/>
                <w:highlight w:val="none"/>
              </w:rPr>
              <w:t>资金</w:t>
            </w:r>
          </w:p>
        </w:tc>
      </w:tr>
      <w:tr w14:paraId="18376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exact"/>
        </w:trPr>
        <w:tc>
          <w:tcPr>
            <w:tcW w:w="1171" w:type="dxa"/>
            <w:noWrap w:val="0"/>
            <w:vAlign w:val="center"/>
          </w:tcPr>
          <w:p w14:paraId="5D3AE4D1">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181" w:type="dxa"/>
            <w:noWrap w:val="0"/>
            <w:vAlign w:val="center"/>
          </w:tcPr>
          <w:p w14:paraId="3AC17936">
            <w:pPr>
              <w:spacing w:line="360" w:lineRule="auto"/>
              <w:rPr>
                <w:rFonts w:hint="default"/>
                <w:highlight w:val="none"/>
                <w:lang w:val="en-US" w:eastAsia="zh-CN"/>
              </w:rPr>
            </w:pPr>
            <w:r>
              <w:rPr>
                <w:rFonts w:hint="eastAsia"/>
                <w:b/>
                <w:bCs/>
                <w:color w:val="auto"/>
                <w:highlight w:val="none"/>
                <w:lang w:val="en-US" w:eastAsia="zh-CN"/>
              </w:rPr>
              <w:t>工期</w:t>
            </w:r>
            <w:r>
              <w:rPr>
                <w:rFonts w:hint="eastAsia" w:eastAsia="宋体"/>
                <w:b/>
                <w:bCs/>
                <w:color w:val="auto"/>
                <w:highlight w:val="none"/>
                <w:lang w:val="en-US" w:eastAsia="zh-CN"/>
              </w:rPr>
              <w:t>：自合同签订之日起至2025年</w:t>
            </w:r>
            <w:r>
              <w:rPr>
                <w:rFonts w:hint="eastAsia"/>
                <w:b/>
                <w:bCs/>
                <w:color w:val="auto"/>
                <w:highlight w:val="none"/>
                <w:lang w:val="en-US" w:eastAsia="zh-CN"/>
              </w:rPr>
              <w:t>12</w:t>
            </w:r>
            <w:r>
              <w:rPr>
                <w:rFonts w:hint="eastAsia" w:eastAsia="宋体"/>
                <w:b/>
                <w:bCs/>
                <w:color w:val="auto"/>
                <w:highlight w:val="none"/>
                <w:lang w:val="en-US" w:eastAsia="zh-CN"/>
              </w:rPr>
              <w:t>月</w:t>
            </w:r>
            <w:r>
              <w:rPr>
                <w:rFonts w:hint="eastAsia"/>
                <w:b/>
                <w:bCs/>
                <w:color w:val="auto"/>
                <w:highlight w:val="none"/>
                <w:lang w:val="en-US" w:eastAsia="zh-CN"/>
              </w:rPr>
              <w:t>31</w:t>
            </w:r>
            <w:r>
              <w:rPr>
                <w:rFonts w:hint="eastAsia" w:eastAsia="宋体"/>
                <w:b/>
                <w:bCs/>
                <w:color w:val="auto"/>
                <w:highlight w:val="none"/>
                <w:lang w:val="en-US" w:eastAsia="zh-CN"/>
              </w:rPr>
              <w:t>日</w:t>
            </w:r>
          </w:p>
        </w:tc>
      </w:tr>
      <w:tr w14:paraId="66427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exact"/>
        </w:trPr>
        <w:tc>
          <w:tcPr>
            <w:tcW w:w="1171" w:type="dxa"/>
            <w:noWrap w:val="0"/>
            <w:vAlign w:val="center"/>
          </w:tcPr>
          <w:p w14:paraId="24F458AF">
            <w:pPr>
              <w:spacing w:line="360" w:lineRule="auto"/>
              <w:jc w:val="center"/>
              <w:rPr>
                <w:rFonts w:hint="eastAsia" w:hAnsi="Times New Roman" w:cs="Times New Roman"/>
                <w:color w:val="auto"/>
                <w:highlight w:val="none"/>
                <w:lang w:eastAsia="zh-CN"/>
              </w:rPr>
            </w:pPr>
            <w:r>
              <w:rPr>
                <w:rFonts w:hint="eastAsia" w:hAnsi="Times New Roman" w:cs="Times New Roman"/>
                <w:color w:val="auto"/>
                <w:highlight w:val="none"/>
                <w:lang w:eastAsia="zh-CN"/>
              </w:rPr>
              <w:t>3</w:t>
            </w:r>
          </w:p>
        </w:tc>
        <w:tc>
          <w:tcPr>
            <w:tcW w:w="8181" w:type="dxa"/>
            <w:noWrap w:val="0"/>
            <w:vAlign w:val="center"/>
          </w:tcPr>
          <w:p w14:paraId="258B30EE">
            <w:pPr>
              <w:spacing w:line="360" w:lineRule="auto"/>
              <w:rPr>
                <w:rFonts w:hint="eastAsia" w:hAnsi="Times New Roman" w:eastAsia="宋体" w:cs="Times New Roman"/>
                <w:color w:val="auto"/>
                <w:highlight w:val="none"/>
                <w:lang w:val="en-US" w:eastAsia="zh-CN"/>
              </w:rPr>
            </w:pPr>
            <w:r>
              <w:rPr>
                <w:rFonts w:hint="eastAsia"/>
                <w:b/>
                <w:bCs/>
                <w:color w:val="auto"/>
                <w:szCs w:val="24"/>
                <w:highlight w:val="none"/>
              </w:rPr>
              <w:t>质量标准：</w:t>
            </w:r>
            <w:r>
              <w:rPr>
                <w:rFonts w:hint="eastAsia"/>
                <w:color w:val="auto"/>
                <w:szCs w:val="24"/>
                <w:highlight w:val="none"/>
                <w:lang w:eastAsia="zh-CN"/>
              </w:rPr>
              <w:t>达到</w:t>
            </w:r>
            <w:r>
              <w:rPr>
                <w:rFonts w:hint="eastAsia"/>
                <w:color w:val="auto"/>
                <w:szCs w:val="24"/>
                <w:highlight w:val="none"/>
              </w:rPr>
              <w:t>国家现行有关质量验收规范“合格”要求</w:t>
            </w:r>
            <w:r>
              <w:rPr>
                <w:rFonts w:hint="eastAsia"/>
                <w:color w:val="auto"/>
                <w:szCs w:val="24"/>
                <w:highlight w:val="none"/>
                <w:lang w:eastAsia="zh-CN"/>
              </w:rPr>
              <w:t>。</w:t>
            </w:r>
          </w:p>
        </w:tc>
      </w:tr>
      <w:tr w14:paraId="4B954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14:paraId="616B11CF">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4</w:t>
            </w:r>
          </w:p>
        </w:tc>
        <w:tc>
          <w:tcPr>
            <w:tcW w:w="8181" w:type="dxa"/>
            <w:noWrap w:val="0"/>
            <w:vAlign w:val="center"/>
          </w:tcPr>
          <w:p w14:paraId="50888C5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3A0E1F12">
            <w:pPr>
              <w:spacing w:line="360" w:lineRule="auto"/>
              <w:rPr>
                <w:rFonts w:hint="eastAsia" w:hAnsi="宋体" w:eastAsia="宋体"/>
                <w:color w:val="auto"/>
                <w:szCs w:val="24"/>
                <w:highlight w:val="none"/>
                <w:lang w:eastAsia="zh-CN"/>
              </w:rPr>
            </w:pPr>
            <w:r>
              <w:rPr>
                <w:rFonts w:hint="eastAsia" w:hAnsi="宋体"/>
                <w:color w:val="auto"/>
                <w:szCs w:val="24"/>
                <w:highlight w:val="none"/>
              </w:rPr>
              <w:t>1.合同总价即成交价，磋商报价采用</w:t>
            </w:r>
            <w:r>
              <w:rPr>
                <w:rFonts w:hint="eastAsia" w:hAnsi="宋体"/>
                <w:color w:val="auto"/>
                <w:szCs w:val="24"/>
                <w:highlight w:val="none"/>
                <w:lang w:val="en-US" w:eastAsia="zh-CN"/>
              </w:rPr>
              <w:t>综合单价</w:t>
            </w:r>
            <w:r>
              <w:rPr>
                <w:rFonts w:hint="eastAsia" w:hAnsi="宋体"/>
                <w:color w:val="auto"/>
                <w:szCs w:val="24"/>
                <w:highlight w:val="none"/>
                <w:lang w:eastAsia="zh-CN"/>
              </w:rPr>
              <w:t>，以实际发生的工程量结算。</w:t>
            </w:r>
          </w:p>
          <w:p w14:paraId="370F0A0A">
            <w:pPr>
              <w:spacing w:line="360" w:lineRule="auto"/>
              <w:rPr>
                <w:rFonts w:hint="eastAsia"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14:paraId="7A108AC7">
            <w:pPr>
              <w:spacing w:line="360" w:lineRule="auto"/>
              <w:rPr>
                <w:rFonts w:hint="eastAsia" w:hAnsi="宋体"/>
                <w:color w:val="auto"/>
                <w:szCs w:val="24"/>
                <w:highlight w:val="none"/>
              </w:rPr>
            </w:pPr>
            <w:r>
              <w:rPr>
                <w:rFonts w:hint="eastAsia" w:hAnsi="宋体"/>
                <w:color w:val="auto"/>
                <w:szCs w:val="24"/>
                <w:highlight w:val="none"/>
              </w:rPr>
              <w:t>3.付款方式和程序：</w:t>
            </w:r>
          </w:p>
          <w:p w14:paraId="40CFE5E1">
            <w:pPr>
              <w:spacing w:line="360" w:lineRule="auto"/>
              <w:rPr>
                <w:rFonts w:hint="eastAsia" w:hAnsi="宋体"/>
                <w:color w:val="auto"/>
                <w:szCs w:val="24"/>
                <w:highlight w:val="none"/>
              </w:rPr>
            </w:pPr>
            <w:r>
              <w:rPr>
                <w:rFonts w:hint="eastAsia" w:hAnsi="宋体"/>
                <w:color w:val="auto"/>
                <w:szCs w:val="24"/>
                <w:highlight w:val="none"/>
              </w:rPr>
              <w:t>（1）结算方式：</w:t>
            </w:r>
          </w:p>
          <w:p w14:paraId="32497E69">
            <w:pPr>
              <w:spacing w:line="360" w:lineRule="auto"/>
              <w:ind w:firstLine="480" w:firstLineChars="200"/>
              <w:rPr>
                <w:rFonts w:hint="eastAsia" w:hAnsi="宋体"/>
                <w:color w:val="auto"/>
                <w:szCs w:val="24"/>
                <w:highlight w:val="none"/>
              </w:rPr>
            </w:pPr>
            <w:r>
              <w:rPr>
                <w:rFonts w:hint="eastAsia" w:hAnsi="宋体"/>
                <w:color w:val="auto"/>
                <w:szCs w:val="24"/>
                <w:highlight w:val="none"/>
              </w:rPr>
              <w:t>由</w:t>
            </w:r>
            <w:r>
              <w:rPr>
                <w:rFonts w:hint="eastAsia" w:hAnsi="宋体"/>
                <w:color w:val="auto"/>
                <w:szCs w:val="24"/>
                <w:highlight w:val="none"/>
                <w:lang w:eastAsia="zh-CN"/>
              </w:rPr>
              <w:t>采购人</w:t>
            </w:r>
            <w:r>
              <w:rPr>
                <w:rFonts w:hint="eastAsia" w:hAnsi="宋体"/>
                <w:color w:val="auto"/>
                <w:szCs w:val="24"/>
                <w:highlight w:val="none"/>
              </w:rPr>
              <w:t>负责结算，在付款前，成交供应商须开具全额发票给采购人。</w:t>
            </w:r>
          </w:p>
          <w:p w14:paraId="18B7C7C1">
            <w:pPr>
              <w:spacing w:line="360" w:lineRule="auto"/>
              <w:rPr>
                <w:rFonts w:hint="eastAsia" w:hAnsi="宋体"/>
                <w:color w:val="auto"/>
                <w:szCs w:val="24"/>
                <w:highlight w:val="none"/>
              </w:rPr>
            </w:pPr>
            <w:r>
              <w:rPr>
                <w:rFonts w:hint="eastAsia" w:hAnsi="宋体"/>
                <w:color w:val="auto"/>
                <w:szCs w:val="24"/>
                <w:highlight w:val="none"/>
              </w:rPr>
              <w:t>（2）付款方式：</w:t>
            </w:r>
          </w:p>
          <w:p w14:paraId="3B8260CE">
            <w:pPr>
              <w:spacing w:line="360" w:lineRule="auto"/>
              <w:ind w:firstLine="480" w:firstLineChars="200"/>
              <w:rPr>
                <w:rFonts w:hint="eastAsia" w:hAnsi="宋体"/>
                <w:color w:val="auto"/>
                <w:szCs w:val="24"/>
                <w:highlight w:val="none"/>
              </w:rPr>
            </w:pPr>
            <w:r>
              <w:rPr>
                <w:rFonts w:hint="eastAsia" w:hAnsi="宋体"/>
                <w:color w:val="auto"/>
                <w:szCs w:val="24"/>
                <w:highlight w:val="none"/>
              </w:rPr>
              <w:t>①银行转账，项目实施完成并通过验收后，由供应商提供票据等财务报账所需材料进行报账。</w:t>
            </w:r>
          </w:p>
          <w:p w14:paraId="2F6B6A8F">
            <w:pPr>
              <w:spacing w:line="360" w:lineRule="auto"/>
              <w:ind w:firstLine="480" w:firstLineChars="200"/>
              <w:rPr>
                <w:rFonts w:hint="eastAsia" w:ascii="宋体" w:hAnsi="宋体" w:eastAsia="宋体" w:cs="宋体"/>
                <w:color w:val="auto"/>
                <w:szCs w:val="24"/>
                <w:highlight w:val="none"/>
              </w:rPr>
            </w:pPr>
            <w:r>
              <w:rPr>
                <w:rFonts w:hint="eastAsia" w:hAnsi="宋体"/>
                <w:color w:val="auto"/>
                <w:szCs w:val="24"/>
                <w:highlight w:val="none"/>
              </w:rPr>
              <w:t>②付款方式：</w:t>
            </w:r>
            <w:r>
              <w:rPr>
                <w:rFonts w:hint="eastAsia" w:hAnsi="宋体"/>
                <w:color w:val="auto"/>
                <w:szCs w:val="24"/>
                <w:highlight w:val="none"/>
                <w:lang w:val="en-US" w:eastAsia="zh-CN"/>
              </w:rPr>
              <w:t>工程开工后预付40%工程款，工程量过半后支付40%工程款，工程结束经验收合格后再支付20%工程款</w:t>
            </w:r>
            <w:r>
              <w:rPr>
                <w:rFonts w:hint="eastAsia" w:hAnsi="宋体" w:cs="宋体"/>
                <w:color w:val="auto"/>
                <w:szCs w:val="21"/>
                <w:highlight w:val="none"/>
              </w:rPr>
              <w:t>。</w:t>
            </w:r>
          </w:p>
        </w:tc>
      </w:tr>
      <w:tr w14:paraId="587FF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6" w:hRule="atLeast"/>
        </w:trPr>
        <w:tc>
          <w:tcPr>
            <w:tcW w:w="1171" w:type="dxa"/>
            <w:noWrap w:val="0"/>
            <w:vAlign w:val="center"/>
          </w:tcPr>
          <w:p w14:paraId="5A7D9B3E">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5</w:t>
            </w:r>
          </w:p>
        </w:tc>
        <w:tc>
          <w:tcPr>
            <w:tcW w:w="8181" w:type="dxa"/>
            <w:noWrap w:val="0"/>
            <w:vAlign w:val="center"/>
          </w:tcPr>
          <w:p w14:paraId="71885D51">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w:t>
            </w:r>
          </w:p>
          <w:p w14:paraId="367E7569">
            <w:pPr>
              <w:spacing w:line="360" w:lineRule="auto"/>
              <w:rPr>
                <w:rFonts w:hint="eastAsia" w:hAnsi="宋体" w:cs="宋体"/>
                <w:color w:val="auto"/>
                <w:szCs w:val="24"/>
                <w:highlight w:val="none"/>
              </w:rPr>
            </w:pPr>
            <w:r>
              <w:rPr>
                <w:rFonts w:hint="eastAsia" w:hAnsi="宋体" w:cs="宋体"/>
                <w:color w:val="auto"/>
                <w:szCs w:val="24"/>
                <w:highlight w:val="none"/>
              </w:rPr>
              <w:t>1、所有工程须符合行业标准及相关规定；</w:t>
            </w:r>
          </w:p>
          <w:p w14:paraId="176B90BA">
            <w:pPr>
              <w:spacing w:line="360" w:lineRule="auto"/>
              <w:rPr>
                <w:rFonts w:hint="eastAsia" w:ascii="宋体" w:hAnsi="宋体" w:eastAsia="宋体" w:cs="宋体"/>
                <w:b/>
                <w:color w:val="auto"/>
                <w:szCs w:val="24"/>
                <w:highlight w:val="none"/>
              </w:rPr>
            </w:pPr>
            <w:r>
              <w:rPr>
                <w:rFonts w:hint="eastAsia" w:hAnsi="宋体" w:cs="宋体"/>
                <w:color w:val="auto"/>
                <w:szCs w:val="24"/>
                <w:highlight w:val="none"/>
              </w:rPr>
              <w:t>2、所有工程须符合国家有关规范和执行标准。</w:t>
            </w:r>
          </w:p>
        </w:tc>
      </w:tr>
      <w:tr w14:paraId="76CC8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trPr>
        <w:tc>
          <w:tcPr>
            <w:tcW w:w="1171" w:type="dxa"/>
            <w:noWrap w:val="0"/>
            <w:vAlign w:val="center"/>
          </w:tcPr>
          <w:p w14:paraId="4FD8EBBB">
            <w:pPr>
              <w:spacing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6</w:t>
            </w:r>
          </w:p>
        </w:tc>
        <w:tc>
          <w:tcPr>
            <w:tcW w:w="8181" w:type="dxa"/>
            <w:noWrap w:val="0"/>
            <w:vAlign w:val="center"/>
          </w:tcPr>
          <w:p w14:paraId="78E2261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w:t>
            </w:r>
          </w:p>
          <w:p w14:paraId="10B67637">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由</w:t>
            </w:r>
            <w:r>
              <w:rPr>
                <w:rFonts w:hint="eastAsia" w:hAnsi="宋体" w:cs="宋体"/>
                <w:color w:val="auto"/>
                <w:szCs w:val="24"/>
                <w:highlight w:val="none"/>
                <w:lang w:eastAsia="zh-CN"/>
              </w:rPr>
              <w:t>采购人</w:t>
            </w:r>
            <w:r>
              <w:rPr>
                <w:rFonts w:hint="eastAsia" w:hAnsi="宋体" w:cs="宋体"/>
                <w:color w:val="auto"/>
                <w:szCs w:val="24"/>
                <w:highlight w:val="none"/>
              </w:rPr>
              <w:t>和供应商共同对项目进行整体验收。是否达到现行国家有关验收规范“合格”标准、是否按照</w:t>
            </w:r>
            <w:r>
              <w:rPr>
                <w:rFonts w:hint="eastAsia" w:hAnsi="宋体" w:cs="宋体"/>
                <w:color w:val="auto"/>
                <w:szCs w:val="24"/>
                <w:highlight w:val="none"/>
                <w:lang w:eastAsia="zh-CN"/>
              </w:rPr>
              <w:t>采购人</w:t>
            </w:r>
            <w:r>
              <w:rPr>
                <w:rFonts w:hint="eastAsia" w:hAnsi="宋体" w:cs="宋体"/>
                <w:color w:val="auto"/>
                <w:szCs w:val="24"/>
                <w:highlight w:val="none"/>
              </w:rPr>
              <w:t>要求按时完工。</w:t>
            </w:r>
          </w:p>
          <w:p w14:paraId="743673F9">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1.所验各项内容最终验收达不到磋商文件要求和磋商响应文件承诺的，或在后续使用中发现</w:t>
            </w:r>
            <w:r>
              <w:rPr>
                <w:rFonts w:hint="eastAsia" w:hAnsi="宋体" w:cs="宋体"/>
                <w:color w:val="auto"/>
                <w:szCs w:val="24"/>
                <w:highlight w:val="none"/>
                <w:lang w:eastAsia="zh-CN"/>
              </w:rPr>
              <w:t>采购人</w:t>
            </w:r>
            <w:r>
              <w:rPr>
                <w:rFonts w:hint="eastAsia" w:hAnsi="宋体" w:cs="宋体"/>
                <w:color w:val="auto"/>
                <w:szCs w:val="24"/>
                <w:highlight w:val="none"/>
              </w:rPr>
              <w:t>不能容忍的缺陷等，将视为验收不合格，供应商应在采购人要求的时间内无条件整改及恢复。</w:t>
            </w:r>
          </w:p>
          <w:p w14:paraId="3CD70EC6">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2.若发现供应商有弄虚作假的，在磋商阶段故意或随意夸大技术能力、工程、服务质量的，采购人有权解除合同，并且要求供应商赔偿相关损失。</w:t>
            </w:r>
          </w:p>
          <w:p w14:paraId="62D6E4DA">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3.验收标准：按磋商文件、磋商响应文件及澄清函等技术指标进行验收。各项指标均应符合验收标准及要求。</w:t>
            </w:r>
          </w:p>
          <w:p w14:paraId="33E31B2D">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4.验收合格后，填写验收单，双方签字生效。</w:t>
            </w:r>
          </w:p>
          <w:p w14:paraId="1E7DFF8D">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5.验收依据：</w:t>
            </w:r>
          </w:p>
          <w:p w14:paraId="79D30808">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a)合同文本；</w:t>
            </w:r>
          </w:p>
          <w:p w14:paraId="00DBF047">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b)磋商文件及澄清函、磋商响应文件；</w:t>
            </w:r>
          </w:p>
          <w:p w14:paraId="434050B3">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c)国家和行业制定的相应的标准和规范；</w:t>
            </w:r>
          </w:p>
          <w:p w14:paraId="58E4DD2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Cs w:val="24"/>
                <w:highlight w:val="none"/>
              </w:rPr>
              <w:t>d)验收清单。</w:t>
            </w:r>
          </w:p>
        </w:tc>
      </w:tr>
      <w:tr w14:paraId="499D3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022C48B4">
            <w:pPr>
              <w:spacing w:line="360" w:lineRule="auto"/>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7</w:t>
            </w:r>
          </w:p>
        </w:tc>
        <w:tc>
          <w:tcPr>
            <w:tcW w:w="8181" w:type="dxa"/>
            <w:noWrap w:val="0"/>
            <w:vAlign w:val="center"/>
          </w:tcPr>
          <w:p w14:paraId="6CED7E1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173ECAF6">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14:paraId="4D497C2C">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w:t>
            </w:r>
            <w:r>
              <w:rPr>
                <w:rFonts w:hint="eastAsia" w:hAnsi="宋体" w:cs="宋体"/>
                <w:color w:val="auto"/>
                <w:szCs w:val="24"/>
                <w:highlight w:val="none"/>
                <w:lang w:eastAsia="zh-CN"/>
              </w:rPr>
              <w:t>中华人民共和国政府采购法</w:t>
            </w:r>
            <w:r>
              <w:rPr>
                <w:rFonts w:hint="eastAsia" w:ascii="宋体" w:hAnsi="宋体" w:eastAsia="宋体" w:cs="宋体"/>
                <w:color w:val="auto"/>
                <w:szCs w:val="24"/>
                <w:highlight w:val="none"/>
              </w:rPr>
              <w:t>》及相关法律法规对服务商的违法行为进行相应的处罚。</w:t>
            </w:r>
          </w:p>
        </w:tc>
      </w:tr>
      <w:tr w14:paraId="7C097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2451C9C6">
            <w:pPr>
              <w:spacing w:line="360" w:lineRule="auto"/>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8</w:t>
            </w:r>
          </w:p>
        </w:tc>
        <w:tc>
          <w:tcPr>
            <w:tcW w:w="8181" w:type="dxa"/>
            <w:noWrap w:val="0"/>
            <w:vAlign w:val="center"/>
          </w:tcPr>
          <w:p w14:paraId="6D1A8E1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564E3A0A">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政府采购合同适用</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。采购人和供应商之间的权利和义务，应当按照平等、自愿的原则以合同方式约定。</w:t>
            </w:r>
          </w:p>
          <w:p w14:paraId="478C421E">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080C3A2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采购人与中标、成交供应商应当在中标、成交通知书发出之日起</w:t>
            </w:r>
            <w:r>
              <w:rPr>
                <w:rFonts w:hint="eastAsia" w:hAnsi="宋体" w:cs="宋体"/>
                <w:color w:val="auto"/>
                <w:szCs w:val="24"/>
                <w:highlight w:val="none"/>
                <w:lang w:val="en-US" w:eastAsia="zh-CN"/>
              </w:rPr>
              <w:t>二十五</w:t>
            </w:r>
            <w:r>
              <w:rPr>
                <w:rFonts w:hint="eastAsia" w:ascii="宋体" w:hAnsi="宋体" w:eastAsia="宋体" w:cs="宋体"/>
                <w:color w:val="auto"/>
                <w:szCs w:val="24"/>
                <w:highlight w:val="none"/>
              </w:rPr>
              <w:t>日内，按照采购文件确定的事项签订政府采购合同。</w:t>
            </w:r>
          </w:p>
          <w:p w14:paraId="0893A5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5DF298F9">
            <w:pPr>
              <w:pStyle w:val="13"/>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p>
          <w:p w14:paraId="43530B2D">
            <w:pPr>
              <w:pStyle w:val="13"/>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1EDAF048">
            <w:pPr>
              <w:pStyle w:val="13"/>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政府采购合同的双方当事人不得擅自变更、中止或者终止合同。</w:t>
            </w:r>
          </w:p>
          <w:p w14:paraId="4B70E38A">
            <w:pPr>
              <w:pStyle w:val="13"/>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3E464CB5">
      <w:pPr>
        <w:rPr>
          <w:rFonts w:hint="eastAsia" w:ascii="宋体" w:hAnsi="宋体" w:eastAsia="宋体" w:cs="宋体"/>
          <w:color w:val="auto"/>
          <w:sz w:val="32"/>
          <w:highlight w:val="none"/>
        </w:rPr>
      </w:pPr>
      <w:bookmarkStart w:id="48" w:name="_Toc31520"/>
      <w:bookmarkStart w:id="49" w:name="_Toc19246"/>
      <w:bookmarkStart w:id="50" w:name="_Toc4679"/>
      <w:bookmarkStart w:id="51" w:name="_Toc8333"/>
      <w:bookmarkStart w:id="52" w:name="_Toc29888"/>
      <w:bookmarkStart w:id="53" w:name="_Toc26595"/>
      <w:bookmarkStart w:id="54" w:name="_Toc389582037"/>
      <w:bookmarkStart w:id="55" w:name="_Toc423973075"/>
      <w:bookmarkStart w:id="56" w:name="_Toc19199"/>
      <w:r>
        <w:rPr>
          <w:rFonts w:hint="eastAsia" w:ascii="宋体" w:hAnsi="宋体" w:eastAsia="宋体" w:cs="宋体"/>
          <w:b/>
          <w:bCs/>
          <w:color w:val="auto"/>
          <w:sz w:val="48"/>
          <w:szCs w:val="48"/>
          <w:highlight w:val="none"/>
        </w:rPr>
        <w:br w:type="page"/>
      </w:r>
    </w:p>
    <w:p w14:paraId="257D31BB">
      <w:pPr>
        <w:pStyle w:val="10"/>
        <w:rPr>
          <w:rFonts w:hint="eastAsia" w:ascii="宋体" w:hAnsi="宋体"/>
          <w:color w:val="auto"/>
          <w:sz w:val="24"/>
          <w:highlight w:val="none"/>
        </w:rPr>
        <w:sectPr>
          <w:footerReference r:id="rId13" w:type="first"/>
          <w:footerReference r:id="rId12" w:type="default"/>
          <w:pgSz w:w="11906" w:h="16838"/>
          <w:pgMar w:top="1440" w:right="1080" w:bottom="1440" w:left="1080" w:header="851" w:footer="992" w:gutter="0"/>
          <w:pgNumType w:fmt="decimal"/>
          <w:cols w:space="720" w:num="1"/>
          <w:rtlGutter w:val="0"/>
          <w:docGrid w:type="lines" w:linePitch="312" w:charSpace="0"/>
        </w:sectPr>
      </w:pPr>
    </w:p>
    <w:p w14:paraId="1410328C">
      <w:pPr>
        <w:jc w:val="center"/>
        <w:rPr>
          <w:rFonts w:hint="eastAsia" w:ascii="华文仿宋" w:hAnsi="华文仿宋" w:eastAsia="华文仿宋" w:cs="华文仿宋"/>
          <w:b/>
          <w:color w:val="auto"/>
          <w:sz w:val="52"/>
          <w:szCs w:val="52"/>
          <w:highlight w:val="none"/>
          <w:lang w:eastAsia="zh-CN"/>
        </w:rPr>
      </w:pPr>
      <w:bookmarkStart w:id="57" w:name="_Toc4254"/>
    </w:p>
    <w:p w14:paraId="44ACFCBE">
      <w:pPr>
        <w:jc w:val="center"/>
        <w:rPr>
          <w:rFonts w:hint="eastAsia" w:ascii="华文仿宋" w:hAnsi="华文仿宋" w:eastAsia="华文仿宋" w:cs="华文仿宋"/>
          <w:b/>
          <w:color w:val="auto"/>
          <w:sz w:val="52"/>
          <w:szCs w:val="52"/>
          <w:highlight w:val="none"/>
          <w:lang w:eastAsia="zh-CN"/>
        </w:rPr>
      </w:pPr>
    </w:p>
    <w:p w14:paraId="26DE76EA">
      <w:pPr>
        <w:jc w:val="center"/>
        <w:rPr>
          <w:rFonts w:hint="eastAsia" w:ascii="华文仿宋" w:hAnsi="华文仿宋" w:eastAsia="华文仿宋" w:cs="华文仿宋"/>
          <w:b/>
          <w:color w:val="auto"/>
          <w:sz w:val="52"/>
          <w:szCs w:val="52"/>
          <w:highlight w:val="none"/>
          <w:lang w:eastAsia="zh-CN"/>
        </w:rPr>
      </w:pPr>
    </w:p>
    <w:p w14:paraId="0D923E29">
      <w:pPr>
        <w:jc w:val="center"/>
        <w:rPr>
          <w:rFonts w:hint="eastAsia" w:ascii="华文仿宋" w:hAnsi="华文仿宋" w:eastAsia="华文仿宋" w:cs="华文仿宋"/>
          <w:b/>
          <w:color w:val="auto"/>
          <w:sz w:val="52"/>
          <w:szCs w:val="52"/>
          <w:highlight w:val="none"/>
          <w:lang w:eastAsia="zh-CN"/>
        </w:rPr>
      </w:pPr>
    </w:p>
    <w:p w14:paraId="4BFBE154">
      <w:pPr>
        <w:jc w:val="center"/>
        <w:rPr>
          <w:rFonts w:hint="eastAsia"/>
          <w:b/>
          <w:color w:val="auto"/>
          <w:sz w:val="44"/>
          <w:szCs w:val="44"/>
          <w:highlight w:val="none"/>
        </w:rPr>
      </w:pPr>
      <w:r>
        <w:rPr>
          <w:rFonts w:hint="eastAsia" w:ascii="华文仿宋" w:hAnsi="华文仿宋" w:eastAsia="华文仿宋" w:cs="华文仿宋"/>
          <w:b/>
          <w:color w:val="auto"/>
          <w:sz w:val="52"/>
          <w:szCs w:val="52"/>
          <w:highlight w:val="none"/>
          <w:lang w:eastAsia="zh-CN"/>
        </w:rPr>
        <w:t>2025年管护用房建设项目</w:t>
      </w:r>
    </w:p>
    <w:p w14:paraId="67B7309E">
      <w:pPr>
        <w:jc w:val="center"/>
        <w:rPr>
          <w:rFonts w:hint="eastAsia"/>
          <w:b/>
          <w:color w:val="auto"/>
          <w:sz w:val="44"/>
          <w:szCs w:val="44"/>
          <w:highlight w:val="none"/>
        </w:rPr>
      </w:pPr>
      <w:r>
        <w:rPr>
          <w:rFonts w:hint="eastAsia"/>
          <w:b/>
          <w:color w:val="auto"/>
          <w:sz w:val="44"/>
          <w:szCs w:val="44"/>
          <w:highlight w:val="none"/>
        </w:rPr>
        <w:t>（示范文本）</w:t>
      </w:r>
    </w:p>
    <w:p w14:paraId="7E0D9E97">
      <w:pPr>
        <w:pStyle w:val="10"/>
        <w:rPr>
          <w:rFonts w:hint="eastAsia"/>
          <w:highlight w:val="none"/>
        </w:rPr>
      </w:pPr>
    </w:p>
    <w:p w14:paraId="0F8F832F">
      <w:pPr>
        <w:shd w:val="clear"/>
        <w:jc w:val="center"/>
        <w:rPr>
          <w:color w:val="auto"/>
          <w:highlight w:val="none"/>
        </w:rPr>
      </w:pPr>
      <w:r>
        <w:rPr>
          <w:rFonts w:hint="eastAsia" w:ascii="仿宋" w:hAnsi="仿宋" w:eastAsia="仿宋" w:cs="仿宋"/>
          <w:b/>
          <w:color w:val="auto"/>
          <w:szCs w:val="24"/>
          <w:highlight w:val="none"/>
        </w:rPr>
        <w:t>（本格式条款</w:t>
      </w:r>
      <w:r>
        <w:rPr>
          <w:rFonts w:hint="eastAsia" w:ascii="仿宋" w:hAnsi="仿宋" w:eastAsia="仿宋" w:cs="仿宋"/>
          <w:b/>
          <w:color w:val="auto"/>
          <w:szCs w:val="24"/>
          <w:highlight w:val="none"/>
          <w:lang w:val="en-US" w:eastAsia="zh-CN"/>
        </w:rPr>
        <w:t>仅</w:t>
      </w:r>
      <w:r>
        <w:rPr>
          <w:rFonts w:hint="eastAsia" w:ascii="仿宋" w:hAnsi="仿宋" w:eastAsia="仿宋" w:cs="仿宋"/>
          <w:b/>
          <w:color w:val="auto"/>
          <w:szCs w:val="24"/>
          <w:highlight w:val="none"/>
        </w:rPr>
        <w:t>供双方签订合同参考，</w:t>
      </w:r>
      <w:r>
        <w:rPr>
          <w:rFonts w:hint="eastAsia" w:ascii="仿宋" w:hAnsi="仿宋" w:eastAsia="仿宋" w:cs="仿宋"/>
          <w:b/>
          <w:color w:val="auto"/>
          <w:szCs w:val="24"/>
          <w:highlight w:val="none"/>
          <w:lang w:val="en-US" w:eastAsia="zh-CN"/>
        </w:rPr>
        <w:t>具体以合同签订为准</w:t>
      </w:r>
      <w:r>
        <w:rPr>
          <w:rFonts w:hint="eastAsia" w:ascii="仿宋" w:hAnsi="仿宋" w:eastAsia="仿宋" w:cs="仿宋"/>
          <w:b/>
          <w:color w:val="auto"/>
          <w:szCs w:val="24"/>
          <w:highlight w:val="none"/>
        </w:rPr>
        <w:t>）</w:t>
      </w:r>
    </w:p>
    <w:p w14:paraId="6A4AE453">
      <w:pPr>
        <w:jc w:val="center"/>
        <w:rPr>
          <w:rFonts w:hint="eastAsia"/>
          <w:color w:val="auto"/>
          <w:sz w:val="28"/>
          <w:szCs w:val="28"/>
          <w:highlight w:val="none"/>
        </w:rPr>
      </w:pPr>
    </w:p>
    <w:p w14:paraId="4CC4CF09">
      <w:pPr>
        <w:jc w:val="center"/>
        <w:rPr>
          <w:rFonts w:hint="eastAsia"/>
          <w:color w:val="auto"/>
          <w:sz w:val="28"/>
          <w:szCs w:val="28"/>
          <w:highlight w:val="none"/>
        </w:rPr>
      </w:pPr>
    </w:p>
    <w:p w14:paraId="41BB3FB1">
      <w:pPr>
        <w:rPr>
          <w:rFonts w:hint="eastAsia"/>
          <w:color w:val="auto"/>
          <w:sz w:val="28"/>
          <w:szCs w:val="28"/>
          <w:highlight w:val="none"/>
        </w:rPr>
      </w:pPr>
    </w:p>
    <w:p w14:paraId="068491B4">
      <w:pPr>
        <w:rPr>
          <w:rFonts w:hint="eastAsia"/>
          <w:color w:val="auto"/>
          <w:sz w:val="28"/>
          <w:szCs w:val="28"/>
          <w:highlight w:val="none"/>
        </w:rPr>
      </w:pPr>
    </w:p>
    <w:p w14:paraId="69807A46">
      <w:pPr>
        <w:rPr>
          <w:rFonts w:hint="eastAsia"/>
          <w:color w:val="auto"/>
          <w:sz w:val="28"/>
          <w:szCs w:val="28"/>
          <w:highlight w:val="none"/>
        </w:rPr>
      </w:pPr>
    </w:p>
    <w:p w14:paraId="05C4D394">
      <w:pPr>
        <w:rPr>
          <w:rFonts w:hint="eastAsia"/>
          <w:color w:val="auto"/>
          <w:sz w:val="28"/>
          <w:szCs w:val="28"/>
          <w:highlight w:val="none"/>
        </w:rPr>
      </w:pPr>
    </w:p>
    <w:p w14:paraId="3C8FA4CA">
      <w:pPr>
        <w:rPr>
          <w:rFonts w:hint="eastAsia"/>
          <w:color w:val="auto"/>
          <w:sz w:val="28"/>
          <w:szCs w:val="28"/>
          <w:highlight w:val="none"/>
        </w:rPr>
      </w:pPr>
    </w:p>
    <w:p w14:paraId="33C04E6C">
      <w:pPr>
        <w:rPr>
          <w:rFonts w:hint="eastAsia"/>
          <w:color w:val="auto"/>
          <w:sz w:val="28"/>
          <w:szCs w:val="28"/>
          <w:highlight w:val="none"/>
        </w:rPr>
      </w:pPr>
    </w:p>
    <w:p w14:paraId="4C471C92">
      <w:pPr>
        <w:rPr>
          <w:rFonts w:hint="eastAsia"/>
          <w:color w:val="auto"/>
          <w:sz w:val="28"/>
          <w:szCs w:val="28"/>
          <w:highlight w:val="none"/>
        </w:rPr>
      </w:pPr>
    </w:p>
    <w:p w14:paraId="411E0442">
      <w:pPr>
        <w:rPr>
          <w:rFonts w:hint="eastAsia"/>
          <w:color w:val="auto"/>
          <w:sz w:val="28"/>
          <w:szCs w:val="28"/>
          <w:highlight w:val="none"/>
        </w:rPr>
      </w:pPr>
    </w:p>
    <w:p w14:paraId="2780CC19">
      <w:pPr>
        <w:rPr>
          <w:rFonts w:hint="eastAsia"/>
          <w:color w:val="auto"/>
          <w:sz w:val="28"/>
          <w:szCs w:val="28"/>
          <w:highlight w:val="none"/>
        </w:rPr>
      </w:pPr>
    </w:p>
    <w:p w14:paraId="10605F19">
      <w:pPr>
        <w:rPr>
          <w:rFonts w:hint="eastAsia"/>
          <w:color w:val="auto"/>
          <w:sz w:val="28"/>
          <w:szCs w:val="28"/>
          <w:highlight w:val="none"/>
        </w:rPr>
      </w:pPr>
    </w:p>
    <w:p w14:paraId="3FF47EE7">
      <w:pPr>
        <w:rPr>
          <w:rFonts w:hint="eastAsia"/>
          <w:color w:val="auto"/>
          <w:sz w:val="28"/>
          <w:szCs w:val="28"/>
          <w:highlight w:val="none"/>
        </w:rPr>
      </w:pPr>
    </w:p>
    <w:p w14:paraId="0484C30A">
      <w:pPr>
        <w:rPr>
          <w:rFonts w:hint="eastAsia"/>
          <w:color w:val="auto"/>
          <w:sz w:val="28"/>
          <w:szCs w:val="28"/>
          <w:highlight w:val="none"/>
        </w:rPr>
      </w:pPr>
    </w:p>
    <w:p w14:paraId="683EFE25">
      <w:pPr>
        <w:shd w:val="clear"/>
        <w:spacing w:line="360" w:lineRule="auto"/>
        <w:ind w:left="1469" w:hanging="1469" w:hangingChars="400"/>
        <w:jc w:val="center"/>
        <w:rPr>
          <w:rFonts w:hint="eastAsia"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甲方(</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仿宋" w:hAnsi="仿宋" w:eastAsia="仿宋" w:cs="仿宋"/>
          <w:color w:val="auto"/>
          <w:highlight w:val="none"/>
        </w:rPr>
        <w:fldChar w:fldCharType="separate"/>
      </w:r>
      <w:r>
        <w:rPr>
          <w:rFonts w:hint="eastAsia" w:ascii="仿宋" w:hAnsi="仿宋" w:eastAsia="仿宋" w:cs="仿宋"/>
          <w:b/>
          <w:color w:val="auto"/>
          <w:spacing w:val="23"/>
          <w:sz w:val="32"/>
          <w:szCs w:val="32"/>
          <w:highlight w:val="none"/>
        </w:rPr>
        <w:t>采购人</w:t>
      </w:r>
      <w:r>
        <w:rPr>
          <w:rFonts w:hint="eastAsia"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w:t>
      </w:r>
      <w:r>
        <w:rPr>
          <w:rFonts w:hint="eastAsia" w:ascii="仿宋" w:hAnsi="仿宋" w:eastAsia="仿宋" w:cs="仿宋"/>
          <w:color w:val="auto"/>
          <w:spacing w:val="23"/>
          <w:sz w:val="28"/>
          <w:szCs w:val="28"/>
          <w:highlight w:val="none"/>
          <w:u w:val="single"/>
        </w:rPr>
        <w:t></w:t>
      </w:r>
    </w:p>
    <w:p w14:paraId="058DBF4B">
      <w:pPr>
        <w:shd w:val="clear"/>
        <w:spacing w:line="360" w:lineRule="auto"/>
        <w:ind w:left="1285" w:hanging="960" w:hangingChars="400"/>
        <w:jc w:val="center"/>
        <w:rPr>
          <w:rFonts w:hint="eastAsia" w:ascii="仿宋" w:hAnsi="仿宋" w:eastAsia="仿宋" w:cs="仿宋"/>
          <w:color w:val="auto"/>
          <w:spacing w:val="23"/>
          <w:sz w:val="28"/>
          <w:szCs w:val="28"/>
          <w:highlight w:val="none"/>
          <w:u w:val="singl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color w:val="auto"/>
          <w:highlight w:val="none"/>
        </w:rPr>
        <w:fldChar w:fldCharType="separate"/>
      </w:r>
      <w:r>
        <w:rPr>
          <w:rFonts w:hint="eastAsia" w:ascii="仿宋" w:hAnsi="仿宋" w:eastAsia="仿宋" w:cs="仿宋"/>
          <w:b/>
          <w:color w:val="auto"/>
          <w:spacing w:val="23"/>
          <w:sz w:val="32"/>
          <w:szCs w:val="32"/>
          <w:highlight w:val="none"/>
        </w:rPr>
        <w:t>乙方</w:t>
      </w:r>
      <w:r>
        <w:rPr>
          <w:rFonts w:hint="eastAsia"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(供应商)：</w:t>
      </w:r>
      <w:r>
        <w:rPr>
          <w:rFonts w:hint="eastAsia" w:ascii="仿宋" w:hAnsi="仿宋" w:eastAsia="仿宋" w:cs="仿宋"/>
          <w:color w:val="auto"/>
          <w:spacing w:val="23"/>
          <w:sz w:val="28"/>
          <w:szCs w:val="28"/>
          <w:highlight w:val="none"/>
          <w:u w:val="single"/>
        </w:rPr>
        <w:t></w:t>
      </w:r>
    </w:p>
    <w:p w14:paraId="76736320">
      <w:pPr>
        <w:shd w:val="clear"/>
        <w:tabs>
          <w:tab w:val="left" w:pos="1995"/>
        </w:tabs>
        <w:spacing w:line="360" w:lineRule="auto"/>
        <w:ind w:left="1469" w:hanging="1469" w:hangingChars="400"/>
        <w:jc w:val="center"/>
        <w:rPr>
          <w:rFonts w:hint="eastAsia"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签订时间：</w:t>
      </w:r>
      <w:r>
        <w:rPr>
          <w:rFonts w:hint="eastAsia" w:ascii="仿宋" w:hAnsi="仿宋" w:eastAsia="仿宋" w:cs="仿宋"/>
          <w:color w:val="auto"/>
          <w:spacing w:val="23"/>
          <w:sz w:val="28"/>
          <w:szCs w:val="28"/>
          <w:highlight w:val="none"/>
          <w:u w:val="single"/>
        </w:rPr>
        <w:t></w:t>
      </w:r>
      <w:r>
        <w:rPr>
          <w:rFonts w:hint="eastAsia" w:ascii="仿宋" w:hAnsi="仿宋" w:eastAsia="仿宋" w:cs="仿宋"/>
          <w:b/>
          <w:color w:val="auto"/>
          <w:spacing w:val="23"/>
          <w:sz w:val="32"/>
          <w:szCs w:val="32"/>
          <w:highlight w:val="none"/>
        </w:rPr>
        <w:t>年</w:t>
      </w:r>
      <w:r>
        <w:rPr>
          <w:rFonts w:hint="eastAsia" w:ascii="仿宋" w:hAnsi="仿宋" w:eastAsia="仿宋" w:cs="仿宋"/>
          <w:color w:val="auto"/>
          <w:spacing w:val="23"/>
          <w:sz w:val="28"/>
          <w:szCs w:val="28"/>
          <w:highlight w:val="none"/>
          <w:u w:val="single"/>
        </w:rPr>
        <w:t></w:t>
      </w:r>
      <w:r>
        <w:rPr>
          <w:rFonts w:hint="eastAsia" w:ascii="仿宋" w:hAnsi="仿宋" w:eastAsia="仿宋" w:cs="仿宋"/>
          <w:b/>
          <w:color w:val="auto"/>
          <w:spacing w:val="23"/>
          <w:sz w:val="32"/>
          <w:szCs w:val="32"/>
          <w:highlight w:val="none"/>
        </w:rPr>
        <w:t>月</w:t>
      </w:r>
      <w:r>
        <w:rPr>
          <w:rFonts w:hint="eastAsia" w:ascii="仿宋" w:hAnsi="仿宋" w:eastAsia="仿宋" w:cs="仿宋"/>
          <w:color w:val="auto"/>
          <w:spacing w:val="23"/>
          <w:sz w:val="28"/>
          <w:szCs w:val="28"/>
          <w:highlight w:val="none"/>
          <w:u w:val="single"/>
        </w:rPr>
        <w:t></w:t>
      </w:r>
      <w:r>
        <w:rPr>
          <w:rFonts w:hint="eastAsia" w:ascii="仿宋" w:hAnsi="仿宋" w:eastAsia="仿宋" w:cs="仿宋"/>
          <w:b/>
          <w:color w:val="auto"/>
          <w:spacing w:val="23"/>
          <w:sz w:val="32"/>
          <w:szCs w:val="32"/>
          <w:highlight w:val="none"/>
        </w:rPr>
        <w:t>日</w:t>
      </w:r>
    </w:p>
    <w:p w14:paraId="3C376B15">
      <w:pPr>
        <w:ind w:firstLine="1960" w:firstLineChars="700"/>
        <w:rPr>
          <w:rFonts w:hint="eastAsia"/>
          <w:color w:val="auto"/>
          <w:sz w:val="28"/>
          <w:szCs w:val="28"/>
          <w:highlight w:val="none"/>
          <w:u w:val="single"/>
        </w:rPr>
      </w:pPr>
    </w:p>
    <w:p w14:paraId="63651250">
      <w:pPr>
        <w:ind w:firstLine="1960" w:firstLineChars="700"/>
        <w:rPr>
          <w:rFonts w:hint="eastAsia"/>
          <w:color w:val="auto"/>
          <w:sz w:val="28"/>
          <w:szCs w:val="28"/>
          <w:highlight w:val="none"/>
          <w:u w:val="single"/>
        </w:rPr>
      </w:pPr>
    </w:p>
    <w:p w14:paraId="215EF705">
      <w:pPr>
        <w:pageBreakBefore/>
        <w:spacing w:after="120" w:afterLines="50" w:line="360" w:lineRule="auto"/>
        <w:jc w:val="center"/>
        <w:outlineLvl w:val="9"/>
        <w:rPr>
          <w:rFonts w:hint="eastAsia" w:hAnsi="宋体"/>
          <w:b/>
          <w:color w:val="auto"/>
          <w:sz w:val="32"/>
          <w:szCs w:val="32"/>
          <w:highlight w:val="none"/>
        </w:rPr>
      </w:pPr>
      <w:bookmarkStart w:id="58" w:name="_Toc26049"/>
      <w:bookmarkStart w:id="59" w:name="_Toc18407"/>
      <w:bookmarkStart w:id="60" w:name="_Toc11496"/>
      <w:bookmarkStart w:id="61" w:name="_Toc826"/>
      <w:bookmarkStart w:id="62" w:name="_Toc27199"/>
      <w:r>
        <w:rPr>
          <w:rFonts w:hint="eastAsia" w:hAnsi="宋体"/>
          <w:b/>
          <w:color w:val="auto"/>
          <w:sz w:val="32"/>
          <w:szCs w:val="32"/>
          <w:highlight w:val="none"/>
        </w:rPr>
        <w:t>第一部分  协议书</w:t>
      </w:r>
      <w:bookmarkEnd w:id="58"/>
      <w:bookmarkEnd w:id="59"/>
      <w:bookmarkEnd w:id="60"/>
      <w:bookmarkEnd w:id="61"/>
      <w:bookmarkEnd w:id="62"/>
    </w:p>
    <w:p w14:paraId="41A3CC5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893C77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36B02255">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 xml:space="preserve">》、《中华人民共和国建筑法》及其他有关法律、行政法规，遵循平等、自愿、公平和诚实信用的原则，双方就本建设工程施工事项协商一致，订立本合同。 </w:t>
      </w:r>
    </w:p>
    <w:p w14:paraId="4788805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70414F9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71599642">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14:paraId="50C962F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p>
    <w:p w14:paraId="0888319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二、工程承包范围 </w:t>
      </w:r>
    </w:p>
    <w:p w14:paraId="5C4A645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w:t>
      </w:r>
    </w:p>
    <w:p w14:paraId="6E7A682F">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14:paraId="336520B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rPr>
        <w:t xml:space="preserve">           </w:t>
      </w:r>
    </w:p>
    <w:p w14:paraId="36CD1CF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rPr>
        <w:t xml:space="preserve">           </w:t>
      </w:r>
    </w:p>
    <w:p w14:paraId="1FACDB1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09209FF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14:paraId="3886865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color w:val="auto"/>
          <w:szCs w:val="24"/>
          <w:highlight w:val="none"/>
          <w:lang w:eastAsia="zh-CN"/>
        </w:rPr>
        <w:t>达到</w:t>
      </w:r>
      <w:r>
        <w:rPr>
          <w:rFonts w:hint="eastAsia"/>
          <w:color w:val="auto"/>
          <w:szCs w:val="24"/>
          <w:highlight w:val="none"/>
        </w:rPr>
        <w:t>国家现行有关质量验收规范“合格”要求</w:t>
      </w:r>
      <w:r>
        <w:rPr>
          <w:rFonts w:hint="eastAsia"/>
          <w:color w:val="auto"/>
          <w:szCs w:val="24"/>
          <w:highlight w:val="none"/>
          <w:lang w:eastAsia="zh-CN"/>
        </w:rPr>
        <w:t>。</w:t>
      </w:r>
    </w:p>
    <w:p w14:paraId="05F590B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五、合同价款</w:t>
      </w:r>
    </w:p>
    <w:p w14:paraId="0F388C6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F3E5E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157CC89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六、组成合同的文件</w:t>
      </w:r>
    </w:p>
    <w:p w14:paraId="7E12BE2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14:paraId="7F12385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14:paraId="54053E8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2、本合同专用条款</w:t>
      </w:r>
    </w:p>
    <w:p w14:paraId="13EE0325">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w:t>
      </w:r>
    </w:p>
    <w:p w14:paraId="049A5A7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2ED8011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5、投标文件、工程报价单或预算书及其附件</w:t>
      </w:r>
    </w:p>
    <w:p w14:paraId="7148A5E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6、招标文件、答疑纪要</w:t>
      </w:r>
    </w:p>
    <w:p w14:paraId="4422DE9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14:paraId="4E2FED1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双方为履行本合同的有关洽商、变更等书面协议或文件视为本合同的组成部分。</w:t>
      </w:r>
    </w:p>
    <w:p w14:paraId="1646431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七、本协议书中有关词语含义与本合同第二部分《通用条款》中分别赋予它们的定义相同。</w:t>
      </w:r>
    </w:p>
    <w:p w14:paraId="3E140155">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八、承包人向发包人承诺按照合同约定进行施工、竣工并在质量保修期内承担工程质量保修责任。</w:t>
      </w:r>
    </w:p>
    <w:p w14:paraId="19F62D82">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九、发包人向承包人承诺按照合同约定的期限和方式支付合同价款及其他应当支付的款项。</w:t>
      </w:r>
    </w:p>
    <w:p w14:paraId="1F212C2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BC1912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十、合同生效</w:t>
      </w:r>
    </w:p>
    <w:p w14:paraId="5CB59D0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          年            月            日</w:t>
      </w:r>
    </w:p>
    <w:p w14:paraId="472C270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合同订立地点：                                       </w:t>
      </w:r>
    </w:p>
    <w:p w14:paraId="56B19DA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 双方签字盖章 后生效。</w:t>
      </w:r>
    </w:p>
    <w:p w14:paraId="0591D5C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285AB89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72D1F455">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41380DD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14:paraId="3316799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12826BD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14:paraId="5B7D625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322764A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sectPr>
          <w:footerReference r:id="rId14" w:type="default"/>
          <w:pgSz w:w="11907" w:h="16840"/>
          <w:pgMar w:top="1440" w:right="1080" w:bottom="1440" w:left="1080" w:header="720" w:footer="720" w:gutter="0"/>
          <w:pgNumType w:fmt="decimal"/>
          <w:cols w:space="720" w:num="1"/>
        </w:sectPr>
      </w:pPr>
      <w:r>
        <w:rPr>
          <w:rFonts w:hint="eastAsia" w:ascii="宋体" w:hAnsi="宋体" w:eastAsia="宋体" w:cs="宋体"/>
          <w:color w:val="auto"/>
          <w:sz w:val="24"/>
          <w:szCs w:val="24"/>
          <w:highlight w:val="none"/>
        </w:rPr>
        <w:t>账号：                               账号：</w:t>
      </w:r>
    </w:p>
    <w:p w14:paraId="1D037F1F">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14:paraId="16D3FFAC">
      <w:pPr>
        <w:pStyle w:val="21"/>
        <w:spacing w:before="0" w:beforeAutospacing="0" w:after="0" w:afterAutospacing="0" w:line="300" w:lineRule="auto"/>
        <w:jc w:val="center"/>
        <w:rPr>
          <w:rFonts w:hint="eastAsia" w:cs="宋体"/>
          <w:b/>
          <w:bCs/>
          <w:color w:val="auto"/>
          <w:sz w:val="28"/>
          <w:szCs w:val="28"/>
          <w:highlight w:val="none"/>
        </w:rPr>
      </w:pPr>
      <w:r>
        <w:rPr>
          <w:rFonts w:hint="eastAsia" w:cs="宋体"/>
          <w:b/>
          <w:bCs/>
          <w:color w:val="auto"/>
          <w:sz w:val="28"/>
          <w:szCs w:val="28"/>
          <w:highlight w:val="none"/>
        </w:rPr>
        <w:t>执行《陕西省建设工程施工合同》（示范文本）</w:t>
      </w:r>
    </w:p>
    <w:p w14:paraId="0E3DD3EB">
      <w:pPr>
        <w:pStyle w:val="21"/>
        <w:spacing w:before="0" w:beforeAutospacing="0" w:after="0" w:afterAutospacing="0" w:line="300" w:lineRule="auto"/>
        <w:jc w:val="center"/>
        <w:rPr>
          <w:rFonts w:hint="eastAsia" w:cs="宋体"/>
          <w:b/>
          <w:bCs/>
          <w:color w:val="auto"/>
          <w:sz w:val="28"/>
          <w:szCs w:val="28"/>
          <w:highlight w:val="none"/>
        </w:rPr>
      </w:pPr>
    </w:p>
    <w:p w14:paraId="634FBCFD">
      <w:pPr>
        <w:pStyle w:val="21"/>
        <w:spacing w:before="0" w:beforeAutospacing="0" w:after="0" w:afterAutospacing="0" w:line="300" w:lineRule="auto"/>
        <w:jc w:val="center"/>
        <w:rPr>
          <w:rFonts w:hint="eastAsia" w:cs="宋体"/>
          <w:b/>
          <w:bCs/>
          <w:color w:val="auto"/>
          <w:sz w:val="28"/>
          <w:szCs w:val="28"/>
          <w:highlight w:val="none"/>
        </w:rPr>
        <w:sectPr>
          <w:pgSz w:w="12240" w:h="15840"/>
          <w:pgMar w:top="1440" w:right="1797" w:bottom="1440" w:left="1400" w:header="720" w:footer="720" w:gutter="0"/>
          <w:pgNumType w:fmt="decimal"/>
          <w:cols w:space="720" w:num="1"/>
        </w:sectPr>
      </w:pPr>
    </w:p>
    <w:p w14:paraId="79B1EE4C">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14:paraId="319A5058">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一、词语定义及合同文件</w:t>
      </w:r>
    </w:p>
    <w:p w14:paraId="0AF051A7">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u w:val="single"/>
        </w:rPr>
        <w:t>专用合同条款是对通用条款中相应条款内容的解释、补充、删除或修改，其序号与通用条款中条款一一对应，未作改动的条款按通用条款执行。</w:t>
      </w:r>
    </w:p>
    <w:p w14:paraId="1AAA7FF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2、合同文件及解释顺序</w:t>
      </w:r>
    </w:p>
    <w:p w14:paraId="4122785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合同文件组成及解释顺序：</w:t>
      </w:r>
      <w:r>
        <w:rPr>
          <w:rFonts w:hint="eastAsia" w:ascii="宋体" w:hAnsi="宋体" w:eastAsia="宋体" w:cs="宋体"/>
          <w:color w:val="auto"/>
          <w:sz w:val="24"/>
          <w:szCs w:val="24"/>
          <w:highlight w:val="none"/>
          <w:u w:val="single"/>
        </w:rPr>
        <w:t>﹙1﹚本合同协议书；﹙2﹚本合同专用条款；﹙3﹚</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通知书；﹙4﹚</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文件答疑纪要；﹙5﹚本合同通用条款；﹙6﹚标准规范及有关技术文件；（7）其他。</w:t>
      </w:r>
    </w:p>
    <w:p w14:paraId="785FF74D">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3、语言文字和适用法律语言文字和适用法律、标准及规范</w:t>
      </w:r>
    </w:p>
    <w:p w14:paraId="5BAF7F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__________语言文字。</w:t>
      </w:r>
    </w:p>
    <w:p w14:paraId="79BD7A8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适用法律和法规需要明示的法律、行政法规：</w:t>
      </w:r>
      <w:r>
        <w:rPr>
          <w:rFonts w:hint="eastAsia" w:ascii="宋体" w:hAnsi="宋体" w:eastAsia="宋体" w:cs="宋体"/>
          <w:color w:val="auto"/>
          <w:sz w:val="24"/>
          <w:szCs w:val="24"/>
          <w:highlight w:val="none"/>
          <w:u w:val="single"/>
        </w:rPr>
        <w:t>本合同适用于中华人民共和国法律，行政法规、陕西省</w:t>
      </w:r>
      <w:r>
        <w:rPr>
          <w:rFonts w:hint="eastAsia" w:hAnsi="宋体" w:cs="宋体"/>
          <w:color w:val="auto"/>
          <w:sz w:val="24"/>
          <w:szCs w:val="24"/>
          <w:highlight w:val="none"/>
          <w:u w:val="single"/>
          <w:lang w:eastAsia="zh-CN"/>
        </w:rPr>
        <w:t>地方性法规</w:t>
      </w:r>
      <w:r>
        <w:rPr>
          <w:rFonts w:hint="eastAsia" w:ascii="宋体" w:hAnsi="宋体" w:eastAsia="宋体" w:cs="宋体"/>
          <w:color w:val="auto"/>
          <w:sz w:val="24"/>
          <w:szCs w:val="24"/>
          <w:highlight w:val="none"/>
          <w:u w:val="single"/>
        </w:rPr>
        <w:t>。</w:t>
      </w:r>
    </w:p>
    <w:p w14:paraId="7583B0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14:paraId="4FD9251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﹙1﹚国家现行和相关技术规程；﹙2﹚工程所在地建设主管部门的标准、规范；﹙3﹚工程所在地行业的标准、规范。</w:t>
      </w:r>
    </w:p>
    <w:p w14:paraId="5CE045E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_</w:t>
      </w:r>
    </w:p>
    <w:p w14:paraId="216EF91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 xml:space="preserve">                              。</w:t>
      </w:r>
    </w:p>
    <w:p w14:paraId="06482C2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4、图纸</w:t>
      </w:r>
    </w:p>
    <w:p w14:paraId="4A60E751">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    /                       。</w:t>
      </w:r>
    </w:p>
    <w:p w14:paraId="7B12ADD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         /           。</w:t>
      </w:r>
    </w:p>
    <w:p w14:paraId="372CBC0D">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____无_____</w:t>
      </w:r>
    </w:p>
    <w:p w14:paraId="7D6E80BB">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143E1EA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5、工程师</w:t>
      </w:r>
    </w:p>
    <w:p w14:paraId="3E14F9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5.2监理单位委派的工程师 </w:t>
      </w:r>
    </w:p>
    <w:p w14:paraId="380A2AC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姓名：______/_________职务：______/________</w:t>
      </w:r>
    </w:p>
    <w:p w14:paraId="61DC6569">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                   </w:t>
      </w:r>
    </w:p>
    <w:p w14:paraId="02E9A99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 xml:space="preserve">         /          </w:t>
      </w:r>
    </w:p>
    <w:p w14:paraId="4912BB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5.4发包人派驻的工程师 </w:t>
      </w:r>
    </w:p>
    <w:p w14:paraId="128F21C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姓名：____________________职务：________________________________</w:t>
      </w:r>
    </w:p>
    <w:p w14:paraId="266797C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 xml:space="preserve">                                                          </w:t>
      </w:r>
    </w:p>
    <w:p w14:paraId="50B46E5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____________________</w:t>
      </w:r>
    </w:p>
    <w:p w14:paraId="1187988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6、项目经理</w:t>
      </w:r>
    </w:p>
    <w:p w14:paraId="01880EA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姓名：___________职务：___________________</w:t>
      </w:r>
    </w:p>
    <w:p w14:paraId="602241D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7、发包人工作</w:t>
      </w:r>
    </w:p>
    <w:p w14:paraId="38440F8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7.1发包人应按约定的时间和要求完成以下工作：</w:t>
      </w:r>
    </w:p>
    <w:p w14:paraId="0C9B1A5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工程开工前五日内完成。</w:t>
      </w:r>
    </w:p>
    <w:p w14:paraId="3570839B">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本工程施工水源、电源、电讯均由承包人自行解决并承担费用。</w:t>
      </w:r>
    </w:p>
    <w:p w14:paraId="0B876817">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其计量和计价方法为：</w:t>
      </w:r>
      <w:r>
        <w:rPr>
          <w:rFonts w:hint="eastAsia" w:ascii="宋体" w:hAnsi="宋体" w:eastAsia="宋体" w:cs="宋体"/>
          <w:color w:val="auto"/>
          <w:sz w:val="24"/>
          <w:szCs w:val="24"/>
          <w:highlight w:val="none"/>
          <w:u w:val="single"/>
        </w:rPr>
        <w:t>由承包人承担费用，按不同来源在投标时自主报价，结算时不再调整。</w:t>
      </w:r>
    </w:p>
    <w:p w14:paraId="496E8C7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 xml:space="preserve">             </w:t>
      </w:r>
    </w:p>
    <w:p w14:paraId="6E62147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合同签订七日内提供发包人已知的情况，其它由承包人自行勘测和解决。</w:t>
      </w:r>
    </w:p>
    <w:p w14:paraId="12F099F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合同签订后发包人积极办理，需要承包人配合的承包人必须积极配合在开工前完成</w:t>
      </w:r>
      <w:r>
        <w:rPr>
          <w:rFonts w:hint="eastAsia" w:ascii="宋体" w:hAnsi="宋体" w:eastAsia="宋体" w:cs="宋体"/>
          <w:color w:val="auto"/>
          <w:sz w:val="24"/>
          <w:szCs w:val="24"/>
          <w:highlight w:val="none"/>
        </w:rPr>
        <w:t>。</w:t>
      </w:r>
    </w:p>
    <w:p w14:paraId="6B623D7E">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（6）水准点与座标控制点交验要求：</w:t>
      </w:r>
      <w:r>
        <w:rPr>
          <w:rFonts w:hint="eastAsia" w:ascii="宋体" w:hAnsi="宋体" w:eastAsia="宋体" w:cs="宋体"/>
          <w:color w:val="auto"/>
          <w:sz w:val="24"/>
          <w:szCs w:val="24"/>
          <w:highlight w:val="none"/>
          <w:u w:val="single"/>
        </w:rPr>
        <w:t>/。</w:t>
      </w:r>
    </w:p>
    <w:p w14:paraId="5B04045E">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（7）施工交底时间：</w:t>
      </w:r>
      <w:r>
        <w:rPr>
          <w:rFonts w:hint="eastAsia" w:ascii="宋体" w:hAnsi="宋体" w:eastAsia="宋体" w:cs="宋体"/>
          <w:color w:val="auto"/>
          <w:sz w:val="24"/>
          <w:szCs w:val="24"/>
          <w:highlight w:val="none"/>
          <w:u w:val="single"/>
        </w:rPr>
        <w:t xml:space="preserve">       。</w:t>
      </w:r>
    </w:p>
    <w:p w14:paraId="4359997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由发包人和承包人协商确定。</w:t>
      </w:r>
    </w:p>
    <w:p w14:paraId="2C2F1DE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施工中的协调配合工作。</w:t>
      </w:r>
    </w:p>
    <w:p w14:paraId="0B725D3C">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7.2发包人委托承包人办理的工作：</w:t>
      </w:r>
      <w:r>
        <w:rPr>
          <w:rFonts w:hint="eastAsia" w:ascii="宋体" w:hAnsi="宋体" w:eastAsia="宋体" w:cs="宋体"/>
          <w:color w:val="auto"/>
          <w:sz w:val="24"/>
          <w:szCs w:val="24"/>
          <w:highlight w:val="none"/>
          <w:u w:val="single"/>
        </w:rPr>
        <w:t>配合发包人办理施工许可证、质量监督备案手续。</w:t>
      </w:r>
    </w:p>
    <w:p w14:paraId="71AA291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8、承包人工作</w:t>
      </w:r>
    </w:p>
    <w:p w14:paraId="345AE68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8.1承包人应按约定时间和要求，完成以下工作：</w:t>
      </w:r>
    </w:p>
    <w:p w14:paraId="130821E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按发包人的要求提供。</w:t>
      </w:r>
    </w:p>
    <w:p w14:paraId="36113A0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 xml:space="preserve">        /          。</w:t>
      </w:r>
    </w:p>
    <w:p w14:paraId="2B4CBFF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7FAA089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（4）向发包人提供的办公和生活房屋及设施的要求：</w:t>
      </w:r>
      <w:r>
        <w:rPr>
          <w:rFonts w:hint="eastAsia" w:ascii="宋体" w:hAnsi="宋体" w:eastAsia="宋体" w:cs="宋体"/>
          <w:color w:val="auto"/>
          <w:sz w:val="24"/>
          <w:szCs w:val="24"/>
          <w:highlight w:val="none"/>
          <w:u w:val="single"/>
        </w:rPr>
        <w:t>/</w:t>
      </w:r>
    </w:p>
    <w:p w14:paraId="10AF083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（5）需承包人办理的有关施工场地交通、环卫和施工噪音管理等手续：</w:t>
      </w:r>
      <w:r>
        <w:rPr>
          <w:rFonts w:hint="eastAsia" w:ascii="宋体" w:hAnsi="宋体" w:eastAsia="宋体" w:cs="宋体"/>
          <w:color w:val="auto"/>
          <w:sz w:val="24"/>
          <w:szCs w:val="24"/>
          <w:highlight w:val="none"/>
          <w:u w:val="single"/>
        </w:rPr>
        <w:t>由承包人负责各项手续的办理并承担费用。</w:t>
      </w:r>
    </w:p>
    <w:p w14:paraId="23493D5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承包人负责，费用由承包人承担。</w:t>
      </w:r>
    </w:p>
    <w:p w14:paraId="1F7DB77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由发包人和承包人负责协商确定。</w:t>
      </w:r>
    </w:p>
    <w:p w14:paraId="613A072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由承包人负责。</w:t>
      </w:r>
    </w:p>
    <w:p w14:paraId="2D97A11C">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（9）双方约定承包人应做的其他工作：</w:t>
      </w:r>
      <w:r>
        <w:rPr>
          <w:rFonts w:hint="eastAsia" w:ascii="宋体" w:hAnsi="宋体" w:eastAsia="宋体" w:cs="宋体"/>
          <w:color w:val="auto"/>
          <w:sz w:val="24"/>
          <w:szCs w:val="24"/>
          <w:highlight w:val="none"/>
          <w:u w:val="single"/>
        </w:rPr>
        <w:t>相关的对外协调工作。</w:t>
      </w:r>
    </w:p>
    <w:p w14:paraId="5219712D">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三、施工组织设计和工期</w:t>
      </w:r>
    </w:p>
    <w:p w14:paraId="5FBB9D9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9、进度计划</w:t>
      </w:r>
    </w:p>
    <w:p w14:paraId="19ACD35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9.1承包人提供施工组织设计（施工方案）和进度计划的时间：</w:t>
      </w:r>
      <w:r>
        <w:rPr>
          <w:rFonts w:hint="eastAsia" w:ascii="宋体" w:hAnsi="宋体" w:eastAsia="宋体" w:cs="宋体"/>
          <w:color w:val="auto"/>
          <w:sz w:val="24"/>
          <w:szCs w:val="24"/>
          <w:highlight w:val="none"/>
          <w:u w:val="single"/>
        </w:rPr>
        <w:t>合同签订后</w:t>
      </w:r>
      <w:r>
        <w:rPr>
          <w:rFonts w:hint="eastAsia"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日内。</w:t>
      </w:r>
    </w:p>
    <w:p w14:paraId="4646C14D">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承包人接交之日起七日内。</w:t>
      </w:r>
    </w:p>
    <w:p w14:paraId="25728C02">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9.2群体工程中有关进度计划的要求：</w:t>
      </w:r>
      <w:r>
        <w:rPr>
          <w:rFonts w:hint="eastAsia" w:ascii="宋体" w:hAnsi="宋体" w:eastAsia="宋体" w:cs="宋体"/>
          <w:color w:val="auto"/>
          <w:sz w:val="24"/>
          <w:szCs w:val="24"/>
          <w:highlight w:val="none"/>
          <w:u w:val="single"/>
        </w:rPr>
        <w:t>以发包人的要求为准。</w:t>
      </w:r>
    </w:p>
    <w:p w14:paraId="5081182F">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10、工期延误</w:t>
      </w:r>
    </w:p>
    <w:p w14:paraId="350C3279">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10.1双方约定工期顺延的其他情况：</w:t>
      </w:r>
      <w:r>
        <w:rPr>
          <w:rFonts w:hint="eastAsia" w:ascii="宋体" w:hAnsi="宋体" w:eastAsia="宋体" w:cs="宋体"/>
          <w:color w:val="auto"/>
          <w:sz w:val="24"/>
          <w:szCs w:val="24"/>
          <w:highlight w:val="none"/>
          <w:u w:val="single"/>
        </w:rPr>
        <w:t>执行《通用条款》。</w:t>
      </w:r>
    </w:p>
    <w:p w14:paraId="3C0F64AD">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四、质量与检验</w:t>
      </w:r>
    </w:p>
    <w:p w14:paraId="3381A1B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11、隐蔽工程和中间验收 </w:t>
      </w:r>
    </w:p>
    <w:p w14:paraId="5AD6342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11.1双方约定中间验收部位：</w:t>
      </w:r>
      <w:r>
        <w:rPr>
          <w:rFonts w:hint="eastAsia" w:ascii="宋体" w:hAnsi="宋体" w:eastAsia="宋体" w:cs="宋体"/>
          <w:color w:val="auto"/>
          <w:sz w:val="24"/>
          <w:szCs w:val="24"/>
          <w:highlight w:val="none"/>
          <w:u w:val="single"/>
        </w:rPr>
        <w:t>执行《通用条款》。</w:t>
      </w:r>
    </w:p>
    <w:p w14:paraId="3F37AE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12、工程试车 </w:t>
      </w:r>
    </w:p>
    <w:p w14:paraId="130B77F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12.1试车费用的承担：</w:t>
      </w:r>
      <w:r>
        <w:rPr>
          <w:rFonts w:hint="eastAsia" w:ascii="宋体" w:hAnsi="宋体" w:eastAsia="宋体" w:cs="宋体"/>
          <w:color w:val="auto"/>
          <w:sz w:val="24"/>
          <w:szCs w:val="24"/>
          <w:highlight w:val="none"/>
          <w:u w:val="single"/>
        </w:rPr>
        <w:t>由承包人承担。</w:t>
      </w:r>
    </w:p>
    <w:p w14:paraId="29CD9095">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五、安全生产</w:t>
      </w:r>
    </w:p>
    <w:p w14:paraId="67D00D36">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13、项目实施单位履行安全生产监管责任，项目施工单位履行安全生产主体责任。（详见作业设计说明书）</w:t>
      </w:r>
    </w:p>
    <w:p w14:paraId="5B03E27F">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六、合同价款</w:t>
      </w:r>
    </w:p>
    <w:p w14:paraId="6F272A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13、合同价款约定 </w:t>
      </w:r>
    </w:p>
    <w:p w14:paraId="477BE52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13.1本合同价款采用</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方式确定。</w:t>
      </w:r>
    </w:p>
    <w:p w14:paraId="1340A17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（1）采用固定总价合同：</w:t>
      </w:r>
      <w:r>
        <w:rPr>
          <w:rFonts w:hint="eastAsia" w:ascii="宋体" w:hAnsi="宋体" w:eastAsia="宋体" w:cs="宋体"/>
          <w:color w:val="auto"/>
          <w:sz w:val="24"/>
          <w:szCs w:val="24"/>
          <w:highlight w:val="none"/>
          <w:u w:val="single"/>
        </w:rPr>
        <w:t xml:space="preserve">  /  </w:t>
      </w:r>
    </w:p>
    <w:p w14:paraId="7F987DB7">
      <w:pPr>
        <w:spacing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（2）采用固定综合单价合同，综合单价中包括的风险范围</w:t>
      </w:r>
      <w:r>
        <w:rPr>
          <w:rFonts w:hint="eastAsia" w:hAnsi="宋体" w:cs="宋体"/>
          <w:color w:val="auto"/>
          <w:sz w:val="24"/>
          <w:szCs w:val="24"/>
          <w:highlight w:val="none"/>
          <w:lang w:eastAsia="zh-CN"/>
        </w:rPr>
        <w:t>；</w:t>
      </w:r>
    </w:p>
    <w:p w14:paraId="3AD02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（3）采用可调价格合同，合同价款调整方法：_______</w:t>
      </w:r>
      <w:r>
        <w:rPr>
          <w:rFonts w:hint="eastAsia" w:ascii="宋体" w:hAnsi="宋体" w:eastAsia="宋体" w:cs="宋体"/>
          <w:color w:val="auto"/>
          <w:sz w:val="24"/>
          <w:szCs w:val="24"/>
          <w:highlight w:val="none"/>
          <w:u w:val="single"/>
        </w:rPr>
        <w:t>__/__</w:t>
      </w:r>
      <w:r>
        <w:rPr>
          <w:rFonts w:hint="eastAsia" w:ascii="宋体" w:hAnsi="宋体" w:eastAsia="宋体" w:cs="宋体"/>
          <w:color w:val="auto"/>
          <w:sz w:val="24"/>
          <w:szCs w:val="24"/>
          <w:highlight w:val="none"/>
        </w:rPr>
        <w:t>___________</w:t>
      </w:r>
    </w:p>
    <w:p w14:paraId="5080CB92">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14、合同价款调整</w:t>
      </w:r>
    </w:p>
    <w:p w14:paraId="38B16DB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14.1双方约定合同价款的其他调整因素：__________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w:t>
      </w:r>
    </w:p>
    <w:p w14:paraId="75D95D7C">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15、工程预付款</w:t>
      </w:r>
    </w:p>
    <w:p w14:paraId="02C5CD7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发包人向承包人预付工程款的时间和金额或占合同价款总额的比例：</w:t>
      </w:r>
      <w:r>
        <w:rPr>
          <w:rFonts w:hint="eastAsia" w:ascii="宋体" w:hAnsi="宋体" w:eastAsia="宋体" w:cs="宋体"/>
          <w:color w:val="auto"/>
          <w:sz w:val="24"/>
          <w:szCs w:val="24"/>
          <w:highlight w:val="none"/>
          <w:u w:val="single"/>
        </w:rPr>
        <w:t xml:space="preserve"> / </w:t>
      </w:r>
    </w:p>
    <w:p w14:paraId="7A7DCAC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预付安全防护、文明施工措施费用的比例和时间：</w:t>
      </w:r>
      <w:r>
        <w:rPr>
          <w:rFonts w:hint="eastAsia" w:ascii="宋体" w:hAnsi="宋体" w:eastAsia="宋体" w:cs="宋体"/>
          <w:color w:val="auto"/>
          <w:sz w:val="24"/>
          <w:szCs w:val="24"/>
          <w:highlight w:val="none"/>
          <w:u w:val="single"/>
        </w:rPr>
        <w:t xml:space="preserve"> / </w:t>
      </w:r>
    </w:p>
    <w:p w14:paraId="2AF5DC2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16、工程量确认</w:t>
      </w:r>
    </w:p>
    <w:p w14:paraId="70B66B6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16.1承包人向工程师提交已完工程量报告的时间：</w:t>
      </w:r>
      <w:r>
        <w:rPr>
          <w:rFonts w:hint="eastAsia" w:ascii="宋体" w:hAnsi="宋体" w:eastAsia="宋体" w:cs="宋体"/>
          <w:color w:val="auto"/>
          <w:sz w:val="24"/>
          <w:szCs w:val="24"/>
          <w:highlight w:val="none"/>
          <w:u w:val="single"/>
        </w:rPr>
        <w:t>每月的26日承包人向发包人提交25日以前已完工程量报告。</w:t>
      </w:r>
    </w:p>
    <w:p w14:paraId="28BF956D">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17、工程进度款结算与支付</w:t>
      </w:r>
    </w:p>
    <w:p w14:paraId="2CE2C29A">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双方约定的工程进度款支付的方式、时间和比例是：详见合同条款及格式前附表</w:t>
      </w:r>
    </w:p>
    <w:p w14:paraId="2B32EEF7">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七、材料设备供应</w:t>
      </w:r>
    </w:p>
    <w:p w14:paraId="204FD45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31发包人供应材料设备，承包人应按计划领取使用，在结算时发包人按暂定价从工程款中扣除。</w:t>
      </w:r>
    </w:p>
    <w:p w14:paraId="7E735F4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31.4发包人供应的材料设备与一览表不符时，双方约定发包人承担责任如下：</w:t>
      </w:r>
    </w:p>
    <w:p w14:paraId="5EC58435">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执行《通用条款》31.4.（1）款。</w:t>
      </w:r>
    </w:p>
    <w:p w14:paraId="2836E427">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执行《通用条款》31.4(2)款。</w:t>
      </w:r>
    </w:p>
    <w:p w14:paraId="0382905F">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执行《通用条款》31.4.（3）款。</w:t>
      </w:r>
    </w:p>
    <w:p w14:paraId="1891E3D8">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执行《通用条款》31.4.（4）款。</w:t>
      </w:r>
    </w:p>
    <w:p w14:paraId="7918AA36">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执行《通用条款》31.4.（5）款。</w:t>
      </w:r>
    </w:p>
    <w:p w14:paraId="50AED592">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执行《通用条款》31.4.（6）款。</w:t>
      </w:r>
    </w:p>
    <w:p w14:paraId="6089078E">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31.6发包人供应材料设备的结算方法：</w:t>
      </w:r>
      <w:r>
        <w:rPr>
          <w:rFonts w:hint="eastAsia" w:ascii="宋体" w:hAnsi="宋体" w:eastAsia="宋体" w:cs="宋体"/>
          <w:color w:val="auto"/>
          <w:sz w:val="24"/>
          <w:szCs w:val="24"/>
          <w:highlight w:val="none"/>
          <w:u w:val="single"/>
        </w:rPr>
        <w:t xml:space="preserve">  无 </w:t>
      </w:r>
    </w:p>
    <w:p w14:paraId="5234493A">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32、承包人采购材料设备</w:t>
      </w:r>
    </w:p>
    <w:p w14:paraId="3EC419F8">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32.1承包人采购材料设备的约定：</w:t>
      </w:r>
      <w:r>
        <w:rPr>
          <w:rFonts w:hint="eastAsia" w:ascii="宋体" w:hAnsi="宋体" w:eastAsia="宋体" w:cs="宋体"/>
          <w:color w:val="auto"/>
          <w:sz w:val="24"/>
          <w:szCs w:val="24"/>
          <w:highlight w:val="none"/>
          <w:u w:val="single"/>
        </w:rPr>
        <w:t>乙方自行采购的材料规格型号应与施工图设计相符，质量等级必须合格。</w:t>
      </w:r>
    </w:p>
    <w:p w14:paraId="2F5DE85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八、工程变更</w:t>
      </w:r>
    </w:p>
    <w:p w14:paraId="5648378F">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33、在本工程实施过程中若发生变更，按下列各项执行：</w:t>
      </w:r>
    </w:p>
    <w:p w14:paraId="443A01F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u w:val="single"/>
        </w:rPr>
        <w:t>合同中已有适用综合单价的，可参照类似综合单价调整；</w:t>
      </w:r>
    </w:p>
    <w:p w14:paraId="7ED0900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u w:val="single"/>
        </w:rPr>
        <w:t>合同中有类似综合单价的，可参照类似综合单价调整；</w:t>
      </w:r>
    </w:p>
    <w:p w14:paraId="7771BB2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u w:val="single"/>
        </w:rPr>
        <w:t>合同中没有适用或类似综合单价的承包人按照投标书人工工日、材料、机械台班单价进行组价，报发包人审核认可。</w:t>
      </w:r>
    </w:p>
    <w:p w14:paraId="675DDF9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九、竣工验收与结算</w:t>
      </w:r>
    </w:p>
    <w:p w14:paraId="3B49F28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36、竣工验收</w:t>
      </w:r>
    </w:p>
    <w:p w14:paraId="6114872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36.1承包人提供竣工图的约定：</w:t>
      </w:r>
      <w:r>
        <w:rPr>
          <w:rFonts w:hint="eastAsia" w:ascii="宋体" w:hAnsi="宋体" w:eastAsia="宋体" w:cs="宋体"/>
          <w:color w:val="auto"/>
          <w:sz w:val="24"/>
          <w:szCs w:val="24"/>
          <w:highlight w:val="none"/>
          <w:u w:val="single"/>
        </w:rPr>
        <w:t>完整资料文件两套。</w:t>
      </w:r>
    </w:p>
    <w:p w14:paraId="19CA8C0F">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36.6中间交工工程的范围和竣工时间：_______________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_______________</w:t>
      </w:r>
    </w:p>
    <w:p w14:paraId="2D1B9FB6">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37、竣工结算</w:t>
      </w:r>
    </w:p>
    <w:p w14:paraId="0C9F335F">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结算审查期限： </w:t>
      </w:r>
      <w:r>
        <w:rPr>
          <w:rFonts w:hint="eastAsia" w:ascii="宋体" w:hAnsi="宋体" w:eastAsia="宋体" w:cs="宋体"/>
          <w:color w:val="auto"/>
          <w:sz w:val="24"/>
          <w:szCs w:val="24"/>
          <w:highlight w:val="none"/>
          <w:u w:val="single"/>
        </w:rPr>
        <w:t xml:space="preserve">  /   </w:t>
      </w:r>
    </w:p>
    <w:p w14:paraId="54EC04B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十、违约、索赔和争议</w:t>
      </w:r>
    </w:p>
    <w:p w14:paraId="17E929D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39、违约</w:t>
      </w:r>
    </w:p>
    <w:p w14:paraId="249856ED">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39.1  本合同中关于发包人违约的具体责任如下： </w:t>
      </w:r>
    </w:p>
    <w:p w14:paraId="5CC0E249">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本合同通用条款第28.1条约定发包人违约应承担的违约责任：</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 xml:space="preserve">_   </w:t>
      </w:r>
    </w:p>
    <w:p w14:paraId="0B07C83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本合同通用条款第30.5款约定发包人违约应承担的违约责任：</w:t>
      </w:r>
      <w:r>
        <w:rPr>
          <w:rFonts w:hint="eastAsia" w:ascii="宋体" w:hAnsi="宋体" w:eastAsia="宋体" w:cs="宋体"/>
          <w:color w:val="auto"/>
          <w:sz w:val="24"/>
          <w:szCs w:val="24"/>
          <w:highlight w:val="none"/>
          <w:u w:val="single"/>
        </w:rPr>
        <w:t>执行《通用条款》30.5款。</w:t>
      </w:r>
    </w:p>
    <w:p w14:paraId="49822D69">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本合同通用条款第37.6款约定发包人违约应承担的违约责任：</w:t>
      </w:r>
      <w:r>
        <w:rPr>
          <w:rFonts w:hint="eastAsia" w:ascii="宋体" w:hAnsi="宋体" w:eastAsia="宋体" w:cs="宋体"/>
          <w:color w:val="auto"/>
          <w:sz w:val="24"/>
          <w:szCs w:val="24"/>
          <w:highlight w:val="none"/>
          <w:u w:val="single"/>
        </w:rPr>
        <w:t>执行《通用条款》37.6款。</w:t>
      </w:r>
    </w:p>
    <w:p w14:paraId="74E5B4CD">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双方约定的发包人其他违约责任：__________/_________</w:t>
      </w:r>
    </w:p>
    <w:p w14:paraId="4DAACD9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39.2  本合同中关于承包人违约的具体责任如下：本合同通用条款第14.2款约定承包人违约承担的违约责任：</w:t>
      </w:r>
      <w:r>
        <w:rPr>
          <w:rFonts w:hint="eastAsia" w:ascii="宋体" w:hAnsi="宋体" w:eastAsia="宋体" w:cs="宋体"/>
          <w:color w:val="auto"/>
          <w:sz w:val="24"/>
          <w:szCs w:val="24"/>
          <w:highlight w:val="none"/>
          <w:u w:val="single"/>
        </w:rPr>
        <w:t>承包人工期每推迟一天罚款1000元，若影响到发包人使用另行赔偿给甲方造成的损失。</w:t>
      </w:r>
    </w:p>
    <w:p w14:paraId="3E257899">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本合同通用条款第15.1款约定承包人违约应承担的违约责任：</w:t>
      </w:r>
      <w:r>
        <w:rPr>
          <w:rFonts w:hint="eastAsia" w:ascii="宋体" w:hAnsi="宋体" w:eastAsia="宋体" w:cs="宋体"/>
          <w:color w:val="auto"/>
          <w:sz w:val="24"/>
          <w:szCs w:val="24"/>
          <w:highlight w:val="none"/>
          <w:u w:val="single"/>
        </w:rPr>
        <w:t>承包方除按合同价款的2%承担违约金外，另按国务院279号令有关规定执行。</w:t>
      </w:r>
    </w:p>
    <w:p w14:paraId="6DDD0A8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双方约定的承包人其他违约责任：______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w:t>
      </w:r>
    </w:p>
    <w:p w14:paraId="7CF489B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41、争议</w:t>
      </w:r>
    </w:p>
    <w:p w14:paraId="455EE8EF">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41.1双方当事人约定，在履行合同过程中产生争议时：</w:t>
      </w:r>
    </w:p>
    <w:p w14:paraId="349C14F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（1）请_</w:t>
      </w:r>
      <w:r>
        <w:rPr>
          <w:rFonts w:hint="eastAsia" w:ascii="宋体" w:hAnsi="宋体" w:eastAsia="宋体" w:cs="宋体"/>
          <w:color w:val="auto"/>
          <w:sz w:val="24"/>
          <w:szCs w:val="24"/>
          <w:highlight w:val="none"/>
          <w:u w:val="single"/>
        </w:rPr>
        <w:t>合同管理部门和其他有关部门</w:t>
      </w:r>
      <w:r>
        <w:rPr>
          <w:rFonts w:hint="eastAsia" w:ascii="宋体" w:hAnsi="宋体" w:eastAsia="宋体" w:cs="宋体"/>
          <w:color w:val="auto"/>
          <w:sz w:val="24"/>
          <w:szCs w:val="24"/>
          <w:highlight w:val="none"/>
        </w:rPr>
        <w:t>_调解；</w:t>
      </w:r>
    </w:p>
    <w:p w14:paraId="2ABFD35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（2）合同争议调解不成的，按下列第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种方式解决：</w:t>
      </w:r>
    </w:p>
    <w:p w14:paraId="30DDBA6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项目所在地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仲裁委员会申请仲裁； </w:t>
      </w:r>
    </w:p>
    <w:p w14:paraId="1CCD1F4F">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w:t>
      </w:r>
      <w:r>
        <w:rPr>
          <w:rFonts w:hint="eastAsia" w:ascii="宋体" w:hAnsi="宋体" w:eastAsia="宋体" w:cs="宋体"/>
          <w:color w:val="auto"/>
          <w:sz w:val="24"/>
          <w:szCs w:val="24"/>
          <w:highlight w:val="none"/>
          <w:u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人民法院提起诉讼。 </w:t>
      </w:r>
    </w:p>
    <w:p w14:paraId="1FC68E7D">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十一、其他</w:t>
      </w:r>
    </w:p>
    <w:p w14:paraId="2FC8713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42、工程分包</w:t>
      </w:r>
    </w:p>
    <w:p w14:paraId="1FEDFDE6">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42.1本工程发包人同意承包人分包的专业工程：</w:t>
      </w:r>
      <w:r>
        <w:rPr>
          <w:rFonts w:hint="eastAsia" w:ascii="宋体" w:hAnsi="宋体" w:eastAsia="宋体" w:cs="宋体"/>
          <w:color w:val="auto"/>
          <w:sz w:val="24"/>
          <w:szCs w:val="24"/>
          <w:highlight w:val="none"/>
          <w:u w:val="single"/>
        </w:rPr>
        <w:t xml:space="preserve">   无  </w:t>
      </w:r>
    </w:p>
    <w:p w14:paraId="4F73DA43">
      <w:pPr>
        <w:widowControl/>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分包施工单位为：</w:t>
      </w:r>
      <w:r>
        <w:rPr>
          <w:rFonts w:hint="eastAsia" w:hAnsi="宋体" w:cs="宋体"/>
          <w:color w:val="auto"/>
          <w:sz w:val="24"/>
          <w:szCs w:val="24"/>
          <w:highlight w:val="none"/>
          <w:u w:val="single"/>
          <w:lang w:val="en-US" w:eastAsia="zh-CN"/>
        </w:rPr>
        <w:t xml:space="preserve">            /            </w:t>
      </w:r>
    </w:p>
    <w:p w14:paraId="74973F01">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43、不可抗力</w:t>
      </w:r>
    </w:p>
    <w:p w14:paraId="2A85537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 xml:space="preserve">43.1双方关于不可抗力的约定： </w:t>
      </w:r>
      <w:r>
        <w:rPr>
          <w:rFonts w:hint="eastAsia" w:ascii="宋体" w:hAnsi="宋体" w:eastAsia="宋体" w:cs="宋体"/>
          <w:color w:val="auto"/>
          <w:sz w:val="24"/>
          <w:szCs w:val="24"/>
          <w:highlight w:val="none"/>
          <w:u w:val="single"/>
        </w:rPr>
        <w:t>_根据国家的法律规定执行。</w:t>
      </w:r>
    </w:p>
    <w:p w14:paraId="1D7EF7A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44、保险</w:t>
      </w:r>
    </w:p>
    <w:p w14:paraId="5F698512">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44.6本工程双方约定投保内容如下：</w:t>
      </w:r>
    </w:p>
    <w:p w14:paraId="2EE2BAE5">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eastAsia="宋体" w:cs="宋体"/>
          <w:color w:val="auto"/>
          <w:sz w:val="24"/>
          <w:szCs w:val="24"/>
          <w:highlight w:val="none"/>
          <w:u w:val="single"/>
        </w:rPr>
        <w:t>执行《通用条款》44.1款，费用由发包人承担。</w:t>
      </w:r>
    </w:p>
    <w:p w14:paraId="2BBAE5FF">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发包人委托承包人办理的保险事项：____________/________________</w:t>
      </w:r>
    </w:p>
    <w:p w14:paraId="6630B77F">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（2）承包人投保内容：</w:t>
      </w:r>
      <w:r>
        <w:rPr>
          <w:rFonts w:hint="eastAsia" w:ascii="宋体" w:hAnsi="宋体" w:eastAsia="宋体" w:cs="宋体"/>
          <w:color w:val="auto"/>
          <w:sz w:val="24"/>
          <w:szCs w:val="24"/>
          <w:highlight w:val="none"/>
          <w:u w:val="single"/>
        </w:rPr>
        <w:t>执行《通用条款》44.4款，费用由承包人承担。</w:t>
      </w:r>
    </w:p>
    <w:p w14:paraId="6E2F9F4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45、担保</w:t>
      </w:r>
    </w:p>
    <w:p w14:paraId="5F47E92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45.3本工程双方约定担保事项如下： </w:t>
      </w:r>
    </w:p>
    <w:p w14:paraId="6F1EDDB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13916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（2）承包人向发包人提供履约担保，担保方式为：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E5461DD">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（3）双方约定的其他担保事项：_______________/________________</w:t>
      </w:r>
    </w:p>
    <w:p w14:paraId="4D3E2129">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50、合同份数</w:t>
      </w:r>
    </w:p>
    <w:p w14:paraId="5535756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50.2双方约定合同副本份数：</w:t>
      </w:r>
      <w:r>
        <w:rPr>
          <w:rFonts w:hint="eastAsia" w:ascii="宋体" w:hAnsi="宋体" w:eastAsia="宋体" w:cs="宋体"/>
          <w:color w:val="auto"/>
          <w:sz w:val="24"/>
          <w:szCs w:val="24"/>
          <w:highlight w:val="none"/>
          <w:u w:val="thick"/>
        </w:rPr>
        <w:t>捌份。</w:t>
      </w:r>
    </w:p>
    <w:p w14:paraId="0117249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51、补充条款</w:t>
      </w:r>
    </w:p>
    <w:p w14:paraId="1DBD0A87">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51.1</w:t>
      </w:r>
      <w:r>
        <w:rPr>
          <w:rFonts w:hint="eastAsia" w:ascii="宋体" w:hAnsi="宋体" w:eastAsia="宋体" w:cs="宋体"/>
          <w:color w:val="auto"/>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56959406">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51.2</w:t>
      </w:r>
      <w:r>
        <w:rPr>
          <w:rFonts w:hint="eastAsia" w:ascii="宋体" w:hAnsi="宋体" w:eastAsia="宋体" w:cs="宋体"/>
          <w:color w:val="auto"/>
          <w:sz w:val="24"/>
          <w:szCs w:val="24"/>
          <w:highlight w:val="none"/>
          <w:u w:val="single"/>
        </w:rPr>
        <w:t>施工企业须承诺按国务院及当地政府的规定按时、足额、实名方式支付农民工工资，否则发包人在工程款中代扣支付，并在工程结算时扣除。</w:t>
      </w:r>
    </w:p>
    <w:p w14:paraId="0B70796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51.3</w:t>
      </w:r>
      <w:r>
        <w:rPr>
          <w:rFonts w:hint="eastAsia" w:ascii="宋体" w:hAnsi="宋体" w:eastAsia="宋体" w:cs="宋体"/>
          <w:color w:val="auto"/>
          <w:sz w:val="24"/>
          <w:szCs w:val="24"/>
          <w:highlight w:val="none"/>
          <w:u w:val="single"/>
        </w:rPr>
        <w:t>本工程竣工后，应免费将建筑物周围和施工单位生活区周围内施工现场清除干净；无建筑材料、无建筑设备、无建筑垃圾、和施工垃圾，做到场地整洁。</w:t>
      </w:r>
    </w:p>
    <w:p w14:paraId="12C2C50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51.4</w:t>
      </w:r>
      <w:r>
        <w:rPr>
          <w:rFonts w:hint="eastAsia" w:ascii="宋体" w:hAnsi="宋体" w:eastAsia="宋体" w:cs="宋体"/>
          <w:color w:val="auto"/>
          <w:sz w:val="24"/>
          <w:szCs w:val="24"/>
          <w:highlight w:val="none"/>
          <w:u w:val="single"/>
        </w:rPr>
        <w:t>承包人在施工过程中应服从、遵守发包人和当地政府职能部门的管理制度。关于安全防护、文明施工措施费用的其他约定如下：</w:t>
      </w:r>
    </w:p>
    <w:p w14:paraId="18CA44CB">
      <w:pPr>
        <w:numPr>
          <w:ilvl w:val="0"/>
          <w:numId w:val="15"/>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承包人需提供安全防护、文明施工措施费用的支付计划落实情况；</w:t>
      </w:r>
    </w:p>
    <w:p w14:paraId="31C918D4">
      <w:pPr>
        <w:numPr>
          <w:ilvl w:val="0"/>
          <w:numId w:val="15"/>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工程师对承包人落实安全防护、文明施工措施分情况进行现场监理，若发现承包人</w:t>
      </w:r>
      <w:r>
        <w:rPr>
          <w:rFonts w:hint="eastAsia" w:hAnsi="宋体" w:cs="宋体"/>
          <w:color w:val="auto"/>
          <w:sz w:val="24"/>
          <w:szCs w:val="24"/>
          <w:highlight w:val="none"/>
          <w:u w:val="single"/>
          <w:lang w:val="en-US" w:eastAsia="zh-CN"/>
        </w:rPr>
        <w:t>未</w:t>
      </w:r>
      <w:r>
        <w:rPr>
          <w:rFonts w:hint="eastAsia" w:ascii="宋体" w:hAnsi="宋体" w:eastAsia="宋体" w:cs="宋体"/>
          <w:color w:val="auto"/>
          <w:sz w:val="24"/>
          <w:szCs w:val="24"/>
          <w:highlight w:val="none"/>
          <w:u w:val="single"/>
        </w:rPr>
        <w:t>落实安全防护、文明施工措施的，有权责令其立即整改；</w:t>
      </w:r>
    </w:p>
    <w:p w14:paraId="3673D64E">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发包人和承包人应在财务管理中单独列支安全防护、文明施工措施项目费用的支付情况。</w:t>
      </w:r>
    </w:p>
    <w:p w14:paraId="31B22889">
      <w:pPr>
        <w:spacing w:line="360" w:lineRule="auto"/>
        <w:ind w:firstLine="480" w:firstLineChars="200"/>
        <w:rPr>
          <w:rFonts w:hint="eastAsia" w:hAnsi="宋体"/>
          <w:color w:val="auto"/>
          <w:szCs w:val="24"/>
          <w:highlight w:val="none"/>
        </w:rPr>
      </w:pPr>
      <w:r>
        <w:rPr>
          <w:rFonts w:hint="eastAsia" w:ascii="宋体" w:hAnsi="宋体" w:eastAsia="宋体" w:cs="宋体"/>
          <w:color w:val="auto"/>
          <w:sz w:val="24"/>
          <w:szCs w:val="24"/>
          <w:highlight w:val="none"/>
        </w:rPr>
        <w:t>51.5</w:t>
      </w:r>
      <w:r>
        <w:rPr>
          <w:rFonts w:hint="eastAsia" w:ascii="宋体" w:hAnsi="宋体" w:eastAsia="宋体" w:cs="宋体"/>
          <w:color w:val="auto"/>
          <w:sz w:val="24"/>
          <w:szCs w:val="24"/>
          <w:highlight w:val="none"/>
          <w:u w:val="single"/>
        </w:rPr>
        <w:t>以上未尽事宜，双方协商解决或另行签署补充协议并到建设行政主管部门备案。</w:t>
      </w:r>
    </w:p>
    <w:p w14:paraId="261B2A39">
      <w:pPr>
        <w:ind w:firstLine="600" w:firstLineChars="200"/>
        <w:rPr>
          <w:rFonts w:hint="eastAsia" w:ascii="仿宋_GB2312" w:eastAsia="仿宋_GB2312"/>
          <w:color w:val="auto"/>
          <w:sz w:val="30"/>
          <w:szCs w:val="30"/>
          <w:highlight w:val="none"/>
        </w:rPr>
        <w:sectPr>
          <w:footerReference r:id="rId16" w:type="first"/>
          <w:footerReference r:id="rId15" w:type="default"/>
          <w:pgSz w:w="11906" w:h="16838"/>
          <w:pgMar w:top="1440" w:right="1080" w:bottom="1440" w:left="1080" w:header="851" w:footer="992" w:gutter="0"/>
          <w:pgNumType w:fmt="decimal"/>
          <w:cols w:space="720" w:num="1"/>
          <w:titlePg/>
          <w:docGrid w:type="lines" w:linePitch="312" w:charSpace="0"/>
        </w:sectPr>
      </w:pPr>
    </w:p>
    <w:bookmarkEnd w:id="37"/>
    <w:bookmarkEnd w:id="48"/>
    <w:bookmarkEnd w:id="49"/>
    <w:bookmarkEnd w:id="50"/>
    <w:bookmarkEnd w:id="51"/>
    <w:bookmarkEnd w:id="52"/>
    <w:bookmarkEnd w:id="53"/>
    <w:bookmarkEnd w:id="54"/>
    <w:bookmarkEnd w:id="55"/>
    <w:bookmarkEnd w:id="56"/>
    <w:bookmarkEnd w:id="57"/>
    <w:p w14:paraId="47717F23">
      <w:pPr>
        <w:rPr>
          <w:rFonts w:hint="eastAsia" w:ascii="宋体" w:hAnsi="宋体" w:eastAsia="宋体" w:cs="宋体"/>
          <w:b/>
          <w:bCs w:val="0"/>
          <w:color w:val="auto"/>
          <w:sz w:val="36"/>
          <w:szCs w:val="36"/>
          <w:highlight w:val="none"/>
        </w:rPr>
      </w:pPr>
      <w:bookmarkStart w:id="63" w:name="_Toc20059"/>
      <w:bookmarkStart w:id="64" w:name="_Toc24229"/>
      <w:bookmarkStart w:id="65" w:name="_Toc363474025"/>
      <w:bookmarkStart w:id="66" w:name="_Toc423973079"/>
      <w:bookmarkStart w:id="67" w:name="_Toc403077646"/>
      <w:bookmarkStart w:id="68" w:name="_Toc5084"/>
      <w:r>
        <w:rPr>
          <w:rFonts w:hint="eastAsia" w:ascii="宋体" w:hAnsi="宋体" w:eastAsia="宋体" w:cs="宋体"/>
          <w:b/>
          <w:bCs w:val="0"/>
          <w:color w:val="auto"/>
          <w:sz w:val="36"/>
          <w:szCs w:val="36"/>
          <w:highlight w:val="none"/>
          <w:lang w:val="en-US" w:eastAsia="zh-CN"/>
        </w:rPr>
        <w:br w:type="page"/>
      </w:r>
    </w:p>
    <w:p w14:paraId="6026A804">
      <w:pPr>
        <w:numPr>
          <w:ilvl w:val="0"/>
          <w:numId w:val="16"/>
        </w:numPr>
        <w:jc w:val="center"/>
        <w:outlineLvl w:val="0"/>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lang w:val="en-US" w:eastAsia="zh-CN"/>
        </w:rPr>
        <w:t xml:space="preserve"> </w:t>
      </w:r>
      <w:bookmarkEnd w:id="63"/>
      <w:bookmarkEnd w:id="64"/>
      <w:r>
        <w:rPr>
          <w:rFonts w:hint="eastAsia" w:hAnsi="宋体" w:cs="宋体"/>
          <w:b/>
          <w:bCs w:val="0"/>
          <w:color w:val="auto"/>
          <w:sz w:val="36"/>
          <w:szCs w:val="36"/>
          <w:highlight w:val="none"/>
          <w:lang w:val="en-US" w:eastAsia="zh-CN"/>
        </w:rPr>
        <w:t>工程量清单</w:t>
      </w:r>
    </w:p>
    <w:p w14:paraId="76C8F8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lang w:eastAsia="zh-CN"/>
        </w:rPr>
      </w:pPr>
    </w:p>
    <w:p w14:paraId="11827F88">
      <w:pPr>
        <w:rPr>
          <w:rFonts w:hint="eastAsia" w:ascii="宋体" w:hAnsi="宋体" w:eastAsia="宋体" w:cs="宋体"/>
          <w:b/>
          <w:bCs/>
          <w:color w:val="auto"/>
          <w:spacing w:val="0"/>
          <w:w w:val="100"/>
          <w:position w:val="0"/>
          <w:sz w:val="24"/>
          <w:szCs w:val="24"/>
          <w:highlight w:val="none"/>
          <w:lang w:val="en-US" w:eastAsia="zh-CN"/>
        </w:rPr>
      </w:pPr>
    </w:p>
    <w:p w14:paraId="00E06EF5">
      <w:pPr>
        <w:pStyle w:val="20"/>
        <w:jc w:val="center"/>
        <w:rPr>
          <w:rFonts w:hint="default" w:ascii="宋体" w:hAnsi="宋体" w:eastAsia="宋体" w:cs="Times New Roman"/>
          <w:b/>
          <w:color w:val="auto"/>
          <w:kern w:val="2"/>
          <w:sz w:val="28"/>
          <w:szCs w:val="28"/>
          <w:highlight w:val="none"/>
          <w:lang w:val="en-US" w:eastAsia="zh-CN" w:bidi="ar-SA"/>
        </w:rPr>
        <w:sectPr>
          <w:headerReference r:id="rId17" w:type="default"/>
          <w:footerReference r:id="rId18" w:type="default"/>
          <w:type w:val="continuous"/>
          <w:pgSz w:w="11906" w:h="16838"/>
          <w:pgMar w:top="1440" w:right="1080" w:bottom="1440" w:left="1080" w:header="851" w:footer="992" w:gutter="0"/>
          <w:pgNumType w:fmt="decimal"/>
          <w:cols w:space="720" w:num="1"/>
          <w:rtlGutter w:val="0"/>
          <w:docGrid w:type="lines" w:linePitch="312" w:charSpace="0"/>
        </w:sectPr>
      </w:pPr>
      <w:r>
        <w:rPr>
          <w:rFonts w:hint="eastAsia" w:ascii="宋体" w:hAnsi="宋体" w:eastAsia="宋体" w:cs="Times New Roman"/>
          <w:b/>
          <w:color w:val="auto"/>
          <w:kern w:val="2"/>
          <w:sz w:val="28"/>
          <w:szCs w:val="28"/>
          <w:highlight w:val="none"/>
          <w:lang w:val="en-US" w:eastAsia="zh-CN" w:bidi="ar-SA"/>
        </w:rPr>
        <w:t>编制说明</w:t>
      </w:r>
    </w:p>
    <w:p w14:paraId="497C99BD">
      <w:pPr>
        <w:keepNext w:val="0"/>
        <w:keepLines w:val="0"/>
        <w:widowControl/>
        <w:numPr>
          <w:ilvl w:val="0"/>
          <w:numId w:val="17"/>
        </w:numPr>
        <w:suppressLineNumbers w:val="0"/>
        <w:spacing w:line="360" w:lineRule="auto"/>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工程概况：</w:t>
      </w:r>
    </w:p>
    <w:p w14:paraId="043FD958">
      <w:pPr>
        <w:keepNext w:val="0"/>
        <w:keepLines w:val="0"/>
        <w:widowControl/>
        <w:numPr>
          <w:ilvl w:val="0"/>
          <w:numId w:val="0"/>
        </w:numPr>
        <w:suppressLineNumbers w:val="0"/>
        <w:spacing w:line="360" w:lineRule="auto"/>
        <w:ind w:firstLine="480" w:firstLineChars="200"/>
        <w:jc w:val="left"/>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扶风县野河林场管护用房建设项目主要建设内容，重建改造管护用房工程2座，建筑面积183.86M</w:t>
      </w:r>
      <w:r>
        <w:rPr>
          <w:rFonts w:hint="eastAsia" w:asciiTheme="minorEastAsia" w:hAnsiTheme="minorEastAsia" w:eastAsiaTheme="minorEastAsia" w:cstheme="minorEastAsia"/>
          <w:b w:val="0"/>
          <w:bCs w:val="0"/>
          <w:sz w:val="24"/>
          <w:szCs w:val="24"/>
          <w:highlight w:val="none"/>
          <w:vertAlign w:val="superscript"/>
          <w:lang w:val="en-US" w:eastAsia="zh-CN"/>
        </w:rPr>
        <w:t>2</w:t>
      </w:r>
      <w:r>
        <w:rPr>
          <w:rFonts w:hint="eastAsia" w:asciiTheme="minorEastAsia" w:hAnsiTheme="minorEastAsia" w:eastAsiaTheme="minorEastAsia" w:cstheme="minorEastAsia"/>
          <w:b w:val="0"/>
          <w:bCs w:val="0"/>
          <w:sz w:val="24"/>
          <w:szCs w:val="24"/>
          <w:highlight w:val="none"/>
          <w:lang w:val="en-US" w:eastAsia="zh-CN"/>
        </w:rPr>
        <w:t>,加固改造管护用房工程1座，建筑面积72.4M</w:t>
      </w:r>
      <w:r>
        <w:rPr>
          <w:rFonts w:hint="eastAsia" w:asciiTheme="minorEastAsia" w:hAnsiTheme="minorEastAsia" w:eastAsiaTheme="minorEastAsia" w:cstheme="minorEastAsia"/>
          <w:b w:val="0"/>
          <w:bCs w:val="0"/>
          <w:sz w:val="24"/>
          <w:szCs w:val="24"/>
          <w:highlight w:val="none"/>
          <w:vertAlign w:val="superscript"/>
          <w:lang w:val="en-US" w:eastAsia="zh-CN"/>
        </w:rPr>
        <w:t>2</w:t>
      </w:r>
      <w:r>
        <w:rPr>
          <w:rFonts w:hint="eastAsia" w:asciiTheme="minorEastAsia" w:hAnsiTheme="minorEastAsia" w:eastAsiaTheme="minorEastAsia" w:cstheme="minorEastAsia"/>
          <w:b w:val="0"/>
          <w:bCs w:val="0"/>
          <w:sz w:val="24"/>
          <w:szCs w:val="24"/>
          <w:highlight w:val="none"/>
          <w:lang w:val="en-US" w:eastAsia="zh-CN"/>
        </w:rPr>
        <w:t>，功能完善管护用房工程4座，建筑面积848.1M</w:t>
      </w:r>
      <w:r>
        <w:rPr>
          <w:rFonts w:hint="eastAsia" w:asciiTheme="minorEastAsia" w:hAnsiTheme="minorEastAsia" w:eastAsiaTheme="minorEastAsia" w:cstheme="minorEastAsia"/>
          <w:b w:val="0"/>
          <w:bCs w:val="0"/>
          <w:sz w:val="24"/>
          <w:szCs w:val="24"/>
          <w:highlight w:val="none"/>
          <w:vertAlign w:val="superscript"/>
          <w:lang w:val="en-US" w:eastAsia="zh-CN"/>
        </w:rPr>
        <w:t>2</w:t>
      </w:r>
      <w:r>
        <w:rPr>
          <w:rFonts w:hint="eastAsia" w:asciiTheme="minorEastAsia" w:hAnsiTheme="minorEastAsia" w:eastAsiaTheme="minorEastAsia" w:cstheme="minorEastAsia"/>
          <w:b w:val="0"/>
          <w:bCs w:val="0"/>
          <w:sz w:val="24"/>
          <w:szCs w:val="24"/>
          <w:highlight w:val="none"/>
          <w:lang w:val="en-US" w:eastAsia="zh-CN"/>
        </w:rPr>
        <w:t>。</w:t>
      </w:r>
    </w:p>
    <w:p w14:paraId="1697E040">
      <w:pPr>
        <w:pStyle w:val="21"/>
        <w:spacing w:before="0" w:beforeAutospacing="0" w:after="0" w:afterAutospacing="0" w:line="360" w:lineRule="auto"/>
        <w:rPr>
          <w:rFonts w:hint="eastAsia"/>
          <w:sz w:val="24"/>
          <w:szCs w:val="24"/>
          <w:highlight w:val="none"/>
        </w:rPr>
      </w:pPr>
      <w:r>
        <w:rPr>
          <w:rFonts w:hint="eastAsia"/>
          <w:sz w:val="24"/>
          <w:szCs w:val="24"/>
          <w:highlight w:val="none"/>
          <w:lang w:val="en-US" w:eastAsia="zh-CN"/>
        </w:rPr>
        <w:t>二、</w:t>
      </w:r>
      <w:r>
        <w:rPr>
          <w:rFonts w:hint="eastAsia" w:ascii="宋体" w:hAnsi="宋体" w:eastAsia="宋体" w:cs="Times New Roman"/>
          <w:b/>
          <w:kern w:val="2"/>
          <w:sz w:val="24"/>
          <w:szCs w:val="24"/>
          <w:highlight w:val="none"/>
          <w:lang w:val="en-US" w:eastAsia="zh-CN" w:bidi="ar-SA"/>
        </w:rPr>
        <w:t>工程招标范围：</w:t>
      </w:r>
    </w:p>
    <w:p w14:paraId="6F550DE1">
      <w:pPr>
        <w:pStyle w:val="21"/>
        <w:spacing w:before="0" w:beforeAutospacing="0" w:after="0" w:afterAutospacing="0" w:line="360" w:lineRule="auto"/>
        <w:ind w:firstLine="480" w:firstLineChars="200"/>
        <w:rPr>
          <w:rFonts w:hint="default"/>
          <w:b w:val="0"/>
          <w:bCs w:val="0"/>
          <w:sz w:val="24"/>
          <w:szCs w:val="24"/>
          <w:highlight w:val="none"/>
          <w:lang w:val="en-US"/>
        </w:rPr>
      </w:pPr>
      <w:r>
        <w:rPr>
          <w:rFonts w:hint="eastAsia"/>
          <w:b w:val="0"/>
          <w:bCs w:val="0"/>
          <w:sz w:val="24"/>
          <w:szCs w:val="24"/>
          <w:highlight w:val="none"/>
          <w:lang w:eastAsia="zh-CN"/>
        </w:rPr>
        <w:t>工程量清单所示所有内容（</w:t>
      </w:r>
      <w:r>
        <w:rPr>
          <w:rFonts w:hint="eastAsia" w:cs="宋体"/>
          <w:b w:val="0"/>
          <w:bCs w:val="0"/>
          <w:sz w:val="24"/>
          <w:szCs w:val="24"/>
          <w:highlight w:val="none"/>
          <w:lang w:val="en-US" w:eastAsia="zh-CN"/>
        </w:rPr>
        <w:t>详见工程量清单及图纸</w:t>
      </w:r>
      <w:r>
        <w:rPr>
          <w:rFonts w:hint="eastAsia"/>
          <w:b w:val="0"/>
          <w:bCs w:val="0"/>
          <w:sz w:val="24"/>
          <w:szCs w:val="24"/>
          <w:highlight w:val="none"/>
          <w:lang w:eastAsia="zh-CN"/>
        </w:rPr>
        <w:t>）。</w:t>
      </w:r>
    </w:p>
    <w:p w14:paraId="544A8350">
      <w:pPr>
        <w:numPr>
          <w:ilvl w:val="0"/>
          <w:numId w:val="18"/>
        </w:numPr>
        <w:autoSpaceDE w:val="0"/>
        <w:autoSpaceDN w:val="0"/>
        <w:adjustRightInd w:val="0"/>
        <w:spacing w:line="360" w:lineRule="auto"/>
        <w:jc w:val="left"/>
        <w:outlineLvl w:val="0"/>
        <w:rPr>
          <w:rFonts w:hint="eastAsia" w:ascii="宋体" w:hAnsi="宋体"/>
          <w:b/>
          <w:sz w:val="24"/>
          <w:szCs w:val="24"/>
          <w:highlight w:val="none"/>
        </w:rPr>
      </w:pPr>
      <w:bookmarkStart w:id="69" w:name="_Toc13777"/>
      <w:r>
        <w:rPr>
          <w:rFonts w:hint="eastAsia" w:ascii="宋体" w:hAnsi="宋体"/>
          <w:b/>
          <w:sz w:val="24"/>
          <w:szCs w:val="24"/>
          <w:highlight w:val="none"/>
        </w:rPr>
        <w:t>编制依据：</w:t>
      </w:r>
      <w:bookmarkEnd w:id="69"/>
    </w:p>
    <w:p w14:paraId="2F661C81">
      <w:pPr>
        <w:numPr>
          <w:ilvl w:val="0"/>
          <w:numId w:val="0"/>
        </w:numPr>
        <w:autoSpaceDE w:val="0"/>
        <w:autoSpaceDN w:val="0"/>
        <w:adjustRightInd w:val="0"/>
        <w:spacing w:line="360" w:lineRule="auto"/>
        <w:ind w:firstLine="480" w:firstLineChars="200"/>
        <w:jc w:val="left"/>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bidi="ar-SA"/>
        </w:rPr>
        <w:t>扶风县野河林场管护用房建设项目施工图</w:t>
      </w:r>
      <w:r>
        <w:rPr>
          <w:rFonts w:hint="eastAsia" w:ascii="宋体" w:hAnsi="宋体" w:eastAsia="宋体" w:cs="宋体"/>
          <w:sz w:val="24"/>
          <w:szCs w:val="24"/>
          <w:highlight w:val="none"/>
          <w:lang w:val="en-US" w:eastAsia="zh-CN"/>
        </w:rPr>
        <w:t>纸；</w:t>
      </w:r>
    </w:p>
    <w:p w14:paraId="771E1CC1">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市政工程工程量计算标准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DB 61/T5128-2025</w:t>
      </w:r>
      <w:r>
        <w:rPr>
          <w:rFonts w:hint="eastAsia" w:ascii="宋体" w:hAnsi="宋体" w:eastAsia="宋体" w:cs="宋体"/>
          <w:sz w:val="24"/>
          <w:szCs w:val="24"/>
          <w:highlight w:val="none"/>
          <w:lang w:eastAsia="zh-CN"/>
        </w:rPr>
        <w:t>）》；</w:t>
      </w:r>
    </w:p>
    <w:p w14:paraId="7737B0F3">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3、陕西省《建设工程工程量清单计价标准（DB 61/T5126-2025）》；</w:t>
      </w:r>
    </w:p>
    <w:p w14:paraId="3AD25A9C">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4、《陕西省建设工程费用规则》（2025）；</w:t>
      </w:r>
    </w:p>
    <w:p w14:paraId="0FCF9E40">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5、《陕西省市政工程消耗量定额》（2025）；</w:t>
      </w:r>
    </w:p>
    <w:p w14:paraId="69E1464C">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6、《陕西省建设工程施工机械台班费用定额》（2025）；</w:t>
      </w:r>
    </w:p>
    <w:p w14:paraId="5E89DE95">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7、《陕西省建设工程施工仪器仪表台班费用定额》（2025）；</w:t>
      </w:r>
    </w:p>
    <w:p w14:paraId="0F06A5AD">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8、《陕西省市政工程基价表》（2025）；</w:t>
      </w:r>
    </w:p>
    <w:p w14:paraId="786E5194">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本工程主要材料价格参照</w:t>
      </w:r>
      <w:r>
        <w:rPr>
          <w:rFonts w:hint="eastAsia" w:ascii="宋体" w:hAnsi="宋体" w:cs="宋体"/>
          <w:sz w:val="24"/>
          <w:szCs w:val="24"/>
          <w:highlight w:val="none"/>
          <w:lang w:eastAsia="zh-CN"/>
        </w:rPr>
        <w:t>20</w:t>
      </w:r>
      <w:r>
        <w:rPr>
          <w:rFonts w:hint="eastAsia" w:cs="宋体"/>
          <w:sz w:val="24"/>
          <w:szCs w:val="24"/>
          <w:highlight w:val="none"/>
          <w:lang w:val="en-US" w:eastAsia="zh-CN"/>
        </w:rPr>
        <w:t>25</w:t>
      </w:r>
      <w:r>
        <w:rPr>
          <w:rFonts w:hint="eastAsia" w:ascii="宋体" w:hAnsi="宋体" w:cs="宋体"/>
          <w:sz w:val="24"/>
          <w:szCs w:val="24"/>
          <w:highlight w:val="none"/>
          <w:lang w:eastAsia="zh-CN"/>
        </w:rPr>
        <w:t>年宝鸡市第</w:t>
      </w:r>
      <w:r>
        <w:rPr>
          <w:rFonts w:hint="eastAsia" w:cs="宋体"/>
          <w:sz w:val="24"/>
          <w:szCs w:val="24"/>
          <w:highlight w:val="none"/>
          <w:lang w:eastAsia="zh-CN"/>
        </w:rPr>
        <w:t>二</w:t>
      </w:r>
      <w:r>
        <w:rPr>
          <w:rFonts w:hint="eastAsia" w:ascii="宋体" w:hAnsi="宋体" w:cs="宋体"/>
          <w:sz w:val="24"/>
          <w:szCs w:val="24"/>
          <w:highlight w:val="none"/>
          <w:lang w:eastAsia="zh-CN"/>
        </w:rPr>
        <w:t>期材料信息价及相关地区市场价</w:t>
      </w:r>
      <w:r>
        <w:rPr>
          <w:rFonts w:hint="eastAsia" w:ascii="宋体" w:hAnsi="宋体" w:cs="宋体"/>
          <w:sz w:val="24"/>
          <w:szCs w:val="24"/>
          <w:highlight w:val="none"/>
          <w:lang w:val="en-US" w:eastAsia="zh-CN"/>
        </w:rPr>
        <w:t>计入</w:t>
      </w:r>
      <w:r>
        <w:rPr>
          <w:rFonts w:hint="eastAsia" w:cs="宋体"/>
          <w:sz w:val="24"/>
          <w:szCs w:val="24"/>
          <w:highlight w:val="none"/>
          <w:lang w:val="en-US" w:eastAsia="zh-CN"/>
        </w:rPr>
        <w:t>；</w:t>
      </w:r>
    </w:p>
    <w:p w14:paraId="22ACEDA4">
      <w:pPr>
        <w:pStyle w:val="21"/>
        <w:spacing w:before="0" w:beforeAutospacing="0" w:after="0" w:afterAutospacing="0" w:line="360" w:lineRule="auto"/>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四、编制软件及版本号：</w:t>
      </w:r>
    </w:p>
    <w:p w14:paraId="0B23C02D">
      <w:pPr>
        <w:pStyle w:val="21"/>
        <w:spacing w:before="0" w:beforeAutospacing="0" w:after="0" w:afterAutospacing="0" w:line="360" w:lineRule="auto"/>
        <w:ind w:firstLine="480" w:firstLineChars="200"/>
        <w:rPr>
          <w:rFonts w:hint="eastAsia" w:cs="宋体"/>
          <w:sz w:val="24"/>
          <w:szCs w:val="24"/>
          <w:highlight w:val="none"/>
          <w:lang w:val="en-US" w:eastAsia="zh-CN"/>
        </w:rPr>
      </w:pPr>
      <w:r>
        <w:rPr>
          <w:rFonts w:hint="eastAsia" w:cs="宋体"/>
          <w:sz w:val="24"/>
          <w:szCs w:val="24"/>
          <w:highlight w:val="none"/>
          <w:lang w:val="en-US" w:eastAsia="zh-CN"/>
        </w:rPr>
        <w:t>金建软件V8.0.2版本。</w:t>
      </w:r>
    </w:p>
    <w:p w14:paraId="5FBD4486">
      <w:pPr>
        <w:rPr>
          <w:rFonts w:hint="eastAsia" w:ascii="宋体" w:hAnsi="宋体" w:eastAsia="宋体" w:cs="宋体"/>
          <w:b/>
          <w:bCs/>
          <w:color w:val="auto"/>
          <w:spacing w:val="0"/>
          <w:w w:val="100"/>
          <w:position w:val="0"/>
          <w:sz w:val="24"/>
          <w:szCs w:val="24"/>
          <w:highlight w:val="none"/>
          <w:lang w:val="en-US" w:eastAsia="zh-CN"/>
        </w:rPr>
      </w:pPr>
    </w:p>
    <w:p w14:paraId="1482CAB4">
      <w:pPr>
        <w:rPr>
          <w:rStyle w:val="30"/>
          <w:rFonts w:hint="eastAsia" w:ascii="宋体" w:hAnsi="宋体" w:eastAsia="宋体" w:cs="宋体"/>
          <w:b/>
          <w:color w:val="auto"/>
          <w:sz w:val="36"/>
          <w:szCs w:val="21"/>
          <w:highlight w:val="none"/>
        </w:rPr>
      </w:pPr>
      <w:bookmarkStart w:id="70" w:name="_Toc14006"/>
      <w:bookmarkStart w:id="71" w:name="_Toc23157"/>
      <w:bookmarkStart w:id="72" w:name="_Toc26116"/>
      <w:r>
        <w:rPr>
          <w:rStyle w:val="30"/>
          <w:rFonts w:hint="eastAsia" w:ascii="宋体" w:hAnsi="宋体" w:eastAsia="宋体" w:cs="宋体"/>
          <w:b/>
          <w:color w:val="auto"/>
          <w:sz w:val="36"/>
          <w:szCs w:val="21"/>
          <w:highlight w:val="none"/>
        </w:rPr>
        <w:br w:type="page"/>
      </w:r>
    </w:p>
    <w:p w14:paraId="32836A01">
      <w:pPr>
        <w:pStyle w:val="2"/>
        <w:numPr>
          <w:ilvl w:val="0"/>
          <w:numId w:val="0"/>
        </w:numPr>
        <w:bidi w:val="0"/>
        <w:jc w:val="center"/>
        <w:outlineLvl w:val="0"/>
        <w:rPr>
          <w:rFonts w:hint="eastAsia" w:ascii="宋体" w:hAnsi="宋体" w:eastAsia="宋体" w:cs="宋体"/>
          <w:b w:val="0"/>
          <w:bCs/>
          <w:color w:val="auto"/>
          <w:kern w:val="2"/>
          <w:sz w:val="36"/>
          <w:szCs w:val="36"/>
          <w:highlight w:val="none"/>
        </w:rPr>
      </w:pPr>
      <w:r>
        <w:rPr>
          <w:rStyle w:val="30"/>
          <w:rFonts w:hint="eastAsia" w:ascii="宋体" w:hAnsi="宋体" w:eastAsia="宋体" w:cs="宋体"/>
          <w:b/>
          <w:color w:val="auto"/>
          <w:sz w:val="36"/>
          <w:szCs w:val="21"/>
          <w:highlight w:val="none"/>
        </w:rPr>
        <w:t xml:space="preserve">第六章 </w:t>
      </w:r>
      <w:r>
        <w:rPr>
          <w:rStyle w:val="30"/>
          <w:rFonts w:hint="eastAsia" w:ascii="宋体" w:eastAsia="宋体" w:cs="宋体"/>
          <w:b/>
          <w:color w:val="auto"/>
          <w:sz w:val="36"/>
          <w:szCs w:val="21"/>
          <w:highlight w:val="none"/>
          <w:lang w:val="en-US" w:eastAsia="zh-CN"/>
        </w:rPr>
        <w:t xml:space="preserve"> </w:t>
      </w:r>
      <w:r>
        <w:rPr>
          <w:rStyle w:val="30"/>
          <w:rFonts w:hint="eastAsia" w:ascii="宋体" w:hAnsi="宋体" w:eastAsia="宋体" w:cs="宋体"/>
          <w:b/>
          <w:color w:val="auto"/>
          <w:sz w:val="36"/>
          <w:szCs w:val="21"/>
          <w:highlight w:val="none"/>
        </w:rPr>
        <w:t>竞争性磋商响应文件格式</w:t>
      </w:r>
      <w:bookmarkEnd w:id="65"/>
      <w:bookmarkEnd w:id="66"/>
      <w:bookmarkEnd w:id="67"/>
      <w:bookmarkEnd w:id="68"/>
      <w:bookmarkEnd w:id="70"/>
      <w:bookmarkEnd w:id="71"/>
      <w:bookmarkEnd w:id="72"/>
    </w:p>
    <w:p w14:paraId="0C30DBA3">
      <w:pPr>
        <w:rPr>
          <w:rFonts w:hint="eastAsia" w:ascii="宋体" w:hAnsi="宋体" w:eastAsia="宋体" w:cs="宋体"/>
          <w:color w:val="auto"/>
          <w:highlight w:val="none"/>
        </w:rPr>
      </w:pPr>
    </w:p>
    <w:p w14:paraId="687A8DAF">
      <w:pPr>
        <w:rPr>
          <w:rFonts w:hint="eastAsia" w:ascii="宋体" w:hAnsi="宋体" w:eastAsia="宋体" w:cs="宋体"/>
          <w:color w:val="auto"/>
          <w:highlight w:val="none"/>
        </w:rPr>
      </w:pPr>
    </w:p>
    <w:p w14:paraId="3D37FC9D">
      <w:pPr>
        <w:framePr w:w="5082" w:hSpace="180" w:wrap="around" w:vAnchor="text" w:hAnchor="page" w:x="1472" w:y="18"/>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YZZB-20250141</w:t>
      </w:r>
    </w:p>
    <w:p w14:paraId="6E5EF71A">
      <w:pPr>
        <w:ind w:firstLine="4343" w:firstLineChars="1352"/>
        <w:jc w:val="right"/>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rPr>
        <w:t>（正本或副本）</w:t>
      </w:r>
    </w:p>
    <w:p w14:paraId="7E1A2547">
      <w:pPr>
        <w:jc w:val="right"/>
        <w:rPr>
          <w:rFonts w:hint="eastAsia" w:ascii="宋体" w:hAnsi="宋体" w:eastAsia="宋体" w:cs="宋体"/>
          <w:b/>
          <w:color w:val="auto"/>
          <w:sz w:val="32"/>
          <w:szCs w:val="32"/>
          <w:highlight w:val="none"/>
        </w:rPr>
      </w:pPr>
    </w:p>
    <w:p w14:paraId="28981E16">
      <w:pPr>
        <w:jc w:val="right"/>
        <w:rPr>
          <w:rFonts w:hint="eastAsia" w:ascii="宋体" w:hAnsi="宋体" w:eastAsia="宋体" w:cs="宋体"/>
          <w:b/>
          <w:color w:val="auto"/>
          <w:sz w:val="32"/>
          <w:szCs w:val="32"/>
          <w:highlight w:val="none"/>
        </w:rPr>
      </w:pPr>
    </w:p>
    <w:p w14:paraId="53003924">
      <w:pPr>
        <w:pStyle w:val="10"/>
        <w:rPr>
          <w:rFonts w:hint="eastAsia" w:ascii="宋体" w:hAnsi="宋体" w:eastAsia="宋体" w:cs="宋体"/>
          <w:color w:val="auto"/>
          <w:highlight w:val="none"/>
        </w:rPr>
      </w:pPr>
    </w:p>
    <w:p w14:paraId="16290528">
      <w:pPr>
        <w:jc w:val="center"/>
        <w:outlineLvl w:val="9"/>
        <w:rPr>
          <w:rFonts w:hint="eastAsia" w:ascii="宋体" w:hAnsi="宋体" w:eastAsia="宋体" w:cs="宋体"/>
          <w:b/>
          <w:color w:val="auto"/>
          <w:sz w:val="48"/>
          <w:szCs w:val="48"/>
          <w:highlight w:val="none"/>
        </w:rPr>
      </w:pPr>
      <w:r>
        <w:rPr>
          <w:rFonts w:hint="eastAsia" w:hAnsi="宋体" w:cs="宋体"/>
          <w:b/>
          <w:color w:val="auto"/>
          <w:sz w:val="56"/>
          <w:szCs w:val="56"/>
          <w:highlight w:val="none"/>
          <w:lang w:eastAsia="zh-CN"/>
        </w:rPr>
        <w:t>2025年管护用房建设项目</w:t>
      </w:r>
    </w:p>
    <w:p w14:paraId="3BCFD779">
      <w:pPr>
        <w:pStyle w:val="10"/>
        <w:jc w:val="center"/>
        <w:rPr>
          <w:rFonts w:hint="eastAsia" w:ascii="宋体" w:hAnsi="宋体" w:cs="宋体"/>
          <w:b/>
          <w:color w:val="auto"/>
          <w:sz w:val="62"/>
          <w:szCs w:val="72"/>
          <w:highlight w:val="none"/>
          <w:lang w:val="en-US" w:eastAsia="zh-CN"/>
        </w:rPr>
      </w:pPr>
    </w:p>
    <w:p w14:paraId="7B041058">
      <w:pPr>
        <w:pStyle w:val="10"/>
        <w:jc w:val="both"/>
        <w:rPr>
          <w:rFonts w:hint="default" w:ascii="宋体" w:hAnsi="宋体" w:eastAsia="宋体" w:cs="宋体"/>
          <w:b/>
          <w:color w:val="auto"/>
          <w:sz w:val="62"/>
          <w:szCs w:val="72"/>
          <w:highlight w:val="none"/>
          <w:u w:val="single"/>
          <w:lang w:val="en-US" w:eastAsia="zh-CN"/>
        </w:rPr>
      </w:pPr>
    </w:p>
    <w:p w14:paraId="637C33D5">
      <w:pPr>
        <w:rPr>
          <w:rFonts w:hint="eastAsia" w:ascii="宋体" w:hAnsi="宋体" w:eastAsia="宋体" w:cs="宋体"/>
          <w:color w:val="auto"/>
          <w:highlight w:val="none"/>
        </w:rPr>
      </w:pPr>
    </w:p>
    <w:p w14:paraId="11053E8D">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14:paraId="5FABA9CD">
      <w:pPr>
        <w:jc w:val="center"/>
        <w:rPr>
          <w:rFonts w:hint="eastAsia" w:ascii="宋体" w:hAnsi="宋体" w:eastAsia="宋体" w:cs="宋体"/>
          <w:b/>
          <w:color w:val="auto"/>
          <w:sz w:val="36"/>
          <w:szCs w:val="36"/>
          <w:highlight w:val="none"/>
        </w:rPr>
      </w:pPr>
    </w:p>
    <w:p w14:paraId="59A79761">
      <w:pPr>
        <w:pStyle w:val="10"/>
        <w:rPr>
          <w:rFonts w:hint="eastAsia" w:ascii="宋体" w:hAnsi="宋体" w:eastAsia="宋体" w:cs="宋体"/>
          <w:color w:val="auto"/>
          <w:highlight w:val="none"/>
        </w:rPr>
      </w:pPr>
    </w:p>
    <w:p w14:paraId="5C7CDFE9">
      <w:pPr>
        <w:rPr>
          <w:rFonts w:hint="eastAsia" w:ascii="宋体" w:hAnsi="宋体" w:eastAsia="宋体" w:cs="宋体"/>
          <w:b/>
          <w:color w:val="auto"/>
          <w:sz w:val="36"/>
          <w:szCs w:val="36"/>
          <w:highlight w:val="none"/>
        </w:rPr>
      </w:pPr>
    </w:p>
    <w:p w14:paraId="20D7CA2F">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w:t>
      </w:r>
      <w:r>
        <w:rPr>
          <w:rFonts w:hint="eastAsia" w:hAnsi="宋体" w:cs="宋体"/>
          <w:b/>
          <w:color w:val="auto"/>
          <w:sz w:val="32"/>
          <w:szCs w:val="32"/>
          <w:highlight w:val="none"/>
          <w:lang w:eastAsia="zh-CN"/>
        </w:rPr>
        <w:t>：</w:t>
      </w:r>
      <w:r>
        <w:rPr>
          <w:rFonts w:hint="eastAsia" w:ascii="宋体" w:hAnsi="宋体" w:eastAsia="宋体" w:cs="宋体"/>
          <w:b/>
          <w:color w:val="auto"/>
          <w:sz w:val="32"/>
          <w:szCs w:val="32"/>
          <w:highlight w:val="none"/>
        </w:rPr>
        <w:t>（公章）</w:t>
      </w:r>
    </w:p>
    <w:p w14:paraId="55EA3173">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73" w:name="_Toc344572156"/>
    </w:p>
    <w:p w14:paraId="13756063">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2DDCBB14">
      <w:pPr>
        <w:pStyle w:val="10"/>
        <w:rPr>
          <w:rFonts w:hint="eastAsia" w:ascii="宋体" w:hAnsi="宋体" w:eastAsia="宋体" w:cs="宋体"/>
          <w:color w:val="auto"/>
          <w:highlight w:val="none"/>
        </w:rPr>
      </w:pPr>
    </w:p>
    <w:p w14:paraId="794FA5CD">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一、磋商响应函</w:t>
      </w:r>
    </w:p>
    <w:p w14:paraId="085586A3">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二、磋商报价表</w:t>
      </w:r>
    </w:p>
    <w:p w14:paraId="66B43F68">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三、磋商方案说明书</w:t>
      </w:r>
    </w:p>
    <w:p w14:paraId="006B1BF9">
      <w:pPr>
        <w:spacing w:line="360" w:lineRule="auto"/>
        <w:ind w:firstLine="496" w:firstLineChars="200"/>
        <w:jc w:val="left"/>
        <w:outlineLvl w:val="9"/>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四、商务</w:t>
      </w:r>
      <w:r>
        <w:rPr>
          <w:rFonts w:hint="eastAsia" w:hAnsi="宋体" w:cs="宋体"/>
          <w:color w:val="auto"/>
          <w:spacing w:val="4"/>
          <w:sz w:val="24"/>
          <w:szCs w:val="24"/>
          <w:highlight w:val="none"/>
          <w:lang w:val="en-US" w:eastAsia="zh-CN"/>
        </w:rPr>
        <w:t>条款偏离表</w:t>
      </w:r>
    </w:p>
    <w:p w14:paraId="4709CAF3">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五、陕西省政府采购供应商拒绝政府采购领域商业贿赂承诺书</w:t>
      </w:r>
    </w:p>
    <w:p w14:paraId="09269A29">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六、</w:t>
      </w:r>
      <w:r>
        <w:rPr>
          <w:rFonts w:hint="eastAsia" w:ascii="宋体" w:hAnsi="宋体" w:eastAsia="宋体" w:cs="宋体"/>
          <w:color w:val="auto"/>
          <w:spacing w:val="4"/>
          <w:sz w:val="24"/>
          <w:szCs w:val="24"/>
          <w:highlight w:val="none"/>
          <w:lang w:eastAsia="zh-CN"/>
        </w:rPr>
        <w:t>特定</w:t>
      </w:r>
      <w:r>
        <w:rPr>
          <w:rFonts w:hint="eastAsia" w:ascii="宋体" w:hAnsi="宋体" w:eastAsia="宋体" w:cs="宋体"/>
          <w:color w:val="auto"/>
          <w:spacing w:val="4"/>
          <w:sz w:val="24"/>
          <w:szCs w:val="24"/>
          <w:highlight w:val="none"/>
        </w:rPr>
        <w:t>资格证明文件</w:t>
      </w:r>
    </w:p>
    <w:p w14:paraId="54738EEB">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七、</w:t>
      </w:r>
      <w:r>
        <w:rPr>
          <w:rFonts w:hint="eastAsia" w:ascii="宋体" w:hAnsi="宋体" w:eastAsia="宋体" w:cs="宋体"/>
          <w:color w:val="auto"/>
          <w:spacing w:val="4"/>
          <w:sz w:val="24"/>
          <w:szCs w:val="24"/>
          <w:highlight w:val="none"/>
          <w:lang w:eastAsia="zh-CN"/>
        </w:rPr>
        <w:t>其他</w:t>
      </w:r>
    </w:p>
    <w:p w14:paraId="0C5A0424">
      <w:pPr>
        <w:pStyle w:val="7"/>
        <w:spacing w:line="360" w:lineRule="auto"/>
        <w:rPr>
          <w:rFonts w:hint="eastAsia" w:ascii="宋体" w:hAnsi="宋体" w:eastAsia="宋体" w:cs="宋体"/>
          <w:color w:val="auto"/>
          <w:highlight w:val="none"/>
        </w:rPr>
      </w:pPr>
    </w:p>
    <w:p w14:paraId="28A66225">
      <w:pPr>
        <w:pStyle w:val="7"/>
        <w:spacing w:line="360" w:lineRule="auto"/>
        <w:rPr>
          <w:rFonts w:hint="eastAsia" w:ascii="宋体" w:hAnsi="宋体" w:eastAsia="宋体" w:cs="宋体"/>
          <w:color w:val="auto"/>
          <w:highlight w:val="none"/>
        </w:rPr>
      </w:pPr>
    </w:p>
    <w:p w14:paraId="2DCA3E92">
      <w:pPr>
        <w:keepNext/>
        <w:keepLines/>
        <w:widowControl/>
        <w:tabs>
          <w:tab w:val="left" w:pos="3705"/>
        </w:tabs>
        <w:spacing w:line="360" w:lineRule="auto"/>
        <w:ind w:left="3708"/>
        <w:rPr>
          <w:rFonts w:hint="eastAsia" w:ascii="宋体" w:hAnsi="宋体" w:eastAsia="宋体" w:cs="宋体"/>
          <w:bCs/>
          <w:color w:val="auto"/>
          <w:sz w:val="44"/>
          <w:highlight w:val="none"/>
        </w:rPr>
      </w:pPr>
    </w:p>
    <w:p w14:paraId="76B875D4">
      <w:pPr>
        <w:pStyle w:val="7"/>
        <w:ind w:firstLine="880"/>
        <w:rPr>
          <w:rFonts w:hint="eastAsia" w:ascii="宋体" w:hAnsi="宋体" w:eastAsia="宋体" w:cs="宋体"/>
          <w:bCs/>
          <w:color w:val="auto"/>
          <w:sz w:val="44"/>
          <w:highlight w:val="none"/>
        </w:rPr>
      </w:pPr>
    </w:p>
    <w:p w14:paraId="6324C997">
      <w:pPr>
        <w:pStyle w:val="7"/>
        <w:ind w:firstLine="880"/>
        <w:rPr>
          <w:rFonts w:hint="eastAsia" w:ascii="宋体" w:hAnsi="宋体" w:eastAsia="宋体" w:cs="宋体"/>
          <w:bCs/>
          <w:color w:val="auto"/>
          <w:sz w:val="44"/>
          <w:highlight w:val="none"/>
        </w:rPr>
      </w:pPr>
    </w:p>
    <w:bookmarkEnd w:id="73"/>
    <w:p w14:paraId="618DFFE1">
      <w:pPr>
        <w:pStyle w:val="10"/>
        <w:rPr>
          <w:rFonts w:hint="eastAsia" w:ascii="宋体" w:hAnsi="宋体" w:eastAsia="宋体" w:cs="宋体"/>
          <w:b/>
          <w:color w:val="auto"/>
          <w:sz w:val="32"/>
          <w:szCs w:val="32"/>
          <w:highlight w:val="none"/>
        </w:rPr>
      </w:pPr>
      <w:bookmarkStart w:id="74" w:name="_Toc403077648"/>
      <w:bookmarkStart w:id="75" w:name="_Toc363474027"/>
      <w:bookmarkStart w:id="76" w:name="_Toc204524343"/>
    </w:p>
    <w:p w14:paraId="61CF4B00">
      <w:pPr>
        <w:pStyle w:val="10"/>
        <w:rPr>
          <w:rFonts w:hint="eastAsia" w:ascii="宋体" w:hAnsi="宋体" w:eastAsia="宋体" w:cs="宋体"/>
          <w:b/>
          <w:color w:val="auto"/>
          <w:sz w:val="32"/>
          <w:szCs w:val="32"/>
          <w:highlight w:val="none"/>
        </w:rPr>
      </w:pPr>
    </w:p>
    <w:p w14:paraId="220451ED">
      <w:pPr>
        <w:pStyle w:val="10"/>
        <w:rPr>
          <w:rFonts w:hint="eastAsia" w:ascii="宋体" w:hAnsi="宋体" w:eastAsia="宋体" w:cs="宋体"/>
          <w:b/>
          <w:color w:val="auto"/>
          <w:sz w:val="32"/>
          <w:szCs w:val="32"/>
          <w:highlight w:val="none"/>
        </w:rPr>
      </w:pPr>
    </w:p>
    <w:p w14:paraId="027703C9">
      <w:pPr>
        <w:spacing w:line="5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77" w:name="_Toc32002"/>
      <w:bookmarkStart w:id="78" w:name="_Toc11009"/>
      <w:bookmarkStart w:id="79" w:name="_Toc447"/>
      <w:bookmarkStart w:id="80" w:name="_Toc4367"/>
      <w:bookmarkStart w:id="81" w:name="_Toc15762"/>
      <w:r>
        <w:rPr>
          <w:rFonts w:hint="eastAsia" w:ascii="宋体" w:hAnsi="宋体" w:eastAsia="宋体" w:cs="宋体"/>
          <w:b/>
          <w:color w:val="auto"/>
          <w:sz w:val="32"/>
          <w:szCs w:val="32"/>
          <w:highlight w:val="none"/>
        </w:rPr>
        <w:t>一、磋商</w:t>
      </w:r>
      <w:bookmarkEnd w:id="74"/>
      <w:bookmarkEnd w:id="75"/>
      <w:r>
        <w:rPr>
          <w:rFonts w:hint="eastAsia" w:ascii="宋体" w:hAnsi="宋体" w:eastAsia="宋体" w:cs="宋体"/>
          <w:b/>
          <w:color w:val="auto"/>
          <w:sz w:val="32"/>
          <w:szCs w:val="32"/>
          <w:highlight w:val="none"/>
        </w:rPr>
        <w:t>响应函</w:t>
      </w:r>
      <w:bookmarkEnd w:id="77"/>
      <w:bookmarkEnd w:id="78"/>
      <w:bookmarkEnd w:id="79"/>
      <w:bookmarkEnd w:id="80"/>
      <w:bookmarkEnd w:id="81"/>
    </w:p>
    <w:p w14:paraId="401E43E0">
      <w:pPr>
        <w:spacing w:line="360" w:lineRule="auto"/>
        <w:ind w:firstLine="496" w:firstLineChars="200"/>
        <w:rPr>
          <w:rFonts w:hint="eastAsia" w:hAnsi="宋体" w:cs="宋体"/>
          <w:color w:val="auto"/>
          <w:spacing w:val="4"/>
          <w:szCs w:val="24"/>
          <w:highlight w:val="none"/>
          <w:u w:val="single"/>
          <w:lang w:eastAsia="zh-CN"/>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陕西银正项目管理有限公司</w:t>
      </w:r>
    </w:p>
    <w:p w14:paraId="3EA696CE">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w:t>
      </w:r>
    </w:p>
    <w:p w14:paraId="0F371B79">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19B0D739">
      <w:pPr>
        <w:numPr>
          <w:ilvl w:val="0"/>
          <w:numId w:val="19"/>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w:t>
      </w:r>
      <w:r>
        <w:rPr>
          <w:rFonts w:hint="eastAsia" w:hAnsi="宋体" w:cs="宋体"/>
          <w:color w:val="auto"/>
          <w:spacing w:val="4"/>
          <w:szCs w:val="24"/>
          <w:highlight w:val="none"/>
          <w:lang w:eastAsia="zh-CN"/>
        </w:rPr>
        <w:t>报价</w:t>
      </w:r>
      <w:r>
        <w:rPr>
          <w:rFonts w:hint="eastAsia" w:ascii="宋体" w:hAnsi="宋体" w:eastAsia="宋体" w:cs="宋体"/>
          <w:color w:val="auto"/>
          <w:spacing w:val="4"/>
          <w:highlight w:val="none"/>
        </w:rPr>
        <w:t>为小写：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21CFC733">
      <w:pPr>
        <w:numPr>
          <w:ilvl w:val="0"/>
          <w:numId w:val="19"/>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14:paraId="44BD1FFA">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3）</w:t>
      </w:r>
      <w:r>
        <w:rPr>
          <w:rFonts w:hint="eastAsia" w:ascii="宋体" w:hAnsi="宋体" w:eastAsia="宋体" w:cs="宋体"/>
          <w:color w:val="auto"/>
          <w:spacing w:val="4"/>
          <w:szCs w:val="24"/>
          <w:highlight w:val="none"/>
        </w:rPr>
        <w:t>我公司拟派项目经理姓名：</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；执业证书名称：</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；执业证书信息（证书编号）：</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w:t>
      </w:r>
    </w:p>
    <w:p w14:paraId="629F2B40">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4</w:t>
      </w:r>
      <w:r>
        <w:rPr>
          <w:rFonts w:hint="eastAsia" w:ascii="宋体" w:hAnsi="宋体" w:eastAsia="宋体" w:cs="宋体"/>
          <w:color w:val="auto"/>
          <w:spacing w:val="4"/>
          <w:szCs w:val="24"/>
          <w:highlight w:val="none"/>
        </w:rPr>
        <w:t>）我们已详细阅读和审核全部竞争性磋商文件（含修改部分，如有的话），及有关附件，我们知道必须放弃提出含糊不清或误解的问题的权利。</w:t>
      </w:r>
    </w:p>
    <w:p w14:paraId="7232C646">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14:paraId="41E09E8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 xml:space="preserve">）同意提供贵方可能另外要求的与本磋商有关的任何证据和资料。 </w:t>
      </w:r>
    </w:p>
    <w:p w14:paraId="4A7DE7A6">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）我们同意，如果成交，向</w:t>
      </w:r>
      <w:r>
        <w:rPr>
          <w:rFonts w:hint="eastAsia" w:hAnsi="宋体" w:cs="宋体"/>
          <w:color w:val="auto"/>
          <w:spacing w:val="4"/>
          <w:szCs w:val="24"/>
          <w:highlight w:val="none"/>
          <w:lang w:eastAsia="zh-CN"/>
        </w:rPr>
        <w:t>陕西银正项目管理有限公司</w:t>
      </w:r>
      <w:r>
        <w:rPr>
          <w:rFonts w:hint="eastAsia" w:ascii="宋体" w:hAnsi="宋体" w:eastAsia="宋体" w:cs="宋体"/>
          <w:color w:val="auto"/>
          <w:spacing w:val="4"/>
          <w:szCs w:val="24"/>
          <w:highlight w:val="none"/>
        </w:rPr>
        <w:t>交纳招标代理服务费。</w:t>
      </w:r>
    </w:p>
    <w:p w14:paraId="7548149A">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8</w:t>
      </w:r>
      <w:r>
        <w:rPr>
          <w:rFonts w:hint="eastAsia" w:ascii="宋体" w:hAnsi="宋体" w:eastAsia="宋体" w:cs="宋体"/>
          <w:color w:val="auto"/>
          <w:spacing w:val="4"/>
          <w:szCs w:val="24"/>
          <w:highlight w:val="none"/>
        </w:rPr>
        <w:t>）与本磋商有关的一切正式往来通讯为：</w:t>
      </w:r>
    </w:p>
    <w:p w14:paraId="603F9A6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14:paraId="2B9A23BC">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14:paraId="4FD57A86">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14:paraId="3ABFA9CE">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14:paraId="78A6BBFE">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14:paraId="24420B27">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669B7107">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14:paraId="50AADAA9">
      <w:pPr>
        <w:bidi w:val="0"/>
        <w:jc w:val="center"/>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82" w:name="_Toc3630"/>
      <w:bookmarkStart w:id="83" w:name="_Toc9730"/>
      <w:bookmarkStart w:id="84" w:name="_Toc17800"/>
      <w:bookmarkStart w:id="85" w:name="_Toc363474030"/>
      <w:bookmarkStart w:id="86" w:name="_Toc403077651"/>
      <w:bookmarkStart w:id="87" w:name="_Toc25425"/>
      <w:bookmarkStart w:id="88" w:name="_Toc28910"/>
      <w:r>
        <w:rPr>
          <w:rFonts w:hint="eastAsia" w:ascii="宋体" w:hAnsi="宋体" w:eastAsia="宋体" w:cs="宋体"/>
          <w:b/>
          <w:bCs w:val="0"/>
          <w:color w:val="auto"/>
          <w:sz w:val="32"/>
          <w:szCs w:val="32"/>
          <w:highlight w:val="none"/>
        </w:rPr>
        <w:t>二、磋商报价表</w:t>
      </w:r>
      <w:bookmarkEnd w:id="82"/>
      <w:bookmarkEnd w:id="83"/>
      <w:bookmarkEnd w:id="84"/>
      <w:bookmarkEnd w:id="85"/>
      <w:bookmarkEnd w:id="86"/>
      <w:bookmarkEnd w:id="87"/>
      <w:bookmarkEnd w:id="88"/>
    </w:p>
    <w:p w14:paraId="6E0E8350">
      <w:pPr>
        <w:jc w:val="center"/>
        <w:outlineLvl w:val="9"/>
        <w:rPr>
          <w:rFonts w:hint="eastAsia" w:ascii="宋体" w:hAnsi="宋体" w:eastAsia="宋体" w:cs="宋体"/>
          <w:b/>
          <w:bCs/>
          <w:color w:val="auto"/>
          <w:sz w:val="28"/>
          <w:szCs w:val="28"/>
          <w:highlight w:val="none"/>
          <w:lang w:eastAsia="zh-CN"/>
        </w:rPr>
      </w:pPr>
      <w:bookmarkStart w:id="89" w:name="_Toc7982"/>
      <w:bookmarkStart w:id="90" w:name="_Toc32277"/>
      <w:bookmarkStart w:id="91" w:name="_Toc1032"/>
      <w:bookmarkStart w:id="92" w:name="_Toc12033"/>
      <w:bookmarkStart w:id="93" w:name="_Toc12732"/>
      <w:r>
        <w:rPr>
          <w:rFonts w:hint="eastAsia" w:ascii="宋体" w:hAnsi="宋体" w:eastAsia="宋体" w:cs="宋体"/>
          <w:b/>
          <w:bCs/>
          <w:color w:val="auto"/>
          <w:sz w:val="28"/>
          <w:szCs w:val="28"/>
          <w:highlight w:val="none"/>
        </w:rPr>
        <w:t>2.1报价一览表</w:t>
      </w:r>
      <w:bookmarkEnd w:id="89"/>
      <w:bookmarkEnd w:id="90"/>
      <w:bookmarkEnd w:id="91"/>
      <w:bookmarkEnd w:id="92"/>
      <w:bookmarkEnd w:id="93"/>
    </w:p>
    <w:p w14:paraId="18A00CF8">
      <w:pPr>
        <w:spacing w:line="360" w:lineRule="auto"/>
        <w:jc w:val="center"/>
        <w:rPr>
          <w:rFonts w:hint="eastAsia" w:ascii="宋体" w:hAnsi="宋体" w:eastAsia="宋体" w:cs="宋体"/>
          <w:color w:val="auto"/>
          <w:szCs w:val="24"/>
          <w:highlight w:val="none"/>
        </w:rPr>
      </w:pPr>
    </w:p>
    <w:p w14:paraId="7183FF2D">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3BB851BB">
      <w:pPr>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BFA614">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C2B165">
      <w:pPr>
        <w:pStyle w:val="9"/>
        <w:rPr>
          <w:rFonts w:hint="eastAsia"/>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881"/>
      </w:tblGrid>
      <w:tr w14:paraId="0950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restart"/>
            <w:noWrap w:val="0"/>
            <w:vAlign w:val="center"/>
          </w:tcPr>
          <w:p w14:paraId="1A706EDB">
            <w:pPr>
              <w:jc w:val="center"/>
              <w:rPr>
                <w:color w:val="auto"/>
                <w:szCs w:val="24"/>
                <w:highlight w:val="none"/>
              </w:rPr>
            </w:pPr>
            <w:r>
              <w:rPr>
                <w:rFonts w:hint="eastAsia" w:hAnsi="宋体" w:cs="宋体"/>
                <w:color w:val="auto"/>
                <w:szCs w:val="24"/>
                <w:highlight w:val="none"/>
              </w:rPr>
              <w:t>磋商总报价（元）</w:t>
            </w:r>
          </w:p>
        </w:tc>
        <w:tc>
          <w:tcPr>
            <w:tcW w:w="5881" w:type="dxa"/>
            <w:noWrap w:val="0"/>
            <w:vAlign w:val="center"/>
          </w:tcPr>
          <w:p w14:paraId="0A697686">
            <w:pPr>
              <w:rPr>
                <w:color w:val="auto"/>
                <w:szCs w:val="24"/>
                <w:highlight w:val="none"/>
              </w:rPr>
            </w:pPr>
            <w:r>
              <w:rPr>
                <w:rFonts w:hint="eastAsia" w:hAnsi="宋体" w:cs="宋体"/>
                <w:color w:val="auto"/>
                <w:szCs w:val="24"/>
                <w:highlight w:val="none"/>
              </w:rPr>
              <w:t>小写：</w:t>
            </w:r>
          </w:p>
        </w:tc>
      </w:tr>
      <w:tr w14:paraId="66B5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continue"/>
            <w:noWrap w:val="0"/>
            <w:vAlign w:val="center"/>
          </w:tcPr>
          <w:p w14:paraId="1E5A1699">
            <w:pPr>
              <w:rPr>
                <w:color w:val="auto"/>
                <w:highlight w:val="none"/>
              </w:rPr>
            </w:pPr>
          </w:p>
        </w:tc>
        <w:tc>
          <w:tcPr>
            <w:tcW w:w="5881" w:type="dxa"/>
            <w:noWrap w:val="0"/>
            <w:vAlign w:val="center"/>
          </w:tcPr>
          <w:p w14:paraId="03ACEA48">
            <w:pPr>
              <w:rPr>
                <w:color w:val="auto"/>
                <w:szCs w:val="24"/>
                <w:highlight w:val="none"/>
              </w:rPr>
            </w:pPr>
            <w:r>
              <w:rPr>
                <w:rFonts w:hint="eastAsia" w:hAnsi="宋体" w:cs="宋体"/>
                <w:color w:val="auto"/>
                <w:szCs w:val="24"/>
                <w:highlight w:val="none"/>
              </w:rPr>
              <w:t>大写：</w:t>
            </w:r>
          </w:p>
        </w:tc>
      </w:tr>
      <w:tr w14:paraId="06FE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74AF142E">
            <w:pPr>
              <w:jc w:val="center"/>
              <w:rPr>
                <w:rFonts w:hint="eastAsia" w:hAnsi="宋体" w:cs="宋体"/>
                <w:color w:val="auto"/>
                <w:szCs w:val="24"/>
                <w:highlight w:val="none"/>
              </w:rPr>
            </w:pPr>
            <w:r>
              <w:rPr>
                <w:rFonts w:hint="eastAsia" w:hAnsi="宋体" w:cs="宋体"/>
                <w:color w:val="auto"/>
                <w:szCs w:val="24"/>
                <w:highlight w:val="none"/>
              </w:rPr>
              <w:t>质量标准</w:t>
            </w:r>
          </w:p>
        </w:tc>
        <w:tc>
          <w:tcPr>
            <w:tcW w:w="5881" w:type="dxa"/>
            <w:noWrap w:val="0"/>
            <w:vAlign w:val="center"/>
          </w:tcPr>
          <w:p w14:paraId="129D7B71">
            <w:pPr>
              <w:rPr>
                <w:color w:val="auto"/>
                <w:szCs w:val="24"/>
                <w:highlight w:val="none"/>
              </w:rPr>
            </w:pPr>
          </w:p>
        </w:tc>
      </w:tr>
      <w:tr w14:paraId="5333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378862E0">
            <w:pPr>
              <w:jc w:val="center"/>
              <w:rPr>
                <w:rFonts w:hint="eastAsia" w:hAnsi="宋体" w:cs="宋体"/>
                <w:color w:val="auto"/>
                <w:szCs w:val="24"/>
                <w:highlight w:val="none"/>
              </w:rPr>
            </w:pPr>
            <w:r>
              <w:rPr>
                <w:rFonts w:hint="eastAsia" w:ascii="宋体"/>
                <w:color w:val="auto"/>
                <w:szCs w:val="22"/>
                <w:highlight w:val="none"/>
              </w:rPr>
              <w:t>工期</w:t>
            </w:r>
          </w:p>
        </w:tc>
        <w:tc>
          <w:tcPr>
            <w:tcW w:w="5881" w:type="dxa"/>
            <w:noWrap w:val="0"/>
            <w:vAlign w:val="center"/>
          </w:tcPr>
          <w:p w14:paraId="2F4EE9E6">
            <w:pPr>
              <w:rPr>
                <w:color w:val="auto"/>
                <w:szCs w:val="24"/>
                <w:highlight w:val="none"/>
              </w:rPr>
            </w:pPr>
          </w:p>
        </w:tc>
      </w:tr>
      <w:tr w14:paraId="3B1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001F8A8A">
            <w:pPr>
              <w:jc w:val="center"/>
              <w:rPr>
                <w:rFonts w:hint="default" w:ascii="宋体" w:eastAsia="宋体"/>
                <w:color w:val="auto"/>
                <w:szCs w:val="22"/>
                <w:highlight w:val="none"/>
                <w:lang w:val="en-US" w:eastAsia="zh-CN"/>
              </w:rPr>
            </w:pPr>
            <w:r>
              <w:rPr>
                <w:rFonts w:hint="eastAsia"/>
                <w:color w:val="auto"/>
                <w:szCs w:val="22"/>
                <w:highlight w:val="none"/>
                <w:lang w:val="en-US" w:eastAsia="zh-CN"/>
              </w:rPr>
              <w:t>项目经理</w:t>
            </w:r>
          </w:p>
        </w:tc>
        <w:tc>
          <w:tcPr>
            <w:tcW w:w="5881" w:type="dxa"/>
            <w:noWrap w:val="0"/>
            <w:vAlign w:val="center"/>
          </w:tcPr>
          <w:p w14:paraId="0FC63563">
            <w:pPr>
              <w:rPr>
                <w:color w:val="auto"/>
                <w:szCs w:val="24"/>
                <w:highlight w:val="none"/>
              </w:rPr>
            </w:pPr>
          </w:p>
        </w:tc>
      </w:tr>
      <w:tr w14:paraId="0B8F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77C1782C">
            <w:pPr>
              <w:jc w:val="center"/>
              <w:rPr>
                <w:color w:val="auto"/>
                <w:szCs w:val="24"/>
                <w:highlight w:val="none"/>
              </w:rPr>
            </w:pPr>
            <w:r>
              <w:rPr>
                <w:rFonts w:hint="eastAsia" w:hAnsi="宋体" w:cs="宋体"/>
                <w:color w:val="auto"/>
                <w:szCs w:val="24"/>
                <w:highlight w:val="none"/>
              </w:rPr>
              <w:t>备注</w:t>
            </w:r>
          </w:p>
        </w:tc>
        <w:tc>
          <w:tcPr>
            <w:tcW w:w="5881" w:type="dxa"/>
            <w:noWrap w:val="0"/>
            <w:vAlign w:val="center"/>
          </w:tcPr>
          <w:p w14:paraId="1268852A">
            <w:pPr>
              <w:rPr>
                <w:color w:val="auto"/>
                <w:szCs w:val="24"/>
                <w:highlight w:val="none"/>
              </w:rPr>
            </w:pPr>
          </w:p>
        </w:tc>
      </w:tr>
    </w:tbl>
    <w:p w14:paraId="28D72FB9">
      <w:pPr>
        <w:rPr>
          <w:rFonts w:hint="eastAsia" w:ascii="宋体" w:hAnsi="宋体" w:eastAsia="宋体" w:cs="宋体"/>
          <w:color w:val="auto"/>
          <w:szCs w:val="24"/>
          <w:highlight w:val="none"/>
        </w:rPr>
      </w:pPr>
    </w:p>
    <w:p w14:paraId="6FF9F44A">
      <w:pPr>
        <w:rPr>
          <w:rFonts w:hint="eastAsia" w:ascii="宋体" w:hAnsi="宋体" w:eastAsia="宋体" w:cs="宋体"/>
          <w:color w:val="auto"/>
          <w:szCs w:val="24"/>
          <w:highlight w:val="none"/>
        </w:rPr>
      </w:pPr>
    </w:p>
    <w:p w14:paraId="76023DEE">
      <w:pPr>
        <w:rPr>
          <w:rFonts w:hint="eastAsia" w:ascii="宋体" w:hAnsi="宋体" w:eastAsia="宋体" w:cs="宋体"/>
          <w:color w:val="auto"/>
          <w:szCs w:val="24"/>
          <w:highlight w:val="none"/>
        </w:rPr>
      </w:pPr>
    </w:p>
    <w:p w14:paraId="105BDD60">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14:paraId="2E15718B">
      <w:pPr>
        <w:spacing w:line="280" w:lineRule="exact"/>
        <w:ind w:right="617" w:rightChars="257"/>
        <w:jc w:val="left"/>
        <w:rPr>
          <w:rFonts w:hint="eastAsia" w:ascii="宋体" w:hAnsi="宋体" w:eastAsia="宋体" w:cs="宋体"/>
          <w:color w:val="auto"/>
          <w:szCs w:val="24"/>
          <w:highlight w:val="none"/>
        </w:rPr>
      </w:pPr>
    </w:p>
    <w:p w14:paraId="6F20F2F4">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07436DC7">
      <w:pPr>
        <w:spacing w:line="280" w:lineRule="exact"/>
        <w:ind w:right="617" w:rightChars="257"/>
        <w:jc w:val="left"/>
        <w:rPr>
          <w:rFonts w:hint="eastAsia" w:ascii="宋体" w:hAnsi="宋体" w:eastAsia="宋体" w:cs="宋体"/>
          <w:color w:val="auto"/>
          <w:szCs w:val="24"/>
          <w:highlight w:val="none"/>
        </w:rPr>
      </w:pPr>
    </w:p>
    <w:p w14:paraId="0512FC2D">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677FC6AD">
      <w:pPr>
        <w:jc w:val="center"/>
        <w:rPr>
          <w:rFonts w:hint="eastAsia" w:ascii="宋体" w:hAnsi="宋体" w:eastAsia="宋体" w:cs="宋体"/>
          <w:color w:val="auto"/>
          <w:szCs w:val="24"/>
          <w:highlight w:val="none"/>
        </w:rPr>
      </w:pPr>
    </w:p>
    <w:p w14:paraId="451C10E7">
      <w:pPr>
        <w:spacing w:beforeLines="50" w:afterLines="50" w:line="400" w:lineRule="atLeast"/>
        <w:rPr>
          <w:rFonts w:hint="eastAsia" w:ascii="宋体" w:hAnsi="宋体" w:eastAsia="宋体" w:cs="宋体"/>
          <w:color w:val="auto"/>
          <w:szCs w:val="24"/>
          <w:highlight w:val="none"/>
        </w:rPr>
        <w:sectPr>
          <w:type w:val="continuous"/>
          <w:pgSz w:w="11906" w:h="16838"/>
          <w:pgMar w:top="1440" w:right="1080" w:bottom="1440" w:left="1080" w:header="851" w:footer="992" w:gutter="0"/>
          <w:pgNumType w:fmt="decimal"/>
          <w:cols w:space="720" w:num="1"/>
          <w:rtlGutter w:val="0"/>
          <w:docGrid w:type="lines" w:linePitch="312" w:charSpace="0"/>
        </w:sectPr>
      </w:pPr>
      <w:r>
        <w:rPr>
          <w:rFonts w:hint="eastAsia" w:ascii="宋体" w:hAnsi="宋体" w:eastAsia="宋体" w:cs="宋体"/>
          <w:color w:val="auto"/>
          <w:szCs w:val="24"/>
          <w:highlight w:val="none"/>
        </w:rPr>
        <w:t>注：本表应按“供应商须知”的规定密封单独提交。若有折扣声明，请与本表一并装订和密封。严格按照表格格式报价。</w:t>
      </w:r>
    </w:p>
    <w:p w14:paraId="196C4521">
      <w:pPr>
        <w:spacing w:beforeLines="50" w:afterLines="50" w:line="400" w:lineRule="atLeast"/>
        <w:rPr>
          <w:rFonts w:hint="eastAsia" w:ascii="宋体" w:hAnsi="宋体" w:eastAsia="宋体" w:cs="宋体"/>
          <w:color w:val="auto"/>
          <w:szCs w:val="24"/>
          <w:highlight w:val="none"/>
        </w:rPr>
      </w:pPr>
    </w:p>
    <w:p w14:paraId="30146D1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BD997BD">
      <w:pPr>
        <w:jc w:val="center"/>
        <w:outlineLvl w:val="1"/>
        <w:rPr>
          <w:rFonts w:hint="eastAsia" w:ascii="宋体" w:hAnsi="宋体" w:eastAsia="宋体" w:cs="宋体"/>
          <w:b/>
          <w:color w:val="auto"/>
          <w:sz w:val="30"/>
          <w:szCs w:val="30"/>
          <w:highlight w:val="none"/>
        </w:rPr>
        <w:sectPr>
          <w:type w:val="continuous"/>
          <w:pgSz w:w="11906" w:h="16838"/>
          <w:pgMar w:top="1440" w:right="1080" w:bottom="1440" w:left="1080" w:header="851" w:footer="992" w:gutter="0"/>
          <w:pgNumType w:fmt="decimal"/>
          <w:cols w:space="720" w:num="1"/>
          <w:rtlGutter w:val="0"/>
          <w:docGrid w:type="lines" w:linePitch="312" w:charSpace="0"/>
        </w:sectPr>
      </w:pPr>
    </w:p>
    <w:bookmarkEnd w:id="76"/>
    <w:p w14:paraId="698F305E">
      <w:pPr>
        <w:jc w:val="center"/>
        <w:outlineLvl w:val="9"/>
        <w:rPr>
          <w:rFonts w:hint="eastAsia" w:hAnsi="宋体" w:cs="宋体"/>
          <w:b/>
          <w:bCs/>
          <w:color w:val="auto"/>
          <w:sz w:val="28"/>
          <w:szCs w:val="28"/>
          <w:highlight w:val="none"/>
          <w:lang w:val="en-US" w:eastAsia="zh-CN"/>
        </w:rPr>
      </w:pPr>
      <w:bookmarkStart w:id="94" w:name="_Toc14853"/>
      <w:bookmarkStart w:id="95" w:name="_Toc22190"/>
      <w:bookmarkStart w:id="96" w:name="_Toc5944"/>
      <w:bookmarkStart w:id="97" w:name="_Toc3628"/>
      <w:bookmarkStart w:id="98" w:name="_Toc32126"/>
      <w:bookmarkStart w:id="99" w:name="_Toc344572163"/>
      <w:r>
        <w:rPr>
          <w:rFonts w:hint="eastAsia" w:ascii="宋体" w:hAnsi="宋体" w:eastAsia="宋体" w:cs="宋体"/>
          <w:b/>
          <w:bCs/>
          <w:color w:val="auto"/>
          <w:sz w:val="28"/>
          <w:szCs w:val="28"/>
          <w:highlight w:val="none"/>
        </w:rPr>
        <w:t>2.</w:t>
      </w:r>
      <w:r>
        <w:rPr>
          <w:rFonts w:hint="eastAsia" w:hAnsi="宋体" w:cs="宋体"/>
          <w:b/>
          <w:bCs/>
          <w:color w:val="auto"/>
          <w:sz w:val="28"/>
          <w:szCs w:val="28"/>
          <w:highlight w:val="none"/>
          <w:lang w:val="en-US" w:eastAsia="zh-CN"/>
        </w:rPr>
        <w:t>2</w:t>
      </w:r>
      <w:bookmarkEnd w:id="94"/>
      <w:bookmarkEnd w:id="95"/>
      <w:r>
        <w:rPr>
          <w:rFonts w:hint="eastAsia" w:ascii="宋体" w:hAnsi="宋体" w:eastAsia="宋体" w:cs="宋体"/>
          <w:b/>
          <w:bCs/>
          <w:kern w:val="2"/>
          <w:sz w:val="32"/>
          <w:szCs w:val="32"/>
          <w:highlight w:val="none"/>
          <w:lang w:val="en-US" w:eastAsia="zh-CN" w:bidi="ar-SA"/>
        </w:rPr>
        <w:t>已标价的工程量清单</w:t>
      </w:r>
    </w:p>
    <w:p w14:paraId="48257FF0">
      <w:pPr>
        <w:rPr>
          <w:rFonts w:hint="eastAsia" w:ascii="宋体" w:hAnsi="宋体" w:eastAsia="宋体" w:cs="宋体"/>
          <w:b/>
          <w:bCs/>
          <w:color w:val="auto"/>
          <w:sz w:val="32"/>
          <w:szCs w:val="32"/>
          <w:highlight w:val="none"/>
        </w:rPr>
      </w:pPr>
      <w:bookmarkStart w:id="100" w:name="_Toc27551"/>
      <w:bookmarkStart w:id="101" w:name="_Toc12382"/>
    </w:p>
    <w:p w14:paraId="786D3C8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CCA2BA3">
      <w:pPr>
        <w:jc w:val="center"/>
        <w:outlineLvl w:val="9"/>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三、磋商方案说明书</w:t>
      </w:r>
      <w:bookmarkEnd w:id="96"/>
      <w:bookmarkEnd w:id="97"/>
      <w:bookmarkEnd w:id="98"/>
      <w:bookmarkEnd w:id="100"/>
      <w:bookmarkEnd w:id="101"/>
    </w:p>
    <w:p w14:paraId="6E61CF9A">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6CBFF4E9">
      <w:pPr>
        <w:jc w:val="left"/>
        <w:rPr>
          <w:rFonts w:hint="eastAsia" w:ascii="宋体" w:hAnsi="宋体" w:eastAsia="宋体" w:cs="宋体"/>
          <w:color w:val="auto"/>
          <w:highlight w:val="none"/>
        </w:rPr>
      </w:pPr>
    </w:p>
    <w:p w14:paraId="0AB677A3">
      <w:pPr>
        <w:jc w:val="left"/>
        <w:rPr>
          <w:rFonts w:hint="eastAsia" w:ascii="宋体" w:hAnsi="宋体" w:eastAsia="宋体" w:cs="宋体"/>
          <w:color w:val="auto"/>
          <w:highlight w:val="none"/>
        </w:rPr>
      </w:pPr>
    </w:p>
    <w:p w14:paraId="29D614ED">
      <w:pPr>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BB62134">
      <w:pPr>
        <w:tabs>
          <w:tab w:val="left" w:pos="1800"/>
        </w:tabs>
        <w:spacing w:after="120" w:line="440" w:lineRule="exact"/>
        <w:rPr>
          <w:rFonts w:hint="eastAsia" w:ascii="宋体" w:hAnsi="宋体" w:eastAsia="宋体" w:cs="宋体"/>
          <w:color w:val="auto"/>
          <w:highlight w:val="none"/>
          <w:lang w:val="en-US" w:eastAsia="zh-CN"/>
        </w:rPr>
      </w:pPr>
    </w:p>
    <w:p w14:paraId="5C0D7E43">
      <w:pPr>
        <w:spacing w:line="480" w:lineRule="auto"/>
        <w:ind w:firstLine="480" w:firstLineChars="200"/>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按照磋商文件的要求编制的技术响应说明书</w:t>
      </w:r>
      <w:r>
        <w:rPr>
          <w:rFonts w:hint="eastAsia" w:ascii="宋体" w:hAnsi="宋体" w:eastAsia="宋体" w:cs="宋体"/>
          <w:b/>
          <w:bCs/>
          <w:color w:val="auto"/>
          <w:szCs w:val="24"/>
          <w:highlight w:val="none"/>
          <w:lang w:eastAsia="zh-CN"/>
        </w:rPr>
        <w:t>（可参照第三章评审办法进行响应）</w:t>
      </w:r>
      <w:r>
        <w:rPr>
          <w:rFonts w:hint="eastAsia" w:hAnsi="宋体" w:cs="宋体"/>
          <w:b/>
          <w:bCs/>
          <w:color w:val="auto"/>
          <w:szCs w:val="24"/>
          <w:highlight w:val="none"/>
          <w:lang w:eastAsia="zh-CN"/>
        </w:rPr>
        <w:t>。</w:t>
      </w:r>
    </w:p>
    <w:p w14:paraId="791B231A">
      <w:pPr>
        <w:pStyle w:val="10"/>
        <w:rPr>
          <w:rFonts w:hint="eastAsia" w:ascii="宋体" w:hAnsi="宋体" w:eastAsia="宋体" w:cs="宋体"/>
          <w:color w:val="auto"/>
          <w:highlight w:val="none"/>
        </w:rPr>
      </w:pPr>
    </w:p>
    <w:p w14:paraId="56437FC9">
      <w:pPr>
        <w:pStyle w:val="10"/>
        <w:rPr>
          <w:rFonts w:hint="eastAsia" w:ascii="宋体" w:hAnsi="宋体" w:eastAsia="宋体" w:cs="宋体"/>
          <w:color w:val="auto"/>
          <w:highlight w:val="none"/>
        </w:rPr>
      </w:pPr>
    </w:p>
    <w:p w14:paraId="5CB644C2">
      <w:pPr>
        <w:rPr>
          <w:rFonts w:hint="eastAsia" w:ascii="宋体" w:hAnsi="宋体" w:eastAsia="宋体" w:cs="宋体"/>
          <w:color w:val="auto"/>
          <w:highlight w:val="none"/>
        </w:rPr>
      </w:pPr>
    </w:p>
    <w:p w14:paraId="4AD7B555">
      <w:pPr>
        <w:pStyle w:val="10"/>
        <w:rPr>
          <w:rFonts w:hint="eastAsia" w:ascii="宋体" w:hAnsi="宋体" w:eastAsia="宋体" w:cs="宋体"/>
          <w:color w:val="auto"/>
          <w:highlight w:val="none"/>
        </w:rPr>
      </w:pPr>
    </w:p>
    <w:p w14:paraId="69F4FF33">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法定代表人/被授权人签字</w:t>
      </w:r>
      <w:r>
        <w:rPr>
          <w:rFonts w:hint="eastAsia" w:hAnsi="宋体" w:cs="宋体"/>
          <w:color w:val="auto"/>
          <w:szCs w:val="24"/>
          <w:highlight w:val="none"/>
          <w:lang w:val="en-US" w:eastAsia="zh-CN"/>
        </w:rPr>
        <w:t>或盖章</w:t>
      </w:r>
      <w:r>
        <w:rPr>
          <w:rFonts w:hint="eastAsia" w:ascii="宋体" w:hAnsi="宋体" w:eastAsia="宋体" w:cs="宋体"/>
          <w:color w:val="auto"/>
          <w:szCs w:val="24"/>
          <w:highlight w:val="none"/>
        </w:rPr>
        <w:t>：</w:t>
      </w:r>
    </w:p>
    <w:p w14:paraId="66D93098">
      <w:pPr>
        <w:spacing w:line="480" w:lineRule="auto"/>
        <w:ind w:left="3725" w:leftChars="1552"/>
        <w:rPr>
          <w:rFonts w:hint="eastAsia" w:ascii="宋体" w:hAnsi="宋体" w:eastAsia="宋体" w:cs="宋体"/>
          <w:color w:val="auto"/>
          <w:szCs w:val="24"/>
          <w:highlight w:val="none"/>
        </w:rPr>
      </w:pPr>
    </w:p>
    <w:p w14:paraId="233686F7">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7075761">
      <w:pPr>
        <w:spacing w:line="480" w:lineRule="auto"/>
        <w:ind w:left="3725" w:leftChars="1552" w:firstLine="5668" w:firstLineChars="2362"/>
        <w:rPr>
          <w:rFonts w:hint="eastAsia" w:ascii="宋体" w:hAnsi="宋体" w:eastAsia="宋体" w:cs="宋体"/>
          <w:color w:val="auto"/>
          <w:szCs w:val="24"/>
          <w:highlight w:val="none"/>
        </w:rPr>
      </w:pPr>
    </w:p>
    <w:p w14:paraId="58E50945">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9E16EA5">
      <w:pPr>
        <w:spacing w:after="120" w:line="480" w:lineRule="auto"/>
        <w:rPr>
          <w:rFonts w:hint="eastAsia" w:ascii="宋体" w:hAnsi="宋体" w:eastAsia="宋体" w:cs="宋体"/>
          <w:b/>
          <w:color w:val="auto"/>
          <w:szCs w:val="24"/>
          <w:highlight w:val="none"/>
        </w:rPr>
      </w:pPr>
    </w:p>
    <w:p w14:paraId="37ECE7C6">
      <w:pPr>
        <w:spacing w:after="120"/>
        <w:rPr>
          <w:rFonts w:hint="eastAsia" w:ascii="宋体" w:hAnsi="宋体" w:eastAsia="宋体" w:cs="宋体"/>
          <w:b/>
          <w:color w:val="auto"/>
          <w:szCs w:val="24"/>
          <w:highlight w:val="none"/>
        </w:rPr>
      </w:pPr>
    </w:p>
    <w:p w14:paraId="687F9D72">
      <w:pPr>
        <w:spacing w:after="120"/>
        <w:rPr>
          <w:rFonts w:hint="eastAsia" w:ascii="宋体" w:hAnsi="宋体" w:eastAsia="宋体" w:cs="宋体"/>
          <w:b/>
          <w:color w:val="auto"/>
          <w:szCs w:val="24"/>
          <w:highlight w:val="none"/>
        </w:rPr>
      </w:pPr>
    </w:p>
    <w:p w14:paraId="37E9FCF3">
      <w:pPr>
        <w:spacing w:after="120"/>
        <w:rPr>
          <w:rFonts w:hint="eastAsia" w:ascii="宋体" w:hAnsi="宋体" w:eastAsia="宋体" w:cs="宋体"/>
          <w:b/>
          <w:color w:val="auto"/>
          <w:szCs w:val="24"/>
          <w:highlight w:val="none"/>
        </w:rPr>
      </w:pPr>
    </w:p>
    <w:p w14:paraId="46B0FFCF">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bookmarkStart w:id="102" w:name="_Toc2621"/>
      <w:bookmarkStart w:id="103" w:name="_Toc9218"/>
      <w:bookmarkStart w:id="104" w:name="_Toc23455"/>
      <w:bookmarkStart w:id="105" w:name="_Toc1379"/>
      <w:bookmarkStart w:id="106" w:name="_Toc21284"/>
      <w:bookmarkStart w:id="107" w:name="_Toc15265"/>
      <w:bookmarkStart w:id="108" w:name="_Toc5662"/>
      <w:bookmarkStart w:id="109" w:name="_Toc8845"/>
    </w:p>
    <w:p w14:paraId="36BBF88A">
      <w:pPr>
        <w:ind w:firstLine="161" w:firstLineChars="50"/>
        <w:jc w:val="center"/>
        <w:outlineLvl w:val="9"/>
        <w:rPr>
          <w:rFonts w:hint="eastAsia" w:ascii="宋体" w:hAnsi="宋体" w:eastAsia="宋体" w:cs="宋体"/>
          <w:color w:val="auto"/>
          <w:sz w:val="32"/>
          <w:szCs w:val="32"/>
          <w:highlight w:val="none"/>
        </w:rPr>
      </w:pPr>
      <w:bookmarkStart w:id="110" w:name="_Toc17491"/>
      <w:bookmarkStart w:id="111" w:name="_Toc10135"/>
      <w:r>
        <w:rPr>
          <w:rFonts w:hint="eastAsia" w:ascii="宋体" w:hAnsi="宋体" w:eastAsia="宋体" w:cs="宋体"/>
          <w:b/>
          <w:bCs/>
          <w:color w:val="auto"/>
          <w:sz w:val="32"/>
          <w:szCs w:val="32"/>
          <w:highlight w:val="none"/>
        </w:rPr>
        <w:t>四、</w:t>
      </w:r>
      <w:bookmarkEnd w:id="102"/>
      <w:bookmarkEnd w:id="103"/>
      <w:bookmarkEnd w:id="104"/>
      <w:bookmarkEnd w:id="105"/>
      <w:bookmarkEnd w:id="106"/>
      <w:r>
        <w:rPr>
          <w:rFonts w:hint="eastAsia" w:ascii="宋体" w:hAnsi="宋体" w:eastAsia="宋体" w:cs="宋体"/>
          <w:b/>
          <w:bCs/>
          <w:color w:val="auto"/>
          <w:sz w:val="32"/>
          <w:szCs w:val="32"/>
          <w:highlight w:val="none"/>
        </w:rPr>
        <w:t>商务条款偏离表</w:t>
      </w:r>
      <w:bookmarkEnd w:id="107"/>
      <w:bookmarkEnd w:id="108"/>
      <w:bookmarkEnd w:id="109"/>
      <w:bookmarkEnd w:id="110"/>
      <w:bookmarkEnd w:id="111"/>
    </w:p>
    <w:p w14:paraId="1ABAF253">
      <w:pPr>
        <w:pStyle w:val="21"/>
        <w:widowControl w:val="0"/>
        <w:spacing w:before="0" w:beforeAutospacing="0" w:after="0" w:afterAutospacing="0"/>
        <w:jc w:val="both"/>
        <w:rPr>
          <w:rFonts w:hint="eastAsia" w:ascii="宋体" w:hAnsi="宋体" w:eastAsia="宋体" w:cs="宋体"/>
          <w:color w:val="auto"/>
          <w:highlight w:val="none"/>
        </w:rPr>
      </w:pPr>
    </w:p>
    <w:p w14:paraId="5EEBDC1F">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45A90600">
      <w:pPr>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685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1E31C66">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FF039EC">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0E6A8AB">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7C02FA2B">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CB4D8EC">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4997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64A2F4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D4398E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17B0921">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70E43DB6">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2850BA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991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680AFE6">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1A913B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0DA7CE3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7665022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9E2CE4">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A3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4B209F2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5FE121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3E5B9D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0BDE224">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E98C23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FCA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911A90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C774C6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E4D97E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491A60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2969BA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141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68AF3C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AAE0E6E">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28E4C16">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1619C4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F01F93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07B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27335E8">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7C90248">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F56A00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05AA43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DD41581">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A1F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F3420D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14F112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728A7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E42AD6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A9FB2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06A76C51">
      <w:pPr>
        <w:pStyle w:val="21"/>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12A79232">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w:t>
      </w:r>
      <w:r>
        <w:rPr>
          <w:rFonts w:hint="eastAsia" w:cs="宋体"/>
          <w:color w:val="auto"/>
          <w:highlight w:val="none"/>
          <w:lang w:val="en-US" w:eastAsia="zh-CN"/>
        </w:rPr>
        <w:t>四</w:t>
      </w:r>
      <w:r>
        <w:rPr>
          <w:rFonts w:hint="eastAsia" w:ascii="宋体" w:hAnsi="宋体" w:eastAsia="宋体" w:cs="宋体"/>
          <w:color w:val="auto"/>
          <w:highlight w:val="none"/>
        </w:rPr>
        <w:t>章合同条款要求内容进行响应。</w:t>
      </w:r>
    </w:p>
    <w:p w14:paraId="16244149">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5A08B5C2">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.供应商必须据实填写，不得虚假响应，否则将取消其磋商或成交资格，并按有关规定进</w:t>
      </w:r>
      <w:r>
        <w:rPr>
          <w:rFonts w:hint="eastAsia" w:cs="宋体"/>
          <w:color w:val="auto"/>
          <w:highlight w:val="none"/>
          <w:lang w:val="en-US" w:eastAsia="zh-CN"/>
        </w:rPr>
        <w:t>行</w:t>
      </w:r>
      <w:r>
        <w:rPr>
          <w:rFonts w:hint="eastAsia" w:ascii="宋体" w:hAnsi="宋体" w:eastAsia="宋体" w:cs="宋体"/>
          <w:color w:val="auto"/>
          <w:highlight w:val="none"/>
        </w:rPr>
        <w:t>处罚。</w:t>
      </w:r>
    </w:p>
    <w:p w14:paraId="038CA081">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566CCF4">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cs="宋体"/>
          <w:color w:val="auto"/>
          <w:highlight w:val="none"/>
          <w:lang w:val="en-US" w:eastAsia="zh-CN"/>
        </w:rPr>
        <w:t xml:space="preserve"> </w:t>
      </w:r>
      <w:r>
        <w:rPr>
          <w:rFonts w:hint="eastAsia" w:ascii="宋体" w:hAnsi="宋体" w:eastAsia="宋体" w:cs="宋体"/>
          <w:color w:val="auto"/>
          <w:highlight w:val="none"/>
        </w:rPr>
        <w:t>（单位公章）</w:t>
      </w:r>
    </w:p>
    <w:p w14:paraId="34403D1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14:paraId="2D45E687">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法定代表人或委托代理人：              （签字</w:t>
      </w:r>
      <w:r>
        <w:rPr>
          <w:rFonts w:hint="eastAsia" w:hAnsi="宋体" w:cs="宋体"/>
          <w:color w:val="auto"/>
          <w:highlight w:val="none"/>
          <w:lang w:val="en-US" w:eastAsia="zh-CN"/>
        </w:rPr>
        <w:t>或盖章</w:t>
      </w:r>
      <w:r>
        <w:rPr>
          <w:rFonts w:hint="eastAsia" w:ascii="宋体" w:hAnsi="宋体" w:eastAsia="宋体" w:cs="宋体"/>
          <w:color w:val="auto"/>
          <w:highlight w:val="none"/>
        </w:rPr>
        <w:t xml:space="preserve">） </w:t>
      </w:r>
    </w:p>
    <w:p w14:paraId="21F3167B">
      <w:pPr>
        <w:spacing w:line="360" w:lineRule="auto"/>
        <w:ind w:left="600" w:leftChars="250"/>
        <w:rPr>
          <w:rFonts w:hint="eastAsia" w:ascii="宋体" w:hAnsi="宋体" w:eastAsia="宋体" w:cs="宋体"/>
          <w:b/>
          <w:bCs/>
          <w:color w:val="auto"/>
          <w:sz w:val="28"/>
          <w:szCs w:val="28"/>
          <w:highlight w:val="none"/>
        </w:rPr>
      </w:pPr>
    </w:p>
    <w:p w14:paraId="32BC6A19">
      <w:pPr>
        <w:spacing w:line="440" w:lineRule="exact"/>
        <w:ind w:left="3725" w:leftChars="1552"/>
        <w:rPr>
          <w:rFonts w:hint="eastAsia" w:ascii="宋体" w:hAnsi="宋体" w:eastAsia="宋体" w:cs="宋体"/>
          <w:color w:val="auto"/>
          <w:szCs w:val="24"/>
          <w:highlight w:val="none"/>
        </w:rPr>
      </w:pPr>
    </w:p>
    <w:p w14:paraId="32065E3D">
      <w:pPr>
        <w:spacing w:line="440" w:lineRule="exact"/>
        <w:ind w:left="3725" w:leftChars="1552"/>
        <w:rPr>
          <w:rFonts w:hint="eastAsia" w:ascii="宋体" w:hAnsi="宋体" w:eastAsia="宋体" w:cs="宋体"/>
          <w:color w:val="auto"/>
          <w:szCs w:val="24"/>
          <w:highlight w:val="none"/>
        </w:rPr>
      </w:pPr>
    </w:p>
    <w:p w14:paraId="08531C07">
      <w:pPr>
        <w:spacing w:line="440" w:lineRule="exact"/>
        <w:ind w:left="3725" w:leftChars="1552"/>
        <w:rPr>
          <w:rFonts w:hint="eastAsia" w:ascii="宋体" w:hAnsi="宋体" w:eastAsia="宋体" w:cs="宋体"/>
          <w:color w:val="auto"/>
          <w:szCs w:val="24"/>
          <w:highlight w:val="none"/>
        </w:rPr>
      </w:pPr>
    </w:p>
    <w:bookmarkEnd w:id="99"/>
    <w:p w14:paraId="22BB9ABD">
      <w:pPr>
        <w:spacing w:line="360" w:lineRule="auto"/>
        <w:jc w:val="center"/>
        <w:outlineLvl w:val="9"/>
        <w:rPr>
          <w:rFonts w:hint="eastAsia" w:ascii="宋体" w:hAnsi="宋体" w:eastAsia="宋体" w:cs="宋体"/>
          <w:b/>
          <w:bCs/>
          <w:color w:val="auto"/>
          <w:sz w:val="30"/>
          <w:szCs w:val="30"/>
          <w:highlight w:val="none"/>
        </w:rPr>
      </w:pPr>
      <w:bookmarkStart w:id="112" w:name="_Toc403077656"/>
      <w:bookmarkStart w:id="113" w:name="_Toc363474033"/>
      <w:r>
        <w:rPr>
          <w:rFonts w:hint="eastAsia" w:ascii="宋体" w:hAnsi="宋体" w:eastAsia="宋体" w:cs="宋体"/>
          <w:b/>
          <w:bCs/>
          <w:color w:val="auto"/>
          <w:sz w:val="30"/>
          <w:szCs w:val="30"/>
          <w:highlight w:val="none"/>
        </w:rPr>
        <w:br w:type="page"/>
      </w:r>
      <w:bookmarkStart w:id="114" w:name="_Toc335"/>
      <w:bookmarkStart w:id="115" w:name="_Toc3386"/>
      <w:bookmarkStart w:id="116" w:name="_Toc27470"/>
      <w:bookmarkStart w:id="117" w:name="_Toc2451"/>
      <w:bookmarkStart w:id="118" w:name="_Toc1542"/>
      <w:r>
        <w:rPr>
          <w:rFonts w:hint="eastAsia" w:ascii="宋体" w:hAnsi="宋体" w:eastAsia="宋体" w:cs="宋体"/>
          <w:b/>
          <w:bCs/>
          <w:color w:val="auto"/>
          <w:sz w:val="30"/>
          <w:szCs w:val="30"/>
          <w:highlight w:val="none"/>
        </w:rPr>
        <w:t>五、陕西省政府采购供应商拒绝政府采购领域商业贿赂承诺书</w:t>
      </w:r>
      <w:bookmarkEnd w:id="112"/>
      <w:bookmarkEnd w:id="113"/>
      <w:bookmarkEnd w:id="114"/>
      <w:bookmarkEnd w:id="115"/>
      <w:bookmarkEnd w:id="116"/>
      <w:bookmarkEnd w:id="117"/>
      <w:bookmarkEnd w:id="118"/>
    </w:p>
    <w:p w14:paraId="09838396">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14:paraId="704F1F3D">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14:paraId="542B6BD7">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14:paraId="12B14823">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14:paraId="24C0FC6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14:paraId="5F7DF7F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14:paraId="027BA711">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6、不提供商品和服务时“偷梁换柱、以次充好”损害采购人的合法权益。</w:t>
      </w:r>
    </w:p>
    <w:p w14:paraId="68538EE3">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14:paraId="3B2EF68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14:paraId="665DC90B">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14:paraId="28A3DB8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14:paraId="08B5569C">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14:paraId="4B771335">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14:paraId="11DC8CA7">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14:paraId="47DC5FCC">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14:paraId="6CA78EAE">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9D9E310">
      <w:pPr>
        <w:jc w:val="center"/>
        <w:outlineLvl w:val="9"/>
        <w:rPr>
          <w:rFonts w:hint="eastAsia" w:ascii="宋体" w:hAnsi="宋体" w:eastAsia="宋体" w:cs="宋体"/>
          <w:color w:val="auto"/>
          <w:highlight w:val="none"/>
          <w:shd w:val="clear" w:color="auto" w:fill="FFFFFF"/>
        </w:rPr>
      </w:pPr>
      <w:bookmarkStart w:id="119" w:name="_Toc363474034"/>
      <w:bookmarkStart w:id="120" w:name="_Toc403077657"/>
      <w:r>
        <w:rPr>
          <w:rFonts w:hint="eastAsia" w:ascii="宋体" w:hAnsi="宋体" w:eastAsia="宋体" w:cs="宋体"/>
          <w:b/>
          <w:bCs/>
          <w:color w:val="auto"/>
          <w:sz w:val="30"/>
          <w:szCs w:val="30"/>
          <w:highlight w:val="none"/>
        </w:rPr>
        <w:br w:type="page"/>
      </w:r>
      <w:bookmarkStart w:id="121" w:name="_Toc32016"/>
      <w:bookmarkStart w:id="122" w:name="_Toc3074"/>
      <w:bookmarkStart w:id="123" w:name="_Toc7842"/>
      <w:bookmarkStart w:id="124" w:name="_Toc18776"/>
      <w:bookmarkStart w:id="125" w:name="_Toc29285"/>
      <w:r>
        <w:rPr>
          <w:rFonts w:hint="eastAsia" w:ascii="宋体" w:hAnsi="宋体" w:eastAsia="宋体" w:cs="宋体"/>
          <w:b/>
          <w:bCs/>
          <w:color w:val="auto"/>
          <w:sz w:val="30"/>
          <w:szCs w:val="30"/>
          <w:highlight w:val="none"/>
        </w:rPr>
        <w:t>六、特定资格证明文件</w:t>
      </w:r>
      <w:bookmarkEnd w:id="119"/>
      <w:bookmarkEnd w:id="120"/>
      <w:bookmarkEnd w:id="121"/>
      <w:bookmarkEnd w:id="122"/>
      <w:bookmarkEnd w:id="123"/>
      <w:bookmarkEnd w:id="124"/>
      <w:bookmarkEnd w:id="125"/>
    </w:p>
    <w:p w14:paraId="1073731E">
      <w:pPr>
        <w:pStyle w:val="39"/>
        <w:spacing w:before="183" w:line="360" w:lineRule="auto"/>
        <w:ind w:left="116" w:right="107" w:firstLine="10"/>
        <w:jc w:val="both"/>
        <w:rPr>
          <w:rFonts w:hint="eastAsia"/>
          <w:sz w:val="24"/>
          <w:szCs w:val="24"/>
          <w:highlight w:val="none"/>
        </w:rPr>
      </w:pPr>
      <w:r>
        <w:rPr>
          <w:rFonts w:hint="eastAsia"/>
          <w:sz w:val="24"/>
          <w:szCs w:val="24"/>
          <w:highlight w:val="none"/>
        </w:rPr>
        <w:t>（1）提供合格有效的法人或者其他组织的营业执照等证明文件，自然人的身份证明；</w:t>
      </w:r>
    </w:p>
    <w:p w14:paraId="179B8DE3">
      <w:pPr>
        <w:pStyle w:val="39"/>
        <w:spacing w:before="183" w:line="360" w:lineRule="auto"/>
        <w:ind w:left="116" w:right="107" w:firstLine="10"/>
        <w:jc w:val="both"/>
        <w:rPr>
          <w:rFonts w:hint="eastAsia"/>
          <w:sz w:val="24"/>
          <w:szCs w:val="24"/>
          <w:highlight w:val="none"/>
        </w:rPr>
      </w:pPr>
      <w:r>
        <w:rPr>
          <w:rFonts w:hint="eastAsia"/>
          <w:sz w:val="24"/>
          <w:szCs w:val="24"/>
          <w:highlight w:val="none"/>
        </w:rPr>
        <w:t>（2）提供法定代表人授权书（附法定代表人、被授权人身份证复印件)，法定代表人直接参加投标，须提供法定代表人身份证明及身份证复印件）；</w:t>
      </w:r>
    </w:p>
    <w:p w14:paraId="42E7664F">
      <w:pPr>
        <w:pStyle w:val="39"/>
        <w:spacing w:before="183" w:line="360" w:lineRule="auto"/>
        <w:ind w:left="116" w:right="107" w:firstLine="10"/>
        <w:jc w:val="both"/>
        <w:rPr>
          <w:rFonts w:hint="eastAsia" w:eastAsia="宋体"/>
          <w:sz w:val="24"/>
          <w:szCs w:val="24"/>
          <w:highlight w:val="none"/>
          <w:lang w:eastAsia="zh-CN"/>
        </w:rPr>
      </w:pPr>
      <w:r>
        <w:rPr>
          <w:rFonts w:hint="eastAsia"/>
          <w:sz w:val="24"/>
          <w:szCs w:val="24"/>
          <w:highlight w:val="none"/>
        </w:rPr>
        <w:t>（3）财务状况报告：</w:t>
      </w:r>
      <w:r>
        <w:rPr>
          <w:rFonts w:hint="eastAsia" w:ascii="宋体" w:hAnsi="宋体" w:eastAsia="宋体" w:cs="宋体"/>
          <w:sz w:val="24"/>
          <w:szCs w:val="24"/>
          <w:highlight w:val="none"/>
        </w:rPr>
        <w:t>提供2024年度的财务审计报告（成立时间至提交响应文件截止时间不足一年的可提供成立后任意时段的资产负债表）或开标时间前六个月内银行出具的资信证明；</w:t>
      </w:r>
      <w:r>
        <w:rPr>
          <w:rFonts w:hint="eastAsia" w:ascii="宋体" w:hAnsi="宋体" w:eastAsia="宋体" w:cs="宋体"/>
          <w:sz w:val="24"/>
          <w:szCs w:val="24"/>
          <w:highlight w:val="none"/>
        </w:rPr>
        <w:br w:type="textWrapping"/>
      </w:r>
      <w:r>
        <w:rPr>
          <w:rFonts w:hint="eastAsia"/>
          <w:sz w:val="24"/>
          <w:szCs w:val="24"/>
          <w:highlight w:val="none"/>
        </w:rPr>
        <w:t>（4）税收缴纳证明：提供响应文件截止日前一年内已缴纳的至少一个月的纳税证明或完税证明（任意税种），依法免税的单位应提供相关证明材料</w:t>
      </w:r>
      <w:r>
        <w:rPr>
          <w:rFonts w:hint="eastAsia"/>
          <w:sz w:val="24"/>
          <w:szCs w:val="24"/>
          <w:highlight w:val="none"/>
          <w:lang w:eastAsia="zh-CN"/>
        </w:rPr>
        <w:t>；</w:t>
      </w:r>
    </w:p>
    <w:p w14:paraId="5C0A614C">
      <w:pPr>
        <w:pStyle w:val="39"/>
        <w:spacing w:before="183" w:line="360" w:lineRule="auto"/>
        <w:ind w:left="116" w:right="107" w:firstLine="10"/>
        <w:jc w:val="both"/>
        <w:rPr>
          <w:rFonts w:hint="eastAsia"/>
          <w:sz w:val="24"/>
          <w:szCs w:val="24"/>
          <w:highlight w:val="none"/>
        </w:rPr>
      </w:pPr>
      <w:r>
        <w:rPr>
          <w:rFonts w:hint="eastAsia"/>
          <w:sz w:val="24"/>
          <w:szCs w:val="24"/>
          <w:highlight w:val="none"/>
        </w:rPr>
        <w:t>（5）社会保障资金缴纳证明：提供响应文件截止日前一年内已缴存的至少一个月的社会保障资金缴存单据或社保机构开具的社会保险参保缴费情况证明，依法不需要缴纳社会保障资金的单位应提供相关证明材料；</w:t>
      </w:r>
    </w:p>
    <w:p w14:paraId="623A8FB9">
      <w:pPr>
        <w:pStyle w:val="39"/>
        <w:spacing w:before="183" w:line="360" w:lineRule="auto"/>
        <w:ind w:left="116" w:right="107" w:firstLine="10"/>
        <w:jc w:val="both"/>
        <w:rPr>
          <w:rFonts w:hint="eastAsia"/>
          <w:sz w:val="24"/>
          <w:szCs w:val="24"/>
          <w:highlight w:val="none"/>
        </w:rPr>
      </w:pPr>
      <w:r>
        <w:rPr>
          <w:rFonts w:hint="eastAsia"/>
          <w:sz w:val="24"/>
          <w:szCs w:val="24"/>
          <w:highlight w:val="none"/>
        </w:rPr>
        <w:t>（6）供应商应通过“信用中国”网站(www.creditchina.gov.cn)、中国政府采购网(www.ccgp.gov.cn)查询相关主体信用记录；</w:t>
      </w:r>
    </w:p>
    <w:p w14:paraId="71E38291">
      <w:pPr>
        <w:pStyle w:val="39"/>
        <w:spacing w:before="183" w:line="360" w:lineRule="auto"/>
        <w:ind w:left="116" w:right="107" w:firstLine="10"/>
        <w:jc w:val="both"/>
        <w:rPr>
          <w:rFonts w:hint="eastAsia"/>
          <w:sz w:val="24"/>
          <w:szCs w:val="24"/>
          <w:highlight w:val="none"/>
        </w:rPr>
      </w:pPr>
      <w:r>
        <w:rPr>
          <w:rFonts w:hint="eastAsia"/>
          <w:sz w:val="24"/>
          <w:szCs w:val="24"/>
          <w:highlight w:val="none"/>
        </w:rPr>
        <w:t>（7）参加政府采购活动前3年内，在经营活动中没有重大违法记录的书面声明；</w:t>
      </w:r>
    </w:p>
    <w:p w14:paraId="48C3AB15">
      <w:pPr>
        <w:pStyle w:val="39"/>
        <w:spacing w:before="183" w:line="360" w:lineRule="auto"/>
        <w:ind w:left="116" w:right="107" w:firstLine="10"/>
        <w:jc w:val="both"/>
        <w:rPr>
          <w:rFonts w:hint="eastAsia"/>
          <w:sz w:val="24"/>
          <w:szCs w:val="24"/>
          <w:highlight w:val="none"/>
        </w:rPr>
      </w:pPr>
      <w:r>
        <w:rPr>
          <w:rFonts w:hint="eastAsia"/>
          <w:sz w:val="24"/>
          <w:szCs w:val="24"/>
          <w:highlight w:val="none"/>
        </w:rPr>
        <w:t>（8）提供具有履行合同所必需的设备和专业技术能力的承诺函；</w:t>
      </w:r>
    </w:p>
    <w:p w14:paraId="5729F467">
      <w:pPr>
        <w:pStyle w:val="39"/>
        <w:spacing w:before="183" w:line="360" w:lineRule="auto"/>
        <w:ind w:left="116" w:right="107" w:firstLine="10"/>
        <w:jc w:val="both"/>
        <w:rPr>
          <w:rFonts w:hint="eastAsia"/>
          <w:sz w:val="24"/>
          <w:szCs w:val="24"/>
          <w:highlight w:val="none"/>
          <w:lang w:val="en-US" w:eastAsia="zh-CN"/>
        </w:rPr>
      </w:pPr>
      <w:r>
        <w:rPr>
          <w:rFonts w:hint="eastAsia"/>
          <w:sz w:val="24"/>
          <w:szCs w:val="24"/>
          <w:highlight w:val="none"/>
        </w:rPr>
        <w:t>（9）供应商具有建设行政主管部门颁发的建筑工程施工总承包三级或以上资质；有效的安全生产许可证；</w:t>
      </w:r>
    </w:p>
    <w:p w14:paraId="2337D2B5">
      <w:pPr>
        <w:pStyle w:val="39"/>
        <w:spacing w:before="183" w:line="360" w:lineRule="auto"/>
        <w:ind w:left="116" w:right="107" w:firstLine="10"/>
        <w:jc w:val="both"/>
        <w:rPr>
          <w:rFonts w:hint="eastAsia" w:eastAsia="宋体"/>
          <w:sz w:val="24"/>
          <w:szCs w:val="24"/>
          <w:highlight w:val="none"/>
          <w:lang w:eastAsia="zh-CN"/>
        </w:rPr>
      </w:pPr>
      <w:r>
        <w:rPr>
          <w:rFonts w:hint="eastAsia"/>
          <w:sz w:val="24"/>
          <w:szCs w:val="24"/>
          <w:highlight w:val="none"/>
          <w:lang w:val="en-US" w:eastAsia="zh-CN"/>
        </w:rPr>
        <w:t>（10）</w:t>
      </w:r>
      <w:r>
        <w:rPr>
          <w:rFonts w:hint="eastAsia"/>
          <w:sz w:val="24"/>
          <w:szCs w:val="24"/>
          <w:highlight w:val="none"/>
        </w:rPr>
        <w:t>拟派项目经理须具备建设行政主管部门颁发的建筑工程专业二级注册建造师或以上执业资格以及有效的安全生产考核合格B证，在本单位注册，且未担任其他在建工程项目的项目经理（提供无在建承诺函）</w:t>
      </w:r>
      <w:r>
        <w:rPr>
          <w:rFonts w:hint="eastAsia"/>
          <w:sz w:val="24"/>
          <w:szCs w:val="24"/>
          <w:highlight w:val="none"/>
          <w:lang w:eastAsia="zh-CN"/>
        </w:rPr>
        <w:t>；</w:t>
      </w:r>
    </w:p>
    <w:p w14:paraId="68AC29FF">
      <w:pPr>
        <w:pStyle w:val="39"/>
        <w:spacing w:before="183" w:line="360" w:lineRule="auto"/>
        <w:ind w:left="116" w:right="107" w:firstLine="10"/>
        <w:jc w:val="both"/>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供应商须提供中小企业声明函；</w:t>
      </w:r>
    </w:p>
    <w:p w14:paraId="7F86DA3C">
      <w:pPr>
        <w:pStyle w:val="39"/>
        <w:spacing w:before="183" w:line="360" w:lineRule="auto"/>
        <w:ind w:left="116" w:right="107" w:firstLine="10"/>
        <w:jc w:val="both"/>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）本项目不接受联合体磋商（需提供承诺书）。</w:t>
      </w:r>
    </w:p>
    <w:p w14:paraId="29CF9ACA">
      <w:pPr>
        <w:spacing w:line="56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19120173">
      <w:pPr>
        <w:rPr>
          <w:rStyle w:val="30"/>
          <w:rFonts w:hint="eastAsia" w:ascii="宋体" w:eastAsia="宋体" w:cs="宋体"/>
          <w:color w:val="auto"/>
          <w:sz w:val="36"/>
          <w:szCs w:val="21"/>
          <w:highlight w:val="none"/>
          <w:lang w:val="en-US" w:eastAsia="zh-CN" w:bidi="ar-SA"/>
        </w:rPr>
      </w:pPr>
      <w:bookmarkStart w:id="126" w:name="_Toc12717"/>
      <w:bookmarkStart w:id="127" w:name="_Toc25292"/>
      <w:bookmarkStart w:id="128" w:name="_Toc8744"/>
      <w:bookmarkStart w:id="129" w:name="_Toc19114"/>
      <w:bookmarkStart w:id="130" w:name="_Toc27187"/>
      <w:bookmarkStart w:id="131" w:name="_Toc6853"/>
      <w:r>
        <w:rPr>
          <w:rStyle w:val="30"/>
          <w:rFonts w:hint="eastAsia" w:ascii="宋体" w:eastAsia="宋体" w:cs="宋体"/>
          <w:color w:val="auto"/>
          <w:sz w:val="36"/>
          <w:szCs w:val="21"/>
          <w:highlight w:val="none"/>
          <w:lang w:val="en-US" w:eastAsia="zh-CN" w:bidi="ar-SA"/>
        </w:rPr>
        <w:br w:type="page"/>
      </w:r>
    </w:p>
    <w:p w14:paraId="793E8915">
      <w:pPr>
        <w:spacing w:line="500" w:lineRule="exact"/>
        <w:jc w:val="center"/>
        <w:outlineLvl w:val="9"/>
        <w:rPr>
          <w:rFonts w:hint="eastAsia" w:ascii="宋体" w:hAnsi="宋体" w:eastAsia="宋体" w:cs="宋体"/>
          <w:b/>
          <w:bCs/>
          <w:color w:val="auto"/>
          <w:sz w:val="30"/>
          <w:szCs w:val="30"/>
          <w:highlight w:val="none"/>
        </w:rPr>
      </w:pPr>
      <w:bookmarkStart w:id="132" w:name="_Toc24367"/>
      <w:r>
        <w:rPr>
          <w:rStyle w:val="30"/>
          <w:rFonts w:hint="eastAsia" w:ascii="宋体" w:eastAsia="宋体" w:cs="宋体"/>
          <w:color w:val="auto"/>
          <w:sz w:val="36"/>
          <w:szCs w:val="21"/>
          <w:highlight w:val="none"/>
          <w:lang w:val="en-US" w:eastAsia="zh-CN" w:bidi="ar-SA"/>
        </w:rPr>
        <w:t>七、其它</w:t>
      </w:r>
      <w:bookmarkEnd w:id="126"/>
      <w:bookmarkEnd w:id="127"/>
      <w:bookmarkEnd w:id="128"/>
      <w:bookmarkEnd w:id="129"/>
      <w:bookmarkEnd w:id="130"/>
      <w:bookmarkEnd w:id="131"/>
      <w:bookmarkEnd w:id="132"/>
    </w:p>
    <w:p w14:paraId="4A2CA059">
      <w:pPr>
        <w:pStyle w:val="1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1、依据竞争性磋商文件要求，供应商认为有必要说明的其他内容</w:t>
      </w:r>
    </w:p>
    <w:p w14:paraId="06BAE85B">
      <w:pPr>
        <w:pStyle w:val="1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14:paraId="04286963">
      <w:pPr>
        <w:spacing w:beforeLines="50" w:afterLines="50" w:line="500" w:lineRule="exact"/>
        <w:outlineLvl w:val="9"/>
        <w:rPr>
          <w:rFonts w:hint="eastAsia" w:ascii="宋体" w:hAnsi="宋体" w:eastAsia="宋体" w:cs="宋体"/>
          <w:b/>
          <w:color w:val="auto"/>
          <w:sz w:val="28"/>
          <w:szCs w:val="28"/>
          <w:highlight w:val="none"/>
        </w:rPr>
      </w:pPr>
      <w:r>
        <w:rPr>
          <w:rFonts w:hint="eastAsia" w:ascii="宋体" w:hAnsi="宋体" w:eastAsia="宋体" w:cs="宋体"/>
          <w:color w:val="auto"/>
          <w:szCs w:val="24"/>
          <w:highlight w:val="none"/>
        </w:rPr>
        <w:br w:type="page"/>
      </w:r>
      <w:bookmarkStart w:id="133" w:name="_Toc17513"/>
      <w:bookmarkStart w:id="134" w:name="_Toc6055"/>
      <w:bookmarkStart w:id="135" w:name="_Toc11863"/>
      <w:bookmarkStart w:id="136" w:name="_Toc2915"/>
      <w:r>
        <w:rPr>
          <w:rFonts w:hint="eastAsia" w:ascii="宋体" w:hAnsi="宋体" w:eastAsia="宋体" w:cs="宋体"/>
          <w:b/>
          <w:color w:val="auto"/>
          <w:sz w:val="28"/>
          <w:szCs w:val="28"/>
          <w:highlight w:val="none"/>
        </w:rPr>
        <w:t>附件1：法定代表人身份证明/法定代表人授权书</w:t>
      </w:r>
      <w:bookmarkEnd w:id="133"/>
      <w:bookmarkEnd w:id="134"/>
      <w:bookmarkEnd w:id="135"/>
      <w:bookmarkEnd w:id="136"/>
    </w:p>
    <w:p w14:paraId="3F67AD5D">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2DB1CC66">
      <w:pPr>
        <w:pStyle w:val="1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72FAF763">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5784672">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D47220C">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053D7B84">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420DE38">
      <w:pPr>
        <w:autoSpaceDE w:val="0"/>
        <w:autoSpaceDN w:val="0"/>
        <w:adjustRightInd w:val="0"/>
        <w:snapToGrid w:val="0"/>
        <w:spacing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7AC98E9A">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5C6C2B30">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2A91CE5A">
      <w:pPr>
        <w:autoSpaceDE w:val="0"/>
        <w:autoSpaceDN w:val="0"/>
        <w:adjustRightInd w:val="0"/>
        <w:snapToGrid w:val="0"/>
        <w:spacing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8EA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2BFE7C57">
            <w:pPr>
              <w:snapToGrid w:val="0"/>
              <w:spacing w:line="480" w:lineRule="auto"/>
              <w:jc w:val="center"/>
              <w:rPr>
                <w:rFonts w:hint="eastAsia" w:ascii="宋体" w:hAnsi="宋体" w:eastAsia="宋体" w:cs="宋体"/>
                <w:color w:val="auto"/>
                <w:szCs w:val="21"/>
                <w:highlight w:val="none"/>
              </w:rPr>
            </w:pPr>
          </w:p>
          <w:p w14:paraId="10D8DD7B">
            <w:pPr>
              <w:snapToGrid w:val="0"/>
              <w:spacing w:line="480" w:lineRule="auto"/>
              <w:jc w:val="center"/>
              <w:rPr>
                <w:rFonts w:hint="eastAsia" w:ascii="宋体" w:hAnsi="宋体" w:eastAsia="宋体" w:cs="宋体"/>
                <w:color w:val="auto"/>
                <w:szCs w:val="21"/>
                <w:highlight w:val="none"/>
              </w:rPr>
            </w:pPr>
          </w:p>
          <w:p w14:paraId="2CA75CEB">
            <w:pPr>
              <w:autoSpaceDE w:val="0"/>
              <w:autoSpaceDN w:val="0"/>
              <w:adjustRightInd w:val="0"/>
              <w:snapToGrid w:val="0"/>
              <w:spacing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1D9448C3">
            <w:pPr>
              <w:pStyle w:val="1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70CBCC19">
            <w:pPr>
              <w:snapToGrid w:val="0"/>
              <w:spacing w:line="480" w:lineRule="auto"/>
              <w:jc w:val="center"/>
              <w:rPr>
                <w:rFonts w:hint="eastAsia" w:ascii="宋体" w:hAnsi="宋体" w:eastAsia="宋体" w:cs="宋体"/>
                <w:color w:val="auto"/>
                <w:szCs w:val="21"/>
                <w:highlight w:val="none"/>
              </w:rPr>
            </w:pPr>
          </w:p>
          <w:p w14:paraId="57AEBC1B">
            <w:pPr>
              <w:snapToGrid w:val="0"/>
              <w:spacing w:line="480" w:lineRule="auto"/>
              <w:jc w:val="center"/>
              <w:rPr>
                <w:rFonts w:hint="eastAsia" w:ascii="宋体" w:hAnsi="宋体" w:eastAsia="宋体" w:cs="宋体"/>
                <w:color w:val="auto"/>
                <w:szCs w:val="21"/>
                <w:highlight w:val="none"/>
              </w:rPr>
            </w:pPr>
          </w:p>
        </w:tc>
      </w:tr>
    </w:tbl>
    <w:p w14:paraId="2DD74C20">
      <w:pPr>
        <w:snapToGrid w:val="0"/>
        <w:spacing w:line="480" w:lineRule="auto"/>
        <w:rPr>
          <w:rFonts w:hint="eastAsia" w:ascii="宋体" w:hAnsi="宋体" w:eastAsia="宋体" w:cs="宋体"/>
          <w:color w:val="auto"/>
          <w:szCs w:val="21"/>
          <w:highlight w:val="none"/>
        </w:rPr>
      </w:pPr>
    </w:p>
    <w:p w14:paraId="50A445F4">
      <w:pPr>
        <w:snapToGrid w:val="0"/>
        <w:rPr>
          <w:rFonts w:hint="eastAsia" w:ascii="宋体" w:hAnsi="宋体" w:eastAsia="宋体" w:cs="宋体"/>
          <w:color w:val="auto"/>
          <w:szCs w:val="21"/>
          <w:highlight w:val="none"/>
        </w:rPr>
      </w:pPr>
    </w:p>
    <w:p w14:paraId="1ED14D00">
      <w:pPr>
        <w:snapToGrid w:val="0"/>
        <w:rPr>
          <w:rFonts w:hint="eastAsia" w:ascii="宋体" w:hAnsi="宋体" w:eastAsia="宋体" w:cs="宋体"/>
          <w:color w:val="auto"/>
          <w:szCs w:val="21"/>
          <w:highlight w:val="none"/>
        </w:rPr>
      </w:pPr>
    </w:p>
    <w:p w14:paraId="6012B200">
      <w:pPr>
        <w:snapToGrid w:val="0"/>
        <w:rPr>
          <w:rFonts w:hint="eastAsia" w:ascii="宋体" w:hAnsi="宋体" w:eastAsia="宋体" w:cs="宋体"/>
          <w:color w:val="auto"/>
          <w:szCs w:val="21"/>
          <w:highlight w:val="none"/>
        </w:rPr>
      </w:pPr>
    </w:p>
    <w:p w14:paraId="24D30F14">
      <w:pPr>
        <w:snapToGrid w:val="0"/>
        <w:rPr>
          <w:rFonts w:hint="eastAsia" w:ascii="宋体" w:hAnsi="宋体" w:eastAsia="宋体" w:cs="宋体"/>
          <w:color w:val="auto"/>
          <w:szCs w:val="21"/>
          <w:highlight w:val="none"/>
        </w:rPr>
      </w:pPr>
    </w:p>
    <w:p w14:paraId="24799A0F">
      <w:pPr>
        <w:adjustRightInd w:val="0"/>
        <w:snapToGrid w:val="0"/>
        <w:spacing w:line="360" w:lineRule="auto"/>
        <w:rPr>
          <w:rFonts w:hint="eastAsia" w:ascii="宋体" w:hAnsi="宋体" w:eastAsia="宋体" w:cs="宋体"/>
          <w:color w:val="auto"/>
          <w:highlight w:val="none"/>
        </w:rPr>
      </w:pPr>
    </w:p>
    <w:p w14:paraId="57E74860">
      <w:pPr>
        <w:adjustRightInd w:val="0"/>
        <w:snapToGrid w:val="0"/>
        <w:spacing w:line="360" w:lineRule="auto"/>
        <w:ind w:right="420"/>
        <w:rPr>
          <w:rFonts w:hint="eastAsia" w:ascii="宋体" w:hAnsi="宋体" w:eastAsia="宋体" w:cs="宋体"/>
          <w:color w:val="auto"/>
          <w:highlight w:val="none"/>
        </w:rPr>
      </w:pPr>
    </w:p>
    <w:p w14:paraId="3958090D">
      <w:pPr>
        <w:adjustRightInd w:val="0"/>
        <w:snapToGrid w:val="0"/>
        <w:spacing w:line="360" w:lineRule="auto"/>
        <w:ind w:right="420"/>
        <w:rPr>
          <w:rFonts w:hint="eastAsia" w:ascii="宋体" w:hAnsi="宋体" w:eastAsia="宋体" w:cs="宋体"/>
          <w:color w:val="auto"/>
          <w:highlight w:val="none"/>
        </w:rPr>
      </w:pPr>
    </w:p>
    <w:p w14:paraId="5E271C7C">
      <w:pPr>
        <w:adjustRightInd w:val="0"/>
        <w:snapToGrid w:val="0"/>
        <w:spacing w:line="360" w:lineRule="auto"/>
        <w:ind w:right="420"/>
        <w:rPr>
          <w:rFonts w:hint="eastAsia" w:ascii="宋体" w:hAnsi="宋体" w:eastAsia="宋体" w:cs="宋体"/>
          <w:color w:val="auto"/>
          <w:highlight w:val="none"/>
        </w:rPr>
      </w:pPr>
    </w:p>
    <w:p w14:paraId="49F14318">
      <w:pPr>
        <w:adjustRightInd w:val="0"/>
        <w:snapToGrid w:val="0"/>
        <w:spacing w:line="360" w:lineRule="auto"/>
        <w:ind w:right="420"/>
        <w:rPr>
          <w:rFonts w:hint="eastAsia" w:ascii="宋体" w:hAnsi="宋体" w:eastAsia="宋体" w:cs="宋体"/>
          <w:color w:val="auto"/>
          <w:highlight w:val="none"/>
        </w:rPr>
      </w:pPr>
    </w:p>
    <w:p w14:paraId="04D4528E">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14:paraId="4F873DB7">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0D553285">
      <w:pPr>
        <w:pStyle w:val="10"/>
        <w:rPr>
          <w:rFonts w:hint="eastAsia" w:ascii="宋体" w:hAnsi="宋体" w:eastAsia="宋体" w:cs="宋体"/>
          <w:color w:val="auto"/>
          <w:highlight w:val="none"/>
        </w:rPr>
      </w:pPr>
    </w:p>
    <w:p w14:paraId="0E18FEBA">
      <w:pPr>
        <w:spacing w:line="360" w:lineRule="auto"/>
        <w:jc w:val="left"/>
        <w:rPr>
          <w:rFonts w:hint="eastAsia" w:ascii="宋体" w:hAnsi="宋体" w:eastAsia="宋体" w:cs="宋体"/>
          <w:color w:val="auto"/>
          <w:spacing w:val="4"/>
          <w:szCs w:val="24"/>
          <w:highlight w:val="none"/>
        </w:rPr>
      </w:pPr>
    </w:p>
    <w:p w14:paraId="107EBB6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5C9822C">
      <w:pPr>
        <w:keepNext/>
        <w:spacing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14:paraId="40C6701F">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陕西银正项目管理有限公司</w:t>
      </w:r>
      <w:r>
        <w:rPr>
          <w:rFonts w:hint="eastAsia" w:ascii="宋体" w:hAnsi="宋体" w:eastAsia="宋体" w:cs="宋体"/>
          <w:color w:val="auto"/>
          <w:spacing w:val="4"/>
          <w:szCs w:val="24"/>
          <w:highlight w:val="none"/>
          <w:u w:val="single"/>
        </w:rPr>
        <w:t xml:space="preserve"> </w:t>
      </w:r>
    </w:p>
    <w:p w14:paraId="36675781">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（项目编号</w:t>
      </w:r>
      <w:r>
        <w:rPr>
          <w:rFonts w:hint="eastAsia" w:hAnsi="宋体" w:cs="宋体"/>
          <w:color w:val="auto"/>
          <w:spacing w:val="4"/>
          <w:szCs w:val="24"/>
          <w:highlight w:val="none"/>
          <w:u w:val="single"/>
          <w:lang w:eastAsia="zh-CN"/>
        </w:rPr>
        <w:t>：</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项目的磋商、签约等具体工作，并签署全部有关的文件、协议及合同。</w:t>
      </w:r>
    </w:p>
    <w:p w14:paraId="70262E7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78E93193">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68D23A9E">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2EA23B2F">
      <w:pPr>
        <w:spacing w:line="360" w:lineRule="auto"/>
        <w:ind w:firstLine="496" w:firstLineChars="200"/>
        <w:jc w:val="left"/>
        <w:rPr>
          <w:rFonts w:hint="eastAsia" w:ascii="宋体" w:hAnsi="宋体" w:eastAsia="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158CD2E4">
        <w:tblPrEx>
          <w:tblCellMar>
            <w:top w:w="0" w:type="dxa"/>
            <w:left w:w="108" w:type="dxa"/>
            <w:bottom w:w="0" w:type="dxa"/>
            <w:right w:w="108" w:type="dxa"/>
          </w:tblCellMar>
        </w:tblPrEx>
        <w:trPr>
          <w:trHeight w:val="600" w:hRule="atLeast"/>
        </w:trPr>
        <w:tc>
          <w:tcPr>
            <w:tcW w:w="4200" w:type="dxa"/>
            <w:noWrap w:val="0"/>
            <w:vAlign w:val="top"/>
          </w:tcPr>
          <w:p w14:paraId="49AE15E1">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763E16E5">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14:paraId="22D6B2D5">
        <w:tblPrEx>
          <w:tblCellMar>
            <w:top w:w="0" w:type="dxa"/>
            <w:left w:w="108" w:type="dxa"/>
            <w:bottom w:w="0" w:type="dxa"/>
            <w:right w:w="108" w:type="dxa"/>
          </w:tblCellMar>
        </w:tblPrEx>
        <w:trPr>
          <w:trHeight w:val="600" w:hRule="atLeast"/>
        </w:trPr>
        <w:tc>
          <w:tcPr>
            <w:tcW w:w="4200" w:type="dxa"/>
            <w:noWrap w:val="0"/>
            <w:vAlign w:val="top"/>
          </w:tcPr>
          <w:p w14:paraId="545EAFBB">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22242DD7">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14391298">
        <w:tblPrEx>
          <w:tblCellMar>
            <w:top w:w="0" w:type="dxa"/>
            <w:left w:w="108" w:type="dxa"/>
            <w:bottom w:w="0" w:type="dxa"/>
            <w:right w:w="108" w:type="dxa"/>
          </w:tblCellMar>
        </w:tblPrEx>
        <w:trPr>
          <w:trHeight w:val="600" w:hRule="atLeast"/>
        </w:trPr>
        <w:tc>
          <w:tcPr>
            <w:tcW w:w="4200" w:type="dxa"/>
            <w:noWrap w:val="0"/>
            <w:vAlign w:val="top"/>
          </w:tcPr>
          <w:p w14:paraId="73BCA337">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1C04D7D9">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020E8A81">
        <w:tblPrEx>
          <w:tblCellMar>
            <w:top w:w="0" w:type="dxa"/>
            <w:left w:w="108" w:type="dxa"/>
            <w:bottom w:w="0" w:type="dxa"/>
            <w:right w:w="108" w:type="dxa"/>
          </w:tblCellMar>
        </w:tblPrEx>
        <w:trPr>
          <w:trHeight w:val="600" w:hRule="atLeast"/>
        </w:trPr>
        <w:tc>
          <w:tcPr>
            <w:tcW w:w="4200" w:type="dxa"/>
            <w:noWrap w:val="0"/>
            <w:vAlign w:val="top"/>
          </w:tcPr>
          <w:p w14:paraId="5562F57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6A8D169B">
            <w:pPr>
              <w:spacing w:line="360" w:lineRule="auto"/>
              <w:jc w:val="left"/>
              <w:rPr>
                <w:rFonts w:hint="eastAsia" w:ascii="宋体" w:hAnsi="宋体" w:eastAsia="宋体" w:cs="宋体"/>
                <w:color w:val="auto"/>
                <w:spacing w:val="4"/>
                <w:szCs w:val="24"/>
                <w:highlight w:val="none"/>
              </w:rPr>
            </w:pPr>
          </w:p>
        </w:tc>
      </w:tr>
    </w:tbl>
    <w:p w14:paraId="2EC29D63">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14:paraId="1496DB8E">
      <w:pPr>
        <w:spacing w:line="360" w:lineRule="auto"/>
        <w:rPr>
          <w:rFonts w:hint="eastAsia" w:ascii="宋体" w:hAnsi="宋体" w:eastAsia="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28BB5F9A">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5BC46D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5D51D4F4">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36FB29C3">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6D5E4319">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187CFC1B">
      <w:pPr>
        <w:spacing w:line="360" w:lineRule="auto"/>
        <w:ind w:firstLine="510"/>
        <w:rPr>
          <w:rFonts w:hint="eastAsia" w:ascii="宋体" w:hAnsi="宋体" w:eastAsia="宋体" w:cs="宋体"/>
          <w:color w:val="auto"/>
          <w:spacing w:val="4"/>
          <w:szCs w:val="24"/>
          <w:highlight w:val="none"/>
        </w:rPr>
      </w:pPr>
    </w:p>
    <w:p w14:paraId="36BE96E8">
      <w:pPr>
        <w:spacing w:beforeLines="50"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14:paraId="6CB4F2AC">
      <w:pPr>
        <w:spacing w:beforeLines="50"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r>
        <w:rPr>
          <w:rFonts w:hint="eastAsia" w:ascii="宋体" w:hAnsi="宋体" w:eastAsia="宋体" w:cs="宋体"/>
          <w:color w:val="auto"/>
          <w:highlight w:val="none"/>
        </w:rPr>
        <w:t xml:space="preserve">    年  月  日</w:t>
      </w:r>
    </w:p>
    <w:p w14:paraId="04592355">
      <w:pPr>
        <w:widowControl/>
        <w:spacing w:line="360" w:lineRule="auto"/>
        <w:ind w:left="1" w:firstLine="281" w:firstLineChars="100"/>
        <w:rPr>
          <w:rFonts w:hint="eastAsia" w:ascii="宋体" w:hAnsi="宋体" w:eastAsia="宋体" w:cs="宋体"/>
          <w:b/>
          <w:color w:val="auto"/>
          <w:kern w:val="0"/>
          <w:sz w:val="28"/>
          <w:szCs w:val="28"/>
          <w:highlight w:val="none"/>
        </w:rPr>
      </w:pPr>
      <w:r>
        <w:rPr>
          <w:rFonts w:hint="eastAsia" w:ascii="宋体" w:hAnsi="宋体" w:eastAsia="宋体" w:cs="宋体"/>
          <w:b/>
          <w:color w:val="auto"/>
          <w:sz w:val="28"/>
          <w:szCs w:val="28"/>
          <w:highlight w:val="none"/>
          <w:lang w:val="en-US" w:eastAsia="zh-CN"/>
        </w:rPr>
        <w:br w:type="page"/>
      </w:r>
      <w:bookmarkStart w:id="137" w:name="_Toc11767"/>
      <w:bookmarkStart w:id="138" w:name="_Toc17295"/>
    </w:p>
    <w:p w14:paraId="51391040">
      <w:pPr>
        <w:widowControl/>
        <w:spacing w:line="360" w:lineRule="auto"/>
        <w:ind w:left="1" w:firstLine="321" w:firstLineChars="1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参加政府采购活动前3年内在经营活动中没有重大违法</w:t>
      </w:r>
      <w:r>
        <w:rPr>
          <w:rFonts w:hint="eastAsia" w:hAnsi="宋体" w:cs="宋体"/>
          <w:b/>
          <w:color w:val="auto"/>
          <w:kern w:val="0"/>
          <w:sz w:val="32"/>
          <w:szCs w:val="32"/>
          <w:highlight w:val="none"/>
          <w:lang w:val="en-US" w:eastAsia="zh-CN"/>
        </w:rPr>
        <w:t>记录</w:t>
      </w:r>
      <w:r>
        <w:rPr>
          <w:rFonts w:hint="eastAsia" w:ascii="宋体" w:hAnsi="宋体" w:eastAsia="宋体" w:cs="宋体"/>
          <w:b/>
          <w:color w:val="auto"/>
          <w:kern w:val="0"/>
          <w:sz w:val="32"/>
          <w:szCs w:val="32"/>
          <w:highlight w:val="none"/>
        </w:rPr>
        <w:t>的书面声明</w:t>
      </w:r>
    </w:p>
    <w:p w14:paraId="63388C44">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67BD08F8">
      <w:pPr>
        <w:pStyle w:val="21"/>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2A7AE473">
      <w:pPr>
        <w:pStyle w:val="21"/>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）的供应商，在此郑重声明：</w:t>
      </w:r>
    </w:p>
    <w:p w14:paraId="12F16A94">
      <w:pPr>
        <w:pStyle w:val="21"/>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26840A3B">
      <w:pPr>
        <w:pStyle w:val="21"/>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如有不实，我方将无条件地退出本项目的采购活动，并遵照《</w:t>
      </w:r>
      <w:r>
        <w:rPr>
          <w:rFonts w:hint="eastAsia" w:cs="宋体"/>
          <w:color w:val="auto"/>
          <w:highlight w:val="none"/>
          <w:shd w:val="clear" w:color="auto" w:fill="FFFFFF"/>
          <w:lang w:eastAsia="zh-CN"/>
        </w:rPr>
        <w:t>中华人民共和国政府采购法</w:t>
      </w:r>
      <w:r>
        <w:rPr>
          <w:rFonts w:hint="eastAsia" w:ascii="宋体" w:hAnsi="宋体" w:eastAsia="宋体" w:cs="宋体"/>
          <w:color w:val="auto"/>
          <w:highlight w:val="none"/>
          <w:shd w:val="clear" w:color="auto" w:fill="FFFFFF"/>
        </w:rPr>
        <w:t xml:space="preserve">》有关“提供虚假材料的规定”接受处罚。 </w:t>
      </w:r>
    </w:p>
    <w:p w14:paraId="65949E18">
      <w:pPr>
        <w:pStyle w:val="21"/>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092E607C">
      <w:pPr>
        <w:pStyle w:val="21"/>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1495CC2C">
      <w:pPr>
        <w:spacing w:line="480" w:lineRule="auto"/>
        <w:ind w:firstLine="3360" w:firstLineChars="1400"/>
        <w:rPr>
          <w:rFonts w:hint="eastAsia" w:ascii="宋体" w:hAnsi="宋体" w:eastAsia="宋体" w:cs="宋体"/>
          <w:color w:val="auto"/>
          <w:sz w:val="24"/>
          <w:highlight w:val="none"/>
        </w:rPr>
      </w:pP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078E863">
      <w:pPr>
        <w:pStyle w:val="32"/>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FF8FC7">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13F56E8">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具有履行本合同所必需的设备和专业技术能力的书面声明</w:t>
      </w:r>
    </w:p>
    <w:p w14:paraId="40F8C8D5">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0ABB9664">
      <w:pPr>
        <w:bidi w:val="0"/>
        <w:rPr>
          <w:rFonts w:hint="eastAsia"/>
          <w:color w:val="auto"/>
          <w:highlight w:val="none"/>
        </w:rPr>
      </w:pPr>
    </w:p>
    <w:p w14:paraId="18D889BE">
      <w:pPr>
        <w:pStyle w:val="13"/>
        <w:adjustRightInd w:val="0"/>
        <w:snapToGrid w:val="0"/>
        <w:spacing w:line="720" w:lineRule="exact"/>
        <w:jc w:val="center"/>
        <w:rPr>
          <w:rFonts w:hint="eastAsia" w:ascii="宋体" w:hAnsi="宋体" w:eastAsia="宋体" w:cs="宋体"/>
          <w:b/>
          <w:color w:val="auto"/>
          <w:sz w:val="28"/>
          <w:szCs w:val="28"/>
          <w:highlight w:val="none"/>
        </w:rPr>
      </w:pPr>
    </w:p>
    <w:p w14:paraId="1593D944">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（采购人名称）    ：</w:t>
      </w:r>
    </w:p>
    <w:p w14:paraId="66E7CC8A">
      <w:pPr>
        <w:pStyle w:val="13"/>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29A45B36">
      <w:pPr>
        <w:pStyle w:val="13"/>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7155B759">
      <w:pPr>
        <w:pStyle w:val="13"/>
        <w:adjustRightInd w:val="0"/>
        <w:snapToGrid w:val="0"/>
        <w:spacing w:line="720" w:lineRule="exact"/>
        <w:rPr>
          <w:rFonts w:hint="eastAsia" w:ascii="宋体" w:hAnsi="宋体" w:eastAsia="宋体" w:cs="宋体"/>
          <w:color w:val="auto"/>
          <w:spacing w:val="4"/>
          <w:sz w:val="24"/>
          <w:szCs w:val="24"/>
          <w:highlight w:val="none"/>
        </w:rPr>
      </w:pPr>
    </w:p>
    <w:p w14:paraId="0FE6BE93">
      <w:pPr>
        <w:pStyle w:val="13"/>
        <w:adjustRightInd w:val="0"/>
        <w:snapToGrid w:val="0"/>
        <w:spacing w:line="720" w:lineRule="exact"/>
        <w:rPr>
          <w:rFonts w:hint="eastAsia" w:ascii="宋体" w:hAnsi="宋体" w:eastAsia="宋体" w:cs="宋体"/>
          <w:color w:val="auto"/>
          <w:spacing w:val="4"/>
          <w:sz w:val="24"/>
          <w:szCs w:val="24"/>
          <w:highlight w:val="none"/>
        </w:rPr>
      </w:pPr>
    </w:p>
    <w:p w14:paraId="09E50F1E">
      <w:pPr>
        <w:pStyle w:val="13"/>
        <w:adjustRightInd w:val="0"/>
        <w:snapToGrid w:val="0"/>
        <w:spacing w:line="720" w:lineRule="exact"/>
        <w:rPr>
          <w:rFonts w:hint="eastAsia" w:ascii="宋体" w:hAnsi="宋体" w:eastAsia="宋体" w:cs="宋体"/>
          <w:color w:val="auto"/>
          <w:spacing w:val="4"/>
          <w:sz w:val="24"/>
          <w:szCs w:val="24"/>
          <w:highlight w:val="none"/>
        </w:rPr>
      </w:pPr>
    </w:p>
    <w:p w14:paraId="34CC35DF">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2D7C0E">
      <w:pPr>
        <w:pStyle w:val="32"/>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0A7948">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02D242F">
      <w:pPr>
        <w:spacing w:before="240" w:beforeLines="100" w:after="240" w:afterLines="100"/>
        <w:jc w:val="center"/>
        <w:rPr>
          <w:rFonts w:hint="eastAsia" w:ascii="宋体" w:hAnsi="宋体"/>
          <w:b/>
          <w:color w:val="auto"/>
          <w:sz w:val="24"/>
          <w:szCs w:val="24"/>
          <w:highlight w:val="none"/>
          <w:lang w:eastAsia="zh-CN"/>
        </w:rPr>
      </w:pPr>
      <w:bookmarkStart w:id="139" w:name="_Toc23920"/>
      <w:bookmarkStart w:id="140" w:name="_Toc8539"/>
    </w:p>
    <w:p w14:paraId="33EC53FA">
      <w:pPr>
        <w:spacing w:before="240" w:beforeLines="100" w:after="240" w:afterLines="100"/>
        <w:jc w:val="center"/>
        <w:rPr>
          <w:rFonts w:ascii="宋体" w:hAnsi="宋体"/>
          <w:b/>
          <w:color w:val="auto"/>
          <w:sz w:val="24"/>
          <w:szCs w:val="24"/>
          <w:highlight w:val="none"/>
        </w:rPr>
      </w:pPr>
      <w:r>
        <w:rPr>
          <w:rFonts w:hint="eastAsia" w:ascii="宋体" w:hAnsi="宋体"/>
          <w:b/>
          <w:color w:val="auto"/>
          <w:sz w:val="24"/>
          <w:szCs w:val="24"/>
          <w:highlight w:val="none"/>
          <w:lang w:eastAsia="zh-CN"/>
        </w:rPr>
        <w:t>项目经理无在建</w:t>
      </w:r>
      <w:r>
        <w:rPr>
          <w:rFonts w:hint="eastAsia" w:ascii="宋体" w:hAnsi="宋体"/>
          <w:b/>
          <w:color w:val="auto"/>
          <w:sz w:val="24"/>
          <w:szCs w:val="24"/>
          <w:highlight w:val="none"/>
        </w:rPr>
        <w:t>承诺书</w:t>
      </w:r>
    </w:p>
    <w:p w14:paraId="30626082">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olor w:val="auto"/>
          <w:sz w:val="24"/>
          <w:szCs w:val="24"/>
          <w:highlight w:val="none"/>
          <w:lang w:val="en-US" w:eastAsia="zh-CN"/>
        </w:rPr>
        <w:t>采购</w:t>
      </w:r>
      <w:r>
        <w:rPr>
          <w:rFonts w:hint="eastAsia" w:ascii="宋体" w:hAnsi="宋体"/>
          <w:color w:val="auto"/>
          <w:sz w:val="24"/>
          <w:szCs w:val="24"/>
          <w:highlight w:val="none"/>
        </w:rPr>
        <w:t>人名称）：</w:t>
      </w:r>
    </w:p>
    <w:p w14:paraId="06D1336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14:paraId="7E7E4CD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7B948897">
      <w:pPr>
        <w:spacing w:line="440" w:lineRule="exact"/>
        <w:ind w:firstLine="480" w:firstLineChars="200"/>
        <w:rPr>
          <w:rFonts w:ascii="宋体" w:hAnsi="宋体"/>
          <w:color w:val="auto"/>
          <w:sz w:val="24"/>
          <w:szCs w:val="24"/>
          <w:highlight w:val="none"/>
        </w:rPr>
      </w:pPr>
    </w:p>
    <w:p w14:paraId="7EDD9F15">
      <w:pPr>
        <w:spacing w:line="440" w:lineRule="exact"/>
        <w:ind w:firstLine="480" w:firstLineChars="200"/>
        <w:rPr>
          <w:rFonts w:ascii="宋体" w:hAnsi="宋体"/>
          <w:color w:val="auto"/>
          <w:sz w:val="24"/>
          <w:szCs w:val="24"/>
          <w:highlight w:val="none"/>
        </w:rPr>
      </w:pPr>
    </w:p>
    <w:p w14:paraId="065BB0C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1195FA1D">
      <w:pPr>
        <w:spacing w:line="440" w:lineRule="exact"/>
        <w:ind w:firstLine="480" w:firstLineChars="200"/>
        <w:rPr>
          <w:rFonts w:ascii="宋体" w:hAnsi="宋体"/>
          <w:color w:val="auto"/>
          <w:sz w:val="24"/>
          <w:szCs w:val="24"/>
          <w:highlight w:val="none"/>
        </w:rPr>
      </w:pPr>
    </w:p>
    <w:p w14:paraId="65E95D08">
      <w:pPr>
        <w:spacing w:line="440" w:lineRule="exact"/>
        <w:ind w:firstLine="480" w:firstLineChars="200"/>
        <w:rPr>
          <w:rFonts w:ascii="宋体" w:hAnsi="宋体"/>
          <w:color w:val="auto"/>
          <w:sz w:val="24"/>
          <w:szCs w:val="24"/>
          <w:highlight w:val="none"/>
        </w:rPr>
      </w:pPr>
    </w:p>
    <w:p w14:paraId="2C2F5E3E">
      <w:pPr>
        <w:spacing w:line="440" w:lineRule="exact"/>
        <w:ind w:firstLine="480" w:firstLineChars="200"/>
        <w:rPr>
          <w:rFonts w:ascii="宋体" w:hAnsi="宋体"/>
          <w:color w:val="auto"/>
          <w:sz w:val="24"/>
          <w:szCs w:val="24"/>
          <w:highlight w:val="none"/>
        </w:rPr>
      </w:pPr>
    </w:p>
    <w:p w14:paraId="63D285F5">
      <w:pPr>
        <w:spacing w:line="440" w:lineRule="exact"/>
        <w:ind w:firstLine="480" w:firstLineChars="200"/>
        <w:rPr>
          <w:rFonts w:ascii="宋体" w:hAnsi="宋体"/>
          <w:color w:val="auto"/>
          <w:sz w:val="24"/>
          <w:szCs w:val="24"/>
          <w:highlight w:val="none"/>
        </w:rPr>
      </w:pPr>
    </w:p>
    <w:p w14:paraId="2A3CD24D">
      <w:pPr>
        <w:spacing w:line="440" w:lineRule="exact"/>
        <w:ind w:firstLine="480" w:firstLineChars="200"/>
        <w:rPr>
          <w:rFonts w:ascii="宋体" w:hAnsi="宋体"/>
          <w:color w:val="auto"/>
          <w:sz w:val="24"/>
          <w:szCs w:val="24"/>
          <w:highlight w:val="none"/>
        </w:rPr>
      </w:pPr>
    </w:p>
    <w:p w14:paraId="20F2BA8E">
      <w:pPr>
        <w:spacing w:line="440" w:lineRule="exact"/>
        <w:ind w:firstLine="480" w:firstLineChars="200"/>
        <w:rPr>
          <w:rFonts w:ascii="宋体" w:hAnsi="宋体"/>
          <w:color w:val="auto"/>
          <w:sz w:val="24"/>
          <w:szCs w:val="24"/>
          <w:highlight w:val="none"/>
        </w:rPr>
      </w:pPr>
    </w:p>
    <w:p w14:paraId="13768ABF">
      <w:pPr>
        <w:spacing w:line="440" w:lineRule="exact"/>
        <w:jc w:val="right"/>
        <w:rPr>
          <w:rFonts w:ascii="宋体" w:hAnsi="宋体"/>
          <w:color w:val="auto"/>
          <w:sz w:val="24"/>
          <w:szCs w:val="24"/>
          <w:highlight w:val="none"/>
        </w:rPr>
      </w:pPr>
      <w:r>
        <w:rPr>
          <w:rFonts w:hint="eastAsia" w:hAnsi="宋体"/>
          <w:color w:val="auto"/>
          <w:sz w:val="24"/>
          <w:szCs w:val="24"/>
          <w:highlight w:val="none"/>
          <w:lang w:val="en-US" w:eastAsia="zh-CN"/>
        </w:rPr>
        <w:t>供应商名称</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66DD2975">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法定代表人或</w:t>
      </w:r>
      <w:r>
        <w:rPr>
          <w:rFonts w:hint="eastAsia" w:hAnsi="宋体"/>
          <w:color w:val="auto"/>
          <w:sz w:val="24"/>
          <w:szCs w:val="24"/>
          <w:highlight w:val="none"/>
          <w:lang w:val="en-US" w:eastAsia="zh-CN"/>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s="宋体"/>
          <w:szCs w:val="24"/>
          <w:highlight w:val="none"/>
        </w:rPr>
        <w:t>签字或盖章</w:t>
      </w:r>
      <w:r>
        <w:rPr>
          <w:rFonts w:hint="eastAsia" w:ascii="宋体" w:hAnsi="宋体"/>
          <w:color w:val="auto"/>
          <w:sz w:val="24"/>
          <w:szCs w:val="24"/>
          <w:highlight w:val="none"/>
        </w:rPr>
        <w:t>）</w:t>
      </w:r>
    </w:p>
    <w:p w14:paraId="0B502116">
      <w:pPr>
        <w:spacing w:line="440" w:lineRule="exact"/>
        <w:jc w:val="right"/>
        <w:rPr>
          <w:rFonts w:ascii="宋体" w:hAnsi="宋体"/>
          <w:color w:val="auto"/>
          <w:sz w:val="24"/>
          <w:szCs w:val="24"/>
          <w:highlight w:val="none"/>
        </w:rPr>
      </w:pPr>
    </w:p>
    <w:p w14:paraId="6653E3B7">
      <w:pPr>
        <w:jc w:val="right"/>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9A71B5F">
      <w:pPr>
        <w:rPr>
          <w:rFonts w:hint="eastAsia" w:hAnsi="宋体" w:cs="宋体"/>
          <w:spacing w:val="4"/>
          <w:szCs w:val="30"/>
          <w:highlight w:val="none"/>
        </w:rPr>
      </w:pPr>
    </w:p>
    <w:p w14:paraId="7EA98244">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879C0F5">
      <w:pPr>
        <w:spacing w:before="100" w:beforeAutospacing="1" w:afterLines="50" w:line="360" w:lineRule="auto"/>
        <w:jc w:val="left"/>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附件2：中小企业声明函</w:t>
      </w:r>
      <w:bookmarkEnd w:id="137"/>
      <w:bookmarkEnd w:id="138"/>
      <w:bookmarkEnd w:id="139"/>
      <w:bookmarkEnd w:id="140"/>
    </w:p>
    <w:p w14:paraId="6B67237D">
      <w:pPr>
        <w:spacing w:line="588" w:lineRule="exact"/>
        <w:jc w:val="center"/>
        <w:rPr>
          <w:rFonts w:hint="eastAsia" w:ascii="宋体" w:hAnsi="宋体" w:eastAsia="宋体" w:cs="宋体"/>
          <w:b/>
          <w:color w:val="auto"/>
          <w:spacing w:val="6"/>
          <w:sz w:val="32"/>
          <w:szCs w:val="32"/>
          <w:highlight w:val="none"/>
        </w:rPr>
      </w:pPr>
      <w:bookmarkStart w:id="141" w:name="_Toc13836"/>
    </w:p>
    <w:p w14:paraId="6D1C49FB">
      <w:pPr>
        <w:spacing w:before="156" w:beforeLines="50" w:after="156" w:afterLines="50" w:line="360" w:lineRule="auto"/>
        <w:jc w:val="center"/>
        <w:rPr>
          <w:rFonts w:hint="eastAsia" w:hAnsi="宋体" w:cs="宋体"/>
          <w:color w:val="auto"/>
          <w:szCs w:val="24"/>
          <w:highlight w:val="none"/>
        </w:rPr>
      </w:pPr>
      <w:bookmarkStart w:id="142" w:name="_Toc12704"/>
      <w:bookmarkStart w:id="143" w:name="_Toc13530"/>
      <w:bookmarkStart w:id="144" w:name="_Toc20139"/>
      <w:r>
        <w:rPr>
          <w:rFonts w:hint="eastAsia" w:hAnsi="宋体" w:cs="宋体"/>
          <w:b/>
          <w:color w:val="auto"/>
          <w:sz w:val="28"/>
          <w:szCs w:val="28"/>
          <w:highlight w:val="none"/>
        </w:rPr>
        <w:t>中小企业声明函</w:t>
      </w:r>
    </w:p>
    <w:p w14:paraId="53DABBF0">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57E3497A">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56EC24A">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0C044E61">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rPr>
        <w:t>……</w:t>
      </w:r>
    </w:p>
    <w:p w14:paraId="11A5E73E">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435918B6">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66812FE1">
      <w:pPr>
        <w:tabs>
          <w:tab w:val="left" w:pos="1620"/>
          <w:tab w:val="left" w:pos="1800"/>
        </w:tabs>
        <w:spacing w:line="500" w:lineRule="exact"/>
        <w:rPr>
          <w:rFonts w:hint="eastAsia" w:hAnsi="宋体" w:cs="宋体"/>
          <w:color w:val="auto"/>
          <w:szCs w:val="24"/>
          <w:highlight w:val="none"/>
        </w:rPr>
      </w:pPr>
    </w:p>
    <w:p w14:paraId="5B3B5327">
      <w:pPr>
        <w:tabs>
          <w:tab w:val="left" w:pos="1620"/>
          <w:tab w:val="left" w:pos="1800"/>
        </w:tabs>
        <w:spacing w:line="500" w:lineRule="exact"/>
        <w:rPr>
          <w:rFonts w:hint="eastAsia" w:hAnsi="宋体" w:cs="宋体"/>
          <w:color w:val="auto"/>
          <w:szCs w:val="24"/>
          <w:highlight w:val="none"/>
        </w:rPr>
      </w:pPr>
    </w:p>
    <w:p w14:paraId="49131071">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企业名称（盖章）：</w:t>
      </w:r>
    </w:p>
    <w:p w14:paraId="5DFE2C38">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日期：</w:t>
      </w:r>
    </w:p>
    <w:p w14:paraId="6A06FB0E">
      <w:pPr>
        <w:tabs>
          <w:tab w:val="left" w:pos="1620"/>
          <w:tab w:val="left" w:pos="1800"/>
        </w:tabs>
        <w:spacing w:line="500" w:lineRule="exact"/>
        <w:rPr>
          <w:rFonts w:hint="eastAsia" w:hAnsi="宋体" w:cs="宋体"/>
          <w:color w:val="auto"/>
          <w:sz w:val="21"/>
          <w:szCs w:val="21"/>
          <w:highlight w:val="none"/>
        </w:rPr>
      </w:pPr>
      <w:r>
        <w:rPr>
          <w:rFonts w:hint="eastAsia" w:hAnsi="宋体" w:cs="宋体"/>
          <w:color w:val="auto"/>
          <w:sz w:val="21"/>
          <w:szCs w:val="21"/>
          <w:highlight w:val="none"/>
        </w:rPr>
        <w:t>备注：</w:t>
      </w:r>
    </w:p>
    <w:p w14:paraId="3B237E89">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lang w:val="en-US" w:eastAsia="zh-CN"/>
        </w:rPr>
        <w:t>1.</w:t>
      </w:r>
      <w:r>
        <w:rPr>
          <w:rFonts w:hint="eastAsia" w:hAnsi="宋体" w:cs="宋体"/>
          <w:color w:val="auto"/>
          <w:szCs w:val="24"/>
          <w:highlight w:val="none"/>
          <w:lang w:eastAsia="zh-CN"/>
        </w:rPr>
        <w:t>资产总额：</w:t>
      </w:r>
      <w:r>
        <w:rPr>
          <w:rFonts w:hint="eastAsia" w:hAnsi="宋体" w:cs="宋体"/>
          <w:color w:val="auto"/>
          <w:szCs w:val="24"/>
          <w:highlight w:val="none"/>
        </w:rPr>
        <w:t>从业人员、营业收入、资产总额填报上一年度数据，无上一年度数据的新成立企业可不填报。</w:t>
      </w:r>
    </w:p>
    <w:p w14:paraId="1151158E">
      <w:pPr>
        <w:rPr>
          <w:rFonts w:hint="eastAsia" w:ascii="宋体" w:hAnsi="宋体"/>
          <w:b/>
          <w:color w:val="auto"/>
          <w:sz w:val="24"/>
          <w:highlight w:val="none"/>
        </w:rPr>
      </w:pPr>
      <w:r>
        <w:rPr>
          <w:rFonts w:hint="eastAsia" w:ascii="宋体" w:hAnsi="宋体"/>
          <w:b/>
          <w:color w:val="auto"/>
          <w:sz w:val="24"/>
          <w:highlight w:val="none"/>
        </w:rPr>
        <w:br w:type="page"/>
      </w:r>
    </w:p>
    <w:p w14:paraId="68B52098">
      <w:pPr>
        <w:bidi w:val="0"/>
        <w:rPr>
          <w:rFonts w:ascii="宋体" w:hAnsi="宋体"/>
          <w:b/>
          <w:color w:val="auto"/>
          <w:sz w:val="24"/>
          <w:highlight w:val="none"/>
        </w:rPr>
      </w:pPr>
      <w:r>
        <w:rPr>
          <w:rFonts w:hint="eastAsia" w:ascii="宋体" w:hAnsi="宋体"/>
          <w:b/>
          <w:color w:val="auto"/>
          <w:sz w:val="24"/>
          <w:highlight w:val="none"/>
        </w:rPr>
        <w:t>附：《</w:t>
      </w:r>
      <w:r>
        <w:rPr>
          <w:rFonts w:ascii="宋体" w:hAnsi="宋体"/>
          <w:b/>
          <w:color w:val="auto"/>
          <w:sz w:val="24"/>
          <w:highlight w:val="none"/>
        </w:rPr>
        <w:t>中小企业划型标准规定</w:t>
      </w:r>
      <w:r>
        <w:rPr>
          <w:rFonts w:hint="eastAsia" w:ascii="宋体" w:hAnsi="宋体"/>
          <w:b/>
          <w:color w:val="auto"/>
          <w:sz w:val="24"/>
          <w:highlight w:val="none"/>
        </w:rPr>
        <w:t>》</w:t>
      </w:r>
      <w:r>
        <w:rPr>
          <w:rFonts w:ascii="宋体" w:hAnsi="宋体"/>
          <w:b/>
          <w:color w:val="auto"/>
          <w:sz w:val="24"/>
          <w:highlight w:val="none"/>
        </w:rPr>
        <w:t>各行业划型标准</w:t>
      </w:r>
    </w:p>
    <w:p w14:paraId="659026B1">
      <w:pPr>
        <w:spacing w:line="360" w:lineRule="auto"/>
        <w:ind w:firstLine="420"/>
        <w:jc w:val="left"/>
        <w:rPr>
          <w:rFonts w:ascii="宋体" w:hAnsi="宋体"/>
          <w:color w:val="auto"/>
          <w:sz w:val="24"/>
          <w:highlight w:val="none"/>
        </w:rPr>
      </w:pPr>
      <w:r>
        <w:rPr>
          <w:rFonts w:ascii="宋体" w:hAnsi="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7EF0338A">
      <w:pPr>
        <w:spacing w:line="360" w:lineRule="auto"/>
        <w:ind w:firstLine="420"/>
        <w:jc w:val="left"/>
        <w:rPr>
          <w:rFonts w:ascii="宋体" w:hAnsi="宋体"/>
          <w:color w:val="auto"/>
          <w:sz w:val="24"/>
          <w:highlight w:val="none"/>
        </w:rPr>
      </w:pPr>
      <w:r>
        <w:rPr>
          <w:rFonts w:ascii="宋体" w:hAnsi="宋体"/>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B8621A4">
      <w:pPr>
        <w:spacing w:line="360" w:lineRule="auto"/>
        <w:ind w:firstLine="420"/>
        <w:jc w:val="left"/>
        <w:rPr>
          <w:rFonts w:ascii="宋体" w:hAnsi="宋体"/>
          <w:color w:val="auto"/>
          <w:sz w:val="24"/>
          <w:highlight w:val="none"/>
        </w:rPr>
      </w:pPr>
      <w:r>
        <w:rPr>
          <w:rFonts w:ascii="宋体" w:hAnsi="宋体"/>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A6DB128">
      <w:pPr>
        <w:spacing w:line="360" w:lineRule="auto"/>
        <w:ind w:firstLine="420"/>
        <w:jc w:val="left"/>
        <w:rPr>
          <w:rFonts w:ascii="宋体" w:hAnsi="宋体"/>
          <w:color w:val="auto"/>
          <w:sz w:val="24"/>
          <w:highlight w:val="none"/>
        </w:rPr>
      </w:pPr>
      <w:r>
        <w:rPr>
          <w:rFonts w:ascii="宋体" w:hAnsi="宋体"/>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BBB2B1">
      <w:pPr>
        <w:spacing w:line="360" w:lineRule="auto"/>
        <w:ind w:firstLine="420"/>
        <w:jc w:val="left"/>
        <w:rPr>
          <w:rFonts w:ascii="宋体" w:hAnsi="宋体"/>
          <w:color w:val="auto"/>
          <w:sz w:val="24"/>
          <w:highlight w:val="none"/>
        </w:rPr>
      </w:pPr>
      <w:r>
        <w:rPr>
          <w:rFonts w:ascii="宋体" w:hAnsi="宋体"/>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43D6091">
      <w:pPr>
        <w:spacing w:line="360" w:lineRule="auto"/>
        <w:ind w:firstLine="420"/>
        <w:jc w:val="left"/>
        <w:rPr>
          <w:rFonts w:ascii="宋体" w:hAnsi="宋体"/>
          <w:color w:val="auto"/>
          <w:sz w:val="24"/>
          <w:highlight w:val="none"/>
        </w:rPr>
      </w:pPr>
      <w:r>
        <w:rPr>
          <w:rFonts w:ascii="宋体" w:hAnsi="宋体"/>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5EFF2E">
      <w:pPr>
        <w:spacing w:line="360" w:lineRule="auto"/>
        <w:ind w:firstLine="420"/>
        <w:jc w:val="left"/>
        <w:rPr>
          <w:rFonts w:ascii="宋体" w:hAnsi="宋体"/>
          <w:color w:val="auto"/>
          <w:sz w:val="24"/>
          <w:highlight w:val="none"/>
        </w:rPr>
      </w:pPr>
      <w:r>
        <w:rPr>
          <w:rFonts w:ascii="宋体" w:hAnsi="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D634E3">
      <w:pPr>
        <w:spacing w:line="360" w:lineRule="auto"/>
        <w:ind w:firstLine="420"/>
        <w:jc w:val="left"/>
        <w:rPr>
          <w:rFonts w:ascii="宋体" w:hAnsi="宋体"/>
          <w:color w:val="auto"/>
          <w:sz w:val="24"/>
          <w:highlight w:val="none"/>
        </w:rPr>
      </w:pPr>
      <w:r>
        <w:rPr>
          <w:rFonts w:ascii="宋体" w:hAnsi="宋体"/>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5B2399">
      <w:pPr>
        <w:spacing w:line="360" w:lineRule="auto"/>
        <w:ind w:firstLine="420"/>
        <w:jc w:val="left"/>
        <w:rPr>
          <w:rFonts w:ascii="宋体" w:hAnsi="宋体"/>
          <w:color w:val="auto"/>
          <w:sz w:val="24"/>
          <w:highlight w:val="none"/>
        </w:rPr>
      </w:pPr>
      <w:r>
        <w:rPr>
          <w:rFonts w:ascii="宋体" w:hAnsi="宋体"/>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B335BE">
      <w:pPr>
        <w:spacing w:line="360" w:lineRule="auto"/>
        <w:ind w:firstLine="420"/>
        <w:jc w:val="left"/>
        <w:rPr>
          <w:rFonts w:ascii="宋体" w:hAnsi="宋体"/>
          <w:color w:val="auto"/>
          <w:sz w:val="24"/>
          <w:highlight w:val="none"/>
        </w:rPr>
      </w:pPr>
      <w:r>
        <w:rPr>
          <w:rFonts w:ascii="宋体" w:hAnsi="宋体"/>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61ED47">
      <w:pPr>
        <w:spacing w:line="360" w:lineRule="auto"/>
        <w:ind w:firstLine="420"/>
        <w:jc w:val="left"/>
        <w:rPr>
          <w:rFonts w:ascii="宋体" w:hAnsi="宋体"/>
          <w:color w:val="auto"/>
          <w:sz w:val="24"/>
          <w:highlight w:val="none"/>
        </w:rPr>
      </w:pPr>
      <w:r>
        <w:rPr>
          <w:rFonts w:ascii="宋体" w:hAnsi="宋体"/>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1E85529">
      <w:pPr>
        <w:spacing w:line="360" w:lineRule="auto"/>
        <w:ind w:firstLine="420"/>
        <w:jc w:val="left"/>
        <w:rPr>
          <w:rFonts w:ascii="宋体" w:hAnsi="宋体"/>
          <w:color w:val="auto"/>
          <w:sz w:val="24"/>
          <w:highlight w:val="none"/>
        </w:rPr>
      </w:pPr>
      <w:r>
        <w:rPr>
          <w:rFonts w:ascii="宋体" w:hAnsi="宋体"/>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7AFF5A">
      <w:pPr>
        <w:spacing w:line="360" w:lineRule="auto"/>
        <w:ind w:firstLine="420"/>
        <w:jc w:val="left"/>
        <w:rPr>
          <w:rFonts w:ascii="宋体" w:hAnsi="宋体"/>
          <w:color w:val="auto"/>
          <w:sz w:val="24"/>
          <w:highlight w:val="none"/>
        </w:rPr>
      </w:pPr>
      <w:r>
        <w:rPr>
          <w:rFonts w:ascii="宋体" w:hAnsi="宋体"/>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7B8BB7E">
      <w:pPr>
        <w:spacing w:line="360" w:lineRule="auto"/>
        <w:ind w:firstLine="420"/>
        <w:jc w:val="left"/>
        <w:rPr>
          <w:rFonts w:ascii="宋体" w:hAnsi="宋体"/>
          <w:color w:val="auto"/>
          <w:sz w:val="24"/>
          <w:highlight w:val="none"/>
        </w:rPr>
      </w:pPr>
      <w:r>
        <w:rPr>
          <w:rFonts w:ascii="宋体" w:hAnsi="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D4D859C">
      <w:pPr>
        <w:spacing w:line="360" w:lineRule="auto"/>
        <w:ind w:firstLine="420"/>
        <w:jc w:val="left"/>
        <w:rPr>
          <w:rFonts w:hint="eastAsia" w:ascii="宋体" w:hAnsi="宋体"/>
          <w:b w:val="0"/>
          <w:bCs w:val="0"/>
          <w:color w:val="auto"/>
          <w:sz w:val="24"/>
          <w:highlight w:val="none"/>
        </w:rPr>
      </w:pPr>
      <w:r>
        <w:rPr>
          <w:rFonts w:ascii="宋体" w:hAnsi="宋体"/>
          <w:b w:val="0"/>
          <w:bCs w:val="0"/>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34C8A2B">
      <w:pPr>
        <w:spacing w:line="360" w:lineRule="auto"/>
        <w:jc w:val="left"/>
        <w:rPr>
          <w:rFonts w:ascii="宋体" w:hAnsi="宋体"/>
          <w:color w:val="auto"/>
          <w:sz w:val="24"/>
          <w:highlight w:val="none"/>
        </w:rPr>
      </w:pPr>
      <w:r>
        <w:rPr>
          <w:rFonts w:ascii="宋体" w:hAnsi="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422E8238">
      <w:pPr>
        <w:spacing w:before="100" w:beforeAutospacing="1" w:after="156" w:afterLines="50" w:line="360" w:lineRule="auto"/>
        <w:rPr>
          <w:rFonts w:hint="eastAsia" w:hAnsi="宋体" w:cs="宋体"/>
          <w:b/>
          <w:bCs/>
          <w:color w:val="auto"/>
          <w:spacing w:val="6"/>
          <w:sz w:val="30"/>
          <w:szCs w:val="30"/>
          <w:highlight w:val="none"/>
        </w:rPr>
      </w:pPr>
    </w:p>
    <w:p w14:paraId="3A79F729">
      <w:pPr>
        <w:rPr>
          <w:rFonts w:hint="eastAsia" w:ascii="宋体" w:hAnsi="宋体" w:eastAsia="宋体" w:cs="宋体"/>
          <w:b/>
          <w:color w:val="auto"/>
          <w:sz w:val="28"/>
          <w:szCs w:val="28"/>
          <w:highlight w:val="none"/>
        </w:rPr>
      </w:pPr>
      <w:bookmarkStart w:id="145" w:name="_Toc11371"/>
      <w:r>
        <w:rPr>
          <w:rFonts w:hint="eastAsia" w:ascii="宋体" w:hAnsi="宋体" w:eastAsia="宋体" w:cs="宋体"/>
          <w:b/>
          <w:color w:val="auto"/>
          <w:sz w:val="28"/>
          <w:szCs w:val="28"/>
          <w:highlight w:val="none"/>
        </w:rPr>
        <w:br w:type="page"/>
      </w:r>
    </w:p>
    <w:p w14:paraId="10C22992">
      <w:pPr>
        <w:spacing w:before="100" w:beforeAutospacing="1" w:afterLines="50" w:line="360" w:lineRule="auto"/>
        <w:outlineLvl w:val="9"/>
        <w:rPr>
          <w:rFonts w:hint="eastAsia" w:ascii="宋体" w:hAnsi="宋体" w:eastAsia="宋体" w:cs="宋体"/>
          <w:b/>
          <w:bCs/>
          <w:color w:val="auto"/>
          <w:spacing w:val="6"/>
          <w:sz w:val="30"/>
          <w:szCs w:val="30"/>
          <w:highlight w:val="none"/>
          <w:lang w:eastAsia="zh-CN"/>
        </w:rPr>
      </w:pP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件</w:t>
      </w:r>
      <w:r>
        <w:rPr>
          <w:rFonts w:hint="eastAsia" w:ascii="宋体" w:hAnsi="宋体" w:eastAsia="宋体" w:cs="宋体"/>
          <w:b/>
          <w:color w:val="auto"/>
          <w:sz w:val="28"/>
          <w:szCs w:val="28"/>
          <w:highlight w:val="none"/>
        </w:rPr>
        <w:t>3</w:t>
      </w:r>
      <w:bookmarkEnd w:id="141"/>
      <w:bookmarkEnd w:id="142"/>
      <w:bookmarkEnd w:id="143"/>
      <w:bookmarkEnd w:id="144"/>
      <w:bookmarkStart w:id="146" w:name="_Toc22425"/>
      <w:bookmarkStart w:id="147" w:name="_Toc9308"/>
      <w:bookmarkStart w:id="148" w:name="_Toc11235"/>
      <w:r>
        <w:rPr>
          <w:rFonts w:hint="eastAsia" w:ascii="宋体" w:hAnsi="宋体" w:eastAsia="宋体" w:cs="宋体"/>
          <w:b/>
          <w:bCs/>
          <w:color w:val="auto"/>
          <w:spacing w:val="6"/>
          <w:sz w:val="30"/>
          <w:szCs w:val="30"/>
          <w:highlight w:val="none"/>
        </w:rPr>
        <w:t>：残疾人福利性单位声明函</w:t>
      </w:r>
      <w:r>
        <w:rPr>
          <w:rFonts w:hint="eastAsia" w:ascii="宋体" w:hAnsi="宋体" w:eastAsia="宋体" w:cs="宋体"/>
          <w:b/>
          <w:bCs/>
          <w:color w:val="auto"/>
          <w:spacing w:val="6"/>
          <w:sz w:val="30"/>
          <w:szCs w:val="30"/>
          <w:highlight w:val="none"/>
          <w:lang w:eastAsia="zh-CN"/>
        </w:rPr>
        <w:t>（</w:t>
      </w:r>
      <w:r>
        <w:rPr>
          <w:rFonts w:hint="eastAsia" w:ascii="宋体" w:hAnsi="宋体" w:eastAsia="宋体" w:cs="宋体"/>
          <w:b/>
          <w:bCs/>
          <w:color w:val="auto"/>
          <w:spacing w:val="6"/>
          <w:sz w:val="30"/>
          <w:szCs w:val="30"/>
          <w:highlight w:val="none"/>
          <w:lang w:val="en-US" w:eastAsia="zh-CN"/>
        </w:rPr>
        <w:t>如有</w:t>
      </w:r>
      <w:r>
        <w:rPr>
          <w:rFonts w:hint="eastAsia" w:ascii="宋体" w:hAnsi="宋体" w:eastAsia="宋体" w:cs="宋体"/>
          <w:b/>
          <w:bCs/>
          <w:color w:val="auto"/>
          <w:spacing w:val="6"/>
          <w:sz w:val="30"/>
          <w:szCs w:val="30"/>
          <w:highlight w:val="none"/>
          <w:lang w:eastAsia="zh-CN"/>
        </w:rPr>
        <w:t>）</w:t>
      </w:r>
      <w:bookmarkEnd w:id="145"/>
      <w:bookmarkEnd w:id="146"/>
      <w:bookmarkEnd w:id="147"/>
      <w:bookmarkEnd w:id="148"/>
    </w:p>
    <w:p w14:paraId="21D8C5A0">
      <w:pPr>
        <w:spacing w:line="588" w:lineRule="exact"/>
        <w:jc w:val="center"/>
        <w:outlineLvl w:val="9"/>
        <w:rPr>
          <w:rFonts w:hint="eastAsia" w:ascii="宋体" w:hAnsi="宋体" w:eastAsia="宋体" w:cs="宋体"/>
          <w:b/>
          <w:color w:val="auto"/>
          <w:spacing w:val="6"/>
          <w:sz w:val="32"/>
          <w:szCs w:val="32"/>
          <w:highlight w:val="none"/>
        </w:rPr>
      </w:pPr>
      <w:bookmarkStart w:id="149" w:name="OLE_LINK13"/>
      <w:bookmarkStart w:id="150" w:name="OLE_LINK14"/>
      <w:r>
        <w:rPr>
          <w:rFonts w:hint="eastAsia" w:ascii="宋体" w:hAnsi="宋体" w:eastAsia="宋体" w:cs="宋体"/>
          <w:b/>
          <w:color w:val="auto"/>
          <w:spacing w:val="6"/>
          <w:sz w:val="32"/>
          <w:szCs w:val="32"/>
          <w:highlight w:val="none"/>
        </w:rPr>
        <w:t>残疾人福利性单位声明函</w:t>
      </w:r>
    </w:p>
    <w:bookmarkEnd w:id="149"/>
    <w:bookmarkEnd w:id="150"/>
    <w:p w14:paraId="0ADAED89">
      <w:pPr>
        <w:spacing w:line="588" w:lineRule="exact"/>
        <w:rPr>
          <w:rFonts w:hint="eastAsia" w:ascii="宋体" w:hAnsi="宋体" w:eastAsia="宋体" w:cs="宋体"/>
          <w:b/>
          <w:color w:val="auto"/>
          <w:spacing w:val="6"/>
          <w:sz w:val="30"/>
          <w:szCs w:val="30"/>
          <w:highlight w:val="none"/>
        </w:rPr>
      </w:pPr>
    </w:p>
    <w:p w14:paraId="767F878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72CF94">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17292A06">
      <w:pPr>
        <w:spacing w:line="588" w:lineRule="exact"/>
        <w:ind w:firstLine="504" w:firstLineChars="200"/>
        <w:rPr>
          <w:rFonts w:hint="eastAsia" w:ascii="宋体" w:hAnsi="宋体" w:eastAsia="宋体" w:cs="宋体"/>
          <w:color w:val="auto"/>
          <w:spacing w:val="6"/>
          <w:szCs w:val="24"/>
          <w:highlight w:val="none"/>
        </w:rPr>
      </w:pPr>
    </w:p>
    <w:p w14:paraId="36A12725">
      <w:pPr>
        <w:spacing w:line="588" w:lineRule="exact"/>
        <w:ind w:firstLine="504" w:firstLineChars="200"/>
        <w:rPr>
          <w:rFonts w:hint="eastAsia" w:ascii="宋体" w:hAnsi="宋体" w:eastAsia="宋体" w:cs="宋体"/>
          <w:color w:val="auto"/>
          <w:spacing w:val="6"/>
          <w:szCs w:val="24"/>
          <w:highlight w:val="none"/>
        </w:rPr>
      </w:pPr>
    </w:p>
    <w:p w14:paraId="0B9BB403">
      <w:pPr>
        <w:spacing w:line="588" w:lineRule="exact"/>
        <w:ind w:firstLine="504" w:firstLineChars="200"/>
        <w:rPr>
          <w:rFonts w:hint="eastAsia" w:ascii="宋体" w:hAnsi="宋体" w:eastAsia="宋体" w:cs="宋体"/>
          <w:color w:val="auto"/>
          <w:spacing w:val="6"/>
          <w:szCs w:val="24"/>
          <w:highlight w:val="none"/>
        </w:rPr>
      </w:pPr>
    </w:p>
    <w:p w14:paraId="7DBEA08F">
      <w:pPr>
        <w:spacing w:line="588" w:lineRule="exact"/>
        <w:ind w:firstLine="504" w:firstLineChars="200"/>
        <w:rPr>
          <w:rFonts w:hint="eastAsia" w:ascii="宋体" w:hAnsi="宋体" w:eastAsia="宋体" w:cs="宋体"/>
          <w:color w:val="auto"/>
          <w:spacing w:val="6"/>
          <w:szCs w:val="24"/>
          <w:highlight w:val="none"/>
        </w:rPr>
      </w:pPr>
    </w:p>
    <w:p w14:paraId="44C6F77D">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462292F4">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7C604255">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460CAC6C">
      <w:pPr>
        <w:spacing w:line="360" w:lineRule="auto"/>
        <w:outlineLvl w:val="9"/>
        <w:rPr>
          <w:rFonts w:hint="eastAsia" w:ascii="宋体" w:hAnsi="宋体" w:eastAsia="宋体" w:cs="宋体"/>
          <w:b/>
          <w:sz w:val="28"/>
          <w:szCs w:val="28"/>
          <w:highlight w:val="none"/>
        </w:rPr>
      </w:pPr>
      <w:bookmarkStart w:id="151" w:name="_Toc2139"/>
      <w:bookmarkStart w:id="152" w:name="_Toc2119"/>
      <w:r>
        <w:rPr>
          <w:rFonts w:hint="eastAsia" w:ascii="宋体" w:hAnsi="宋体" w:eastAsia="宋体" w:cs="宋体"/>
          <w:b/>
          <w:sz w:val="28"/>
          <w:szCs w:val="28"/>
          <w:highlight w:val="none"/>
        </w:rPr>
        <w:t>附件</w:t>
      </w:r>
      <w:r>
        <w:rPr>
          <w:rFonts w:hint="eastAsia" w:hAnsi="宋体" w:cs="宋体"/>
          <w:b/>
          <w:sz w:val="28"/>
          <w:szCs w:val="28"/>
          <w:highlight w:val="none"/>
          <w:lang w:val="en-US" w:eastAsia="zh-CN"/>
        </w:rPr>
        <w:t>4</w:t>
      </w:r>
      <w:r>
        <w:rPr>
          <w:rFonts w:hint="eastAsia" w:ascii="宋体" w:hAnsi="宋体" w:eastAsia="宋体" w:cs="宋体"/>
          <w:b/>
          <w:sz w:val="28"/>
          <w:szCs w:val="28"/>
          <w:highlight w:val="none"/>
        </w:rPr>
        <w:t>：质疑函范本</w:t>
      </w:r>
      <w:bookmarkEnd w:id="151"/>
      <w:bookmarkEnd w:id="152"/>
    </w:p>
    <w:p w14:paraId="2F82DBD4">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14:paraId="31E17564">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14:paraId="1256E4FA">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3FD1D8ED">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0E456A7">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68110839">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5CC54FF6">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66A6F0F0">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433D896D">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14:paraId="573BC644">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14EAF143">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64B9F45A">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31EEECB4">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2BB33A07">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14:paraId="738025FD">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6BC33C80">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0B0C7BE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31648BB0">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70504275">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0CB06CE1">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1354C068">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A27707A">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14:paraId="268DF8F4">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28CD77D3">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06AFDADB">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0DF3C8C2">
      <w:pPr>
        <w:jc w:val="center"/>
        <w:rPr>
          <w:rFonts w:hint="eastAsia" w:ascii="宋体" w:hAnsi="宋体" w:eastAsia="宋体" w:cs="宋体"/>
          <w:b/>
          <w:sz w:val="44"/>
          <w:szCs w:val="44"/>
          <w:highlight w:val="none"/>
        </w:rPr>
      </w:pPr>
    </w:p>
    <w:p w14:paraId="1E0696BF">
      <w:pPr>
        <w:jc w:val="center"/>
        <w:rPr>
          <w:rFonts w:hint="eastAsia" w:ascii="宋体" w:hAnsi="宋体" w:eastAsia="宋体" w:cs="宋体"/>
          <w:b/>
          <w:sz w:val="44"/>
          <w:szCs w:val="44"/>
          <w:highlight w:val="none"/>
        </w:rPr>
      </w:pPr>
    </w:p>
    <w:p w14:paraId="7E60C580">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3C2E6DA1">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14:paraId="716FF038">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14:paraId="56923E8C">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3D739E7E">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2ADB8ACB">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89B549F">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07C4ED2F">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14:paraId="1DD140B4">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27BA57D3">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02B486AE">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0D7EF118">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14:paraId="6D2D7985">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14:paraId="2A49BC5C">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520E6F1D">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2A1AAB45">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33BC601C">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14:paraId="1D8B0919">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14:paraId="1C28C07F">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0F6620F3">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481E7C49">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14:paraId="63E24374">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14:paraId="58C43729">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14:paraId="61E52532">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14:paraId="77C4E3A2">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14:paraId="749B0CDC">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789B6CBB">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14:paraId="24D2B895">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14:paraId="5448D572">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14:paraId="142B2036">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26E09553">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13C8A5EA">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4B7B0F72">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6F2703ED">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14:paraId="5BB034CB">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14:paraId="5352CE58">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14:paraId="0FF4E9D0">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44A705CA">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14:paraId="74AD996D">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548D7E14">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14:paraId="66414373">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1F42D042">
      <w:pPr>
        <w:pStyle w:val="7"/>
        <w:rPr>
          <w:rFonts w:hint="eastAsia"/>
          <w:highlight w:val="none"/>
        </w:rPr>
      </w:pPr>
    </w:p>
    <w:sectPr>
      <w:type w:val="continuous"/>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26A1">
    <w:pPr>
      <w:pStyle w:val="14"/>
      <w:rPr>
        <w:rFonts w:hint="eastAsia" w:eastAsia="宋体"/>
        <w:lang w:eastAsia="zh-CN"/>
      </w:rPr>
    </w:pPr>
    <w:r>
      <w:rPr>
        <w:rFonts w:hint="eastAsia"/>
        <w:lang w:eastAsia="zh-CN"/>
      </w:rPr>
      <w:t>陕西银正项目管理有限公司</w:t>
    </w:r>
    <w:r>
      <w:rPr>
        <w:rFonts w:hint="eastAsia"/>
      </w:rPr>
      <w:t xml:space="preserve">                         </w:t>
    </w:r>
    <w:r>
      <w:rPr>
        <w:rFonts w:hint="eastAsia"/>
      </w:rPr>
      <w:tab/>
    </w:r>
    <w:r>
      <w:rPr>
        <w:rFonts w:hint="eastAsia"/>
      </w:rPr>
      <w:t>地址：</w:t>
    </w:r>
    <w:r>
      <w:rPr>
        <w:rFonts w:hint="eastAsia"/>
        <w:lang w:eastAsia="zh-CN"/>
      </w:rPr>
      <w:t>陕西省西安市雁塔区高新路25号瑞欣大厦6楼B户</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B17F">
    <w:pPr>
      <w:pStyle w:val="14"/>
      <w:rPr>
        <w:rFonts w:ascii="Times New Roman" w:hAnsi="Times New Roman"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0A452">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1F0A452">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4988">
    <w:pPr>
      <w:rPr>
        <w:rFonts w:hint="eastAsia"/>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B18C0">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66B18C0">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7574">
    <w:pPr>
      <w:spacing w:line="183" w:lineRule="auto"/>
      <w:ind w:left="4270"/>
      <w:rPr>
        <w:rFonts w:ascii="宋体" w:hAnsi="宋体" w:eastAsia="宋体" w:cs="宋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65BE6">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1E65BE6">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666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D378">
    <w:pPr>
      <w:pStyle w:val="14"/>
      <w:rPr>
        <w:rFonts w:hint="eastAsia" w:eastAsia="宋体"/>
        <w:lang w:eastAsia="zh-CN"/>
      </w:rPr>
    </w:pPr>
    <w:r>
      <w:rPr>
        <w:rFonts w:hint="eastAsia"/>
        <w:lang w:eastAsia="zh-CN"/>
      </w:rPr>
      <w:t>陕西银正项目管理有限公司</w:t>
    </w:r>
    <w:r>
      <w:rPr>
        <w:rFonts w:hint="eastAsia"/>
      </w:rPr>
      <w:t xml:space="preserve">                         </w:t>
    </w:r>
    <w:r>
      <w:rPr>
        <w:rFonts w:hint="eastAsia"/>
      </w:rPr>
      <w:tab/>
    </w:r>
    <w:r>
      <w:rPr>
        <w:rFonts w:hint="eastAsia"/>
      </w:rPr>
      <w:t>地址：</w:t>
    </w:r>
    <w:r>
      <w:rPr>
        <w:rFonts w:hint="eastAsia"/>
        <w:lang w:eastAsia="zh-CN"/>
      </w:rPr>
      <w:t>陕西省西安市雁塔区高新路25号瑞欣大厦6楼B户</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D22">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65E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C263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9C263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5344">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97B08">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697B08">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C8369">
    <w:pPr>
      <w:tabs>
        <w:tab w:val="left" w:pos="5646"/>
      </w:tabs>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CCCCD">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CCCCD">
                    <w:pPr>
                      <w:pStyle w:val="14"/>
                    </w:pPr>
                    <w:r>
                      <w:fldChar w:fldCharType="begin"/>
                    </w:r>
                    <w:r>
                      <w:instrText xml:space="preserve"> PAGE  \* MERGEFORMAT </w:instrText>
                    </w:r>
                    <w:r>
                      <w:fldChar w:fldCharType="separate"/>
                    </w:r>
                    <w:r>
                      <w:t>33</w:t>
                    </w:r>
                    <w:r>
                      <w:fldChar w:fldCharType="end"/>
                    </w:r>
                  </w:p>
                </w:txbxContent>
              </v:textbox>
            </v:shape>
          </w:pict>
        </mc:Fallback>
      </mc:AlternateContent>
    </w:r>
  </w:p>
  <w:p w14:paraId="677AA899">
    <w:pPr>
      <w:pStyle w:val="1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821B">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DFEF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BADFEF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1336">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BC708">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98BC708">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46C11">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364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03CF">
    <w:pPr>
      <w:pStyle w:val="1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F899">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1A5A0"/>
    <w:multiLevelType w:val="singleLevel"/>
    <w:tmpl w:val="8111A5A0"/>
    <w:lvl w:ilvl="0" w:tentative="0">
      <w:start w:val="1"/>
      <w:numFmt w:val="chineseCounting"/>
      <w:suff w:val="nothing"/>
      <w:lvlText w:val="%1、"/>
      <w:lvlJc w:val="left"/>
      <w:rPr>
        <w:rFonts w:hint="eastAsia"/>
      </w:rPr>
    </w:lvl>
  </w:abstractNum>
  <w:abstractNum w:abstractNumId="1">
    <w:nsid w:val="82F14AEE"/>
    <w:multiLevelType w:val="singleLevel"/>
    <w:tmpl w:val="82F14AEE"/>
    <w:lvl w:ilvl="0" w:tentative="0">
      <w:start w:val="1"/>
      <w:numFmt w:val="chineseCounting"/>
      <w:suff w:val="nothing"/>
      <w:lvlText w:val="%1、"/>
      <w:lvlJc w:val="left"/>
      <w:rPr>
        <w:rFonts w:hint="eastAsia"/>
      </w:rPr>
    </w:lvl>
  </w:abstractNum>
  <w:abstractNum w:abstractNumId="2">
    <w:nsid w:val="A5A9FD73"/>
    <w:multiLevelType w:val="singleLevel"/>
    <w:tmpl w:val="A5A9FD73"/>
    <w:lvl w:ilvl="0" w:tentative="0">
      <w:start w:val="1"/>
      <w:numFmt w:val="chineseCounting"/>
      <w:suff w:val="nothing"/>
      <w:lvlText w:val="%1、"/>
      <w:lvlJc w:val="left"/>
      <w:rPr>
        <w:rFonts w:hint="eastAsia"/>
      </w:rPr>
    </w:lvl>
  </w:abstractNum>
  <w:abstractNum w:abstractNumId="3">
    <w:nsid w:val="B6D7D6CE"/>
    <w:multiLevelType w:val="singleLevel"/>
    <w:tmpl w:val="B6D7D6CE"/>
    <w:lvl w:ilvl="0" w:tentative="0">
      <w:start w:val="1"/>
      <w:numFmt w:val="decimal"/>
      <w:suff w:val="nothing"/>
      <w:lvlText w:val="%1、"/>
      <w:lvlJc w:val="left"/>
    </w:lvl>
  </w:abstractNum>
  <w:abstractNum w:abstractNumId="4">
    <w:nsid w:val="B9443DA1"/>
    <w:multiLevelType w:val="singleLevel"/>
    <w:tmpl w:val="B9443DA1"/>
    <w:lvl w:ilvl="0" w:tentative="0">
      <w:start w:val="1"/>
      <w:numFmt w:val="decimal"/>
      <w:suff w:val="nothing"/>
      <w:lvlText w:val="%1、"/>
      <w:lvlJc w:val="left"/>
    </w:lvl>
  </w:abstractNum>
  <w:abstractNum w:abstractNumId="5">
    <w:nsid w:val="BBFEDF9E"/>
    <w:multiLevelType w:val="singleLevel"/>
    <w:tmpl w:val="BBFEDF9E"/>
    <w:lvl w:ilvl="0" w:tentative="0">
      <w:start w:val="1"/>
      <w:numFmt w:val="decimal"/>
      <w:suff w:val="nothing"/>
      <w:lvlText w:val="%1、"/>
      <w:lvlJc w:val="left"/>
    </w:lvl>
  </w:abstractNum>
  <w:abstractNum w:abstractNumId="6">
    <w:nsid w:val="D3681B2C"/>
    <w:multiLevelType w:val="singleLevel"/>
    <w:tmpl w:val="D3681B2C"/>
    <w:lvl w:ilvl="0" w:tentative="0">
      <w:start w:val="1"/>
      <w:numFmt w:val="decimal"/>
      <w:suff w:val="nothing"/>
      <w:lvlText w:val="%1、"/>
      <w:lvlJc w:val="left"/>
    </w:lvl>
  </w:abstractNum>
  <w:abstractNum w:abstractNumId="7">
    <w:nsid w:val="F9D5A43C"/>
    <w:multiLevelType w:val="singleLevel"/>
    <w:tmpl w:val="F9D5A43C"/>
    <w:lvl w:ilvl="0" w:tentative="0">
      <w:start w:val="1"/>
      <w:numFmt w:val="chineseCounting"/>
      <w:suff w:val="nothing"/>
      <w:lvlText w:val="%1、"/>
      <w:lvlJc w:val="left"/>
      <w:rPr>
        <w:rFonts w:hint="eastAsia"/>
      </w:rPr>
    </w:lvl>
  </w:abstractNum>
  <w:abstractNum w:abstractNumId="8">
    <w:nsid w:val="1EAC32B1"/>
    <w:multiLevelType w:val="singleLevel"/>
    <w:tmpl w:val="1EAC32B1"/>
    <w:lvl w:ilvl="0" w:tentative="0">
      <w:start w:val="1"/>
      <w:numFmt w:val="decimal"/>
      <w:suff w:val="nothing"/>
      <w:lvlText w:val="%1、"/>
      <w:lvlJc w:val="left"/>
    </w:lvl>
  </w:abstractNum>
  <w:abstractNum w:abstractNumId="9">
    <w:nsid w:val="1F389DDD"/>
    <w:multiLevelType w:val="singleLevel"/>
    <w:tmpl w:val="1F389DDD"/>
    <w:lvl w:ilvl="0" w:tentative="0">
      <w:start w:val="1"/>
      <w:numFmt w:val="decimal"/>
      <w:suff w:val="nothing"/>
      <w:lvlText w:val="%1、"/>
      <w:lvlJc w:val="left"/>
    </w:lvl>
  </w:abstractNum>
  <w:abstractNum w:abstractNumId="10">
    <w:nsid w:val="2B333358"/>
    <w:multiLevelType w:val="singleLevel"/>
    <w:tmpl w:val="2B333358"/>
    <w:lvl w:ilvl="0" w:tentative="0">
      <w:start w:val="1"/>
      <w:numFmt w:val="chineseCounting"/>
      <w:suff w:val="nothing"/>
      <w:lvlText w:val="%1、"/>
      <w:lvlJc w:val="left"/>
      <w:rPr>
        <w:rFonts w:hint="eastAsia"/>
      </w:rPr>
    </w:lvl>
  </w:abstractNum>
  <w:abstractNum w:abstractNumId="11">
    <w:nsid w:val="32794400"/>
    <w:multiLevelType w:val="singleLevel"/>
    <w:tmpl w:val="32794400"/>
    <w:lvl w:ilvl="0" w:tentative="0">
      <w:start w:val="5"/>
      <w:numFmt w:val="chineseCounting"/>
      <w:suff w:val="space"/>
      <w:lvlText w:val="第%1章"/>
      <w:lvlJc w:val="left"/>
      <w:rPr>
        <w:rFonts w:hint="eastAsia"/>
      </w:rPr>
    </w:lvl>
  </w:abstractNum>
  <w:abstractNum w:abstractNumId="12">
    <w:nsid w:val="3345DCC0"/>
    <w:multiLevelType w:val="singleLevel"/>
    <w:tmpl w:val="3345DCC0"/>
    <w:lvl w:ilvl="0" w:tentative="0">
      <w:start w:val="1"/>
      <w:numFmt w:val="decimal"/>
      <w:suff w:val="nothing"/>
      <w:lvlText w:val="%1）"/>
      <w:lvlJc w:val="left"/>
    </w:lvl>
  </w:abstractNum>
  <w:abstractNum w:abstractNumId="13">
    <w:nsid w:val="49F6C5A7"/>
    <w:multiLevelType w:val="singleLevel"/>
    <w:tmpl w:val="49F6C5A7"/>
    <w:lvl w:ilvl="0" w:tentative="0">
      <w:start w:val="1"/>
      <w:numFmt w:val="chineseCounting"/>
      <w:suff w:val="nothing"/>
      <w:lvlText w:val="%1、"/>
      <w:lvlJc w:val="left"/>
      <w:rPr>
        <w:rFonts w:hint="eastAsia"/>
      </w:rPr>
    </w:lvl>
  </w:abstractNum>
  <w:abstractNum w:abstractNumId="14">
    <w:nsid w:val="571BCF25"/>
    <w:multiLevelType w:val="singleLevel"/>
    <w:tmpl w:val="571BCF25"/>
    <w:lvl w:ilvl="0" w:tentative="0">
      <w:start w:val="3"/>
      <w:numFmt w:val="chineseCounting"/>
      <w:suff w:val="nothing"/>
      <w:lvlText w:val="%1、"/>
      <w:lvlJc w:val="left"/>
      <w:rPr>
        <w:rFonts w:hint="eastAsia"/>
      </w:rPr>
    </w:lvl>
  </w:abstractNum>
  <w:abstractNum w:abstractNumId="15">
    <w:nsid w:val="5A10DF8D"/>
    <w:multiLevelType w:val="singleLevel"/>
    <w:tmpl w:val="5A10DF8D"/>
    <w:lvl w:ilvl="0" w:tentative="0">
      <w:start w:val="1"/>
      <w:numFmt w:val="chineseCounting"/>
      <w:suff w:val="nothing"/>
      <w:lvlText w:val="%1、"/>
      <w:lvlJc w:val="left"/>
      <w:rPr>
        <w:rFonts w:hint="eastAsia"/>
      </w:rPr>
    </w:lvl>
  </w:abstractNum>
  <w:abstractNum w:abstractNumId="16">
    <w:nsid w:val="5FB1B039"/>
    <w:multiLevelType w:val="singleLevel"/>
    <w:tmpl w:val="5FB1B039"/>
    <w:lvl w:ilvl="0" w:tentative="0">
      <w:start w:val="1"/>
      <w:numFmt w:val="chineseCounting"/>
      <w:suff w:val="nothing"/>
      <w:lvlText w:val="%1、"/>
      <w:lvlJc w:val="left"/>
      <w:rPr>
        <w:rFonts w:hint="eastAsia"/>
      </w:rPr>
    </w:lvl>
  </w:abstractNum>
  <w:abstractNum w:abstractNumId="17">
    <w:nsid w:val="69F25213"/>
    <w:multiLevelType w:val="singleLevel"/>
    <w:tmpl w:val="69F25213"/>
    <w:lvl w:ilvl="0" w:tentative="0">
      <w:start w:val="1"/>
      <w:numFmt w:val="decimal"/>
      <w:suff w:val="nothing"/>
      <w:lvlText w:val="%1、"/>
      <w:lvlJc w:val="left"/>
    </w:lvl>
  </w:abstractNum>
  <w:abstractNum w:abstractNumId="18">
    <w:nsid w:val="7EDEB9FA"/>
    <w:multiLevelType w:val="singleLevel"/>
    <w:tmpl w:val="7EDEB9FA"/>
    <w:lvl w:ilvl="0" w:tentative="0">
      <w:start w:val="1"/>
      <w:numFmt w:val="decimal"/>
      <w:suff w:val="nothing"/>
      <w:lvlText w:val="%1、"/>
      <w:lvlJc w:val="left"/>
    </w:lvl>
  </w:abstractNum>
  <w:num w:numId="1">
    <w:abstractNumId w:val="7"/>
  </w:num>
  <w:num w:numId="2">
    <w:abstractNumId w:val="17"/>
  </w:num>
  <w:num w:numId="3">
    <w:abstractNumId w:val="16"/>
  </w:num>
  <w:num w:numId="4">
    <w:abstractNumId w:val="4"/>
  </w:num>
  <w:num w:numId="5">
    <w:abstractNumId w:val="10"/>
  </w:num>
  <w:num w:numId="6">
    <w:abstractNumId w:val="8"/>
  </w:num>
  <w:num w:numId="7">
    <w:abstractNumId w:val="2"/>
  </w:num>
  <w:num w:numId="8">
    <w:abstractNumId w:val="18"/>
  </w:num>
  <w:num w:numId="9">
    <w:abstractNumId w:val="0"/>
  </w:num>
  <w:num w:numId="10">
    <w:abstractNumId w:val="9"/>
  </w:num>
  <w:num w:numId="11">
    <w:abstractNumId w:val="13"/>
  </w:num>
  <w:num w:numId="12">
    <w:abstractNumId w:val="3"/>
  </w:num>
  <w:num w:numId="13">
    <w:abstractNumId w:val="15"/>
  </w:num>
  <w:num w:numId="14">
    <w:abstractNumId w:val="6"/>
  </w:num>
  <w:num w:numId="15">
    <w:abstractNumId w:val="5"/>
  </w:num>
  <w:num w:numId="16">
    <w:abstractNumId w:val="11"/>
  </w:num>
  <w:num w:numId="17">
    <w:abstractNumId w:val="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zI2YTc0Yjc1ZGI0YzlkYmJiYzFlOGY1ODZkNjUifQ=="/>
  </w:docVars>
  <w:rsids>
    <w:rsidRoot w:val="00000000"/>
    <w:rsid w:val="01AA4199"/>
    <w:rsid w:val="027C612A"/>
    <w:rsid w:val="027F39A3"/>
    <w:rsid w:val="02BF416B"/>
    <w:rsid w:val="02DB30C0"/>
    <w:rsid w:val="02F00040"/>
    <w:rsid w:val="03003BEF"/>
    <w:rsid w:val="03432F8F"/>
    <w:rsid w:val="036D1000"/>
    <w:rsid w:val="03805942"/>
    <w:rsid w:val="03984E6C"/>
    <w:rsid w:val="039F4AE6"/>
    <w:rsid w:val="05985676"/>
    <w:rsid w:val="066531BF"/>
    <w:rsid w:val="066E24CC"/>
    <w:rsid w:val="0898267C"/>
    <w:rsid w:val="08B147B9"/>
    <w:rsid w:val="08FF5785"/>
    <w:rsid w:val="09864BF2"/>
    <w:rsid w:val="0A621DE4"/>
    <w:rsid w:val="0AA96DC2"/>
    <w:rsid w:val="0AB04E98"/>
    <w:rsid w:val="0B7D3086"/>
    <w:rsid w:val="0C3D1F30"/>
    <w:rsid w:val="0D312B02"/>
    <w:rsid w:val="0E804F97"/>
    <w:rsid w:val="0E827EBF"/>
    <w:rsid w:val="0ED369FD"/>
    <w:rsid w:val="0F6757E7"/>
    <w:rsid w:val="0FC5414A"/>
    <w:rsid w:val="0FE94E15"/>
    <w:rsid w:val="102F4F7A"/>
    <w:rsid w:val="10452A88"/>
    <w:rsid w:val="10484987"/>
    <w:rsid w:val="122D5482"/>
    <w:rsid w:val="13E87032"/>
    <w:rsid w:val="1487640D"/>
    <w:rsid w:val="14E142A7"/>
    <w:rsid w:val="15477B56"/>
    <w:rsid w:val="160C28FB"/>
    <w:rsid w:val="162C3DEF"/>
    <w:rsid w:val="16374A99"/>
    <w:rsid w:val="167E0785"/>
    <w:rsid w:val="16D34FC8"/>
    <w:rsid w:val="17587E2E"/>
    <w:rsid w:val="177A1A88"/>
    <w:rsid w:val="185376D8"/>
    <w:rsid w:val="1872123E"/>
    <w:rsid w:val="1A735F92"/>
    <w:rsid w:val="1ADB56C6"/>
    <w:rsid w:val="1D5E4931"/>
    <w:rsid w:val="1DA7093D"/>
    <w:rsid w:val="1E6630AA"/>
    <w:rsid w:val="1E93534B"/>
    <w:rsid w:val="1F8D0609"/>
    <w:rsid w:val="1F957BA7"/>
    <w:rsid w:val="1FAC4007"/>
    <w:rsid w:val="1FD55B9E"/>
    <w:rsid w:val="21507B40"/>
    <w:rsid w:val="21C73DE4"/>
    <w:rsid w:val="21ED35E0"/>
    <w:rsid w:val="22803CCA"/>
    <w:rsid w:val="22A31EF1"/>
    <w:rsid w:val="23627FFE"/>
    <w:rsid w:val="2377306D"/>
    <w:rsid w:val="247C75B5"/>
    <w:rsid w:val="25AF5F1E"/>
    <w:rsid w:val="26550AE2"/>
    <w:rsid w:val="28294B17"/>
    <w:rsid w:val="28876071"/>
    <w:rsid w:val="2AEC774D"/>
    <w:rsid w:val="2B240F27"/>
    <w:rsid w:val="2CAD47C0"/>
    <w:rsid w:val="2E123C46"/>
    <w:rsid w:val="2F1D3960"/>
    <w:rsid w:val="2F7862CE"/>
    <w:rsid w:val="306D0456"/>
    <w:rsid w:val="3072141A"/>
    <w:rsid w:val="30997731"/>
    <w:rsid w:val="32C618D4"/>
    <w:rsid w:val="32D83E39"/>
    <w:rsid w:val="32DE79B1"/>
    <w:rsid w:val="33F81A53"/>
    <w:rsid w:val="344A596A"/>
    <w:rsid w:val="34BE037F"/>
    <w:rsid w:val="36673126"/>
    <w:rsid w:val="382F2686"/>
    <w:rsid w:val="38442EB7"/>
    <w:rsid w:val="389212EB"/>
    <w:rsid w:val="39043150"/>
    <w:rsid w:val="3997650A"/>
    <w:rsid w:val="3A0544CE"/>
    <w:rsid w:val="3A2F45B0"/>
    <w:rsid w:val="3AD17EC8"/>
    <w:rsid w:val="3B5242E0"/>
    <w:rsid w:val="3B581E62"/>
    <w:rsid w:val="3C934794"/>
    <w:rsid w:val="3CC10CD7"/>
    <w:rsid w:val="3D105197"/>
    <w:rsid w:val="3D11588B"/>
    <w:rsid w:val="3DB868C6"/>
    <w:rsid w:val="3DD9438E"/>
    <w:rsid w:val="3DDF76CA"/>
    <w:rsid w:val="3F734DA3"/>
    <w:rsid w:val="3FC36608"/>
    <w:rsid w:val="3FDC6AF7"/>
    <w:rsid w:val="3FE754BA"/>
    <w:rsid w:val="3FEC4A80"/>
    <w:rsid w:val="40BB3B48"/>
    <w:rsid w:val="41A32991"/>
    <w:rsid w:val="41B57FAD"/>
    <w:rsid w:val="41FA7928"/>
    <w:rsid w:val="41FD03B0"/>
    <w:rsid w:val="42616662"/>
    <w:rsid w:val="42D46F4E"/>
    <w:rsid w:val="45057ED9"/>
    <w:rsid w:val="45476FB4"/>
    <w:rsid w:val="45A4057F"/>
    <w:rsid w:val="46556D0D"/>
    <w:rsid w:val="468A1E4C"/>
    <w:rsid w:val="46B42555"/>
    <w:rsid w:val="47264B6E"/>
    <w:rsid w:val="476B0980"/>
    <w:rsid w:val="479E79CF"/>
    <w:rsid w:val="47F77C0C"/>
    <w:rsid w:val="48010BE2"/>
    <w:rsid w:val="4AB541D3"/>
    <w:rsid w:val="4B122F8B"/>
    <w:rsid w:val="4B1A546D"/>
    <w:rsid w:val="4B900DCE"/>
    <w:rsid w:val="4BB24A44"/>
    <w:rsid w:val="4BE34F89"/>
    <w:rsid w:val="4C0035E9"/>
    <w:rsid w:val="4C2F1020"/>
    <w:rsid w:val="4C520360"/>
    <w:rsid w:val="4CAE6712"/>
    <w:rsid w:val="4DA14A59"/>
    <w:rsid w:val="4DB90AB0"/>
    <w:rsid w:val="4E8A4C2B"/>
    <w:rsid w:val="4FB235F0"/>
    <w:rsid w:val="4FBA788C"/>
    <w:rsid w:val="50821E8D"/>
    <w:rsid w:val="51012813"/>
    <w:rsid w:val="516D45E5"/>
    <w:rsid w:val="52FB52AE"/>
    <w:rsid w:val="53097044"/>
    <w:rsid w:val="53B22BB9"/>
    <w:rsid w:val="542E272A"/>
    <w:rsid w:val="54B76D3F"/>
    <w:rsid w:val="550D73A8"/>
    <w:rsid w:val="550F1D78"/>
    <w:rsid w:val="551D2408"/>
    <w:rsid w:val="55D946E9"/>
    <w:rsid w:val="55F74B93"/>
    <w:rsid w:val="58B0195B"/>
    <w:rsid w:val="58E90F33"/>
    <w:rsid w:val="59061EE8"/>
    <w:rsid w:val="594E2168"/>
    <w:rsid w:val="5A2C57D0"/>
    <w:rsid w:val="5A4A2DB4"/>
    <w:rsid w:val="5B3A53C9"/>
    <w:rsid w:val="5B3B69E7"/>
    <w:rsid w:val="5BB75EDA"/>
    <w:rsid w:val="5C2C5646"/>
    <w:rsid w:val="5C5C5FCD"/>
    <w:rsid w:val="5C9E6BB9"/>
    <w:rsid w:val="5CD52253"/>
    <w:rsid w:val="5D2A2F89"/>
    <w:rsid w:val="5D7B596E"/>
    <w:rsid w:val="5D9277EA"/>
    <w:rsid w:val="5E9373AE"/>
    <w:rsid w:val="5F085089"/>
    <w:rsid w:val="5F3C1FEB"/>
    <w:rsid w:val="5F3F6522"/>
    <w:rsid w:val="5FC442B7"/>
    <w:rsid w:val="605336A0"/>
    <w:rsid w:val="60751281"/>
    <w:rsid w:val="6141022E"/>
    <w:rsid w:val="6171383F"/>
    <w:rsid w:val="621719D8"/>
    <w:rsid w:val="62AF2A80"/>
    <w:rsid w:val="63E03C05"/>
    <w:rsid w:val="641D08C9"/>
    <w:rsid w:val="64D44EE8"/>
    <w:rsid w:val="64DF6288"/>
    <w:rsid w:val="651F4561"/>
    <w:rsid w:val="65812ADD"/>
    <w:rsid w:val="66652C8C"/>
    <w:rsid w:val="66C67529"/>
    <w:rsid w:val="67997B41"/>
    <w:rsid w:val="679F7FF6"/>
    <w:rsid w:val="686A72EE"/>
    <w:rsid w:val="68F11BB7"/>
    <w:rsid w:val="69AC2A06"/>
    <w:rsid w:val="69DB2E2E"/>
    <w:rsid w:val="6A520D7C"/>
    <w:rsid w:val="6AD51466"/>
    <w:rsid w:val="6CC809AF"/>
    <w:rsid w:val="6DB072C2"/>
    <w:rsid w:val="6E3B1479"/>
    <w:rsid w:val="6F7C230C"/>
    <w:rsid w:val="6FBC3760"/>
    <w:rsid w:val="6FD63154"/>
    <w:rsid w:val="6FF96CAF"/>
    <w:rsid w:val="70580A16"/>
    <w:rsid w:val="718A4F10"/>
    <w:rsid w:val="72361A07"/>
    <w:rsid w:val="72444124"/>
    <w:rsid w:val="724F4A44"/>
    <w:rsid w:val="72600832"/>
    <w:rsid w:val="72922AB3"/>
    <w:rsid w:val="7297083C"/>
    <w:rsid w:val="72E91A6A"/>
    <w:rsid w:val="72F60F9A"/>
    <w:rsid w:val="738B20A7"/>
    <w:rsid w:val="739466BB"/>
    <w:rsid w:val="73AE319E"/>
    <w:rsid w:val="73D17A37"/>
    <w:rsid w:val="74A8598D"/>
    <w:rsid w:val="74F32F6D"/>
    <w:rsid w:val="763A4B60"/>
    <w:rsid w:val="774371D9"/>
    <w:rsid w:val="7A202D71"/>
    <w:rsid w:val="7A86600D"/>
    <w:rsid w:val="7CDD1F1A"/>
    <w:rsid w:val="7CF6234A"/>
    <w:rsid w:val="7E9C7095"/>
    <w:rsid w:val="7EDE76AE"/>
    <w:rsid w:val="7F6B0C8F"/>
    <w:rsid w:val="7F910A38"/>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0"/>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unhideWhenUsed/>
    <w:qFormat/>
    <w:uiPriority w:val="1"/>
    <w:pPr>
      <w:keepNext/>
      <w:keepLines/>
      <w:outlineLvl w:val="2"/>
    </w:pPr>
    <w:rPr>
      <w:b/>
      <w:bCs/>
      <w:szCs w:val="32"/>
    </w:rPr>
  </w:style>
  <w:style w:type="paragraph" w:styleId="5">
    <w:name w:val="heading 4"/>
    <w:basedOn w:val="1"/>
    <w:next w:val="1"/>
    <w:qFormat/>
    <w:uiPriority w:val="0"/>
    <w:pPr>
      <w:keepNext/>
      <w:spacing w:line="600" w:lineRule="exact"/>
      <w:jc w:val="center"/>
      <w:outlineLvl w:val="3"/>
    </w:pPr>
    <w:rPr>
      <w:rFonts w:ascii="Cambria" w:hAnsi="Cambria"/>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qFormat/>
    <w:uiPriority w:val="0"/>
    <w:pPr>
      <w:spacing w:after="120"/>
    </w:pPr>
    <w:rPr>
      <w:rFonts w:ascii="Calibri"/>
      <w:kern w:val="2"/>
      <w:sz w:val="21"/>
    </w:rPr>
  </w:style>
  <w:style w:type="paragraph" w:styleId="11">
    <w:name w:val="Body Text Indent"/>
    <w:basedOn w:val="1"/>
    <w:qFormat/>
    <w:uiPriority w:val="0"/>
    <w:pPr>
      <w:widowControl/>
      <w:spacing w:line="360" w:lineRule="auto"/>
      <w:ind w:firstLine="426"/>
    </w:pPr>
    <w:rPr>
      <w:rFonts w:ascii="宋体"/>
      <w:kern w:val="0"/>
      <w:sz w:val="28"/>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footer"/>
    <w:basedOn w:val="1"/>
    <w:qFormat/>
    <w:uiPriority w:val="99"/>
    <w:pPr>
      <w:tabs>
        <w:tab w:val="center" w:pos="4153"/>
        <w:tab w:val="right" w:pos="8306"/>
      </w:tabs>
      <w:snapToGrid w:val="0"/>
      <w:jc w:val="left"/>
    </w:pPr>
    <w:rPr>
      <w:rFonts w:ascii="Calibri"/>
      <w:kern w:val="2"/>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spacing w:line="240" w:lineRule="auto"/>
      <w:ind w:left="1260" w:leftChars="600"/>
    </w:pPr>
  </w:style>
  <w:style w:type="paragraph" w:styleId="18">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unhideWhenUsed/>
    <w:qFormat/>
    <w:uiPriority w:val="39"/>
    <w:pPr>
      <w:ind w:left="420" w:leftChars="200"/>
    </w:pPr>
  </w:style>
  <w:style w:type="paragraph" w:styleId="20">
    <w:name w:val="Message Header"/>
    <w:basedOn w:val="1"/>
    <w:next w:val="10"/>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paragraph" w:customStyle="1" w:styleId="27">
    <w:name w:val="正文格式"/>
    <w:qFormat/>
    <w:uiPriority w:val="0"/>
    <w:pPr>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28">
    <w:name w:val="List Paragraph"/>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0">
    <w:name w:val="标题 1 字符"/>
    <w:link w:val="2"/>
    <w:qFormat/>
    <w:uiPriority w:val="0"/>
    <w:rPr>
      <w:rFonts w:ascii="仿宋_GB2312" w:hAnsi="宋体" w:eastAsia="仿宋_GB2312"/>
      <w:b/>
      <w:kern w:val="2"/>
      <w:sz w:val="32"/>
    </w:rPr>
  </w:style>
  <w:style w:type="paragraph" w:customStyle="1" w:styleId="31">
    <w:name w:val="Char1"/>
    <w:basedOn w:val="1"/>
    <w:qFormat/>
    <w:uiPriority w:val="0"/>
    <w:pPr>
      <w:tabs>
        <w:tab w:val="left" w:pos="360"/>
      </w:tabs>
      <w:ind w:left="360" w:hanging="360" w:hangingChars="200"/>
    </w:pPr>
    <w:rPr>
      <w:sz w:val="24"/>
      <w:szCs w:val="24"/>
    </w:rPr>
  </w:style>
  <w:style w:type="paragraph" w:customStyle="1" w:styleId="32">
    <w:name w:val="列出段落11"/>
    <w:basedOn w:val="1"/>
    <w:qFormat/>
    <w:uiPriority w:val="34"/>
    <w:pPr>
      <w:ind w:firstLine="420" w:firstLineChars="200"/>
    </w:pPr>
    <w:rPr>
      <w:rFonts w:ascii="Calibri" w:hAnsi="Calibri"/>
      <w:szCs w:val="22"/>
    </w:rPr>
  </w:style>
  <w:style w:type="character" w:customStyle="1" w:styleId="33">
    <w:name w:val="text_yy4g7"/>
    <w:basedOn w:val="24"/>
    <w:qFormat/>
    <w:uiPriority w:val="0"/>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Body text|1"/>
    <w:basedOn w:val="1"/>
    <w:qFormat/>
    <w:uiPriority w:val="0"/>
    <w:pPr>
      <w:widowControl w:val="0"/>
      <w:shd w:val="clear" w:color="auto" w:fill="auto"/>
      <w:spacing w:line="454" w:lineRule="auto"/>
      <w:ind w:firstLine="400"/>
    </w:pPr>
    <w:rPr>
      <w:rFonts w:ascii="宋体" w:hAnsi="宋体" w:eastAsia="宋体" w:cs="宋体"/>
      <w:sz w:val="26"/>
      <w:szCs w:val="26"/>
      <w:u w:val="none"/>
      <w:shd w:val="clear" w:color="auto" w:fill="auto"/>
      <w:lang w:val="zh-TW" w:eastAsia="zh-TW" w:bidi="zh-TW"/>
    </w:rPr>
  </w:style>
  <w:style w:type="paragraph" w:customStyle="1" w:styleId="36">
    <w:name w:val="样式 标题 2 Char + (西文) 黑体 段前: 6 磅 段后: 0.5 行 行距: 1.5 倍行距"/>
    <w:basedOn w:val="3"/>
    <w:autoRedefine/>
    <w:qFormat/>
    <w:uiPriority w:val="0"/>
    <w:pPr>
      <w:spacing w:line="360" w:lineRule="auto"/>
    </w:pPr>
    <w:rPr>
      <w:rFonts w:ascii="黑体" w:hAnsi="黑体" w:cs="宋体"/>
      <w:sz w:val="28"/>
      <w:szCs w:val="20"/>
    </w:rPr>
  </w:style>
  <w:style w:type="paragraph" w:customStyle="1" w:styleId="37">
    <w:name w:val="样式 纯文本 + (中文) 仿宋_GB2312 三号"/>
    <w:basedOn w:val="1"/>
    <w:next w:val="1"/>
    <w:qFormat/>
    <w:uiPriority w:val="0"/>
    <w:pPr>
      <w:tabs>
        <w:tab w:val="left" w:pos="3780"/>
        <w:tab w:val="left" w:pos="4140"/>
      </w:tabs>
      <w:adjustRightInd w:val="0"/>
      <w:snapToGrid w:val="0"/>
      <w:spacing w:line="558" w:lineRule="exact"/>
      <w:ind w:firstLine="560" w:firstLineChars="200"/>
    </w:pPr>
    <w:rPr>
      <w:rFonts w:ascii="仿宋_GB2312" w:eastAsia="仿宋_GB2312"/>
      <w:snapToGrid w:val="0"/>
      <w:color w:val="000000"/>
      <w:sz w:val="28"/>
    </w:r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11"/>
    <w:basedOn w:val="2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10201</Words>
  <Characters>11608</Characters>
  <Lines>1</Lines>
  <Paragraphs>1</Paragraphs>
  <TotalTime>8</TotalTime>
  <ScaleCrop>false</ScaleCrop>
  <LinksUpToDate>false</LinksUpToDate>
  <CharactersWithSpaces>11925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小鱼日</cp:lastModifiedBy>
  <dcterms:modified xsi:type="dcterms:W3CDTF">2025-12-01T02:06:44Z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A97D93ECEEB54E5C9643DE2A2B475E88_13</vt:lpwstr>
  </property>
  <property fmtid="{D5CDD505-2E9C-101B-9397-08002B2CF9AE}" pid="4" name="KSOTemplateDocerSaveRecord">
    <vt:lpwstr>eyJoZGlkIjoiOWE5MzI2YTc0Yjc1ZGI0YzlkYmJiYzFlOGY1ODZkNjUiLCJ1c2VySWQiOiIyNDU5MTQ2MTQifQ==</vt:lpwstr>
  </property>
</Properties>
</file>